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950A3">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058A6BF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72"/>
          <w:szCs w:val="72"/>
          <w:highlight w:val="none"/>
          <w:u w:color="000000"/>
          <w:lang w:val="en-US" w:eastAsia="zh-CN" w:bidi="ar"/>
        </w:rPr>
      </w:pPr>
      <w:r>
        <w:rPr>
          <w:rFonts w:hint="eastAsia" w:ascii="新宋体" w:hAnsi="新宋体" w:eastAsia="新宋体" w:cs="Times New Roman"/>
          <w:b/>
          <w:color w:val="auto"/>
          <w:sz w:val="52"/>
          <w:szCs w:val="52"/>
          <w:highlight w:val="none"/>
          <w:lang w:val="en-US" w:eastAsia="zh-CN"/>
        </w:rPr>
        <w:t>滁州轨道运营防雷检测项目（2026年-2028年）</w:t>
      </w:r>
    </w:p>
    <w:p w14:paraId="2EBD647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09E8CE8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5E228DEF">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3710DD2E">
      <w:pPr>
        <w:pStyle w:val="20"/>
        <w:widowControl/>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项目编号：HXJY1110001062491001</w:t>
      </w:r>
    </w:p>
    <w:p w14:paraId="0B7EC032">
      <w:pPr>
        <w:pStyle w:val="20"/>
        <w:widowControl/>
        <w:rPr>
          <w:highlight w:val="none"/>
          <w:lang w:val="en-US"/>
        </w:rPr>
      </w:pPr>
      <w:r>
        <w:rPr>
          <w:highlight w:val="none"/>
          <w:lang w:val="en-US"/>
        </w:rPr>
        <w:t xml:space="preserve"> </w:t>
      </w:r>
    </w:p>
    <w:p w14:paraId="5E77D9EF">
      <w:pPr>
        <w:pStyle w:val="20"/>
        <w:widowControl/>
        <w:rPr>
          <w:highlight w:val="none"/>
          <w:lang w:val="en-US"/>
        </w:rPr>
      </w:pPr>
      <w:r>
        <w:rPr>
          <w:highlight w:val="none"/>
          <w:lang w:val="en-US"/>
        </w:rPr>
        <w:t xml:space="preserve"> </w:t>
      </w:r>
    </w:p>
    <w:p w14:paraId="7B66996B">
      <w:pPr>
        <w:pStyle w:val="20"/>
        <w:widowControl/>
        <w:rPr>
          <w:highlight w:val="none"/>
          <w:lang w:val="en-US"/>
        </w:rPr>
      </w:pPr>
      <w:r>
        <w:rPr>
          <w:highlight w:val="none"/>
          <w:lang w:val="en-US"/>
        </w:rPr>
        <w:t xml:space="preserve"> </w:t>
      </w:r>
    </w:p>
    <w:p w14:paraId="10D498EF">
      <w:pPr>
        <w:pStyle w:val="20"/>
        <w:widowControl/>
        <w:rPr>
          <w:highlight w:val="none"/>
          <w:lang w:val="en-US"/>
        </w:rPr>
      </w:pPr>
    </w:p>
    <w:p w14:paraId="1F6FE1AE">
      <w:pPr>
        <w:pStyle w:val="20"/>
        <w:widowControl/>
        <w:rPr>
          <w:rFonts w:eastAsia="宋体"/>
          <w:highlight w:val="none"/>
          <w:lang w:val="en-US"/>
        </w:rPr>
      </w:pPr>
      <w:r>
        <w:rPr>
          <w:highlight w:val="none"/>
          <w:lang w:val="en-US"/>
        </w:rPr>
        <w:t xml:space="preserve"> </w:t>
      </w:r>
    </w:p>
    <w:p w14:paraId="18220A08">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1E614A0F">
      <w:pPr>
        <w:adjustRightInd w:val="0"/>
        <w:snapToGrid w:val="0"/>
        <w:ind w:firstLine="302" w:firstLineChars="94"/>
        <w:rPr>
          <w:rFonts w:hint="eastAsia" w:ascii="宋体" w:hAnsi="宋体"/>
          <w:b/>
          <w:sz w:val="32"/>
          <w:highlight w:val="none"/>
          <w:u w:val="thick"/>
        </w:rPr>
      </w:pPr>
    </w:p>
    <w:p w14:paraId="1B8E2339">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B1049F0">
      <w:pPr>
        <w:adjustRightInd w:val="0"/>
        <w:snapToGrid w:val="0"/>
        <w:rPr>
          <w:rFonts w:hint="eastAsia" w:ascii="宋体" w:hAnsi="宋体"/>
          <w:spacing w:val="20"/>
          <w:sz w:val="32"/>
          <w:highlight w:val="none"/>
          <w:u w:val="single"/>
        </w:rPr>
      </w:pPr>
    </w:p>
    <w:p w14:paraId="009E1A09">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w:t>
      </w:r>
      <w:r>
        <w:rPr>
          <w:rFonts w:hint="eastAsia" w:ascii="宋体" w:hAnsi="宋体"/>
          <w:b/>
          <w:sz w:val="32"/>
          <w:highlight w:val="none"/>
          <w:u w:val="thick"/>
          <w:lang w:val="en-US" w:eastAsia="zh-CN"/>
        </w:rPr>
        <w:t>26</w:t>
      </w:r>
      <w:r>
        <w:rPr>
          <w:rFonts w:hint="eastAsia" w:ascii="宋体" w:hAnsi="宋体"/>
          <w:b/>
          <w:sz w:val="32"/>
          <w:highlight w:val="none"/>
          <w:u w:val="thick"/>
        </w:rPr>
        <w:t>年</w:t>
      </w:r>
      <w:r>
        <w:rPr>
          <w:rFonts w:hint="eastAsia" w:ascii="宋体" w:hAnsi="宋体"/>
          <w:b/>
          <w:sz w:val="32"/>
          <w:highlight w:val="none"/>
          <w:u w:val="thick"/>
          <w:lang w:val="en-US" w:eastAsia="zh-CN"/>
        </w:rPr>
        <w:t>8</w:t>
      </w:r>
      <w:r>
        <w:rPr>
          <w:rFonts w:hint="eastAsia" w:ascii="宋体" w:hAnsi="宋体"/>
          <w:b/>
          <w:sz w:val="32"/>
          <w:highlight w:val="none"/>
          <w:u w:val="thick"/>
        </w:rPr>
        <w:t>月</w:t>
      </w:r>
      <w:r>
        <w:rPr>
          <w:rFonts w:hint="eastAsia" w:ascii="宋体" w:hAnsi="宋体"/>
          <w:b/>
          <w:sz w:val="32"/>
          <w:highlight w:val="none"/>
          <w:u w:val="thick"/>
          <w:lang w:val="en-US" w:eastAsia="zh-CN"/>
        </w:rPr>
        <w:t>31日</w:t>
      </w:r>
      <w:r>
        <w:rPr>
          <w:rFonts w:hint="eastAsia" w:ascii="宋体" w:hAnsi="宋体"/>
          <w:b/>
          <w:sz w:val="32"/>
          <w:highlight w:val="none"/>
          <w:u w:val="thick"/>
        </w:rPr>
        <w:t xml:space="preserve">            </w:t>
      </w:r>
    </w:p>
    <w:p w14:paraId="5746636B">
      <w:pPr>
        <w:jc w:val="center"/>
        <w:rPr>
          <w:rFonts w:hint="eastAsia" w:eastAsia="宋体"/>
          <w:highlight w:val="none"/>
          <w:lang w:val="en-US" w:eastAsia="zh-CN"/>
        </w:rPr>
      </w:pPr>
      <w:r>
        <w:rPr>
          <w:rFonts w:hint="eastAsia" w:eastAsia="宋体"/>
          <w:highlight w:val="none"/>
          <w:lang w:val="en-US" w:eastAsia="zh-CN"/>
        </w:rPr>
        <w:t xml:space="preserve"> </w:t>
      </w:r>
    </w:p>
    <w:p w14:paraId="54B26A22">
      <w:pPr>
        <w:rPr>
          <w:rFonts w:hint="eastAsia" w:eastAsia="宋体"/>
          <w:highlight w:val="none"/>
          <w:lang w:val="en-US" w:eastAsia="zh-CN"/>
        </w:rPr>
      </w:pPr>
      <w:r>
        <w:rPr>
          <w:rFonts w:hint="eastAsia" w:eastAsia="宋体"/>
          <w:highlight w:val="none"/>
          <w:lang w:val="en-US" w:eastAsia="zh-CN"/>
        </w:rPr>
        <w:br w:type="page"/>
      </w:r>
    </w:p>
    <w:p w14:paraId="32CD003B">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2A29A35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0A6B71B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………………………………………………………………4</w:t>
      </w:r>
    </w:p>
    <w:p w14:paraId="2DB4775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…………………………………………………………17</w:t>
      </w:r>
    </w:p>
    <w:p w14:paraId="1AFF5805">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评标办法…………………………………………………………………18</w:t>
      </w:r>
    </w:p>
    <w:p w14:paraId="18C6D090">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用户需求书………………………………………………………………22</w:t>
      </w:r>
    </w:p>
    <w:p w14:paraId="7EB00596">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合同条款及格式…………………………………………………………26</w:t>
      </w:r>
    </w:p>
    <w:p w14:paraId="4E7FF209">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投标文件格式……………………………………………………………37</w:t>
      </w:r>
    </w:p>
    <w:p w14:paraId="1FA1F7C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招标人、招标代理机构对本招标文件的确认…………………………45</w:t>
      </w:r>
    </w:p>
    <w:p w14:paraId="3805DAB3">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numberInDash" w:start="1"/>
          <w:cols w:space="425" w:num="1"/>
          <w:docGrid w:type="lines" w:linePitch="312" w:charSpace="0"/>
        </w:sectPr>
      </w:pPr>
    </w:p>
    <w:p w14:paraId="2B4F177D">
      <w:pPr>
        <w:pStyle w:val="20"/>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781FCD9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28359002"/>
      <w:bookmarkEnd w:id="6"/>
      <w:bookmarkStart w:id="7" w:name="_Toc35393621"/>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2781C9A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轨道运营防雷检测项目（2026年-2028年）的潜在投标人应在滁州市滁宁城际铁路开发建设有限公司网站http://czctgs.cn/；滁州市城投工程咨询管理有限公司网站https://www.czctgczx.com获取招标文件，并于2026年9月21日15时00分（北京时间）前递交投标文件。</w:t>
      </w:r>
    </w:p>
    <w:p w14:paraId="6790421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1B621CA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项目名称：滁州轨道运营防雷检测项目（2026年-2028年）</w:t>
      </w:r>
    </w:p>
    <w:p w14:paraId="3086B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预算金额（含税）：</w:t>
      </w:r>
      <w:r>
        <w:rPr>
          <w:rFonts w:hint="eastAsia" w:ascii="宋体" w:hAnsi="宋体" w:cs="宋体"/>
          <w:kern w:val="0"/>
          <w:sz w:val="24"/>
          <w:szCs w:val="24"/>
          <w:highlight w:val="none"/>
          <w:lang w:val="en-US" w:eastAsia="zh-CN"/>
        </w:rPr>
        <w:t>288000.00</w:t>
      </w:r>
      <w:r>
        <w:rPr>
          <w:rFonts w:hint="eastAsia" w:ascii="宋体" w:hAnsi="宋体" w:eastAsia="宋体" w:cs="宋体"/>
          <w:color w:val="000000"/>
          <w:kern w:val="0"/>
          <w:sz w:val="24"/>
          <w:szCs w:val="24"/>
          <w:highlight w:val="none"/>
          <w:u w:color="000000"/>
          <w:lang w:val="en-US" w:eastAsia="zh-CN" w:bidi="ar"/>
        </w:rPr>
        <w:t>元</w:t>
      </w:r>
    </w:p>
    <w:p w14:paraId="24F392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最高限价（含税）：本项目最高限价为（人民币）</w:t>
      </w:r>
      <w:r>
        <w:rPr>
          <w:rFonts w:hint="eastAsia" w:ascii="宋体" w:hAnsi="宋体" w:cs="宋体"/>
          <w:kern w:val="0"/>
          <w:sz w:val="24"/>
          <w:szCs w:val="24"/>
          <w:highlight w:val="none"/>
          <w:lang w:val="en-US" w:eastAsia="zh-CN"/>
        </w:rPr>
        <w:t>288000.00元</w:t>
      </w:r>
    </w:p>
    <w:p w14:paraId="47A9076C">
      <w:pPr>
        <w:keepNext w:val="0"/>
        <w:keepLines w:val="0"/>
        <w:pageBreakBefore w:val="0"/>
        <w:kinsoku/>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采购需求：针对滁宁城际铁路（滁州段)防雷装置在2026年-2028年度每年开展一次集中统一的专业检测，详见《用户需求书》。</w:t>
      </w:r>
    </w:p>
    <w:p w14:paraId="62C3733F">
      <w:pPr>
        <w:keepNext w:val="0"/>
        <w:keepLines w:val="0"/>
        <w:pageBreakBefore w:val="0"/>
        <w:kinsoku/>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服务期：三年（2026年-2028年），每期检测自招标人下发任务通知单后60日内完成检测及专家评审并提交最终检测报告。</w:t>
      </w:r>
    </w:p>
    <w:p w14:paraId="23ABB79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002EB70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二、申请人的资格要求</w:t>
      </w:r>
    </w:p>
    <w:p w14:paraId="2A8157B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1、投标人须在中华人民共和国境内注册（不含港澳台）并取得营业执照且具有相应供货服务能力。</w:t>
      </w:r>
    </w:p>
    <w:p w14:paraId="0DD7896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2、投标人</w:t>
      </w:r>
      <w:r>
        <w:rPr>
          <w:rFonts w:hint="default" w:ascii="宋体" w:hAnsi="宋体" w:eastAsia="宋体" w:cs="宋体"/>
          <w:color w:val="000000"/>
          <w:kern w:val="0"/>
          <w:sz w:val="24"/>
          <w:szCs w:val="24"/>
          <w:highlight w:val="none"/>
          <w:u w:color="000000"/>
          <w:lang w:val="en-US" w:eastAsia="zh-CN" w:bidi="ar"/>
        </w:rPr>
        <w:t>具有雷电防护装置检测甲级资质</w:t>
      </w:r>
      <w:r>
        <w:rPr>
          <w:rFonts w:hint="eastAsia" w:ascii="宋体" w:hAnsi="宋体" w:eastAsia="宋体" w:cs="宋体"/>
          <w:color w:val="000000"/>
          <w:kern w:val="0"/>
          <w:sz w:val="24"/>
          <w:szCs w:val="24"/>
          <w:highlight w:val="none"/>
          <w:u w:color="000000"/>
          <w:lang w:val="en-US" w:eastAsia="zh-CN" w:bidi="ar"/>
        </w:rPr>
        <w:t>。</w:t>
      </w:r>
    </w:p>
    <w:p w14:paraId="551BE8E8">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796301C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4"/>
          <w:szCs w:val="24"/>
          <w:highlight w:val="none"/>
          <w:u w:val="single"/>
          <w:lang w:val="en-US"/>
        </w:rPr>
      </w:pPr>
      <w:bookmarkStart w:id="10" w:name="_Toc35393793"/>
      <w:bookmarkEnd w:id="10"/>
      <w:bookmarkStart w:id="11" w:name="_Toc28359082"/>
      <w:bookmarkEnd w:id="11"/>
      <w:bookmarkStart w:id="12" w:name="_Toc58430308"/>
      <w:bookmarkEnd w:id="12"/>
      <w:bookmarkStart w:id="13" w:name="_Toc28359005"/>
      <w:bookmarkEnd w:id="13"/>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2026年8月31日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2026年9月21日</w:t>
      </w:r>
    </w:p>
    <w:p w14:paraId="41A8F2F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539"/>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地点：请于公告发布之日起从滁州市城投工程咨询管理有限公司网站（https://www.czctgczx.com/）下载。</w:t>
      </w:r>
    </w:p>
    <w:p w14:paraId="06D33B5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方式：（1）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74A643C0">
      <w:pPr>
        <w:keepNext w:val="0"/>
        <w:keepLines w:val="0"/>
        <w:pageBreakBefore w:val="0"/>
        <w:widowControl/>
        <w:numPr>
          <w:ilvl w:val="0"/>
          <w:numId w:val="1"/>
        </w:numPr>
        <w:suppressLineNumbers w:val="0"/>
        <w:kinsoku/>
        <w:wordWrap/>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投标人登录新点电子交易平台【滁州专区】获取招标文件及其它资料（含澄清和补充说明等）。如在招标文件获取过程中遇到系统问题，请拨打技术支持服务热线0512-58151515或者网站首页在线客服。</w:t>
      </w:r>
    </w:p>
    <w:p w14:paraId="2F989D68">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420" w:lineRule="exact"/>
        <w:ind w:leftChars="200" w:right="0" w:rightChars="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售价：0元</w:t>
      </w:r>
    </w:p>
    <w:p w14:paraId="2BB51EA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01ABF16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2026年9月21日15时00分</w:t>
      </w:r>
      <w:r>
        <w:rPr>
          <w:rFonts w:hint="eastAsia" w:ascii="宋体" w:hAnsi="宋体" w:eastAsia="宋体" w:cs="宋体"/>
          <w:bCs/>
          <w:color w:val="000000"/>
          <w:kern w:val="0"/>
          <w:sz w:val="24"/>
          <w:szCs w:val="24"/>
          <w:highlight w:val="none"/>
          <w:u w:color="000000"/>
          <w:lang w:val="en-US" w:eastAsia="zh-CN" w:bidi="ar"/>
        </w:rPr>
        <w:t>（北京时间）</w:t>
      </w:r>
    </w:p>
    <w:p w14:paraId="6E116C65">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投标文件递交方式：本项目仅接受投标人在投标截止时间前登录新点电子交易平台【滁州专区】（https://www.etrading.cn/BREpointSSO/login/oauth2login?regioncode=DQ_ChuZhou）交易系统递交的加密电子投标文件。</w:t>
      </w:r>
    </w:p>
    <w:p w14:paraId="28148EC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是否要求投标人提交投标保证金：要求，投标保证金的金额：0.57万元。</w:t>
      </w:r>
    </w:p>
    <w:p w14:paraId="4B3AFA3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投标保证金的形式：银行转账 </w:t>
      </w:r>
    </w:p>
    <w:p w14:paraId="2143149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开户名称：滁州市轨道交通运营有限公司</w:t>
      </w:r>
    </w:p>
    <w:p w14:paraId="1C111A9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开户银行：中信银行滁州分行营业部</w:t>
      </w:r>
    </w:p>
    <w:p w14:paraId="4D087D1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银行帐号：8112 3010 1240 0814 542</w:t>
      </w:r>
    </w:p>
    <w:p w14:paraId="789FA3C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保证金到账截止时间同投标文件递交截止时间，交纳保证金时须在交易附言中注明：“滁州轨道运营防雷检测项目（2026年-2028年）”投标保证金。 </w:t>
      </w:r>
    </w:p>
    <w:p w14:paraId="0323F4E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注：各投标人请严格按照招标公告和招标文件载明的银行、账户汇入投标保证金，否则在开标时将无法查询保证金是否到账，导致评标委员会否决其投标！</w:t>
      </w:r>
    </w:p>
    <w:p w14:paraId="67884B7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投标保证金退还期限：中标通知书发放后五个工作日内退还未中标单位的投标保证金，签订合同后五个工作日内退还中标单位的投标保证金。</w:t>
      </w:r>
    </w:p>
    <w:p w14:paraId="51BEB12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14" w:name="_Toc28359087"/>
      <w:r>
        <w:rPr>
          <w:rFonts w:hint="eastAsia" w:ascii="宋体" w:hAnsi="宋体" w:eastAsia="宋体" w:cs="宋体"/>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联系方式：0550-3352128 </w:t>
      </w:r>
      <w:bookmarkStart w:id="15" w:name="_Toc28359009"/>
      <w:bookmarkStart w:id="16" w:name="_Toc28359086"/>
    </w:p>
    <w:bookmarkEnd w:id="15"/>
    <w:bookmarkEnd w:id="16"/>
    <w:p w14:paraId="1AEC042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w:t>
      </w:r>
      <w:bookmarkEnd w:id="14"/>
      <w:r>
        <w:rPr>
          <w:rFonts w:hint="eastAsia" w:ascii="宋体" w:hAnsi="宋体" w:eastAsia="宋体" w:cs="宋体"/>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3.项目联系方式</w:t>
      </w:r>
    </w:p>
    <w:p w14:paraId="1418D49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项目联系人：杭祥婷、周蓓蕾       </w:t>
      </w:r>
    </w:p>
    <w:p w14:paraId="3B82B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80" w:firstLineChars="200"/>
        <w:jc w:val="left"/>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电话：0550-3352128、18005505728</w:t>
      </w:r>
    </w:p>
    <w:p w14:paraId="380D8AA8">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4654D1EB">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2"/>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31B9D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1BE4FDA3">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90622F3">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52569E48">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14F1B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F34C4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AF49C6">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7A4246">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滁州轨道运营防雷检测项目（2026年-2028年）</w:t>
            </w:r>
          </w:p>
        </w:tc>
      </w:tr>
      <w:tr w14:paraId="74B6DC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D4FC5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87E46">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服务</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90F2F62">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AB5C6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BE6B93">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F6A21D">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A01234">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14:paraId="5CB615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71B87B">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BECE40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67C34BD">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cs="宋体"/>
                <w:highlight w:val="none"/>
                <w:lang w:eastAsia="zh-CN"/>
              </w:rPr>
              <w:t>杭祥婷</w:t>
            </w:r>
            <w:r>
              <w:rPr>
                <w:rFonts w:cs="宋体"/>
                <w:highlight w:val="none"/>
              </w:rPr>
              <w:t xml:space="preserve">  </w:t>
            </w:r>
            <w:r>
              <w:rPr>
                <w:rFonts w:hint="eastAsia" w:cs="宋体"/>
                <w:highlight w:val="none"/>
                <w:lang w:eastAsia="zh-CN"/>
              </w:rPr>
              <w:t>0550-3352128</w:t>
            </w:r>
          </w:p>
        </w:tc>
      </w:tr>
      <w:tr w14:paraId="791CDD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19760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5E77F7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4E9951">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6E7AB5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2BB5FD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FF2EB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3FE940">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Times New Roman"/>
                <w:highlight w:val="none"/>
                <w:lang w:val="en-US"/>
              </w:rPr>
            </w:pPr>
            <w:r>
              <w:rPr>
                <w:rFonts w:ascii="宋体" w:hAnsi="宋体" w:eastAsia="宋体" w:cs="Times New Roman"/>
                <w:highlight w:val="none"/>
                <w:lang w:val="en-US"/>
              </w:rPr>
              <w:t>自筹资金</w:t>
            </w:r>
          </w:p>
        </w:tc>
      </w:tr>
      <w:tr w14:paraId="716C47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A485B6">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F63E41">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CD465B">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Times New Roman"/>
                <w:highlight w:val="none"/>
                <w:lang w:val="en-US" w:eastAsia="zh-CN"/>
              </w:rPr>
            </w:pPr>
            <w:r>
              <w:rPr>
                <w:rFonts w:hint="eastAsia" w:cs="Times New Roman"/>
                <w:highlight w:val="none"/>
                <w:lang w:val="en-US" w:eastAsia="zh-CN"/>
              </w:rPr>
              <w:t>288000.00元</w:t>
            </w:r>
            <w:r>
              <w:rPr>
                <w:rFonts w:hint="eastAsia" w:ascii="宋体" w:hAnsi="宋体" w:eastAsia="宋体" w:cs="Times New Roman"/>
                <w:highlight w:val="none"/>
                <w:lang w:val="en-US" w:eastAsia="zh-CN"/>
              </w:rPr>
              <w:t>（含税）</w:t>
            </w:r>
          </w:p>
        </w:tc>
      </w:tr>
      <w:tr w14:paraId="6464C1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079C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EFDDA1E">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3967EF3">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Times New Roman"/>
                <w:highlight w:val="none"/>
                <w:lang w:val="en-US" w:eastAsia="zh-CN"/>
              </w:rPr>
            </w:pPr>
            <w:r>
              <w:rPr>
                <w:rFonts w:hint="eastAsia" w:ascii="宋体" w:hAnsi="宋体" w:eastAsia="宋体" w:cs="Times New Roman"/>
                <w:highlight w:val="none"/>
                <w:lang w:val="en-US" w:eastAsia="zh-CN"/>
              </w:rPr>
              <w:t>本项目最高限价为（人民币）</w:t>
            </w:r>
            <w:r>
              <w:rPr>
                <w:rFonts w:hint="eastAsia" w:cs="Times New Roman"/>
                <w:highlight w:val="none"/>
                <w:lang w:val="en-US" w:eastAsia="zh-CN"/>
              </w:rPr>
              <w:t>288000.00元</w:t>
            </w:r>
            <w:r>
              <w:rPr>
                <w:rFonts w:hint="eastAsia" w:ascii="宋体" w:hAnsi="宋体" w:eastAsia="宋体" w:cs="Times New Roman"/>
                <w:highlight w:val="none"/>
                <w:lang w:val="en-US" w:eastAsia="zh-CN"/>
              </w:rPr>
              <w:t>（含税），投标报价不得超过最高限价，否则按无效投标处理。</w:t>
            </w:r>
          </w:p>
        </w:tc>
      </w:tr>
      <w:tr w14:paraId="0F6736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DEF2B2">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A4A560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BAE9AA">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详见</w:t>
            </w:r>
            <w:r>
              <w:rPr>
                <w:rFonts w:hint="eastAsia" w:ascii="宋体" w:hAnsi="宋体" w:eastAsia="宋体" w:cs="Times New Roman"/>
                <w:highlight w:val="none"/>
                <w:lang w:val="en-US"/>
              </w:rPr>
              <w:t>《</w:t>
            </w:r>
            <w:r>
              <w:rPr>
                <w:rFonts w:hint="eastAsia" w:ascii="宋体" w:hAnsi="宋体" w:eastAsia="宋体" w:cs="Times New Roman"/>
                <w:highlight w:val="none"/>
                <w:lang w:val="en-US" w:eastAsia="zh-CN"/>
              </w:rPr>
              <w:t>用户需求书</w:t>
            </w:r>
            <w:r>
              <w:rPr>
                <w:rFonts w:hint="eastAsia" w:ascii="宋体" w:hAnsi="宋体" w:eastAsia="宋体" w:cs="Times New Roman"/>
                <w:highlight w:val="none"/>
                <w:lang w:val="en-US"/>
              </w:rPr>
              <w:t>》</w:t>
            </w:r>
          </w:p>
        </w:tc>
      </w:tr>
      <w:tr w14:paraId="7E44F0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08883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9D308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B5B3198">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Times New Roman"/>
                <w:highlight w:val="none"/>
                <w:lang w:val="en-US" w:eastAsia="zh-CN"/>
              </w:rPr>
            </w:pPr>
            <w:r>
              <w:rPr>
                <w:rFonts w:ascii="宋体" w:hAnsi="宋体" w:eastAsia="宋体" w:cs="Times New Roman"/>
                <w:highlight w:val="none"/>
                <w:lang w:val="en-US"/>
              </w:rPr>
              <w:t>本项目划分为1个标</w:t>
            </w:r>
            <w:r>
              <w:rPr>
                <w:rFonts w:hint="eastAsia" w:ascii="宋体" w:hAnsi="宋体" w:eastAsia="宋体" w:cs="Times New Roman"/>
                <w:highlight w:val="none"/>
                <w:lang w:val="en-US" w:eastAsia="zh-CN"/>
              </w:rPr>
              <w:t>段</w:t>
            </w:r>
          </w:p>
        </w:tc>
      </w:tr>
      <w:tr w14:paraId="67AC84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5259FB">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8446215">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D349D9">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04981A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ECEEC8">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336589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C7086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55E2A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17E22B2">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6EF9E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4C97A6">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5085B2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59F43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0AEAC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04DB4D">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0383EF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D59B5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80622">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1E9F18">
            <w:pPr>
              <w:pStyle w:val="14"/>
              <w:keepNext w:val="0"/>
              <w:keepLines w:val="0"/>
              <w:pageBreakBefore w:val="0"/>
              <w:kinsoku/>
              <w:wordWrap w:val="0"/>
              <w:overflowPunct/>
              <w:topLinePunct w:val="0"/>
              <w:autoSpaceDN/>
              <w:bidi w:val="0"/>
              <w:adjustRightInd/>
              <w:snapToGrid/>
              <w:spacing w:line="360" w:lineRule="exact"/>
              <w:ind w:left="0" w:leftChars="0" w:right="0" w:rightChars="0"/>
              <w:textAlignment w:val="auto"/>
              <w:rPr>
                <w:rFonts w:cs="Times New Roman"/>
                <w:b w:val="0"/>
                <w:bCs w:val="0"/>
                <w:highlight w:val="none"/>
                <w:lang w:val="en-US"/>
              </w:rPr>
            </w:pPr>
            <w:r>
              <w:rPr>
                <w:rFonts w:hint="eastAsia" w:ascii="宋体" w:hAnsi="宋体" w:cs="宋体"/>
                <w:kern w:val="0"/>
                <w:szCs w:val="21"/>
                <w:highlight w:val="none"/>
              </w:rPr>
              <w:t>如投标人对招标文件有疑问，</w:t>
            </w:r>
            <w:r>
              <w:rPr>
                <w:rFonts w:hint="eastAsia" w:ascii="宋体" w:hAnsi="宋体" w:eastAsia="宋体" w:cs="宋体"/>
                <w:kern w:val="0"/>
                <w:szCs w:val="21"/>
                <w:highlight w:val="none"/>
              </w:rPr>
              <w:t>请于202</w:t>
            </w:r>
            <w:r>
              <w:rPr>
                <w:rFonts w:hint="eastAsia" w:cs="宋体"/>
                <w:kern w:val="0"/>
                <w:szCs w:val="21"/>
                <w:highlight w:val="none"/>
                <w:lang w:val="en-US" w:eastAsia="zh-CN"/>
              </w:rPr>
              <w:t>6</w:t>
            </w:r>
            <w:r>
              <w:rPr>
                <w:rFonts w:hint="eastAsia" w:ascii="宋体" w:hAnsi="宋体" w:eastAsia="宋体" w:cs="宋体"/>
                <w:kern w:val="0"/>
                <w:szCs w:val="21"/>
                <w:highlight w:val="none"/>
              </w:rPr>
              <w:t>年</w:t>
            </w:r>
            <w:r>
              <w:rPr>
                <w:rFonts w:hint="eastAsia" w:cs="宋体"/>
                <w:kern w:val="0"/>
                <w:szCs w:val="21"/>
                <w:highlight w:val="none"/>
                <w:lang w:val="en-US" w:eastAsia="zh-CN"/>
              </w:rPr>
              <w:t>9</w:t>
            </w:r>
            <w:r>
              <w:rPr>
                <w:rFonts w:hint="eastAsia" w:ascii="宋体" w:hAnsi="宋体" w:eastAsia="宋体" w:cs="宋体"/>
                <w:kern w:val="0"/>
                <w:szCs w:val="21"/>
                <w:highlight w:val="none"/>
              </w:rPr>
              <w:t>月</w:t>
            </w:r>
            <w:r>
              <w:rPr>
                <w:rFonts w:hint="eastAsia" w:cs="宋体"/>
                <w:kern w:val="0"/>
                <w:szCs w:val="21"/>
                <w:highlight w:val="none"/>
                <w:lang w:val="en-US" w:eastAsia="zh-CN"/>
              </w:rPr>
              <w:t>11</w:t>
            </w:r>
            <w:r>
              <w:rPr>
                <w:rFonts w:hint="eastAsia" w:ascii="宋体" w:hAnsi="宋体" w:eastAsia="宋体" w:cs="宋体"/>
                <w:kern w:val="0"/>
                <w:szCs w:val="21"/>
                <w:highlight w:val="none"/>
              </w:rPr>
              <w:t>日17时前</w:t>
            </w:r>
            <w:r>
              <w:rPr>
                <w:rFonts w:hint="eastAsia" w:ascii="宋体" w:hAnsi="宋体" w:eastAsia="宋体" w:cs="宋体"/>
                <w:color w:val="auto"/>
                <w:szCs w:val="21"/>
                <w:highlight w:val="none"/>
                <w:lang w:val="en-US" w:eastAsia="zh-CN"/>
              </w:rPr>
              <w:t>登录新点电子交易平台【滁州专区】线上提出</w:t>
            </w:r>
            <w:r>
              <w:rPr>
                <w:rFonts w:ascii="宋体" w:hAnsi="宋体" w:eastAsia="宋体" w:cs="宋体"/>
                <w:color w:val="auto"/>
                <w:highlight w:val="none"/>
              </w:rPr>
              <w:t>。</w:t>
            </w:r>
          </w:p>
        </w:tc>
      </w:tr>
      <w:tr w14:paraId="6787C8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AD0869">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C8C0C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F0E50F">
            <w:pPr>
              <w:keepNext w:val="0"/>
              <w:keepLines w:val="0"/>
              <w:pageBreakBefore w:val="0"/>
              <w:suppressLineNumbers w:val="0"/>
              <w:kinsoku/>
              <w:wordWrap w:val="0"/>
              <w:overflowPunct/>
              <w:topLinePunct w:val="0"/>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招标人将在202</w:t>
            </w:r>
            <w:r>
              <w:rPr>
                <w:rFonts w:hint="eastAsia" w:ascii="宋体" w:hAnsi="宋体" w:cs="宋体"/>
                <w:b w:val="0"/>
                <w:bCs w:val="0"/>
                <w:color w:val="000000"/>
                <w:kern w:val="2"/>
                <w:sz w:val="21"/>
                <w:szCs w:val="21"/>
                <w:highlight w:val="none"/>
                <w:u w:color="000000"/>
                <w:lang w:val="en-US" w:eastAsia="zh-CN" w:bidi="ar"/>
              </w:rPr>
              <w:t>6</w:t>
            </w:r>
            <w:r>
              <w:rPr>
                <w:rFonts w:hint="eastAsia" w:ascii="宋体" w:hAnsi="宋体" w:eastAsia="宋体" w:cs="宋体"/>
                <w:b w:val="0"/>
                <w:bCs w:val="0"/>
                <w:color w:val="000000"/>
                <w:kern w:val="2"/>
                <w:sz w:val="21"/>
                <w:szCs w:val="21"/>
                <w:highlight w:val="none"/>
                <w:u w:color="000000"/>
                <w:lang w:val="en-US" w:eastAsia="zh-CN" w:bidi="ar"/>
              </w:rPr>
              <w:t>年</w:t>
            </w:r>
            <w:r>
              <w:rPr>
                <w:rFonts w:hint="eastAsia" w:ascii="宋体" w:hAnsi="宋体" w:cs="宋体"/>
                <w:b w:val="0"/>
                <w:bCs w:val="0"/>
                <w:color w:val="000000"/>
                <w:kern w:val="2"/>
                <w:sz w:val="21"/>
                <w:szCs w:val="21"/>
                <w:highlight w:val="none"/>
                <w:u w:color="000000"/>
                <w:lang w:val="en-US" w:eastAsia="zh-CN" w:bidi="ar"/>
              </w:rPr>
              <w:t>9</w:t>
            </w:r>
            <w:r>
              <w:rPr>
                <w:rFonts w:hint="eastAsia" w:ascii="宋体" w:hAnsi="宋体" w:eastAsia="宋体" w:cs="宋体"/>
                <w:b w:val="0"/>
                <w:bCs w:val="0"/>
                <w:color w:val="000000"/>
                <w:kern w:val="2"/>
                <w:sz w:val="21"/>
                <w:szCs w:val="21"/>
                <w:highlight w:val="none"/>
                <w:u w:color="000000"/>
                <w:lang w:val="en-US" w:eastAsia="zh-CN" w:bidi="ar"/>
              </w:rPr>
              <w:t>月14日17时后以澄清公告形式在滁州市滁宁城际铁路开发建设有限公司网站http://www.czctgs.cn；中国采购与招标网http://chinabidding.com.cn；中国招投标网http://www.infobidding.com；e车网http://www.ecrrc.com；滁州市城投工程咨询管理有限公司网站</w:t>
            </w:r>
            <w:r>
              <w:rPr>
                <w:rFonts w:hint="eastAsia" w:ascii="宋体" w:hAnsi="宋体" w:cs="宋体"/>
                <w:b w:val="0"/>
                <w:bCs w:val="0"/>
                <w:color w:val="000000"/>
                <w:kern w:val="2"/>
                <w:sz w:val="21"/>
                <w:szCs w:val="21"/>
                <w:highlight w:val="none"/>
                <w:u w:color="000000"/>
                <w:lang w:val="en-US" w:eastAsia="zh-CN" w:bidi="ar"/>
              </w:rPr>
              <w:t>https://www.czctgczx.com/</w:t>
            </w:r>
            <w:r>
              <w:rPr>
                <w:rFonts w:hint="eastAsia" w:ascii="宋体" w:hAnsi="宋体" w:eastAsia="宋体" w:cs="宋体"/>
                <w:b w:val="0"/>
                <w:bCs w:val="0"/>
                <w:color w:val="000000"/>
                <w:kern w:val="2"/>
                <w:sz w:val="21"/>
                <w:szCs w:val="21"/>
                <w:highlight w:val="none"/>
                <w:u w:color="000000"/>
                <w:lang w:val="en-US" w:eastAsia="zh-CN" w:bidi="ar"/>
              </w:rPr>
              <w:t>发布，但不指明澄清问题的来源。如果澄清内容影响投标文件编制的，将相应延长投标截止时间。</w:t>
            </w:r>
          </w:p>
        </w:tc>
      </w:tr>
      <w:tr w14:paraId="355789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9B4C15">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44A6E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F870BC0">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664E9E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2DBFDC">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cs="Times New Roman"/>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46DF3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rPr>
            </w:pPr>
            <w:r>
              <w:rPr>
                <w:rFonts w:hint="eastAsia" w:ascii="宋体" w:hAnsi="宋体" w:eastAsia="宋体" w:cs="宋体"/>
                <w:color w:val="auto"/>
                <w:sz w:val="21"/>
                <w:szCs w:val="21"/>
                <w:highlight w:val="none"/>
              </w:rPr>
              <w:t>发布公告的媒介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016F1E">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滁州市滁宁城际铁路开发建设有限公司网站http://www.czctgs.cn；</w:t>
            </w:r>
          </w:p>
          <w:p w14:paraId="5243A68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中国采购与招标网http://chinabidding.com.cn；</w:t>
            </w:r>
          </w:p>
          <w:p w14:paraId="1A6329B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中国招投标网http://www.infobidding.com；</w:t>
            </w:r>
          </w:p>
          <w:p w14:paraId="7BD27C50">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e车网</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"http://www.ecrrc.com" </w:instrText>
            </w:r>
            <w:r>
              <w:rPr>
                <w:rFonts w:hint="eastAsia" w:ascii="Times New Roman" w:hAnsi="Times New Roman" w:eastAsia="宋体" w:cs="Times New Roman"/>
                <w:highlight w:val="none"/>
                <w:lang w:val="en-US" w:eastAsia="zh-CN"/>
              </w:rPr>
              <w:fldChar w:fldCharType="separate"/>
            </w:r>
            <w:r>
              <w:rPr>
                <w:rStyle w:val="33"/>
                <w:rFonts w:hint="eastAsia" w:ascii="Times New Roman" w:hAnsi="Times New Roman" w:eastAsia="宋体" w:cs="Times New Roman"/>
                <w:highlight w:val="none"/>
                <w:lang w:val="en-US" w:eastAsia="zh-CN"/>
              </w:rPr>
              <w:t>http://www.ecrrc.com</w:t>
            </w:r>
            <w:r>
              <w:rPr>
                <w:rFonts w:hint="eastAsia" w:ascii="Times New Roman" w:hAnsi="Times New Roman" w:eastAsia="宋体" w:cs="Times New Roman"/>
                <w:highlight w:val="none"/>
                <w:lang w:val="en-US" w:eastAsia="zh-CN"/>
              </w:rPr>
              <w:fldChar w:fldCharType="end"/>
            </w:r>
          </w:p>
          <w:p w14:paraId="49D5ED2C">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中国招标公共服务平台http://www.cebpubservice.com；</w:t>
            </w:r>
          </w:p>
          <w:p w14:paraId="745A9A39">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安徽省招标投标信息网www.ahtba.org.cn；</w:t>
            </w:r>
          </w:p>
          <w:p w14:paraId="50F43822">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rPr>
            </w:pPr>
            <w:r>
              <w:rPr>
                <w:rFonts w:hint="eastAsia" w:ascii="Times New Roman" w:hAnsi="Times New Roman" w:eastAsia="宋体" w:cs="Times New Roman"/>
                <w:highlight w:val="none"/>
                <w:lang w:val="en-US" w:eastAsia="zh-CN"/>
              </w:rPr>
              <w:t>滁州市城投工程咨询管理有限公司https://www.czctgczx.com/</w:t>
            </w:r>
          </w:p>
        </w:tc>
      </w:tr>
      <w:tr w14:paraId="21D70D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FA22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7A40B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代理服务费金额：3000元。</w:t>
            </w:r>
          </w:p>
          <w:p w14:paraId="060EAA5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5B817C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CD096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732F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B50F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1A8046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1D74DE">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E0751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665A573">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3</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071414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8A386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066C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7B9A7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szCs w:val="21"/>
                <w:highlight w:val="none"/>
                <w:u w:color="000000"/>
                <w:lang w:val="en-US" w:eastAsia="zh-CN" w:bidi="ar"/>
              </w:rPr>
              <w:t>详见招标公告</w:t>
            </w:r>
          </w:p>
        </w:tc>
      </w:tr>
      <w:tr w14:paraId="3DF22A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6AF0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94C9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62AE54">
            <w:pPr>
              <w:pStyle w:val="6"/>
              <w:keepNext w:val="0"/>
              <w:keepLines w:val="0"/>
              <w:pageBreakBefore w:val="0"/>
              <w:widowControl/>
              <w:kinsoku/>
              <w:wordWrap w:val="0"/>
              <w:overflowPunct/>
              <w:topLinePunct w:val="0"/>
              <w:autoSpaceDE/>
              <w:autoSpaceDN/>
              <w:bidi w:val="0"/>
              <w:adjustRightInd/>
              <w:snapToGrid/>
              <w:spacing w:line="360" w:lineRule="exact"/>
              <w:ind w:left="0" w:leftChars="0" w:firstLine="0" w:firstLineChars="0"/>
              <w:textAlignment w:val="auto"/>
              <w:rPr>
                <w:rFonts w:hint="eastAsia" w:ascii="Times New Roman" w:hAnsi="Times New Roman" w:eastAsia="宋体" w:cs="Times New Roman"/>
                <w:highlight w:val="none"/>
                <w:lang w:val="en-US" w:eastAsia="zh-CN"/>
              </w:rPr>
            </w:pPr>
            <w:r>
              <w:rPr>
                <w:rFonts w:hint="eastAsia"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Times New Roman" w:hAnsi="Times New Roman" w:eastAsia="宋体" w:cs="Times New Roman"/>
                <w:highlight w:val="none"/>
                <w:lang w:val="en-US" w:eastAsia="zh-CN"/>
              </w:rPr>
              <w:t>。</w:t>
            </w:r>
          </w:p>
          <w:p w14:paraId="51B6CC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546468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9C9EC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EC6D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B6EEAE">
            <w:pPr>
              <w:keepNext w:val="0"/>
              <w:keepLines w:val="0"/>
              <w:pageBreakBefore w:val="0"/>
              <w:suppressLineNumbers w:val="0"/>
              <w:kinsoku/>
              <w:wordWrap w:val="0"/>
              <w:overflowPunct/>
              <w:topLinePunct w:val="0"/>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szCs w:val="21"/>
                <w:highlight w:val="none"/>
              </w:rPr>
              <w:t>在202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21</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时00分（北京时间）</w:t>
            </w:r>
          </w:p>
        </w:tc>
      </w:tr>
      <w:tr w14:paraId="3A27DD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30074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0162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B890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8D82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9B867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20F82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972E45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w:t>
            </w: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21</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w:t>
            </w:r>
            <w:r>
              <w:rPr>
                <w:rFonts w:hint="eastAsia" w:ascii="宋体" w:hAnsi="宋体" w:eastAsia="宋体" w:cs="宋体"/>
                <w:color w:val="000000"/>
                <w:kern w:val="2"/>
                <w:sz w:val="21"/>
                <w:szCs w:val="21"/>
                <w:highlight w:val="none"/>
                <w:u w:color="000000"/>
                <w:lang w:val="en-US" w:eastAsia="zh-CN" w:bidi="ar"/>
              </w:rPr>
              <w:t>（北京时间）</w:t>
            </w:r>
          </w:p>
          <w:p w14:paraId="7D5F050E">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imes New Roman" w:hAnsi="Times New Roman" w:eastAsia="宋体" w:cs="Times New Roman"/>
                <w:highlight w:val="none"/>
                <w:lang w:val="en-US" w:eastAsia="zh-CN"/>
              </w:rPr>
            </w:pPr>
            <w:r>
              <w:rPr>
                <w:rFonts w:hint="eastAsia" w:ascii="宋体" w:hAnsi="宋体" w:eastAsia="宋体" w:cs="宋体"/>
                <w:color w:val="auto"/>
                <w:szCs w:val="21"/>
                <w:highlight w:val="none"/>
                <w:lang w:val="en-US" w:eastAsia="zh-CN"/>
              </w:rPr>
              <w:t>方式：</w:t>
            </w:r>
            <w:r>
              <w:rPr>
                <w:rFonts w:hint="eastAsia" w:ascii="Times New Roman" w:hAnsi="Times New Roman" w:eastAsia="宋体" w:cs="Times New Roman"/>
                <w:highlight w:val="none"/>
                <w:lang w:val="en-US" w:eastAsia="zh-CN"/>
              </w:rPr>
              <w:t>采用不见面开标，投标人登录滁州市城投工程咨询有限公司不见面开标系统参与网上开标（网址：</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"http://js.etrading.cn/EpointBidOpening/bidopeninghallaction/hall/login）。" </w:instrText>
            </w:r>
            <w:r>
              <w:rPr>
                <w:rFonts w:hint="eastAsia" w:ascii="Times New Roman" w:hAnsi="Times New Roman" w:eastAsia="宋体" w:cs="Times New Roman"/>
                <w:highlight w:val="none"/>
                <w:lang w:val="en-US" w:eastAsia="zh-CN"/>
              </w:rPr>
              <w:fldChar w:fldCharType="separate"/>
            </w:r>
            <w:r>
              <w:rPr>
                <w:rStyle w:val="33"/>
                <w:rFonts w:hint="eastAsia" w:ascii="Times New Roman" w:hAnsi="Times New Roman" w:eastAsia="宋体" w:cs="Times New Roman"/>
                <w:highlight w:val="none"/>
                <w:lang w:val="en-US" w:eastAsia="zh-CN"/>
              </w:rPr>
              <w:t>http://js.etrading.cn/EpointBidOpening/bidopeninghallaction/hall/login）。</w:t>
            </w:r>
            <w:r>
              <w:rPr>
                <w:rFonts w:hint="eastAsia" w:ascii="Times New Roman" w:hAnsi="Times New Roman" w:eastAsia="宋体" w:cs="Times New Roman"/>
                <w:highlight w:val="none"/>
                <w:lang w:val="en-US" w:eastAsia="zh-CN"/>
              </w:rPr>
              <w:fldChar w:fldCharType="end"/>
            </w:r>
          </w:p>
          <w:p w14:paraId="00B463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auto"/>
                <w:szCs w:val="21"/>
                <w:highlight w:val="none"/>
                <w:lang w:val="en-US" w:eastAsia="zh-CN"/>
              </w:rPr>
              <w:t>解密时间：投标人须</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 xml:space="preserve"> 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21</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single"/>
                <w:lang w:eastAsia="zh-CN"/>
              </w:rPr>
              <w:t>时</w:t>
            </w:r>
            <w:r>
              <w:rPr>
                <w:rFonts w:hint="eastAsia" w:ascii="宋体" w:hAnsi="宋体" w:eastAsia="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color w:val="auto"/>
                <w:szCs w:val="21"/>
                <w:highlight w:val="none"/>
                <w:u w:val="single"/>
                <w:lang w:val="en-US" w:eastAsia="zh-CN"/>
              </w:rPr>
              <w:t>至2026年9月21日15</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u w:val="single"/>
                <w:lang w:val="en-US" w:eastAsia="zh-CN"/>
              </w:rPr>
              <w:t>解密；未在规定时间内完成解密的，退回其投标文件；如有因系统因系统原因造成的故障，代理机构可申请延迟解密时间。</w:t>
            </w:r>
          </w:p>
        </w:tc>
      </w:tr>
      <w:tr w14:paraId="28BDBF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C6933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DB65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60AA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由代理机构开启电子投标文件，报评标委员会评审。</w:t>
            </w:r>
          </w:p>
        </w:tc>
      </w:tr>
      <w:tr w14:paraId="77959C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835A0C">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1DBB284">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6EE8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0E5E44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51AD1B">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42828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2500F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default" w:ascii="宋体" w:hAnsi="宋体" w:eastAsia="宋体" w:cs="宋体"/>
                <w:color w:val="000000"/>
                <w:kern w:val="2"/>
                <w:sz w:val="21"/>
                <w:szCs w:val="21"/>
                <w:highlight w:val="none"/>
                <w:u w:color="000000"/>
                <w:lang w:val="en-US" w:eastAsia="zh-CN" w:bidi="ar"/>
              </w:rPr>
              <w:t>3名，并标明排序。</w:t>
            </w:r>
          </w:p>
        </w:tc>
      </w:tr>
      <w:tr w14:paraId="006AA6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0BF5206">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A02EBD">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5CE1E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7F5DF6CA">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649CC9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C0510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95F7A1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6034B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392224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6537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FF0A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E876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要求中标人提交履约</w:t>
            </w:r>
            <w:r>
              <w:rPr>
                <w:rFonts w:hint="eastAsia" w:ascii="宋体" w:hAnsi="宋体" w:eastAsia="宋体" w:cs="宋体"/>
                <w:color w:val="auto"/>
                <w:highlight w:val="none"/>
                <w:lang w:val="en-US" w:eastAsia="zh-CN"/>
              </w:rPr>
              <w:t>担保</w:t>
            </w:r>
            <w:r>
              <w:rPr>
                <w:rFonts w:hint="eastAsia" w:ascii="宋体" w:hAnsi="宋体" w:eastAsia="宋体" w:cs="宋体"/>
                <w:color w:val="auto"/>
                <w:highlight w:val="none"/>
              </w:rPr>
              <w:t>。</w:t>
            </w:r>
          </w:p>
          <w:p w14:paraId="57357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形式：支持银行转账、银行电汇、银行保函、担保机构担保、保证保险使用。</w:t>
            </w:r>
          </w:p>
          <w:p w14:paraId="5E79BA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金额：中标合同金额×</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%，取整到千位；</w:t>
            </w:r>
          </w:p>
          <w:p w14:paraId="6AAF13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收款单位：另行通知                  </w:t>
            </w:r>
          </w:p>
          <w:p w14:paraId="586D23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开户银行：另行通知                 </w:t>
            </w:r>
          </w:p>
          <w:p w14:paraId="4358EE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银行账号：另行通知  </w:t>
            </w:r>
          </w:p>
          <w:p w14:paraId="19B8CE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缴纳时限：中标人须在中标通知书发出后30日内完成履约</w:t>
            </w:r>
            <w:r>
              <w:rPr>
                <w:rFonts w:hint="eastAsia" w:ascii="宋体" w:hAnsi="宋体" w:eastAsia="宋体" w:cs="宋体"/>
                <w:color w:val="auto"/>
                <w:highlight w:val="none"/>
                <w:lang w:val="en-US" w:eastAsia="zh-CN"/>
              </w:rPr>
              <w:t>担保</w:t>
            </w:r>
            <w:r>
              <w:rPr>
                <w:rFonts w:hint="eastAsia" w:ascii="宋体" w:hAnsi="宋体" w:eastAsia="宋体" w:cs="宋体"/>
                <w:color w:val="auto"/>
                <w:highlight w:val="none"/>
              </w:rPr>
              <w:t xml:space="preserve">缴纳及合同签订，如未按期交齐履约保证金或未按期签订合同的，视同放弃中标资格，招标人将扣除投标保证金。履约保证金按要求缴纳的，自合同签订之日起5个工作日内退还中标人的投标保证金。 </w:t>
            </w:r>
          </w:p>
          <w:p w14:paraId="32E044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退还时限：</w:t>
            </w:r>
            <w:r>
              <w:rPr>
                <w:rFonts w:hint="eastAsia" w:ascii="宋体" w:hAnsi="宋体" w:eastAsia="宋体" w:cs="宋体"/>
                <w:color w:val="auto"/>
                <w:highlight w:val="none"/>
                <w:lang w:val="en-US" w:eastAsia="zh-CN"/>
              </w:rPr>
              <w:t>中标人在本合同约定的服务期限届满并经招标人验收合格后30日内办理履约保证金（或履约保函）退还手续</w:t>
            </w:r>
            <w:r>
              <w:rPr>
                <w:rFonts w:hint="eastAsia" w:ascii="宋体" w:hAnsi="宋体" w:eastAsia="宋体" w:cs="宋体"/>
                <w:color w:val="auto"/>
                <w:highlight w:val="none"/>
              </w:rPr>
              <w:t>。</w:t>
            </w:r>
          </w:p>
          <w:p w14:paraId="4767AA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其他相关要求：</w:t>
            </w:r>
          </w:p>
          <w:p w14:paraId="3BBD9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1、采用银行保函的具体要求</w:t>
            </w:r>
          </w:p>
          <w:p w14:paraId="3941F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①保函形式须为见索即付型（无条件保函）；</w:t>
            </w:r>
          </w:p>
          <w:p w14:paraId="2926F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②须经招标人认可。</w:t>
            </w:r>
          </w:p>
          <w:p w14:paraId="227AEF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2、采用担保保函的具体要求：须经招标人认可。</w:t>
            </w:r>
          </w:p>
          <w:p w14:paraId="248F6B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3、采用商业保险的具体要求：须经招标人认可。</w:t>
            </w:r>
          </w:p>
          <w:p w14:paraId="38511B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highlight w:val="none"/>
              </w:rPr>
              <w:t>4、采用第三方担保的具体要求：须经招标人认可。</w:t>
            </w:r>
          </w:p>
        </w:tc>
      </w:tr>
      <w:tr w14:paraId="1D74C7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76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22B08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074A5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按年度付款。</w:t>
            </w:r>
            <w:r>
              <w:rPr>
                <w:rFonts w:hint="eastAsia" w:ascii="宋体" w:hAnsi="宋体" w:eastAsia="宋体" w:cs="宋体"/>
                <w:highlight w:val="none"/>
                <w:lang w:val="en-US" w:eastAsia="zh-CN"/>
              </w:rPr>
              <w:t>中标人</w:t>
            </w:r>
            <w:r>
              <w:rPr>
                <w:rFonts w:hint="eastAsia" w:ascii="宋体" w:hAnsi="宋体" w:eastAsia="宋体" w:cs="宋体"/>
                <w:color w:val="000000"/>
                <w:kern w:val="2"/>
                <w:sz w:val="21"/>
                <w:szCs w:val="21"/>
                <w:highlight w:val="none"/>
                <w:u w:color="000000"/>
                <w:lang w:val="en-US" w:eastAsia="zh-CN" w:bidi="ar"/>
              </w:rPr>
              <w:t>提交付款申请、防雷检测报告及专家评审报告，</w:t>
            </w:r>
            <w:r>
              <w:rPr>
                <w:rFonts w:hint="eastAsia" w:ascii="宋体" w:hAnsi="宋体" w:eastAsia="宋体" w:cs="宋体"/>
                <w:highlight w:val="none"/>
                <w:lang w:val="en-US" w:eastAsia="zh-CN"/>
              </w:rPr>
              <w:t>招标人</w:t>
            </w:r>
            <w:r>
              <w:rPr>
                <w:rFonts w:hint="eastAsia" w:ascii="宋体" w:hAnsi="宋体" w:eastAsia="宋体" w:cs="宋体"/>
                <w:color w:val="000000"/>
                <w:kern w:val="2"/>
                <w:sz w:val="21"/>
                <w:szCs w:val="21"/>
                <w:highlight w:val="none"/>
                <w:u w:color="000000"/>
                <w:lang w:val="en-US" w:eastAsia="zh-CN" w:bidi="ar"/>
              </w:rPr>
              <w:t>审核验收合格后并按合同约定扣除索赔款项、违约金等，于【90】天内向</w:t>
            </w:r>
            <w:r>
              <w:rPr>
                <w:rFonts w:hint="eastAsia" w:ascii="宋体" w:hAnsi="宋体" w:eastAsia="宋体" w:cs="宋体"/>
                <w:highlight w:val="none"/>
                <w:lang w:val="en-US" w:eastAsia="zh-CN"/>
              </w:rPr>
              <w:t>中标人</w:t>
            </w:r>
            <w:r>
              <w:rPr>
                <w:rFonts w:hint="eastAsia" w:ascii="宋体" w:hAnsi="宋体" w:eastAsia="宋体" w:cs="宋体"/>
                <w:color w:val="000000"/>
                <w:kern w:val="2"/>
                <w:sz w:val="21"/>
                <w:szCs w:val="21"/>
                <w:highlight w:val="none"/>
                <w:u w:color="000000"/>
                <w:lang w:val="en-US" w:eastAsia="zh-CN" w:bidi="ar"/>
              </w:rPr>
              <w:t>支付本年度的结算款。</w:t>
            </w:r>
          </w:p>
        </w:tc>
      </w:tr>
      <w:tr w14:paraId="26C05C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90A32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67026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详见招标公告内容</w:t>
            </w:r>
          </w:p>
        </w:tc>
      </w:tr>
      <w:tr w14:paraId="5D5F62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9E345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5FA0E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4A67191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3C35B78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6FF6BAA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5D8C93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B5AB2D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15998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50743B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486B650">
            <w:pPr>
              <w:keepNext w:val="0"/>
              <w:keepLines w:val="0"/>
              <w:pageBreakBefore w:val="0"/>
              <w:suppressLineNumbers w:val="0"/>
              <w:kinsoku/>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CE6068">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jc w:val="left"/>
              <w:textAlignment w:val="auto"/>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79A82E17">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jc w:val="left"/>
              <w:textAlignment w:val="auto"/>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37C73B4C">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szCs w:val="21"/>
                <w:highlight w:val="none"/>
              </w:rPr>
              <w:t>3、本项目严禁非法转包，一经发现，招标人依法处理。</w:t>
            </w:r>
          </w:p>
        </w:tc>
      </w:tr>
      <w:tr w14:paraId="04634B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51A790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宋体" w:cs="宋体"/>
                <w:sz w:val="21"/>
                <w:szCs w:val="21"/>
                <w:highlight w:val="none"/>
                <w:lang w:val="en-US" w:eastAsia="zh-CN"/>
              </w:rPr>
              <w:t>重要说明</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B1753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请于公告发布之日起从滁州市城投工程咨询管理有限公司网站（https://www.czctgczx.com/），点击项目招标公告下方【我要投标】，登录新点电子交易平台后在【滁州专区】（https://www.etrading.cn/BREpointSSO/login/oauth2login?regioncode=DQ_ChuZhou）下载本项目招标文件。投标人自行承担因未按要求获取招标文件导致无法上传电子投标文件的风险。</w:t>
            </w:r>
          </w:p>
          <w:p w14:paraId="2E66151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7641EF1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3.投标人登录新点电子交易平台【滁州专区】获取招标文件及其它资料（含澄清和补充说明等）。如在招标文件获取过程中遇到系统问题，请拨打技术支持服务热线0512-58151515或者网站首页在线客服。</w:t>
            </w:r>
          </w:p>
          <w:p w14:paraId="47DF65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4.本项目采用不见面开标，投标人登录滁州市城投工程咨询有限公司不见面开标系统参与网上开标（网址：http://js.etrading.cn/EpointBidOpening/bidopeninghallaction/hall/login）。</w:t>
            </w:r>
          </w:p>
          <w:p w14:paraId="030ED2F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5.投标人应在投标截止时间之前，登录新点电子交易平台【滁州专区】上传投标文件。投标人逾期上传投标文件的，电子系统不予受理。</w:t>
            </w:r>
          </w:p>
          <w:p w14:paraId="6118BF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6.投标人的联系人电话(手机)、电子邮箱等通讯方式在开标过程中必须保持畅通，否则因上述原因造成的后果，责任自负。</w:t>
            </w:r>
          </w:p>
          <w:p w14:paraId="4E9723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本项目采用电子招投标方式，请投标人在“新点电子交易平台”常用下载专区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5FF91EF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8.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tc>
      </w:tr>
    </w:tbl>
    <w:p w14:paraId="752F1EAD">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2A89731C">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C9F9181">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222697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2D3FD6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4715ABA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97037C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024037B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3D00019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1.2招标人及联系人：见投标人须知前附表。</w:t>
      </w:r>
    </w:p>
    <w:p w14:paraId="0C845300">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代理机构及联系人：见投标人须知前附表。</w:t>
      </w:r>
    </w:p>
    <w:p w14:paraId="0FCC341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6C4144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5477E10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114D7C4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7E7A306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48306A2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08BCA2D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174B702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6919B4C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3B57CFB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73D4B86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07C00D40">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w:t>
      </w:r>
    </w:p>
    <w:p w14:paraId="5ADB9D8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4166E9B">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544969D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5A6E453E">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4D08B9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132CF468">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0A5A55E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247513962"/>
      <w:bookmarkEnd w:id="22"/>
      <w:bookmarkStart w:id="23" w:name="_Toc296602429"/>
      <w:bookmarkEnd w:id="23"/>
      <w:bookmarkStart w:id="24" w:name="_Toc152042315"/>
      <w:bookmarkEnd w:id="24"/>
      <w:bookmarkStart w:id="25" w:name="_Toc144974507"/>
      <w:bookmarkEnd w:id="25"/>
      <w:bookmarkStart w:id="26" w:name="_Toc247527563"/>
      <w:bookmarkEnd w:id="26"/>
      <w:bookmarkStart w:id="27" w:name="_Toc152045539"/>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13D32A3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6BDA6D2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5277131B">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64216E5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0B4B7380">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BB0D83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46D3C1EE">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0B2BE75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4AB67FD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4D1CCF4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68B3AB0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4AE268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1931A90E">
      <w:pPr>
        <w:spacing w:line="360" w:lineRule="auto"/>
        <w:ind w:firstLine="420" w:firstLineChars="200"/>
        <w:rPr>
          <w:rFonts w:hint="eastAsia"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F5014BD">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2C719A33">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3DBA4077">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90EDEA8">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7230508F">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1B13F2DC">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65B13A67">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0DB23E1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DF2508B">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C13CED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37FDD6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6A0B8E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759F945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7B136DE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4599D6C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7117930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7A61EC0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74AD0D4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2A3B4D1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07C2A0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35A416A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1936AAE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57A964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1CCA465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74C14B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17.招标文件的澄清</w:t>
      </w:r>
    </w:p>
    <w:p w14:paraId="47165EF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17</w:t>
      </w:r>
      <w:r>
        <w:rPr>
          <w:rFonts w:hint="eastAsia" w:ascii="宋体" w:hAnsi="宋体" w:cs="宋体"/>
          <w:szCs w:val="21"/>
          <w:highlight w:val="none"/>
        </w:rPr>
        <w:t>.1 投标人应仔细阅读和检查招标文件的全部内容。如有疑问，应在投标人须知前附表规定的时间前</w:t>
      </w:r>
      <w:r>
        <w:rPr>
          <w:rFonts w:hint="eastAsia" w:ascii="宋体" w:hAnsi="宋体" w:eastAsia="宋体" w:cs="宋体"/>
          <w:color w:val="auto"/>
          <w:szCs w:val="21"/>
          <w:highlight w:val="none"/>
          <w:lang w:val="en-US" w:eastAsia="zh-CN"/>
        </w:rPr>
        <w:t>登录新点电子交易平台【滁州专区】线上提出，</w:t>
      </w:r>
      <w:r>
        <w:rPr>
          <w:rFonts w:hint="eastAsia" w:ascii="宋体" w:hAnsi="宋体" w:cs="宋体"/>
          <w:szCs w:val="21"/>
          <w:highlight w:val="none"/>
        </w:rPr>
        <w:t>要求招标人对招标文件予以澄清。</w:t>
      </w:r>
    </w:p>
    <w:p w14:paraId="387EA73C">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lang w:val="en-US" w:eastAsia="zh-CN"/>
        </w:rPr>
        <w:t>17</w:t>
      </w:r>
      <w:r>
        <w:rPr>
          <w:rFonts w:hint="eastAsia" w:ascii="宋体" w:hAnsi="宋体" w:cs="宋体"/>
          <w:szCs w:val="21"/>
          <w:highlight w:val="none"/>
        </w:rPr>
        <w:t>.2 招标文件的澄清将在滁州市滁宁城际铁路开发建设有限公司网站http://www.czctgs.cn；中国采购与招标网http://chinabidding.com.cn；中国招投标网http://www.infobidding.com；e车网http://www.ecrrc.com</w:t>
      </w:r>
      <w:r>
        <w:rPr>
          <w:rFonts w:hint="eastAsia" w:ascii="宋体" w:hAnsi="宋体" w:cs="宋体"/>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cs="宋体"/>
          <w:szCs w:val="21"/>
          <w:highlight w:val="none"/>
        </w:rPr>
        <w:t xml:space="preserve">发布，但不指明澄清问题的来源。如果澄清发出的时间距投标人须知前附表规定的投标截止时间不足15天，并且澄清内容影响投标文件编制的，将相应延长投标截止时间。 </w:t>
      </w:r>
    </w:p>
    <w:p w14:paraId="272FFBD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18.招标文件的修改</w:t>
      </w:r>
    </w:p>
    <w:p w14:paraId="52844B25">
      <w:pPr>
        <w:spacing w:line="440" w:lineRule="exact"/>
        <w:ind w:firstLine="420" w:firstLineChars="200"/>
        <w:jc w:val="left"/>
        <w:rPr>
          <w:rFonts w:ascii="宋体" w:hAnsi="宋体" w:cs="宋体"/>
          <w:szCs w:val="21"/>
          <w:highlight w:val="none"/>
        </w:rPr>
      </w:pPr>
      <w:bookmarkStart w:id="31" w:name="_Toc1549_WPSOffice_Level3"/>
      <w:bookmarkEnd w:id="31"/>
      <w:bookmarkStart w:id="32" w:name="_Toc9710"/>
      <w:r>
        <w:rPr>
          <w:rFonts w:hint="eastAsia" w:ascii="宋体" w:hAnsi="宋体" w:eastAsia="宋体" w:cs="宋体"/>
          <w:bCs/>
          <w:color w:val="000000"/>
          <w:kern w:val="0"/>
          <w:sz w:val="21"/>
          <w:szCs w:val="21"/>
          <w:highlight w:val="none"/>
          <w:u w:color="000000"/>
          <w:lang w:val="en-US" w:eastAsia="zh-CN" w:bidi="ar"/>
        </w:rPr>
        <w:t>18.1</w:t>
      </w:r>
      <w:r>
        <w:rPr>
          <w:rFonts w:hint="eastAsia" w:ascii="宋体" w:hAnsi="宋体" w:cs="宋体"/>
          <w:szCs w:val="21"/>
          <w:highlight w:val="none"/>
        </w:rPr>
        <w:t>招标人可以修改招标文件，并以澄清的方式在滁州市滁宁城际铁路开发建设有限公司网站http://www.czctgs.cn；中国采购与招标网http://chinabidding.com.cn；中国招投标网http://www.infobidding.com；e车网http://www.ecrrc.com</w:t>
      </w:r>
      <w:r>
        <w:rPr>
          <w:rFonts w:hint="eastAsia" w:ascii="宋体" w:hAnsi="宋体" w:cs="宋体"/>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cs="宋体"/>
          <w:szCs w:val="21"/>
          <w:highlight w:val="none"/>
        </w:rPr>
        <w:t>发布。但如果修改内容影响投标文件编制的，将相应延长投标截止时间。</w:t>
      </w:r>
    </w:p>
    <w:p w14:paraId="2B61BE0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19.样品</w:t>
      </w:r>
      <w:bookmarkEnd w:id="32"/>
    </w:p>
    <w:p w14:paraId="0E75917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7F9C1268">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6BBD18A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76BCB88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3ADDA8F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24FB06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213DD7D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21.1投标文件的组成</w:t>
      </w:r>
    </w:p>
    <w:p w14:paraId="458D520D">
      <w:pPr>
        <w:spacing w:line="440" w:lineRule="exact"/>
        <w:ind w:firstLine="420" w:firstLineChars="200"/>
        <w:jc w:val="left"/>
        <w:rPr>
          <w:rFonts w:hint="default"/>
          <w:highlight w:val="none"/>
          <w:lang w:val="en-US" w:eastAsia="zh-CN"/>
        </w:rPr>
      </w:pPr>
      <w:r>
        <w:rPr>
          <w:rFonts w:hint="eastAsia" w:ascii="宋体" w:hAnsi="宋体" w:cs="宋体"/>
          <w:szCs w:val="21"/>
          <w:highlight w:val="none"/>
        </w:rPr>
        <w:t>具体要求详见本招标文件第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w:t>
      </w:r>
    </w:p>
    <w:p w14:paraId="737C25F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79914AB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投标文件应按第七章“投标文件格式”进行编写，如有必要，可以增加附页，作为投标文件的组成部分。</w:t>
      </w:r>
    </w:p>
    <w:p w14:paraId="475B325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B57D53A">
      <w:pPr>
        <w:spacing w:line="400" w:lineRule="exact"/>
        <w:ind w:firstLine="403" w:firstLineChars="192"/>
        <w:rPr>
          <w:rFonts w:hint="eastAsia" w:ascii="宋体"/>
          <w:szCs w:val="21"/>
          <w:highlight w:val="none"/>
        </w:rPr>
      </w:pPr>
      <w:r>
        <w:rPr>
          <w:rFonts w:hint="eastAsia" w:ascii="宋体"/>
          <w:szCs w:val="21"/>
          <w:highlight w:val="none"/>
        </w:rPr>
        <w:t>22.1</w:t>
      </w:r>
      <w:r>
        <w:rPr>
          <w:rFonts w:hint="eastAsia" w:ascii="宋体"/>
          <w:color w:val="000000"/>
          <w:szCs w:val="21"/>
          <w:highlight w:val="none"/>
        </w:rPr>
        <w:t>投标报价文件中的单价和总价全部采用人民币表示。投标人的报价应含有</w:t>
      </w:r>
      <w:r>
        <w:rPr>
          <w:rFonts w:hint="eastAsia" w:ascii="宋体"/>
          <w:color w:val="000000"/>
          <w:szCs w:val="21"/>
          <w:highlight w:val="none"/>
          <w:lang w:val="en-US" w:eastAsia="zh-CN"/>
        </w:rPr>
        <w:t>服务</w:t>
      </w:r>
      <w:r>
        <w:rPr>
          <w:rFonts w:hint="eastAsia" w:ascii="宋体"/>
          <w:color w:val="000000"/>
          <w:szCs w:val="21"/>
          <w:highlight w:val="none"/>
        </w:rPr>
        <w:t>、利润、税金、政策性文件规定及合同包含的所有风险、责任、义务等，即为完成招标文件要求的</w:t>
      </w:r>
      <w:r>
        <w:rPr>
          <w:rFonts w:hint="eastAsia" w:ascii="宋体"/>
          <w:color w:val="000000"/>
          <w:szCs w:val="21"/>
          <w:highlight w:val="none"/>
          <w:lang w:val="en-US" w:eastAsia="zh-CN"/>
        </w:rPr>
        <w:t>服务</w:t>
      </w:r>
      <w:r>
        <w:rPr>
          <w:rFonts w:hint="eastAsia" w:ascii="宋体"/>
          <w:color w:val="000000"/>
          <w:szCs w:val="21"/>
          <w:highlight w:val="none"/>
        </w:rPr>
        <w:t>内容所包含的一切应有费用，</w:t>
      </w:r>
      <w:r>
        <w:rPr>
          <w:rFonts w:hint="eastAsia" w:ascii="宋体" w:hAnsi="宋体" w:eastAsia="宋体" w:cs="Times New Roman"/>
          <w:color w:val="000000"/>
          <w:szCs w:val="21"/>
          <w:highlight w:val="none"/>
          <w:lang w:val="en-US" w:eastAsia="zh-CN"/>
        </w:rPr>
        <w:t>中标价格除合同约定调整内容以外的</w:t>
      </w:r>
      <w:r>
        <w:rPr>
          <w:rFonts w:hint="eastAsia" w:ascii="宋体" w:hAnsi="宋体" w:eastAsia="宋体" w:cs="Times New Roman"/>
          <w:color w:val="000000"/>
          <w:szCs w:val="21"/>
          <w:highlight w:val="none"/>
        </w:rPr>
        <w:t>今后将不作任何调整</w:t>
      </w:r>
      <w:r>
        <w:rPr>
          <w:rFonts w:hint="eastAsia" w:ascii="宋体" w:hAnsi="宋体" w:eastAsia="宋体" w:cs="Times New Roman"/>
          <w:color w:val="000000"/>
          <w:szCs w:val="21"/>
          <w:highlight w:val="none"/>
          <w:lang w:eastAsia="zh-CN"/>
        </w:rPr>
        <w:t>，</w:t>
      </w:r>
      <w:r>
        <w:rPr>
          <w:rFonts w:hint="eastAsia" w:ascii="宋体" w:eastAsia="宋体"/>
          <w:color w:val="000000"/>
          <w:szCs w:val="21"/>
          <w:highlight w:val="none"/>
          <w:lang w:val="en-US" w:eastAsia="zh-CN"/>
        </w:rPr>
        <w:t>招标人</w:t>
      </w:r>
      <w:r>
        <w:rPr>
          <w:rFonts w:hint="eastAsia" w:ascii="宋体"/>
          <w:color w:val="000000"/>
          <w:szCs w:val="21"/>
          <w:highlight w:val="none"/>
        </w:rPr>
        <w:t>后期不再追加费用，投标</w:t>
      </w:r>
      <w:r>
        <w:rPr>
          <w:rFonts w:hint="eastAsia" w:ascii="宋体"/>
          <w:color w:val="000000"/>
          <w:szCs w:val="21"/>
          <w:highlight w:val="none"/>
          <w:lang w:val="en-US" w:eastAsia="zh-CN"/>
        </w:rPr>
        <w:t>人</w:t>
      </w:r>
      <w:r>
        <w:rPr>
          <w:rFonts w:hint="eastAsia" w:ascii="宋体"/>
          <w:color w:val="000000"/>
          <w:szCs w:val="21"/>
          <w:highlight w:val="none"/>
        </w:rPr>
        <w:t>自行考虑投标风险。</w:t>
      </w:r>
    </w:p>
    <w:p w14:paraId="5AB89FB3">
      <w:pPr>
        <w:spacing w:line="440" w:lineRule="exact"/>
        <w:ind w:firstLine="420" w:firstLineChars="200"/>
        <w:rPr>
          <w:rFonts w:hint="eastAsia" w:ascii="宋体"/>
          <w:szCs w:val="21"/>
          <w:highlight w:val="none"/>
        </w:rPr>
      </w:pPr>
      <w:r>
        <w:rPr>
          <w:rFonts w:hint="eastAsia" w:ascii="宋体"/>
          <w:szCs w:val="21"/>
          <w:highlight w:val="none"/>
        </w:rPr>
        <w:t>22.</w:t>
      </w:r>
      <w:r>
        <w:rPr>
          <w:rFonts w:hint="eastAsia" w:ascii="宋体"/>
          <w:szCs w:val="21"/>
          <w:highlight w:val="none"/>
          <w:lang w:val="en-US" w:eastAsia="zh-CN"/>
        </w:rPr>
        <w:t>2</w:t>
      </w:r>
      <w:r>
        <w:rPr>
          <w:rFonts w:hint="eastAsia" w:ascii="宋体"/>
          <w:color w:val="000000"/>
          <w:szCs w:val="21"/>
          <w:highlight w:val="none"/>
        </w:rPr>
        <w:t>投标人只允许有一个方案、一个报价。</w:t>
      </w:r>
    </w:p>
    <w:p w14:paraId="687B0416">
      <w:pPr>
        <w:spacing w:line="440" w:lineRule="exact"/>
        <w:ind w:firstLine="420" w:firstLineChars="200"/>
        <w:rPr>
          <w:rFonts w:hint="eastAsia" w:ascii="宋体"/>
          <w:color w:val="000000"/>
          <w:szCs w:val="21"/>
          <w:highlight w:val="none"/>
        </w:rPr>
      </w:pPr>
      <w:r>
        <w:rPr>
          <w:rFonts w:hint="eastAsia" w:ascii="宋体"/>
          <w:szCs w:val="21"/>
          <w:highlight w:val="none"/>
        </w:rPr>
        <w:t>22.</w:t>
      </w:r>
      <w:r>
        <w:rPr>
          <w:rFonts w:hint="eastAsia" w:ascii="宋体"/>
          <w:szCs w:val="21"/>
          <w:highlight w:val="none"/>
          <w:lang w:val="en-US" w:eastAsia="zh-CN"/>
        </w:rPr>
        <w:t>3</w:t>
      </w:r>
      <w:r>
        <w:rPr>
          <w:rFonts w:hint="eastAsia" w:ascii="宋体" w:hAnsi="宋体"/>
          <w:color w:val="000000"/>
          <w:szCs w:val="21"/>
          <w:highlight w:val="none"/>
          <w:lang w:val="en-US" w:eastAsia="zh-CN"/>
        </w:rPr>
        <w:t>投标报价</w:t>
      </w:r>
      <w:r>
        <w:rPr>
          <w:rFonts w:hint="eastAsia" w:ascii="宋体" w:hAnsi="宋体"/>
          <w:color w:val="000000"/>
          <w:szCs w:val="21"/>
          <w:highlight w:val="none"/>
        </w:rPr>
        <w:t>包括国家对中标</w:t>
      </w:r>
      <w:r>
        <w:rPr>
          <w:rFonts w:hint="eastAsia" w:ascii="宋体" w:hAnsi="宋体"/>
          <w:color w:val="000000"/>
          <w:szCs w:val="21"/>
          <w:highlight w:val="none"/>
          <w:lang w:val="en-US" w:eastAsia="zh-CN"/>
        </w:rPr>
        <w:t>人</w:t>
      </w:r>
      <w:r>
        <w:rPr>
          <w:rFonts w:hint="eastAsia" w:ascii="宋体" w:hAnsi="宋体"/>
          <w:color w:val="000000"/>
          <w:szCs w:val="21"/>
          <w:highlight w:val="none"/>
        </w:rPr>
        <w:t>征收的各种税费等所有一切费用，</w:t>
      </w:r>
      <w:r>
        <w:rPr>
          <w:rFonts w:hint="eastAsia" w:ascii="宋体" w:hAnsi="宋体" w:eastAsia="宋体" w:cs="宋体"/>
          <w:color w:val="000000"/>
          <w:kern w:val="0"/>
          <w:sz w:val="21"/>
          <w:szCs w:val="21"/>
          <w:highlight w:val="none"/>
          <w:lang w:val="en-US" w:eastAsia="zh-Hans" w:bidi="ar"/>
        </w:rPr>
        <w:t>包括但不限于：承担本项目所需的人员和专家顾问的薪金、现场服务、福利、交通、食宿</w:t>
      </w:r>
      <w:r>
        <w:rPr>
          <w:rFonts w:hint="eastAsia" w:ascii="宋体" w:hAnsi="宋体" w:eastAsia="宋体" w:cs="宋体"/>
          <w:color w:val="000000"/>
          <w:kern w:val="0"/>
          <w:sz w:val="21"/>
          <w:szCs w:val="21"/>
          <w:highlight w:val="none"/>
          <w:lang w:val="en-US" w:eastAsia="zh-CN" w:bidi="ar"/>
        </w:rPr>
        <w:t>、复检、</w:t>
      </w:r>
      <w:r>
        <w:rPr>
          <w:rFonts w:hint="eastAsia" w:ascii="宋体" w:hAnsi="宋体" w:eastAsia="宋体" w:cs="宋体"/>
          <w:color w:val="000000"/>
          <w:kern w:val="0"/>
          <w:sz w:val="21"/>
          <w:szCs w:val="21"/>
          <w:highlight w:val="none"/>
          <w:lang w:val="en-US" w:eastAsia="zh-Hans" w:bidi="ar"/>
        </w:rPr>
        <w:t>通讯费用、办公设备、文件制作及相应各项杂费等费用</w:t>
      </w:r>
      <w:r>
        <w:rPr>
          <w:rFonts w:hint="eastAsia" w:ascii="宋体" w:hAnsi="宋体" w:eastAsia="宋体" w:cs="宋体"/>
          <w:color w:val="000000"/>
          <w:kern w:val="0"/>
          <w:sz w:val="21"/>
          <w:szCs w:val="21"/>
          <w:highlight w:val="none"/>
          <w:lang w:val="en-US" w:eastAsia="zh-CN" w:bidi="ar"/>
        </w:rPr>
        <w:t>，</w:t>
      </w:r>
      <w:r>
        <w:rPr>
          <w:rFonts w:hint="eastAsia" w:ascii="宋体" w:hAnsi="宋体"/>
          <w:color w:val="000000"/>
          <w:szCs w:val="21"/>
          <w:highlight w:val="none"/>
          <w:lang w:val="en-US" w:eastAsia="zh-CN"/>
        </w:rPr>
        <w:t>投标报价</w:t>
      </w:r>
      <w:r>
        <w:rPr>
          <w:rFonts w:hint="eastAsia" w:ascii="宋体" w:hAnsi="宋体"/>
          <w:color w:val="000000"/>
          <w:szCs w:val="21"/>
          <w:highlight w:val="none"/>
        </w:rPr>
        <w:t>今后将不作任何调整。</w:t>
      </w:r>
    </w:p>
    <w:p w14:paraId="4E75C5DA">
      <w:pPr>
        <w:keepNext w:val="0"/>
        <w:keepLines w:val="0"/>
        <w:widowControl/>
        <w:suppressLineNumbers w:val="0"/>
        <w:spacing w:before="0" w:beforeAutospacing="0" w:after="0" w:afterAutospacing="0" w:line="400" w:lineRule="exact"/>
        <w:ind w:left="0" w:right="0" w:firstLine="420" w:firstLineChars="200"/>
        <w:jc w:val="both"/>
        <w:rPr>
          <w:rFonts w:hint="eastAsia" w:ascii="宋体"/>
          <w:color w:val="000000"/>
          <w:szCs w:val="21"/>
          <w:highlight w:val="none"/>
        </w:rPr>
      </w:pPr>
      <w:r>
        <w:rPr>
          <w:rFonts w:hint="eastAsia" w:ascii="宋体"/>
          <w:szCs w:val="21"/>
          <w:highlight w:val="none"/>
        </w:rPr>
        <w:t>22.</w:t>
      </w:r>
      <w:r>
        <w:rPr>
          <w:rFonts w:hint="eastAsia" w:ascii="宋体"/>
          <w:szCs w:val="21"/>
          <w:highlight w:val="none"/>
          <w:lang w:val="en-US" w:eastAsia="zh-CN"/>
        </w:rPr>
        <w:t>4</w:t>
      </w:r>
      <w:r>
        <w:rPr>
          <w:rFonts w:hint="eastAsia" w:ascii="宋体"/>
          <w:color w:val="000000"/>
          <w:szCs w:val="21"/>
          <w:highlight w:val="none"/>
        </w:rPr>
        <w:t>投标报价的价格是完成项目全部内容（包括后期的相关服务）交付验收的价格，其</w:t>
      </w:r>
      <w:r>
        <w:rPr>
          <w:rFonts w:hint="eastAsia" w:ascii="宋体"/>
          <w:color w:val="000000"/>
          <w:szCs w:val="21"/>
          <w:highlight w:val="none"/>
          <w:lang w:val="en-US" w:eastAsia="zh-CN"/>
        </w:rPr>
        <w:t>总</w:t>
      </w:r>
      <w:r>
        <w:rPr>
          <w:rFonts w:hint="eastAsia" w:ascii="宋体"/>
          <w:color w:val="000000"/>
          <w:szCs w:val="21"/>
          <w:highlight w:val="none"/>
        </w:rPr>
        <w:t>价即为履行合同的固定</w:t>
      </w:r>
      <w:r>
        <w:rPr>
          <w:rFonts w:hint="eastAsia" w:ascii="宋体"/>
          <w:color w:val="000000"/>
          <w:szCs w:val="21"/>
          <w:highlight w:val="none"/>
          <w:lang w:val="en-US" w:eastAsia="zh-CN"/>
        </w:rPr>
        <w:t>总</w:t>
      </w:r>
      <w:r>
        <w:rPr>
          <w:rFonts w:hint="eastAsia" w:ascii="宋体"/>
          <w:color w:val="000000"/>
          <w:szCs w:val="21"/>
          <w:highlight w:val="none"/>
        </w:rPr>
        <w:t>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37279C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232CDDA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D7FC8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1D7799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w:t>
      </w:r>
      <w:r>
        <w:rPr>
          <w:rFonts w:hint="eastAsia" w:ascii="宋体" w:hAnsi="宋体" w:eastAsia="宋体" w:cs="宋体"/>
          <w:szCs w:val="21"/>
          <w:highlight w:val="none"/>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CA6B1A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B9457D6">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292CF81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30407_WPSOffice_Level3"/>
      <w:bookmarkEnd w:id="35"/>
      <w:bookmarkStart w:id="36" w:name="_Toc490"/>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438C229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加密文件。投标人中标后须递交与网上电子投标文件完全一致的纸质版投标文件，并按要求加盖公章；份数：正本1份，副本2份；中标单位领取中标通知书时，一并递交给招标代理机构。</w:t>
      </w:r>
    </w:p>
    <w:p w14:paraId="27A1DC7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67FB70B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7A316E1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Times New Roman" w:hAnsi="Times New Roman" w:eastAsia="宋体"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宋体" w:hAnsi="宋体" w:eastAsia="宋体" w:cs="宋体"/>
          <w:szCs w:val="21"/>
          <w:highlight w:val="none"/>
          <w:lang w:val="en-US" w:eastAsia="zh-CN"/>
        </w:rPr>
        <w:t>投标人逾期上传投标文件的，电子系统不予受理。</w:t>
      </w:r>
    </w:p>
    <w:p w14:paraId="29882ED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06704F63">
      <w:pPr>
        <w:spacing w:line="440" w:lineRule="exact"/>
        <w:ind w:firstLine="420" w:firstLineChars="20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27.1在规定的投标截止时间前，投标人可以自行从网上招投标系统撤回已递交的投标文件，并可修改后重新上传，开标时以投标截止时间前投标人最终上传的投标文件为准。</w:t>
      </w:r>
    </w:p>
    <w:p w14:paraId="7D6AF3C3">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463F7BC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5DF0A3B8">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2ECF384">
      <w:pPr>
        <w:spacing w:line="440" w:lineRule="exact"/>
        <w:ind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w:t>
      </w:r>
      <w:r>
        <w:rPr>
          <w:rFonts w:hint="eastAsia" w:ascii="宋体" w:hAnsi="宋体" w:cs="宋体"/>
          <w:szCs w:val="21"/>
          <w:highlight w:val="none"/>
        </w:rPr>
        <w:t>招标人在投标人须知前附表规定的投标截止时间（开标时间）和地点公开开标。</w:t>
      </w:r>
    </w:p>
    <w:p w14:paraId="2AE4183E">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28.2开标程序</w:t>
      </w:r>
    </w:p>
    <w:p w14:paraId="60B8AF50">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48F4001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8C8CDF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（2）宣布采购人、代理机构主持人等有关人员姓名；</w:t>
      </w:r>
    </w:p>
    <w:p w14:paraId="74FDE57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40B3143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3FF6657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FD47ED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62FA508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561D3D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w:t>
      </w:r>
    </w:p>
    <w:p w14:paraId="3921892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01A45E70">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C7A097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99F792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77F76D5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172052A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43EC8CF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48B1AFB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5120441F">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08DFDCF2">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C01E5C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7097B9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664BCFE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4BDFC021">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16C0700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0D471FF1">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B3C7A6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15036E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0313350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1B74C057">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766EFA4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AAABFF5">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0B50C53D">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54AFE938">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1" w:name="_Toc217446068"/>
      <w:r>
        <w:rPr>
          <w:rFonts w:hint="eastAsia" w:ascii="宋体" w:hAnsi="宋体" w:eastAsia="宋体" w:cs="宋体"/>
          <w:b/>
          <w:color w:val="000000"/>
          <w:kern w:val="0"/>
          <w:szCs w:val="21"/>
          <w:highlight w:val="none"/>
          <w:u w:color="000000"/>
          <w:lang w:bidi="ar"/>
        </w:rPr>
        <w:t>履约保证金</w:t>
      </w:r>
      <w:bookmarkEnd w:id="41"/>
    </w:p>
    <w:p w14:paraId="1331EEB6">
      <w:pPr>
        <w:spacing w:line="420" w:lineRule="exact"/>
        <w:ind w:firstLine="420" w:firstLineChars="200"/>
        <w:jc w:val="left"/>
        <w:rPr>
          <w:rFonts w:ascii="宋体" w:hAnsi="Times New Roman" w:eastAsia="宋体" w:cs="Times New Roman"/>
          <w:szCs w:val="21"/>
          <w:highlight w:val="none"/>
        </w:rPr>
      </w:pPr>
      <w:bookmarkStart w:id="42" w:name="_Toc316_WPSOffice_Level3"/>
      <w:bookmarkEnd w:id="42"/>
      <w:bookmarkStart w:id="43"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3"/>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1FDBCE8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3B4E380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bookmarkStart w:id="44" w:name="_Toc78803363"/>
      <w:bookmarkStart w:id="45" w:name="_Toc11010"/>
      <w:bookmarkStart w:id="46" w:name="_Toc246996957"/>
      <w:bookmarkStart w:id="47" w:name="_Toc35425096"/>
      <w:bookmarkStart w:id="48" w:name="_Toc247085728"/>
      <w:bookmarkStart w:id="49" w:name="_Toc324404855"/>
      <w:bookmarkStart w:id="50" w:name="_Toc15058893"/>
      <w:bookmarkStart w:id="51" w:name="_Toc506107308"/>
      <w:bookmarkStart w:id="52" w:name="_Toc152045570"/>
      <w:bookmarkStart w:id="53" w:name="_Toc179632588"/>
      <w:bookmarkStart w:id="54" w:name="_Toc35424930"/>
      <w:bookmarkStart w:id="55" w:name="_Toc296602460"/>
      <w:bookmarkStart w:id="56" w:name="_Toc144974538"/>
      <w:bookmarkStart w:id="57" w:name="_Toc246996214"/>
      <w:bookmarkStart w:id="58" w:name="_Toc152042346"/>
      <w:r>
        <w:rPr>
          <w:rFonts w:hint="eastAsia" w:ascii="宋体" w:hAnsi="宋体" w:eastAsia="宋体" w:cs="宋体"/>
          <w:b/>
          <w:bCs w:val="0"/>
          <w:color w:val="000000"/>
          <w:kern w:val="0"/>
          <w:sz w:val="21"/>
          <w:szCs w:val="21"/>
          <w:highlight w:val="none"/>
          <w:u w:color="000000"/>
          <w:lang w:val="en-US" w:eastAsia="zh-CN" w:bidi="ar"/>
        </w:rPr>
        <w:t>38.签订合同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2DE0C5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59" w:name="_Toc324404856"/>
      <w:bookmarkStart w:id="60" w:name="_Toc506107309"/>
      <w:bookmarkStart w:id="61" w:name="_Toc15058894"/>
      <w:r>
        <w:rPr>
          <w:rFonts w:hint="eastAsia" w:ascii="宋体" w:hAnsi="Times New Roman" w:eastAsia="宋体" w:cs="Times New Roman"/>
          <w:color w:val="auto"/>
          <w:spacing w:val="0"/>
          <w:sz w:val="21"/>
          <w:szCs w:val="21"/>
          <w:highlight w:val="none"/>
          <w:lang w:val="en-US" w:eastAsia="zh-CN"/>
        </w:rPr>
        <w:t xml:space="preserve">38.1本招标项目合同将授予按本须知第35条规定所确定的中标人。 </w:t>
      </w:r>
    </w:p>
    <w:p w14:paraId="18516895">
      <w:pPr>
        <w:wordWrap w:val="0"/>
        <w:spacing w:line="440" w:lineRule="exact"/>
        <w:ind w:firstLine="420" w:firstLineChars="200"/>
        <w:jc w:val="left"/>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w:t>
      </w:r>
      <w:r>
        <w:rPr>
          <w:rFonts w:hint="eastAsia" w:ascii="宋体" w:hAnsi="宋体" w:eastAsia="宋体" w:cs="宋体"/>
          <w:bCs/>
          <w:szCs w:val="21"/>
          <w:highlight w:val="none"/>
        </w:rPr>
        <w:t>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给招标人造成的损失的，中标人还应当对予以赔偿。</w:t>
      </w:r>
    </w:p>
    <w:p w14:paraId="4FC6BDF0">
      <w:pPr>
        <w:wordWrap w:val="0"/>
        <w:spacing w:line="440" w:lineRule="exact"/>
        <w:ind w:firstLine="420" w:firstLineChars="200"/>
        <w:jc w:val="left"/>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38.3</w:t>
      </w:r>
      <w:r>
        <w:rPr>
          <w:rFonts w:hint="eastAsia" w:ascii="宋体" w:hAnsi="宋体" w:eastAsia="宋体" w:cs="宋体"/>
          <w:bCs/>
          <w:szCs w:val="21"/>
          <w:highlight w:val="none"/>
        </w:rPr>
        <w:t>发出中标通知书后，招标单位无正当理由拒签合同的，给中标人造成损失的，还应当赔偿损失。</w:t>
      </w:r>
    </w:p>
    <w:p w14:paraId="77257B7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38.4除法定情形外，合同履行期间项目负责人不得更换。项目负责人确需变更的，应根据招标文件要求，变更后的项目负责人不低于投标文件中拟派项目负责人的资格条件。</w:t>
      </w:r>
    </w:p>
    <w:bookmarkEnd w:id="59"/>
    <w:bookmarkEnd w:id="60"/>
    <w:bookmarkEnd w:id="61"/>
    <w:p w14:paraId="302F2270">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72C69C0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14:paraId="52ACC92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14:paraId="67C0C99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14:paraId="236163A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4E248DA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14:paraId="0C5EC69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709D2CB">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14:paraId="10D126F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1C9E417D">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0D0261A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14:paraId="59AD1FB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43.1投标人或者其他利害关系人认为招标投标活动违反法律、法规和规章规定的，有权向相关行政监督部门投诉。投诉应当有明确的请求和必要的证明材料。 </w:t>
      </w:r>
    </w:p>
    <w:p w14:paraId="6D28A8C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p>
    <w:p w14:paraId="2D7DED7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p>
    <w:p w14:paraId="6B243F32">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19E83F06">
      <w:pPr>
        <w:rPr>
          <w:rFonts w:hint="eastAsia" w:ascii="宋体"/>
          <w:b/>
          <w:color w:val="auto"/>
          <w:sz w:val="32"/>
          <w:szCs w:val="32"/>
          <w:highlight w:val="none"/>
        </w:rPr>
      </w:pPr>
      <w:r>
        <w:rPr>
          <w:rFonts w:hint="eastAsia" w:ascii="宋体"/>
          <w:b/>
          <w:color w:val="auto"/>
          <w:sz w:val="32"/>
          <w:szCs w:val="32"/>
          <w:highlight w:val="none"/>
        </w:rPr>
        <w:br w:type="page"/>
      </w:r>
    </w:p>
    <w:p w14:paraId="084DD7F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5748425D">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3013F51D">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826"/>
        <w:gridCol w:w="3111"/>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suppressLineNumbers w:val="0"/>
              <w:spacing w:before="0" w:beforeAutospacing="0" w:after="0" w:afterAutospacing="0" w:line="320" w:lineRule="exact"/>
              <w:ind w:left="0" w:right="0"/>
              <w:jc w:val="center"/>
              <w:rPr>
                <w:rFonts w:hint="eastAsia"/>
                <w:color w:val="000000"/>
                <w:highlight w:val="none"/>
              </w:rPr>
            </w:pPr>
            <w:bookmarkStart w:id="62" w:name="_Toc506107320"/>
            <w:bookmarkStart w:id="63" w:name="_Toc60061492"/>
            <w:bookmarkStart w:id="64" w:name="_Toc95223395"/>
            <w:bookmarkStart w:id="65" w:name="_Toc15058909"/>
            <w:r>
              <w:rPr>
                <w:rFonts w:hint="eastAsia" w:ascii="黑体" w:eastAsia="黑体" w:cs="黑体"/>
                <w:b/>
                <w:bCs/>
                <w:color w:val="000000"/>
                <w:szCs w:val="21"/>
                <w:highlight w:val="none"/>
              </w:rPr>
              <w:t>序号</w:t>
            </w:r>
          </w:p>
        </w:tc>
        <w:tc>
          <w:tcPr>
            <w:tcW w:w="5061" w:type="dxa"/>
            <w:gridSpan w:val="2"/>
            <w:noWrap w:val="0"/>
            <w:vAlign w:val="center"/>
          </w:tcPr>
          <w:p w14:paraId="68A56139">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111" w:type="dxa"/>
            <w:noWrap w:val="0"/>
            <w:vAlign w:val="center"/>
          </w:tcPr>
          <w:p w14:paraId="2F14F796">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826" w:type="dxa"/>
            <w:noWrap w:val="0"/>
            <w:vAlign w:val="center"/>
          </w:tcPr>
          <w:p w14:paraId="69ACEA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111" w:type="dxa"/>
            <w:noWrap w:val="0"/>
            <w:vAlign w:val="center"/>
          </w:tcPr>
          <w:p w14:paraId="6BC6A503">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1EC1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994A6B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131D6CB">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826" w:type="dxa"/>
            <w:noWrap w:val="0"/>
            <w:vAlign w:val="center"/>
          </w:tcPr>
          <w:p w14:paraId="6C0332A6">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111" w:type="dxa"/>
            <w:noWrap w:val="0"/>
            <w:vAlign w:val="center"/>
          </w:tcPr>
          <w:p w14:paraId="45FEBF24">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188E4392">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eastAsia="宋体"/>
                <w:color w:val="auto"/>
                <w:szCs w:val="21"/>
                <w:highlight w:val="none"/>
                <w:lang w:val="en-US" w:eastAsia="zh-CN"/>
              </w:rPr>
              <w:t>企业法人营业执照</w:t>
            </w:r>
          </w:p>
        </w:tc>
      </w:tr>
      <w:tr w14:paraId="4A65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40A5A03C">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3D8C5116">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3826" w:type="dxa"/>
            <w:noWrap w:val="0"/>
            <w:vAlign w:val="center"/>
          </w:tcPr>
          <w:p w14:paraId="05D0228F">
            <w:pPr>
              <w:keepNext w:val="0"/>
              <w:keepLines w:val="0"/>
              <w:suppressLineNumbers w:val="0"/>
              <w:spacing w:before="0" w:beforeAutospacing="0" w:after="0" w:afterAutospacing="0" w:line="440" w:lineRule="exact"/>
              <w:ind w:left="0" w:right="0"/>
              <w:rPr>
                <w:rFonts w:hint="eastAsia" w:ascii="宋体" w:hAnsi="宋体" w:eastAsia="宋体" w:cs="Times New Roman"/>
                <w:color w:val="000000"/>
                <w:szCs w:val="21"/>
                <w:highlight w:val="none"/>
              </w:rPr>
            </w:pPr>
            <w:r>
              <w:rPr>
                <w:rFonts w:hint="eastAsia" w:ascii="宋体" w:hAnsi="宋体" w:eastAsia="宋体" w:cs="宋体"/>
                <w:szCs w:val="21"/>
                <w:highlight w:val="none"/>
                <w:lang w:val="en-US" w:eastAsia="zh-CN"/>
              </w:rPr>
              <w:t>（3）</w:t>
            </w:r>
            <w:r>
              <w:rPr>
                <w:rFonts w:hint="default" w:ascii="宋体" w:hAnsi="宋体" w:eastAsia="宋体" w:cs="宋体"/>
                <w:szCs w:val="21"/>
                <w:highlight w:val="none"/>
                <w:lang w:val="en-US" w:eastAsia="zh-CN"/>
              </w:rPr>
              <w:t>具有雷电防护装置检测甲级资质</w:t>
            </w:r>
          </w:p>
        </w:tc>
        <w:tc>
          <w:tcPr>
            <w:tcW w:w="3111" w:type="dxa"/>
            <w:noWrap w:val="0"/>
            <w:vAlign w:val="center"/>
          </w:tcPr>
          <w:p w14:paraId="58A87BDD">
            <w:pPr>
              <w:keepNext w:val="0"/>
              <w:keepLines w:val="0"/>
              <w:suppressLineNumbers w:val="0"/>
              <w:spacing w:before="0" w:beforeAutospacing="0" w:after="0" w:afterAutospacing="0" w:line="44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0FF47BB3">
            <w:pPr>
              <w:keepNext w:val="0"/>
              <w:keepLines w:val="0"/>
              <w:suppressLineNumbers w:val="0"/>
              <w:spacing w:before="0" w:beforeAutospacing="0" w:after="0" w:afterAutospacing="0" w:line="440" w:lineRule="exact"/>
              <w:ind w:left="0" w:right="0"/>
              <w:rPr>
                <w:rFonts w:hint="eastAsia" w:ascii="宋体" w:eastAsia="宋体"/>
                <w:color w:val="auto"/>
                <w:szCs w:val="21"/>
                <w:highlight w:val="none"/>
                <w:lang w:val="en-US" w:eastAsia="zh-CN"/>
              </w:rPr>
            </w:pPr>
            <w:r>
              <w:rPr>
                <w:rFonts w:hint="default" w:ascii="宋体" w:hAnsi="宋体" w:eastAsia="宋体" w:cs="宋体"/>
                <w:szCs w:val="21"/>
                <w:highlight w:val="none"/>
                <w:lang w:val="en-US" w:eastAsia="zh-CN"/>
              </w:rPr>
              <w:t>雷电防护装置检测</w:t>
            </w:r>
            <w:r>
              <w:rPr>
                <w:rFonts w:hint="eastAsia" w:ascii="宋体" w:hAnsi="宋体" w:eastAsia="宋体" w:cs="宋体"/>
                <w:szCs w:val="21"/>
                <w:highlight w:val="none"/>
                <w:lang w:val="en-US" w:eastAsia="zh-CN"/>
              </w:rPr>
              <w:t>甲级资质证书</w:t>
            </w: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727FD29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9B46C8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top"/>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（4）诚信投标承诺书</w:t>
            </w:r>
          </w:p>
        </w:tc>
        <w:tc>
          <w:tcPr>
            <w:tcW w:w="3111" w:type="dxa"/>
            <w:noWrap w:val="0"/>
            <w:vAlign w:val="top"/>
          </w:tcPr>
          <w:p w14:paraId="02E77C4A">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E668A1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（5）服务承诺书</w:t>
            </w:r>
          </w:p>
        </w:tc>
        <w:tc>
          <w:tcPr>
            <w:tcW w:w="3111" w:type="dxa"/>
            <w:noWrap w:val="0"/>
            <w:vAlign w:val="center"/>
          </w:tcPr>
          <w:p w14:paraId="17338FB2">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14:paraId="0BE4E50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2.审查办法</w:t>
      </w:r>
      <w:bookmarkEnd w:id="62"/>
      <w:bookmarkEnd w:id="63"/>
      <w:bookmarkEnd w:id="64"/>
      <w:bookmarkEnd w:id="65"/>
    </w:p>
    <w:p w14:paraId="0D3A3A9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66" w:name="_Toc506107321"/>
      <w:bookmarkStart w:id="67" w:name="_Toc60061493"/>
      <w:bookmarkStart w:id="68" w:name="_Toc324404868"/>
      <w:bookmarkStart w:id="69"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373F2B7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70" w:name="_Toc95223396"/>
      <w:r>
        <w:rPr>
          <w:rFonts w:hint="eastAsia" w:ascii="Times New Roman" w:hAnsi="Times New Roman" w:eastAsia="宋体" w:cs="Times New Roman"/>
          <w:color w:val="000000"/>
          <w:highlight w:val="none"/>
        </w:rPr>
        <w:t>3.资格审查委员会和审查标准</w:t>
      </w:r>
      <w:bookmarkEnd w:id="66"/>
      <w:bookmarkEnd w:id="67"/>
      <w:bookmarkEnd w:id="68"/>
      <w:bookmarkEnd w:id="69"/>
      <w:bookmarkEnd w:id="70"/>
    </w:p>
    <w:p w14:paraId="6CDFE04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3B0BD75F">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4C63083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71" w:name="_Toc506107322"/>
      <w:bookmarkStart w:id="72" w:name="_Toc60061494"/>
      <w:bookmarkStart w:id="73" w:name="_Toc324404869"/>
      <w:bookmarkStart w:id="74" w:name="_Toc95223397"/>
      <w:bookmarkStart w:id="75" w:name="_Toc15058911"/>
      <w:r>
        <w:rPr>
          <w:rFonts w:hint="eastAsia" w:ascii="Times New Roman" w:hAnsi="Times New Roman" w:eastAsia="宋体" w:cs="Times New Roman"/>
          <w:color w:val="000000"/>
          <w:highlight w:val="none"/>
        </w:rPr>
        <w:t>（1）未上传电子标书或电子标书经审查不合格；</w:t>
      </w:r>
    </w:p>
    <w:p w14:paraId="526FEED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w:t>
      </w:r>
      <w:r>
        <w:rPr>
          <w:rFonts w:hint="eastAsia" w:ascii="Times New Roman" w:hAnsi="Times New Roman" w:eastAsia="宋体" w:cs="Times New Roman"/>
          <w:color w:val="000000"/>
          <w:highlight w:val="none"/>
          <w:lang w:val="en-US" w:eastAsia="zh-CN"/>
        </w:rPr>
        <w:t>2</w:t>
      </w:r>
      <w:r>
        <w:rPr>
          <w:rFonts w:hint="eastAsia" w:ascii="Times New Roman" w:hAnsi="Times New Roman" w:eastAsia="宋体" w:cs="Times New Roman"/>
          <w:color w:val="000000"/>
          <w:highlight w:val="none"/>
        </w:rPr>
        <w:t>）法律、法规规定的其他情形。</w:t>
      </w:r>
    </w:p>
    <w:p w14:paraId="409024F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4.审查结果</w:t>
      </w:r>
      <w:bookmarkEnd w:id="71"/>
      <w:bookmarkEnd w:id="72"/>
      <w:bookmarkEnd w:id="73"/>
      <w:bookmarkEnd w:id="74"/>
      <w:bookmarkEnd w:id="75"/>
    </w:p>
    <w:p w14:paraId="6CA6DB7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3777995C">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2B0735C3">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6"/>
        <w:numPr>
          <w:ilvl w:val="0"/>
          <w:numId w:val="0"/>
        </w:numPr>
        <w:jc w:val="left"/>
        <w:rPr>
          <w:rFonts w:hint="default" w:eastAsia="宋体"/>
          <w:highlight w:val="none"/>
          <w:lang w:val="en-US" w:eastAsia="zh-CN"/>
        </w:rPr>
      </w:pPr>
      <w:bookmarkStart w:id="76" w:name="_Toc23254"/>
      <w:bookmarkEnd w:id="76"/>
      <w:bookmarkStart w:id="77" w:name="_Toc179632607"/>
      <w:bookmarkStart w:id="78" w:name="_Toc6491"/>
      <w:bookmarkStart w:id="79" w:name="_Toc152045589"/>
      <w:bookmarkStart w:id="80" w:name="_Toc152042366"/>
      <w:bookmarkStart w:id="81" w:name="_Toc144974556"/>
      <w:bookmarkStart w:id="82" w:name="_Toc35424947"/>
      <w:bookmarkStart w:id="83" w:name="_Toc15058913"/>
      <w:bookmarkStart w:id="84" w:name="_Toc246996975"/>
      <w:bookmarkStart w:id="85" w:name="_Toc324404872"/>
      <w:bookmarkStart w:id="86" w:name="_Toc506107324"/>
      <w:bookmarkStart w:id="87" w:name="_Toc246996232"/>
      <w:bookmarkStart w:id="88" w:name="_Toc35425113"/>
      <w:bookmarkStart w:id="89" w:name="_Toc78803381"/>
      <w:bookmarkStart w:id="90" w:name="_Toc247085747"/>
      <w:r>
        <w:rPr>
          <w:rFonts w:hint="eastAsia"/>
          <w:highlight w:val="none"/>
          <w:lang w:val="en-US" w:eastAsia="zh-CN"/>
        </w:rPr>
        <w:t>报价评审：</w:t>
      </w:r>
    </w:p>
    <w:tbl>
      <w:tblPr>
        <w:tblStyle w:val="2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lang w:val="en-US" w:eastAsia="zh-CN"/>
              </w:rPr>
              <w:t>投标报价和综合单价均</w:t>
            </w:r>
            <w:r>
              <w:rPr>
                <w:rFonts w:hint="eastAsia" w:ascii="宋体" w:hAnsi="宋体" w:cs="宋体"/>
                <w:color w:val="000000"/>
                <w:spacing w:val="-6"/>
                <w:szCs w:val="21"/>
                <w:highlight w:val="none"/>
              </w:rPr>
              <w:t>不得高于</w:t>
            </w:r>
            <w:r>
              <w:rPr>
                <w:rFonts w:hint="eastAsia" w:ascii="宋体" w:hAnsi="宋体" w:cs="宋体"/>
                <w:color w:val="000000"/>
                <w:spacing w:val="-6"/>
                <w:szCs w:val="21"/>
                <w:highlight w:val="none"/>
                <w:lang w:val="en-US" w:eastAsia="zh-CN"/>
              </w:rPr>
              <w:t>各</w:t>
            </w:r>
            <w:r>
              <w:rPr>
                <w:rFonts w:hint="eastAsia" w:ascii="宋体" w:hAnsi="宋体" w:cs="宋体"/>
                <w:color w:val="000000"/>
                <w:spacing w:val="-6"/>
                <w:szCs w:val="21"/>
                <w:highlight w:val="none"/>
              </w:rPr>
              <w:t>最高限价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7D9CCF">
      <w:pPr>
        <w:keepNext w:val="0"/>
        <w:keepLines w:val="0"/>
        <w:pageBreakBefore w:val="0"/>
        <w:widowControl w:val="0"/>
        <w:kinsoku/>
        <w:wordWrap/>
        <w:overflowPunct/>
        <w:topLinePunct w:val="0"/>
        <w:autoSpaceDE/>
        <w:autoSpaceDN/>
        <w:bidi w:val="0"/>
        <w:adjustRightInd/>
        <w:snapToGrid w:val="0"/>
        <w:spacing w:line="440" w:lineRule="exact"/>
        <w:ind w:right="252" w:rightChars="120" w:firstLine="420"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1.评标方法</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CC6B0B7">
      <w:pPr>
        <w:spacing w:line="440" w:lineRule="exact"/>
        <w:ind w:firstLine="420" w:firstLineChars="200"/>
        <w:jc w:val="left"/>
        <w:rPr>
          <w:rFonts w:hint="eastAsia" w:ascii="宋体" w:hAnsi="宋体" w:cs="宋体"/>
          <w:szCs w:val="21"/>
          <w:highlight w:val="none"/>
        </w:rPr>
      </w:pPr>
      <w:bookmarkStart w:id="91" w:name="_Toc324404873"/>
      <w:bookmarkStart w:id="92" w:name="_Toc11945"/>
      <w:bookmarkStart w:id="93" w:name="_Toc35425114"/>
      <w:bookmarkStart w:id="94" w:name="_Toc78803382"/>
      <w:bookmarkStart w:id="95" w:name="_Toc506107325"/>
      <w:bookmarkStart w:id="96" w:name="_Toc35424948"/>
      <w:bookmarkStart w:id="97" w:name="_Toc15058914"/>
      <w:bookmarkStart w:id="98" w:name="_Toc246996233"/>
      <w:bookmarkStart w:id="99" w:name="_Toc152045590"/>
      <w:bookmarkStart w:id="100" w:name="_Toc247085748"/>
      <w:bookmarkStart w:id="101" w:name="_Toc246996976"/>
      <w:bookmarkStart w:id="102" w:name="_Toc179632608"/>
      <w:bookmarkStart w:id="103" w:name="_Toc152042367"/>
      <w:bookmarkStart w:id="104" w:name="_Toc296602478"/>
      <w:bookmarkStart w:id="105" w:name="_Toc144974557"/>
      <w:r>
        <w:rPr>
          <w:rFonts w:hint="eastAsia" w:ascii="宋体" w:hAnsi="宋体" w:cs="宋体"/>
          <w:szCs w:val="21"/>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7184A069">
      <w:pPr>
        <w:snapToGrid w:val="0"/>
        <w:spacing w:line="440" w:lineRule="exact"/>
        <w:ind w:right="252" w:rightChars="120" w:firstLine="420" w:firstLineChars="200"/>
        <w:jc w:val="left"/>
        <w:rPr>
          <w:rFonts w:hint="eastAsia" w:ascii="宋体" w:hAnsi="宋体" w:cs="宋体"/>
          <w:b/>
          <w:bCs/>
          <w:szCs w:val="21"/>
          <w:highlight w:val="none"/>
        </w:rPr>
      </w:pPr>
      <w:r>
        <w:rPr>
          <w:rFonts w:hint="eastAsia" w:ascii="宋体" w:hAnsi="宋体" w:cs="宋体"/>
          <w:b/>
          <w:bCs/>
          <w:szCs w:val="21"/>
          <w:highlight w:val="none"/>
        </w:rPr>
        <w:t>2.评标委员会的职责</w:t>
      </w:r>
      <w:bookmarkEnd w:id="91"/>
      <w:bookmarkEnd w:id="92"/>
      <w:bookmarkEnd w:id="93"/>
      <w:bookmarkEnd w:id="94"/>
      <w:bookmarkEnd w:id="95"/>
      <w:bookmarkEnd w:id="96"/>
      <w:bookmarkEnd w:id="97"/>
    </w:p>
    <w:p w14:paraId="613A3F37">
      <w:pPr>
        <w:spacing w:line="440" w:lineRule="exact"/>
        <w:ind w:firstLine="420" w:firstLineChars="200"/>
        <w:jc w:val="left"/>
        <w:rPr>
          <w:rFonts w:hint="eastAsia" w:ascii="宋体" w:hAnsi="宋体" w:cs="宋体"/>
          <w:szCs w:val="21"/>
          <w:highlight w:val="none"/>
        </w:rPr>
      </w:pPr>
      <w:bookmarkStart w:id="106" w:name="_Toc15058915"/>
      <w:bookmarkStart w:id="107" w:name="_Toc78803384"/>
      <w:bookmarkStart w:id="108" w:name="_Toc17377"/>
      <w:bookmarkStart w:id="109" w:name="_Toc506107326"/>
      <w:bookmarkStart w:id="110" w:name="_Toc324404874"/>
      <w:bookmarkStart w:id="111" w:name="_Toc35425115"/>
      <w:bookmarkStart w:id="112" w:name="_Toc35424949"/>
      <w:r>
        <w:rPr>
          <w:rFonts w:hint="eastAsia" w:ascii="宋体" w:hAnsi="宋体" w:cs="宋体"/>
          <w:szCs w:val="21"/>
          <w:highlight w:val="none"/>
          <w:lang w:val="en-US" w:eastAsia="zh-CN"/>
        </w:rPr>
        <w:t>2.1</w:t>
      </w: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2.2</w:t>
      </w:r>
      <w:r>
        <w:rPr>
          <w:rFonts w:hint="eastAsia" w:ascii="宋体" w:hAnsi="宋体" w:cs="宋体"/>
          <w:szCs w:val="21"/>
          <w:highlight w:val="none"/>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7DDC0D8B">
      <w:pPr>
        <w:spacing w:line="440" w:lineRule="exact"/>
        <w:ind w:firstLine="420" w:firstLineChars="200"/>
        <w:jc w:val="left"/>
        <w:rPr>
          <w:rFonts w:hint="eastAsia" w:ascii="宋体" w:hAnsi="宋体" w:cs="宋体"/>
          <w:b/>
          <w:bCs/>
          <w:szCs w:val="21"/>
          <w:highlight w:val="none"/>
        </w:rPr>
      </w:pPr>
      <w:r>
        <w:rPr>
          <w:rFonts w:hint="eastAsia" w:ascii="宋体" w:hAnsi="宋体" w:cs="宋体"/>
          <w:b/>
          <w:bCs/>
          <w:szCs w:val="21"/>
          <w:highlight w:val="none"/>
        </w:rPr>
        <w:t>3.评标程序</w:t>
      </w:r>
      <w:bookmarkEnd w:id="106"/>
      <w:bookmarkEnd w:id="107"/>
      <w:bookmarkEnd w:id="108"/>
      <w:bookmarkEnd w:id="109"/>
      <w:bookmarkEnd w:id="110"/>
      <w:bookmarkEnd w:id="111"/>
      <w:bookmarkEnd w:id="112"/>
    </w:p>
    <w:p w14:paraId="05F15CD4">
      <w:pPr>
        <w:spacing w:line="440" w:lineRule="exact"/>
        <w:ind w:firstLine="420" w:firstLineChars="200"/>
        <w:jc w:val="left"/>
        <w:rPr>
          <w:rFonts w:hint="eastAsia" w:ascii="宋体" w:hAnsi="宋体" w:cs="宋体"/>
          <w:szCs w:val="21"/>
          <w:highlight w:val="none"/>
        </w:rPr>
      </w:pPr>
      <w:bookmarkStart w:id="113" w:name="_Toc35424950"/>
      <w:bookmarkStart w:id="114" w:name="_Toc15058916"/>
      <w:bookmarkStart w:id="115" w:name="_Toc78803385"/>
      <w:bookmarkStart w:id="116" w:name="_Toc27389"/>
      <w:bookmarkStart w:id="117" w:name="_Toc35425116"/>
      <w:r>
        <w:rPr>
          <w:rFonts w:hint="eastAsia" w:ascii="宋体" w:hAnsi="宋体" w:cs="宋体"/>
          <w:szCs w:val="21"/>
          <w:highlight w:val="none"/>
        </w:rPr>
        <w:t>评标先做准备工作，再进行</w:t>
      </w:r>
      <w:r>
        <w:rPr>
          <w:rFonts w:hint="eastAsia" w:ascii="宋体" w:hAnsi="宋体" w:cs="宋体"/>
          <w:szCs w:val="21"/>
          <w:highlight w:val="none"/>
          <w:lang w:val="en-US" w:eastAsia="zh-CN"/>
        </w:rPr>
        <w:t>资格审查</w:t>
      </w:r>
      <w:r>
        <w:rPr>
          <w:rFonts w:hint="eastAsia" w:ascii="宋体" w:hAnsi="宋体" w:cs="宋体"/>
          <w:szCs w:val="21"/>
          <w:highlight w:val="none"/>
        </w:rPr>
        <w:t>，然后进行</w:t>
      </w:r>
      <w:r>
        <w:rPr>
          <w:rFonts w:hint="eastAsia" w:ascii="宋体" w:hAnsi="宋体" w:cs="宋体"/>
          <w:szCs w:val="21"/>
          <w:highlight w:val="none"/>
          <w:lang w:val="en-US" w:eastAsia="zh-CN"/>
        </w:rPr>
        <w:t>投标文件</w:t>
      </w:r>
      <w:r>
        <w:rPr>
          <w:rFonts w:hint="eastAsia" w:ascii="宋体" w:hAnsi="宋体" w:cs="宋体"/>
          <w:szCs w:val="21"/>
          <w:highlight w:val="none"/>
        </w:rPr>
        <w:t>评审。</w:t>
      </w:r>
    </w:p>
    <w:p w14:paraId="4E6F845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3.1评标准备工作</w:t>
      </w:r>
      <w:bookmarkEnd w:id="113"/>
      <w:bookmarkEnd w:id="114"/>
      <w:bookmarkEnd w:id="115"/>
      <w:bookmarkEnd w:id="116"/>
      <w:bookmarkEnd w:id="117"/>
    </w:p>
    <w:p w14:paraId="65210A8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评标委员会熟悉评标工作情况：</w:t>
      </w:r>
    </w:p>
    <w:p w14:paraId="4434EC1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5E3E88F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0C19EAB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2992AAD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（4）核对评标工作用表。</w:t>
      </w:r>
    </w:p>
    <w:p w14:paraId="49DD84D1">
      <w:pPr>
        <w:spacing w:line="440" w:lineRule="exact"/>
        <w:ind w:firstLine="420" w:firstLineChars="200"/>
        <w:jc w:val="left"/>
        <w:rPr>
          <w:rFonts w:hint="eastAsia" w:ascii="宋体" w:hAnsi="宋体" w:cs="宋体"/>
          <w:szCs w:val="21"/>
          <w:highlight w:val="none"/>
        </w:rPr>
      </w:pPr>
      <w:bookmarkStart w:id="118" w:name="_Toc35425119"/>
      <w:bookmarkStart w:id="119" w:name="_Toc78803388"/>
      <w:bookmarkStart w:id="120" w:name="_Toc26895"/>
      <w:bookmarkStart w:id="121" w:name="_Toc35424953"/>
      <w:bookmarkStart w:id="122" w:name="_Toc18087"/>
      <w:bookmarkStart w:id="123" w:name="_Toc15058919"/>
      <w:bookmarkStart w:id="124" w:name="_Toc35425120"/>
      <w:bookmarkStart w:id="125" w:name="_Toc35424954"/>
      <w:bookmarkStart w:id="126" w:name="_Toc12200"/>
      <w:bookmarkStart w:id="127" w:name="_Toc506107327"/>
      <w:bookmarkStart w:id="128" w:name="_Toc324404875"/>
      <w:r>
        <w:rPr>
          <w:rFonts w:hint="eastAsia" w:ascii="宋体" w:hAnsi="宋体" w:cs="宋体"/>
          <w:szCs w:val="21"/>
          <w:highlight w:val="none"/>
        </w:rPr>
        <w:t>3.</w:t>
      </w:r>
      <w:r>
        <w:rPr>
          <w:rFonts w:hint="eastAsia" w:ascii="宋体" w:hAnsi="宋体" w:cs="宋体"/>
          <w:szCs w:val="21"/>
          <w:highlight w:val="none"/>
          <w:lang w:val="en-US"/>
        </w:rPr>
        <w:t>2</w:t>
      </w:r>
      <w:r>
        <w:rPr>
          <w:rFonts w:hint="eastAsia" w:ascii="宋体" w:hAnsi="宋体" w:cs="宋体"/>
          <w:szCs w:val="21"/>
          <w:highlight w:val="none"/>
        </w:rPr>
        <w:t>推荐中标候选人</w:t>
      </w:r>
      <w:bookmarkEnd w:id="118"/>
      <w:bookmarkEnd w:id="119"/>
      <w:bookmarkEnd w:id="120"/>
      <w:bookmarkEnd w:id="121"/>
      <w:bookmarkEnd w:id="122"/>
    </w:p>
    <w:p w14:paraId="5986C0CA">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资格审查</w:t>
      </w:r>
      <w:r>
        <w:rPr>
          <w:rFonts w:hint="eastAsia" w:ascii="宋体" w:hAnsi="宋体" w:cs="宋体"/>
          <w:szCs w:val="21"/>
          <w:highlight w:val="none"/>
        </w:rPr>
        <w:t>、</w:t>
      </w:r>
      <w:bookmarkStart w:id="129" w:name="_Toc15058918"/>
      <w:bookmarkStart w:id="130" w:name="_Toc60061501"/>
      <w:r>
        <w:rPr>
          <w:rFonts w:hint="eastAsia" w:ascii="宋体" w:hAnsi="宋体" w:cs="宋体"/>
          <w:szCs w:val="21"/>
          <w:highlight w:val="none"/>
          <w:lang w:val="en-US" w:eastAsia="zh-CN"/>
        </w:rPr>
        <w:t>投标文件</w:t>
      </w:r>
      <w:r>
        <w:rPr>
          <w:rFonts w:hint="eastAsia" w:ascii="宋体" w:hAnsi="宋体" w:cs="宋体"/>
          <w:szCs w:val="21"/>
          <w:highlight w:val="none"/>
        </w:rPr>
        <w:t>评审</w:t>
      </w:r>
      <w:bookmarkEnd w:id="129"/>
      <w:bookmarkEnd w:id="130"/>
      <w:r>
        <w:rPr>
          <w:rFonts w:hint="eastAsia" w:ascii="宋体" w:hAnsi="宋体" w:cs="宋体"/>
          <w:szCs w:val="21"/>
          <w:highlight w:val="none"/>
        </w:rPr>
        <w:t>后，推荐中标候选人，并标明排序。</w:t>
      </w:r>
    </w:p>
    <w:p w14:paraId="31F9091A">
      <w:pPr>
        <w:spacing w:line="440" w:lineRule="exact"/>
        <w:ind w:firstLine="420" w:firstLineChars="200"/>
        <w:jc w:val="left"/>
        <w:rPr>
          <w:rFonts w:hint="eastAsia" w:ascii="宋体" w:hAnsi="宋体" w:cs="宋体"/>
          <w:b/>
          <w:bCs/>
          <w:szCs w:val="21"/>
          <w:highlight w:val="none"/>
        </w:rPr>
      </w:pPr>
      <w:bookmarkStart w:id="131" w:name="_Toc78803389"/>
      <w:r>
        <w:rPr>
          <w:rFonts w:hint="eastAsia" w:ascii="宋体" w:hAnsi="宋体" w:cs="宋体"/>
          <w:b/>
          <w:bCs/>
          <w:szCs w:val="21"/>
          <w:highlight w:val="none"/>
        </w:rPr>
        <w:t>4.评审内容</w:t>
      </w:r>
      <w:bookmarkEnd w:id="123"/>
      <w:bookmarkEnd w:id="124"/>
      <w:bookmarkEnd w:id="125"/>
      <w:bookmarkEnd w:id="126"/>
      <w:bookmarkEnd w:id="127"/>
      <w:bookmarkEnd w:id="128"/>
      <w:bookmarkEnd w:id="131"/>
    </w:p>
    <w:p w14:paraId="260B4007">
      <w:pPr>
        <w:spacing w:line="440" w:lineRule="exact"/>
        <w:ind w:firstLine="420" w:firstLineChars="200"/>
        <w:jc w:val="left"/>
        <w:rPr>
          <w:rFonts w:hint="eastAsia" w:ascii="宋体" w:hAnsi="宋体" w:cs="宋体"/>
          <w:szCs w:val="21"/>
          <w:highlight w:val="none"/>
        </w:rPr>
      </w:pPr>
      <w:bookmarkStart w:id="132" w:name="_Toc95223407"/>
      <w:bookmarkStart w:id="133" w:name="_Toc324404876"/>
      <w:r>
        <w:rPr>
          <w:rFonts w:hint="eastAsia" w:ascii="宋体" w:hAnsi="宋体" w:cs="宋体"/>
          <w:szCs w:val="21"/>
          <w:highlight w:val="none"/>
        </w:rPr>
        <w:t>4.</w:t>
      </w:r>
      <w:r>
        <w:rPr>
          <w:rFonts w:hint="eastAsia" w:ascii="宋体" w:hAnsi="宋体" w:cs="宋体"/>
          <w:szCs w:val="21"/>
          <w:highlight w:val="none"/>
          <w:lang w:val="en-US" w:eastAsia="zh-CN"/>
        </w:rPr>
        <w:t>1投标文件</w:t>
      </w:r>
      <w:r>
        <w:rPr>
          <w:rFonts w:hint="eastAsia" w:ascii="宋体" w:hAnsi="宋体" w:cs="宋体"/>
          <w:szCs w:val="21"/>
          <w:highlight w:val="none"/>
        </w:rPr>
        <w:t>评审</w:t>
      </w:r>
      <w:bookmarkEnd w:id="132"/>
    </w:p>
    <w:p w14:paraId="5FF7779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只有通过</w:t>
      </w:r>
      <w:r>
        <w:rPr>
          <w:rFonts w:hint="eastAsia" w:ascii="宋体" w:hAnsi="宋体" w:cs="宋体"/>
          <w:szCs w:val="21"/>
          <w:highlight w:val="none"/>
          <w:lang w:val="en-US" w:eastAsia="zh-CN"/>
        </w:rPr>
        <w:t>资格审查</w:t>
      </w:r>
      <w:r>
        <w:rPr>
          <w:rFonts w:hint="eastAsia" w:ascii="宋体" w:hAnsi="宋体" w:cs="宋体"/>
          <w:szCs w:val="21"/>
          <w:highlight w:val="none"/>
        </w:rPr>
        <w:t>的投标才能够进入本阶段评审。</w:t>
      </w:r>
    </w:p>
    <w:p w14:paraId="6957BFB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.1</w:t>
      </w:r>
      <w:bookmarkStart w:id="134" w:name="_Toc60061504"/>
      <w:bookmarkStart w:id="135" w:name="_Toc15058921"/>
      <w:r>
        <w:rPr>
          <w:rFonts w:hint="eastAsia" w:ascii="宋体" w:hAnsi="宋体" w:cs="宋体"/>
          <w:szCs w:val="21"/>
          <w:highlight w:val="none"/>
        </w:rPr>
        <w:t>形式性评审标准：</w:t>
      </w:r>
      <w:bookmarkEnd w:id="134"/>
      <w:bookmarkEnd w:id="135"/>
      <w:r>
        <w:rPr>
          <w:rFonts w:hint="eastAsia" w:ascii="宋体" w:hAnsi="宋体" w:cs="宋体"/>
          <w:szCs w:val="21"/>
          <w:highlight w:val="none"/>
        </w:rPr>
        <w:t>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1B1DC8D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.2响应性评审标准：见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34389D7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评标委员会依据上述标准对投标文件进行初步评审。有一项不符合评审标准的，作无效投标处理。</w:t>
      </w:r>
    </w:p>
    <w:p w14:paraId="1AB45A6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.3详细评审标准：见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452A3DEC">
      <w:pPr>
        <w:snapToGrid w:val="0"/>
        <w:spacing w:line="440" w:lineRule="exact"/>
        <w:ind w:right="252" w:rightChars="120" w:firstLine="420" w:firstLineChars="200"/>
        <w:jc w:val="left"/>
        <w:rPr>
          <w:rFonts w:hint="eastAsia" w:ascii="宋体" w:hAnsi="宋体" w:cs="宋体"/>
          <w:b/>
          <w:bCs/>
          <w:szCs w:val="21"/>
          <w:highlight w:val="none"/>
        </w:rPr>
      </w:pPr>
      <w:bookmarkStart w:id="136" w:name="_Toc35425123"/>
      <w:bookmarkStart w:id="137" w:name="_Toc15058922"/>
      <w:bookmarkStart w:id="138" w:name="_Toc506107328"/>
      <w:bookmarkStart w:id="139" w:name="_Toc35424957"/>
      <w:bookmarkStart w:id="140" w:name="_Toc78803392"/>
      <w:bookmarkStart w:id="141" w:name="_Toc13125"/>
      <w:r>
        <w:rPr>
          <w:rFonts w:hint="eastAsia" w:ascii="宋体" w:hAnsi="宋体" w:cs="宋体"/>
          <w:b/>
          <w:bCs/>
          <w:szCs w:val="21"/>
          <w:highlight w:val="none"/>
        </w:rPr>
        <w:t>5.无效投标条款</w:t>
      </w:r>
      <w:bookmarkEnd w:id="133"/>
      <w:bookmarkEnd w:id="136"/>
      <w:bookmarkEnd w:id="137"/>
      <w:bookmarkEnd w:id="138"/>
      <w:bookmarkEnd w:id="139"/>
      <w:bookmarkEnd w:id="140"/>
      <w:bookmarkEnd w:id="141"/>
    </w:p>
    <w:p w14:paraId="3A9A1D34">
      <w:pPr>
        <w:spacing w:line="440" w:lineRule="exact"/>
        <w:ind w:firstLine="420" w:firstLineChars="200"/>
        <w:jc w:val="left"/>
        <w:rPr>
          <w:rFonts w:ascii="宋体" w:hAnsi="宋体" w:cs="宋体"/>
          <w:szCs w:val="21"/>
          <w:highlight w:val="none"/>
        </w:rPr>
      </w:pPr>
      <w:bookmarkStart w:id="142" w:name="_Toc506107329"/>
      <w:bookmarkStart w:id="143" w:name="_Toc35425124"/>
      <w:bookmarkStart w:id="144" w:name="_Toc78803393"/>
      <w:bookmarkStart w:id="145" w:name="_Toc324404877"/>
      <w:bookmarkStart w:id="146" w:name="_Toc15058923"/>
      <w:bookmarkStart w:id="147" w:name="_Toc35424958"/>
      <w:bookmarkStart w:id="148" w:name="_Toc27846"/>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183BDEB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（1）未上传电子标书或电子标书经审查不合格；</w:t>
      </w:r>
    </w:p>
    <w:p w14:paraId="66E22EDE">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BF44DA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其他无效投标情况：</w:t>
      </w:r>
    </w:p>
    <w:p w14:paraId="2F46263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17D76A0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（2）按第三章《评标方法》4.</w:t>
      </w:r>
      <w:r>
        <w:rPr>
          <w:rFonts w:hint="eastAsia" w:ascii="宋体" w:hAnsi="宋体" w:cs="宋体"/>
          <w:szCs w:val="21"/>
          <w:highlight w:val="none"/>
          <w:lang w:val="en-US" w:eastAsia="zh-CN"/>
        </w:rPr>
        <w:t>1</w:t>
      </w:r>
      <w:r>
        <w:rPr>
          <w:rFonts w:hint="eastAsia" w:ascii="宋体" w:hAnsi="宋体" w:cs="宋体"/>
          <w:szCs w:val="21"/>
          <w:highlight w:val="none"/>
        </w:rPr>
        <w:t>.4条款修正错误的原则及方法调整或修正投标文件的投标报价，调整或修正的价格经投标人书面确认后具有约束力。投标人不接修正价格的，其投标将被拒绝。</w:t>
      </w:r>
    </w:p>
    <w:p w14:paraId="773D473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3A0CE9A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383CF0E2">
      <w:pPr>
        <w:spacing w:line="440" w:lineRule="exact"/>
        <w:ind w:firstLine="420" w:firstLineChars="200"/>
        <w:jc w:val="left"/>
        <w:rPr>
          <w:rFonts w:hint="eastAsia" w:ascii="宋体" w:hAnsi="宋体" w:cs="宋体"/>
          <w:szCs w:val="21"/>
          <w:highlight w:val="none"/>
          <w:lang w:eastAsia="zh-CN"/>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r>
        <w:rPr>
          <w:rFonts w:hint="eastAsia" w:ascii="宋体" w:hAnsi="宋体" w:cs="宋体"/>
          <w:szCs w:val="21"/>
          <w:highlight w:val="none"/>
          <w:lang w:eastAsia="zh-CN"/>
        </w:rPr>
        <w:t>。</w:t>
      </w:r>
    </w:p>
    <w:p w14:paraId="5716508E">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396A51E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4FB27C4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DEC770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CC3F58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127F7E4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2EE930E2">
      <w:pPr>
        <w:snapToGrid w:val="0"/>
        <w:spacing w:line="440" w:lineRule="exact"/>
        <w:ind w:right="252" w:rightChars="120" w:firstLine="420" w:firstLineChars="200"/>
        <w:jc w:val="left"/>
        <w:rPr>
          <w:rFonts w:hint="eastAsia" w:ascii="宋体" w:hAnsi="宋体" w:cs="宋体"/>
          <w:b/>
          <w:bCs/>
          <w:szCs w:val="21"/>
          <w:highlight w:val="none"/>
        </w:rPr>
      </w:pPr>
      <w:r>
        <w:rPr>
          <w:rFonts w:hint="eastAsia" w:ascii="宋体" w:hAnsi="宋体" w:cs="宋体"/>
          <w:b/>
          <w:bCs/>
          <w:szCs w:val="21"/>
          <w:highlight w:val="none"/>
        </w:rPr>
        <w:t>6.投标文件的澄清和补正</w:t>
      </w:r>
      <w:bookmarkEnd w:id="142"/>
      <w:bookmarkEnd w:id="143"/>
      <w:bookmarkEnd w:id="144"/>
      <w:bookmarkEnd w:id="145"/>
      <w:bookmarkEnd w:id="146"/>
      <w:bookmarkEnd w:id="147"/>
      <w:bookmarkEnd w:id="148"/>
    </w:p>
    <w:p w14:paraId="23C52B2D">
      <w:pPr>
        <w:spacing w:line="440" w:lineRule="exact"/>
        <w:ind w:firstLine="420" w:firstLineChars="200"/>
        <w:jc w:val="left"/>
        <w:rPr>
          <w:rFonts w:hint="eastAsia" w:ascii="宋体" w:hAnsi="宋体" w:cs="宋体"/>
          <w:szCs w:val="21"/>
          <w:highlight w:val="none"/>
        </w:rPr>
      </w:pPr>
      <w:bookmarkStart w:id="149" w:name="_Toc506107330"/>
      <w:bookmarkStart w:id="150" w:name="_Toc78803394"/>
      <w:bookmarkStart w:id="151" w:name="_Toc15058924"/>
      <w:bookmarkStart w:id="152" w:name="_Toc35424959"/>
      <w:bookmarkStart w:id="153" w:name="_Toc13990"/>
      <w:bookmarkStart w:id="154" w:name="_Toc35425125"/>
      <w:bookmarkStart w:id="155" w:name="_Toc324404878"/>
      <w:r>
        <w:rPr>
          <w:rFonts w:hint="eastAsia" w:ascii="宋体" w:hAnsi="宋体" w:cs="宋体"/>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1BC46CFD">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414C098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6.4</w:t>
      </w:r>
      <w:r>
        <w:rPr>
          <w:rFonts w:hint="eastAsia" w:ascii="宋体" w:hAnsi="宋体" w:cs="宋体"/>
          <w:szCs w:val="21"/>
          <w:highlight w:val="none"/>
        </w:rPr>
        <w:t>评委会修正错误的原则：</w:t>
      </w:r>
    </w:p>
    <w:p w14:paraId="684FD52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1A5134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.2如果单价与数量的乘积和总价不一致，以单价为准，修正总价及开标一览表；当单价小数点有明显的错位时，评委会将以总价为准，并修正其单价。</w:t>
      </w:r>
    </w:p>
    <w:p w14:paraId="4E02C201">
      <w:pPr>
        <w:spacing w:line="440" w:lineRule="exact"/>
        <w:ind w:firstLine="420" w:firstLineChars="200"/>
        <w:jc w:val="left"/>
        <w:rPr>
          <w:rFonts w:hint="eastAsia" w:ascii="宋体" w:hAnsi="宋体" w:eastAsia="宋体" w:cs="宋体"/>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hAnsi="宋体" w:cs="宋体"/>
          <w:szCs w:val="21"/>
          <w:highlight w:val="none"/>
          <w:lang w:eastAsia="zh-CN"/>
        </w:rPr>
        <w:t>投标人在系统中</w:t>
      </w:r>
      <w:r>
        <w:rPr>
          <w:rFonts w:hint="eastAsia" w:ascii="宋体" w:hAnsi="宋体" w:cs="宋体"/>
          <w:szCs w:val="21"/>
          <w:highlight w:val="none"/>
        </w:rPr>
        <w:t>确认。投标人拒绝对投标文件出现的错漏按上述原则进行修正、澄清、说明，评标委员会应当否决其投标。</w:t>
      </w:r>
    </w:p>
    <w:bookmarkEnd w:id="149"/>
    <w:bookmarkEnd w:id="150"/>
    <w:bookmarkEnd w:id="151"/>
    <w:bookmarkEnd w:id="152"/>
    <w:bookmarkEnd w:id="153"/>
    <w:bookmarkEnd w:id="154"/>
    <w:bookmarkEnd w:id="155"/>
    <w:p w14:paraId="1ACBAC65">
      <w:pPr>
        <w:snapToGrid w:val="0"/>
        <w:spacing w:line="440" w:lineRule="exact"/>
        <w:ind w:right="252" w:rightChars="120" w:firstLine="420" w:firstLineChars="200"/>
        <w:jc w:val="left"/>
        <w:rPr>
          <w:rFonts w:hint="eastAsia" w:ascii="宋体" w:hAnsi="宋体" w:cs="宋体"/>
          <w:b/>
          <w:bCs/>
          <w:szCs w:val="21"/>
          <w:highlight w:val="none"/>
        </w:rPr>
      </w:pPr>
      <w:bookmarkStart w:id="156" w:name="_Toc35425126"/>
      <w:bookmarkStart w:id="157" w:name="_Toc324404879"/>
      <w:bookmarkStart w:id="158" w:name="_Toc15058925"/>
      <w:bookmarkStart w:id="159" w:name="_Toc506107331"/>
      <w:bookmarkStart w:id="160" w:name="_Toc35424960"/>
      <w:bookmarkStart w:id="161" w:name="_Toc22863"/>
      <w:bookmarkStart w:id="162" w:name="_Toc78803395"/>
      <w:r>
        <w:rPr>
          <w:rFonts w:hint="eastAsia" w:ascii="宋体" w:hAnsi="宋体" w:cs="宋体"/>
          <w:b/>
          <w:bCs/>
          <w:szCs w:val="21"/>
          <w:highlight w:val="none"/>
          <w:lang w:val="en-US" w:eastAsia="zh-CN"/>
        </w:rPr>
        <w:t>7</w:t>
      </w:r>
      <w:r>
        <w:rPr>
          <w:rFonts w:hint="eastAsia" w:ascii="宋体" w:hAnsi="宋体" w:cs="宋体"/>
          <w:b/>
          <w:bCs/>
          <w:szCs w:val="21"/>
          <w:highlight w:val="none"/>
        </w:rPr>
        <w:t>.评审结果</w:t>
      </w:r>
      <w:bookmarkEnd w:id="156"/>
      <w:bookmarkEnd w:id="157"/>
      <w:bookmarkEnd w:id="158"/>
      <w:bookmarkEnd w:id="159"/>
      <w:bookmarkEnd w:id="160"/>
      <w:bookmarkEnd w:id="161"/>
      <w:bookmarkEnd w:id="162"/>
    </w:p>
    <w:p w14:paraId="1D3FA9D5">
      <w:pPr>
        <w:snapToGrid w:val="0"/>
        <w:spacing w:line="400" w:lineRule="exact"/>
        <w:ind w:firstLine="420"/>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.1</w:t>
      </w:r>
      <w:r>
        <w:rPr>
          <w:rFonts w:hint="eastAsia" w:ascii="宋体" w:hAnsi="宋体" w:eastAsia="宋体" w:cs="宋体"/>
          <w:color w:val="auto"/>
          <w:szCs w:val="21"/>
          <w:highlight w:val="none"/>
        </w:rPr>
        <w:t>除第二章“投标人须知”及其前附表授权直接确定中标人外，评</w:t>
      </w:r>
      <w:bookmarkStart w:id="163" w:name="_Toc60061508"/>
      <w:r>
        <w:rPr>
          <w:rFonts w:hint="eastAsia" w:ascii="宋体" w:hAnsi="宋体" w:eastAsia="宋体" w:cs="宋体"/>
          <w:color w:val="auto"/>
          <w:szCs w:val="21"/>
          <w:highlight w:val="none"/>
        </w:rPr>
        <w:t>标委员会</w:t>
      </w:r>
      <w:bookmarkEnd w:id="163"/>
      <w:r>
        <w:rPr>
          <w:rFonts w:hint="eastAsia" w:ascii="宋体" w:hAnsi="宋体" w:eastAsia="宋体" w:cs="宋体"/>
          <w:color w:val="auto"/>
          <w:szCs w:val="21"/>
          <w:highlight w:val="none"/>
        </w:rPr>
        <w:t>按有效报价由低到高的顺序推荐中标候选人。</w:t>
      </w:r>
    </w:p>
    <w:p w14:paraId="3CA7378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.2评标委员会完成评标后，应当向招标人提交书面评标报告。评标报告应当如实记载以下内容：</w:t>
      </w:r>
    </w:p>
    <w:p w14:paraId="4DF37A4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（1）基本情况和数据表。</w:t>
      </w:r>
    </w:p>
    <w:p w14:paraId="23F67FF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（2）评标委员会成员名单。</w:t>
      </w:r>
    </w:p>
    <w:p w14:paraId="4F0AE41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（3）开标记录。</w:t>
      </w:r>
    </w:p>
    <w:p w14:paraId="7F629D6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（4）符合要求的投标人一览表。</w:t>
      </w:r>
    </w:p>
    <w:p w14:paraId="42000B1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（5）废标情况说明。</w:t>
      </w:r>
    </w:p>
    <w:p w14:paraId="4A1FFC4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（6）评标标准、评标方法或者评标因素。</w:t>
      </w:r>
    </w:p>
    <w:p w14:paraId="4DBC3AB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（7）经评审的价格一览表。</w:t>
      </w:r>
    </w:p>
    <w:p w14:paraId="0A507EC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（8）经评审的投标人排序。</w:t>
      </w:r>
    </w:p>
    <w:p w14:paraId="1556A34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2A8C5AC4">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5E8BC5E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72E51DC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2A90A7A8">
      <w:pPr>
        <w:snapToGrid w:val="0"/>
        <w:spacing w:line="440" w:lineRule="exact"/>
        <w:ind w:right="252" w:rightChars="120" w:firstLine="420" w:firstLineChars="200"/>
        <w:jc w:val="left"/>
        <w:rPr>
          <w:rFonts w:hint="eastAsia" w:ascii="宋体" w:hAnsi="宋体" w:cs="宋体"/>
          <w:b/>
          <w:bCs/>
          <w:szCs w:val="21"/>
          <w:highlight w:val="none"/>
        </w:rPr>
      </w:pPr>
      <w:bookmarkStart w:id="164" w:name="_Toc15058926"/>
      <w:bookmarkStart w:id="165" w:name="_Toc506107332"/>
      <w:bookmarkStart w:id="166" w:name="_Toc35425127"/>
      <w:bookmarkStart w:id="167" w:name="_Toc324404880"/>
      <w:bookmarkStart w:id="168" w:name="_Toc78803396"/>
      <w:bookmarkStart w:id="169" w:name="_Toc35424961"/>
      <w:bookmarkStart w:id="170" w:name="_Toc1576"/>
      <w:r>
        <w:rPr>
          <w:rFonts w:hint="eastAsia" w:ascii="宋体" w:hAnsi="宋体" w:cs="宋体"/>
          <w:b/>
          <w:bCs/>
          <w:szCs w:val="21"/>
          <w:highlight w:val="none"/>
          <w:lang w:val="en-US" w:eastAsia="zh-CN"/>
        </w:rPr>
        <w:t>8</w:t>
      </w:r>
      <w:r>
        <w:rPr>
          <w:rFonts w:hint="eastAsia" w:ascii="宋体" w:hAnsi="宋体" w:cs="宋体"/>
          <w:b/>
          <w:bCs/>
          <w:szCs w:val="21"/>
          <w:highlight w:val="none"/>
        </w:rPr>
        <w:t>.其他</w:t>
      </w:r>
      <w:bookmarkEnd w:id="164"/>
      <w:bookmarkEnd w:id="165"/>
      <w:bookmarkEnd w:id="166"/>
      <w:bookmarkEnd w:id="167"/>
      <w:bookmarkEnd w:id="168"/>
      <w:bookmarkEnd w:id="169"/>
      <w:bookmarkEnd w:id="170"/>
    </w:p>
    <w:bookmarkEnd w:id="98"/>
    <w:bookmarkEnd w:id="99"/>
    <w:bookmarkEnd w:id="100"/>
    <w:bookmarkEnd w:id="101"/>
    <w:bookmarkEnd w:id="102"/>
    <w:bookmarkEnd w:id="103"/>
    <w:bookmarkEnd w:id="104"/>
    <w:bookmarkEnd w:id="105"/>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DD4412F">
      <w:pPr>
        <w:keepNext w:val="0"/>
        <w:keepLines w:val="0"/>
        <w:pageBreakBefore w:val="0"/>
        <w:widowControl w:val="0"/>
        <w:kinsoku/>
        <w:wordWrap/>
        <w:overflowPunct/>
        <w:topLinePunct w:val="0"/>
        <w:autoSpaceDE/>
        <w:autoSpaceDN/>
        <w:bidi w:val="0"/>
        <w:adjustRightInd/>
        <w:snapToGrid w:val="0"/>
        <w:spacing w:line="480" w:lineRule="auto"/>
        <w:ind w:right="252" w:rightChars="120" w:firstLine="560" w:firstLineChars="200"/>
        <w:jc w:val="center"/>
        <w:textAlignment w:val="auto"/>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0643EE85">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w:t>
      </w:r>
      <w:r>
        <w:rPr>
          <w:rFonts w:hint="eastAsia" w:ascii="宋体" w:hAnsi="宋体" w:eastAsia="宋体" w:cs="宋体"/>
          <w:b/>
          <w:bCs/>
          <w:sz w:val="21"/>
          <w:szCs w:val="21"/>
          <w:highlight w:val="none"/>
          <w:lang w:val="en-US" w:eastAsia="zh-CN"/>
        </w:rPr>
        <w:t>项目</w:t>
      </w:r>
      <w:r>
        <w:rPr>
          <w:rFonts w:hint="eastAsia" w:ascii="宋体" w:hAnsi="宋体" w:eastAsia="宋体" w:cs="宋体"/>
          <w:b/>
          <w:bCs/>
          <w:sz w:val="21"/>
          <w:szCs w:val="21"/>
          <w:highlight w:val="none"/>
        </w:rPr>
        <w:t>概况</w:t>
      </w:r>
    </w:p>
    <w:p w14:paraId="6BB94FDB">
      <w:pPr>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滁宁城际铁路位于安徽省东部，江苏省西部；线路西起安徽省滁州市滁州站，途经滁州市市区、苏滁产业园、来安县、南京市浦口区，止于南京规划的南京北站。滁宁城际与南京、滁州两市高铁网、轨道交通网相衔接，起点滁州高铁站与滁州规划轨道交通2号线、4号线、既有京沪高铁滁州站换乘，林楼站与规划轨道交通3号线换乘，终点南京北站与南京地铁3号线、4号线及18号线换乘。</w:t>
      </w:r>
    </w:p>
    <w:p w14:paraId="19E75FE8">
      <w:pPr>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滁宁城际铁路途经滁州高铁站北侧至汊河镇站。共设置14座车站，其中地下站2座，高架站12座（含未启用车站4座），其中总线路44.83km，含地下区间5.71km，高架区间38.84km（含1289座桥墩，4704个支座）；1处控制中心、1处车辆段、2座主变电所。</w:t>
      </w:r>
    </w:p>
    <w:p w14:paraId="4523FD88">
      <w:pPr>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国家针对建筑物防雷工程制定了相关法律法规，如《安徽省气象管理条例》、《滁州市雷电灾害防御管理办法》等。根据以上规定，建筑物进行竣工验收时必须进行防雷检测，并且每年需要进行定期检测。为了排查滁宁城际全线及基地、高架站房屋建筑防雷系统性能，及时发现各种安全隐患，采</w:t>
      </w:r>
      <w:r>
        <w:rPr>
          <w:rFonts w:hint="eastAsia" w:ascii="宋体" w:hAnsi="宋体" w:eastAsia="宋体" w:cs="宋体"/>
          <w:sz w:val="21"/>
          <w:szCs w:val="21"/>
          <w:highlight w:val="none"/>
          <w:lang w:val="en-US" w:eastAsia="zh-CN"/>
        </w:rPr>
        <w:t>取措施避免或减少意外事故，现对滁宁城际全线网建筑防雷装置进行集中统一专业检测。</w:t>
      </w:r>
    </w:p>
    <w:p w14:paraId="2B602D7A">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二、服务内容</w:t>
      </w:r>
    </w:p>
    <w:p w14:paraId="457F8B01">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1.通过借鉴国内地铁检测报告数据及滁宁城铁开通前防雷检测报告数据分析，年度预测点位如下：</w:t>
      </w:r>
    </w:p>
    <w:tbl>
      <w:tblPr>
        <w:tblStyle w:val="22"/>
        <w:tblpPr w:leftFromText="180" w:rightFromText="180" w:vertAnchor="text" w:horzAnchor="page" w:tblpX="682" w:tblpY="375"/>
        <w:tblOverlap w:val="never"/>
        <w:tblW w:w="577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01"/>
        <w:gridCol w:w="1843"/>
        <w:gridCol w:w="1392"/>
        <w:gridCol w:w="2421"/>
        <w:gridCol w:w="2260"/>
      </w:tblGrid>
      <w:tr w14:paraId="6C2B1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ign w:val="center"/>
          </w:tcPr>
          <w:p w14:paraId="7B188F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lang w:val="en-US" w:eastAsia="zh-CN"/>
              </w:rPr>
              <w:t>车站</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016BDD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lang w:val="en-US" w:eastAsia="zh-CN"/>
              </w:rPr>
              <w:t>建筑面积㎡</w:t>
            </w:r>
          </w:p>
        </w:tc>
        <w:tc>
          <w:tcPr>
            <w:tcW w:w="1201" w:type="dxa"/>
            <w:tcBorders>
              <w:top w:val="single" w:color="000000" w:sz="4" w:space="0"/>
              <w:left w:val="single" w:color="000000" w:sz="4" w:space="0"/>
              <w:bottom w:val="single" w:color="000000" w:sz="4" w:space="0"/>
              <w:right w:val="single" w:color="000000" w:sz="4" w:space="0"/>
            </w:tcBorders>
            <w:noWrap/>
            <w:vAlign w:val="center"/>
          </w:tcPr>
          <w:p w14:paraId="26276E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lang w:val="en-US" w:eastAsia="zh-CN"/>
              </w:rPr>
              <w:t>长度</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7A15B8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lang w:val="en-US" w:eastAsia="zh-CN"/>
              </w:rPr>
              <w:t>总体检测点（含建筑主体、附属楼、变电间、机房等预估量）</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37C50D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lang w:val="en-US" w:eastAsia="zh-CN"/>
              </w:rPr>
              <w:t>车站形式</w:t>
            </w:r>
          </w:p>
        </w:tc>
      </w:tr>
      <w:tr w14:paraId="342FB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5E795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滁州高铁站（二类）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4CFBCE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8249.1</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3BC0B2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05370F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70</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3E669E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路中高架三层侧式</w:t>
            </w:r>
          </w:p>
        </w:tc>
      </w:tr>
      <w:tr w14:paraId="3B4D4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1F6C69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腰铺站（二类）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0091C9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7942.32</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44F040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6FBD27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36</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0B24AF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路中高架三层侧式</w:t>
            </w:r>
          </w:p>
        </w:tc>
      </w:tr>
      <w:tr w14:paraId="16129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2E9FEF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花博园站（二类）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3B4E70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8760.05</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041FC9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5D48BF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68</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33CB45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路中高架二层侧式</w:t>
            </w:r>
          </w:p>
        </w:tc>
      </w:tr>
      <w:tr w14:paraId="0CE18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790691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琅琊山站（三类）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25EE3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12831.15</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434D8C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144</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721329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45</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62CC06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地下二层岛式</w:t>
            </w:r>
          </w:p>
        </w:tc>
      </w:tr>
      <w:tr w14:paraId="272F4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336318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滁州政务中心站（三类）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3F3312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12611.52</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407168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144</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361E01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45</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331DA5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地下二层岛式</w:t>
            </w:r>
          </w:p>
        </w:tc>
      </w:tr>
      <w:tr w14:paraId="2E5B9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6C9D74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担子站（二类）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0187E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8249.1</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578E46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0D8581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35</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7071D5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路中高架三层侧式</w:t>
            </w:r>
          </w:p>
        </w:tc>
      </w:tr>
      <w:tr w14:paraId="5ED97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29F626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苏滁商务中心站（二类）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067C43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8812.15</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365875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695786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50</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6AB988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路中高架三层侧式</w:t>
            </w:r>
          </w:p>
        </w:tc>
      </w:tr>
      <w:tr w14:paraId="06606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1063C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大王郢站（二类）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0A1B6E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7691.87</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4EE261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144E62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45</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3636AB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路中高架三层岛式</w:t>
            </w:r>
          </w:p>
        </w:tc>
      </w:tr>
      <w:tr w14:paraId="0DA95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271EC1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林楼站（二类）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179313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10173.13</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030A21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24E34B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55</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7DC1BC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路中高架三层岛式</w:t>
            </w:r>
          </w:p>
        </w:tc>
      </w:tr>
      <w:tr w14:paraId="31844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41EE1D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水口站（二类）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5FD80C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4777.1</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6138D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50AFE7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23</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0BC9DA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路中高架三层侧式</w:t>
            </w:r>
          </w:p>
        </w:tc>
      </w:tr>
      <w:tr w14:paraId="0ECBE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02DBC7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十二里半站（二类）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107EF1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10345.3</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0D2CE1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79644E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66</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389060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路中高架三层侧式</w:t>
            </w:r>
          </w:p>
        </w:tc>
      </w:tr>
      <w:tr w14:paraId="15132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42C363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相官站（二类）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1E0BC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5111.8</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7B849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1A6F63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22</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21C9E2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路中高架二层侧式</w:t>
            </w:r>
          </w:p>
        </w:tc>
      </w:tr>
      <w:tr w14:paraId="67DAB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6995B3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汊河新城站（二类）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323E7D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7711.5</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2D8662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61A308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53</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239FF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路中高架三层侧式</w:t>
            </w:r>
          </w:p>
        </w:tc>
      </w:tr>
      <w:tr w14:paraId="75C6E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0"/>
            <w:vAlign w:val="center"/>
          </w:tcPr>
          <w:p w14:paraId="270BE2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汊河站（二类）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50CFDB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9817.6</w:t>
            </w:r>
          </w:p>
        </w:tc>
        <w:tc>
          <w:tcPr>
            <w:tcW w:w="1201" w:type="dxa"/>
            <w:tcBorders>
              <w:top w:val="single" w:color="000000" w:sz="4" w:space="0"/>
              <w:left w:val="single" w:color="000000" w:sz="4" w:space="0"/>
              <w:bottom w:val="single" w:color="000000" w:sz="4" w:space="0"/>
              <w:right w:val="single" w:color="000000" w:sz="4" w:space="0"/>
            </w:tcBorders>
            <w:noWrap w:val="0"/>
            <w:vAlign w:val="center"/>
          </w:tcPr>
          <w:p w14:paraId="746609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100</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01D2C8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73</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3968F6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路中高架二层侧式</w:t>
            </w:r>
          </w:p>
        </w:tc>
      </w:tr>
      <w:tr w14:paraId="2CA5B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ign w:val="center"/>
          </w:tcPr>
          <w:p w14:paraId="74AA00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丰乐主所</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5961DA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3652</w:t>
            </w:r>
          </w:p>
        </w:tc>
        <w:tc>
          <w:tcPr>
            <w:tcW w:w="1201" w:type="dxa"/>
            <w:tcBorders>
              <w:top w:val="single" w:color="000000" w:sz="4" w:space="0"/>
              <w:left w:val="single" w:color="000000" w:sz="4" w:space="0"/>
              <w:bottom w:val="single" w:color="000000" w:sz="4" w:space="0"/>
              <w:right w:val="single" w:color="000000" w:sz="4" w:space="0"/>
            </w:tcBorders>
            <w:noWrap/>
            <w:vAlign w:val="center"/>
          </w:tcPr>
          <w:p w14:paraId="0A9C8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68.4*23.3</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1F009A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87</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4A9C2A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p>
        </w:tc>
      </w:tr>
      <w:tr w14:paraId="69D7F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ign w:val="center"/>
          </w:tcPr>
          <w:p w14:paraId="0BB22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相官主所</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35E73F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3693.16</w:t>
            </w:r>
          </w:p>
        </w:tc>
        <w:tc>
          <w:tcPr>
            <w:tcW w:w="1201" w:type="dxa"/>
            <w:tcBorders>
              <w:top w:val="single" w:color="000000" w:sz="4" w:space="0"/>
              <w:left w:val="single" w:color="000000" w:sz="4" w:space="0"/>
              <w:bottom w:val="single" w:color="000000" w:sz="4" w:space="0"/>
              <w:right w:val="single" w:color="000000" w:sz="4" w:space="0"/>
            </w:tcBorders>
            <w:noWrap/>
            <w:vAlign w:val="center"/>
          </w:tcPr>
          <w:p w14:paraId="574D40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68.4*23.3</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64CE1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87</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0201A2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p>
        </w:tc>
      </w:tr>
      <w:tr w14:paraId="7DAFB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ign w:val="center"/>
          </w:tcPr>
          <w:p w14:paraId="5AEFBA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相官基地</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086338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70711.62</w:t>
            </w:r>
          </w:p>
        </w:tc>
        <w:tc>
          <w:tcPr>
            <w:tcW w:w="1201" w:type="dxa"/>
            <w:tcBorders>
              <w:top w:val="single" w:color="000000" w:sz="4" w:space="0"/>
              <w:left w:val="single" w:color="000000" w:sz="4" w:space="0"/>
              <w:bottom w:val="single" w:color="000000" w:sz="4" w:space="0"/>
              <w:right w:val="single" w:color="000000" w:sz="4" w:space="0"/>
            </w:tcBorders>
            <w:noWrap/>
            <w:vAlign w:val="center"/>
          </w:tcPr>
          <w:p w14:paraId="321743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034E2B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800</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0CB4B2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p>
        </w:tc>
      </w:tr>
      <w:tr w14:paraId="4E379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ign w:val="center"/>
          </w:tcPr>
          <w:p w14:paraId="33F1D3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控制中心</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55042D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57826</w:t>
            </w:r>
          </w:p>
        </w:tc>
        <w:tc>
          <w:tcPr>
            <w:tcW w:w="1201" w:type="dxa"/>
            <w:tcBorders>
              <w:top w:val="single" w:color="000000" w:sz="4" w:space="0"/>
              <w:left w:val="single" w:color="000000" w:sz="4" w:space="0"/>
              <w:bottom w:val="single" w:color="000000" w:sz="4" w:space="0"/>
              <w:right w:val="single" w:color="000000" w:sz="4" w:space="0"/>
            </w:tcBorders>
            <w:noWrap/>
            <w:vAlign w:val="center"/>
          </w:tcPr>
          <w:p w14:paraId="546EF3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123.3*33.6</w:t>
            </w:r>
          </w:p>
        </w:tc>
        <w:tc>
          <w:tcPr>
            <w:tcW w:w="2089" w:type="dxa"/>
            <w:tcBorders>
              <w:top w:val="single" w:color="000000" w:sz="4" w:space="0"/>
              <w:left w:val="single" w:color="000000" w:sz="4" w:space="0"/>
              <w:bottom w:val="single" w:color="000000" w:sz="4" w:space="0"/>
              <w:right w:val="single" w:color="000000" w:sz="4" w:space="0"/>
            </w:tcBorders>
            <w:noWrap w:val="0"/>
            <w:vAlign w:val="center"/>
          </w:tcPr>
          <w:p w14:paraId="138A3D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740</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5F24B4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p>
        </w:tc>
      </w:tr>
      <w:tr w14:paraId="07333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762" w:type="dxa"/>
            <w:tcBorders>
              <w:top w:val="single" w:color="000000" w:sz="4" w:space="0"/>
              <w:left w:val="single" w:color="000000" w:sz="4" w:space="0"/>
              <w:bottom w:val="single" w:color="000000" w:sz="4" w:space="0"/>
              <w:right w:val="single" w:color="000000" w:sz="4" w:space="0"/>
            </w:tcBorders>
            <w:noWrap/>
            <w:vAlign w:val="center"/>
          </w:tcPr>
          <w:p w14:paraId="151D25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合计</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17342D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258966.47</w:t>
            </w:r>
          </w:p>
        </w:tc>
        <w:tc>
          <w:tcPr>
            <w:tcW w:w="1201" w:type="dxa"/>
            <w:tcBorders>
              <w:top w:val="single" w:color="000000" w:sz="4" w:space="0"/>
              <w:left w:val="single" w:color="000000" w:sz="4" w:space="0"/>
              <w:bottom w:val="single" w:color="000000" w:sz="4" w:space="0"/>
              <w:right w:val="single" w:color="000000" w:sz="4" w:space="0"/>
            </w:tcBorders>
            <w:noWrap/>
            <w:vAlign w:val="center"/>
          </w:tcPr>
          <w:p w14:paraId="550878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p>
        </w:tc>
        <w:tc>
          <w:tcPr>
            <w:tcW w:w="2089" w:type="dxa"/>
            <w:tcBorders>
              <w:top w:val="single" w:color="000000" w:sz="4" w:space="0"/>
              <w:left w:val="single" w:color="000000" w:sz="4" w:space="0"/>
              <w:bottom w:val="single" w:color="000000" w:sz="4" w:space="0"/>
              <w:right w:val="single" w:color="000000" w:sz="4" w:space="0"/>
            </w:tcBorders>
            <w:noWrap/>
            <w:vAlign w:val="center"/>
          </w:tcPr>
          <w:p w14:paraId="24584B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2400</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665F2B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highlight w:val="none"/>
                <w:lang w:val="en-US" w:eastAsia="zh-CN"/>
              </w:rPr>
            </w:pPr>
          </w:p>
        </w:tc>
      </w:tr>
    </w:tbl>
    <w:p w14:paraId="5882A6FB">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注：通过查阅设计院提供的设计图中的设计说明，汊河站、汊河新城站、</w:t>
      </w:r>
      <w:r>
        <w:rPr>
          <w:rFonts w:hint="eastAsia" w:ascii="宋体" w:hAnsi="宋体" w:eastAsia="宋体" w:cs="宋体"/>
          <w:sz w:val="21"/>
          <w:szCs w:val="21"/>
          <w:highlight w:val="none"/>
          <w:lang w:val="en-US" w:eastAsia="zh-CN"/>
        </w:rPr>
        <w:fldChar w:fldCharType="begin"/>
      </w:r>
      <w:r>
        <w:rPr>
          <w:rFonts w:hint="eastAsia" w:ascii="宋体" w:hAnsi="宋体" w:eastAsia="宋体" w:cs="宋体"/>
          <w:sz w:val="21"/>
          <w:szCs w:val="21"/>
          <w:highlight w:val="none"/>
          <w:lang w:val="en-US" w:eastAsia="zh-CN"/>
        </w:rPr>
        <w:instrText xml:space="preserve"> HYPERLINK "https://baike.baidu.com/item/%E7%9B%B8%E5%AE%98%E7%AB%99/20273484?fromModule=lemma_inlink" \t "https://baike.baidu.com/item/%E6%BB%81%E5%B7%9E%E8%BD%A8%E9%81%93%E4%BA%A4%E9%80%9A%E5%AE%81%E6%BB%81%E7%BA%BF/_blank" </w:instrText>
      </w:r>
      <w:r>
        <w:rPr>
          <w:rFonts w:hint="eastAsia" w:ascii="宋体" w:hAnsi="宋体" w:eastAsia="宋体" w:cs="宋体"/>
          <w:sz w:val="21"/>
          <w:szCs w:val="21"/>
          <w:highlight w:val="none"/>
          <w:lang w:val="en-US" w:eastAsia="zh-CN"/>
        </w:rPr>
        <w:fldChar w:fldCharType="separate"/>
      </w:r>
      <w:r>
        <w:rPr>
          <w:rFonts w:hint="default" w:ascii="宋体" w:hAnsi="宋体" w:eastAsia="宋体" w:cs="宋体"/>
          <w:sz w:val="21"/>
          <w:szCs w:val="21"/>
          <w:highlight w:val="none"/>
          <w:lang w:val="en-US" w:eastAsia="zh-CN"/>
        </w:rPr>
        <w:t>相官站</w:t>
      </w:r>
      <w:r>
        <w:rPr>
          <w:rFonts w:hint="default" w:ascii="宋体" w:hAnsi="宋体" w:eastAsia="宋体" w:cs="宋体"/>
          <w:sz w:val="21"/>
          <w:szCs w:val="21"/>
          <w:highlight w:val="none"/>
          <w:lang w:val="en-US" w:eastAsia="zh-CN"/>
        </w:rPr>
        <w:fldChar w:fldCharType="end"/>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lang w:val="en-US" w:eastAsia="zh-CN"/>
        </w:rPr>
        <w:fldChar w:fldCharType="begin"/>
      </w:r>
      <w:r>
        <w:rPr>
          <w:rFonts w:hint="eastAsia" w:ascii="宋体" w:hAnsi="宋体" w:eastAsia="宋体" w:cs="宋体"/>
          <w:sz w:val="21"/>
          <w:szCs w:val="21"/>
          <w:highlight w:val="none"/>
          <w:lang w:val="en-US" w:eastAsia="zh-CN"/>
        </w:rPr>
        <w:instrText xml:space="preserve"> HYPERLINK "https://baike.baidu.com/item/%E5%8D%81%E4%BA%8C%E9%87%8C%E5%8D%8A%E7%AB%99/62734014?fromModule=lemma_inlink" \t "https://baike.baidu.com/item/%E6%BB%81%E5%B7%9E%E8%BD%A8%E9%81%93%E4%BA%A4%E9%80%9A%E5%AE%81%E6%BB%81%E7%BA%BF/_blank" </w:instrText>
      </w:r>
      <w:r>
        <w:rPr>
          <w:rFonts w:hint="eastAsia" w:ascii="宋体" w:hAnsi="宋体" w:eastAsia="宋体" w:cs="宋体"/>
          <w:sz w:val="21"/>
          <w:szCs w:val="21"/>
          <w:highlight w:val="none"/>
          <w:lang w:val="en-US" w:eastAsia="zh-CN"/>
        </w:rPr>
        <w:fldChar w:fldCharType="separate"/>
      </w:r>
      <w:r>
        <w:rPr>
          <w:rFonts w:hint="default" w:ascii="宋体" w:hAnsi="宋体" w:eastAsia="宋体" w:cs="宋体"/>
          <w:sz w:val="21"/>
          <w:szCs w:val="21"/>
          <w:highlight w:val="none"/>
          <w:lang w:val="en-US" w:eastAsia="zh-CN"/>
        </w:rPr>
        <w:t>十二里半站</w:t>
      </w:r>
      <w:r>
        <w:rPr>
          <w:rFonts w:hint="default" w:ascii="宋体" w:hAnsi="宋体" w:eastAsia="宋体" w:cs="宋体"/>
          <w:sz w:val="21"/>
          <w:szCs w:val="21"/>
          <w:highlight w:val="none"/>
          <w:lang w:val="en-US" w:eastAsia="zh-CN"/>
        </w:rPr>
        <w:fldChar w:fldCharType="end"/>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lang w:val="en-US" w:eastAsia="zh-CN"/>
        </w:rPr>
        <w:fldChar w:fldCharType="begin"/>
      </w:r>
      <w:r>
        <w:rPr>
          <w:rFonts w:hint="eastAsia" w:ascii="宋体" w:hAnsi="宋体" w:eastAsia="宋体" w:cs="宋体"/>
          <w:sz w:val="21"/>
          <w:szCs w:val="21"/>
          <w:highlight w:val="none"/>
          <w:lang w:val="en-US" w:eastAsia="zh-CN"/>
        </w:rPr>
        <w:instrText xml:space="preserve"> HYPERLINK "https://baike.baidu.com/item/%E6%B0%B4%E5%8F%A3%E7%AB%99/62725227?fromModule=lemma_inlink" \t "https://baike.baidu.com/item/%E6%BB%81%E5%B7%9E%E8%BD%A8%E9%81%93%E4%BA%A4%E9%80%9A%E5%AE%81%E6%BB%81%E7%BA%BF/_blank" </w:instrText>
      </w:r>
      <w:r>
        <w:rPr>
          <w:rFonts w:hint="eastAsia" w:ascii="宋体" w:hAnsi="宋体" w:eastAsia="宋体" w:cs="宋体"/>
          <w:sz w:val="21"/>
          <w:szCs w:val="21"/>
          <w:highlight w:val="none"/>
          <w:lang w:val="en-US" w:eastAsia="zh-CN"/>
        </w:rPr>
        <w:fldChar w:fldCharType="separate"/>
      </w:r>
      <w:r>
        <w:rPr>
          <w:rFonts w:hint="default" w:ascii="宋体" w:hAnsi="宋体" w:eastAsia="宋体" w:cs="宋体"/>
          <w:sz w:val="21"/>
          <w:szCs w:val="21"/>
          <w:highlight w:val="none"/>
          <w:lang w:val="en-US" w:eastAsia="zh-CN"/>
        </w:rPr>
        <w:t>水口站</w:t>
      </w:r>
      <w:r>
        <w:rPr>
          <w:rFonts w:hint="default" w:ascii="宋体" w:hAnsi="宋体" w:eastAsia="宋体" w:cs="宋体"/>
          <w:sz w:val="21"/>
          <w:szCs w:val="21"/>
          <w:highlight w:val="none"/>
          <w:lang w:val="en-US" w:eastAsia="zh-CN"/>
        </w:rPr>
        <w:fldChar w:fldCharType="end"/>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lang w:val="en-US" w:eastAsia="zh-CN"/>
        </w:rPr>
        <w:fldChar w:fldCharType="begin"/>
      </w:r>
      <w:r>
        <w:rPr>
          <w:rFonts w:hint="eastAsia" w:ascii="宋体" w:hAnsi="宋体" w:eastAsia="宋体" w:cs="宋体"/>
          <w:sz w:val="21"/>
          <w:szCs w:val="21"/>
          <w:highlight w:val="none"/>
          <w:lang w:val="en-US" w:eastAsia="zh-CN"/>
        </w:rPr>
        <w:instrText xml:space="preserve"> HYPERLINK "https://baike.baidu.com/item/%E6%9E%97%E6%A5%BC%E7%AB%99/62725280?fromModule=lemma_inlink" \t "https://baike.baidu.com/item/%E6%BB%81%E5%B7%9E%E8%BD%A8%E9%81%93%E4%BA%A4%E9%80%9A%E5%AE%81%E6%BB%81%E7%BA%BF/_blank" </w:instrText>
      </w:r>
      <w:r>
        <w:rPr>
          <w:rFonts w:hint="eastAsia" w:ascii="宋体" w:hAnsi="宋体" w:eastAsia="宋体" w:cs="宋体"/>
          <w:sz w:val="21"/>
          <w:szCs w:val="21"/>
          <w:highlight w:val="none"/>
          <w:lang w:val="en-US" w:eastAsia="zh-CN"/>
        </w:rPr>
        <w:fldChar w:fldCharType="separate"/>
      </w:r>
      <w:r>
        <w:rPr>
          <w:rFonts w:hint="default" w:ascii="宋体" w:hAnsi="宋体" w:eastAsia="宋体" w:cs="宋体"/>
          <w:sz w:val="21"/>
          <w:szCs w:val="21"/>
          <w:highlight w:val="none"/>
          <w:lang w:val="en-US" w:eastAsia="zh-CN"/>
        </w:rPr>
        <w:t>林楼站</w:t>
      </w:r>
      <w:r>
        <w:rPr>
          <w:rFonts w:hint="default" w:ascii="宋体" w:hAnsi="宋体" w:eastAsia="宋体" w:cs="宋体"/>
          <w:sz w:val="21"/>
          <w:szCs w:val="21"/>
          <w:highlight w:val="none"/>
          <w:lang w:val="en-US" w:eastAsia="zh-CN"/>
        </w:rPr>
        <w:fldChar w:fldCharType="end"/>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lang w:val="en-US" w:eastAsia="zh-CN"/>
        </w:rPr>
        <w:fldChar w:fldCharType="begin"/>
      </w:r>
      <w:r>
        <w:rPr>
          <w:rFonts w:hint="eastAsia" w:ascii="宋体" w:hAnsi="宋体" w:eastAsia="宋体" w:cs="宋体"/>
          <w:sz w:val="21"/>
          <w:szCs w:val="21"/>
          <w:highlight w:val="none"/>
          <w:lang w:val="en-US" w:eastAsia="zh-CN"/>
        </w:rPr>
        <w:instrText xml:space="preserve"> HYPERLINK "https://baike.baidu.com/item/%E5%A4%A7%E7%8E%8B%E9%83%A2%E7%AB%99/62734015?fromModule=lemma_inlink" \t "https://baike.baidu.com/item/%E6%BB%81%E5%B7%9E%E8%BD%A8%E9%81%93%E4%BA%A4%E9%80%9A%E5%AE%81%E6%BB%81%E7%BA%BF/_blank" </w:instrText>
      </w:r>
      <w:r>
        <w:rPr>
          <w:rFonts w:hint="eastAsia" w:ascii="宋体" w:hAnsi="宋体" w:eastAsia="宋体" w:cs="宋体"/>
          <w:sz w:val="21"/>
          <w:szCs w:val="21"/>
          <w:highlight w:val="none"/>
          <w:lang w:val="en-US" w:eastAsia="zh-CN"/>
        </w:rPr>
        <w:fldChar w:fldCharType="separate"/>
      </w:r>
      <w:r>
        <w:rPr>
          <w:rFonts w:hint="default" w:ascii="宋体" w:hAnsi="宋体" w:eastAsia="宋体" w:cs="宋体"/>
          <w:sz w:val="21"/>
          <w:szCs w:val="21"/>
          <w:highlight w:val="none"/>
          <w:lang w:val="en-US" w:eastAsia="zh-CN"/>
        </w:rPr>
        <w:t>大王郢站</w:t>
      </w:r>
      <w:r>
        <w:rPr>
          <w:rFonts w:hint="default" w:ascii="宋体" w:hAnsi="宋体" w:eastAsia="宋体" w:cs="宋体"/>
          <w:sz w:val="21"/>
          <w:szCs w:val="21"/>
          <w:highlight w:val="none"/>
          <w:lang w:val="en-US" w:eastAsia="zh-CN"/>
        </w:rPr>
        <w:fldChar w:fldCharType="end"/>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lang w:val="en-US" w:eastAsia="zh-CN"/>
        </w:rPr>
        <w:fldChar w:fldCharType="begin"/>
      </w:r>
      <w:r>
        <w:rPr>
          <w:rFonts w:hint="eastAsia" w:ascii="宋体" w:hAnsi="宋体" w:eastAsia="宋体" w:cs="宋体"/>
          <w:sz w:val="21"/>
          <w:szCs w:val="21"/>
          <w:highlight w:val="none"/>
          <w:lang w:val="en-US" w:eastAsia="zh-CN"/>
        </w:rPr>
        <w:instrText xml:space="preserve"> HYPERLINK "https://baike.baidu.com/item/%E8%8B%8F%E6%BB%81%E5%95%86%E5%8A%A1%E4%B8%AD%E5%BF%83%E7%AB%99/62725273?fromModule=lemma_inlink" \t "https://baike.baidu.com/item/%E6%BB%81%E5%B7%9E%E8%BD%A8%E9%81%93%E4%BA%A4%E9%80%9A%E5%AE%81%E6%BB%81%E7%BA%BF/_blank" </w:instrText>
      </w:r>
      <w:r>
        <w:rPr>
          <w:rFonts w:hint="eastAsia" w:ascii="宋体" w:hAnsi="宋体" w:eastAsia="宋体" w:cs="宋体"/>
          <w:sz w:val="21"/>
          <w:szCs w:val="21"/>
          <w:highlight w:val="none"/>
          <w:lang w:val="en-US" w:eastAsia="zh-CN"/>
        </w:rPr>
        <w:fldChar w:fldCharType="separate"/>
      </w:r>
      <w:r>
        <w:rPr>
          <w:rFonts w:hint="default" w:ascii="宋体" w:hAnsi="宋体" w:eastAsia="宋体" w:cs="宋体"/>
          <w:sz w:val="21"/>
          <w:szCs w:val="21"/>
          <w:highlight w:val="none"/>
          <w:lang w:val="en-US" w:eastAsia="zh-CN"/>
        </w:rPr>
        <w:t>苏滁商务中心站</w:t>
      </w:r>
      <w:r>
        <w:rPr>
          <w:rFonts w:hint="default" w:ascii="宋体" w:hAnsi="宋体" w:eastAsia="宋体" w:cs="宋体"/>
          <w:sz w:val="21"/>
          <w:szCs w:val="21"/>
          <w:highlight w:val="none"/>
          <w:lang w:val="en-US" w:eastAsia="zh-CN"/>
        </w:rPr>
        <w:fldChar w:fldCharType="end"/>
      </w:r>
      <w:r>
        <w:rPr>
          <w:rFonts w:hint="eastAsia" w:ascii="宋体" w:hAnsi="宋体" w:eastAsia="宋体" w:cs="宋体"/>
          <w:sz w:val="21"/>
          <w:szCs w:val="21"/>
          <w:highlight w:val="none"/>
          <w:lang w:val="en-US" w:eastAsia="zh-CN"/>
        </w:rPr>
        <w:t>、担子站、花博园站、腰铺站、滁州高铁站（设计图名称分别为：汊河镇站、汊河新城站、相官镇站、相官北站、来安南站、示范园站、苏滁产业园站、友谊路站、凤阳北路站、技术学院站、滁阳路南站、滁州高铁站）按照“建筑物防雷设计规范(GB50057-2010)”第二类防雷建筑物的防雷措施进行设计。</w:t>
      </w:r>
    </w:p>
    <w:p w14:paraId="588F29AE">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2.主要工作内容</w:t>
      </w:r>
    </w:p>
    <w:p w14:paraId="436CF571">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针对滁宁城际铁路全线运营车站、预留车站、区间、车辆段、控制中心等建筑物、构筑物防雷装置开展检查及防雷性能检测（包括但不限于以下具体内容）：</w:t>
      </w:r>
    </w:p>
    <w:p w14:paraId="27D869E3">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（1）建(构)筑物的防雷分类</w:t>
      </w:r>
    </w:p>
    <w:p w14:paraId="2FA6C5EA">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按照国家相关规范要求对所检测的建构筑物进行防雷分类，并按照不同类别要求制定相应的检测技术方案。</w:t>
      </w:r>
    </w:p>
    <w:p w14:paraId="522CE084">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（2）防雷装置检查</w:t>
      </w:r>
    </w:p>
    <w:p w14:paraId="61571047">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对防雷装置的外观部分进行目测检查，主要就连接（安装）情况、锈蚀情况、数量、间距等进行检查，对隐蔽部分根据原设计资料或质量监管文件进行核查。</w:t>
      </w:r>
    </w:p>
    <w:p w14:paraId="4B9DB224">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（3）防雷装置检测</w:t>
      </w:r>
    </w:p>
    <w:p w14:paraId="2EC6789C">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防直击雷检测：按照技术规范对接闪器、引下线和接地装置的检测。查阅设计或施工资料，了解接地装置的型材、规格及接地体形式等，并通过测量等检测手段对防雷装置的布设（或安装）、性能等是否满足相关标准进行判定；</w:t>
      </w:r>
    </w:p>
    <w:p w14:paraId="3A487F9D">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等电位、防雷电波侵入检测：包含天面上各种设备、天线及各种金属管道与防雷装置的连接检测；进出建筑物各种长金属物包括各种金属管道（线槽）、金属构件等与防雷装置的连接检测；</w:t>
      </w:r>
    </w:p>
    <w:p w14:paraId="73D26577">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低压配电系统的检测等。</w:t>
      </w:r>
    </w:p>
    <w:p w14:paraId="43CC4B0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left="0" w:leftChars="0"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（4）中标人需针对滁宁城际线路实际情况编制详细的检测方案。</w:t>
      </w:r>
    </w:p>
    <w:p w14:paraId="063FA1B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left="0" w:leftChars="0"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5）检测报告需编制成册，每期检测报告一式三份，并且应有纸质档和电子档两种形式。报告应包含综合评定标准及详细的检测记（含现场存在的问题及整改建议）、检测依据的规范和标准、检测所用的仪器设备、检测点位平面示意图等内容，检测员和校核员签字后，经技术负责人签发，还需加盖中标单位公章。</w:t>
      </w:r>
    </w:p>
    <w:p w14:paraId="51E7C87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left="0" w:leftChars="0"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（6）检测时须对现场检测点位圈画做好标记。</w:t>
      </w:r>
    </w:p>
    <w:p w14:paraId="46970261">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left="0" w:leftChars="0"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（7）每期防雷检测完成后由中标人组织召开专家评审会，对防雷检测报告进行专家评审，专家需经甲方认可，专家评审费所发生的全部费用均包含在合同价中。</w:t>
      </w:r>
    </w:p>
    <w:p w14:paraId="437D026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left="0" w:leftChars="0"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（8）若检测结果不合格且需整改的，则每次整改完成后所涉及的复检费用均已包含在合同价款之内，招标人不再另行支付复检费用（复检次数以实际发生为准）。</w:t>
      </w:r>
    </w:p>
    <w:p w14:paraId="3617A819">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left="0" w:leftChars="0" w:firstLine="420" w:firstLineChars="200"/>
        <w:jc w:val="left"/>
        <w:textAlignment w:val="auto"/>
        <w:outlineLvl w:val="9"/>
        <w:rPr>
          <w:rFonts w:hint="default"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（9）按照国家、地方法规规定，报告需上报气象局网站的，中标人需按要求上传审核后的报告。</w:t>
      </w:r>
    </w:p>
    <w:p w14:paraId="3B17B745">
      <w:pPr>
        <w:keepNext w:val="0"/>
        <w:keepLines w:val="0"/>
        <w:pageBreakBefore w:val="0"/>
        <w:widowControl w:val="0"/>
        <w:kinsoku/>
        <w:wordWrap/>
        <w:overflowPunct/>
        <w:topLinePunct w:val="0"/>
        <w:autoSpaceDE/>
        <w:autoSpaceDN/>
        <w:bidi w:val="0"/>
        <w:spacing w:line="40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三、服务要求</w:t>
      </w:r>
    </w:p>
    <w:p w14:paraId="322D226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default"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1.项目人员要求</w:t>
      </w:r>
      <w:r>
        <w:rPr>
          <w:rFonts w:hint="eastAsia" w:ascii="宋体" w:hAnsi="宋体" w:eastAsia="宋体" w:cs="宋体"/>
          <w:b w:val="0"/>
          <w:color w:val="auto"/>
          <w:kern w:val="0"/>
          <w:sz w:val="21"/>
          <w:szCs w:val="21"/>
          <w:highlight w:val="none"/>
          <w:lang w:val="en-US" w:eastAsia="zh-CN" w:bidi="ar-SA"/>
        </w:rPr>
        <w:t>（中标后按招标人要求提供人员名单及相关证明材料）</w:t>
      </w:r>
    </w:p>
    <w:p w14:paraId="5A47114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1.1 项目经理</w:t>
      </w:r>
    </w:p>
    <w:p w14:paraId="3448778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b w:val="0"/>
          <w:color w:val="auto"/>
          <w:sz w:val="21"/>
          <w:szCs w:val="21"/>
          <w:highlight w:val="none"/>
          <w:lang w:val="en-US" w:eastAsia="zh-CN"/>
        </w:rPr>
        <w:t>具有工程类中级及以上技术职称；</w:t>
      </w:r>
    </w:p>
    <w:p w14:paraId="606103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eastAsia="zh-CN"/>
        </w:rPr>
        <w:t>）</w:t>
      </w:r>
      <w:r>
        <w:rPr>
          <w:rFonts w:hint="eastAsia" w:ascii="宋体" w:hAnsi="宋体" w:eastAsia="宋体" w:cs="宋体"/>
          <w:b w:val="0"/>
          <w:color w:val="auto"/>
          <w:sz w:val="21"/>
          <w:szCs w:val="21"/>
          <w:highlight w:val="none"/>
          <w:lang w:val="en-US" w:eastAsia="zh-CN"/>
        </w:rPr>
        <w:t>具有丰富现场工作经验，较强的沟通和组织能力。</w:t>
      </w:r>
    </w:p>
    <w:p w14:paraId="22365E93">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1.2 技术负责人</w:t>
      </w:r>
    </w:p>
    <w:p w14:paraId="33FE209D">
      <w:pPr>
        <w:keepNext w:val="0"/>
        <w:keepLines w:val="0"/>
        <w:pageBreakBefore w:val="0"/>
        <w:widowControl w:val="0"/>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color w:val="auto"/>
          <w:kern w:val="2"/>
          <w:sz w:val="21"/>
          <w:szCs w:val="21"/>
          <w:highlight w:val="none"/>
          <w:lang w:val="en-US" w:eastAsia="zh-CN" w:bidi="ar-SA"/>
        </w:rPr>
        <w:t>具有工程类高级及以上技术职称；</w:t>
      </w:r>
    </w:p>
    <w:p w14:paraId="4542BDDA">
      <w:pPr>
        <w:keepNext w:val="0"/>
        <w:keepLines w:val="0"/>
        <w:pageBreakBefore w:val="0"/>
        <w:widowControl w:val="0"/>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color w:val="auto"/>
          <w:kern w:val="2"/>
          <w:sz w:val="21"/>
          <w:szCs w:val="21"/>
          <w:highlight w:val="none"/>
          <w:lang w:val="en-US" w:eastAsia="zh-CN" w:bidi="ar-SA"/>
        </w:rPr>
        <w:t>具有丰富现场</w:t>
      </w:r>
      <w:r>
        <w:rPr>
          <w:rFonts w:hint="eastAsia" w:ascii="宋体" w:hAnsi="宋体" w:eastAsia="宋体" w:cs="宋体"/>
          <w:b w:val="0"/>
          <w:color w:val="auto"/>
          <w:sz w:val="21"/>
          <w:szCs w:val="21"/>
          <w:highlight w:val="none"/>
          <w:lang w:val="en-US" w:eastAsia="zh-CN"/>
        </w:rPr>
        <w:t>工作</w:t>
      </w:r>
      <w:r>
        <w:rPr>
          <w:rFonts w:hint="eastAsia" w:ascii="宋体" w:hAnsi="宋体" w:eastAsia="宋体" w:cs="宋体"/>
          <w:bCs/>
          <w:color w:val="auto"/>
          <w:kern w:val="2"/>
          <w:sz w:val="21"/>
          <w:szCs w:val="21"/>
          <w:highlight w:val="none"/>
          <w:lang w:val="en-US" w:eastAsia="zh-CN" w:bidi="ar-SA"/>
        </w:rPr>
        <w:t>经验，较强的沟通和组织能力。</w:t>
      </w:r>
    </w:p>
    <w:p w14:paraId="496F0439">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1.3 检测人员</w:t>
      </w:r>
    </w:p>
    <w:p w14:paraId="60B8D2A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b w:val="0"/>
          <w:color w:val="auto"/>
          <w:sz w:val="21"/>
          <w:szCs w:val="21"/>
          <w:highlight w:val="none"/>
          <w:lang w:val="en-US" w:eastAsia="zh-CN"/>
        </w:rPr>
        <w:t>检测人员不少于6人，</w:t>
      </w:r>
      <w:r>
        <w:rPr>
          <w:rFonts w:hint="eastAsia" w:ascii="宋体" w:hAnsi="宋体" w:eastAsia="宋体" w:cs="宋体"/>
          <w:b w:val="0"/>
          <w:color w:val="auto"/>
          <w:sz w:val="21"/>
          <w:szCs w:val="21"/>
          <w:highlight w:val="none"/>
          <w:lang w:val="en-US" w:eastAsia="zh-CN"/>
        </w:rPr>
        <w:t>均为</w:t>
      </w:r>
      <w:r>
        <w:rPr>
          <w:rFonts w:hint="eastAsia" w:ascii="宋体" w:hAnsi="宋体" w:eastAsia="宋体" w:cs="宋体"/>
          <w:b w:val="0"/>
          <w:color w:val="auto"/>
          <w:sz w:val="21"/>
          <w:szCs w:val="21"/>
          <w:highlight w:val="none"/>
          <w:lang w:val="en-US" w:eastAsia="zh-CN"/>
        </w:rPr>
        <w:t>大专及以上学历；</w:t>
      </w:r>
    </w:p>
    <w:p w14:paraId="04986A3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b w:val="0"/>
          <w:color w:val="auto"/>
          <w:sz w:val="21"/>
          <w:szCs w:val="21"/>
          <w:highlight w:val="none"/>
          <w:lang w:val="en-US" w:eastAsia="zh-CN"/>
        </w:rPr>
        <w:t>2年及以上相关检测经验；</w:t>
      </w:r>
    </w:p>
    <w:p w14:paraId="42F41EFC">
      <w:pPr>
        <w:keepNext w:val="0"/>
        <w:keepLines w:val="0"/>
        <w:pageBreakBefore w:val="0"/>
        <w:widowControl w:val="0"/>
        <w:numPr>
          <w:ilvl w:val="0"/>
          <w:numId w:val="2"/>
        </w:numPr>
        <w:kinsoku/>
        <w:wordWrap/>
        <w:overflowPunct/>
        <w:topLinePunct w:val="0"/>
        <w:autoSpaceDE/>
        <w:autoSpaceDN/>
        <w:bidi w:val="0"/>
        <w:spacing w:line="400" w:lineRule="exact"/>
        <w:ind w:firstLine="420" w:firstLineChars="2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不超法定退休年龄，身体健康，无不良</w:t>
      </w:r>
      <w:r>
        <w:rPr>
          <w:rFonts w:hint="eastAsia" w:ascii="宋体" w:hAnsi="宋体" w:eastAsia="宋体" w:cs="宋体"/>
          <w:b w:val="0"/>
          <w:color w:val="auto"/>
          <w:sz w:val="21"/>
          <w:szCs w:val="21"/>
          <w:highlight w:val="none"/>
          <w:lang w:val="en-US" w:eastAsia="zh-CN"/>
        </w:rPr>
        <w:t>记录</w:t>
      </w:r>
      <w:r>
        <w:rPr>
          <w:rFonts w:hint="eastAsia" w:ascii="宋体" w:hAnsi="宋体" w:eastAsia="宋体" w:cs="宋体"/>
          <w:b w:val="0"/>
          <w:color w:val="auto"/>
          <w:sz w:val="21"/>
          <w:szCs w:val="21"/>
          <w:highlight w:val="none"/>
          <w:lang w:val="en-US" w:eastAsia="zh-CN"/>
        </w:rPr>
        <w:t>。</w:t>
      </w:r>
    </w:p>
    <w:p w14:paraId="52E7E4F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2.实施要求</w:t>
      </w:r>
    </w:p>
    <w:p w14:paraId="6C944B98">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（1）检测前应熟悉受检单位的安全操作规程和相关规章制度。</w:t>
      </w:r>
    </w:p>
    <w:p w14:paraId="5710FFD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（2）应具备保障检测人员和设备的安全防护措施，雷雨天应停止检测，攀高危险作业必须遵守攀高作业安全守则。检测仪表、工具等不能放置在高处，防止坠落伤人。</w:t>
      </w:r>
    </w:p>
    <w:p w14:paraId="120E0C2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（3）检测仪器，应在检定合格有效使用期内使用。</w:t>
      </w:r>
    </w:p>
    <w:p w14:paraId="26DC35C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（4）检测时，接地电阻测试仪的接地引线和其他导线应避开高、低压供电线路。</w:t>
      </w:r>
    </w:p>
    <w:p w14:paraId="57FB9D73">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（5）在检测配电房、变电所、配电柜和电器设备时应着绝缘鞋、绝缘手套、使用绝缘垫，以防电击。</w:t>
      </w:r>
    </w:p>
    <w:p w14:paraId="517A203D">
      <w:pPr>
        <w:keepNext w:val="0"/>
        <w:keepLines w:val="0"/>
        <w:pageBreakBefore w:val="0"/>
        <w:widowControl w:val="0"/>
        <w:tabs>
          <w:tab w:val="center" w:pos="4156"/>
        </w:tabs>
        <w:kinsoku/>
        <w:wordWrap/>
        <w:overflowPunct/>
        <w:topLinePunct w:val="0"/>
        <w:autoSpaceDE/>
        <w:autoSpaceDN/>
        <w:bidi w:val="0"/>
        <w:spacing w:line="400" w:lineRule="exact"/>
        <w:ind w:left="0" w:leftChars="0" w:firstLine="420" w:firstLineChars="200"/>
        <w:jc w:val="left"/>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b w:val="0"/>
          <w:color w:val="auto"/>
          <w:kern w:val="0"/>
          <w:sz w:val="21"/>
          <w:szCs w:val="21"/>
          <w:highlight w:val="none"/>
          <w:lang w:val="en-US" w:eastAsia="zh-CN" w:bidi="ar-SA"/>
        </w:rPr>
        <w:t>（6）</w:t>
      </w:r>
      <w:r>
        <w:rPr>
          <w:rFonts w:hint="eastAsia" w:ascii="宋体" w:hAnsi="宋体" w:eastAsia="宋体" w:cs="宋体"/>
          <w:sz w:val="21"/>
          <w:szCs w:val="21"/>
          <w:highlight w:val="none"/>
          <w:lang w:val="en-US" w:eastAsia="zh-CN"/>
        </w:rPr>
        <w:t>在检测特种物品库等爆炸火灾危险环境的防雷装置时，严禁携带火种、手机，严禁吸烟，严禁穿底部带金属的鞋子，严禁随意敲打金属物。不应穿化纤服装，应使用防爆型仪器设备和不易产生火花的工具。</w:t>
      </w:r>
    </w:p>
    <w:p w14:paraId="24BD342D">
      <w:pPr>
        <w:keepNext w:val="0"/>
        <w:keepLines w:val="0"/>
        <w:pageBreakBefore w:val="0"/>
        <w:widowControl w:val="0"/>
        <w:tabs>
          <w:tab w:val="center" w:pos="4156"/>
        </w:tabs>
        <w:kinsoku/>
        <w:wordWrap/>
        <w:overflowPunct/>
        <w:topLinePunct w:val="0"/>
        <w:autoSpaceDE/>
        <w:autoSpaceDN/>
        <w:bidi w:val="0"/>
        <w:spacing w:line="400" w:lineRule="exact"/>
        <w:ind w:left="0" w:leftChars="0"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b w:val="0"/>
          <w:color w:val="auto"/>
          <w:kern w:val="0"/>
          <w:sz w:val="21"/>
          <w:szCs w:val="21"/>
          <w:highlight w:val="none"/>
          <w:lang w:val="en-US" w:eastAsia="zh-CN" w:bidi="ar-SA"/>
        </w:rPr>
        <w:t>（7）</w:t>
      </w:r>
      <w:r>
        <w:rPr>
          <w:rFonts w:hint="eastAsia" w:ascii="宋体" w:hAnsi="宋体" w:eastAsia="宋体" w:cs="宋体"/>
          <w:sz w:val="21"/>
          <w:szCs w:val="21"/>
          <w:highlight w:val="none"/>
          <w:lang w:val="en-US" w:eastAsia="zh-CN"/>
        </w:rPr>
        <w:t>工作</w:t>
      </w:r>
      <w:r>
        <w:rPr>
          <w:rFonts w:hint="eastAsia" w:ascii="宋体" w:hAnsi="宋体" w:eastAsia="宋体" w:cs="宋体"/>
          <w:sz w:val="21"/>
          <w:szCs w:val="21"/>
          <w:highlight w:val="none"/>
        </w:rPr>
        <w:t>人员工作前不许饮酒，进入现场不准嬉笑打闹及大声吵闹，严格服从现场负责人指挥。</w:t>
      </w:r>
    </w:p>
    <w:p w14:paraId="1F3E35EA">
      <w:pPr>
        <w:keepNext w:val="0"/>
        <w:keepLines w:val="0"/>
        <w:pageBreakBefore w:val="0"/>
        <w:widowControl w:val="0"/>
        <w:tabs>
          <w:tab w:val="center" w:pos="4156"/>
        </w:tabs>
        <w:kinsoku/>
        <w:wordWrap/>
        <w:overflowPunct/>
        <w:topLinePunct w:val="0"/>
        <w:autoSpaceDE/>
        <w:autoSpaceDN/>
        <w:bidi w:val="0"/>
        <w:spacing w:line="400" w:lineRule="exact"/>
        <w:ind w:left="0" w:leftChars="0"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b w:val="0"/>
          <w:color w:val="auto"/>
          <w:kern w:val="0"/>
          <w:sz w:val="21"/>
          <w:szCs w:val="21"/>
          <w:highlight w:val="none"/>
          <w:lang w:val="en-US" w:eastAsia="zh-CN" w:bidi="ar-SA"/>
        </w:rPr>
        <w:t>（8）</w:t>
      </w:r>
      <w:r>
        <w:rPr>
          <w:rFonts w:hint="eastAsia" w:ascii="宋体" w:hAnsi="宋体" w:eastAsia="宋体" w:cs="宋体"/>
          <w:sz w:val="21"/>
          <w:szCs w:val="21"/>
          <w:highlight w:val="none"/>
          <w:lang w:val="en-US" w:eastAsia="zh-CN"/>
        </w:rPr>
        <w:t>防雷检测</w:t>
      </w:r>
      <w:r>
        <w:rPr>
          <w:rFonts w:hint="eastAsia" w:ascii="宋体" w:hAnsi="宋体" w:eastAsia="宋体" w:cs="宋体"/>
          <w:sz w:val="21"/>
          <w:szCs w:val="21"/>
          <w:highlight w:val="none"/>
        </w:rPr>
        <w:t>作业不得影响</w:t>
      </w:r>
      <w:r>
        <w:rPr>
          <w:rFonts w:hint="eastAsia" w:ascii="宋体" w:hAnsi="宋体" w:eastAsia="宋体" w:cs="宋体"/>
          <w:sz w:val="21"/>
          <w:szCs w:val="21"/>
          <w:highlight w:val="none"/>
          <w:lang w:val="en-US" w:eastAsia="zh-CN"/>
        </w:rPr>
        <w:t>城际铁路</w:t>
      </w:r>
      <w:r>
        <w:rPr>
          <w:rFonts w:hint="eastAsia" w:ascii="宋体" w:hAnsi="宋体" w:eastAsia="宋体" w:cs="宋体"/>
          <w:sz w:val="21"/>
          <w:szCs w:val="21"/>
          <w:highlight w:val="none"/>
        </w:rPr>
        <w:t>设施设备正常运行。保持作业场地及站内通行区域的整洁卫生。如需在</w:t>
      </w:r>
      <w:r>
        <w:rPr>
          <w:rFonts w:hint="eastAsia" w:ascii="宋体" w:hAnsi="宋体" w:eastAsia="宋体" w:cs="宋体"/>
          <w:sz w:val="21"/>
          <w:szCs w:val="21"/>
          <w:highlight w:val="none"/>
          <w:lang w:val="en-US" w:eastAsia="zh-CN"/>
        </w:rPr>
        <w:t>城际铁路</w:t>
      </w:r>
      <w:r>
        <w:rPr>
          <w:rFonts w:hint="eastAsia" w:ascii="宋体" w:hAnsi="宋体" w:eastAsia="宋体" w:cs="宋体"/>
          <w:sz w:val="21"/>
          <w:szCs w:val="21"/>
          <w:highlight w:val="none"/>
        </w:rPr>
        <w:t>属地区域外进行</w:t>
      </w:r>
      <w:r>
        <w:rPr>
          <w:rFonts w:hint="eastAsia" w:ascii="宋体" w:hAnsi="宋体" w:eastAsia="宋体" w:cs="宋体"/>
          <w:sz w:val="21"/>
          <w:szCs w:val="21"/>
          <w:highlight w:val="none"/>
          <w:lang w:val="en-US" w:eastAsia="zh-CN"/>
        </w:rPr>
        <w:t>检测</w:t>
      </w:r>
      <w:r>
        <w:rPr>
          <w:rFonts w:hint="eastAsia" w:ascii="宋体" w:hAnsi="宋体" w:eastAsia="宋体" w:cs="宋体"/>
          <w:sz w:val="21"/>
          <w:szCs w:val="21"/>
          <w:highlight w:val="none"/>
        </w:rPr>
        <w:t>，由</w:t>
      </w:r>
      <w:r>
        <w:rPr>
          <w:rFonts w:hint="eastAsia" w:ascii="宋体" w:hAnsi="宋体" w:eastAsia="宋体" w:cs="宋体"/>
          <w:sz w:val="21"/>
          <w:szCs w:val="21"/>
          <w:highlight w:val="none"/>
          <w:lang w:val="en-US" w:eastAsia="zh-CN"/>
        </w:rPr>
        <w:t>中标人</w:t>
      </w:r>
      <w:r>
        <w:rPr>
          <w:rFonts w:hint="eastAsia" w:ascii="宋体" w:hAnsi="宋体" w:eastAsia="宋体" w:cs="宋体"/>
          <w:sz w:val="21"/>
          <w:szCs w:val="21"/>
          <w:highlight w:val="none"/>
        </w:rPr>
        <w:t>自行与相关单位部门沟通联系并承担全部费用。</w:t>
      </w:r>
    </w:p>
    <w:p w14:paraId="738AFFDF">
      <w:pPr>
        <w:keepNext w:val="0"/>
        <w:keepLines w:val="0"/>
        <w:pageBreakBefore w:val="0"/>
        <w:widowControl w:val="0"/>
        <w:tabs>
          <w:tab w:val="center" w:pos="4156"/>
        </w:tabs>
        <w:kinsoku/>
        <w:wordWrap/>
        <w:overflowPunct/>
        <w:topLinePunct w:val="0"/>
        <w:autoSpaceDE/>
        <w:autoSpaceDN/>
        <w:bidi w:val="0"/>
        <w:spacing w:line="400" w:lineRule="exact"/>
        <w:ind w:left="0" w:leftChars="0"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b w:val="0"/>
          <w:color w:val="auto"/>
          <w:kern w:val="0"/>
          <w:sz w:val="21"/>
          <w:szCs w:val="21"/>
          <w:highlight w:val="none"/>
          <w:lang w:val="en-US" w:eastAsia="zh-CN" w:bidi="ar-SA"/>
        </w:rPr>
        <w:t>（9）</w:t>
      </w:r>
      <w:r>
        <w:rPr>
          <w:rFonts w:hint="eastAsia" w:ascii="宋体" w:hAnsi="宋体" w:eastAsia="宋体" w:cs="宋体"/>
          <w:sz w:val="21"/>
          <w:szCs w:val="21"/>
          <w:highlight w:val="none"/>
          <w:lang w:val="en-US" w:eastAsia="zh-CN"/>
        </w:rPr>
        <w:t>防雷检测</w:t>
      </w:r>
      <w:r>
        <w:rPr>
          <w:rFonts w:hint="eastAsia" w:ascii="宋体" w:hAnsi="宋体" w:eastAsia="宋体" w:cs="宋体"/>
          <w:sz w:val="21"/>
          <w:szCs w:val="21"/>
          <w:highlight w:val="none"/>
        </w:rPr>
        <w:t>过程中要采取可靠措施保护既有设备，不得损坏及影响设备正常运转。</w:t>
      </w:r>
    </w:p>
    <w:p w14:paraId="7EA6BCF8">
      <w:pPr>
        <w:keepNext w:val="0"/>
        <w:keepLines w:val="0"/>
        <w:pageBreakBefore w:val="0"/>
        <w:widowControl w:val="0"/>
        <w:tabs>
          <w:tab w:val="center" w:pos="4156"/>
        </w:tabs>
        <w:kinsoku/>
        <w:wordWrap/>
        <w:overflowPunct/>
        <w:topLinePunct w:val="0"/>
        <w:autoSpaceDE/>
        <w:autoSpaceDN/>
        <w:bidi w:val="0"/>
        <w:spacing w:line="400" w:lineRule="exact"/>
        <w:ind w:left="0" w:leftChars="0"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b w:val="0"/>
          <w:color w:val="auto"/>
          <w:kern w:val="0"/>
          <w:sz w:val="21"/>
          <w:szCs w:val="21"/>
          <w:highlight w:val="none"/>
          <w:lang w:val="en-US" w:eastAsia="zh-CN" w:bidi="ar-SA"/>
        </w:rPr>
        <w:t>（10）</w:t>
      </w:r>
      <w:r>
        <w:rPr>
          <w:rFonts w:hint="eastAsia" w:ascii="宋体" w:hAnsi="宋体" w:eastAsia="宋体" w:cs="宋体"/>
          <w:sz w:val="21"/>
          <w:szCs w:val="21"/>
          <w:highlight w:val="none"/>
        </w:rPr>
        <w:t>严格禁止在</w:t>
      </w:r>
      <w:r>
        <w:rPr>
          <w:rFonts w:hint="eastAsia" w:ascii="宋体" w:hAnsi="宋体" w:eastAsia="宋体" w:cs="宋体"/>
          <w:sz w:val="21"/>
          <w:szCs w:val="21"/>
          <w:highlight w:val="none"/>
          <w:lang w:val="en-US" w:eastAsia="zh-CN"/>
        </w:rPr>
        <w:t>防雷检测</w:t>
      </w:r>
      <w:r>
        <w:rPr>
          <w:rFonts w:hint="eastAsia" w:ascii="宋体" w:hAnsi="宋体" w:eastAsia="宋体" w:cs="宋体"/>
          <w:sz w:val="21"/>
          <w:szCs w:val="21"/>
          <w:highlight w:val="none"/>
        </w:rPr>
        <w:t>现场抽烟、焚烧油毡、塑料、皮革等会产生明火、有毒、有害烟尘和恶臭气体的物质。</w:t>
      </w:r>
    </w:p>
    <w:p w14:paraId="13336F6C">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（11）</w:t>
      </w:r>
      <w:r>
        <w:rPr>
          <w:rFonts w:hint="eastAsia" w:ascii="宋体" w:hAnsi="宋体" w:eastAsia="宋体" w:cs="宋体"/>
          <w:sz w:val="21"/>
          <w:szCs w:val="21"/>
          <w:highlight w:val="none"/>
          <w:lang w:val="en-US" w:eastAsia="zh-CN"/>
        </w:rPr>
        <w:t>在所有的情况下，除应遵守检测的安全操作规程和受检单位的规章制度外，还应遵守有关专业组织所制定的安全程序</w:t>
      </w:r>
      <w:r>
        <w:rPr>
          <w:rFonts w:hint="eastAsia" w:ascii="宋体" w:hAnsi="宋体" w:eastAsia="宋体" w:cs="宋体"/>
          <w:b w:val="0"/>
          <w:color w:val="auto"/>
          <w:kern w:val="0"/>
          <w:sz w:val="21"/>
          <w:szCs w:val="21"/>
          <w:highlight w:val="none"/>
          <w:lang w:val="en-US" w:eastAsia="zh-CN" w:bidi="ar-SA"/>
        </w:rPr>
        <w:t>和安全方法。</w:t>
      </w:r>
    </w:p>
    <w:p w14:paraId="2C11AE88">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3.检测要求</w:t>
      </w:r>
    </w:p>
    <w:p w14:paraId="2F7E19D0">
      <w:pPr>
        <w:keepNext w:val="0"/>
        <w:keepLines w:val="0"/>
        <w:pageBreakBefore w:val="0"/>
        <w:widowControl w:val="0"/>
        <w:tabs>
          <w:tab w:val="center" w:pos="4156"/>
        </w:tabs>
        <w:kinsoku/>
        <w:wordWrap/>
        <w:overflowPunct/>
        <w:topLinePunct w:val="0"/>
        <w:autoSpaceDE/>
        <w:autoSpaceDN/>
        <w:bidi w:val="0"/>
        <w:spacing w:line="400" w:lineRule="exact"/>
        <w:ind w:left="0" w:leftChars="0" w:firstLine="420" w:firstLineChars="200"/>
        <w:jc w:val="left"/>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（1）检测前应对使用仪器仪表和测量工具进行检查，保证其在检定合格证有效期内和能正常使用。</w:t>
      </w:r>
    </w:p>
    <w:p w14:paraId="5B15B751">
      <w:pPr>
        <w:keepNext w:val="0"/>
        <w:keepLines w:val="0"/>
        <w:pageBreakBefore w:val="0"/>
        <w:widowControl w:val="0"/>
        <w:tabs>
          <w:tab w:val="center" w:pos="4156"/>
        </w:tabs>
        <w:kinsoku/>
        <w:wordWrap/>
        <w:overflowPunct/>
        <w:topLinePunct w:val="0"/>
        <w:autoSpaceDE/>
        <w:autoSpaceDN/>
        <w:bidi w:val="0"/>
        <w:spacing w:line="400" w:lineRule="exact"/>
        <w:ind w:left="0" w:leftChars="0" w:firstLine="420" w:firstLineChars="200"/>
        <w:jc w:val="left"/>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（2）检测接地电阻值应在非雨天和土壤未冻结时进行。现场环境条件应能保证正常检测。</w:t>
      </w:r>
    </w:p>
    <w:p w14:paraId="0DCE99FF">
      <w:pPr>
        <w:keepNext w:val="0"/>
        <w:keepLines w:val="0"/>
        <w:pageBreakBefore w:val="0"/>
        <w:widowControl w:val="0"/>
        <w:tabs>
          <w:tab w:val="center" w:pos="4156"/>
        </w:tabs>
        <w:kinsoku/>
        <w:wordWrap/>
        <w:overflowPunct/>
        <w:topLinePunct w:val="0"/>
        <w:autoSpaceDE/>
        <w:autoSpaceDN/>
        <w:bidi w:val="0"/>
        <w:spacing w:line="400" w:lineRule="exact"/>
        <w:ind w:left="0" w:leftChars="0" w:firstLine="420" w:firstLineChars="200"/>
        <w:jc w:val="left"/>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（3）首次检测时，应先通过查阅防雷工程技术资料、图纸，了解被检方的防雷设施的基本情况，然后进行现场检测。</w:t>
      </w:r>
    </w:p>
    <w:p w14:paraId="56CE7661">
      <w:pPr>
        <w:keepNext w:val="0"/>
        <w:keepLines w:val="0"/>
        <w:pageBreakBefore w:val="0"/>
        <w:widowControl w:val="0"/>
        <w:tabs>
          <w:tab w:val="center" w:pos="4156"/>
        </w:tabs>
        <w:kinsoku/>
        <w:wordWrap/>
        <w:overflowPunct/>
        <w:topLinePunct w:val="0"/>
        <w:autoSpaceDE/>
        <w:autoSpaceDN/>
        <w:bidi w:val="0"/>
        <w:spacing w:line="400" w:lineRule="exact"/>
        <w:ind w:left="0" w:leftChars="0" w:firstLine="420" w:firstLineChars="200"/>
        <w:jc w:val="left"/>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（4）每一项检测需要有两人以上共同进行，每一个检测数据经复核无误后，填入原始数据记录表。原始记录表应有检测人员、校核人员和受检单位现场负责人签名。原始记录表格式要满足相关规范要求。</w:t>
      </w:r>
    </w:p>
    <w:p w14:paraId="1E6C0E42">
      <w:pPr>
        <w:keepNext w:val="0"/>
        <w:keepLines w:val="0"/>
        <w:pageBreakBefore w:val="0"/>
        <w:widowControl w:val="0"/>
        <w:tabs>
          <w:tab w:val="center" w:pos="4156"/>
        </w:tabs>
        <w:kinsoku/>
        <w:wordWrap/>
        <w:overflowPunct/>
        <w:topLinePunct w:val="0"/>
        <w:autoSpaceDE/>
        <w:autoSpaceDN/>
        <w:bidi w:val="0"/>
        <w:spacing w:line="400" w:lineRule="exact"/>
        <w:ind w:left="0" w:leftChars="0" w:firstLine="420" w:firstLineChars="200"/>
        <w:jc w:val="left"/>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（5）检测过程中导致城际铁路设备损坏，由中标人负责恢复。</w:t>
      </w:r>
    </w:p>
    <w:p w14:paraId="7AA065A0">
      <w:pPr>
        <w:keepNext w:val="0"/>
        <w:keepLines w:val="0"/>
        <w:pageBreakBefore w:val="0"/>
        <w:widowControl w:val="0"/>
        <w:kinsoku/>
        <w:wordWrap/>
        <w:overflowPunct/>
        <w:topLinePunct w:val="0"/>
        <w:autoSpaceDE/>
        <w:autoSpaceDN/>
        <w:bidi w:val="0"/>
        <w:spacing w:line="40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四、技术要求</w:t>
      </w:r>
    </w:p>
    <w:p w14:paraId="2B0A755D">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 依据规范标准</w:t>
      </w:r>
    </w:p>
    <w:p w14:paraId="693CAD11">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《安徽省气象管理条例》</w:t>
      </w:r>
    </w:p>
    <w:p w14:paraId="7CE6CA11">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《滁州市雷电灾害防御管理办法》</w:t>
      </w:r>
    </w:p>
    <w:p w14:paraId="5446EA9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left="0" w:leftChars="0"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《建筑物防雷设计规范》GB50057-2010</w:t>
      </w:r>
    </w:p>
    <w:p w14:paraId="5B066455">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left="0" w:leftChars="0" w:firstLine="420" w:firstLineChars="200"/>
        <w:jc w:val="left"/>
        <w:textAlignment w:val="auto"/>
        <w:outlineLvl w:val="9"/>
        <w:rPr>
          <w:rFonts w:hint="default"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《建筑物防雷装置检测技术规范》</w:t>
      </w:r>
      <w:r>
        <w:rPr>
          <w:rFonts w:hint="eastAsia" w:ascii="宋体" w:hAnsi="宋体" w:eastAsia="宋体" w:cs="宋体"/>
          <w:b w:val="0"/>
          <w:color w:val="auto"/>
          <w:kern w:val="0"/>
          <w:sz w:val="21"/>
          <w:szCs w:val="21"/>
          <w:highlight w:val="none"/>
          <w:lang w:val="en-US" w:eastAsia="zh-CN" w:bidi="ar-SA"/>
        </w:rPr>
        <w:fldChar w:fldCharType="begin"/>
      </w:r>
      <w:r>
        <w:rPr>
          <w:rFonts w:hint="eastAsia" w:ascii="宋体" w:hAnsi="宋体" w:eastAsia="宋体" w:cs="宋体"/>
          <w:b w:val="0"/>
          <w:color w:val="auto"/>
          <w:kern w:val="0"/>
          <w:sz w:val="21"/>
          <w:szCs w:val="21"/>
          <w:highlight w:val="none"/>
          <w:lang w:val="en-US" w:eastAsia="zh-CN" w:bidi="ar-SA"/>
        </w:rPr>
        <w:instrText xml:space="preserve"> HYPERLINK "http://www.jianbiaoku.com/webarbs/book/49060/4762347.shtml" \o "建筑物防雷装置检测技术规范GB/T 21431-2015" \t "http://s.jianbiaoku.com/sou/_blank" </w:instrText>
      </w:r>
      <w:r>
        <w:rPr>
          <w:rFonts w:hint="eastAsia" w:ascii="宋体" w:hAnsi="宋体" w:eastAsia="宋体" w:cs="宋体"/>
          <w:b w:val="0"/>
          <w:color w:val="auto"/>
          <w:kern w:val="0"/>
          <w:sz w:val="21"/>
          <w:szCs w:val="21"/>
          <w:highlight w:val="none"/>
          <w:lang w:val="en-US" w:eastAsia="zh-CN" w:bidi="ar-SA"/>
        </w:rPr>
        <w:fldChar w:fldCharType="separate"/>
      </w:r>
      <w:r>
        <w:rPr>
          <w:rFonts w:hint="eastAsia" w:ascii="宋体" w:hAnsi="宋体" w:eastAsia="宋体" w:cs="宋体"/>
          <w:b w:val="0"/>
          <w:color w:val="auto"/>
          <w:kern w:val="0"/>
          <w:sz w:val="21"/>
          <w:szCs w:val="21"/>
          <w:highlight w:val="none"/>
          <w:lang w:val="en-US" w:eastAsia="zh-CN" w:bidi="ar-SA"/>
        </w:rPr>
        <w:t>GB/T 21431-202</w:t>
      </w:r>
      <w:r>
        <w:rPr>
          <w:rFonts w:hint="eastAsia" w:ascii="宋体" w:hAnsi="宋体" w:eastAsia="宋体" w:cs="宋体"/>
          <w:b w:val="0"/>
          <w:color w:val="auto"/>
          <w:kern w:val="0"/>
          <w:sz w:val="21"/>
          <w:szCs w:val="21"/>
          <w:highlight w:val="none"/>
          <w:lang w:val="en-US" w:eastAsia="zh-CN" w:bidi="ar-SA"/>
        </w:rPr>
        <w:fldChar w:fldCharType="end"/>
      </w:r>
      <w:r>
        <w:rPr>
          <w:rFonts w:hint="eastAsia" w:ascii="宋体" w:hAnsi="宋体" w:eastAsia="宋体" w:cs="宋体"/>
          <w:b w:val="0"/>
          <w:color w:val="auto"/>
          <w:kern w:val="0"/>
          <w:sz w:val="21"/>
          <w:szCs w:val="21"/>
          <w:highlight w:val="none"/>
          <w:lang w:val="en-US" w:eastAsia="zh-CN" w:bidi="ar-SA"/>
        </w:rPr>
        <w:t>3</w:t>
      </w:r>
    </w:p>
    <w:p w14:paraId="4715E14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left="0" w:leftChars="0"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《城市轨道交通防雷技术规范》</w:t>
      </w:r>
    </w:p>
    <w:p w14:paraId="51C51823">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00" w:lineRule="exact"/>
        <w:ind w:left="0" w:leftChars="0"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以上文件应以最新更新版本为准</w:t>
      </w:r>
    </w:p>
    <w:p w14:paraId="33B82E0A">
      <w:pPr>
        <w:keepNext w:val="0"/>
        <w:keepLines w:val="0"/>
        <w:pageBreakBefore w:val="0"/>
        <w:widowControl w:val="0"/>
        <w:kinsoku/>
        <w:wordWrap/>
        <w:overflowPunct/>
        <w:topLinePunct w:val="0"/>
        <w:autoSpaceDE/>
        <w:autoSpaceDN/>
        <w:bidi w:val="0"/>
        <w:spacing w:line="40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五、服务期要求</w:t>
      </w:r>
    </w:p>
    <w:p w14:paraId="69C04E06">
      <w:pPr>
        <w:keepNext w:val="0"/>
        <w:keepLines w:val="0"/>
        <w:pageBreakBefore w:val="0"/>
        <w:widowControl w:val="0"/>
        <w:kinsoku/>
        <w:wordWrap/>
        <w:overflowPunct/>
        <w:topLinePunct w:val="0"/>
        <w:autoSpaceDE/>
        <w:autoSpaceDN/>
        <w:bidi w:val="0"/>
        <w:snapToGrid/>
        <w:spacing w:line="400" w:lineRule="exact"/>
        <w:ind w:firstLine="420" w:firstLineChars="200"/>
        <w:textAlignment w:val="auto"/>
        <w:rPr>
          <w:rFonts w:hint="eastAsia" w:eastAsia="黑体"/>
          <w:highlight w:val="none"/>
          <w:lang w:val="en-US" w:eastAsia="zh-CN"/>
        </w:rPr>
      </w:pPr>
      <w:r>
        <w:rPr>
          <w:rFonts w:hint="eastAsia" w:ascii="宋体" w:hAnsi="宋体" w:eastAsia="宋体" w:cs="宋体"/>
          <w:szCs w:val="21"/>
          <w:highlight w:val="none"/>
          <w:lang w:val="en-US" w:eastAsia="zh-CN"/>
        </w:rPr>
        <w:t>三年（2026年-2028年），</w:t>
      </w:r>
      <w:r>
        <w:rPr>
          <w:rFonts w:hint="eastAsia" w:ascii="宋体" w:hAnsi="宋体" w:eastAsia="宋体" w:cs="宋体"/>
          <w:kern w:val="2"/>
          <w:sz w:val="21"/>
          <w:szCs w:val="21"/>
          <w:highlight w:val="none"/>
          <w:lang w:val="en-US" w:eastAsia="zh-CN" w:bidi="ar-SA"/>
        </w:rPr>
        <w:t>每期检测自招标人下发任务通知单后60日内完成检测及专家评审并提交最终检测报告。</w:t>
      </w:r>
    </w:p>
    <w:p w14:paraId="7FEC1C32">
      <w:pPr>
        <w:rPr>
          <w:rFonts w:hint="eastAsia" w:ascii="宋体" w:hAnsi="Times New Roman" w:eastAsia="宋体" w:cs="Times New Roman"/>
          <w:b/>
          <w:bCs w:val="0"/>
          <w:color w:val="auto"/>
          <w:kern w:val="2"/>
          <w:sz w:val="32"/>
          <w:szCs w:val="32"/>
          <w:highlight w:val="none"/>
          <w:lang w:val="en-US" w:eastAsia="zh-CN" w:bidi="ar-SA"/>
        </w:rPr>
      </w:pPr>
    </w:p>
    <w:p w14:paraId="10A8C0DA">
      <w:pPr>
        <w:rPr>
          <w:rFonts w:hint="eastAsia" w:ascii="宋体" w:hAnsi="宋体" w:eastAsia="宋体" w:cs="宋体"/>
          <w:color w:val="auto"/>
          <w:kern w:val="2"/>
          <w:sz w:val="28"/>
          <w:szCs w:val="28"/>
          <w:highlight w:val="none"/>
          <w:u w:color="auto"/>
          <w:lang w:val="en-US" w:eastAsia="zh-CN" w:bidi="ar"/>
        </w:rPr>
      </w:pPr>
    </w:p>
    <w:p w14:paraId="352CC0FB">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14:paraId="1A83E52A">
      <w:pPr>
        <w:pStyle w:val="67"/>
        <w:keepNext w:val="0"/>
        <w:keepLines w:val="0"/>
        <w:pageBreakBefore w:val="0"/>
        <w:widowControl/>
        <w:numPr>
          <w:ilvl w:val="2"/>
          <w:numId w:val="0"/>
        </w:numPr>
        <w:kinsoku/>
        <w:wordWrap/>
        <w:overflowPunct/>
        <w:topLinePunct w:val="0"/>
        <w:bidi w:val="0"/>
        <w:adjustRightInd/>
        <w:snapToGrid/>
        <w:spacing w:before="0" w:beforeLines="0" w:after="0" w:afterLines="0" w:line="440" w:lineRule="exact"/>
        <w:ind w:left="0" w:leftChars="0" w:firstLine="0" w:firstLineChars="0"/>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386E73E6">
      <w:pPr>
        <w:spacing w:line="360" w:lineRule="auto"/>
        <w:rPr>
          <w:rFonts w:hint="eastAsia" w:ascii="宋体" w:hAnsi="宋体" w:eastAsia="宋体"/>
          <w:b/>
          <w:sz w:val="21"/>
          <w:szCs w:val="21"/>
          <w:highlight w:val="none"/>
          <w:lang w:eastAsia="zh-CN"/>
        </w:rPr>
      </w:pPr>
      <w:r>
        <w:rPr>
          <w:rFonts w:hint="eastAsia" w:ascii="宋体" w:hAnsi="宋体"/>
          <w:b/>
          <w:sz w:val="21"/>
          <w:szCs w:val="21"/>
          <w:highlight w:val="none"/>
        </w:rPr>
        <w:t>甲方</w:t>
      </w:r>
      <w:r>
        <w:rPr>
          <w:rFonts w:hint="eastAsia" w:ascii="宋体" w:hAnsi="宋体"/>
          <w:b/>
          <w:sz w:val="21"/>
          <w:szCs w:val="21"/>
          <w:highlight w:val="none"/>
          <w:lang w:eastAsia="zh-CN"/>
        </w:rPr>
        <w:t>（</w:t>
      </w:r>
      <w:r>
        <w:rPr>
          <w:rFonts w:hint="eastAsia" w:ascii="宋体" w:hAnsi="宋体"/>
          <w:b/>
          <w:sz w:val="21"/>
          <w:szCs w:val="21"/>
          <w:highlight w:val="none"/>
          <w:lang w:val="en-US" w:eastAsia="zh-CN"/>
        </w:rPr>
        <w:t>委托方</w:t>
      </w:r>
      <w:r>
        <w:rPr>
          <w:rFonts w:hint="eastAsia" w:ascii="宋体" w:hAnsi="宋体"/>
          <w:b/>
          <w:sz w:val="21"/>
          <w:szCs w:val="21"/>
          <w:highlight w:val="none"/>
          <w:lang w:eastAsia="zh-CN"/>
        </w:rPr>
        <w:t>）</w:t>
      </w:r>
      <w:r>
        <w:rPr>
          <w:rFonts w:hint="eastAsia" w:ascii="宋体" w:hAnsi="宋体"/>
          <w:b/>
          <w:sz w:val="21"/>
          <w:szCs w:val="21"/>
          <w:highlight w:val="none"/>
        </w:rPr>
        <w:t>：</w:t>
      </w:r>
      <w:r>
        <w:rPr>
          <w:rFonts w:hint="eastAsia" w:ascii="宋体" w:hAnsi="宋体"/>
          <w:b/>
          <w:sz w:val="21"/>
          <w:szCs w:val="21"/>
          <w:highlight w:val="none"/>
          <w:lang w:eastAsia="zh-CN"/>
        </w:rPr>
        <w:t>滁州市轨道交通运营有限公司</w:t>
      </w:r>
    </w:p>
    <w:p w14:paraId="059F7241">
      <w:pPr>
        <w:spacing w:line="360" w:lineRule="auto"/>
        <w:rPr>
          <w:rFonts w:ascii="宋体" w:hAnsi="宋体"/>
          <w:b/>
          <w:sz w:val="21"/>
          <w:szCs w:val="21"/>
          <w:highlight w:val="none"/>
          <w:u w:val="single"/>
        </w:rPr>
      </w:pPr>
      <w:r>
        <w:rPr>
          <w:rFonts w:hint="eastAsia" w:ascii="宋体" w:hAnsi="宋体"/>
          <w:b/>
          <w:sz w:val="21"/>
          <w:szCs w:val="21"/>
          <w:highlight w:val="none"/>
        </w:rPr>
        <w:t>乙方</w:t>
      </w:r>
      <w:r>
        <w:rPr>
          <w:rFonts w:hint="eastAsia" w:ascii="宋体" w:hAnsi="宋体"/>
          <w:b/>
          <w:sz w:val="21"/>
          <w:szCs w:val="21"/>
          <w:highlight w:val="none"/>
          <w:lang w:eastAsia="zh-CN"/>
        </w:rPr>
        <w:t>（</w:t>
      </w:r>
      <w:r>
        <w:rPr>
          <w:rFonts w:hint="eastAsia" w:ascii="宋体" w:hAnsi="宋体"/>
          <w:b/>
          <w:sz w:val="21"/>
          <w:szCs w:val="21"/>
          <w:highlight w:val="none"/>
          <w:lang w:val="en-US" w:eastAsia="zh-CN"/>
        </w:rPr>
        <w:t>受托方</w:t>
      </w:r>
      <w:r>
        <w:rPr>
          <w:rFonts w:hint="eastAsia" w:ascii="宋体" w:hAnsi="宋体"/>
          <w:b/>
          <w:sz w:val="21"/>
          <w:szCs w:val="21"/>
          <w:highlight w:val="none"/>
          <w:lang w:eastAsia="zh-CN"/>
        </w:rPr>
        <w:t>）</w:t>
      </w:r>
      <w:r>
        <w:rPr>
          <w:rFonts w:hint="eastAsia" w:ascii="宋体" w:hAnsi="宋体"/>
          <w:b/>
          <w:sz w:val="21"/>
          <w:szCs w:val="21"/>
          <w:highlight w:val="none"/>
        </w:rPr>
        <w:t>：</w:t>
      </w:r>
    </w:p>
    <w:p w14:paraId="6A7D8FF1">
      <w:pPr>
        <w:spacing w:line="520" w:lineRule="exact"/>
        <w:ind w:firstLine="420" w:firstLineChars="200"/>
        <w:rPr>
          <w:rFonts w:ascii="宋体" w:hAnsi="宋体"/>
          <w:sz w:val="21"/>
          <w:szCs w:val="21"/>
          <w:highlight w:val="none"/>
        </w:rPr>
      </w:pPr>
      <w:r>
        <w:rPr>
          <w:rFonts w:hint="eastAsia" w:ascii="宋体" w:hAnsi="宋体"/>
          <w:sz w:val="21"/>
          <w:szCs w:val="21"/>
          <w:highlight w:val="none"/>
        </w:rPr>
        <w:t>根据《中华人民共和国民法典》等法律法规的相关规定，本着自愿、平等、诚信的原则，经双方协商一致，就甲方委托乙方提供【</w:t>
      </w:r>
      <w:r>
        <w:rPr>
          <w:rFonts w:hint="eastAsia" w:ascii="宋体" w:hAnsi="宋体"/>
          <w:sz w:val="21"/>
          <w:szCs w:val="21"/>
          <w:highlight w:val="none"/>
          <w:u w:val="single"/>
          <w:lang w:val="en-US" w:eastAsia="zh-CN"/>
        </w:rPr>
        <w:t xml:space="preserve">                       </w:t>
      </w:r>
      <w:r>
        <w:rPr>
          <w:rFonts w:hint="eastAsia" w:ascii="宋体" w:hAnsi="宋体"/>
          <w:sz w:val="21"/>
          <w:szCs w:val="21"/>
          <w:highlight w:val="none"/>
          <w:u w:val="none"/>
          <w:lang w:val="en-US" w:eastAsia="zh-CN"/>
        </w:rPr>
        <w:t>】</w:t>
      </w:r>
      <w:r>
        <w:rPr>
          <w:rFonts w:hint="eastAsia" w:ascii="宋体" w:hAnsi="宋体"/>
          <w:sz w:val="21"/>
          <w:szCs w:val="21"/>
          <w:highlight w:val="none"/>
        </w:rPr>
        <w:t>服务相关事宜，签订本合同，以资共同遵守。</w:t>
      </w:r>
    </w:p>
    <w:p w14:paraId="68C88F57">
      <w:pPr>
        <w:spacing w:line="520" w:lineRule="exact"/>
        <w:jc w:val="center"/>
        <w:rPr>
          <w:rFonts w:hint="eastAsia" w:ascii="宋体" w:hAnsi="宋体"/>
          <w:b/>
          <w:bCs/>
          <w:sz w:val="21"/>
          <w:szCs w:val="21"/>
          <w:highlight w:val="none"/>
          <w:lang w:val="en-US" w:eastAsia="zh-CN"/>
        </w:rPr>
      </w:pPr>
    </w:p>
    <w:p w14:paraId="15EDE80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
          <w:sz w:val="21"/>
          <w:szCs w:val="21"/>
          <w:highlight w:val="none"/>
          <w:lang w:val="en-US" w:eastAsia="zh-CN"/>
        </w:rPr>
      </w:pPr>
      <w:r>
        <w:rPr>
          <w:rFonts w:hint="eastAsia" w:ascii="宋体" w:hAnsi="宋体"/>
          <w:b/>
          <w:sz w:val="21"/>
          <w:szCs w:val="21"/>
          <w:highlight w:val="none"/>
          <w:lang w:val="en-US" w:eastAsia="zh-CN"/>
        </w:rPr>
        <w:t>第一条  服务事项</w:t>
      </w:r>
    </w:p>
    <w:p w14:paraId="71608524">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b/>
          <w:bCs/>
          <w:spacing w:val="-8"/>
          <w:kern w:val="0"/>
          <w:sz w:val="21"/>
          <w:szCs w:val="21"/>
          <w:highlight w:val="none"/>
        </w:rPr>
      </w:pPr>
      <w:bookmarkStart w:id="171" w:name="_Toc351203482"/>
      <w:r>
        <w:rPr>
          <w:rFonts w:hint="eastAsia" w:cs="宋体" w:asciiTheme="minorEastAsia" w:hAnsiTheme="minorEastAsia" w:eastAsiaTheme="minorEastAsia"/>
          <w:b/>
          <w:bCs/>
          <w:spacing w:val="-8"/>
          <w:kern w:val="0"/>
          <w:sz w:val="21"/>
          <w:szCs w:val="21"/>
          <w:highlight w:val="none"/>
        </w:rPr>
        <w:t>1.1 服务内容</w:t>
      </w:r>
    </w:p>
    <w:p w14:paraId="2BCBA8F6">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u w:val="single"/>
          <w:lang w:eastAsia="zh-CN"/>
        </w:rPr>
      </w:pPr>
      <w:r>
        <w:rPr>
          <w:rFonts w:hint="eastAsia" w:cs="宋体" w:asciiTheme="minorEastAsia" w:hAnsiTheme="minorEastAsia" w:eastAsiaTheme="minorEastAsia"/>
          <w:spacing w:val="-8"/>
          <w:kern w:val="0"/>
          <w:sz w:val="21"/>
          <w:szCs w:val="21"/>
          <w:highlight w:val="none"/>
        </w:rPr>
        <w:t>1</w:t>
      </w:r>
      <w:r>
        <w:rPr>
          <w:rFonts w:cs="宋体" w:asciiTheme="minorEastAsia" w:hAnsiTheme="minorEastAsia" w:eastAsiaTheme="minorEastAsia"/>
          <w:spacing w:val="-8"/>
          <w:kern w:val="0"/>
          <w:sz w:val="21"/>
          <w:szCs w:val="21"/>
          <w:highlight w:val="none"/>
        </w:rPr>
        <w:t>.</w:t>
      </w:r>
      <w:r>
        <w:rPr>
          <w:rFonts w:hint="eastAsia" w:cs="宋体" w:asciiTheme="minorEastAsia" w:hAnsiTheme="minorEastAsia" w:eastAsiaTheme="minorEastAsia"/>
          <w:spacing w:val="-8"/>
          <w:kern w:val="0"/>
          <w:sz w:val="21"/>
          <w:szCs w:val="21"/>
          <w:highlight w:val="none"/>
        </w:rPr>
        <w:t>1.1 在甲方要求的时间内，乙方向甲方提供【</w:t>
      </w:r>
      <w:r>
        <w:rPr>
          <w:rFonts w:hint="eastAsia" w:cs="宋体" w:asciiTheme="minorEastAsia" w:hAnsiTheme="minorEastAsia" w:eastAsiaTheme="minorEastAsia"/>
          <w:b/>
          <w:bCs/>
          <w:spacing w:val="-8"/>
          <w:kern w:val="0"/>
          <w:sz w:val="21"/>
          <w:szCs w:val="21"/>
          <w:highlight w:val="none"/>
          <w:u w:val="single"/>
          <w:lang w:val="en-US" w:eastAsia="zh-CN"/>
        </w:rPr>
        <w:t xml:space="preserve">                 </w:t>
      </w:r>
      <w:r>
        <w:rPr>
          <w:rFonts w:hint="eastAsia" w:cs="宋体" w:asciiTheme="minorEastAsia" w:hAnsiTheme="minorEastAsia" w:eastAsiaTheme="minorEastAsia"/>
          <w:spacing w:val="-8"/>
          <w:kern w:val="0"/>
          <w:sz w:val="21"/>
          <w:szCs w:val="21"/>
          <w:highlight w:val="none"/>
          <w:u w:val="none"/>
        </w:rPr>
        <w:t>】</w:t>
      </w:r>
      <w:r>
        <w:rPr>
          <w:rFonts w:hint="eastAsia" w:cs="宋体" w:asciiTheme="minorEastAsia" w:hAnsiTheme="minorEastAsia" w:eastAsiaTheme="minorEastAsia"/>
          <w:spacing w:val="-8"/>
          <w:kern w:val="0"/>
          <w:sz w:val="21"/>
          <w:szCs w:val="21"/>
          <w:highlight w:val="none"/>
          <w:u w:val="none"/>
          <w:lang w:eastAsia="zh-CN"/>
        </w:rPr>
        <w:t>。</w:t>
      </w:r>
    </w:p>
    <w:p w14:paraId="64B3C766">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1.1.2 乙方应当按照甲方指定的项目、服务内容和服务进度安排提供相应技术服务，具体服务事项以合同附件一用户需求书或甲方的书面要求为准。</w:t>
      </w:r>
    </w:p>
    <w:p w14:paraId="3BC89F3C">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b/>
          <w:bCs/>
          <w:spacing w:val="-8"/>
          <w:kern w:val="0"/>
          <w:sz w:val="21"/>
          <w:szCs w:val="21"/>
          <w:highlight w:val="none"/>
        </w:rPr>
        <w:t>1.2 服务期限</w:t>
      </w:r>
    </w:p>
    <w:p w14:paraId="30FED9F9">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除非根据本合同条款延期或提前终止，本合同项下服务期限自</w:t>
      </w:r>
      <w:r>
        <w:rPr>
          <w:rFonts w:hint="eastAsia" w:ascii="宋体" w:hAnsi="宋体" w:eastAsia="宋体" w:cs="宋体"/>
          <w:color w:val="auto"/>
          <w:sz w:val="21"/>
          <w:szCs w:val="21"/>
          <w:highlight w:val="none"/>
          <w:u w:val="single"/>
          <w:lang w:val="en-US" w:eastAsia="zh-CN"/>
        </w:rPr>
        <w:t>2026</w:t>
      </w:r>
      <w:r>
        <w:rPr>
          <w:rFonts w:hint="eastAsia" w:ascii="宋体" w:hAnsi="宋体" w:eastAsia="宋体" w:cs="宋体"/>
          <w:color w:val="auto"/>
          <w:sz w:val="21"/>
          <w:szCs w:val="21"/>
          <w:highlight w:val="none"/>
          <w:lang w:eastAsia="zh-CN"/>
        </w:rPr>
        <w:t>年__月__日起至</w:t>
      </w:r>
      <w:r>
        <w:rPr>
          <w:rFonts w:hint="eastAsia" w:ascii="宋体" w:hAnsi="宋体" w:eastAsia="宋体" w:cs="宋体"/>
          <w:color w:val="auto"/>
          <w:sz w:val="21"/>
          <w:szCs w:val="21"/>
          <w:highlight w:val="none"/>
          <w:u w:val="single"/>
          <w:lang w:val="en-US" w:eastAsia="zh-CN"/>
        </w:rPr>
        <w:t>2028</w:t>
      </w:r>
      <w:r>
        <w:rPr>
          <w:rFonts w:hint="eastAsia" w:ascii="宋体" w:hAnsi="宋体" w:eastAsia="宋体" w:cs="宋体"/>
          <w:color w:val="auto"/>
          <w:sz w:val="21"/>
          <w:szCs w:val="21"/>
          <w:highlight w:val="none"/>
          <w:lang w:eastAsia="zh-CN"/>
        </w:rPr>
        <w:t>年__月__日。</w:t>
      </w:r>
      <w:r>
        <w:rPr>
          <w:rFonts w:hint="eastAsia" w:ascii="宋体" w:hAnsi="宋体" w:eastAsia="宋体" w:cs="宋体"/>
          <w:color w:val="auto"/>
          <w:kern w:val="2"/>
          <w:sz w:val="21"/>
          <w:szCs w:val="21"/>
          <w:highlight w:val="none"/>
          <w:lang w:val="en-US" w:eastAsia="zh-CN" w:bidi="ar-SA"/>
        </w:rPr>
        <w:t>每期检测自招标人下发任务通知单后</w:t>
      </w:r>
      <w:r>
        <w:rPr>
          <w:rFonts w:hint="eastAsia" w:ascii="宋体" w:hAnsi="宋体" w:eastAsia="宋体" w:cs="宋体"/>
          <w:color w:val="auto"/>
          <w:kern w:val="2"/>
          <w:sz w:val="21"/>
          <w:szCs w:val="21"/>
          <w:highlight w:val="none"/>
          <w:u w:val="single"/>
          <w:lang w:val="en-US" w:eastAsia="zh-CN" w:bidi="ar-SA"/>
        </w:rPr>
        <w:t>60</w:t>
      </w:r>
      <w:r>
        <w:rPr>
          <w:rFonts w:hint="eastAsia" w:ascii="宋体" w:hAnsi="宋体" w:eastAsia="宋体" w:cs="宋体"/>
          <w:color w:val="auto"/>
          <w:kern w:val="2"/>
          <w:sz w:val="21"/>
          <w:szCs w:val="21"/>
          <w:highlight w:val="none"/>
          <w:lang w:val="en-US" w:eastAsia="zh-CN" w:bidi="ar-SA"/>
        </w:rPr>
        <w:t>日内完成检测及专家评审并提交最终检测报告。</w:t>
      </w:r>
    </w:p>
    <w:p w14:paraId="6255DC52">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b/>
          <w:bCs/>
          <w:spacing w:val="-8"/>
          <w:kern w:val="0"/>
          <w:sz w:val="21"/>
          <w:szCs w:val="21"/>
          <w:highlight w:val="none"/>
        </w:rPr>
      </w:pPr>
      <w:r>
        <w:rPr>
          <w:rFonts w:hint="eastAsia" w:cs="宋体" w:asciiTheme="minorEastAsia" w:hAnsiTheme="minorEastAsia" w:eastAsiaTheme="minorEastAsia"/>
          <w:b/>
          <w:bCs/>
          <w:spacing w:val="-8"/>
          <w:kern w:val="0"/>
          <w:sz w:val="21"/>
          <w:szCs w:val="21"/>
          <w:highlight w:val="none"/>
        </w:rPr>
        <w:t>1.3 服务验收标准</w:t>
      </w:r>
    </w:p>
    <w:p w14:paraId="695F5819">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对于乙方委派人员完成的技术服务成果和质量标准，按照甲方服务要求和项目质量管理规定执行。经甲方验收不合格的，乙方应当按照甲方要求进行返工整改直至验收合格。甲方或其指定人员签署的服务验收单作为乙方申请付款的依据。</w:t>
      </w:r>
    </w:p>
    <w:bookmarkEnd w:id="171"/>
    <w:p w14:paraId="750DDBE6">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b/>
          <w:sz w:val="21"/>
          <w:szCs w:val="21"/>
          <w:highlight w:val="none"/>
          <w:lang w:val="en-US" w:eastAsia="zh-CN"/>
        </w:rPr>
      </w:pPr>
      <w:r>
        <w:rPr>
          <w:rFonts w:hint="eastAsia" w:ascii="宋体" w:hAnsi="宋体"/>
          <w:b/>
          <w:sz w:val="21"/>
          <w:szCs w:val="21"/>
          <w:highlight w:val="none"/>
          <w:lang w:val="en-US" w:eastAsia="zh-CN"/>
        </w:rPr>
        <w:t>第二条  承诺及保证</w:t>
      </w:r>
    </w:p>
    <w:p w14:paraId="25D7D019">
      <w:pPr>
        <w:widowControl/>
        <w:spacing w:line="360" w:lineRule="auto"/>
        <w:ind w:firstLine="388" w:firstLineChars="200"/>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2.1 双方承诺及保证</w:t>
      </w:r>
    </w:p>
    <w:p w14:paraId="58027E10">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2.1.1 双方均系依照中国法律设立并合法、有效存续的公司或组织，完全有权签订本合同，并且有能力履行本合同项下义务。</w:t>
      </w:r>
    </w:p>
    <w:p w14:paraId="0C17784C">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2.1.2 双方签署、交付和履行本合同所需的所有同意、批准、授权和指令都已依法获得（如有），双方具有充分的权利、权力和能力签署、交付和履行本合同，且双方签署、交付和履行本合同均在其业务经营范围之内。</w:t>
      </w:r>
    </w:p>
    <w:p w14:paraId="58C7F819">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2.1.3 本合同的签署、交付和履行将不会（i）违反任何中国法律法规；或（ii）违反双方业务所需的任何许可或证照的条件；并且本合同的任何内容都不应当被认为构成双方之间的合资、合伙代理或者雇佣关系。</w:t>
      </w:r>
    </w:p>
    <w:p w14:paraId="1182A4A4">
      <w:pPr>
        <w:widowControl/>
        <w:spacing w:line="360" w:lineRule="auto"/>
        <w:ind w:firstLine="388" w:firstLineChars="200"/>
        <w:jc w:val="left"/>
        <w:rPr>
          <w:rFonts w:cs="宋体" w:asciiTheme="minorEastAsia" w:hAnsiTheme="minorEastAsia" w:eastAsiaTheme="minorEastAsia"/>
          <w:b/>
          <w:spacing w:val="-8"/>
          <w:kern w:val="0"/>
          <w:sz w:val="21"/>
          <w:szCs w:val="21"/>
          <w:highlight w:val="none"/>
        </w:rPr>
      </w:pPr>
      <w:bookmarkStart w:id="172" w:name="_Toc297806528"/>
      <w:bookmarkStart w:id="173" w:name="_Toc297806551"/>
      <w:r>
        <w:rPr>
          <w:rFonts w:hint="eastAsia" w:cs="宋体" w:asciiTheme="minorEastAsia" w:hAnsiTheme="minorEastAsia" w:eastAsiaTheme="minorEastAsia"/>
          <w:b/>
          <w:spacing w:val="-8"/>
          <w:kern w:val="0"/>
          <w:sz w:val="21"/>
          <w:szCs w:val="21"/>
          <w:highlight w:val="none"/>
        </w:rPr>
        <w:t>2.2 乙方承诺及保证</w:t>
      </w:r>
      <w:bookmarkEnd w:id="172"/>
      <w:bookmarkEnd w:id="173"/>
    </w:p>
    <w:p w14:paraId="2F22DE62">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2.2.1 乙方保证其具有向甲方提供本合同约定的技术服务的相关资质。</w:t>
      </w:r>
    </w:p>
    <w:p w14:paraId="218B3F90">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2.2.2 乙方提供的服务和提交的工作成果将符合所有适用的专业标准与规定，不会侵犯任何第三方所拥有的知识产权。</w:t>
      </w:r>
    </w:p>
    <w:p w14:paraId="1FFA6953">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2.2.3 乙方保证向甲方提供的与服务事项及服务人员相关的全部资料均真实、全面。</w:t>
      </w:r>
    </w:p>
    <w:p w14:paraId="762CB4C3">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2.2.4 乙方负责为其所委派的人员，购买适当的保险，保障因该等人员受伤、死亡而产生的索赔和费用。乙方应对乙方所派出人员的健康与安全负责，甲方不对乙方所派出人员承担任何责任和费用。</w:t>
      </w:r>
    </w:p>
    <w:p w14:paraId="13C27458">
      <w:pPr>
        <w:widowControl/>
        <w:spacing w:line="360" w:lineRule="auto"/>
        <w:ind w:firstLine="388" w:firstLineChars="200"/>
        <w:jc w:val="left"/>
        <w:rPr>
          <w:rFonts w:hint="eastAsia" w:cs="宋体" w:asciiTheme="minorEastAsia" w:hAnsiTheme="minorEastAsia" w:eastAsiaTheme="minorEastAsia"/>
          <w:spacing w:val="-8"/>
          <w:kern w:val="0"/>
          <w:sz w:val="21"/>
          <w:szCs w:val="21"/>
          <w:highlight w:val="none"/>
          <w:lang w:val="en-US" w:eastAsia="zh-CN"/>
        </w:rPr>
      </w:pPr>
      <w:r>
        <w:rPr>
          <w:rFonts w:hint="eastAsia" w:cs="宋体" w:asciiTheme="minorEastAsia" w:hAnsiTheme="minorEastAsia" w:eastAsiaTheme="minorEastAsia"/>
          <w:spacing w:val="-8"/>
          <w:kern w:val="0"/>
          <w:sz w:val="21"/>
          <w:szCs w:val="21"/>
          <w:highlight w:val="none"/>
        </w:rPr>
        <w:t>2.2.5 其他承诺与保证：</w:t>
      </w:r>
      <w:r>
        <w:rPr>
          <w:rFonts w:hint="eastAsia" w:cs="宋体" w:asciiTheme="minorEastAsia" w:hAnsiTheme="minorEastAsia" w:eastAsiaTheme="minorEastAsia"/>
          <w:spacing w:val="-8"/>
          <w:kern w:val="0"/>
          <w:sz w:val="21"/>
          <w:szCs w:val="21"/>
          <w:highlight w:val="none"/>
          <w:u w:val="single"/>
          <w:lang w:val="en-US" w:eastAsia="zh-CN"/>
        </w:rPr>
        <w:t xml:space="preserve">                   </w:t>
      </w:r>
      <w:r>
        <w:rPr>
          <w:rFonts w:hint="eastAsia" w:cs="宋体" w:asciiTheme="minorEastAsia" w:hAnsiTheme="minorEastAsia" w:eastAsiaTheme="minorEastAsia"/>
          <w:spacing w:val="-8"/>
          <w:kern w:val="0"/>
          <w:sz w:val="21"/>
          <w:szCs w:val="21"/>
          <w:highlight w:val="none"/>
          <w:lang w:val="en-US" w:eastAsia="zh-CN"/>
        </w:rPr>
        <w:t>。</w:t>
      </w:r>
    </w:p>
    <w:p w14:paraId="65CF0D88">
      <w:pPr>
        <w:widowControl/>
        <w:spacing w:line="360" w:lineRule="auto"/>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第三条  乙方的服务团队</w:t>
      </w:r>
    </w:p>
    <w:p w14:paraId="5E35D824">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bookmarkStart w:id="174" w:name="_Toc297806553"/>
      <w:bookmarkStart w:id="175" w:name="_Toc297806530"/>
      <w:r>
        <w:rPr>
          <w:rFonts w:hint="eastAsia" w:cs="宋体" w:asciiTheme="minorEastAsia" w:hAnsiTheme="minorEastAsia" w:eastAsiaTheme="minorEastAsia"/>
          <w:spacing w:val="-8"/>
          <w:kern w:val="0"/>
          <w:sz w:val="21"/>
          <w:szCs w:val="21"/>
          <w:highlight w:val="none"/>
        </w:rPr>
        <w:t>3.1 乙方项目组的核心成员为：项目经理_____，主要顾问人员_____；其他项目组成员、团队结构及资历介绍见本合同附件三：项目组成员。未经甲方事先书面同意，乙方不得更换、减少项目组核心成员</w:t>
      </w:r>
      <w:bookmarkEnd w:id="174"/>
      <w:bookmarkEnd w:id="175"/>
      <w:r>
        <w:rPr>
          <w:rFonts w:hint="eastAsia" w:cs="宋体" w:asciiTheme="minorEastAsia" w:hAnsiTheme="minorEastAsia" w:eastAsiaTheme="minorEastAsia"/>
          <w:spacing w:val="-8"/>
          <w:kern w:val="0"/>
          <w:sz w:val="21"/>
          <w:szCs w:val="21"/>
          <w:highlight w:val="none"/>
        </w:rPr>
        <w:t>。</w:t>
      </w:r>
    </w:p>
    <w:p w14:paraId="698BED00">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bookmarkStart w:id="176" w:name="_Toc297806531"/>
      <w:bookmarkStart w:id="177" w:name="_Toc297806554"/>
      <w:r>
        <w:rPr>
          <w:rFonts w:hint="eastAsia" w:cs="宋体" w:asciiTheme="minorEastAsia" w:hAnsiTheme="minorEastAsia" w:eastAsiaTheme="minorEastAsia"/>
          <w:spacing w:val="-8"/>
          <w:kern w:val="0"/>
          <w:sz w:val="21"/>
          <w:szCs w:val="21"/>
          <w:highlight w:val="none"/>
        </w:rPr>
        <w:t>3.2 项目支持人员：乙方应根据本项目具体情况安排项目服务和后勤支持人员，项目支持人员为项目组提供后台支持服务，但不因此增加本合同第四条所述服务费用。</w:t>
      </w:r>
      <w:bookmarkEnd w:id="176"/>
      <w:bookmarkEnd w:id="177"/>
    </w:p>
    <w:p w14:paraId="40B30704">
      <w:pPr>
        <w:widowControl/>
        <w:spacing w:line="360" w:lineRule="auto"/>
        <w:ind w:firstLine="388" w:firstLineChars="200"/>
        <w:jc w:val="left"/>
        <w:rPr>
          <w:rFonts w:hint="eastAsia"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3.3 乙方应根据甲方要求及时无条件地更换不合格的项目组成员。</w:t>
      </w:r>
    </w:p>
    <w:p w14:paraId="63A73C84">
      <w:pPr>
        <w:widowControl/>
        <w:spacing w:line="360" w:lineRule="auto"/>
        <w:jc w:val="left"/>
        <w:rPr>
          <w:rFonts w:cs="宋体" w:asciiTheme="minorEastAsia" w:hAnsiTheme="minorEastAsia" w:eastAsiaTheme="minorEastAsia"/>
          <w:b/>
          <w:spacing w:val="-8"/>
          <w:kern w:val="0"/>
          <w:sz w:val="21"/>
          <w:szCs w:val="21"/>
          <w:highlight w:val="none"/>
        </w:rPr>
      </w:pPr>
      <w:bookmarkStart w:id="178" w:name="_Toc221503543"/>
      <w:bookmarkStart w:id="179" w:name="_Toc297806557"/>
      <w:bookmarkStart w:id="180" w:name="_Toc298258573"/>
      <w:bookmarkStart w:id="181" w:name="_Toc297806534"/>
      <w:bookmarkStart w:id="182" w:name="_Toc424651535"/>
      <w:r>
        <w:rPr>
          <w:rFonts w:hint="eastAsia" w:cs="宋体" w:asciiTheme="minorEastAsia" w:hAnsiTheme="minorEastAsia" w:eastAsiaTheme="minorEastAsia"/>
          <w:b/>
          <w:spacing w:val="-8"/>
          <w:kern w:val="0"/>
          <w:sz w:val="21"/>
          <w:szCs w:val="21"/>
          <w:highlight w:val="none"/>
        </w:rPr>
        <w:t>第四条  服务费用</w:t>
      </w:r>
      <w:bookmarkEnd w:id="178"/>
      <w:bookmarkEnd w:id="179"/>
      <w:bookmarkEnd w:id="180"/>
      <w:bookmarkEnd w:id="181"/>
      <w:bookmarkEnd w:id="182"/>
      <w:r>
        <w:rPr>
          <w:rFonts w:hint="eastAsia" w:cs="宋体" w:asciiTheme="minorEastAsia" w:hAnsiTheme="minorEastAsia" w:eastAsiaTheme="minorEastAsia"/>
          <w:b/>
          <w:spacing w:val="-8"/>
          <w:kern w:val="0"/>
          <w:sz w:val="21"/>
          <w:szCs w:val="21"/>
          <w:highlight w:val="none"/>
        </w:rPr>
        <w:t>及支付方式</w:t>
      </w:r>
    </w:p>
    <w:p w14:paraId="70E65C20">
      <w:pPr>
        <w:widowControl/>
        <w:spacing w:line="360" w:lineRule="auto"/>
        <w:ind w:firstLine="388" w:firstLineChars="200"/>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spacing w:val="-8"/>
          <w:kern w:val="0"/>
          <w:sz w:val="21"/>
          <w:szCs w:val="21"/>
          <w:highlight w:val="none"/>
        </w:rPr>
        <w:t>4.1 本项目服务费用总额为人民币（大写）_____元(￥_____元)（不含税），含税价为人民币（大写）_____元(￥_____元)，税率为____%。（以下简称“服务费用”）。</w:t>
      </w:r>
    </w:p>
    <w:p w14:paraId="445652E6">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4.2 支付方式</w:t>
      </w:r>
    </w:p>
    <w:p w14:paraId="1BADA3A1">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甲方应按下列第</w:t>
      </w:r>
      <w:r>
        <w:rPr>
          <w:rFonts w:hint="eastAsia" w:ascii="宋体" w:hAnsi="宋体" w:cs="宋体"/>
          <w:b/>
          <w:bCs/>
          <w:sz w:val="21"/>
          <w:szCs w:val="21"/>
          <w:highlight w:val="none"/>
          <w:u w:val="single"/>
          <w:lang w:val="en-US" w:eastAsia="zh-CN"/>
        </w:rPr>
        <w:t xml:space="preserve">  2  </w:t>
      </w:r>
      <w:r>
        <w:rPr>
          <w:rFonts w:hint="eastAsia" w:ascii="宋体" w:hAnsi="宋体" w:cs="宋体"/>
          <w:sz w:val="21"/>
          <w:szCs w:val="21"/>
          <w:highlight w:val="none"/>
        </w:rPr>
        <w:t>种方式向乙方支付服务费用：</w:t>
      </w:r>
    </w:p>
    <w:p w14:paraId="6953F470">
      <w:pPr>
        <w:numPr>
          <w:ilvl w:val="255"/>
          <w:numId w:val="0"/>
        </w:num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（1）一次性付款：在本合同服务期限届满，乙方提交的所有工作成果均通过甲方验收，且乙方向甲方提供符合要求的增值税发票后___日内，一次性付清全部服务费用。</w:t>
      </w:r>
    </w:p>
    <w:p w14:paraId="06D22334">
      <w:pPr>
        <w:numPr>
          <w:ilvl w:val="255"/>
          <w:numId w:val="0"/>
        </w:numPr>
        <w:spacing w:line="360" w:lineRule="auto"/>
        <w:ind w:left="420" w:leftChars="200"/>
        <w:rPr>
          <w:rFonts w:ascii="宋体" w:hAnsi="宋体" w:cs="宋体"/>
          <w:sz w:val="21"/>
          <w:szCs w:val="21"/>
          <w:highlight w:val="none"/>
        </w:rPr>
      </w:pPr>
      <w:r>
        <w:rPr>
          <w:rFonts w:hint="eastAsia" w:ascii="宋体" w:hAnsi="宋体" w:cs="宋体"/>
          <w:sz w:val="21"/>
          <w:szCs w:val="21"/>
          <w:highlight w:val="none"/>
        </w:rPr>
        <w:t>（2）分期付款：</w:t>
      </w:r>
    </w:p>
    <w:p w14:paraId="490C9977">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按年度付款。乙方提交付款申请、防雷检测报告及专家评审报告，甲方审核验收合格后并按合同约定扣除索赔款项、违约金等，于【90】天内向乙方支付本年度的结算款。</w:t>
      </w:r>
    </w:p>
    <w:p w14:paraId="19E5D0F7">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 xml:space="preserve">合同价款以 </w:t>
      </w:r>
      <w:r>
        <w:rPr>
          <w:rFonts w:hint="eastAsia" w:cs="宋体" w:asciiTheme="minorEastAsia" w:hAnsiTheme="minorEastAsia" w:eastAsiaTheme="minorEastAsia"/>
          <w:spacing w:val="-8"/>
          <w:kern w:val="0"/>
          <w:sz w:val="21"/>
          <w:szCs w:val="21"/>
          <w:highlight w:val="none"/>
          <w:u w:val="single"/>
        </w:rPr>
        <w:t xml:space="preserve">  银行转账  </w:t>
      </w:r>
      <w:r>
        <w:rPr>
          <w:rFonts w:hint="eastAsia" w:cs="宋体" w:asciiTheme="minorEastAsia" w:hAnsiTheme="minorEastAsia" w:eastAsiaTheme="minorEastAsia"/>
          <w:spacing w:val="-8"/>
          <w:kern w:val="0"/>
          <w:sz w:val="21"/>
          <w:szCs w:val="21"/>
          <w:highlight w:val="none"/>
        </w:rPr>
        <w:t>的方式支付。乙方银行账户信息确认如下：</w:t>
      </w:r>
    </w:p>
    <w:p w14:paraId="104C67A8">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账户名：</w:t>
      </w:r>
      <w:r>
        <w:rPr>
          <w:rFonts w:hint="eastAsia" w:cs="宋体" w:asciiTheme="minorEastAsia" w:hAnsiTheme="minorEastAsia" w:eastAsiaTheme="minorEastAsia"/>
          <w:spacing w:val="-8"/>
          <w:kern w:val="0"/>
          <w:sz w:val="21"/>
          <w:szCs w:val="21"/>
          <w:highlight w:val="none"/>
          <w:u w:val="single"/>
        </w:rPr>
        <w:t xml:space="preserve">             </w:t>
      </w:r>
      <w:r>
        <w:rPr>
          <w:rFonts w:hint="eastAsia" w:cs="宋体" w:asciiTheme="minorEastAsia" w:hAnsiTheme="minorEastAsia" w:eastAsiaTheme="minorEastAsia"/>
          <w:spacing w:val="-8"/>
          <w:kern w:val="0"/>
          <w:sz w:val="21"/>
          <w:szCs w:val="21"/>
          <w:highlight w:val="none"/>
        </w:rPr>
        <w:t xml:space="preserve">               </w:t>
      </w:r>
    </w:p>
    <w:p w14:paraId="0B5C286C">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开户行：</w:t>
      </w:r>
      <w:r>
        <w:rPr>
          <w:rFonts w:hint="eastAsia" w:cs="宋体" w:asciiTheme="minorEastAsia" w:hAnsiTheme="minorEastAsia" w:eastAsiaTheme="minorEastAsia"/>
          <w:spacing w:val="-8"/>
          <w:kern w:val="0"/>
          <w:sz w:val="21"/>
          <w:szCs w:val="21"/>
          <w:highlight w:val="none"/>
          <w:u w:val="single"/>
        </w:rPr>
        <w:t xml:space="preserve">             </w:t>
      </w:r>
      <w:r>
        <w:rPr>
          <w:rFonts w:hint="eastAsia" w:cs="宋体" w:asciiTheme="minorEastAsia" w:hAnsiTheme="minorEastAsia" w:eastAsiaTheme="minorEastAsia"/>
          <w:spacing w:val="-8"/>
          <w:kern w:val="0"/>
          <w:sz w:val="21"/>
          <w:szCs w:val="21"/>
          <w:highlight w:val="none"/>
        </w:rPr>
        <w:t xml:space="preserve">                      </w:t>
      </w:r>
    </w:p>
    <w:p w14:paraId="702E2964">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 xml:space="preserve">账号：  </w:t>
      </w:r>
      <w:r>
        <w:rPr>
          <w:rFonts w:hint="eastAsia" w:cs="宋体" w:asciiTheme="minorEastAsia" w:hAnsiTheme="minorEastAsia" w:eastAsiaTheme="minorEastAsia"/>
          <w:spacing w:val="-8"/>
          <w:kern w:val="0"/>
          <w:sz w:val="21"/>
          <w:szCs w:val="21"/>
          <w:highlight w:val="none"/>
          <w:u w:val="single"/>
        </w:rPr>
        <w:t xml:space="preserve">              </w:t>
      </w:r>
      <w:r>
        <w:rPr>
          <w:rFonts w:hint="eastAsia" w:cs="宋体" w:asciiTheme="minorEastAsia" w:hAnsiTheme="minorEastAsia" w:eastAsiaTheme="minorEastAsia"/>
          <w:spacing w:val="-8"/>
          <w:kern w:val="0"/>
          <w:sz w:val="21"/>
          <w:szCs w:val="21"/>
          <w:highlight w:val="none"/>
        </w:rPr>
        <w:t xml:space="preserve">                          </w:t>
      </w:r>
    </w:p>
    <w:p w14:paraId="592B3D51">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甲方开票信息确认如下：</w:t>
      </w:r>
    </w:p>
    <w:p w14:paraId="7EA77E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单位名称：</w:t>
      </w:r>
      <w:r>
        <w:rPr>
          <w:rFonts w:hint="eastAsia" w:ascii="宋体" w:hAnsi="宋体" w:eastAsia="宋体" w:cs="宋体"/>
          <w:sz w:val="21"/>
          <w:szCs w:val="21"/>
          <w:highlight w:val="none"/>
          <w:u w:val="single"/>
        </w:rPr>
        <w:t>滁州市轨道交通运营有限公司</w:t>
      </w:r>
      <w:r>
        <w:rPr>
          <w:rFonts w:hint="eastAsia" w:ascii="宋体" w:hAnsi="宋体" w:eastAsia="宋体" w:cs="宋体"/>
          <w:sz w:val="21"/>
          <w:szCs w:val="21"/>
          <w:highlight w:val="none"/>
          <w:u w:val="none"/>
        </w:rPr>
        <w:t xml:space="preserve">            </w:t>
      </w:r>
      <w:r>
        <w:rPr>
          <w:rFonts w:hint="eastAsia" w:ascii="宋体" w:hAnsi="宋体" w:eastAsia="宋体" w:cs="宋体"/>
          <w:sz w:val="21"/>
          <w:szCs w:val="21"/>
          <w:highlight w:val="none"/>
        </w:rPr>
        <w:t xml:space="preserve">                            </w:t>
      </w:r>
    </w:p>
    <w:p w14:paraId="17B2A6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纳税人识别号：</w:t>
      </w:r>
      <w:r>
        <w:rPr>
          <w:rFonts w:hint="eastAsia" w:ascii="宋体" w:hAnsi="宋体" w:eastAsia="宋体" w:cs="宋体"/>
          <w:sz w:val="21"/>
          <w:szCs w:val="21"/>
          <w:highlight w:val="none"/>
          <w:u w:val="single"/>
        </w:rPr>
        <w:t>91341100MA8N5FE85H</w:t>
      </w:r>
      <w:r>
        <w:rPr>
          <w:rFonts w:hint="eastAsia" w:ascii="宋体" w:hAnsi="宋体" w:eastAsia="宋体" w:cs="宋体"/>
          <w:sz w:val="21"/>
          <w:szCs w:val="21"/>
          <w:highlight w:val="none"/>
        </w:rPr>
        <w:t xml:space="preserve">                             </w:t>
      </w:r>
    </w:p>
    <w:p w14:paraId="4215BF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地址、电话：</w:t>
      </w:r>
      <w:r>
        <w:rPr>
          <w:rFonts w:hint="eastAsia" w:ascii="宋体" w:hAnsi="宋体" w:eastAsia="宋体" w:cs="宋体"/>
          <w:sz w:val="21"/>
          <w:szCs w:val="21"/>
          <w:highlight w:val="none"/>
          <w:u w:val="single"/>
        </w:rPr>
        <w:t>滁州市南谯区徽州路70</w:t>
      </w:r>
      <w:r>
        <w:rPr>
          <w:rFonts w:hint="eastAsia" w:ascii="宋体" w:hAnsi="宋体" w:eastAsia="宋体" w:cs="宋体"/>
          <w:sz w:val="21"/>
          <w:szCs w:val="21"/>
          <w:highlight w:val="none"/>
          <w:u w:val="single"/>
          <w:lang w:val="en-US" w:eastAsia="zh-CN"/>
        </w:rPr>
        <w:t>1</w:t>
      </w:r>
      <w:r>
        <w:rPr>
          <w:rFonts w:hint="eastAsia" w:ascii="宋体" w:hAnsi="宋体" w:eastAsia="宋体" w:cs="宋体"/>
          <w:sz w:val="21"/>
          <w:szCs w:val="21"/>
          <w:highlight w:val="none"/>
          <w:u w:val="single"/>
        </w:rPr>
        <w:t>号</w:t>
      </w:r>
      <w:r>
        <w:rPr>
          <w:rFonts w:hint="eastAsia" w:ascii="宋体" w:hAnsi="宋体" w:eastAsia="宋体" w:cs="宋体"/>
          <w:sz w:val="21"/>
          <w:szCs w:val="21"/>
          <w:highlight w:val="none"/>
        </w:rPr>
        <w:t xml:space="preserve">                                       </w:t>
      </w:r>
    </w:p>
    <w:p w14:paraId="41262B0D">
      <w:pPr>
        <w:widowControl/>
        <w:spacing w:line="360" w:lineRule="auto"/>
        <w:ind w:firstLine="420" w:firstLineChars="200"/>
        <w:jc w:val="left"/>
        <w:rPr>
          <w:rFonts w:hint="eastAsia" w:cs="宋体" w:asciiTheme="minorEastAsia" w:hAnsiTheme="minorEastAsia" w:eastAsiaTheme="minorEastAsia"/>
          <w:spacing w:val="-8"/>
          <w:kern w:val="0"/>
          <w:sz w:val="21"/>
          <w:szCs w:val="21"/>
          <w:highlight w:val="none"/>
        </w:rPr>
      </w:pPr>
      <w:r>
        <w:rPr>
          <w:rFonts w:hint="eastAsia" w:ascii="宋体" w:hAnsi="宋体" w:eastAsia="宋体" w:cs="宋体"/>
          <w:sz w:val="21"/>
          <w:szCs w:val="21"/>
          <w:highlight w:val="none"/>
        </w:rPr>
        <w:t>开户行、账号：</w:t>
      </w:r>
      <w:r>
        <w:rPr>
          <w:rFonts w:hint="eastAsia" w:ascii="宋体" w:hAnsi="宋体" w:eastAsia="宋体" w:cs="宋体"/>
          <w:sz w:val="21"/>
          <w:szCs w:val="21"/>
          <w:highlight w:val="none"/>
          <w:u w:val="single"/>
        </w:rPr>
        <w:t>中信银行滁州分行营业部、8112301012400814542</w:t>
      </w:r>
      <w:r>
        <w:rPr>
          <w:rFonts w:hint="eastAsia" w:ascii="宋体" w:hAnsi="宋体" w:eastAsia="宋体" w:cs="宋体"/>
          <w:sz w:val="21"/>
          <w:szCs w:val="21"/>
          <w:highlight w:val="none"/>
        </w:rPr>
        <w:t xml:space="preserve"> </w:t>
      </w:r>
      <w:r>
        <w:rPr>
          <w:rFonts w:hint="eastAsia" w:cs="宋体" w:asciiTheme="minorEastAsia" w:hAnsiTheme="minorEastAsia" w:eastAsiaTheme="minorEastAsia"/>
          <w:spacing w:val="-8"/>
          <w:kern w:val="0"/>
          <w:sz w:val="21"/>
          <w:szCs w:val="21"/>
          <w:highlight w:val="none"/>
        </w:rPr>
        <w:t xml:space="preserve">             </w:t>
      </w:r>
    </w:p>
    <w:p w14:paraId="7CECBA64">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4.3 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w:t>
      </w:r>
      <w:r>
        <w:rPr>
          <w:rFonts w:hint="eastAsia" w:cs="宋体" w:asciiTheme="minorEastAsia" w:hAnsiTheme="minorEastAsia" w:eastAsiaTheme="minorEastAsia"/>
          <w:spacing w:val="-8"/>
          <w:kern w:val="0"/>
          <w:sz w:val="21"/>
          <w:szCs w:val="21"/>
          <w:highlight w:val="none"/>
        </w:rPr>
        <w:t>；以及</w:t>
      </w:r>
      <w:r>
        <w:rPr>
          <w:rFonts w:hint="eastAsia" w:cs="宋体" w:asciiTheme="minorEastAsia" w:hAnsiTheme="minorEastAsia" w:eastAsiaTheme="minorEastAsia"/>
          <w:spacing w:val="-8"/>
          <w:kern w:val="0"/>
          <w:sz w:val="21"/>
          <w:szCs w:val="21"/>
          <w:highlight w:val="none"/>
          <w:u w:val="single"/>
          <w:lang w:val="en-US" w:eastAsia="zh-CN"/>
        </w:rPr>
        <w:t>专家评审、交通协调费</w:t>
      </w:r>
      <w:r>
        <w:rPr>
          <w:rFonts w:hint="eastAsia" w:cs="宋体" w:asciiTheme="minorEastAsia" w:hAnsiTheme="minorEastAsia" w:eastAsiaTheme="minorEastAsia"/>
          <w:spacing w:val="-8"/>
          <w:kern w:val="0"/>
          <w:sz w:val="21"/>
          <w:szCs w:val="21"/>
          <w:highlight w:val="none"/>
        </w:rPr>
        <w:t>等费</w:t>
      </w:r>
      <w:bookmarkStart w:id="219" w:name="_GoBack"/>
      <w:bookmarkEnd w:id="219"/>
      <w:r>
        <w:rPr>
          <w:rFonts w:hint="eastAsia" w:cs="宋体" w:asciiTheme="minorEastAsia" w:hAnsiTheme="minorEastAsia" w:eastAsiaTheme="minorEastAsia"/>
          <w:spacing w:val="-8"/>
          <w:kern w:val="0"/>
          <w:sz w:val="21"/>
          <w:szCs w:val="21"/>
          <w:highlight w:val="none"/>
        </w:rPr>
        <w:t>用）。除另有约定外，甲方无需向乙方另行支付其他任何费</w:t>
      </w:r>
      <w:r>
        <w:rPr>
          <w:rFonts w:hint="eastAsia" w:cs="宋体" w:asciiTheme="minorEastAsia" w:hAnsiTheme="minorEastAsia" w:eastAsiaTheme="minorEastAsia"/>
          <w:spacing w:val="-8"/>
          <w:kern w:val="0"/>
          <w:sz w:val="21"/>
          <w:szCs w:val="21"/>
          <w:highlight w:val="none"/>
        </w:rPr>
        <w:t>用。</w:t>
      </w:r>
    </w:p>
    <w:p w14:paraId="7AD725B2">
      <w:pPr>
        <w:widowControl/>
        <w:spacing w:line="360" w:lineRule="auto"/>
        <w:ind w:firstLine="388" w:firstLineChars="200"/>
        <w:jc w:val="left"/>
        <w:rPr>
          <w:rFonts w:hint="eastAsia" w:cs="宋体" w:asciiTheme="minorEastAsia" w:hAnsiTheme="minorEastAsia" w:eastAsiaTheme="minorEastAsia"/>
          <w:spacing w:val="-8"/>
          <w:kern w:val="0"/>
          <w:sz w:val="21"/>
          <w:szCs w:val="21"/>
          <w:highlight w:val="none"/>
          <w:lang w:val="en-US" w:eastAsia="zh-Hans"/>
        </w:rPr>
      </w:pPr>
      <w:r>
        <w:rPr>
          <w:rFonts w:hint="eastAsia" w:cs="宋体" w:asciiTheme="minorEastAsia" w:hAnsiTheme="minorEastAsia" w:eastAsiaTheme="minorEastAsia"/>
          <w:spacing w:val="-8"/>
          <w:kern w:val="0"/>
          <w:sz w:val="21"/>
          <w:szCs w:val="21"/>
          <w:highlight w:val="none"/>
        </w:rPr>
        <w:t xml:space="preserve">4.4 </w:t>
      </w:r>
      <w:r>
        <w:rPr>
          <w:rFonts w:hint="eastAsia" w:cs="宋体" w:asciiTheme="minorEastAsia" w:hAnsiTheme="minorEastAsia" w:eastAsiaTheme="minorEastAsia"/>
          <w:spacing w:val="-8"/>
          <w:kern w:val="0"/>
          <w:sz w:val="21"/>
          <w:szCs w:val="21"/>
          <w:highlight w:val="none"/>
          <w:lang w:val="en-US" w:eastAsia="zh-CN"/>
        </w:rPr>
        <w:t>本合同约定的为</w:t>
      </w:r>
      <w:r>
        <w:rPr>
          <w:rFonts w:hint="eastAsia" w:cs="宋体" w:asciiTheme="minorEastAsia" w:hAnsiTheme="minorEastAsia" w:eastAsiaTheme="minorEastAsia"/>
          <w:spacing w:val="-8"/>
          <w:kern w:val="0"/>
          <w:sz w:val="21"/>
          <w:szCs w:val="21"/>
          <w:highlight w:val="none"/>
          <w:lang w:val="en-US" w:eastAsia="zh-Hans"/>
        </w:rPr>
        <w:t>含税合同价款。在合同履行期间，如遇国家的税率调整或其他政策影响税率的，税率随变化而变化，则合同价款及综合单价金额不做调整。</w:t>
      </w:r>
    </w:p>
    <w:p w14:paraId="14748B5E">
      <w:pPr>
        <w:widowControl/>
        <w:spacing w:line="360" w:lineRule="auto"/>
        <w:ind w:firstLine="388" w:firstLineChars="200"/>
        <w:jc w:val="left"/>
        <w:rPr>
          <w:rFonts w:hint="eastAsia"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4.5 如果乙方未能及时开具发票，甲方有权拒绝支付相应服务费用而不承担任何责任。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5FDCFCE5">
      <w:pPr>
        <w:widowControl/>
        <w:spacing w:line="360" w:lineRule="auto"/>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第五条  履约担保</w:t>
      </w:r>
    </w:p>
    <w:p w14:paraId="5D484F8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5.1 在本合同签订时，乙方应向甲方提交履约保证金，本项目履约保证金的金额为合同总价款</w:t>
      </w:r>
      <w:r>
        <w:rPr>
          <w:rFonts w:hint="eastAsia" w:cs="宋体" w:asciiTheme="minorEastAsia" w:hAnsiTheme="minorEastAsia" w:eastAsiaTheme="minorEastAsia"/>
          <w:spacing w:val="-8"/>
          <w:kern w:val="0"/>
          <w:sz w:val="21"/>
          <w:szCs w:val="21"/>
          <w:highlight w:val="none"/>
        </w:rPr>
        <w:t>（中标合同金额）</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1A688664">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5.2 履约保证金由甲方持有，甲方有权在该保证金内扣除任何乙方应付而未付之任何款项</w:t>
      </w:r>
      <w:bookmarkStart w:id="183" w:name="_Hlk18247249"/>
      <w:r>
        <w:rPr>
          <w:rFonts w:hint="eastAsia" w:ascii="宋体" w:hAnsi="宋体" w:eastAsia="宋体" w:cs="宋体"/>
          <w:sz w:val="21"/>
          <w:szCs w:val="21"/>
          <w:highlight w:val="none"/>
          <w:lang w:eastAsia="zh-CN"/>
        </w:rPr>
        <w:t>（包括但不限于合同约定的乙方应支付款项、甲方垫付的其他费用等），</w:t>
      </w:r>
      <w:bookmarkStart w:id="184" w:name="_Hlk17966884"/>
      <w:r>
        <w:rPr>
          <w:rFonts w:hint="eastAsia" w:ascii="宋体" w:hAnsi="宋体" w:eastAsia="宋体" w:cs="宋体"/>
          <w:sz w:val="21"/>
          <w:szCs w:val="21"/>
          <w:highlight w:val="none"/>
          <w:lang w:eastAsia="zh-CN"/>
        </w:rPr>
        <w:t>及任何因乙方在不遵守或不履行本协议条款之任何部分而导致的任何费用支出、违约金、损失或损害赔偿金。</w:t>
      </w:r>
      <w:bookmarkEnd w:id="183"/>
      <w:bookmarkEnd w:id="184"/>
      <w:r>
        <w:rPr>
          <w:rFonts w:hint="eastAsia" w:ascii="宋体" w:hAnsi="宋体" w:eastAsia="宋体" w:cs="宋体"/>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145A2AB3">
      <w:pPr>
        <w:spacing w:line="360" w:lineRule="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 xml:space="preserve">5.3 </w:t>
      </w:r>
      <w:r>
        <w:rPr>
          <w:rFonts w:hint="eastAsia" w:ascii="宋体" w:hAnsi="宋体" w:eastAsia="宋体" w:cs="宋体"/>
          <w:sz w:val="21"/>
          <w:szCs w:val="21"/>
          <w:highlight w:val="none"/>
          <w:lang w:val="en-US" w:eastAsia="zh-CN"/>
        </w:rPr>
        <w:t>乙方在本合同约定的服务期限届满并经甲方验收合格后30日内办理履约保证金（或履约保函）退还手续。</w:t>
      </w:r>
      <w:r>
        <w:rPr>
          <w:rFonts w:hint="eastAsia" w:cs="宋体" w:asciiTheme="minorEastAsia" w:hAnsiTheme="minorEastAsia" w:eastAsiaTheme="minorEastAsia"/>
          <w:spacing w:val="-8"/>
          <w:kern w:val="0"/>
          <w:sz w:val="21"/>
          <w:szCs w:val="21"/>
          <w:highlight w:val="none"/>
        </w:rPr>
        <w:t>如本合同约定质保期的，履约保证金/履约保函到期退还后，乙方需继续履行质保义务</w:t>
      </w:r>
      <w:r>
        <w:rPr>
          <w:rFonts w:hint="eastAsia" w:cs="宋体" w:asciiTheme="minorEastAsia" w:hAnsiTheme="minorEastAsia"/>
          <w:spacing w:val="-8"/>
          <w:kern w:val="0"/>
          <w:sz w:val="21"/>
          <w:szCs w:val="21"/>
          <w:highlight w:val="none"/>
          <w:lang w:eastAsia="zh-CN"/>
        </w:rPr>
        <w:t>。</w:t>
      </w:r>
      <w:r>
        <w:rPr>
          <w:rFonts w:hint="eastAsia" w:ascii="宋体" w:hAnsi="宋体" w:eastAsia="宋体" w:cs="宋体"/>
          <w:sz w:val="21"/>
          <w:szCs w:val="21"/>
          <w:highlight w:val="none"/>
          <w:lang w:val="en-US" w:eastAsia="zh-CN"/>
        </w:rPr>
        <w:t xml:space="preserve"> </w:t>
      </w:r>
    </w:p>
    <w:p w14:paraId="23EE9C7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（采用履约保证金的方式时选用）</w:t>
      </w:r>
    </w:p>
    <w:p w14:paraId="590B688B">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 xml:space="preserve">或 </w:t>
      </w:r>
    </w:p>
    <w:p w14:paraId="3D09EF6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5.1 在本合同签订时，乙方应提交经甲方认可的银行履约保函，保函金额为合同总价款</w:t>
      </w:r>
      <w:r>
        <w:rPr>
          <w:rFonts w:hint="eastAsia" w:cs="宋体" w:asciiTheme="minorEastAsia" w:hAnsiTheme="minorEastAsia" w:eastAsiaTheme="minorEastAsia"/>
          <w:spacing w:val="-8"/>
          <w:kern w:val="0"/>
          <w:sz w:val="21"/>
          <w:szCs w:val="21"/>
          <w:highlight w:val="none"/>
        </w:rPr>
        <w:t>（中标合同金额）</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11AD43B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元整，以保证合同履行期间履约保函的完整。如履约保函金额全部提取尚不能弥补甲方的损失，甲方有权另行向乙方主张赔偿。</w:t>
      </w:r>
    </w:p>
    <w:p w14:paraId="01CC73AB">
      <w:pPr>
        <w:spacing w:line="360" w:lineRule="auto"/>
        <w:ind w:firstLine="105" w:firstLineChars="5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（采用履约保函的方式时选用）</w:t>
      </w:r>
    </w:p>
    <w:p w14:paraId="06513A9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 履约担保的有效期 （采用履约保函的方式时选用）</w:t>
      </w:r>
    </w:p>
    <w:p w14:paraId="1736C9F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39E34BA3">
      <w:pPr>
        <w:widowControl/>
        <w:spacing w:line="360" w:lineRule="auto"/>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第六条  甲方权利与义务</w:t>
      </w:r>
    </w:p>
    <w:p w14:paraId="5FAE1A13">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6.1 要求乙方按本合同及其附件的规定提供技术服务及履行其他合同义务，并对乙方所提供的服务进行评价。</w:t>
      </w:r>
    </w:p>
    <w:p w14:paraId="077589B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 xml:space="preserve">6.2 向乙方提供与本项目服务事项有关的文件、信息等必要资料，为本项目各项工作的开展提供必要的便利条件，履行协助义务。 </w:t>
      </w:r>
    </w:p>
    <w:p w14:paraId="551B546D">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6.3 按照本合同及其附件的规定向乙方支付服务费用。</w:t>
      </w:r>
    </w:p>
    <w:p w14:paraId="6A92C3BA">
      <w:pPr>
        <w:widowControl/>
        <w:spacing w:line="360" w:lineRule="auto"/>
        <w:ind w:firstLine="388" w:firstLineChars="200"/>
        <w:jc w:val="left"/>
        <w:rPr>
          <w:rFonts w:hint="eastAsia" w:cs="宋体" w:asciiTheme="minorEastAsia" w:hAnsiTheme="minorEastAsia" w:eastAsiaTheme="minorEastAsia"/>
          <w:spacing w:val="-8"/>
          <w:kern w:val="0"/>
          <w:sz w:val="21"/>
          <w:szCs w:val="21"/>
          <w:highlight w:val="none"/>
          <w:lang w:eastAsia="zh-CN"/>
        </w:rPr>
      </w:pPr>
      <w:r>
        <w:rPr>
          <w:rFonts w:hint="eastAsia" w:cs="宋体" w:asciiTheme="minorEastAsia" w:hAnsiTheme="minorEastAsia" w:eastAsiaTheme="minorEastAsia"/>
          <w:spacing w:val="-8"/>
          <w:kern w:val="0"/>
          <w:sz w:val="21"/>
          <w:szCs w:val="21"/>
          <w:highlight w:val="none"/>
        </w:rPr>
        <w:t>6.4 其他：_________</w:t>
      </w:r>
      <w:r>
        <w:rPr>
          <w:rFonts w:hint="eastAsia" w:cs="宋体" w:asciiTheme="minorEastAsia" w:hAnsiTheme="minorEastAsia" w:eastAsiaTheme="minorEastAsia"/>
          <w:spacing w:val="-8"/>
          <w:kern w:val="0"/>
          <w:sz w:val="21"/>
          <w:szCs w:val="21"/>
          <w:highlight w:val="none"/>
          <w:lang w:eastAsia="zh-CN"/>
        </w:rPr>
        <w:t>。</w:t>
      </w:r>
    </w:p>
    <w:p w14:paraId="620B52D7">
      <w:pPr>
        <w:widowControl/>
        <w:spacing w:line="360" w:lineRule="auto"/>
        <w:jc w:val="left"/>
        <w:rPr>
          <w:rFonts w:cs="宋体" w:asciiTheme="minorEastAsia" w:hAnsiTheme="minorEastAsia" w:eastAsiaTheme="minorEastAsia"/>
          <w:b/>
          <w:spacing w:val="-8"/>
          <w:kern w:val="0"/>
          <w:sz w:val="21"/>
          <w:szCs w:val="21"/>
          <w:highlight w:val="none"/>
        </w:rPr>
      </w:pPr>
      <w:bookmarkStart w:id="185" w:name="_Toc221503545"/>
      <w:bookmarkStart w:id="186" w:name="_Toc297806559"/>
      <w:bookmarkStart w:id="187" w:name="_Toc424651537"/>
      <w:bookmarkStart w:id="188" w:name="_Toc297806536"/>
      <w:bookmarkStart w:id="189" w:name="_Toc298258576"/>
      <w:r>
        <w:rPr>
          <w:rFonts w:hint="eastAsia" w:cs="宋体" w:asciiTheme="minorEastAsia" w:hAnsiTheme="minorEastAsia" w:eastAsiaTheme="minorEastAsia"/>
          <w:b/>
          <w:spacing w:val="-8"/>
          <w:kern w:val="0"/>
          <w:sz w:val="21"/>
          <w:szCs w:val="21"/>
          <w:highlight w:val="none"/>
        </w:rPr>
        <w:t>第七条  乙方权利与义务</w:t>
      </w:r>
      <w:bookmarkEnd w:id="185"/>
      <w:bookmarkEnd w:id="186"/>
      <w:bookmarkEnd w:id="187"/>
      <w:bookmarkEnd w:id="188"/>
      <w:bookmarkEnd w:id="189"/>
    </w:p>
    <w:p w14:paraId="012CA7C6">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7.1 要求甲方提供开展本项目服务必要的资料和协助。</w:t>
      </w:r>
    </w:p>
    <w:p w14:paraId="2DC24720">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7.2 在交付符合本合同要求的工作成果后获得服务费用。</w:t>
      </w:r>
    </w:p>
    <w:p w14:paraId="5B0B98B2">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7.3 对本项目服务的工作量、正确性、完整性、准确性、有效性、合法性和及时性负责，保证按照本合同及附件的约定，及时、正确、完整地完成全部约定义务及工作。</w:t>
      </w:r>
    </w:p>
    <w:p w14:paraId="58BEE12D">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7.4 应合理配备项目组成员，合理计划和实施本项目，熟悉与本项目有关的甲方内部规章制度。</w:t>
      </w:r>
    </w:p>
    <w:p w14:paraId="29BADE1C">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bookmarkStart w:id="190" w:name="_Toc297808125"/>
      <w:bookmarkEnd w:id="190"/>
      <w:r>
        <w:rPr>
          <w:rFonts w:hint="eastAsia" w:cs="宋体" w:asciiTheme="minorEastAsia" w:hAnsiTheme="minorEastAsia" w:eastAsiaTheme="minorEastAsia"/>
          <w:spacing w:val="-8"/>
          <w:kern w:val="0"/>
          <w:sz w:val="21"/>
          <w:szCs w:val="21"/>
          <w:highlight w:val="none"/>
        </w:rPr>
        <w:t>7.5 若本项目涉及其他利害关系方，未经甲方事先同意，乙方不得和其私自接触，以保证服务结果的客观性、正确性，维护甲方正当利益。</w:t>
      </w:r>
    </w:p>
    <w:p w14:paraId="30960A02">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7.6 乙方不得拒绝甲方与本项目有关的咨询，对甲方的相关咨询必须给予及时、明确的书面或其他双方认可的方式答复。</w:t>
      </w:r>
    </w:p>
    <w:p w14:paraId="6880308D">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7.7 乙方应当对甲方提供的资料进行核查，发现甲方提供的资料不符合本合同约定时，有权在接到上述资料或开始工作的</w:t>
      </w:r>
      <w:r>
        <w:rPr>
          <w:rFonts w:hint="eastAsia" w:cs="宋体" w:asciiTheme="minorEastAsia" w:hAnsiTheme="minorEastAsia" w:eastAsiaTheme="minorEastAsia"/>
          <w:spacing w:val="-8"/>
          <w:kern w:val="0"/>
          <w:sz w:val="21"/>
          <w:szCs w:val="21"/>
          <w:highlight w:val="none"/>
          <w:u w:val="single"/>
        </w:rPr>
        <w:t xml:space="preserve"> 三 </w:t>
      </w:r>
      <w:r>
        <w:rPr>
          <w:rFonts w:hint="eastAsia" w:cs="宋体" w:asciiTheme="minorEastAsia" w:hAnsiTheme="minorEastAsia" w:eastAsiaTheme="minorEastAsia"/>
          <w:spacing w:val="-8"/>
          <w:kern w:val="0"/>
          <w:sz w:val="21"/>
          <w:szCs w:val="21"/>
          <w:highlight w:val="none"/>
        </w:rPr>
        <w:t>日内，书面通知甲方。</w:t>
      </w:r>
    </w:p>
    <w:p w14:paraId="10F0B164">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7.8 在未得到甲方事先书面同意的情况下，乙方不得向任何第三方分包或转包本项目。</w:t>
      </w:r>
    </w:p>
    <w:p w14:paraId="57DD760C">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7.9 本项目结束后</w:t>
      </w:r>
      <w:r>
        <w:rPr>
          <w:rFonts w:hint="eastAsia" w:cs="宋体" w:asciiTheme="minorEastAsia" w:hAnsiTheme="minorEastAsia" w:eastAsiaTheme="minorEastAsia"/>
          <w:spacing w:val="-8"/>
          <w:kern w:val="0"/>
          <w:sz w:val="21"/>
          <w:szCs w:val="21"/>
          <w:highlight w:val="none"/>
          <w:u w:val="single"/>
          <w:lang w:val="en-US" w:eastAsia="zh-CN"/>
        </w:rPr>
        <w:t xml:space="preserve">    </w:t>
      </w:r>
      <w:r>
        <w:rPr>
          <w:rFonts w:hint="eastAsia" w:cs="宋体" w:asciiTheme="minorEastAsia" w:hAnsiTheme="minorEastAsia" w:eastAsiaTheme="minorEastAsia"/>
          <w:spacing w:val="-8"/>
          <w:kern w:val="0"/>
          <w:sz w:val="21"/>
          <w:szCs w:val="21"/>
          <w:highlight w:val="none"/>
        </w:rPr>
        <w:t>个月内，乙方应当为甲方就有关技术服务事项的理解和实施过程中遇到的问题提供免费后续服务。</w:t>
      </w:r>
    </w:p>
    <w:p w14:paraId="56ACA770">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后续服务内容包括：</w:t>
      </w:r>
      <w:r>
        <w:rPr>
          <w:rFonts w:hint="eastAsia" w:cs="宋体" w:asciiTheme="minorEastAsia" w:hAnsiTheme="minorEastAsia"/>
          <w:spacing w:val="-8"/>
          <w:kern w:val="0"/>
          <w:sz w:val="21"/>
          <w:szCs w:val="21"/>
          <w:highlight w:val="none"/>
          <w:u w:val="single"/>
          <w:lang w:val="en-US" w:eastAsia="zh-CN"/>
        </w:rPr>
        <w:t xml:space="preserve">                        </w:t>
      </w:r>
      <w:r>
        <w:rPr>
          <w:rFonts w:hint="eastAsia" w:cs="宋体" w:asciiTheme="minorEastAsia" w:hAnsiTheme="minorEastAsia" w:eastAsiaTheme="minorEastAsia"/>
          <w:spacing w:val="-8"/>
          <w:kern w:val="0"/>
          <w:sz w:val="21"/>
          <w:szCs w:val="21"/>
          <w:highlight w:val="none"/>
        </w:rPr>
        <w:t>。</w:t>
      </w:r>
    </w:p>
    <w:p w14:paraId="243035DC">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后续服务方式、标准：</w:t>
      </w:r>
      <w:r>
        <w:rPr>
          <w:rFonts w:hint="eastAsia" w:cs="宋体" w:asciiTheme="minorEastAsia" w:hAnsiTheme="minorEastAsia"/>
          <w:spacing w:val="-8"/>
          <w:kern w:val="0"/>
          <w:sz w:val="21"/>
          <w:szCs w:val="21"/>
          <w:highlight w:val="none"/>
          <w:u w:val="single"/>
          <w:lang w:val="en-US" w:eastAsia="zh-CN"/>
        </w:rPr>
        <w:t xml:space="preserve">                      </w:t>
      </w:r>
      <w:r>
        <w:rPr>
          <w:rFonts w:hint="eastAsia" w:cs="宋体" w:asciiTheme="minorEastAsia" w:hAnsiTheme="minorEastAsia" w:eastAsiaTheme="minorEastAsia"/>
          <w:spacing w:val="-8"/>
          <w:kern w:val="0"/>
          <w:sz w:val="21"/>
          <w:szCs w:val="21"/>
          <w:highlight w:val="none"/>
        </w:rPr>
        <w:t>。</w:t>
      </w:r>
    </w:p>
    <w:p w14:paraId="01C4353F">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291A205C">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7.11 乙方在进入甲方及甲方所属企业时，须遵守甲方内部管理制度。如因违反甲方内部管理制度造成甲方损失的，乙方应承担相应赔偿责任；如造成乙方损失的，乙方自行承担相应损失。</w:t>
      </w:r>
    </w:p>
    <w:p w14:paraId="51B6F484">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7.12 乙方</w:t>
      </w:r>
      <w:r>
        <w:rPr>
          <w:rFonts w:hint="eastAsia" w:cs="宋体" w:asciiTheme="minorEastAsia" w:hAnsiTheme="minorEastAsia" w:eastAsiaTheme="minorEastAsia"/>
          <w:spacing w:val="-8"/>
          <w:kern w:val="0"/>
          <w:sz w:val="21"/>
          <w:szCs w:val="21"/>
          <w:highlight w:val="none"/>
          <w:lang w:eastAsia="zh-Hans"/>
        </w:rPr>
        <w:t>如</w:t>
      </w:r>
      <w:r>
        <w:rPr>
          <w:rFonts w:hint="eastAsia" w:cs="宋体" w:asciiTheme="minorEastAsia" w:hAnsiTheme="minorEastAsia" w:eastAsiaTheme="minorEastAsia"/>
          <w:spacing w:val="-8"/>
          <w:kern w:val="0"/>
          <w:sz w:val="21"/>
          <w:szCs w:val="21"/>
          <w:highlight w:val="none"/>
        </w:rPr>
        <w:t>在中标后</w:t>
      </w:r>
      <w:r>
        <w:rPr>
          <w:rFonts w:hint="eastAsia" w:cs="宋体" w:asciiTheme="minorEastAsia" w:hAnsiTheme="minorEastAsia" w:eastAsiaTheme="minorEastAsia"/>
          <w:spacing w:val="-8"/>
          <w:kern w:val="0"/>
          <w:sz w:val="21"/>
          <w:szCs w:val="21"/>
          <w:highlight w:val="none"/>
          <w:lang w:eastAsia="zh-Hans"/>
        </w:rPr>
        <w:t>或者合同履行期间发生</w:t>
      </w:r>
      <w:r>
        <w:rPr>
          <w:rFonts w:hint="eastAsia" w:cs="宋体" w:asciiTheme="minorEastAsia" w:hAnsiTheme="minorEastAsia" w:eastAsiaTheme="minorEastAsia"/>
          <w:spacing w:val="-8"/>
          <w:kern w:val="0"/>
          <w:sz w:val="21"/>
          <w:szCs w:val="21"/>
          <w:highlight w:val="none"/>
        </w:rPr>
        <w:t>被人民法院列为失信被执行人、影响合同履约能力的重大行政处罚等情形，应及时向</w:t>
      </w:r>
      <w:r>
        <w:rPr>
          <w:rFonts w:hint="eastAsia" w:cs="宋体" w:asciiTheme="minorEastAsia" w:hAnsiTheme="minorEastAsia" w:eastAsiaTheme="minorEastAsia"/>
          <w:spacing w:val="-8"/>
          <w:kern w:val="0"/>
          <w:sz w:val="21"/>
          <w:szCs w:val="21"/>
          <w:highlight w:val="none"/>
          <w:lang w:eastAsia="zh-Hans"/>
        </w:rPr>
        <w:t>甲方的</w:t>
      </w:r>
      <w:r>
        <w:rPr>
          <w:rFonts w:hint="eastAsia" w:cs="宋体" w:asciiTheme="minorEastAsia" w:hAnsiTheme="minorEastAsia" w:eastAsiaTheme="minorEastAsia"/>
          <w:spacing w:val="-8"/>
          <w:kern w:val="0"/>
          <w:sz w:val="21"/>
          <w:szCs w:val="21"/>
          <w:highlight w:val="none"/>
        </w:rPr>
        <w:t>履约管理单位</w:t>
      </w:r>
      <w:r>
        <w:rPr>
          <w:rFonts w:hint="eastAsia" w:cs="宋体" w:asciiTheme="minorEastAsia" w:hAnsiTheme="minorEastAsia" w:eastAsiaTheme="minorEastAsia"/>
          <w:spacing w:val="-8"/>
          <w:kern w:val="0"/>
          <w:sz w:val="21"/>
          <w:szCs w:val="21"/>
          <w:highlight w:val="none"/>
          <w:lang w:eastAsia="zh-Hans"/>
        </w:rPr>
        <w:t>、</w:t>
      </w:r>
      <w:r>
        <w:rPr>
          <w:rFonts w:hint="eastAsia" w:cs="宋体" w:asciiTheme="minorEastAsia" w:hAnsiTheme="minorEastAsia" w:eastAsiaTheme="minorEastAsia"/>
          <w:spacing w:val="-8"/>
          <w:kern w:val="0"/>
          <w:sz w:val="21"/>
          <w:szCs w:val="21"/>
          <w:highlight w:val="none"/>
          <w:lang w:val="en-US" w:eastAsia="zh-CN"/>
        </w:rPr>
        <w:t>物资部</w:t>
      </w:r>
      <w:r>
        <w:rPr>
          <w:rFonts w:hint="eastAsia" w:cs="宋体" w:asciiTheme="minorEastAsia" w:hAnsiTheme="minorEastAsia" w:eastAsiaTheme="minorEastAsia"/>
          <w:spacing w:val="-8"/>
          <w:kern w:val="0"/>
          <w:sz w:val="21"/>
          <w:szCs w:val="21"/>
          <w:highlight w:val="none"/>
        </w:rPr>
        <w:t>报备。</w:t>
      </w:r>
    </w:p>
    <w:p w14:paraId="40864CEA">
      <w:pPr>
        <w:widowControl/>
        <w:spacing w:line="360" w:lineRule="auto"/>
        <w:jc w:val="left"/>
        <w:rPr>
          <w:rFonts w:cs="宋体" w:asciiTheme="minorEastAsia" w:hAnsiTheme="minorEastAsia" w:eastAsiaTheme="minorEastAsia"/>
          <w:b/>
          <w:bCs/>
          <w:spacing w:val="-8"/>
          <w:kern w:val="0"/>
          <w:sz w:val="21"/>
          <w:szCs w:val="21"/>
          <w:highlight w:val="none"/>
        </w:rPr>
      </w:pPr>
      <w:r>
        <w:rPr>
          <w:rFonts w:hint="eastAsia" w:cs="宋体" w:asciiTheme="minorEastAsia" w:hAnsiTheme="minorEastAsia" w:eastAsiaTheme="minorEastAsia"/>
          <w:b/>
          <w:bCs/>
          <w:spacing w:val="-8"/>
          <w:kern w:val="0"/>
          <w:sz w:val="21"/>
          <w:szCs w:val="21"/>
          <w:highlight w:val="none"/>
        </w:rPr>
        <w:t>第八条  工作成果验收</w:t>
      </w:r>
    </w:p>
    <w:p w14:paraId="175867B4">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8.1 本合同约定的各项服务自完成之日起</w:t>
      </w:r>
      <w:r>
        <w:rPr>
          <w:rFonts w:hint="eastAsia" w:cs="宋体" w:asciiTheme="minorEastAsia" w:hAnsiTheme="minorEastAsia" w:eastAsiaTheme="minorEastAsia"/>
          <w:spacing w:val="-8"/>
          <w:kern w:val="0"/>
          <w:sz w:val="21"/>
          <w:szCs w:val="21"/>
          <w:highlight w:val="none"/>
          <w:u w:val="single"/>
        </w:rPr>
        <w:t xml:space="preserve"> 三 </w:t>
      </w:r>
      <w:r>
        <w:rPr>
          <w:rFonts w:hint="eastAsia" w:cs="宋体" w:asciiTheme="minorEastAsia" w:hAnsiTheme="minorEastAsia" w:eastAsiaTheme="minorEastAsia"/>
          <w:spacing w:val="-8"/>
          <w:kern w:val="0"/>
          <w:sz w:val="21"/>
          <w:szCs w:val="21"/>
          <w:highlight w:val="none"/>
        </w:rPr>
        <w:t>日内，乙方应书面提请甲方进行验收，验收通过的，甲方在验收报告上签署意见。如果验收不合格，乙方应按甲方的意见免费进行修改或重新制作或编制，并自验收不合格之日起</w:t>
      </w:r>
      <w:r>
        <w:rPr>
          <w:rFonts w:hint="eastAsia" w:cs="宋体" w:asciiTheme="minorEastAsia" w:hAnsiTheme="minorEastAsia" w:eastAsiaTheme="minorEastAsia"/>
          <w:spacing w:val="-8"/>
          <w:kern w:val="0"/>
          <w:sz w:val="21"/>
          <w:szCs w:val="21"/>
          <w:highlight w:val="none"/>
          <w:u w:val="single"/>
        </w:rPr>
        <w:t xml:space="preserve"> 十 </w:t>
      </w:r>
      <w:r>
        <w:rPr>
          <w:rFonts w:hint="eastAsia" w:cs="宋体" w:asciiTheme="minorEastAsia" w:hAnsiTheme="minorEastAsia" w:eastAsiaTheme="minorEastAsia"/>
          <w:spacing w:val="-8"/>
          <w:kern w:val="0"/>
          <w:sz w:val="21"/>
          <w:szCs w:val="21"/>
          <w:highlight w:val="none"/>
        </w:rPr>
        <w:t>日内重新提请验收。</w:t>
      </w:r>
    </w:p>
    <w:p w14:paraId="014A7961">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8.2 任一服务事项连续</w:t>
      </w:r>
      <w:r>
        <w:rPr>
          <w:rFonts w:hint="eastAsia" w:cs="宋体" w:asciiTheme="minorEastAsia" w:hAnsiTheme="minorEastAsia" w:eastAsiaTheme="minorEastAsia"/>
          <w:spacing w:val="-8"/>
          <w:kern w:val="0"/>
          <w:sz w:val="21"/>
          <w:szCs w:val="21"/>
          <w:highlight w:val="none"/>
          <w:u w:val="single"/>
        </w:rPr>
        <w:t xml:space="preserve"> 两 </w:t>
      </w:r>
      <w:r>
        <w:rPr>
          <w:rFonts w:hint="eastAsia" w:cs="宋体" w:asciiTheme="minorEastAsia" w:hAnsiTheme="minorEastAsia" w:eastAsiaTheme="minorEastAsia"/>
          <w:spacing w:val="-8"/>
          <w:kern w:val="0"/>
          <w:sz w:val="21"/>
          <w:szCs w:val="21"/>
          <w:highlight w:val="none"/>
        </w:rPr>
        <w:t>次验收不合格的，则视为乙方没有完成该项服务。乙方应根据合同约定承担相应违约责任。</w:t>
      </w:r>
    </w:p>
    <w:p w14:paraId="0835D5A5">
      <w:pPr>
        <w:widowControl/>
        <w:spacing w:line="360" w:lineRule="auto"/>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第九条  知识产权</w:t>
      </w:r>
    </w:p>
    <w:p w14:paraId="391EF1C0">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236FB9E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9.2 甲方提供给乙方的企业标识、图片、文字等任何资料、文件的知识产权归属于甲方，乙方仅能在本项目范围内使用，未经甲方许可同意，不得转授权第三方或用于其他目的。</w:t>
      </w:r>
    </w:p>
    <w:p w14:paraId="62E3A596">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9.3 乙方保证，其执行本项目所使用的任何资料、方法以及向甲方提供的所有工作成果均不会侵犯任何第三方所拥有的包括但不限于知识产权、专有技术或商业秘密在内的各项权利。如果甲方因此遭受第三方索赔或起诉，乙方承诺负责处理上述索赔或起诉，自行承担解决上述第三方索赔或起诉的所有费用</w:t>
      </w:r>
      <w:r>
        <w:rPr>
          <w:rFonts w:hint="eastAsia" w:cs="宋体" w:asciiTheme="minorEastAsia" w:hAnsiTheme="minorEastAsia" w:eastAsiaTheme="minorEastAsia"/>
          <w:spacing w:val="-8"/>
          <w:kern w:val="0"/>
          <w:sz w:val="21"/>
          <w:szCs w:val="21"/>
          <w:highlight w:val="none"/>
          <w:lang w:eastAsia="zh-Hans"/>
        </w:rPr>
        <w:t>（包括但不限于损失赔偿</w:t>
      </w:r>
      <w:r>
        <w:rPr>
          <w:rFonts w:hint="eastAsia" w:cs="宋体" w:asciiTheme="minorEastAsia" w:hAnsiTheme="minorEastAsia" w:eastAsiaTheme="minorEastAsia"/>
          <w:spacing w:val="-8"/>
          <w:kern w:val="0"/>
          <w:sz w:val="21"/>
          <w:szCs w:val="21"/>
          <w:highlight w:val="none"/>
        </w:rPr>
        <w:t>金</w:t>
      </w:r>
      <w:r>
        <w:rPr>
          <w:rFonts w:hint="eastAsia" w:cs="宋体" w:asciiTheme="minorEastAsia" w:hAnsiTheme="minorEastAsia" w:eastAsiaTheme="minorEastAsia"/>
          <w:spacing w:val="-8"/>
          <w:kern w:val="0"/>
          <w:sz w:val="21"/>
          <w:szCs w:val="21"/>
          <w:highlight w:val="none"/>
          <w:lang w:eastAsia="zh-Hans"/>
        </w:rPr>
        <w:t>、违约金、诉讼费、保全费、律师费等）</w:t>
      </w:r>
      <w:r>
        <w:rPr>
          <w:rFonts w:hint="eastAsia" w:cs="宋体" w:asciiTheme="minorEastAsia" w:hAnsiTheme="minorEastAsia" w:eastAsiaTheme="minorEastAsia"/>
          <w:spacing w:val="-8"/>
          <w:kern w:val="0"/>
          <w:sz w:val="21"/>
          <w:szCs w:val="21"/>
          <w:highlight w:val="none"/>
        </w:rPr>
        <w:t>，并负责消除第三方索赔或起诉对甲方的不利影响，赔偿甲方因此遭受的一切经济损失（包括但不限于损失赔偿金、违约金、诉讼费和律师费、保全费、调查取证费、差旅费等其他有关费用）。</w:t>
      </w:r>
    </w:p>
    <w:p w14:paraId="7DAEE051">
      <w:pPr>
        <w:widowControl/>
        <w:spacing w:line="360" w:lineRule="auto"/>
        <w:jc w:val="left"/>
        <w:rPr>
          <w:rFonts w:cs="宋体" w:asciiTheme="minorEastAsia" w:hAnsiTheme="minorEastAsia" w:eastAsiaTheme="minorEastAsia"/>
          <w:b/>
          <w:spacing w:val="-8"/>
          <w:kern w:val="0"/>
          <w:sz w:val="21"/>
          <w:szCs w:val="21"/>
          <w:highlight w:val="none"/>
        </w:rPr>
      </w:pPr>
      <w:bookmarkStart w:id="191" w:name="_Toc424651541"/>
      <w:bookmarkStart w:id="192" w:name="_Toc424648874"/>
      <w:r>
        <w:rPr>
          <w:rFonts w:hint="eastAsia" w:cs="宋体" w:asciiTheme="minorEastAsia" w:hAnsiTheme="minorEastAsia" w:eastAsiaTheme="minorEastAsia"/>
          <w:b/>
          <w:spacing w:val="-8"/>
          <w:kern w:val="0"/>
          <w:sz w:val="21"/>
          <w:szCs w:val="21"/>
          <w:highlight w:val="none"/>
        </w:rPr>
        <w:t>第十条  保密</w:t>
      </w:r>
      <w:bookmarkEnd w:id="191"/>
      <w:bookmarkEnd w:id="192"/>
    </w:p>
    <w:p w14:paraId="4C3304B4">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bookmarkStart w:id="193" w:name="_Toc424648875"/>
      <w:bookmarkStart w:id="194" w:name="_Toc424651542"/>
      <w:r>
        <w:rPr>
          <w:rFonts w:hint="eastAsia" w:cs="宋体" w:asciiTheme="minorEastAsia" w:hAnsiTheme="minorEastAsia" w:eastAsiaTheme="minorEastAsia"/>
          <w:spacing w:val="-8"/>
          <w:kern w:val="0"/>
          <w:sz w:val="21"/>
          <w:szCs w:val="21"/>
          <w:highlight w:val="none"/>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93"/>
      <w:bookmarkEnd w:id="194"/>
    </w:p>
    <w:p w14:paraId="2DC074A0">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bookmarkStart w:id="195" w:name="_Toc424651543"/>
      <w:bookmarkStart w:id="196" w:name="_Toc424648876"/>
      <w:r>
        <w:rPr>
          <w:rFonts w:hint="eastAsia" w:cs="宋体" w:asciiTheme="minorEastAsia" w:hAnsiTheme="minorEastAsia" w:eastAsiaTheme="minorEastAsia"/>
          <w:spacing w:val="-8"/>
          <w:kern w:val="0"/>
          <w:sz w:val="21"/>
          <w:szCs w:val="21"/>
          <w:highlight w:val="none"/>
        </w:rPr>
        <w:t>10.2 本合同规定的保密信息不包括以下信息：</w:t>
      </w:r>
      <w:bookmarkEnd w:id="195"/>
      <w:bookmarkEnd w:id="196"/>
    </w:p>
    <w:p w14:paraId="2070C848">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（1）在从甲方处获得前，已经为乙方掌握的且甲方不反对使用或披露的信息；</w:t>
      </w:r>
    </w:p>
    <w:p w14:paraId="7C4A6971">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（2）已经为公众所知的信息，除非该等信息为公众所知是由于乙方违反本合同；</w:t>
      </w:r>
    </w:p>
    <w:p w14:paraId="539315C7">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（3）乙方按照有管辖权的法院或其他有权机关的合法要求而披露的信息；</w:t>
      </w:r>
    </w:p>
    <w:p w14:paraId="599FD189">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（4）依甲方的书面授权而向第三方所披露的信息。</w:t>
      </w:r>
    </w:p>
    <w:p w14:paraId="1F721BCC">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10.3 乙方只能为本合同的目的使用保密信息，且只能在乙方服务项目组成员的范围内披露或使用保密信息，但必须要求获得保密信息的相关人员</w:t>
      </w:r>
      <w:bookmarkStart w:id="197" w:name="_DV_C27"/>
      <w:r>
        <w:rPr>
          <w:rFonts w:hint="eastAsia" w:cs="宋体" w:asciiTheme="minorEastAsia" w:hAnsiTheme="minorEastAsia" w:eastAsiaTheme="minorEastAsia"/>
          <w:spacing w:val="-8"/>
          <w:kern w:val="0"/>
          <w:sz w:val="21"/>
          <w:szCs w:val="21"/>
          <w:highlight w:val="none"/>
        </w:rPr>
        <w:t>对</w:t>
      </w:r>
      <w:bookmarkEnd w:id="197"/>
      <w:bookmarkStart w:id="198" w:name="_DV_M38"/>
      <w:bookmarkEnd w:id="198"/>
      <w:r>
        <w:rPr>
          <w:rFonts w:hint="eastAsia" w:cs="宋体" w:asciiTheme="minorEastAsia" w:hAnsiTheme="minorEastAsia" w:eastAsiaTheme="minorEastAsia"/>
          <w:spacing w:val="-8"/>
          <w:kern w:val="0"/>
          <w:sz w:val="21"/>
          <w:szCs w:val="21"/>
          <w:highlight w:val="none"/>
        </w:rPr>
        <w:t>保密</w:t>
      </w:r>
      <w:bookmarkStart w:id="199" w:name="_DV_C29"/>
      <w:r>
        <w:rPr>
          <w:rFonts w:hint="eastAsia" w:cs="宋体" w:asciiTheme="minorEastAsia" w:hAnsiTheme="minorEastAsia" w:eastAsiaTheme="minorEastAsia"/>
          <w:spacing w:val="-8"/>
          <w:kern w:val="0"/>
          <w:sz w:val="21"/>
          <w:szCs w:val="21"/>
          <w:highlight w:val="none"/>
        </w:rPr>
        <w:t>信息保密</w:t>
      </w:r>
      <w:bookmarkEnd w:id="199"/>
      <w:bookmarkStart w:id="200" w:name="_DV_M39"/>
      <w:bookmarkEnd w:id="200"/>
      <w:r>
        <w:rPr>
          <w:rFonts w:hint="eastAsia" w:cs="宋体" w:asciiTheme="minorEastAsia" w:hAnsiTheme="minorEastAsia" w:eastAsiaTheme="minorEastAsia"/>
          <w:spacing w:val="-8"/>
          <w:kern w:val="0"/>
          <w:sz w:val="21"/>
          <w:szCs w:val="21"/>
          <w:highlight w:val="none"/>
        </w:rPr>
        <w:t>；除此之外，未经甲方书面同意，乙方不得向任何第三方提供或透露部分或全部保密信息。</w:t>
      </w:r>
    </w:p>
    <w:p w14:paraId="16018FF6">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10.4 乙方应采取必要措施向乙方所有接触甲方保密信息之人员通告其对所有甲方信息都负有普遍的保密义务，如果该等人员违反保密义务，则由乙方承担在相关法律法规下的法律责任。</w:t>
      </w:r>
    </w:p>
    <w:p w14:paraId="78D9E106">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A75B10E">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10.6 若乙方或其有关人员违反本合同规定的保密义务，乙方应赔偿由此给甲方造成的全部损失，并负责消除影响。</w:t>
      </w:r>
    </w:p>
    <w:p w14:paraId="744D7BE9">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10.7 乙方对所获的甲方的保密信息负有保密义务的期限为</w:t>
      </w:r>
      <w:r>
        <w:rPr>
          <w:rFonts w:hint="eastAsia" w:cs="宋体" w:asciiTheme="minorEastAsia" w:hAnsiTheme="minorEastAsia" w:eastAsiaTheme="minorEastAsia"/>
          <w:spacing w:val="-8"/>
          <w:kern w:val="0"/>
          <w:sz w:val="21"/>
          <w:szCs w:val="21"/>
          <w:highlight w:val="none"/>
          <w:u w:val="single"/>
        </w:rPr>
        <w:t xml:space="preserve">  永久  </w:t>
      </w:r>
      <w:r>
        <w:rPr>
          <w:rFonts w:hint="eastAsia" w:cs="宋体" w:asciiTheme="minorEastAsia" w:hAnsiTheme="minorEastAsia" w:eastAsiaTheme="minorEastAsia"/>
          <w:spacing w:val="-8"/>
          <w:kern w:val="0"/>
          <w:sz w:val="21"/>
          <w:szCs w:val="21"/>
          <w:highlight w:val="none"/>
        </w:rPr>
        <w:t>，直至保密信息已进入公共渠道或甲方以书面形式明确表示乙方无须再负保密义务为止。</w:t>
      </w:r>
    </w:p>
    <w:p w14:paraId="3EC839DC">
      <w:pPr>
        <w:widowControl/>
        <w:spacing w:line="360" w:lineRule="auto"/>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第十一条  合同的变更和终止</w:t>
      </w:r>
    </w:p>
    <w:p w14:paraId="16760691">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11.1 发生以下情形，本合同可以终止：</w:t>
      </w:r>
    </w:p>
    <w:p w14:paraId="4AC8200E">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（1）甲方书面通知终止本合同；</w:t>
      </w:r>
    </w:p>
    <w:p w14:paraId="00F57486">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（2）双方协商一致决定终止合同的；</w:t>
      </w:r>
    </w:p>
    <w:p w14:paraId="270EA7A1">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（3）由于不可抗力致使本合同的全部义务不能履行的；</w:t>
      </w:r>
    </w:p>
    <w:p w14:paraId="4C0462F3">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（4）法律规定及本合同约定的其他情形。</w:t>
      </w:r>
    </w:p>
    <w:p w14:paraId="54846653">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11.2 甲方单方终止本合同的，甲方应支付乙方实际完成工作对应的服务费用，甲方单方终止合同自通知送达乙方时生效。</w:t>
      </w:r>
    </w:p>
    <w:p w14:paraId="50DFD33D">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11.3 本合同及其附件仅能由双方通过签署书面文件的方式予以修改、补充、变更、放弃、终止或解除。</w:t>
      </w:r>
    </w:p>
    <w:p w14:paraId="04A93F74">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624964E5">
      <w:pPr>
        <w:widowControl/>
        <w:spacing w:line="360" w:lineRule="auto"/>
        <w:jc w:val="left"/>
        <w:rPr>
          <w:rFonts w:cs="宋体" w:asciiTheme="minorEastAsia" w:hAnsiTheme="minorEastAsia" w:eastAsiaTheme="minorEastAsia"/>
          <w:b/>
          <w:spacing w:val="-8"/>
          <w:kern w:val="0"/>
          <w:sz w:val="21"/>
          <w:szCs w:val="21"/>
          <w:highlight w:val="none"/>
        </w:rPr>
      </w:pPr>
      <w:bookmarkStart w:id="201" w:name="_Toc297806540"/>
      <w:bookmarkStart w:id="202" w:name="_Toc297806563"/>
      <w:bookmarkStart w:id="203" w:name="_Toc424651544"/>
      <w:bookmarkStart w:id="204" w:name="_Toc298258580"/>
      <w:r>
        <w:rPr>
          <w:rFonts w:hint="eastAsia" w:cs="宋体" w:asciiTheme="minorEastAsia" w:hAnsiTheme="minorEastAsia" w:eastAsiaTheme="minorEastAsia"/>
          <w:b/>
          <w:spacing w:val="-8"/>
          <w:kern w:val="0"/>
          <w:sz w:val="21"/>
          <w:szCs w:val="21"/>
          <w:highlight w:val="none"/>
        </w:rPr>
        <w:t>第十二条  违约责任</w:t>
      </w:r>
      <w:bookmarkEnd w:id="201"/>
      <w:bookmarkEnd w:id="202"/>
      <w:bookmarkEnd w:id="203"/>
      <w:bookmarkEnd w:id="204"/>
    </w:p>
    <w:p w14:paraId="5C8173C6">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12.1 甲方无理由未按本合同规定支付服务费用，经乙方书面催告后</w:t>
      </w:r>
      <w:r>
        <w:rPr>
          <w:rFonts w:hint="eastAsia" w:cs="宋体" w:asciiTheme="minorEastAsia" w:hAnsiTheme="minorEastAsia" w:eastAsiaTheme="minorEastAsia"/>
          <w:spacing w:val="-8"/>
          <w:kern w:val="0"/>
          <w:sz w:val="21"/>
          <w:szCs w:val="21"/>
          <w:highlight w:val="none"/>
          <w:lang w:eastAsia="zh-Hans"/>
        </w:rPr>
        <w:t>十</w:t>
      </w:r>
      <w:r>
        <w:rPr>
          <w:rFonts w:hint="eastAsia" w:cs="宋体" w:asciiTheme="minorEastAsia" w:hAnsiTheme="minorEastAsia" w:eastAsiaTheme="minorEastAsia"/>
          <w:spacing w:val="-8"/>
          <w:kern w:val="0"/>
          <w:sz w:val="21"/>
          <w:szCs w:val="21"/>
          <w:highlight w:val="none"/>
        </w:rPr>
        <w:t>个工作日内不支付的，乙方有权在甲方支付相应服务费之前中止为甲方提供服务；如甲方在催告后</w:t>
      </w:r>
      <w:r>
        <w:rPr>
          <w:rFonts w:hint="eastAsia" w:cs="宋体" w:asciiTheme="minorEastAsia" w:hAnsiTheme="minorEastAsia" w:eastAsiaTheme="minorEastAsia"/>
          <w:spacing w:val="-8"/>
          <w:kern w:val="0"/>
          <w:sz w:val="21"/>
          <w:szCs w:val="21"/>
          <w:highlight w:val="none"/>
          <w:lang w:eastAsia="zh-Hans"/>
        </w:rPr>
        <w:t>三十</w:t>
      </w:r>
      <w:r>
        <w:rPr>
          <w:rFonts w:hint="eastAsia" w:cs="宋体" w:asciiTheme="minorEastAsia" w:hAnsiTheme="minorEastAsia" w:eastAsiaTheme="minorEastAsia"/>
          <w:spacing w:val="-8"/>
          <w:kern w:val="0"/>
          <w:sz w:val="21"/>
          <w:szCs w:val="21"/>
          <w:highlight w:val="none"/>
        </w:rPr>
        <w:t>个工作日仍未支付的，乙方有权单方解除本合同。</w:t>
      </w:r>
    </w:p>
    <w:p w14:paraId="6F4D5A99">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12.2 甲方未按约定履行提供资料等义务，造成乙方无法按期提交工作成果的，甲方应顺延乙方的服务期限，乙方不承担违约责任。</w:t>
      </w:r>
    </w:p>
    <w:p w14:paraId="3756DA8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的</w:t>
      </w:r>
      <w:r>
        <w:rPr>
          <w:rFonts w:hint="eastAsia" w:cs="宋体" w:asciiTheme="minorEastAsia" w:hAnsiTheme="minorEastAsia" w:eastAsiaTheme="minorEastAsia"/>
          <w:spacing w:val="-8"/>
          <w:kern w:val="0"/>
          <w:sz w:val="21"/>
          <w:szCs w:val="21"/>
          <w:highlight w:val="none"/>
          <w:u w:val="single"/>
        </w:rPr>
        <w:t xml:space="preserve"> 0.5% </w:t>
      </w:r>
      <w:r>
        <w:rPr>
          <w:rFonts w:hint="eastAsia" w:cs="宋体" w:asciiTheme="minorEastAsia" w:hAnsiTheme="minorEastAsia" w:eastAsiaTheme="minorEastAsia"/>
          <w:spacing w:val="-8"/>
          <w:kern w:val="0"/>
          <w:sz w:val="21"/>
          <w:szCs w:val="21"/>
          <w:highlight w:val="none"/>
        </w:rPr>
        <w:t>作为逾期违约金；前述违约金可由甲方在应付服务费用中进行扣减。如逾期30日，乙方仍未能提交符合甲方要求的工作成果的，甲方有权单方解除合同，要求乙方支付前述累计计算的逾期违约金，并不予退还履约保证金。</w:t>
      </w:r>
    </w:p>
    <w:p w14:paraId="45056179">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12.4 因乙方侵犯第三方的专利权、版权等知识产权以及技术秘密而引起的任何责任，应由乙方承担，并使甲方免责。</w:t>
      </w:r>
    </w:p>
    <w:p w14:paraId="3128EAB3">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12.5 乙方违反保密义务的，应当对甲方因此所遭受的所有损失承担赔偿责任。</w:t>
      </w:r>
    </w:p>
    <w:p w14:paraId="0D96FEDB">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12.6 如乙方擅自变更或减少本合同所确定的项目组核心人员，</w:t>
      </w:r>
      <w:r>
        <w:rPr>
          <w:rFonts w:hint="eastAsia" w:cs="宋体" w:asciiTheme="minorEastAsia" w:hAnsiTheme="minorEastAsia" w:eastAsiaTheme="minorEastAsia"/>
          <w:spacing w:val="-8"/>
          <w:kern w:val="0"/>
          <w:sz w:val="21"/>
          <w:szCs w:val="21"/>
          <w:highlight w:val="none"/>
        </w:rPr>
        <w:t>乙方应向甲方支付人民币</w:t>
      </w:r>
      <w:r>
        <w:rPr>
          <w:rFonts w:hint="eastAsia" w:cs="宋体" w:asciiTheme="minorEastAsia" w:hAnsiTheme="minorEastAsia" w:eastAsiaTheme="minorEastAsia"/>
          <w:spacing w:val="-8"/>
          <w:kern w:val="0"/>
          <w:sz w:val="21"/>
          <w:szCs w:val="21"/>
          <w:highlight w:val="none"/>
          <w:u w:val="single"/>
          <w:lang w:val="en-US" w:eastAsia="zh-CN"/>
        </w:rPr>
        <w:t>5000</w:t>
      </w:r>
      <w:r>
        <w:rPr>
          <w:rFonts w:hint="eastAsia" w:cs="宋体" w:asciiTheme="minorEastAsia" w:hAnsiTheme="minorEastAsia" w:eastAsiaTheme="minorEastAsia"/>
          <w:spacing w:val="-8"/>
          <w:kern w:val="0"/>
          <w:sz w:val="21"/>
          <w:szCs w:val="21"/>
          <w:highlight w:val="none"/>
        </w:rPr>
        <w:t>元/每人/每次的违约金，甲方可在应付服务费中扣除该违</w:t>
      </w:r>
      <w:r>
        <w:rPr>
          <w:rFonts w:hint="eastAsia" w:cs="宋体" w:asciiTheme="minorEastAsia" w:hAnsiTheme="minorEastAsia" w:eastAsiaTheme="minorEastAsia"/>
          <w:spacing w:val="-8"/>
          <w:kern w:val="0"/>
          <w:sz w:val="21"/>
          <w:szCs w:val="21"/>
          <w:highlight w:val="none"/>
        </w:rPr>
        <w:t>约金；同时乙方应根据甲方要求及时调整工作人员。</w:t>
      </w:r>
    </w:p>
    <w:p w14:paraId="0039720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12.7 乙方擅自转包或分包本项目的，甲方有权解除本合同，要求乙方按服务费用总额的</w:t>
      </w:r>
      <w:r>
        <w:rPr>
          <w:rFonts w:hint="eastAsia" w:cs="宋体" w:asciiTheme="minorEastAsia" w:hAnsiTheme="minorEastAsia" w:eastAsiaTheme="minorEastAsia"/>
          <w:spacing w:val="-8"/>
          <w:kern w:val="0"/>
          <w:sz w:val="21"/>
          <w:szCs w:val="21"/>
          <w:highlight w:val="none"/>
          <w:u w:val="single"/>
        </w:rPr>
        <w:t xml:space="preserve"> 20% </w:t>
      </w:r>
      <w:r>
        <w:rPr>
          <w:rFonts w:hint="eastAsia" w:cs="宋体" w:asciiTheme="minorEastAsia" w:hAnsiTheme="minorEastAsia" w:eastAsiaTheme="minorEastAsia"/>
          <w:spacing w:val="-8"/>
          <w:kern w:val="0"/>
          <w:sz w:val="21"/>
          <w:szCs w:val="21"/>
          <w:highlight w:val="none"/>
        </w:rPr>
        <w:t>支付违约金，并不予退还履约保证金。如前述款项不足以弥补甲方损失的，乙方应赔偿甲方因此遭受的全部损失。</w:t>
      </w:r>
    </w:p>
    <w:p w14:paraId="71D1AD43">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12.8 由于乙方原因未能完成本项目或乙方侵犯第三方知识产权或违反保密义务，甲方有权解除本合同，乙方应按服务费用的20%支付违约金，履约保证金不予退还。上述款项不足以弥补甲方损失的，乙方应赔偿甲方因此遭受的全部损失。</w:t>
      </w:r>
    </w:p>
    <w:p w14:paraId="0146B739">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12.9 任何一方违反其本合同项下的其他义务、保证或承诺，并给守约方造成实际损失的，应赔偿守约方实际遭受的损失。</w:t>
      </w:r>
    </w:p>
    <w:p w14:paraId="65D9FF4D">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12.10 任何一方发生向对方支付违约金或赔偿金情形的，应当在索赔方发出索赔通知后</w:t>
      </w:r>
      <w:r>
        <w:rPr>
          <w:rFonts w:hint="eastAsia" w:cs="宋体" w:asciiTheme="minorEastAsia" w:hAnsiTheme="minorEastAsia" w:eastAsiaTheme="minorEastAsia"/>
          <w:spacing w:val="-8"/>
          <w:kern w:val="0"/>
          <w:sz w:val="21"/>
          <w:szCs w:val="21"/>
          <w:highlight w:val="none"/>
          <w:u w:val="single"/>
        </w:rPr>
        <w:t xml:space="preserve"> 7 </w:t>
      </w:r>
      <w:r>
        <w:rPr>
          <w:rFonts w:hint="eastAsia" w:cs="宋体" w:asciiTheme="minorEastAsia" w:hAnsiTheme="minorEastAsia" w:eastAsiaTheme="minorEastAsia"/>
          <w:spacing w:val="-8"/>
          <w:kern w:val="0"/>
          <w:sz w:val="21"/>
          <w:szCs w:val="21"/>
          <w:highlight w:val="none"/>
        </w:rPr>
        <w:t>日之内予以支付。索赔方尚有未向偿付方支付的款项的，偿付方同意索赔方从未支付款项中抵扣相应数额的款项。</w:t>
      </w:r>
    </w:p>
    <w:p w14:paraId="5982A22C">
      <w:pPr>
        <w:widowControl/>
        <w:spacing w:line="360" w:lineRule="auto"/>
        <w:jc w:val="left"/>
        <w:rPr>
          <w:rFonts w:cs="宋体" w:asciiTheme="minorEastAsia" w:hAnsiTheme="minorEastAsia" w:eastAsiaTheme="minorEastAsia"/>
          <w:b/>
          <w:bCs/>
          <w:spacing w:val="-8"/>
          <w:kern w:val="0"/>
          <w:sz w:val="21"/>
          <w:szCs w:val="21"/>
          <w:highlight w:val="none"/>
        </w:rPr>
      </w:pPr>
      <w:r>
        <w:rPr>
          <w:rFonts w:hint="eastAsia" w:cs="宋体" w:asciiTheme="minorEastAsia" w:hAnsiTheme="minorEastAsia" w:eastAsiaTheme="minorEastAsia"/>
          <w:b/>
          <w:bCs/>
          <w:spacing w:val="-8"/>
          <w:kern w:val="0"/>
          <w:sz w:val="21"/>
          <w:szCs w:val="21"/>
          <w:highlight w:val="none"/>
        </w:rPr>
        <w:t>第十三条  诚信条款</w:t>
      </w:r>
    </w:p>
    <w:p w14:paraId="64F64090">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经甲方查证，乙方在本项目招投标/竞争性磋商/竞争性谈判/询价采购等过程中存在串通投标、弄虚作假、行贿以及其他违法违规、违反诚信原则的行为的，合同无效，甲方有权要求乙方赔偿所有损失。</w:t>
      </w:r>
    </w:p>
    <w:p w14:paraId="4047520A">
      <w:pPr>
        <w:widowControl/>
        <w:spacing w:line="360" w:lineRule="auto"/>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第十四条  不可抗力</w:t>
      </w:r>
    </w:p>
    <w:p w14:paraId="693CDE0B">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bookmarkStart w:id="205" w:name="_Toc169968033"/>
      <w:r>
        <w:rPr>
          <w:rFonts w:hint="eastAsia" w:cs="宋体" w:asciiTheme="minorEastAsia" w:hAnsiTheme="minorEastAsia" w:eastAsiaTheme="minorEastAsia"/>
          <w:spacing w:val="-8"/>
          <w:kern w:val="0"/>
          <w:sz w:val="21"/>
          <w:szCs w:val="21"/>
          <w:highlight w:val="none"/>
        </w:rPr>
        <w:t>14.1</w:t>
      </w:r>
      <w:bookmarkEnd w:id="205"/>
      <w:r>
        <w:rPr>
          <w:rFonts w:hint="eastAsia" w:cs="宋体" w:asciiTheme="minorEastAsia" w:hAnsiTheme="minorEastAsia" w:eastAsiaTheme="minorEastAsia"/>
          <w:spacing w:val="-8"/>
          <w:kern w:val="0"/>
          <w:sz w:val="21"/>
          <w:szCs w:val="21"/>
          <w:highlight w:val="none"/>
        </w:rPr>
        <w:t xml:space="preserve"> 本合同所称不可抗力事件指合同当事人不能预见、不能避免、不能克服的客观情况，包括但不限于地震、火灾、水灾、雷击、雪灾等天灾，战争、恐怖袭击、内乱、疫情等严重威胁安全或健康的情形。</w:t>
      </w:r>
    </w:p>
    <w:p w14:paraId="3EFE341B">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14.2 由于不可抗力原因，使双方或任何一方不能履行合同义务时，受到不可抗力影响的一方应采取有效措施，尽量避免或减少损失，将损失降低到最低程度；并在不可抗力发生后</w:t>
      </w:r>
      <w:r>
        <w:rPr>
          <w:rFonts w:hint="eastAsia" w:cs="宋体" w:asciiTheme="minorEastAsia" w:hAnsiTheme="minorEastAsia" w:eastAsiaTheme="minorEastAsia"/>
          <w:spacing w:val="-8"/>
          <w:kern w:val="0"/>
          <w:sz w:val="21"/>
          <w:szCs w:val="21"/>
          <w:highlight w:val="none"/>
          <w:u w:val="single"/>
        </w:rPr>
        <w:t xml:space="preserve"> 二十四（24）</w:t>
      </w:r>
      <w:r>
        <w:rPr>
          <w:rFonts w:hint="eastAsia" w:cs="宋体" w:asciiTheme="minorEastAsia" w:hAnsiTheme="minorEastAsia" w:eastAsiaTheme="minorEastAsia"/>
          <w:spacing w:val="-8"/>
          <w:kern w:val="0"/>
          <w:sz w:val="21"/>
          <w:szCs w:val="21"/>
          <w:highlight w:val="none"/>
        </w:rPr>
        <w:t>小时内以书面形式通知对方，在其后</w:t>
      </w:r>
      <w:r>
        <w:rPr>
          <w:rFonts w:hint="eastAsia" w:cs="宋体" w:asciiTheme="minorEastAsia" w:hAnsiTheme="minorEastAsia" w:eastAsiaTheme="minorEastAsia"/>
          <w:spacing w:val="-8"/>
          <w:kern w:val="0"/>
          <w:sz w:val="21"/>
          <w:szCs w:val="21"/>
          <w:highlight w:val="none"/>
          <w:u w:val="single"/>
        </w:rPr>
        <w:t xml:space="preserve"> 十（10）</w:t>
      </w:r>
      <w:r>
        <w:rPr>
          <w:rFonts w:hint="eastAsia" w:cs="宋体" w:asciiTheme="minorEastAsia" w:hAnsiTheme="minorEastAsia" w:eastAsiaTheme="minorEastAsia"/>
          <w:spacing w:val="-8"/>
          <w:kern w:val="0"/>
          <w:sz w:val="21"/>
          <w:szCs w:val="21"/>
          <w:highlight w:val="none"/>
        </w:rPr>
        <w:t>日内向对方提供有效证明文件。</w:t>
      </w:r>
    </w:p>
    <w:p w14:paraId="5CF56F2C">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14.3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53C37C0E">
      <w:pPr>
        <w:widowControl/>
        <w:spacing w:line="360" w:lineRule="auto"/>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第十五条  通知与送达</w:t>
      </w:r>
    </w:p>
    <w:p w14:paraId="257F9710">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15.1 本合同项下任何一方向对方发出的通知、信件、数据电文等，应当以书面形式发送至本合同下列约定的送达地址。</w:t>
      </w:r>
    </w:p>
    <w:p w14:paraId="4725404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一方变更送达地址信息/电子送达信息的，应当在变更后3日内及时书面通知对方当事人，对方实际收到变更通知前的送达仍为有效送达，电子送达与其他送达方式具有同等法律效力。</w:t>
      </w:r>
    </w:p>
    <w:p w14:paraId="5D7446D8">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甲方确认送达地址如下：</w:t>
      </w:r>
    </w:p>
    <w:p w14:paraId="070774CE">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甲方：</w:t>
      </w:r>
      <w:r>
        <w:rPr>
          <w:rFonts w:hint="eastAsia" w:cs="宋体" w:asciiTheme="minorEastAsia" w:hAnsiTheme="minorEastAsia" w:eastAsiaTheme="minorEastAsia"/>
          <w:spacing w:val="-8"/>
          <w:kern w:val="0"/>
          <w:sz w:val="21"/>
          <w:szCs w:val="21"/>
          <w:highlight w:val="none"/>
          <w:lang w:val="en-US" w:eastAsia="zh-CN"/>
        </w:rPr>
        <w:t>滁州市轨道交通运营有限公司</w:t>
      </w:r>
      <w:r>
        <w:rPr>
          <w:rFonts w:hint="eastAsia" w:cs="宋体" w:asciiTheme="minorEastAsia" w:hAnsiTheme="minorEastAsia" w:eastAsiaTheme="minorEastAsia"/>
          <w:spacing w:val="-8"/>
          <w:kern w:val="0"/>
          <w:sz w:val="21"/>
          <w:szCs w:val="21"/>
          <w:highlight w:val="none"/>
        </w:rPr>
        <w:t xml:space="preserve"> </w:t>
      </w:r>
    </w:p>
    <w:p w14:paraId="23D2EE7C">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送达地址：滁州市南谯区徽州路701号</w:t>
      </w:r>
    </w:p>
    <w:p w14:paraId="5078D65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 xml:space="preserve">收件人：                          </w:t>
      </w:r>
    </w:p>
    <w:p w14:paraId="2810E00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 xml:space="preserve">联系方式：                        </w:t>
      </w:r>
    </w:p>
    <w:p w14:paraId="15F977C9">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甲方（□同意□不同意）接受电子送达方式如下：</w:t>
      </w:r>
    </w:p>
    <w:p w14:paraId="12FF10A2">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即时通讯账号（QQ号/钉钉/微信号）：×××××××××/电子邮箱：×××@×××.com。</w:t>
      </w:r>
    </w:p>
    <w:p w14:paraId="40C21434">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乙方确认送达地址如下：</w:t>
      </w:r>
    </w:p>
    <w:p w14:paraId="2D676730">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 xml:space="preserve">乙方：                          </w:t>
      </w:r>
    </w:p>
    <w:p w14:paraId="3EACCB6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 xml:space="preserve">送达地址：                       </w:t>
      </w:r>
    </w:p>
    <w:p w14:paraId="4A50DC5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 xml:space="preserve">收件人：                          </w:t>
      </w:r>
    </w:p>
    <w:p w14:paraId="3A9420A1">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 xml:space="preserve">联系方式：                        </w:t>
      </w:r>
    </w:p>
    <w:p w14:paraId="0A85C1AC">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乙方（□同意□不同意）接受电子送达方式如下：</w:t>
      </w:r>
    </w:p>
    <w:p w14:paraId="7BAC779C">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即时通讯账号（QQ号/钉钉/微信号）：×××××××××/电子邮箱：×××@×××.com。</w:t>
      </w:r>
    </w:p>
    <w:p w14:paraId="2BA82CC1">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15.2 任何一方变更联系方式、所留联系方式错误、无人接收而没有事先通知变更的，视为未变更，一方按照本合同的约定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甲乙双方同意以电子邮箱、钉钉或者其他电子方式送达的，通知或者函件一旦发出至对方系统，即视为送达。</w:t>
      </w:r>
    </w:p>
    <w:p w14:paraId="098BC4D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15.3 本合同第15.1条约定的送达地址系双方工作联系往来、法律文书及争议解决时人民法院/仲裁机构的法律文书送达地址，各方确认上述送达地址及送达方式适用于诉讼/仲裁的各阶段，包括但不限于一审、二审、再审、特别程序及执行程序。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p>
    <w:p w14:paraId="77A97B37">
      <w:pPr>
        <w:keepNext w:val="0"/>
        <w:keepLines w:val="0"/>
        <w:pageBreakBefore w:val="0"/>
        <w:widowControl/>
        <w:kinsoku/>
        <w:wordWrap/>
        <w:overflowPunct/>
        <w:topLinePunct w:val="0"/>
        <w:autoSpaceDE/>
        <w:autoSpaceDN/>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15.4 合同送达条款为独立条款，不受合同整体或其他条款的效力的影响。</w:t>
      </w:r>
    </w:p>
    <w:p w14:paraId="5EC4B2EB">
      <w:pPr>
        <w:widowControl/>
        <w:spacing w:line="360" w:lineRule="auto"/>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第十六条  合规条款</w:t>
      </w:r>
    </w:p>
    <w:p w14:paraId="54830112">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16.1 乙方充分理解并接受甲方的合规管理要求，承诺并保证在与甲方合作期间严格遵守以下条款，并积极采取有效措施确保关联方（包括但不限于董事、监事、管理人员、员工、外协人员、分包商及代理商等）遵守：</w:t>
      </w:r>
    </w:p>
    <w:p w14:paraId="00A830D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16.1.1 不得为获取或维系商业机会或获取其他利益而进行任何形式的商业贿赂或利益输送：</w:t>
      </w:r>
    </w:p>
    <w:p w14:paraId="739A22F5">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在履行本合同过程中，严格遵守中国反商业贿赂相关法律法规，不实施任何行贿受贿行为，拒绝给予和接受便利费。在不限制上述承诺的前提下，乙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1598A596">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任何政府官员或职员;</w:t>
      </w:r>
    </w:p>
    <w:p w14:paraId="79D67F0B">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任何政党或政治职位候选人;</w:t>
      </w:r>
    </w:p>
    <w:p w14:paraId="79B1FA6E">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公共国际组织的任何职员或官员；</w:t>
      </w:r>
    </w:p>
    <w:p w14:paraId="4E10A444">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合同相对方、其关联方及任何相关第三方的董事、高管、雇员、代理商或顾问;</w:t>
      </w:r>
    </w:p>
    <w:p w14:paraId="5755614E">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任何其他有关人员。</w:t>
      </w:r>
    </w:p>
    <w:p w14:paraId="36069B24">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16.1.2 坚持公平、诚实和透明竞争的价值观，遵循公平竞争、诚实守信原则，不实施串通投标竞价、欺诈、胁迫以及垄断的行为。</w:t>
      </w:r>
    </w:p>
    <w:p w14:paraId="24226200">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16.1.3 遵守安全生产、环境保护、劳动用工、知识产权保护、数据保护、反洗钱、反垄断、出口管制等相关规定。</w:t>
      </w:r>
    </w:p>
    <w:p w14:paraId="50B0BB39">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16.1.4 确保向甲方提供的相关证件（营业执照、权利证书、资质证书、各类许可证号、批准文号等）及人员资质均真实、有效，无任何伪造、变造、弄虚作假的行为。</w:t>
      </w:r>
    </w:p>
    <w:p w14:paraId="11BA472C">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16.1.5 承诺并保证所提供产品或服务不存在任何权利瑕疵，不侵犯任何第三方合法权利。</w:t>
      </w:r>
    </w:p>
    <w:p w14:paraId="25C80DBA">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16.1.6 如发现甲方工作人员有违规行为或倾向的，应及时提醒、纠正并有责任向甲方有关部门进行举报。</w:t>
      </w:r>
    </w:p>
    <w:p w14:paraId="68953AAF">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16.2 乙方不得隐瞒任何可能对甲方利益造成影响的信息，在甲方认为必要的情况下，乙方有义务配合其商业合作伙伴合规检查，包括但不限于提供与合规检查相关的文件、信息，如实陈述相关情况，根据甲方合理要求及时采取有效整改措施等。</w:t>
      </w:r>
    </w:p>
    <w:p w14:paraId="29CC30BC">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16.3 在任何情形下，如果甲方有实质性证据证明或有充分且合理的理由认为某一作为或不作为将可能会导致其违反合规管理要求，甲方均有权拒绝实施或不实施该等行为且不构成违约。甲方有权无条件立即终止与乙方的全部合作及相关合作协议，并进一步追究乙方的违规行为给甲方造成的全部损失。</w:t>
      </w:r>
    </w:p>
    <w:p w14:paraId="2FF96351">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16.4 在任何情形下，甲方均不因乙方及关联方所实施的任何不当行为而遭受任何损失（包括但不限于处理第三方索赔所支付的赔偿金、补偿金、诉讼费、仲裁费、保全费、律师费等），对于此等损失均由乙方承担，并且甲方有权将乙方纳入不合格供应商库，乙方在限制期内不得参加甲方所有项目的投标/申请。</w:t>
      </w:r>
    </w:p>
    <w:p w14:paraId="0F85B8C8">
      <w:pPr>
        <w:widowControl/>
        <w:spacing w:line="360" w:lineRule="auto"/>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第十七条 争议解决</w:t>
      </w:r>
    </w:p>
    <w:p w14:paraId="59D31745">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bookmarkStart w:id="206" w:name="_Toc424651547"/>
      <w:r>
        <w:rPr>
          <w:rFonts w:hint="eastAsia" w:cs="宋体" w:asciiTheme="minorEastAsia" w:hAnsiTheme="minorEastAsia" w:eastAsiaTheme="minorEastAsia"/>
          <w:spacing w:val="-8"/>
          <w:kern w:val="0"/>
          <w:sz w:val="21"/>
          <w:szCs w:val="21"/>
          <w:highlight w:val="none"/>
        </w:rPr>
        <w:t>17.1 凡因执行本合同发生的与本合同有关的一切争议，双方应首先尽最大努力友好协商解决。</w:t>
      </w:r>
      <w:bookmarkEnd w:id="206"/>
    </w:p>
    <w:p w14:paraId="57B4C327">
      <w:pPr>
        <w:widowControl/>
        <w:spacing w:line="360" w:lineRule="auto"/>
        <w:ind w:firstLine="388" w:firstLineChars="200"/>
        <w:jc w:val="left"/>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17.2 争议发生后，如果无法通过协商或调解解决争议，则应将争议诉至</w:t>
      </w:r>
      <w:r>
        <w:rPr>
          <w:rFonts w:hint="eastAsia" w:cs="宋体" w:asciiTheme="minorEastAsia" w:hAnsiTheme="minorEastAsia" w:eastAsiaTheme="minorEastAsia"/>
          <w:spacing w:val="-8"/>
          <w:kern w:val="0"/>
          <w:sz w:val="21"/>
          <w:szCs w:val="21"/>
          <w:highlight w:val="none"/>
          <w:u w:val="single"/>
        </w:rPr>
        <w:t xml:space="preserve"> 甲方所在地 </w:t>
      </w:r>
      <w:r>
        <w:rPr>
          <w:rFonts w:hint="eastAsia" w:cs="宋体" w:asciiTheme="minorEastAsia" w:hAnsiTheme="minorEastAsia" w:eastAsiaTheme="minorEastAsia"/>
          <w:spacing w:val="-8"/>
          <w:kern w:val="0"/>
          <w:sz w:val="21"/>
          <w:szCs w:val="21"/>
          <w:highlight w:val="none"/>
        </w:rPr>
        <w:t>人民法院通过诉讼方式解决。</w:t>
      </w:r>
    </w:p>
    <w:p w14:paraId="0DBE5D11">
      <w:pPr>
        <w:widowControl/>
        <w:spacing w:line="360" w:lineRule="auto"/>
        <w:jc w:val="left"/>
        <w:rPr>
          <w:rFonts w:cs="宋体" w:asciiTheme="minorEastAsia" w:hAnsiTheme="minorEastAsia" w:eastAsiaTheme="minorEastAsia"/>
          <w:b/>
          <w:spacing w:val="-8"/>
          <w:kern w:val="0"/>
          <w:sz w:val="21"/>
          <w:szCs w:val="21"/>
          <w:highlight w:val="none"/>
        </w:rPr>
      </w:pPr>
      <w:r>
        <w:rPr>
          <w:rFonts w:hint="eastAsia" w:cs="宋体" w:asciiTheme="minorEastAsia" w:hAnsiTheme="minorEastAsia" w:eastAsiaTheme="minorEastAsia"/>
          <w:b/>
          <w:spacing w:val="-8"/>
          <w:kern w:val="0"/>
          <w:sz w:val="21"/>
          <w:szCs w:val="21"/>
          <w:highlight w:val="none"/>
        </w:rPr>
        <w:t>第十八条  其他约定</w:t>
      </w:r>
    </w:p>
    <w:p w14:paraId="08DF60FB">
      <w:pPr>
        <w:keepNext w:val="0"/>
        <w:keepLines w:val="0"/>
        <w:pageBreakBefore w:val="0"/>
        <w:widowControl/>
        <w:kinsoku/>
        <w:wordWrap/>
        <w:overflowPunct/>
        <w:topLinePunct w:val="0"/>
        <w:bidi w:val="0"/>
        <w:adjustRightInd/>
        <w:snapToGrid/>
        <w:spacing w:line="360" w:lineRule="auto"/>
        <w:ind w:firstLine="388" w:firstLineChars="200"/>
        <w:jc w:val="left"/>
        <w:textAlignment w:val="auto"/>
        <w:rPr>
          <w:rFonts w:cs="宋体" w:asciiTheme="minorEastAsia" w:hAnsiTheme="minorEastAsia" w:eastAsiaTheme="minorEastAsia"/>
          <w:spacing w:val="-8"/>
          <w:kern w:val="0"/>
          <w:sz w:val="21"/>
          <w:szCs w:val="21"/>
          <w:highlight w:val="none"/>
        </w:rPr>
      </w:pPr>
      <w:r>
        <w:rPr>
          <w:rFonts w:hint="eastAsia" w:cs="宋体" w:asciiTheme="minorEastAsia" w:hAnsiTheme="minorEastAsia" w:eastAsiaTheme="minorEastAsia"/>
          <w:spacing w:val="-8"/>
          <w:kern w:val="0"/>
          <w:sz w:val="21"/>
          <w:szCs w:val="21"/>
          <w:highlight w:val="none"/>
        </w:rPr>
        <w:t>18.1 本合同自甲乙双方法定代表人或授权代表签名（如为授权代表签名，乙方需提交法定代表人授权委托书）并加盖单位公章或者合同专用章之日起生效。</w:t>
      </w:r>
    </w:p>
    <w:p w14:paraId="3A1D675C">
      <w:pPr>
        <w:keepNext w:val="0"/>
        <w:keepLines w:val="0"/>
        <w:pageBreakBefore w:val="0"/>
        <w:kinsoku/>
        <w:wordWrap/>
        <w:overflowPunct/>
        <w:topLinePunct w:val="0"/>
        <w:autoSpaceDE w:val="0"/>
        <w:autoSpaceDN w:val="0"/>
        <w:bidi w:val="0"/>
        <w:adjustRightInd/>
        <w:snapToGrid/>
        <w:spacing w:line="360" w:lineRule="auto"/>
        <w:ind w:firstLine="420" w:firstLineChars="200"/>
        <w:jc w:val="left"/>
        <w:textAlignment w:val="auto"/>
        <w:rPr>
          <w:rFonts w:cs="宋体" w:asciiTheme="minorEastAsia" w:hAnsiTheme="minorEastAsia" w:eastAsiaTheme="minorEastAsia"/>
          <w:b/>
          <w:kern w:val="0"/>
          <w:sz w:val="21"/>
          <w:szCs w:val="21"/>
          <w:highlight w:val="none"/>
        </w:rPr>
      </w:pPr>
      <w:r>
        <w:rPr>
          <w:rFonts w:hint="eastAsia" w:cs="宋体" w:asciiTheme="minorEastAsia" w:hAnsiTheme="minorEastAsia" w:eastAsiaTheme="minorEastAsia"/>
          <w:kern w:val="0"/>
          <w:sz w:val="21"/>
          <w:szCs w:val="21"/>
          <w:highlight w:val="none"/>
        </w:rPr>
        <w:t>18.2 本合同的附件内容作为合同的组成部分，与本合同具有同等法律效力。未尽事宜由甲、乙双方另行协商并签订补充合同。</w:t>
      </w:r>
    </w:p>
    <w:p w14:paraId="2022F6E0">
      <w:pPr>
        <w:keepNext w:val="0"/>
        <w:keepLines w:val="0"/>
        <w:pageBreakBefore w:val="0"/>
        <w:widowControl/>
        <w:kinsoku/>
        <w:wordWrap/>
        <w:overflowPunct/>
        <w:topLinePunct w:val="0"/>
        <w:bidi w:val="0"/>
        <w:adjustRightInd/>
        <w:snapToGrid/>
        <w:spacing w:line="360" w:lineRule="auto"/>
        <w:ind w:firstLine="388" w:firstLineChars="200"/>
        <w:textAlignment w:val="auto"/>
        <w:rPr>
          <w:rFonts w:hint="eastAsia" w:ascii="宋体" w:hAnsi="宋体" w:eastAsia="宋体" w:cs="宋体"/>
          <w:b/>
          <w:bCs/>
          <w:sz w:val="21"/>
          <w:szCs w:val="21"/>
          <w:highlight w:val="none"/>
          <w:lang w:eastAsia="zh-CN"/>
        </w:rPr>
      </w:pPr>
      <w:r>
        <w:rPr>
          <w:rFonts w:hint="eastAsia" w:cs="宋体" w:asciiTheme="minorEastAsia" w:hAnsiTheme="minorEastAsia" w:eastAsiaTheme="minorEastAsia"/>
          <w:spacing w:val="-8"/>
          <w:kern w:val="0"/>
          <w:sz w:val="21"/>
          <w:szCs w:val="21"/>
          <w:highlight w:val="none"/>
        </w:rPr>
        <w:t xml:space="preserve">18.3 </w:t>
      </w:r>
      <w:r>
        <w:rPr>
          <w:rFonts w:hint="eastAsia" w:cs="宋体" w:asciiTheme="minorEastAsia" w:hAnsiTheme="minorEastAsia" w:eastAsiaTheme="minorEastAsia"/>
          <w:kern w:val="0"/>
          <w:sz w:val="21"/>
          <w:szCs w:val="21"/>
          <w:highlight w:val="none"/>
        </w:rPr>
        <w:t>本合同一式【</w:t>
      </w:r>
      <w:r>
        <w:rPr>
          <w:rFonts w:hint="eastAsia" w:cs="宋体" w:asciiTheme="minorEastAsia" w:hAnsiTheme="minorEastAsia"/>
          <w:kern w:val="0"/>
          <w:sz w:val="21"/>
          <w:szCs w:val="21"/>
          <w:highlight w:val="none"/>
          <w:lang w:val="en-US" w:eastAsia="zh-CN"/>
        </w:rPr>
        <w:t>9</w:t>
      </w:r>
      <w:r>
        <w:rPr>
          <w:rFonts w:hint="eastAsia" w:cs="宋体" w:asciiTheme="minorEastAsia" w:hAnsiTheme="minorEastAsia" w:eastAsiaTheme="minorEastAsia"/>
          <w:kern w:val="0"/>
          <w:sz w:val="21"/>
          <w:szCs w:val="21"/>
          <w:highlight w:val="none"/>
        </w:rPr>
        <w:t>】份，其中正本【</w:t>
      </w:r>
      <w:r>
        <w:rPr>
          <w:rFonts w:hint="eastAsia" w:cs="宋体" w:asciiTheme="minorEastAsia" w:hAnsiTheme="minorEastAsia"/>
          <w:kern w:val="0"/>
          <w:sz w:val="21"/>
          <w:szCs w:val="21"/>
          <w:highlight w:val="none"/>
          <w:lang w:val="en-US" w:eastAsia="zh-CN"/>
        </w:rPr>
        <w:t>3</w:t>
      </w:r>
      <w:r>
        <w:rPr>
          <w:rFonts w:hint="eastAsia" w:cs="宋体" w:asciiTheme="minorEastAsia" w:hAnsiTheme="minorEastAsia" w:eastAsiaTheme="minorEastAsia"/>
          <w:kern w:val="0"/>
          <w:sz w:val="21"/>
          <w:szCs w:val="21"/>
          <w:highlight w:val="none"/>
        </w:rPr>
        <w:t>】份，甲方执【1】份，乙方执【</w:t>
      </w:r>
      <w:r>
        <w:rPr>
          <w:rFonts w:hint="eastAsia" w:cs="宋体" w:asciiTheme="minorEastAsia" w:hAnsiTheme="minorEastAsia"/>
          <w:kern w:val="0"/>
          <w:sz w:val="21"/>
          <w:szCs w:val="21"/>
          <w:highlight w:val="none"/>
          <w:lang w:val="en-US" w:eastAsia="zh-CN"/>
        </w:rPr>
        <w:t>2</w:t>
      </w:r>
      <w:r>
        <w:rPr>
          <w:rFonts w:hint="eastAsia" w:cs="宋体" w:asciiTheme="minorEastAsia" w:hAnsiTheme="minorEastAsia" w:eastAsiaTheme="minorEastAsia"/>
          <w:kern w:val="0"/>
          <w:sz w:val="21"/>
          <w:szCs w:val="21"/>
          <w:highlight w:val="none"/>
        </w:rPr>
        <w:t>】份；副本【</w:t>
      </w:r>
      <w:r>
        <w:rPr>
          <w:rFonts w:hint="eastAsia" w:cs="宋体" w:asciiTheme="minorEastAsia" w:hAnsiTheme="minorEastAsia"/>
          <w:kern w:val="0"/>
          <w:sz w:val="21"/>
          <w:szCs w:val="21"/>
          <w:highlight w:val="none"/>
          <w:lang w:val="en-US" w:eastAsia="zh-CN"/>
        </w:rPr>
        <w:t>6</w:t>
      </w:r>
      <w:r>
        <w:rPr>
          <w:rFonts w:hint="eastAsia" w:cs="宋体" w:asciiTheme="minorEastAsia" w:hAnsiTheme="minorEastAsia" w:eastAsiaTheme="minorEastAsia"/>
          <w:kern w:val="0"/>
          <w:sz w:val="21"/>
          <w:szCs w:val="21"/>
          <w:highlight w:val="none"/>
        </w:rPr>
        <w:t>】份，甲方执【</w:t>
      </w:r>
      <w:r>
        <w:rPr>
          <w:rFonts w:hint="eastAsia" w:cs="宋体" w:asciiTheme="minorEastAsia" w:hAnsiTheme="minorEastAsia"/>
          <w:kern w:val="0"/>
          <w:sz w:val="21"/>
          <w:szCs w:val="21"/>
          <w:highlight w:val="none"/>
          <w:lang w:val="en-US" w:eastAsia="zh-CN"/>
        </w:rPr>
        <w:t>4</w:t>
      </w:r>
      <w:r>
        <w:rPr>
          <w:rFonts w:hint="eastAsia" w:cs="宋体" w:asciiTheme="minorEastAsia" w:hAnsiTheme="minorEastAsia" w:eastAsiaTheme="minorEastAsia"/>
          <w:kern w:val="0"/>
          <w:sz w:val="21"/>
          <w:szCs w:val="21"/>
          <w:highlight w:val="none"/>
        </w:rPr>
        <w:t>】份，乙方执【2】份；正本和副本具有同等的法律效力，如有互相矛盾之处，以正本为准。</w:t>
      </w:r>
      <w:bookmarkStart w:id="207" w:name="_Hlk18249179"/>
      <w:r>
        <w:rPr>
          <w:rFonts w:hint="eastAsia" w:ascii="宋体" w:hAnsi="宋体" w:eastAsia="宋体" w:cs="宋体"/>
          <w:sz w:val="21"/>
          <w:szCs w:val="21"/>
          <w:highlight w:val="none"/>
          <w:lang w:val="en-US" w:eastAsia="zh-CN"/>
        </w:rPr>
        <w:t xml:space="preserve"> </w:t>
      </w:r>
    </w:p>
    <w:p w14:paraId="26D771AA">
      <w:pPr>
        <w:widowControl/>
        <w:spacing w:line="360" w:lineRule="auto"/>
        <w:jc w:val="left"/>
        <w:rPr>
          <w:rFonts w:hint="eastAsia" w:cs="宋体" w:asciiTheme="minorEastAsia" w:hAnsiTheme="minorEastAsia" w:eastAsiaTheme="minorEastAsia"/>
          <w:b/>
          <w:spacing w:val="-8"/>
          <w:kern w:val="0"/>
          <w:sz w:val="21"/>
          <w:szCs w:val="21"/>
          <w:highlight w:val="none"/>
          <w:lang w:eastAsia="zh-CN"/>
        </w:rPr>
      </w:pPr>
      <w:r>
        <w:rPr>
          <w:rFonts w:hint="eastAsia" w:cs="宋体" w:asciiTheme="minorEastAsia" w:hAnsiTheme="minorEastAsia" w:eastAsiaTheme="minorEastAsia"/>
          <w:b/>
          <w:spacing w:val="-8"/>
          <w:kern w:val="0"/>
          <w:sz w:val="21"/>
          <w:szCs w:val="21"/>
          <w:highlight w:val="none"/>
          <w:lang w:eastAsia="zh-CN"/>
        </w:rPr>
        <w:t>第十</w:t>
      </w:r>
      <w:r>
        <w:rPr>
          <w:rFonts w:hint="eastAsia" w:cs="宋体" w:asciiTheme="minorEastAsia" w:hAnsiTheme="minorEastAsia" w:eastAsiaTheme="minorEastAsia"/>
          <w:b/>
          <w:spacing w:val="-8"/>
          <w:kern w:val="0"/>
          <w:sz w:val="21"/>
          <w:szCs w:val="21"/>
          <w:highlight w:val="none"/>
          <w:lang w:val="en-US" w:eastAsia="zh-CN"/>
        </w:rPr>
        <w:t>九</w:t>
      </w:r>
      <w:r>
        <w:rPr>
          <w:rFonts w:hint="eastAsia" w:cs="宋体" w:asciiTheme="minorEastAsia" w:hAnsiTheme="minorEastAsia" w:eastAsiaTheme="minorEastAsia"/>
          <w:b/>
          <w:spacing w:val="-8"/>
          <w:kern w:val="0"/>
          <w:sz w:val="21"/>
          <w:szCs w:val="21"/>
          <w:highlight w:val="none"/>
          <w:lang w:eastAsia="zh-CN"/>
        </w:rPr>
        <w:t xml:space="preserve">条  合同附件 </w:t>
      </w:r>
    </w:p>
    <w:bookmarkEnd w:id="207"/>
    <w:p w14:paraId="343A6297">
      <w:pPr>
        <w:keepNext w:val="0"/>
        <w:keepLines w:val="0"/>
        <w:pageBreakBefore w:val="0"/>
        <w:widowControl/>
        <w:kinsoku/>
        <w:wordWrap/>
        <w:overflowPunct/>
        <w:topLinePunct w:val="0"/>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lang w:eastAsia="zh-CN"/>
        </w:rPr>
      </w:pPr>
      <w:r>
        <w:rPr>
          <w:rFonts w:hint="eastAsia" w:cs="宋体" w:asciiTheme="minorEastAsia" w:hAnsiTheme="minorEastAsia" w:eastAsiaTheme="minorEastAsia"/>
          <w:spacing w:val="-8"/>
          <w:kern w:val="0"/>
          <w:sz w:val="21"/>
          <w:szCs w:val="21"/>
          <w:highlight w:val="none"/>
          <w:lang w:eastAsia="zh-CN"/>
        </w:rPr>
        <w:t>附件一：用户需求书</w:t>
      </w:r>
    </w:p>
    <w:p w14:paraId="14B86CA9">
      <w:pPr>
        <w:keepNext w:val="0"/>
        <w:keepLines w:val="0"/>
        <w:pageBreakBefore w:val="0"/>
        <w:widowControl/>
        <w:kinsoku/>
        <w:wordWrap/>
        <w:overflowPunct/>
        <w:topLinePunct w:val="0"/>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lang w:eastAsia="zh-CN"/>
        </w:rPr>
      </w:pPr>
      <w:r>
        <w:rPr>
          <w:rFonts w:hint="eastAsia" w:cs="宋体" w:asciiTheme="minorEastAsia" w:hAnsiTheme="minorEastAsia" w:eastAsiaTheme="minorEastAsia"/>
          <w:spacing w:val="-8"/>
          <w:kern w:val="0"/>
          <w:sz w:val="21"/>
          <w:szCs w:val="21"/>
          <w:highlight w:val="none"/>
          <w:lang w:eastAsia="zh-CN"/>
        </w:rPr>
        <w:t>附件二：价格明细表</w:t>
      </w:r>
    </w:p>
    <w:p w14:paraId="518817A6">
      <w:pPr>
        <w:keepNext w:val="0"/>
        <w:keepLines w:val="0"/>
        <w:pageBreakBefore w:val="0"/>
        <w:widowControl/>
        <w:kinsoku/>
        <w:wordWrap/>
        <w:overflowPunct/>
        <w:topLinePunct w:val="0"/>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lang w:eastAsia="zh-CN"/>
        </w:rPr>
      </w:pPr>
      <w:r>
        <w:rPr>
          <w:rFonts w:hint="eastAsia" w:cs="宋体" w:asciiTheme="minorEastAsia" w:hAnsiTheme="minorEastAsia" w:eastAsiaTheme="minorEastAsia"/>
          <w:spacing w:val="-8"/>
          <w:kern w:val="0"/>
          <w:sz w:val="21"/>
          <w:szCs w:val="21"/>
          <w:highlight w:val="none"/>
          <w:lang w:eastAsia="zh-CN"/>
        </w:rPr>
        <w:t>附件三：项目组成员</w:t>
      </w:r>
    </w:p>
    <w:p w14:paraId="0984F8F0">
      <w:pPr>
        <w:keepNext w:val="0"/>
        <w:keepLines w:val="0"/>
        <w:pageBreakBefore w:val="0"/>
        <w:widowControl/>
        <w:kinsoku/>
        <w:wordWrap/>
        <w:overflowPunct/>
        <w:topLinePunct w:val="0"/>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lang w:eastAsia="zh-CN"/>
        </w:rPr>
      </w:pPr>
      <w:r>
        <w:rPr>
          <w:rFonts w:hint="eastAsia" w:cs="宋体" w:asciiTheme="minorEastAsia" w:hAnsiTheme="minorEastAsia" w:eastAsiaTheme="minorEastAsia"/>
          <w:spacing w:val="-8"/>
          <w:kern w:val="0"/>
          <w:sz w:val="21"/>
          <w:szCs w:val="21"/>
          <w:highlight w:val="none"/>
          <w:lang w:eastAsia="zh-CN"/>
        </w:rPr>
        <w:t>附件四：拟投入设备一览表</w:t>
      </w:r>
    </w:p>
    <w:p w14:paraId="0D980C41">
      <w:pPr>
        <w:keepNext w:val="0"/>
        <w:keepLines w:val="0"/>
        <w:pageBreakBefore w:val="0"/>
        <w:widowControl/>
        <w:kinsoku/>
        <w:wordWrap/>
        <w:overflowPunct/>
        <w:topLinePunct w:val="0"/>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lang w:eastAsia="zh-CN"/>
        </w:rPr>
      </w:pPr>
      <w:r>
        <w:rPr>
          <w:rFonts w:hint="eastAsia" w:cs="宋体" w:asciiTheme="minorEastAsia" w:hAnsiTheme="minorEastAsia" w:eastAsiaTheme="minorEastAsia"/>
          <w:spacing w:val="-8"/>
          <w:kern w:val="0"/>
          <w:sz w:val="21"/>
          <w:szCs w:val="21"/>
          <w:highlight w:val="none"/>
          <w:lang w:eastAsia="zh-CN"/>
        </w:rPr>
        <w:t>附件五：乙方技术方案及承诺（或授权书）</w:t>
      </w:r>
    </w:p>
    <w:p w14:paraId="49A6DB4E">
      <w:pPr>
        <w:keepNext w:val="0"/>
        <w:keepLines w:val="0"/>
        <w:pageBreakBefore w:val="0"/>
        <w:widowControl/>
        <w:kinsoku/>
        <w:wordWrap/>
        <w:overflowPunct/>
        <w:topLinePunct w:val="0"/>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lang w:eastAsia="zh-CN"/>
        </w:rPr>
      </w:pPr>
      <w:r>
        <w:rPr>
          <w:rFonts w:hint="eastAsia" w:cs="宋体" w:asciiTheme="minorEastAsia" w:hAnsiTheme="minorEastAsia" w:eastAsiaTheme="minorEastAsia"/>
          <w:spacing w:val="-8"/>
          <w:kern w:val="0"/>
          <w:sz w:val="21"/>
          <w:szCs w:val="21"/>
          <w:highlight w:val="none"/>
          <w:lang w:eastAsia="zh-CN"/>
        </w:rPr>
        <w:t>附件六：法定代表人授权书及法定代表人身份证复印件</w:t>
      </w:r>
    </w:p>
    <w:p w14:paraId="344E6E23">
      <w:pPr>
        <w:keepNext w:val="0"/>
        <w:keepLines w:val="0"/>
        <w:pageBreakBefore w:val="0"/>
        <w:widowControl/>
        <w:kinsoku/>
        <w:wordWrap/>
        <w:overflowPunct/>
        <w:topLinePunct w:val="0"/>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lang w:eastAsia="zh-CN"/>
        </w:rPr>
      </w:pPr>
      <w:r>
        <w:rPr>
          <w:rFonts w:hint="eastAsia" w:cs="宋体" w:asciiTheme="minorEastAsia" w:hAnsiTheme="minorEastAsia" w:eastAsiaTheme="minorEastAsia"/>
          <w:spacing w:val="-8"/>
          <w:kern w:val="0"/>
          <w:sz w:val="21"/>
          <w:szCs w:val="21"/>
          <w:highlight w:val="none"/>
          <w:lang w:eastAsia="zh-CN"/>
        </w:rPr>
        <w:t>附件七：履约保证金收据/履约保函复印件</w:t>
      </w:r>
    </w:p>
    <w:p w14:paraId="711CAA79">
      <w:pPr>
        <w:keepNext w:val="0"/>
        <w:keepLines w:val="0"/>
        <w:pageBreakBefore w:val="0"/>
        <w:widowControl/>
        <w:kinsoku/>
        <w:wordWrap/>
        <w:overflowPunct/>
        <w:topLinePunct w:val="0"/>
        <w:bidi w:val="0"/>
        <w:adjustRightInd/>
        <w:snapToGrid/>
        <w:spacing w:line="360" w:lineRule="auto"/>
        <w:ind w:firstLine="388" w:firstLineChars="200"/>
        <w:jc w:val="left"/>
        <w:textAlignment w:val="auto"/>
        <w:rPr>
          <w:rFonts w:hint="eastAsia" w:cs="宋体" w:asciiTheme="minorEastAsia" w:hAnsiTheme="minorEastAsia" w:eastAsiaTheme="minorEastAsia"/>
          <w:spacing w:val="-8"/>
          <w:kern w:val="0"/>
          <w:sz w:val="21"/>
          <w:szCs w:val="21"/>
          <w:highlight w:val="none"/>
          <w:lang w:eastAsia="zh-CN"/>
        </w:rPr>
      </w:pPr>
      <w:r>
        <w:rPr>
          <w:rFonts w:hint="eastAsia" w:cs="宋体" w:asciiTheme="minorEastAsia" w:hAnsiTheme="minorEastAsia" w:eastAsiaTheme="minorEastAsia"/>
          <w:spacing w:val="-8"/>
          <w:kern w:val="0"/>
          <w:sz w:val="21"/>
          <w:szCs w:val="21"/>
          <w:highlight w:val="none"/>
          <w:lang w:eastAsia="zh-CN"/>
        </w:rPr>
        <w:t>附件八：中标通知书/成交通知书复印件</w:t>
      </w:r>
    </w:p>
    <w:p w14:paraId="13B2F09A">
      <w:pPr>
        <w:spacing w:line="360" w:lineRule="auto"/>
        <w:ind w:firstLine="420" w:firstLineChars="200"/>
        <w:rPr>
          <w:rFonts w:cs="宋体"/>
          <w:highlight w:val="none"/>
          <w:lang w:eastAsia="zh-CN"/>
        </w:rPr>
      </w:pPr>
    </w:p>
    <w:p w14:paraId="4E62A739">
      <w:pPr>
        <w:spacing w:line="360" w:lineRule="auto"/>
        <w:ind w:firstLine="420" w:firstLineChars="200"/>
        <w:rPr>
          <w:rFonts w:cs="宋体"/>
          <w:highlight w:val="none"/>
          <w:lang w:eastAsia="zh-CN"/>
        </w:rPr>
      </w:pPr>
    </w:p>
    <w:p w14:paraId="67E250E2">
      <w:pPr>
        <w:spacing w:line="360" w:lineRule="auto"/>
        <w:rPr>
          <w:rFonts w:cs="宋体"/>
          <w:highlight w:val="none"/>
          <w:lang w:eastAsia="zh-CN"/>
        </w:rPr>
      </w:pPr>
    </w:p>
    <w:p w14:paraId="2F31D8D1">
      <w:pPr>
        <w:rPr>
          <w:highlight w:val="none"/>
          <w:lang w:eastAsia="zh-CN"/>
        </w:rPr>
      </w:pPr>
    </w:p>
    <w:p w14:paraId="3463F391">
      <w:pPr>
        <w:rPr>
          <w:highlight w:val="none"/>
          <w:lang w:eastAsia="zh-CN"/>
        </w:rPr>
      </w:pPr>
    </w:p>
    <w:p w14:paraId="0A031C60">
      <w:pPr>
        <w:pStyle w:val="2"/>
        <w:numPr>
          <w:ilvl w:val="0"/>
          <w:numId w:val="0"/>
        </w:numPr>
        <w:rPr>
          <w:highlight w:val="none"/>
          <w:lang w:eastAsia="zh-CN"/>
        </w:rPr>
      </w:pPr>
    </w:p>
    <w:p w14:paraId="57577348">
      <w:pPr>
        <w:rPr>
          <w:highlight w:val="none"/>
          <w:lang w:eastAsia="zh-CN"/>
        </w:rPr>
      </w:pPr>
    </w:p>
    <w:p w14:paraId="069AEB33">
      <w:pPr>
        <w:pStyle w:val="14"/>
        <w:spacing w:line="360" w:lineRule="exact"/>
        <w:jc w:val="center"/>
        <w:rPr>
          <w:rFonts w:hAnsi="宋体"/>
          <w:b/>
          <w:szCs w:val="24"/>
          <w:highlight w:val="none"/>
          <w:lang w:eastAsia="zh-CN"/>
        </w:rPr>
      </w:pPr>
      <w:r>
        <w:rPr>
          <w:rFonts w:hint="eastAsia" w:hAnsi="宋体"/>
          <w:b/>
          <w:szCs w:val="24"/>
          <w:highlight w:val="none"/>
          <w:lang w:eastAsia="zh-CN"/>
        </w:rPr>
        <w:br w:type="page"/>
      </w:r>
      <w:r>
        <w:rPr>
          <w:rFonts w:hint="eastAsia" w:hAnsi="宋体"/>
          <w:b/>
          <w:szCs w:val="24"/>
          <w:highlight w:val="none"/>
          <w:lang w:eastAsia="zh-CN"/>
        </w:rPr>
        <w:t>（此页无正文，为合同签署页）</w:t>
      </w:r>
    </w:p>
    <w:p w14:paraId="1E9D99D5">
      <w:pPr>
        <w:pStyle w:val="14"/>
        <w:rPr>
          <w:rFonts w:hAnsi="宋体"/>
          <w:b/>
          <w:szCs w:val="24"/>
          <w:highlight w:val="none"/>
          <w:lang w:eastAsia="zh-CN"/>
        </w:rPr>
      </w:pPr>
    </w:p>
    <w:p w14:paraId="54C0F5F4">
      <w:pPr>
        <w:pStyle w:val="14"/>
        <w:rPr>
          <w:rFonts w:hAnsi="宋体"/>
          <w:b/>
          <w:szCs w:val="24"/>
          <w:highlight w:val="none"/>
          <w:lang w:eastAsia="zh-CN"/>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68675395">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3B0A1CC2">
                            <w:pPr>
                              <w:pStyle w:val="10"/>
                              <w:tabs>
                                <w:tab w:val="left" w:pos="180"/>
                              </w:tabs>
                              <w:rPr>
                                <w:rFonts w:hAnsi="宋体"/>
                                <w:b/>
                                <w:kern w:val="2"/>
                                <w:szCs w:val="24"/>
                                <w:lang w:eastAsia="zh-CN"/>
                              </w:rPr>
                            </w:pPr>
                          </w:p>
                          <w:p w14:paraId="593CB59B">
                            <w:pPr>
                              <w:pStyle w:val="10"/>
                              <w:tabs>
                                <w:tab w:val="left" w:pos="180"/>
                              </w:tabs>
                              <w:rPr>
                                <w:rFonts w:hAnsi="宋体"/>
                                <w:b/>
                                <w:kern w:val="2"/>
                                <w:szCs w:val="24"/>
                                <w:lang w:eastAsia="zh-CN"/>
                              </w:rPr>
                            </w:pPr>
                          </w:p>
                          <w:p w14:paraId="3244E46F">
                            <w:pPr>
                              <w:spacing w:line="360" w:lineRule="auto"/>
                              <w:rPr>
                                <w:rFonts w:ascii="宋体" w:hAnsi="宋体"/>
                                <w:b/>
                                <w:lang w:eastAsia="zh-CN"/>
                              </w:rPr>
                            </w:pPr>
                            <w:r>
                              <w:rPr>
                                <w:rFonts w:hint="eastAsia" w:ascii="宋体" w:hAnsi="宋体"/>
                                <w:b/>
                                <w:lang w:eastAsia="zh-CN"/>
                              </w:rPr>
                              <w:t>地址：</w:t>
                            </w:r>
                          </w:p>
                          <w:p w14:paraId="43AD41EF">
                            <w:pPr>
                              <w:pStyle w:val="10"/>
                              <w:tabs>
                                <w:tab w:val="left" w:pos="180"/>
                              </w:tabs>
                              <w:rPr>
                                <w:rFonts w:hAnsi="宋体"/>
                                <w:b/>
                                <w:kern w:val="2"/>
                                <w:szCs w:val="24"/>
                                <w:lang w:eastAsia="zh-CN"/>
                              </w:rPr>
                            </w:pPr>
                          </w:p>
                          <w:p w14:paraId="01143C31">
                            <w:pPr>
                              <w:spacing w:line="360" w:lineRule="auto"/>
                              <w:ind w:left="13" w:hanging="13" w:hangingChars="6"/>
                              <w:rPr>
                                <w:rFonts w:ascii="宋体" w:hAnsi="宋体"/>
                                <w:b/>
                                <w:lang w:eastAsia="zh-CN"/>
                              </w:rPr>
                            </w:pPr>
                            <w:r>
                              <w:rPr>
                                <w:rFonts w:hint="eastAsia" w:ascii="宋体" w:hAnsi="宋体"/>
                                <w:b/>
                                <w:lang w:eastAsia="zh-CN"/>
                              </w:rPr>
                              <w:t>法人（或授权）代表：</w:t>
                            </w:r>
                          </w:p>
                          <w:p w14:paraId="5505CEAC">
                            <w:pPr>
                              <w:spacing w:line="360" w:lineRule="auto"/>
                              <w:ind w:left="13" w:hanging="13" w:hangingChars="6"/>
                              <w:rPr>
                                <w:rFonts w:ascii="宋体" w:hAnsi="宋体"/>
                                <w:b/>
                                <w:lang w:eastAsia="zh-CN"/>
                              </w:rPr>
                            </w:pPr>
                            <w:r>
                              <w:rPr>
                                <w:rFonts w:ascii="宋体" w:hAnsi="宋体"/>
                                <w:b/>
                                <w:lang w:eastAsia="zh-CN"/>
                              </w:rPr>
                              <w:t>（签</w:t>
                            </w:r>
                            <w:r>
                              <w:rPr>
                                <w:rFonts w:hint="eastAsia" w:ascii="宋体" w:hAnsi="宋体"/>
                                <w:b/>
                                <w:lang w:eastAsia="zh-CN"/>
                              </w:rPr>
                              <w:t>名</w:t>
                            </w:r>
                            <w:r>
                              <w:rPr>
                                <w:rFonts w:ascii="宋体" w:hAnsi="宋体"/>
                                <w:b/>
                                <w:lang w:eastAsia="zh-CN"/>
                              </w:rPr>
                              <w:t>）</w:t>
                            </w:r>
                          </w:p>
                          <w:p w14:paraId="1A78D0E3">
                            <w:pPr>
                              <w:rPr>
                                <w:rFonts w:ascii="宋体" w:hAnsi="宋体"/>
                                <w:b/>
                                <w:szCs w:val="20"/>
                              </w:rPr>
                            </w:pPr>
                          </w:p>
                          <w:p w14:paraId="4159AF51">
                            <w:pPr>
                              <w:rPr>
                                <w:rFonts w:ascii="宋体" w:hAnsi="宋体"/>
                                <w:b/>
                                <w:szCs w:val="20"/>
                              </w:rPr>
                            </w:pPr>
                          </w:p>
                          <w:p w14:paraId="04279BBB">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68675395">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3B0A1CC2">
                      <w:pPr>
                        <w:pStyle w:val="10"/>
                        <w:tabs>
                          <w:tab w:val="left" w:pos="180"/>
                        </w:tabs>
                        <w:rPr>
                          <w:rFonts w:hAnsi="宋体"/>
                          <w:b/>
                          <w:kern w:val="2"/>
                          <w:szCs w:val="24"/>
                          <w:lang w:eastAsia="zh-CN"/>
                        </w:rPr>
                      </w:pPr>
                    </w:p>
                    <w:p w14:paraId="593CB59B">
                      <w:pPr>
                        <w:pStyle w:val="10"/>
                        <w:tabs>
                          <w:tab w:val="left" w:pos="180"/>
                        </w:tabs>
                        <w:rPr>
                          <w:rFonts w:hAnsi="宋体"/>
                          <w:b/>
                          <w:kern w:val="2"/>
                          <w:szCs w:val="24"/>
                          <w:lang w:eastAsia="zh-CN"/>
                        </w:rPr>
                      </w:pPr>
                    </w:p>
                    <w:p w14:paraId="3244E46F">
                      <w:pPr>
                        <w:spacing w:line="360" w:lineRule="auto"/>
                        <w:rPr>
                          <w:rFonts w:ascii="宋体" w:hAnsi="宋体"/>
                          <w:b/>
                          <w:lang w:eastAsia="zh-CN"/>
                        </w:rPr>
                      </w:pPr>
                      <w:r>
                        <w:rPr>
                          <w:rFonts w:hint="eastAsia" w:ascii="宋体" w:hAnsi="宋体"/>
                          <w:b/>
                          <w:lang w:eastAsia="zh-CN"/>
                        </w:rPr>
                        <w:t>地址：</w:t>
                      </w:r>
                    </w:p>
                    <w:p w14:paraId="43AD41EF">
                      <w:pPr>
                        <w:pStyle w:val="10"/>
                        <w:tabs>
                          <w:tab w:val="left" w:pos="180"/>
                        </w:tabs>
                        <w:rPr>
                          <w:rFonts w:hAnsi="宋体"/>
                          <w:b/>
                          <w:kern w:val="2"/>
                          <w:szCs w:val="24"/>
                          <w:lang w:eastAsia="zh-CN"/>
                        </w:rPr>
                      </w:pPr>
                    </w:p>
                    <w:p w14:paraId="01143C31">
                      <w:pPr>
                        <w:spacing w:line="360" w:lineRule="auto"/>
                        <w:ind w:left="13" w:hanging="13" w:hangingChars="6"/>
                        <w:rPr>
                          <w:rFonts w:ascii="宋体" w:hAnsi="宋体"/>
                          <w:b/>
                          <w:lang w:eastAsia="zh-CN"/>
                        </w:rPr>
                      </w:pPr>
                      <w:r>
                        <w:rPr>
                          <w:rFonts w:hint="eastAsia" w:ascii="宋体" w:hAnsi="宋体"/>
                          <w:b/>
                          <w:lang w:eastAsia="zh-CN"/>
                        </w:rPr>
                        <w:t>法人（或授权）代表：</w:t>
                      </w:r>
                    </w:p>
                    <w:p w14:paraId="5505CEAC">
                      <w:pPr>
                        <w:spacing w:line="360" w:lineRule="auto"/>
                        <w:ind w:left="13" w:hanging="13" w:hangingChars="6"/>
                        <w:rPr>
                          <w:rFonts w:ascii="宋体" w:hAnsi="宋体"/>
                          <w:b/>
                          <w:lang w:eastAsia="zh-CN"/>
                        </w:rPr>
                      </w:pPr>
                      <w:r>
                        <w:rPr>
                          <w:rFonts w:ascii="宋体" w:hAnsi="宋体"/>
                          <w:b/>
                          <w:lang w:eastAsia="zh-CN"/>
                        </w:rPr>
                        <w:t>（签</w:t>
                      </w:r>
                      <w:r>
                        <w:rPr>
                          <w:rFonts w:hint="eastAsia" w:ascii="宋体" w:hAnsi="宋体"/>
                          <w:b/>
                          <w:lang w:eastAsia="zh-CN"/>
                        </w:rPr>
                        <w:t>名</w:t>
                      </w:r>
                      <w:r>
                        <w:rPr>
                          <w:rFonts w:ascii="宋体" w:hAnsi="宋体"/>
                          <w:b/>
                          <w:lang w:eastAsia="zh-CN"/>
                        </w:rPr>
                        <w:t>）</w:t>
                      </w:r>
                    </w:p>
                    <w:p w14:paraId="1A78D0E3">
                      <w:pPr>
                        <w:rPr>
                          <w:rFonts w:ascii="宋体" w:hAnsi="宋体"/>
                          <w:b/>
                          <w:szCs w:val="20"/>
                        </w:rPr>
                      </w:pPr>
                    </w:p>
                    <w:p w14:paraId="4159AF51">
                      <w:pPr>
                        <w:rPr>
                          <w:rFonts w:ascii="宋体" w:hAnsi="宋体"/>
                          <w:b/>
                          <w:szCs w:val="20"/>
                        </w:rPr>
                      </w:pPr>
                    </w:p>
                    <w:p w14:paraId="04279BBB">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6A17E1E"/>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06A17E1E"/>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5A6241A">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5F81203">
                            <w:pPr>
                              <w:spacing w:line="360" w:lineRule="auto"/>
                              <w:ind w:left="13" w:hanging="13" w:hangingChars="6"/>
                              <w:rPr>
                                <w:rFonts w:ascii="宋体" w:hAnsi="宋体"/>
                                <w:b/>
                                <w:lang w:eastAsia="zh-CN"/>
                              </w:rPr>
                            </w:pPr>
                            <w:r>
                              <w:rPr>
                                <w:rFonts w:ascii="宋体" w:hAnsi="宋体"/>
                                <w:b/>
                                <w:lang w:eastAsia="zh-CN"/>
                              </w:rPr>
                              <w:t>（盖章）</w:t>
                            </w:r>
                          </w:p>
                          <w:p w14:paraId="7936CC66">
                            <w:pPr>
                              <w:spacing w:line="360" w:lineRule="auto"/>
                              <w:ind w:left="13" w:hanging="13" w:hangingChars="6"/>
                              <w:rPr>
                                <w:rFonts w:ascii="宋体" w:hAnsi="宋体"/>
                                <w:b/>
                                <w:lang w:eastAsia="zh-CN"/>
                              </w:rPr>
                            </w:pPr>
                          </w:p>
                          <w:p w14:paraId="0338AFC0">
                            <w:pPr>
                              <w:spacing w:line="360" w:lineRule="auto"/>
                              <w:ind w:left="13" w:hanging="13" w:hangingChars="6"/>
                              <w:rPr>
                                <w:rFonts w:ascii="宋体" w:hAnsi="宋体"/>
                                <w:b/>
                                <w:lang w:eastAsia="zh-CN"/>
                              </w:rPr>
                            </w:pPr>
                            <w:r>
                              <w:rPr>
                                <w:rFonts w:ascii="宋体" w:hAnsi="宋体"/>
                                <w:b/>
                                <w:lang w:eastAsia="zh-CN"/>
                              </w:rPr>
                              <w:t>地址：</w:t>
                            </w:r>
                          </w:p>
                          <w:p w14:paraId="4ACCAFEF">
                            <w:pPr>
                              <w:spacing w:line="360" w:lineRule="auto"/>
                              <w:ind w:left="13" w:hanging="13" w:hangingChars="6"/>
                              <w:rPr>
                                <w:rFonts w:ascii="宋体" w:hAnsi="宋体"/>
                                <w:b/>
                                <w:lang w:eastAsia="zh-CN"/>
                              </w:rPr>
                            </w:pPr>
                          </w:p>
                          <w:p w14:paraId="5D612CBB">
                            <w:pPr>
                              <w:spacing w:line="360" w:lineRule="auto"/>
                              <w:ind w:left="13" w:hanging="13" w:hangingChars="6"/>
                              <w:rPr>
                                <w:rFonts w:ascii="宋体" w:hAnsi="宋体"/>
                                <w:b/>
                                <w:lang w:eastAsia="zh-CN"/>
                              </w:rPr>
                            </w:pPr>
                            <w:r>
                              <w:rPr>
                                <w:rFonts w:ascii="宋体" w:hAnsi="宋体"/>
                                <w:b/>
                                <w:lang w:eastAsia="zh-CN"/>
                              </w:rPr>
                              <w:t>法人（或授权）代表：</w:t>
                            </w:r>
                          </w:p>
                          <w:p w14:paraId="242A080D">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015407E">
                            <w:pPr>
                              <w:spacing w:line="360" w:lineRule="auto"/>
                              <w:ind w:left="13" w:hanging="13" w:hangingChars="6"/>
                              <w:rPr>
                                <w:rFonts w:ascii="宋体" w:hAnsi="宋体"/>
                                <w:b/>
                              </w:rPr>
                            </w:pPr>
                          </w:p>
                          <w:p w14:paraId="099ABB4C">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15A6241A">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5F81203">
                      <w:pPr>
                        <w:spacing w:line="360" w:lineRule="auto"/>
                        <w:ind w:left="13" w:hanging="13" w:hangingChars="6"/>
                        <w:rPr>
                          <w:rFonts w:ascii="宋体" w:hAnsi="宋体"/>
                          <w:b/>
                          <w:lang w:eastAsia="zh-CN"/>
                        </w:rPr>
                      </w:pPr>
                      <w:r>
                        <w:rPr>
                          <w:rFonts w:ascii="宋体" w:hAnsi="宋体"/>
                          <w:b/>
                          <w:lang w:eastAsia="zh-CN"/>
                        </w:rPr>
                        <w:t>（盖章）</w:t>
                      </w:r>
                    </w:p>
                    <w:p w14:paraId="7936CC66">
                      <w:pPr>
                        <w:spacing w:line="360" w:lineRule="auto"/>
                        <w:ind w:left="13" w:hanging="13" w:hangingChars="6"/>
                        <w:rPr>
                          <w:rFonts w:ascii="宋体" w:hAnsi="宋体"/>
                          <w:b/>
                          <w:lang w:eastAsia="zh-CN"/>
                        </w:rPr>
                      </w:pPr>
                    </w:p>
                    <w:p w14:paraId="0338AFC0">
                      <w:pPr>
                        <w:spacing w:line="360" w:lineRule="auto"/>
                        <w:ind w:left="13" w:hanging="13" w:hangingChars="6"/>
                        <w:rPr>
                          <w:rFonts w:ascii="宋体" w:hAnsi="宋体"/>
                          <w:b/>
                          <w:lang w:eastAsia="zh-CN"/>
                        </w:rPr>
                      </w:pPr>
                      <w:r>
                        <w:rPr>
                          <w:rFonts w:ascii="宋体" w:hAnsi="宋体"/>
                          <w:b/>
                          <w:lang w:eastAsia="zh-CN"/>
                        </w:rPr>
                        <w:t>地址：</w:t>
                      </w:r>
                    </w:p>
                    <w:p w14:paraId="4ACCAFEF">
                      <w:pPr>
                        <w:spacing w:line="360" w:lineRule="auto"/>
                        <w:ind w:left="13" w:hanging="13" w:hangingChars="6"/>
                        <w:rPr>
                          <w:rFonts w:ascii="宋体" w:hAnsi="宋体"/>
                          <w:b/>
                          <w:lang w:eastAsia="zh-CN"/>
                        </w:rPr>
                      </w:pPr>
                    </w:p>
                    <w:p w14:paraId="5D612CBB">
                      <w:pPr>
                        <w:spacing w:line="360" w:lineRule="auto"/>
                        <w:ind w:left="13" w:hanging="13" w:hangingChars="6"/>
                        <w:rPr>
                          <w:rFonts w:ascii="宋体" w:hAnsi="宋体"/>
                          <w:b/>
                          <w:lang w:eastAsia="zh-CN"/>
                        </w:rPr>
                      </w:pPr>
                      <w:r>
                        <w:rPr>
                          <w:rFonts w:ascii="宋体" w:hAnsi="宋体"/>
                          <w:b/>
                          <w:lang w:eastAsia="zh-CN"/>
                        </w:rPr>
                        <w:t>法人（或授权）代表：</w:t>
                      </w:r>
                    </w:p>
                    <w:p w14:paraId="242A080D">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015407E">
                      <w:pPr>
                        <w:spacing w:line="360" w:lineRule="auto"/>
                        <w:ind w:left="13" w:hanging="13" w:hangingChars="6"/>
                        <w:rPr>
                          <w:rFonts w:ascii="宋体" w:hAnsi="宋体"/>
                          <w:b/>
                        </w:rPr>
                      </w:pPr>
                    </w:p>
                    <w:p w14:paraId="099ABB4C">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01E65F7E">
      <w:pPr>
        <w:pStyle w:val="14"/>
        <w:rPr>
          <w:rFonts w:hAnsi="宋体"/>
          <w:b/>
          <w:szCs w:val="24"/>
          <w:highlight w:val="none"/>
          <w:lang w:eastAsia="zh-CN"/>
        </w:rPr>
      </w:pPr>
    </w:p>
    <w:p w14:paraId="3CCB4EC9">
      <w:pPr>
        <w:pStyle w:val="14"/>
        <w:rPr>
          <w:rFonts w:hAnsi="宋体"/>
          <w:b/>
          <w:szCs w:val="24"/>
          <w:highlight w:val="none"/>
          <w:lang w:eastAsia="zh-CN"/>
        </w:rPr>
      </w:pPr>
    </w:p>
    <w:p w14:paraId="4F043740">
      <w:pPr>
        <w:pStyle w:val="14"/>
        <w:spacing w:line="360" w:lineRule="auto"/>
        <w:rPr>
          <w:rFonts w:hAnsi="宋体"/>
          <w:b/>
          <w:szCs w:val="24"/>
          <w:highlight w:val="none"/>
          <w:lang w:eastAsia="zh-CN"/>
        </w:rPr>
      </w:pPr>
    </w:p>
    <w:p w14:paraId="357D3CF8">
      <w:pPr>
        <w:pStyle w:val="14"/>
        <w:spacing w:line="360" w:lineRule="auto"/>
        <w:rPr>
          <w:rFonts w:hAnsi="宋体"/>
          <w:b/>
          <w:szCs w:val="24"/>
          <w:highlight w:val="none"/>
          <w:lang w:eastAsia="zh-CN"/>
        </w:rPr>
      </w:pPr>
    </w:p>
    <w:p w14:paraId="3982C7ED">
      <w:pPr>
        <w:pStyle w:val="14"/>
        <w:spacing w:line="360" w:lineRule="auto"/>
        <w:rPr>
          <w:rFonts w:hAnsi="宋体" w:cs="Arial"/>
          <w:highlight w:val="none"/>
          <w:lang w:eastAsia="zh-CN"/>
        </w:rPr>
      </w:pPr>
    </w:p>
    <w:p w14:paraId="12F70412">
      <w:pPr>
        <w:pStyle w:val="14"/>
        <w:spacing w:line="360" w:lineRule="auto"/>
        <w:rPr>
          <w:highlight w:val="none"/>
          <w:lang w:eastAsia="zh-CN"/>
        </w:rPr>
        <w:sectPr>
          <w:footerReference r:id="rId3" w:type="default"/>
          <w:pgSz w:w="11906" w:h="16838"/>
          <w:pgMar w:top="1440" w:right="1247" w:bottom="1440" w:left="1247" w:header="851" w:footer="992" w:gutter="0"/>
          <w:pgNumType w:fmt="numberInDash" w:start="1"/>
          <w:cols w:space="720" w:num="1"/>
          <w:docGrid w:type="linesAndChars" w:linePitch="312" w:charSpace="0"/>
        </w:sectPr>
      </w:pPr>
    </w:p>
    <w:p w14:paraId="54A3B22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227AB94D">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1398B7F6">
      <w:pPr>
        <w:rPr>
          <w:rFonts w:hint="eastAsia" w:eastAsia="黑体"/>
          <w:color w:val="auto"/>
          <w:sz w:val="20"/>
          <w:highlight w:val="none"/>
        </w:rPr>
      </w:pPr>
    </w:p>
    <w:p w14:paraId="74C8EF8C">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208" w:name="_Toc14710_WPSOffice_Level1"/>
      <w:bookmarkEnd w:id="208"/>
    </w:p>
    <w:p w14:paraId="75A0CF06">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209" w:name="_Toc21573"/>
      <w:bookmarkEnd w:id="209"/>
      <w:bookmarkStart w:id="210"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210"/>
    </w:p>
    <w:p w14:paraId="05719C4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211" w:name="_Toc19336_WPSOffice_Level2"/>
      <w:bookmarkEnd w:id="211"/>
      <w:r>
        <w:rPr>
          <w:rFonts w:hint="eastAsia" w:ascii="黑体" w:hAnsi="宋体" w:eastAsia="黑体" w:cs="黑体"/>
          <w:color w:val="000000"/>
          <w:kern w:val="0"/>
          <w:sz w:val="44"/>
          <w:szCs w:val="44"/>
          <w:highlight w:val="none"/>
          <w:u w:color="000000"/>
          <w:lang w:val="en-US" w:eastAsia="zh-CN" w:bidi="ar"/>
        </w:rPr>
        <w:t xml:space="preserve"> </w:t>
      </w:r>
    </w:p>
    <w:p w14:paraId="3C1CF747">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212" w:name="_Toc7180_WPSOffice_Level3"/>
      <w:bookmarkEnd w:id="212"/>
      <w:r>
        <w:rPr>
          <w:rFonts w:hint="eastAsia" w:ascii="宋体" w:hAnsi="宋体" w:eastAsia="宋体" w:cs="宋体"/>
          <w:color w:val="000000"/>
          <w:kern w:val="0"/>
          <w:sz w:val="30"/>
          <w:szCs w:val="30"/>
          <w:highlight w:val="none"/>
          <w:u w:color="000000"/>
          <w:lang w:val="en-US" w:eastAsia="zh-CN" w:bidi="ar"/>
        </w:rPr>
        <w:t>项目名称：</w:t>
      </w:r>
    </w:p>
    <w:p w14:paraId="3DAEC5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5F33F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C39813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2962028">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52D4DF7">
      <w:pPr>
        <w:pStyle w:val="20"/>
        <w:widowControl/>
        <w:rPr>
          <w:highlight w:val="none"/>
          <w:lang w:val="en-US"/>
        </w:rPr>
      </w:pPr>
      <w:r>
        <w:rPr>
          <w:highlight w:val="none"/>
          <w:lang w:val="en-US"/>
        </w:rPr>
        <w:t xml:space="preserve"> </w:t>
      </w:r>
    </w:p>
    <w:p w14:paraId="5238EC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E97867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64E8A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D4F7D6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7B00B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4D0D12D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591B585B">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14:paraId="663231C8">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目   录</w:t>
      </w:r>
    </w:p>
    <w:p w14:paraId="2F13EAB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5E7B32AA">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F4CA8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14:paraId="5285DB5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w:t>
      </w:r>
      <w:r>
        <w:rPr>
          <w:rFonts w:hint="eastAsia" w:ascii="宋体"/>
          <w:szCs w:val="21"/>
          <w:highlight w:val="none"/>
          <w:lang w:val="en-US" w:eastAsia="zh-CN"/>
        </w:rPr>
        <w:t>企业法人营业执照</w:t>
      </w:r>
      <w:r>
        <w:rPr>
          <w:rFonts w:hint="eastAsia" w:ascii="宋体"/>
          <w:szCs w:val="21"/>
          <w:highlight w:val="none"/>
          <w:lang w:eastAsia="zh-CN"/>
        </w:rPr>
        <w:t>；</w:t>
      </w:r>
    </w:p>
    <w:p w14:paraId="1D2F594F">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3</w:t>
      </w:r>
      <w:r>
        <w:rPr>
          <w:rFonts w:hint="eastAsia" w:ascii="宋体"/>
          <w:szCs w:val="21"/>
          <w:highlight w:val="none"/>
        </w:rPr>
        <w:t>）投标人</w:t>
      </w:r>
      <w:r>
        <w:rPr>
          <w:rFonts w:hint="eastAsia" w:ascii="宋体"/>
          <w:szCs w:val="21"/>
          <w:highlight w:val="none"/>
          <w:lang w:val="en-US" w:eastAsia="zh-CN"/>
        </w:rPr>
        <w:t>有效的</w:t>
      </w:r>
      <w:r>
        <w:rPr>
          <w:rFonts w:hint="default" w:ascii="宋体"/>
          <w:szCs w:val="21"/>
          <w:highlight w:val="none"/>
          <w:lang w:val="en-US" w:eastAsia="zh-CN"/>
        </w:rPr>
        <w:t>雷电防护装置检测</w:t>
      </w:r>
      <w:r>
        <w:rPr>
          <w:rFonts w:hint="eastAsia" w:ascii="宋体"/>
          <w:szCs w:val="21"/>
          <w:highlight w:val="none"/>
          <w:lang w:val="en-US" w:eastAsia="zh-CN"/>
        </w:rPr>
        <w:t>甲级资质证书；</w:t>
      </w:r>
    </w:p>
    <w:p w14:paraId="624BEB3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（4）诚信投标承诺书（格式见附件）；</w:t>
      </w:r>
    </w:p>
    <w:p w14:paraId="79749BE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（5）服务承诺书（格式见附件）；</w:t>
      </w:r>
    </w:p>
    <w:p w14:paraId="5C29C90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（6）开标一览表（格式见附件）；</w:t>
      </w:r>
    </w:p>
    <w:p w14:paraId="28B3048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（7）投标函（格式见附件）；</w:t>
      </w:r>
    </w:p>
    <w:p w14:paraId="5CA6BE92">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（8）分项报价清单（格式见附件）；</w:t>
      </w:r>
    </w:p>
    <w:p w14:paraId="0296F92F">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（9）投标人认为需要提供的其他证明材料。</w:t>
      </w:r>
    </w:p>
    <w:p w14:paraId="5854BB9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rPr>
      </w:pPr>
      <w:r>
        <w:rPr>
          <w:rFonts w:hint="eastAsia" w:ascii="宋体"/>
          <w:szCs w:val="21"/>
          <w:highlight w:val="none"/>
          <w:lang w:val="en-US" w:eastAsia="zh-CN"/>
        </w:rPr>
        <w:t xml:space="preserve"> </w:t>
      </w:r>
    </w:p>
    <w:p w14:paraId="790FC7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FFE3809">
      <w:pPr>
        <w:pStyle w:val="46"/>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pStyle w:val="46"/>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82D866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6414FC04">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213" w:name="_Toc451384148"/>
      <w:bookmarkStart w:id="214" w:name="_Toc425084385"/>
      <w:r>
        <w:rPr>
          <w:rFonts w:hint="eastAsia" w:ascii="宋体" w:hAnsi="宋体"/>
          <w:color w:val="000000"/>
          <w:szCs w:val="21"/>
          <w:highlight w:val="none"/>
        </w:rPr>
        <w:t>一、将遵循公</w:t>
      </w:r>
      <w:bookmarkStart w:id="215" w:name="_Toc506107356"/>
      <w:bookmarkStart w:id="216" w:name="_Toc503196197"/>
      <w:bookmarkStart w:id="217" w:name="_Toc26598"/>
      <w:r>
        <w:rPr>
          <w:rFonts w:hint="eastAsia" w:ascii="宋体" w:hAnsi="宋体"/>
          <w:color w:val="000000"/>
          <w:szCs w:val="21"/>
          <w:highlight w:val="none"/>
        </w:rPr>
        <w:t>开、公正和诚实信用</w:t>
      </w:r>
      <w:bookmarkEnd w:id="215"/>
      <w:bookmarkEnd w:id="216"/>
      <w:r>
        <w:rPr>
          <w:rFonts w:hint="eastAsia" w:ascii="宋体" w:hAnsi="宋体"/>
          <w:color w:val="000000"/>
          <w:szCs w:val="21"/>
          <w:highlight w:val="none"/>
        </w:rPr>
        <w:t>的</w:t>
      </w:r>
      <w:bookmarkEnd w:id="217"/>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8FE2E4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w:t>
      </w:r>
      <w:r>
        <w:rPr>
          <w:rFonts w:hint="eastAsia" w:ascii="宋体" w:hAnsi="宋体"/>
          <w:color w:val="000000"/>
          <w:szCs w:val="21"/>
          <w:highlight w:val="none"/>
          <w:lang w:eastAsia="zh-CN"/>
        </w:rPr>
        <w:t>安全生产严重失信主体名单</w:t>
      </w:r>
      <w:r>
        <w:rPr>
          <w:rFonts w:hint="eastAsia" w:ascii="宋体" w:hAnsi="宋体"/>
          <w:color w:val="000000"/>
          <w:szCs w:val="21"/>
          <w:highlight w:val="none"/>
        </w:rPr>
        <w:t>”的；④被列入国家企业信用信息公示系统网站“严重违法失信名单”的</w:t>
      </w:r>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213"/>
    <w:bookmarkEnd w:id="214"/>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4F92B7FF">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5"/>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pageBreakBefore w:val="0"/>
              <w:widowControl/>
              <w:suppressLineNumbers w:val="0"/>
              <w:kinsoku/>
              <w:wordWrap/>
              <w:overflowPunct/>
              <w:topLinePunct w:val="0"/>
              <w:autoSpaceDE/>
              <w:autoSpaceDN/>
              <w:bidi w:val="0"/>
              <w:snapToGrid/>
              <w:spacing w:before="0" w:beforeAutospacing="0" w:after="0" w:afterAutospacing="0" w:line="360" w:lineRule="auto"/>
              <w:ind w:left="0" w:right="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p>
          <w:p w14:paraId="3623DA51">
            <w:pPr>
              <w:keepNext w:val="0"/>
              <w:keepLines w:val="0"/>
              <w:pageBreakBefore w:val="0"/>
              <w:widowControl/>
              <w:suppressLineNumbers w:val="0"/>
              <w:kinsoku/>
              <w:wordWrap/>
              <w:overflowPunct/>
              <w:topLinePunct w:val="0"/>
              <w:autoSpaceDE/>
              <w:autoSpaceDN/>
              <w:bidi w:val="0"/>
              <w:snapToGrid/>
              <w:spacing w:before="0" w:beforeAutospacing="0" w:after="0" w:afterAutospacing="0" w:line="360" w:lineRule="auto"/>
              <w:ind w:left="0" w:right="0" w:firstLine="1920" w:firstLineChars="800"/>
              <w:jc w:val="both"/>
              <w:textAlignment w:val="auto"/>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CFEAC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lang w:val="en-US" w:eastAsia="zh-CN"/>
              </w:rPr>
              <w:t>其中：一年投标报价</w:t>
            </w:r>
            <w:r>
              <w:rPr>
                <w:rFonts w:hint="eastAsia" w:ascii="宋体" w:hAnsi="宋体" w:eastAsia="宋体" w:cs="宋体"/>
                <w:color w:val="auto"/>
                <w:sz w:val="24"/>
                <w:szCs w:val="24"/>
                <w:highlight w:val="none"/>
                <w:lang w:val="en-US" w:eastAsia="zh-CN"/>
              </w:rPr>
              <w:t>（含税）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大</w:t>
            </w:r>
            <w:r>
              <w:rPr>
                <w:rFonts w:hint="eastAsia" w:ascii="宋体" w:hAnsi="宋体" w:eastAsia="宋体" w:cs="宋体"/>
                <w:color w:val="auto"/>
                <w:sz w:val="24"/>
                <w:szCs w:val="24"/>
                <w:highlight w:val="none"/>
              </w:rPr>
              <w:t>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1D39FC97">
            <w:pPr>
              <w:pStyle w:val="2"/>
              <w:pageBreakBefore w:val="0"/>
              <w:kinsoku/>
              <w:wordWrap/>
              <w:overflowPunct/>
              <w:topLinePunct w:val="0"/>
              <w:autoSpaceDE/>
              <w:autoSpaceDN/>
              <w:bidi w:val="0"/>
              <w:snapToGrid/>
              <w:spacing w:beforeAutospacing="0" w:afterAutospacing="0" w:line="360" w:lineRule="auto"/>
              <w:ind w:left="0" w:leftChars="0" w:firstLine="3120" w:firstLineChars="1300"/>
              <w:textAlignment w:val="auto"/>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auto"/>
                <w:sz w:val="24"/>
                <w:szCs w:val="24"/>
                <w:highlight w:val="none"/>
              </w:rPr>
              <w:t>(小写)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w:t>
            </w:r>
          </w:p>
          <w:p w14:paraId="278EF44E">
            <w:pPr>
              <w:keepNext w:val="0"/>
              <w:keepLines w:val="0"/>
              <w:pageBreakBefore w:val="0"/>
              <w:widowControl/>
              <w:suppressLineNumbers w:val="0"/>
              <w:kinsoku/>
              <w:wordWrap/>
              <w:overflowPunct/>
              <w:topLinePunct w:val="0"/>
              <w:autoSpaceDE/>
              <w:autoSpaceDN/>
              <w:bidi w:val="0"/>
              <w:snapToGrid/>
              <w:spacing w:before="0" w:beforeAutospacing="0" w:after="0" w:afterAutospacing="0" w:line="360" w:lineRule="auto"/>
              <w:ind w:left="0" w:right="0"/>
              <w:jc w:val="both"/>
              <w:textAlignment w:val="auto"/>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A940262">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numberInDash"/>
          <w:cols w:space="425" w:num="1"/>
          <w:docGrid w:type="lines" w:linePitch="312" w:charSpace="0"/>
        </w:sectPr>
      </w:pPr>
    </w:p>
    <w:p w14:paraId="029DACF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bookmarkStart w:id="218" w:name="_Toc6275_WPSOffice_Level1"/>
      <w:bookmarkEnd w:id="218"/>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的投标报价承包上述项目，并承担任何质量缺陷保修责任。</w:t>
      </w:r>
    </w:p>
    <w:p w14:paraId="3D884E8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B1B30D2">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4F72A477">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 xml:space="preserve"> </w:t>
      </w:r>
      <w:r>
        <w:rPr>
          <w:rFonts w:hint="eastAsia" w:ascii="宋体" w:hAnsi="宋体" w:eastAsia="宋体" w:cs="宋体"/>
          <w:b/>
          <w:bCs w:val="0"/>
          <w:color w:val="000000"/>
          <w:kern w:val="0"/>
          <w:sz w:val="30"/>
          <w:szCs w:val="30"/>
          <w:highlight w:val="none"/>
          <w:u w:color="000000"/>
          <w:lang w:val="en-US" w:eastAsia="zh-CN" w:bidi="ar"/>
        </w:rPr>
        <w:t>附件6</w:t>
      </w:r>
    </w:p>
    <w:p w14:paraId="3E45C8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2"/>
        <w:tblW w:w="885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249"/>
        <w:gridCol w:w="1095"/>
        <w:gridCol w:w="1185"/>
        <w:gridCol w:w="1395"/>
        <w:gridCol w:w="1350"/>
        <w:gridCol w:w="936"/>
      </w:tblGrid>
      <w:tr w14:paraId="3DD5DF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noWrap w:val="0"/>
            <w:vAlign w:val="center"/>
          </w:tcPr>
          <w:p w14:paraId="7594446A">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249" w:type="dxa"/>
            <w:tcBorders>
              <w:right w:val="single" w:color="auto" w:sz="4" w:space="0"/>
            </w:tcBorders>
            <w:noWrap w:val="0"/>
            <w:vAlign w:val="center"/>
          </w:tcPr>
          <w:p w14:paraId="4E691A68">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lang w:val="en-US" w:eastAsia="zh-CN"/>
              </w:rPr>
              <w:t>服务</w:t>
            </w:r>
            <w:r>
              <w:rPr>
                <w:rFonts w:hint="eastAsia" w:ascii="宋体" w:hAnsi="宋体"/>
                <w:color w:val="000000"/>
                <w:szCs w:val="21"/>
                <w:highlight w:val="none"/>
              </w:rPr>
              <w:t>名称</w:t>
            </w:r>
          </w:p>
        </w:tc>
        <w:tc>
          <w:tcPr>
            <w:tcW w:w="1095" w:type="dxa"/>
            <w:tcBorders>
              <w:left w:val="single" w:color="auto" w:sz="4" w:space="0"/>
            </w:tcBorders>
            <w:noWrap w:val="0"/>
            <w:vAlign w:val="center"/>
          </w:tcPr>
          <w:p w14:paraId="3D420E7E">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1185" w:type="dxa"/>
            <w:noWrap w:val="0"/>
            <w:vAlign w:val="center"/>
          </w:tcPr>
          <w:p w14:paraId="4014EC75">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lang w:val="en-US" w:eastAsia="zh-CN"/>
              </w:rPr>
              <w:t>年度预估</w:t>
            </w:r>
            <w:r>
              <w:rPr>
                <w:rFonts w:hint="eastAsia" w:ascii="宋体" w:hAnsi="宋体"/>
                <w:color w:val="000000"/>
                <w:szCs w:val="21"/>
                <w:highlight w:val="none"/>
              </w:rPr>
              <w:t>数量</w:t>
            </w:r>
          </w:p>
        </w:tc>
        <w:tc>
          <w:tcPr>
            <w:tcW w:w="1395" w:type="dxa"/>
            <w:tcBorders>
              <w:left w:val="single" w:color="auto" w:sz="4" w:space="0"/>
            </w:tcBorders>
            <w:noWrap w:val="0"/>
            <w:vAlign w:val="center"/>
          </w:tcPr>
          <w:p w14:paraId="132076BB">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单价（元</w:t>
            </w:r>
            <w:r>
              <w:rPr>
                <w:rFonts w:hint="eastAsia" w:ascii="宋体" w:hAnsi="宋体"/>
                <w:color w:val="000000"/>
                <w:szCs w:val="21"/>
                <w:highlight w:val="none"/>
                <w:lang w:val="en-US" w:eastAsia="zh-CN"/>
              </w:rPr>
              <w:t>/点位</w:t>
            </w:r>
            <w:r>
              <w:rPr>
                <w:rFonts w:hint="eastAsia" w:ascii="宋体" w:hAnsi="宋体"/>
                <w:color w:val="000000"/>
                <w:szCs w:val="21"/>
                <w:highlight w:val="none"/>
              </w:rPr>
              <w:t>）</w:t>
            </w:r>
          </w:p>
        </w:tc>
        <w:tc>
          <w:tcPr>
            <w:tcW w:w="1350" w:type="dxa"/>
            <w:noWrap w:val="0"/>
            <w:vAlign w:val="center"/>
          </w:tcPr>
          <w:p w14:paraId="764E7C15">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合价（元</w:t>
            </w:r>
            <w:r>
              <w:rPr>
                <w:rFonts w:hint="eastAsia" w:ascii="宋体" w:hAnsi="宋体"/>
                <w:color w:val="000000"/>
                <w:szCs w:val="21"/>
                <w:highlight w:val="none"/>
                <w:lang w:val="en-US" w:eastAsia="zh-CN"/>
              </w:rPr>
              <w:t>/年</w:t>
            </w:r>
            <w:r>
              <w:rPr>
                <w:rFonts w:hint="eastAsia" w:ascii="宋体" w:hAnsi="宋体"/>
                <w:color w:val="000000"/>
                <w:szCs w:val="21"/>
                <w:highlight w:val="none"/>
              </w:rPr>
              <w:t>）</w:t>
            </w:r>
          </w:p>
        </w:tc>
        <w:tc>
          <w:tcPr>
            <w:tcW w:w="936" w:type="dxa"/>
            <w:noWrap w:val="0"/>
            <w:vAlign w:val="center"/>
          </w:tcPr>
          <w:p w14:paraId="4123B8A5">
            <w:pPr>
              <w:keepNext w:val="0"/>
              <w:keepLines w:val="0"/>
              <w:suppressLineNumbers w:val="0"/>
              <w:spacing w:before="0" w:beforeAutospacing="0" w:after="0" w:afterAutospacing="0" w:line="300" w:lineRule="exact"/>
              <w:ind w:left="0" w:right="0"/>
              <w:jc w:val="center"/>
              <w:rPr>
                <w:rFonts w:hint="default" w:ascii="宋体" w:hAnsi="宋体" w:eastAsia="宋体"/>
                <w:color w:val="000000"/>
                <w:szCs w:val="21"/>
                <w:highlight w:val="none"/>
                <w:lang w:val="en-US" w:eastAsia="zh-CN"/>
              </w:rPr>
            </w:pPr>
            <w:r>
              <w:rPr>
                <w:rFonts w:hint="eastAsia" w:ascii="宋体" w:hAnsi="宋体" w:eastAsia="宋体"/>
                <w:color w:val="000000"/>
                <w:szCs w:val="21"/>
                <w:highlight w:val="none"/>
                <w:lang w:val="en-US" w:eastAsia="zh-CN"/>
              </w:rPr>
              <w:t>备注</w:t>
            </w:r>
          </w:p>
        </w:tc>
      </w:tr>
      <w:tr w14:paraId="609E06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81" w:hRule="atLeast"/>
          <w:jc w:val="center"/>
        </w:trPr>
        <w:tc>
          <w:tcPr>
            <w:tcW w:w="643" w:type="dxa"/>
            <w:shd w:val="clear" w:color="auto" w:fill="auto"/>
            <w:noWrap w:val="0"/>
            <w:vAlign w:val="center"/>
          </w:tcPr>
          <w:p w14:paraId="175BBFC8">
            <w:pPr>
              <w:keepNext w:val="0"/>
              <w:keepLines w:val="0"/>
              <w:suppressLineNumbers w:val="0"/>
              <w:spacing w:before="0" w:beforeAutospacing="0" w:after="0" w:afterAutospacing="0"/>
              <w:ind w:left="0" w:right="0"/>
              <w:jc w:val="center"/>
              <w:textAlignment w:val="baseline"/>
              <w:rPr>
                <w:rFonts w:hint="eastAsia" w:ascii="宋体" w:hAnsi="宋体" w:eastAsia="宋体"/>
                <w:color w:val="000000"/>
                <w:szCs w:val="21"/>
                <w:highlight w:val="none"/>
                <w:lang w:val="en-US" w:eastAsia="zh-CN"/>
              </w:rPr>
            </w:pPr>
            <w:r>
              <w:rPr>
                <w:rFonts w:hint="eastAsia" w:ascii="宋体" w:hAnsi="宋体"/>
                <w:color w:val="000000"/>
                <w:szCs w:val="21"/>
                <w:highlight w:val="none"/>
                <w:lang w:val="en-US" w:eastAsia="zh-CN"/>
              </w:rPr>
              <w:t>1</w:t>
            </w:r>
          </w:p>
        </w:tc>
        <w:tc>
          <w:tcPr>
            <w:tcW w:w="2249" w:type="dxa"/>
            <w:tcBorders>
              <w:right w:val="single" w:color="auto" w:sz="4" w:space="0"/>
            </w:tcBorders>
            <w:shd w:val="clear" w:color="auto" w:fill="FFFFFF"/>
            <w:noWrap w:val="0"/>
            <w:vAlign w:val="center"/>
          </w:tcPr>
          <w:p w14:paraId="5A84724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color w:val="000000"/>
                <w:sz w:val="24"/>
                <w:highlight w:val="none"/>
              </w:rPr>
            </w:pPr>
            <w:r>
              <w:rPr>
                <w:rFonts w:hint="eastAsia" w:ascii="宋体" w:hAnsi="宋体" w:eastAsia="宋体" w:cs="宋体"/>
                <w:b w:val="0"/>
                <w:color w:val="auto"/>
                <w:kern w:val="0"/>
                <w:sz w:val="21"/>
                <w:szCs w:val="21"/>
                <w:highlight w:val="none"/>
                <w:lang w:val="en-US" w:eastAsia="zh-CN" w:bidi="ar-SA"/>
              </w:rPr>
              <w:t>防雷检测</w:t>
            </w:r>
          </w:p>
        </w:tc>
        <w:tc>
          <w:tcPr>
            <w:tcW w:w="1095" w:type="dxa"/>
            <w:tcBorders>
              <w:left w:val="single" w:color="auto" w:sz="4" w:space="0"/>
            </w:tcBorders>
            <w:shd w:val="clear" w:color="auto" w:fill="auto"/>
            <w:noWrap w:val="0"/>
            <w:vAlign w:val="center"/>
          </w:tcPr>
          <w:p w14:paraId="56E5C0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宋体" w:hAnsi="宋体"/>
                <w:color w:val="000000"/>
                <w:sz w:val="24"/>
                <w:highlight w:val="none"/>
                <w:lang w:val="en-US"/>
              </w:rPr>
            </w:pPr>
            <w:r>
              <w:rPr>
                <w:rFonts w:hint="eastAsia" w:ascii="宋体" w:hAnsi="宋体" w:cs="宋体"/>
                <w:i w:val="0"/>
                <w:iCs w:val="0"/>
                <w:color w:val="000000"/>
                <w:kern w:val="0"/>
                <w:sz w:val="24"/>
                <w:szCs w:val="24"/>
                <w:highlight w:val="none"/>
                <w:u w:val="none"/>
                <w:lang w:val="en-US" w:eastAsia="zh-CN" w:bidi="ar"/>
              </w:rPr>
              <w:t>点位</w:t>
            </w:r>
          </w:p>
        </w:tc>
        <w:tc>
          <w:tcPr>
            <w:tcW w:w="1185" w:type="dxa"/>
            <w:shd w:val="clear" w:color="auto" w:fill="FFFFFF"/>
            <w:noWrap w:val="0"/>
            <w:vAlign w:val="center"/>
          </w:tcPr>
          <w:p w14:paraId="5DF8E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color w:val="000000"/>
                <w:sz w:val="24"/>
                <w:highlight w:val="none"/>
              </w:rPr>
            </w:pPr>
            <w:r>
              <w:rPr>
                <w:rFonts w:hint="eastAsia" w:ascii="宋体" w:hAnsi="宋体" w:cs="宋体"/>
                <w:i w:val="0"/>
                <w:iCs w:val="0"/>
                <w:color w:val="000000"/>
                <w:kern w:val="0"/>
                <w:sz w:val="22"/>
                <w:szCs w:val="22"/>
                <w:highlight w:val="none"/>
                <w:u w:val="none"/>
                <w:lang w:val="en-US" w:eastAsia="zh-CN" w:bidi="ar"/>
              </w:rPr>
              <w:t>2400</w:t>
            </w:r>
          </w:p>
        </w:tc>
        <w:tc>
          <w:tcPr>
            <w:tcW w:w="1395" w:type="dxa"/>
            <w:tcBorders>
              <w:left w:val="single" w:color="auto" w:sz="4" w:space="0"/>
            </w:tcBorders>
            <w:noWrap w:val="0"/>
            <w:vAlign w:val="center"/>
          </w:tcPr>
          <w:p w14:paraId="4B75E7DF">
            <w:pPr>
              <w:keepNext w:val="0"/>
              <w:keepLines w:val="0"/>
              <w:suppressLineNumbers w:val="0"/>
              <w:spacing w:before="0" w:beforeAutospacing="0" w:after="0" w:afterAutospacing="0" w:line="240" w:lineRule="auto"/>
              <w:ind w:left="0" w:right="0"/>
              <w:rPr>
                <w:rFonts w:hint="eastAsia" w:ascii="宋体" w:hAnsi="宋体"/>
                <w:color w:val="000000"/>
                <w:sz w:val="24"/>
                <w:highlight w:val="none"/>
              </w:rPr>
            </w:pPr>
          </w:p>
        </w:tc>
        <w:tc>
          <w:tcPr>
            <w:tcW w:w="1350" w:type="dxa"/>
            <w:noWrap w:val="0"/>
            <w:vAlign w:val="center"/>
          </w:tcPr>
          <w:p w14:paraId="1F988D37">
            <w:pPr>
              <w:keepNext w:val="0"/>
              <w:keepLines w:val="0"/>
              <w:suppressLineNumbers w:val="0"/>
              <w:spacing w:before="0" w:beforeAutospacing="0" w:after="0" w:afterAutospacing="0" w:line="240" w:lineRule="auto"/>
              <w:ind w:left="0" w:right="0"/>
              <w:rPr>
                <w:rFonts w:hint="eastAsia" w:ascii="宋体" w:hAnsi="宋体"/>
                <w:color w:val="000000"/>
                <w:sz w:val="24"/>
                <w:highlight w:val="none"/>
              </w:rPr>
            </w:pPr>
          </w:p>
        </w:tc>
        <w:tc>
          <w:tcPr>
            <w:tcW w:w="936" w:type="dxa"/>
            <w:noWrap w:val="0"/>
            <w:vAlign w:val="top"/>
          </w:tcPr>
          <w:p w14:paraId="7BC6F7D6">
            <w:pPr>
              <w:keepNext w:val="0"/>
              <w:keepLines w:val="0"/>
              <w:suppressLineNumbers w:val="0"/>
              <w:spacing w:before="0" w:beforeAutospacing="0" w:after="0" w:afterAutospacing="0" w:line="240" w:lineRule="auto"/>
              <w:ind w:left="0" w:right="0"/>
              <w:rPr>
                <w:rFonts w:hint="eastAsia" w:ascii="宋体" w:hAnsi="宋体"/>
                <w:color w:val="000000"/>
                <w:sz w:val="24"/>
                <w:highlight w:val="none"/>
              </w:rPr>
            </w:pPr>
          </w:p>
        </w:tc>
      </w:tr>
      <w:tr w14:paraId="24ED9F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8853" w:type="dxa"/>
            <w:gridSpan w:val="7"/>
            <w:noWrap w:val="0"/>
            <w:vAlign w:val="center"/>
          </w:tcPr>
          <w:p w14:paraId="0D551B0E">
            <w:pPr>
              <w:keepNext w:val="0"/>
              <w:keepLines w:val="0"/>
              <w:suppressLineNumbers w:val="0"/>
              <w:spacing w:before="0" w:beforeAutospacing="0" w:after="0" w:afterAutospacing="0" w:line="300" w:lineRule="exact"/>
              <w:ind w:left="0" w:right="0"/>
              <w:jc w:val="both"/>
              <w:rPr>
                <w:rFonts w:hint="eastAsia" w:ascii="宋体" w:hAnsi="宋体"/>
                <w:color w:val="000000"/>
                <w:sz w:val="24"/>
                <w:highlight w:val="none"/>
              </w:rPr>
            </w:pPr>
            <w:r>
              <w:rPr>
                <w:rFonts w:hint="eastAsia" w:ascii="宋体" w:hAnsi="宋体"/>
                <w:b/>
                <w:color w:val="000000"/>
                <w:sz w:val="24"/>
                <w:highlight w:val="none"/>
                <w:lang w:val="en-US" w:eastAsia="zh-CN"/>
              </w:rPr>
              <w:t>一年</w:t>
            </w:r>
            <w:r>
              <w:rPr>
                <w:rFonts w:hint="eastAsia" w:ascii="宋体" w:hAnsi="宋体"/>
                <w:b/>
                <w:color w:val="000000"/>
                <w:sz w:val="24"/>
                <w:highlight w:val="none"/>
              </w:rPr>
              <w:t>投标报价：</w:t>
            </w:r>
            <w:r>
              <w:rPr>
                <w:rFonts w:hint="eastAsia" w:ascii="宋体" w:hAnsi="宋体"/>
                <w:b/>
                <w:color w:val="000000"/>
                <w:sz w:val="24"/>
                <w:highlight w:val="none"/>
                <w:u w:val="single"/>
              </w:rPr>
              <w:t xml:space="preserve">         </w:t>
            </w:r>
            <w:r>
              <w:rPr>
                <w:rFonts w:hint="eastAsia" w:ascii="宋体" w:hAnsi="宋体"/>
                <w:b/>
                <w:color w:val="000000"/>
                <w:sz w:val="24"/>
                <w:highlight w:val="none"/>
              </w:rPr>
              <w:t>元</w:t>
            </w:r>
          </w:p>
        </w:tc>
      </w:tr>
    </w:tbl>
    <w:p w14:paraId="282EA0E3">
      <w:pPr>
        <w:ind w:firstLine="420" w:firstLineChars="200"/>
        <w:jc w:val="left"/>
        <w:rPr>
          <w:rFonts w:hint="eastAsia" w:ascii="宋体" w:hAnsi="宋体" w:eastAsia="宋体" w:cs="宋体"/>
          <w:highlight w:val="none"/>
          <w:lang w:val="zh-CN"/>
        </w:rPr>
      </w:pPr>
    </w:p>
    <w:p w14:paraId="35E00E5F">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注：1.所有投标只能选择一种方案，单价和合价的报价只能是唯一，且须列出详细的分项报价。</w:t>
      </w:r>
    </w:p>
    <w:p w14:paraId="5EC10B1E">
      <w:pPr>
        <w:keepNext w:val="0"/>
        <w:keepLines w:val="0"/>
        <w:pageBreakBefore w:val="0"/>
        <w:widowControl w:val="0"/>
        <w:kinsoku/>
        <w:wordWrap/>
        <w:overflowPunct/>
        <w:topLinePunct w:val="0"/>
        <w:autoSpaceDE/>
        <w:autoSpaceDN/>
        <w:bidi w:val="0"/>
        <w:adjustRightInd/>
        <w:snapToGrid/>
        <w:spacing w:line="340" w:lineRule="exact"/>
        <w:ind w:left="420" w:leftChars="200"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lang w:val="zh-CN"/>
        </w:rPr>
        <w:t>投标报价包括完成招标文件和采购配置清单要求的所有服务内容所包含的一切应有费用。</w:t>
      </w:r>
      <w:r>
        <w:rPr>
          <w:rFonts w:hint="eastAsia" w:ascii="宋体" w:hAnsi="宋体" w:eastAsia="宋体" w:cs="宋体"/>
          <w:color w:val="000000"/>
          <w:szCs w:val="21"/>
          <w:highlight w:val="none"/>
          <w:lang w:val="en-US" w:eastAsia="zh-CN"/>
        </w:rPr>
        <w:t>投标报</w:t>
      </w:r>
      <w:r>
        <w:rPr>
          <w:rFonts w:hint="eastAsia" w:ascii="宋体" w:hAnsi="宋体" w:eastAsia="宋体" w:cs="宋体"/>
          <w:color w:val="000000"/>
          <w:szCs w:val="21"/>
          <w:highlight w:val="none"/>
          <w:lang w:val="zh-CN"/>
        </w:rPr>
        <w:t>价今后将不作任何调整。</w:t>
      </w:r>
    </w:p>
    <w:p w14:paraId="71518E8E">
      <w:pPr>
        <w:keepNext w:val="0"/>
        <w:keepLines w:val="0"/>
        <w:pageBreakBefore w:val="0"/>
        <w:widowControl w:val="0"/>
        <w:kinsoku/>
        <w:wordWrap/>
        <w:overflowPunct/>
        <w:topLinePunct w:val="0"/>
        <w:autoSpaceDE/>
        <w:autoSpaceDN/>
        <w:bidi w:val="0"/>
        <w:adjustRightInd/>
        <w:snapToGrid/>
        <w:spacing w:line="340" w:lineRule="exact"/>
        <w:ind w:left="420" w:leftChars="200"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w:t>
      </w:r>
      <w:r>
        <w:rPr>
          <w:rFonts w:hint="default" w:ascii="宋体" w:hAnsi="宋体" w:eastAsia="宋体" w:cs="宋体"/>
          <w:color w:val="000000"/>
          <w:szCs w:val="21"/>
          <w:highlight w:val="none"/>
          <w:lang w:val="en-US" w:eastAsia="zh-CN"/>
        </w:rPr>
        <w:t>以上工作量仅供参考，实际工作量以</w:t>
      </w:r>
      <w:r>
        <w:rPr>
          <w:rFonts w:hint="eastAsia" w:ascii="宋体" w:hAnsi="宋体" w:eastAsia="宋体" w:cs="宋体"/>
          <w:color w:val="000000"/>
          <w:szCs w:val="21"/>
          <w:highlight w:val="none"/>
          <w:lang w:val="en-US" w:eastAsia="zh-CN"/>
        </w:rPr>
        <w:t>中标人</w:t>
      </w:r>
      <w:r>
        <w:rPr>
          <w:rFonts w:hint="default" w:ascii="宋体" w:hAnsi="宋体" w:eastAsia="宋体" w:cs="宋体"/>
          <w:color w:val="000000"/>
          <w:szCs w:val="21"/>
          <w:highlight w:val="none"/>
          <w:lang w:val="en-US" w:eastAsia="zh-CN"/>
        </w:rPr>
        <w:t>现场勘测为准，本项目计价方式为固定总价方式，除非合同规定可以进行调整外，合同价款不进行调整</w:t>
      </w:r>
      <w:r>
        <w:rPr>
          <w:rFonts w:hint="eastAsia" w:ascii="宋体" w:hAnsi="宋体" w:eastAsia="宋体" w:cs="宋体"/>
          <w:color w:val="000000"/>
          <w:szCs w:val="21"/>
          <w:highlight w:val="none"/>
          <w:lang w:val="en-US" w:eastAsia="zh-CN"/>
        </w:rPr>
        <w:t>。</w:t>
      </w:r>
    </w:p>
    <w:p w14:paraId="496D978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p>
    <w:p w14:paraId="477477B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p>
    <w:p w14:paraId="5E1A3B0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741C74E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14:paraId="12B0EEF7">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b/>
          <w:bCs w:val="0"/>
          <w:sz w:val="32"/>
          <w:szCs w:val="32"/>
          <w:highlight w:val="none"/>
          <w:lang w:eastAsia="zh-CN"/>
        </w:rPr>
      </w:pPr>
      <w:r>
        <w:rPr>
          <w:rFonts w:hint="eastAsia" w:ascii="宋体"/>
          <w:color w:val="000000"/>
          <w:sz w:val="24"/>
          <w:highlight w:val="none"/>
          <w:lang w:val="en-US" w:eastAsia="zh-CN"/>
        </w:rPr>
        <w:t xml:space="preserve">                         </w:t>
      </w: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3BEC8C9C">
      <w:pPr>
        <w:rPr>
          <w:b/>
          <w:bCs w:val="0"/>
          <w:sz w:val="32"/>
          <w:szCs w:val="32"/>
          <w:highlight w:val="none"/>
          <w:lang w:eastAsia="zh-CN"/>
        </w:rPr>
      </w:pPr>
      <w:r>
        <w:rPr>
          <w:b/>
          <w:bCs w:val="0"/>
          <w:sz w:val="32"/>
          <w:szCs w:val="32"/>
          <w:highlight w:val="none"/>
          <w:lang w:eastAsia="zh-CN"/>
        </w:rPr>
        <w:br w:type="page"/>
      </w:r>
    </w:p>
    <w:p w14:paraId="5992FE08">
      <w:pPr>
        <w:pStyle w:val="21"/>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2"/>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滁州轨道运营防雷检测项目（2026年-2028年）</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联系电话：0550-3352128</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2026年8月31日</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6"/>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880" w:firstLineChars="2100"/>
              <w:jc w:val="both"/>
              <w:rPr>
                <w:rFonts w:hint="default"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2026年8月31日</w:t>
            </w:r>
          </w:p>
        </w:tc>
      </w:tr>
    </w:tbl>
    <w:p w14:paraId="729C3CD1">
      <w:pPr>
        <w:rPr>
          <w:highlight w:val="none"/>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新宋体">
    <w:panose1 w:val="02010609030101010101"/>
    <w:charset w:val="86"/>
    <w:family w:val="modern"/>
    <w:pitch w:val="default"/>
    <w:sig w:usb0="00000283" w:usb1="288F0000" w:usb2="0000000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BC19E">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E6094">
                          <w:pPr>
                            <w:pStyle w:val="1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4EE6094">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14BE6">
                          <w:pPr>
                            <w:pStyle w:val="17"/>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414BE6">
                    <w:pPr>
                      <w:pStyle w:val="1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BB9D5">
    <w:pPr>
      <w:pStyle w:val="1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4D443">
                          <w:pPr>
                            <w:pStyle w:val="1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C04D443">
                    <w:pPr>
                      <w:pStyle w:val="1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1D2EDB"/>
    <w:multiLevelType w:val="singleLevel"/>
    <w:tmpl w:val="CA1D2EDB"/>
    <w:lvl w:ilvl="0" w:tentative="0">
      <w:start w:val="3"/>
      <w:numFmt w:val="decimal"/>
      <w:suff w:val="nothing"/>
      <w:lvlText w:val="（%1）"/>
      <w:lvlJc w:val="left"/>
    </w:lvl>
  </w:abstractNum>
  <w:abstractNum w:abstractNumId="1">
    <w:nsid w:val="723CAB90"/>
    <w:multiLevelType w:val="singleLevel"/>
    <w:tmpl w:val="723CAB90"/>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594A2C"/>
    <w:rsid w:val="01D118B5"/>
    <w:rsid w:val="01E872A1"/>
    <w:rsid w:val="049562D1"/>
    <w:rsid w:val="04D87694"/>
    <w:rsid w:val="06D54ED0"/>
    <w:rsid w:val="09890C55"/>
    <w:rsid w:val="0AFF501E"/>
    <w:rsid w:val="0CEF01A1"/>
    <w:rsid w:val="0EBB3464"/>
    <w:rsid w:val="0F5A3543"/>
    <w:rsid w:val="102F2289"/>
    <w:rsid w:val="11273F56"/>
    <w:rsid w:val="12431559"/>
    <w:rsid w:val="14102AD3"/>
    <w:rsid w:val="14334ED5"/>
    <w:rsid w:val="162403C8"/>
    <w:rsid w:val="165958AD"/>
    <w:rsid w:val="1A2A2D40"/>
    <w:rsid w:val="1A2C0203"/>
    <w:rsid w:val="1AFF1DF1"/>
    <w:rsid w:val="1B0B6A26"/>
    <w:rsid w:val="1B56742D"/>
    <w:rsid w:val="1BB70584"/>
    <w:rsid w:val="1BE83977"/>
    <w:rsid w:val="1C3B2D08"/>
    <w:rsid w:val="1DD7722D"/>
    <w:rsid w:val="1E452429"/>
    <w:rsid w:val="1E474369"/>
    <w:rsid w:val="1F735CA9"/>
    <w:rsid w:val="1FBE5586"/>
    <w:rsid w:val="2035457B"/>
    <w:rsid w:val="204506D8"/>
    <w:rsid w:val="208257F5"/>
    <w:rsid w:val="20F63292"/>
    <w:rsid w:val="21391D2B"/>
    <w:rsid w:val="21FC6157"/>
    <w:rsid w:val="222D5B93"/>
    <w:rsid w:val="223E0729"/>
    <w:rsid w:val="2309025E"/>
    <w:rsid w:val="2375762F"/>
    <w:rsid w:val="245A7DC1"/>
    <w:rsid w:val="24B5742F"/>
    <w:rsid w:val="261D1FBA"/>
    <w:rsid w:val="27427F5F"/>
    <w:rsid w:val="287E4991"/>
    <w:rsid w:val="2913597A"/>
    <w:rsid w:val="2B1C3A9D"/>
    <w:rsid w:val="2E391725"/>
    <w:rsid w:val="2E4F3B7D"/>
    <w:rsid w:val="2FCD40B5"/>
    <w:rsid w:val="317C4F4A"/>
    <w:rsid w:val="34084577"/>
    <w:rsid w:val="34EB7E53"/>
    <w:rsid w:val="35E820B0"/>
    <w:rsid w:val="379A4E56"/>
    <w:rsid w:val="39112D5D"/>
    <w:rsid w:val="39B406D0"/>
    <w:rsid w:val="3CE35A45"/>
    <w:rsid w:val="3D7F110E"/>
    <w:rsid w:val="3D8B68BD"/>
    <w:rsid w:val="40585B1F"/>
    <w:rsid w:val="40F576ED"/>
    <w:rsid w:val="410F6604"/>
    <w:rsid w:val="41894B50"/>
    <w:rsid w:val="41C76417"/>
    <w:rsid w:val="42AB7679"/>
    <w:rsid w:val="43AD2061"/>
    <w:rsid w:val="440F4D94"/>
    <w:rsid w:val="44121234"/>
    <w:rsid w:val="441E56D1"/>
    <w:rsid w:val="446B4F0C"/>
    <w:rsid w:val="465E7FDB"/>
    <w:rsid w:val="465F1147"/>
    <w:rsid w:val="46623AC8"/>
    <w:rsid w:val="47094360"/>
    <w:rsid w:val="478236BD"/>
    <w:rsid w:val="47DC16A5"/>
    <w:rsid w:val="48BC5937"/>
    <w:rsid w:val="49560276"/>
    <w:rsid w:val="49DB1F4F"/>
    <w:rsid w:val="4A1F1E57"/>
    <w:rsid w:val="4B8A2C90"/>
    <w:rsid w:val="4C3857CB"/>
    <w:rsid w:val="4D072573"/>
    <w:rsid w:val="4E3E1D97"/>
    <w:rsid w:val="4F522371"/>
    <w:rsid w:val="4FA422F6"/>
    <w:rsid w:val="510E11AC"/>
    <w:rsid w:val="51E52696"/>
    <w:rsid w:val="523409D2"/>
    <w:rsid w:val="53BF4A89"/>
    <w:rsid w:val="55175733"/>
    <w:rsid w:val="5523352E"/>
    <w:rsid w:val="55851320"/>
    <w:rsid w:val="577B334F"/>
    <w:rsid w:val="59C04B5B"/>
    <w:rsid w:val="5AB972A9"/>
    <w:rsid w:val="5AC41FE9"/>
    <w:rsid w:val="5D13683D"/>
    <w:rsid w:val="5D2B5019"/>
    <w:rsid w:val="5D7002D3"/>
    <w:rsid w:val="604D11B9"/>
    <w:rsid w:val="60A16C23"/>
    <w:rsid w:val="62C47C43"/>
    <w:rsid w:val="63883E5B"/>
    <w:rsid w:val="6509245E"/>
    <w:rsid w:val="66527E86"/>
    <w:rsid w:val="668A652A"/>
    <w:rsid w:val="68EE40FC"/>
    <w:rsid w:val="69954A88"/>
    <w:rsid w:val="69E73AC8"/>
    <w:rsid w:val="6A577A5F"/>
    <w:rsid w:val="6D80747E"/>
    <w:rsid w:val="6EA934B6"/>
    <w:rsid w:val="6F975F07"/>
    <w:rsid w:val="706E041E"/>
    <w:rsid w:val="712A4741"/>
    <w:rsid w:val="72023811"/>
    <w:rsid w:val="74D1029E"/>
    <w:rsid w:val="75843174"/>
    <w:rsid w:val="76B7003F"/>
    <w:rsid w:val="773F7634"/>
    <w:rsid w:val="77E03419"/>
    <w:rsid w:val="78315E04"/>
    <w:rsid w:val="78A7237F"/>
    <w:rsid w:val="78B2187B"/>
    <w:rsid w:val="79757E4E"/>
    <w:rsid w:val="7A2A6204"/>
    <w:rsid w:val="7AF5326F"/>
    <w:rsid w:val="7C95557C"/>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61"/>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4">
    <w:name w:val="Default Paragraph Font"/>
    <w:semiHidden/>
    <w:qFormat/>
    <w:uiPriority w:val="0"/>
  </w:style>
  <w:style w:type="table" w:default="1" w:styleId="2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3">
    <w:name w:val="toc 7"/>
    <w:basedOn w:val="1"/>
    <w:next w:val="1"/>
    <w:qFormat/>
    <w:uiPriority w:val="39"/>
    <w:pPr>
      <w:ind w:left="1260"/>
      <w:jc w:val="left"/>
    </w:pPr>
    <w:rPr>
      <w:sz w:val="18"/>
      <w:szCs w:val="18"/>
    </w:rPr>
  </w:style>
  <w:style w:type="paragraph" w:styleId="4">
    <w:name w:val="table of authorities"/>
    <w:basedOn w:val="1"/>
    <w:next w:val="1"/>
    <w:unhideWhenUsed/>
    <w:qFormat/>
    <w:uiPriority w:val="0"/>
    <w:pPr>
      <w:ind w:left="420" w:leftChars="200"/>
    </w:p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9"/>
    <w:link w:val="4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40"/>
    <w:qFormat/>
    <w:uiPriority w:val="0"/>
    <w:pPr>
      <w:spacing w:after="120" w:afterLines="0" w:afterAutospacing="0"/>
      <w:ind w:left="420" w:leftChars="200"/>
    </w:pPr>
  </w:style>
  <w:style w:type="paragraph" w:customStyle="1" w:styleId="8">
    <w:name w:val="正文文字 8"/>
    <w:basedOn w:val="1"/>
    <w:next w:val="1"/>
    <w:qFormat/>
    <w:uiPriority w:val="0"/>
    <w:pPr>
      <w:ind w:left="240"/>
    </w:pPr>
    <w:rPr>
      <w:sz w:val="16"/>
    </w:rPr>
  </w:style>
  <w:style w:type="paragraph" w:styleId="9">
    <w:name w:val="Body Text First Indent"/>
    <w:basedOn w:val="10"/>
    <w:qFormat/>
    <w:uiPriority w:val="0"/>
    <w:pPr>
      <w:adjustRightInd/>
      <w:spacing w:after="120" w:line="240" w:lineRule="auto"/>
      <w:ind w:firstLine="420" w:firstLineChars="100"/>
      <w:jc w:val="both"/>
    </w:pPr>
  </w:style>
  <w:style w:type="paragraph" w:styleId="10">
    <w:name w:val="Body Text"/>
    <w:basedOn w:val="1"/>
    <w:qFormat/>
    <w:uiPriority w:val="0"/>
    <w:pPr>
      <w:widowControl w:val="0"/>
      <w:snapToGrid w:val="0"/>
      <w:spacing w:line="360" w:lineRule="auto"/>
    </w:pPr>
    <w:rPr>
      <w:rFonts w:ascii="Arial" w:hAnsi="Arial" w:eastAsia="仿宋_GB2312"/>
      <w:sz w:val="31"/>
    </w:rPr>
  </w:style>
  <w:style w:type="paragraph" w:styleId="11">
    <w:name w:val="Document Map"/>
    <w:basedOn w:val="1"/>
    <w:next w:val="1"/>
    <w:semiHidden/>
    <w:qFormat/>
    <w:uiPriority w:val="0"/>
    <w:pPr>
      <w:shd w:val="clear" w:color="auto" w:fill="000080"/>
    </w:pPr>
  </w:style>
  <w:style w:type="paragraph" w:styleId="12">
    <w:name w:val="annotation text"/>
    <w:basedOn w:val="1"/>
    <w:qFormat/>
    <w:uiPriority w:val="0"/>
    <w:pPr>
      <w:jc w:val="left"/>
    </w:pPr>
  </w:style>
  <w:style w:type="paragraph" w:styleId="13">
    <w:name w:val="Body Text 3"/>
    <w:basedOn w:val="1"/>
    <w:qFormat/>
    <w:uiPriority w:val="0"/>
    <w:rPr>
      <w:rFonts w:ascii="宋体" w:hAnsi="Calibri" w:eastAsia="宋体" w:cs="Times New Roman"/>
      <w:sz w:val="24"/>
      <w:szCs w:val="20"/>
    </w:rPr>
  </w:style>
  <w:style w:type="paragraph" w:styleId="14">
    <w:name w:val="Plain Text"/>
    <w:basedOn w:val="1"/>
    <w:link w:val="44"/>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4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Body Text Indent 2"/>
    <w:basedOn w:val="1"/>
    <w:qFormat/>
    <w:uiPriority w:val="0"/>
    <w:pPr>
      <w:spacing w:line="360" w:lineRule="exact"/>
      <w:ind w:firstLine="600" w:firstLineChars="250"/>
      <w:jc w:val="left"/>
    </w:pPr>
    <w:rPr>
      <w:sz w:val="24"/>
    </w:rPr>
  </w:style>
  <w:style w:type="paragraph" w:styleId="17">
    <w:name w:val="footer"/>
    <w:basedOn w:val="1"/>
    <w:link w:val="45"/>
    <w:qFormat/>
    <w:uiPriority w:val="0"/>
    <w:pPr>
      <w:tabs>
        <w:tab w:val="center" w:pos="4153"/>
        <w:tab w:val="right" w:pos="8306"/>
      </w:tabs>
      <w:snapToGrid w:val="0"/>
      <w:jc w:val="left"/>
    </w:pPr>
    <w:rPr>
      <w:sz w:val="18"/>
    </w:rPr>
  </w:style>
  <w:style w:type="paragraph" w:styleId="18">
    <w:name w:val="envelope return"/>
    <w:basedOn w:val="1"/>
    <w:next w:val="3"/>
    <w:qFormat/>
    <w:uiPriority w:val="0"/>
    <w:pPr>
      <w:snapToGrid w:val="0"/>
    </w:pPr>
    <w:rPr>
      <w:rFonts w:ascii="Arial" w:hAnsi="Arial"/>
    </w:rPr>
  </w:style>
  <w:style w:type="paragraph" w:styleId="19">
    <w:name w:val="header"/>
    <w:basedOn w:val="1"/>
    <w:link w:val="4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page number"/>
    <w:basedOn w:val="24"/>
    <w:qFormat/>
    <w:uiPriority w:val="0"/>
  </w:style>
  <w:style w:type="character" w:styleId="27">
    <w:name w:val="FollowedHyperlink"/>
    <w:basedOn w:val="24"/>
    <w:qFormat/>
    <w:uiPriority w:val="0"/>
    <w:rPr>
      <w:color w:val="800080"/>
      <w:u w:val="none"/>
    </w:rPr>
  </w:style>
  <w:style w:type="character" w:styleId="28">
    <w:name w:val="Emphasis"/>
    <w:basedOn w:val="24"/>
    <w:qFormat/>
    <w:uiPriority w:val="0"/>
    <w:rPr>
      <w:b/>
      <w:bCs/>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basedOn w:val="24"/>
    <w:qFormat/>
    <w:uiPriority w:val="99"/>
    <w:rPr>
      <w:color w:val="333333"/>
      <w:u w:val="none"/>
    </w:rPr>
  </w:style>
  <w:style w:type="character" w:styleId="34">
    <w:name w:val="HTML Code"/>
    <w:basedOn w:val="24"/>
    <w:qFormat/>
    <w:uiPriority w:val="0"/>
    <w:rPr>
      <w:rFonts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character" w:customStyle="1" w:styleId="38">
    <w:name w:val="标题 2 Char"/>
    <w:basedOn w:val="24"/>
    <w:link w:val="2"/>
    <w:qFormat/>
    <w:uiPriority w:val="0"/>
    <w:rPr>
      <w:rFonts w:hint="default" w:ascii="Times New Roman" w:hAnsi="Times New Roman" w:eastAsia="宋体" w:cs="Times New Roman"/>
      <w:kern w:val="0"/>
      <w:sz w:val="24"/>
      <w:szCs w:val="24"/>
    </w:rPr>
  </w:style>
  <w:style w:type="paragraph" w:customStyle="1" w:styleId="39">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40">
    <w:name w:val="正文文本缩进 Char"/>
    <w:basedOn w:val="24"/>
    <w:link w:val="7"/>
    <w:qFormat/>
    <w:uiPriority w:val="0"/>
    <w:rPr>
      <w:rFonts w:hint="default" w:ascii="Times New Roman" w:hAnsi="Times New Roman" w:eastAsia="宋体" w:cs="Times New Roman"/>
      <w:color w:val="000000"/>
      <w:kern w:val="0"/>
      <w:szCs w:val="21"/>
      <w:u w:color="000000"/>
    </w:rPr>
  </w:style>
  <w:style w:type="character" w:customStyle="1" w:styleId="41">
    <w:name w:val="正文首行缩进 2 Char"/>
    <w:basedOn w:val="40"/>
    <w:link w:val="6"/>
    <w:qFormat/>
    <w:uiPriority w:val="0"/>
    <w:rPr>
      <w:rFonts w:hint="default" w:ascii="Times New Roman" w:hAnsi="Times New Roman" w:eastAsia="宋体" w:cs="Times New Roman"/>
      <w:color w:val="000000"/>
      <w:kern w:val="0"/>
      <w:szCs w:val="21"/>
      <w:u w:color="000000"/>
    </w:rPr>
  </w:style>
  <w:style w:type="character" w:customStyle="1" w:styleId="42">
    <w:name w:val="日期 Char"/>
    <w:basedOn w:val="24"/>
    <w:link w:val="15"/>
    <w:qFormat/>
    <w:uiPriority w:val="0"/>
    <w:rPr>
      <w:rFonts w:ascii="Arial" w:hAnsi="Arial" w:eastAsia="仿宋_GB2312" w:cs="Arial"/>
      <w:color w:val="000000"/>
      <w:sz w:val="32"/>
      <w:szCs w:val="32"/>
      <w:u w:color="000000"/>
    </w:rPr>
  </w:style>
  <w:style w:type="character" w:customStyle="1" w:styleId="43">
    <w:name w:val="页眉 Char"/>
    <w:basedOn w:val="24"/>
    <w:link w:val="19"/>
    <w:qFormat/>
    <w:uiPriority w:val="0"/>
    <w:rPr>
      <w:rFonts w:hint="default" w:ascii="Times New Roman" w:hAnsi="Times New Roman" w:eastAsia="宋体" w:cs="Times New Roman"/>
      <w:color w:val="000000"/>
      <w:kern w:val="0"/>
      <w:sz w:val="18"/>
      <w:szCs w:val="18"/>
      <w:u w:color="000000"/>
    </w:rPr>
  </w:style>
  <w:style w:type="character" w:customStyle="1" w:styleId="44">
    <w:name w:val="纯文本 Char"/>
    <w:basedOn w:val="24"/>
    <w:link w:val="14"/>
    <w:qFormat/>
    <w:uiPriority w:val="0"/>
    <w:rPr>
      <w:rFonts w:hint="eastAsia" w:ascii="宋体" w:hAnsi="宋体" w:eastAsia="宋体" w:cs="宋体"/>
      <w:szCs w:val="21"/>
    </w:rPr>
  </w:style>
  <w:style w:type="character" w:customStyle="1" w:styleId="45">
    <w:name w:val="页脚 Char"/>
    <w:basedOn w:val="24"/>
    <w:link w:val="17"/>
    <w:qFormat/>
    <w:uiPriority w:val="0"/>
    <w:rPr>
      <w:rFonts w:hint="default" w:ascii="Times New Roman" w:hAnsi="Times New Roman" w:eastAsia="宋体" w:cs="Times New Roman"/>
      <w:color w:val="000000"/>
      <w:kern w:val="0"/>
      <w:sz w:val="18"/>
      <w:szCs w:val="18"/>
      <w:u w:color="000000"/>
    </w:rPr>
  </w:style>
  <w:style w:type="paragraph" w:customStyle="1" w:styleId="46">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7">
    <w:name w:val="List Paragraph"/>
    <w:basedOn w:val="1"/>
    <w:qFormat/>
    <w:uiPriority w:val="0"/>
    <w:pPr>
      <w:widowControl w:val="0"/>
      <w:spacing w:line="240" w:lineRule="auto"/>
      <w:ind w:firstLine="200" w:firstLineChars="200"/>
      <w:textAlignment w:val="auto"/>
    </w:pPr>
    <w:rPr>
      <w:u w:val="none" w:color="000000"/>
    </w:rPr>
  </w:style>
  <w:style w:type="character" w:customStyle="1" w:styleId="48">
    <w:name w:val="NormalCharacter"/>
    <w:semiHidden/>
    <w:qFormat/>
    <w:uiPriority w:val="0"/>
  </w:style>
  <w:style w:type="paragraph" w:customStyle="1" w:styleId="49">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0">
    <w:name w:val="font51"/>
    <w:basedOn w:val="24"/>
    <w:qFormat/>
    <w:uiPriority w:val="0"/>
    <w:rPr>
      <w:rFonts w:hint="eastAsia" w:ascii="宋体" w:hAnsi="宋体" w:eastAsia="宋体" w:cs="宋体"/>
      <w:color w:val="000000"/>
      <w:sz w:val="22"/>
      <w:szCs w:val="22"/>
      <w:u w:val="none"/>
    </w:rPr>
  </w:style>
  <w:style w:type="character" w:customStyle="1" w:styleId="51">
    <w:name w:val="font31"/>
    <w:basedOn w:val="24"/>
    <w:qFormat/>
    <w:uiPriority w:val="0"/>
    <w:rPr>
      <w:rFonts w:hint="default" w:ascii="Times New Roman" w:hAnsi="Times New Roman" w:cs="Times New Roman"/>
      <w:color w:val="000000"/>
      <w:sz w:val="22"/>
      <w:szCs w:val="22"/>
      <w:u w:val="none"/>
    </w:rPr>
  </w:style>
  <w:style w:type="character" w:customStyle="1" w:styleId="52">
    <w:name w:val="font61"/>
    <w:basedOn w:val="24"/>
    <w:qFormat/>
    <w:uiPriority w:val="0"/>
    <w:rPr>
      <w:rFonts w:hint="default" w:ascii="Times New Roman" w:hAnsi="Times New Roman" w:cs="Times New Roman"/>
      <w:color w:val="000000"/>
      <w:sz w:val="21"/>
      <w:szCs w:val="21"/>
      <w:u w:val="none"/>
    </w:rPr>
  </w:style>
  <w:style w:type="character" w:customStyle="1" w:styleId="53">
    <w:name w:val="font71"/>
    <w:basedOn w:val="24"/>
    <w:qFormat/>
    <w:uiPriority w:val="0"/>
    <w:rPr>
      <w:rFonts w:hint="eastAsia" w:ascii="宋体" w:hAnsi="宋体" w:eastAsia="宋体" w:cs="宋体"/>
      <w:color w:val="000000"/>
      <w:sz w:val="21"/>
      <w:szCs w:val="21"/>
      <w:u w:val="none"/>
    </w:rPr>
  </w:style>
  <w:style w:type="character" w:customStyle="1" w:styleId="54">
    <w:name w:val="font01"/>
    <w:basedOn w:val="24"/>
    <w:qFormat/>
    <w:uiPriority w:val="0"/>
    <w:rPr>
      <w:rFonts w:hint="eastAsia" w:ascii="宋体" w:hAnsi="宋体" w:eastAsia="宋体" w:cs="宋体"/>
      <w:color w:val="000000"/>
      <w:sz w:val="22"/>
      <w:szCs w:val="22"/>
      <w:u w:val="none"/>
    </w:rPr>
  </w:style>
  <w:style w:type="character" w:customStyle="1" w:styleId="55">
    <w:name w:val="font11"/>
    <w:basedOn w:val="24"/>
    <w:qFormat/>
    <w:uiPriority w:val="0"/>
    <w:rPr>
      <w:rFonts w:hint="eastAsia" w:ascii="宋体" w:hAnsi="宋体" w:eastAsia="宋体" w:cs="宋体"/>
      <w:color w:val="000000"/>
      <w:sz w:val="21"/>
      <w:szCs w:val="21"/>
      <w:u w:val="none"/>
    </w:rPr>
  </w:style>
  <w:style w:type="character" w:customStyle="1" w:styleId="56">
    <w:name w:val="font41"/>
    <w:basedOn w:val="24"/>
    <w:qFormat/>
    <w:uiPriority w:val="0"/>
    <w:rPr>
      <w:rFonts w:hint="default" w:ascii="Times New Roman" w:hAnsi="Times New Roman" w:cs="Times New Roman"/>
      <w:color w:val="000000"/>
      <w:sz w:val="22"/>
      <w:szCs w:val="22"/>
      <w:u w:val="none"/>
    </w:rPr>
  </w:style>
  <w:style w:type="paragraph" w:customStyle="1" w:styleId="57">
    <w:name w:val="二级标题"/>
    <w:basedOn w:val="1"/>
    <w:next w:val="1"/>
    <w:qFormat/>
    <w:uiPriority w:val="0"/>
    <w:rPr>
      <w:rFonts w:hint="eastAsia" w:eastAsia="楷体"/>
    </w:rPr>
  </w:style>
  <w:style w:type="paragraph" w:customStyle="1" w:styleId="58">
    <w:name w:val="正文 New"/>
    <w:next w:val="59"/>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59">
    <w:name w:val="正文缩进1"/>
    <w:basedOn w:val="1"/>
    <w:next w:val="11"/>
    <w:qFormat/>
    <w:uiPriority w:val="0"/>
    <w:pPr>
      <w:widowControl w:val="0"/>
      <w:autoSpaceDE/>
      <w:autoSpaceDN/>
      <w:spacing w:before="0" w:after="0" w:line="360" w:lineRule="atLeast"/>
      <w:ind w:left="0" w:firstLine="482"/>
      <w:jc w:val="both"/>
    </w:pPr>
    <w:rPr>
      <w:rFonts w:ascii="Times New Roman" w:eastAsia="宋体"/>
      <w:sz w:val="24"/>
    </w:rPr>
  </w:style>
  <w:style w:type="paragraph" w:customStyle="1" w:styleId="60">
    <w:name w:val="Table Paragraph"/>
    <w:basedOn w:val="1"/>
    <w:qFormat/>
    <w:uiPriority w:val="0"/>
    <w:pPr>
      <w:autoSpaceDE w:val="0"/>
      <w:autoSpaceDN w:val="0"/>
      <w:jc w:val="left"/>
    </w:pPr>
    <w:rPr>
      <w:rFonts w:ascii="宋体" w:hAnsi="宋体" w:cs="宋体"/>
      <w:kern w:val="0"/>
      <w:sz w:val="22"/>
      <w:szCs w:val="22"/>
      <w:lang w:val="zh-CN"/>
    </w:rPr>
  </w:style>
  <w:style w:type="character" w:customStyle="1" w:styleId="61">
    <w:name w:val="标题 2 Char2"/>
    <w:link w:val="2"/>
    <w:qFormat/>
    <w:uiPriority w:val="0"/>
    <w:rPr>
      <w:rFonts w:ascii="Arial" w:hAnsi="Arial" w:eastAsia="黑体"/>
      <w:b/>
      <w:bCs/>
      <w:kern w:val="2"/>
      <w:sz w:val="21"/>
      <w:szCs w:val="32"/>
      <w:lang w:val="en-US" w:eastAsia="zh-CN" w:bidi="ar-SA"/>
    </w:rPr>
  </w:style>
  <w:style w:type="paragraph" w:customStyle="1" w:styleId="62">
    <w:name w:val="样式 WG标题3 + 行距: 固定值 18 磅"/>
    <w:basedOn w:val="1"/>
    <w:qFormat/>
    <w:uiPriority w:val="0"/>
    <w:pPr>
      <w:autoSpaceDE w:val="0"/>
      <w:autoSpaceDN w:val="0"/>
      <w:adjustRightInd w:val="0"/>
      <w:spacing w:line="360" w:lineRule="exact"/>
      <w:ind w:firstLine="200" w:firstLineChars="200"/>
      <w:textAlignment w:val="baseline"/>
      <w:outlineLvl w:val="2"/>
    </w:pPr>
    <w:rPr>
      <w:rFonts w:cs="宋体"/>
      <w:b/>
      <w:bCs/>
      <w:color w:val="000000"/>
      <w:kern w:val="20"/>
      <w:sz w:val="24"/>
      <w:szCs w:val="20"/>
    </w:rPr>
  </w:style>
  <w:style w:type="paragraph" w:customStyle="1" w:styleId="63">
    <w:name w:val="正文缩进11"/>
    <w:basedOn w:val="1"/>
    <w:qFormat/>
    <w:uiPriority w:val="0"/>
    <w:pPr>
      <w:ind w:firstLine="420"/>
    </w:pPr>
    <w:rPr>
      <w:b/>
      <w:sz w:val="24"/>
      <w:szCs w:val="20"/>
    </w:rPr>
  </w:style>
  <w:style w:type="character" w:customStyle="1" w:styleId="64">
    <w:name w:val="mini-outputtext1"/>
    <w:basedOn w:val="24"/>
    <w:qFormat/>
    <w:uiPriority w:val="0"/>
  </w:style>
  <w:style w:type="character" w:customStyle="1" w:styleId="65">
    <w:name w:val="status"/>
    <w:basedOn w:val="24"/>
    <w:qFormat/>
    <w:uiPriority w:val="0"/>
    <w:rPr>
      <w:color w:val="0776DD"/>
    </w:rPr>
  </w:style>
  <w:style w:type="character" w:customStyle="1" w:styleId="66">
    <w:name w:val="time"/>
    <w:basedOn w:val="24"/>
    <w:qFormat/>
    <w:uiPriority w:val="0"/>
  </w:style>
  <w:style w:type="paragraph" w:customStyle="1" w:styleId="67">
    <w:name w:val="二级无"/>
    <w:basedOn w:val="68"/>
    <w:qFormat/>
    <w:uiPriority w:val="0"/>
    <w:pPr>
      <w:tabs>
        <w:tab w:val="left" w:pos="1620"/>
        <w:tab w:val="left" w:pos="1680"/>
        <w:tab w:val="left" w:pos="2100"/>
        <w:tab w:val="left" w:pos="2880"/>
      </w:tabs>
      <w:spacing w:before="0" w:after="0"/>
    </w:pPr>
    <w:rPr>
      <w:rFonts w:ascii="宋体" w:eastAsia="宋体"/>
    </w:rPr>
  </w:style>
  <w:style w:type="paragraph" w:customStyle="1" w:styleId="68">
    <w:name w:val="二级条标题"/>
    <w:basedOn w:val="69"/>
    <w:next w:val="71"/>
    <w:qFormat/>
    <w:uiPriority w:val="0"/>
    <w:pPr>
      <w:tabs>
        <w:tab w:val="left" w:pos="1620"/>
        <w:tab w:val="left" w:pos="1680"/>
        <w:tab w:val="left" w:pos="2100"/>
        <w:tab w:val="left" w:pos="2880"/>
      </w:tabs>
      <w:ind w:left="2100"/>
      <w:outlineLvl w:val="3"/>
    </w:pPr>
  </w:style>
  <w:style w:type="paragraph" w:customStyle="1" w:styleId="69">
    <w:name w:val="一级条标题"/>
    <w:basedOn w:val="70"/>
    <w:next w:val="71"/>
    <w:qFormat/>
    <w:uiPriority w:val="0"/>
    <w:pPr>
      <w:tabs>
        <w:tab w:val="left" w:pos="1620"/>
        <w:tab w:val="left" w:pos="1680"/>
      </w:tabs>
      <w:spacing w:beforeLines="0" w:afterLines="0"/>
      <w:ind w:left="1680" w:hanging="420"/>
      <w:outlineLvl w:val="2"/>
    </w:pPr>
  </w:style>
  <w:style w:type="paragraph" w:customStyle="1" w:styleId="70">
    <w:name w:val="章标题"/>
    <w:next w:val="71"/>
    <w:qFormat/>
    <w:uiPriority w:val="0"/>
    <w:pPr>
      <w:spacing w:beforeLines="50" w:afterLines="50"/>
      <w:outlineLvl w:val="1"/>
    </w:pPr>
    <w:rPr>
      <w:rFonts w:ascii="黑体" w:hAnsi="Calibri" w:eastAsia="黑体" w:cs="Times New Roman"/>
      <w:sz w:val="24"/>
      <w:szCs w:val="22"/>
      <w:lang w:val="en-US" w:eastAsia="zh-CN" w:bidi="ar-SA"/>
    </w:rPr>
  </w:style>
  <w:style w:type="paragraph" w:customStyle="1" w:styleId="7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14844</Words>
  <Characters>16975</Characters>
  <Lines>0</Lines>
  <Paragraphs>0</Paragraphs>
  <TotalTime>241</TotalTime>
  <ScaleCrop>false</ScaleCrop>
  <LinksUpToDate>false</LinksUpToDate>
  <CharactersWithSpaces>17411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2026-08-31T10:36:29Z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6D1ABF3A94DC4F948B7D98C560C5F0ED_13</vt:lpwstr>
  </property>
  <property fmtid="{D5CDD505-2E9C-101B-9397-08002B2CF9AE}" pid="4" name="KSOTemplateDocerSaveRecord">
    <vt:lpwstr>eyJoZGlkIjoiMTljMDcwYWJmYjExZWQzNTVmZDAzZTYwM2JlMzJmZDYiLCJ1c2VySWQiOiIzODU2Mzk2OTQifQ==</vt:lpwstr>
  </property>
</Properties>
</file>