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4A912">
      <w:pPr>
        <w:tabs>
          <w:tab w:val="left" w:pos="315"/>
          <w:tab w:val="left" w:pos="8820"/>
        </w:tabs>
        <w:spacing w:before="240" w:beforeLines="100" w:after="120" w:afterLines="50" w:line="500" w:lineRule="exact"/>
        <w:ind w:right="267" w:rightChars="127"/>
        <w:jc w:val="center"/>
        <w:rPr>
          <w:rFonts w:ascii="宋体" w:hAnsi="宋体" w:eastAsia="宋体"/>
          <w:b/>
          <w:bCs/>
          <w:color w:val="auto"/>
          <w:sz w:val="52"/>
          <w:szCs w:val="52"/>
          <w:highlight w:val="none"/>
        </w:rPr>
      </w:pPr>
    </w:p>
    <w:p w14:paraId="1F7E222C">
      <w:pPr>
        <w:tabs>
          <w:tab w:val="left" w:pos="315"/>
          <w:tab w:val="left" w:pos="8820"/>
        </w:tabs>
        <w:spacing w:before="240" w:beforeLines="100" w:after="120" w:afterLines="50" w:line="500" w:lineRule="exact"/>
        <w:ind w:right="267" w:rightChars="127"/>
        <w:jc w:val="center"/>
        <w:rPr>
          <w:rFonts w:ascii="宋体" w:hAnsi="宋体" w:eastAsia="宋体"/>
          <w:b/>
          <w:bCs/>
          <w:color w:val="auto"/>
          <w:sz w:val="52"/>
          <w:szCs w:val="52"/>
          <w:highlight w:val="none"/>
        </w:rPr>
      </w:pPr>
    </w:p>
    <w:p w14:paraId="062F25E9">
      <w:pPr>
        <w:tabs>
          <w:tab w:val="left" w:pos="315"/>
          <w:tab w:val="left" w:pos="8820"/>
        </w:tabs>
        <w:spacing w:before="240" w:beforeLines="100" w:after="120" w:afterLines="50" w:line="500" w:lineRule="exact"/>
        <w:ind w:right="267" w:rightChars="127"/>
        <w:jc w:val="center"/>
        <w:rPr>
          <w:rFonts w:ascii="宋体" w:hAnsi="宋体" w:eastAsia="宋体"/>
          <w:b/>
          <w:bCs/>
          <w:color w:val="auto"/>
          <w:sz w:val="52"/>
          <w:szCs w:val="52"/>
          <w:highlight w:val="none"/>
        </w:rPr>
      </w:pPr>
      <w:bookmarkStart w:id="0" w:name="_Hlk9544796"/>
      <w:r>
        <w:rPr>
          <w:rFonts w:hint="eastAsia" w:ascii="宋体" w:hAnsi="宋体" w:eastAsia="宋体"/>
          <w:b/>
          <w:bCs/>
          <w:color w:val="auto"/>
          <w:sz w:val="52"/>
          <w:szCs w:val="52"/>
          <w:highlight w:val="none"/>
        </w:rPr>
        <w:t>安徽省政府采购项目</w:t>
      </w:r>
    </w:p>
    <w:p w14:paraId="428777C5">
      <w:pPr>
        <w:tabs>
          <w:tab w:val="left" w:pos="315"/>
          <w:tab w:val="left" w:pos="8820"/>
        </w:tabs>
        <w:spacing w:before="240" w:beforeLines="100" w:after="120" w:afterLines="50" w:line="500" w:lineRule="exact"/>
        <w:ind w:right="267" w:rightChars="127"/>
        <w:jc w:val="center"/>
        <w:rPr>
          <w:rFonts w:ascii="宋体" w:hAnsi="宋体" w:eastAsia="宋体"/>
          <w:b/>
          <w:bCs/>
          <w:color w:val="auto"/>
          <w:sz w:val="52"/>
          <w:szCs w:val="52"/>
          <w:highlight w:val="none"/>
        </w:rPr>
      </w:pPr>
      <w:r>
        <w:rPr>
          <w:rFonts w:hint="eastAsia" w:ascii="宋体" w:hAnsi="宋体" w:eastAsia="宋体"/>
          <w:b/>
          <w:bCs/>
          <w:color w:val="auto"/>
          <w:sz w:val="52"/>
          <w:szCs w:val="52"/>
          <w:highlight w:val="none"/>
        </w:rPr>
        <w:t>竞争性磋商文件示范文本（服务类）</w:t>
      </w:r>
    </w:p>
    <w:bookmarkEnd w:id="0"/>
    <w:p w14:paraId="3498F8BC">
      <w:pPr>
        <w:tabs>
          <w:tab w:val="left" w:pos="315"/>
          <w:tab w:val="left" w:pos="8820"/>
        </w:tabs>
        <w:spacing w:before="240" w:beforeLines="100" w:after="120" w:afterLines="50" w:line="500" w:lineRule="exact"/>
        <w:ind w:right="267" w:rightChars="127"/>
        <w:jc w:val="center"/>
        <w:rPr>
          <w:rFonts w:ascii="宋体" w:hAnsi="宋体" w:eastAsia="宋体"/>
          <w:bCs/>
          <w:color w:val="auto"/>
          <w:sz w:val="44"/>
          <w:szCs w:val="44"/>
          <w:highlight w:val="none"/>
        </w:rPr>
      </w:pPr>
      <w:r>
        <w:rPr>
          <w:rFonts w:hint="eastAsia" w:ascii="宋体" w:hAnsi="宋体" w:eastAsia="宋体"/>
          <w:b/>
          <w:bCs/>
          <w:color w:val="auto"/>
          <w:sz w:val="52"/>
          <w:szCs w:val="52"/>
          <w:highlight w:val="none"/>
        </w:rPr>
        <w:t>（2024版）</w:t>
      </w:r>
    </w:p>
    <w:p w14:paraId="2A8DE88E">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highlight w:val="none"/>
        </w:rPr>
      </w:pPr>
    </w:p>
    <w:p w14:paraId="0FF8D74D">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highlight w:val="none"/>
        </w:rPr>
      </w:pPr>
    </w:p>
    <w:p w14:paraId="17336E63">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highlight w:val="none"/>
        </w:rPr>
      </w:pPr>
    </w:p>
    <w:p w14:paraId="5EF991CA">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highlight w:val="none"/>
        </w:rPr>
      </w:pPr>
    </w:p>
    <w:p w14:paraId="3D7B6E48">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highlight w:val="none"/>
        </w:rPr>
      </w:pPr>
    </w:p>
    <w:p w14:paraId="55BCE79B">
      <w:pPr>
        <w:tabs>
          <w:tab w:val="left" w:pos="2410"/>
        </w:tabs>
        <w:autoSpaceDE w:val="0"/>
        <w:autoSpaceDN w:val="0"/>
        <w:adjustRightInd w:val="0"/>
        <w:snapToGrid w:val="0"/>
        <w:spacing w:line="360" w:lineRule="auto"/>
        <w:ind w:left="2244" w:leftChars="304" w:hanging="1606" w:hangingChars="500"/>
        <w:rPr>
          <w:rFonts w:ascii="宋体" w:hAnsi="宋体" w:eastAsia="宋体"/>
          <w:b/>
          <w:color w:val="auto"/>
          <w:kern w:val="0"/>
          <w:sz w:val="32"/>
          <w:szCs w:val="32"/>
          <w:highlight w:val="none"/>
        </w:rPr>
      </w:pPr>
    </w:p>
    <w:p w14:paraId="3AEBB0A4">
      <w:pPr>
        <w:tabs>
          <w:tab w:val="left" w:pos="2410"/>
        </w:tabs>
        <w:autoSpaceDE w:val="0"/>
        <w:autoSpaceDN w:val="0"/>
        <w:adjustRightInd w:val="0"/>
        <w:snapToGrid w:val="0"/>
        <w:spacing w:line="360" w:lineRule="auto"/>
        <w:ind w:left="2244" w:leftChars="304" w:hanging="1606" w:hangingChars="500"/>
        <w:rPr>
          <w:rFonts w:ascii="宋体" w:hAnsi="宋体" w:eastAsia="宋体"/>
          <w:b/>
          <w:color w:val="auto"/>
          <w:kern w:val="0"/>
          <w:sz w:val="32"/>
          <w:szCs w:val="32"/>
          <w:highlight w:val="none"/>
        </w:rPr>
      </w:pPr>
    </w:p>
    <w:p w14:paraId="55CADC82">
      <w:pPr>
        <w:tabs>
          <w:tab w:val="left" w:pos="2410"/>
        </w:tabs>
        <w:autoSpaceDE w:val="0"/>
        <w:autoSpaceDN w:val="0"/>
        <w:adjustRightInd w:val="0"/>
        <w:snapToGrid w:val="0"/>
        <w:spacing w:line="360" w:lineRule="auto"/>
        <w:ind w:left="2244" w:leftChars="304" w:hanging="1606" w:hangingChars="500"/>
        <w:rPr>
          <w:rFonts w:hint="eastAsia" w:ascii="宋体" w:hAnsi="宋体" w:eastAsia="宋体"/>
          <w:b/>
          <w:color w:val="auto"/>
          <w:kern w:val="0"/>
          <w:sz w:val="32"/>
          <w:szCs w:val="32"/>
          <w:highlight w:val="none"/>
          <w:lang w:eastAsia="zh-CN"/>
        </w:rPr>
      </w:pPr>
      <w:r>
        <w:rPr>
          <w:rFonts w:hint="eastAsia" w:ascii="宋体" w:hAnsi="宋体" w:eastAsia="宋体"/>
          <w:b/>
          <w:color w:val="auto"/>
          <w:kern w:val="0"/>
          <w:sz w:val="32"/>
          <w:szCs w:val="32"/>
          <w:highlight w:val="none"/>
        </w:rPr>
        <w:t>项目名称：</w:t>
      </w:r>
      <w:r>
        <w:rPr>
          <w:rFonts w:hint="eastAsia" w:ascii="宋体" w:hAnsi="宋体" w:eastAsia="宋体"/>
          <w:b/>
          <w:color w:val="auto"/>
          <w:kern w:val="0"/>
          <w:sz w:val="32"/>
          <w:szCs w:val="32"/>
          <w:highlight w:val="none"/>
          <w:u w:val="single"/>
          <w:lang w:eastAsia="zh-CN"/>
        </w:rPr>
        <w:t>滁州职业技术学院国家职业教育精品在线课程培育建设服务项目</w:t>
      </w:r>
    </w:p>
    <w:p w14:paraId="525D07DA">
      <w:pPr>
        <w:tabs>
          <w:tab w:val="left" w:pos="2410"/>
        </w:tabs>
        <w:autoSpaceDE w:val="0"/>
        <w:autoSpaceDN w:val="0"/>
        <w:adjustRightInd w:val="0"/>
        <w:snapToGrid w:val="0"/>
        <w:spacing w:line="360" w:lineRule="auto"/>
        <w:ind w:firstLine="643" w:firstLineChars="200"/>
        <w:rPr>
          <w:rFonts w:hint="eastAsia" w:ascii="宋体" w:hAnsi="宋体" w:eastAsia="宋体"/>
          <w:b/>
          <w:color w:val="auto"/>
          <w:kern w:val="0"/>
          <w:sz w:val="32"/>
          <w:szCs w:val="32"/>
          <w:highlight w:val="none"/>
          <w:u w:val="single"/>
          <w:lang w:val="en-US" w:eastAsia="zh-CN"/>
        </w:rPr>
      </w:pPr>
      <w:r>
        <w:rPr>
          <w:rFonts w:hint="eastAsia" w:ascii="宋体" w:hAnsi="宋体" w:eastAsia="宋体"/>
          <w:b/>
          <w:color w:val="auto"/>
          <w:kern w:val="0"/>
          <w:sz w:val="32"/>
          <w:szCs w:val="32"/>
          <w:highlight w:val="none"/>
        </w:rPr>
        <w:t>项目编号：</w:t>
      </w:r>
      <w:r>
        <w:rPr>
          <w:rFonts w:hint="eastAsia" w:ascii="宋体" w:hAnsi="宋体" w:eastAsia="宋体"/>
          <w:b/>
          <w:color w:val="auto"/>
          <w:kern w:val="0"/>
          <w:sz w:val="32"/>
          <w:szCs w:val="32"/>
          <w:highlight w:val="none"/>
          <w:u w:val="single"/>
        </w:rPr>
        <w:t>czsjcg202507-085</w:t>
      </w:r>
    </w:p>
    <w:p w14:paraId="3EF7F7ED">
      <w:pPr>
        <w:tabs>
          <w:tab w:val="left" w:pos="2410"/>
        </w:tabs>
        <w:autoSpaceDE w:val="0"/>
        <w:autoSpaceDN w:val="0"/>
        <w:adjustRightInd w:val="0"/>
        <w:snapToGrid w:val="0"/>
        <w:spacing w:line="360" w:lineRule="auto"/>
        <w:ind w:firstLine="643" w:firstLineChars="200"/>
        <w:rPr>
          <w:rFonts w:hint="eastAsia" w:ascii="宋体" w:hAnsi="宋体" w:eastAsia="宋体"/>
          <w:b/>
          <w:color w:val="auto"/>
          <w:kern w:val="0"/>
          <w:sz w:val="32"/>
          <w:szCs w:val="32"/>
          <w:highlight w:val="none"/>
          <w:lang w:eastAsia="zh-CN"/>
        </w:rPr>
      </w:pPr>
      <w:r>
        <w:rPr>
          <w:rFonts w:hint="eastAsia" w:ascii="宋体" w:hAnsi="宋体" w:eastAsia="宋体"/>
          <w:b/>
          <w:color w:val="auto"/>
          <w:kern w:val="0"/>
          <w:sz w:val="32"/>
          <w:szCs w:val="32"/>
          <w:highlight w:val="none"/>
        </w:rPr>
        <w:t>采 购 人：</w:t>
      </w:r>
      <w:r>
        <w:rPr>
          <w:rFonts w:hint="eastAsia" w:ascii="宋体" w:hAnsi="宋体" w:eastAsia="宋体"/>
          <w:b/>
          <w:color w:val="auto"/>
          <w:spacing w:val="-6"/>
          <w:kern w:val="0"/>
          <w:sz w:val="32"/>
          <w:szCs w:val="32"/>
          <w:highlight w:val="none"/>
          <w:u w:val="single"/>
          <w:lang w:eastAsia="zh-CN"/>
        </w:rPr>
        <w:t>滁州职业技术学院</w:t>
      </w:r>
    </w:p>
    <w:p w14:paraId="275CDB20">
      <w:pPr>
        <w:tabs>
          <w:tab w:val="left" w:pos="2410"/>
        </w:tabs>
        <w:autoSpaceDE w:val="0"/>
        <w:autoSpaceDN w:val="0"/>
        <w:adjustRightInd w:val="0"/>
        <w:snapToGrid w:val="0"/>
        <w:spacing w:line="360" w:lineRule="auto"/>
        <w:ind w:firstLine="643" w:firstLineChars="200"/>
        <w:rPr>
          <w:rFonts w:ascii="宋体" w:hAnsi="宋体" w:eastAsia="宋体"/>
          <w:b/>
          <w:color w:val="auto"/>
          <w:kern w:val="0"/>
          <w:sz w:val="32"/>
          <w:szCs w:val="32"/>
          <w:highlight w:val="none"/>
        </w:rPr>
      </w:pPr>
      <w:r>
        <w:rPr>
          <w:rFonts w:hint="eastAsia" w:ascii="宋体" w:hAnsi="宋体" w:eastAsia="宋体"/>
          <w:b/>
          <w:color w:val="auto"/>
          <w:kern w:val="0"/>
          <w:sz w:val="32"/>
          <w:szCs w:val="32"/>
          <w:highlight w:val="none"/>
        </w:rPr>
        <w:t>采购代理机构：</w:t>
      </w:r>
      <w:r>
        <w:rPr>
          <w:rFonts w:hint="eastAsia" w:ascii="宋体" w:hAnsi="宋体" w:eastAsia="宋体"/>
          <w:b/>
          <w:color w:val="auto"/>
          <w:kern w:val="0"/>
          <w:sz w:val="32"/>
          <w:szCs w:val="32"/>
          <w:highlight w:val="none"/>
          <w:u w:val="single"/>
        </w:rPr>
        <w:t>滁州市城投工程咨询管理有限公司</w:t>
      </w:r>
    </w:p>
    <w:p w14:paraId="0C6B3C60">
      <w:pPr>
        <w:tabs>
          <w:tab w:val="left" w:pos="2410"/>
        </w:tabs>
        <w:autoSpaceDE w:val="0"/>
        <w:autoSpaceDN w:val="0"/>
        <w:adjustRightInd w:val="0"/>
        <w:snapToGrid w:val="0"/>
        <w:spacing w:line="360" w:lineRule="auto"/>
        <w:ind w:firstLine="643" w:firstLineChars="200"/>
        <w:rPr>
          <w:rFonts w:ascii="宋体" w:hAnsi="宋体" w:eastAsia="宋体"/>
          <w:b/>
          <w:color w:val="auto"/>
          <w:kern w:val="0"/>
          <w:sz w:val="32"/>
          <w:szCs w:val="32"/>
          <w:highlight w:val="none"/>
        </w:rPr>
      </w:pPr>
    </w:p>
    <w:p w14:paraId="0C42EB95">
      <w:pPr>
        <w:tabs>
          <w:tab w:val="left" w:pos="2410"/>
        </w:tabs>
        <w:autoSpaceDE w:val="0"/>
        <w:autoSpaceDN w:val="0"/>
        <w:adjustRightInd w:val="0"/>
        <w:snapToGrid w:val="0"/>
        <w:spacing w:line="360" w:lineRule="auto"/>
        <w:jc w:val="center"/>
        <w:rPr>
          <w:rFonts w:hint="eastAsia" w:ascii="宋体" w:hAnsi="宋体" w:eastAsia="宋体"/>
          <w:b/>
          <w:color w:val="auto"/>
          <w:sz w:val="36"/>
          <w:highlight w:val="none"/>
          <w:lang w:eastAsia="zh-CN"/>
        </w:rPr>
      </w:pP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u w:val="single"/>
          <w:lang w:eastAsia="zh-CN"/>
        </w:rPr>
        <w:t>2025 年 07 月</w:t>
      </w:r>
    </w:p>
    <w:p w14:paraId="70E36472">
      <w:pPr>
        <w:tabs>
          <w:tab w:val="left" w:pos="2410"/>
        </w:tabs>
        <w:autoSpaceDE w:val="0"/>
        <w:autoSpaceDN w:val="0"/>
        <w:adjustRightInd w:val="0"/>
        <w:snapToGrid w:val="0"/>
        <w:spacing w:line="360" w:lineRule="auto"/>
        <w:jc w:val="center"/>
        <w:rPr>
          <w:rFonts w:ascii="宋体" w:hAnsi="宋体" w:eastAsia="宋体"/>
          <w:b/>
          <w:color w:val="auto"/>
          <w:sz w:val="36"/>
          <w:highlight w:val="none"/>
        </w:rPr>
      </w:pPr>
      <w:r>
        <w:rPr>
          <w:rFonts w:ascii="宋体" w:hAnsi="宋体" w:eastAsia="宋体"/>
          <w:b/>
          <w:color w:val="auto"/>
          <w:sz w:val="36"/>
          <w:highlight w:val="none"/>
        </w:rPr>
        <w:br w:type="page"/>
      </w:r>
    </w:p>
    <w:p w14:paraId="72B4B851">
      <w:pPr>
        <w:tabs>
          <w:tab w:val="left" w:pos="2410"/>
        </w:tabs>
        <w:autoSpaceDE w:val="0"/>
        <w:autoSpaceDN w:val="0"/>
        <w:adjustRightInd w:val="0"/>
        <w:snapToGrid w:val="0"/>
        <w:spacing w:line="360" w:lineRule="auto"/>
        <w:jc w:val="center"/>
        <w:rPr>
          <w:rFonts w:ascii="宋体" w:hAnsi="宋体" w:eastAsia="宋体"/>
          <w:b/>
          <w:color w:val="auto"/>
          <w:sz w:val="28"/>
          <w:highlight w:val="none"/>
        </w:rPr>
      </w:pPr>
      <w:r>
        <w:rPr>
          <w:rFonts w:hint="eastAsia" w:ascii="宋体" w:hAnsi="宋体" w:eastAsia="宋体"/>
          <w:b/>
          <w:color w:val="auto"/>
          <w:sz w:val="28"/>
          <w:highlight w:val="none"/>
        </w:rPr>
        <w:t>目  录</w:t>
      </w:r>
    </w:p>
    <w:p w14:paraId="79E5622C">
      <w:pPr>
        <w:tabs>
          <w:tab w:val="left" w:pos="2410"/>
        </w:tabs>
        <w:autoSpaceDE w:val="0"/>
        <w:autoSpaceDN w:val="0"/>
        <w:adjustRightInd w:val="0"/>
        <w:snapToGrid w:val="0"/>
        <w:spacing w:line="360" w:lineRule="auto"/>
        <w:jc w:val="center"/>
        <w:rPr>
          <w:rFonts w:ascii="宋体" w:hAnsi="宋体" w:eastAsia="宋体"/>
          <w:b/>
          <w:color w:val="auto"/>
          <w:sz w:val="28"/>
          <w:highlight w:val="none"/>
        </w:rPr>
      </w:pPr>
    </w:p>
    <w:p w14:paraId="3CCB60D3">
      <w:pPr>
        <w:pStyle w:val="18"/>
        <w:tabs>
          <w:tab w:val="right" w:leader="dot" w:pos="8279"/>
        </w:tabs>
        <w:rPr>
          <w:rFonts w:ascii="宋体" w:hAnsi="宋体" w:eastAsia="宋体" w:cs="宋体"/>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TOC \o "1-1" \h \u </w:instrText>
      </w:r>
      <w:r>
        <w:rPr>
          <w:rFonts w:hint="eastAsia" w:ascii="宋体" w:hAnsi="宋体" w:eastAsia="宋体" w:cs="宋体"/>
          <w:b/>
          <w:color w:val="auto"/>
          <w:sz w:val="24"/>
          <w:szCs w:val="24"/>
          <w:highlight w:val="none"/>
        </w:rPr>
        <w:fldChar w:fldCharType="separate"/>
      </w:r>
      <w:r>
        <w:rPr>
          <w:color w:val="auto"/>
          <w:highlight w:val="none"/>
        </w:rPr>
        <w:fldChar w:fldCharType="begin"/>
      </w:r>
      <w:r>
        <w:rPr>
          <w:color w:val="auto"/>
          <w:highlight w:val="none"/>
        </w:rPr>
        <w:instrText xml:space="preserve"> HYPERLINK \l "_Toc19927" </w:instrText>
      </w:r>
      <w:r>
        <w:rPr>
          <w:color w:val="auto"/>
          <w:highlight w:val="none"/>
        </w:rPr>
        <w:fldChar w:fldCharType="separate"/>
      </w:r>
      <w:r>
        <w:rPr>
          <w:rFonts w:hint="eastAsia" w:ascii="宋体" w:hAnsi="宋体" w:eastAsia="宋体" w:cs="宋体"/>
          <w:color w:val="auto"/>
          <w:sz w:val="24"/>
          <w:szCs w:val="24"/>
          <w:highlight w:val="none"/>
        </w:rPr>
        <w:t>第一章  磋商邀请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p>
    <w:p w14:paraId="2A77ADFE">
      <w:pPr>
        <w:pStyle w:val="18"/>
        <w:tabs>
          <w:tab w:val="right" w:leader="dot" w:pos="8279"/>
        </w:tabs>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"_Toc3785" </w:instrText>
      </w:r>
      <w:r>
        <w:rPr>
          <w:color w:val="auto"/>
          <w:highlight w:val="none"/>
        </w:rPr>
        <w:fldChar w:fldCharType="separate"/>
      </w:r>
      <w:r>
        <w:rPr>
          <w:rFonts w:hint="eastAsia" w:ascii="宋体" w:hAnsi="宋体" w:eastAsia="宋体" w:cs="宋体"/>
          <w:color w:val="auto"/>
          <w:sz w:val="24"/>
          <w:szCs w:val="24"/>
          <w:highlight w:val="none"/>
        </w:rPr>
        <w:t>第二章  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p>
    <w:p w14:paraId="220986D0">
      <w:pPr>
        <w:pStyle w:val="18"/>
        <w:tabs>
          <w:tab w:val="right" w:leader="dot" w:pos="8279"/>
        </w:tabs>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"_Toc28125" </w:instrText>
      </w:r>
      <w:r>
        <w:rPr>
          <w:color w:val="auto"/>
          <w:highlight w:val="none"/>
        </w:rPr>
        <w:fldChar w:fldCharType="separate"/>
      </w:r>
      <w:r>
        <w:rPr>
          <w:rFonts w:hint="eastAsia" w:ascii="宋体" w:hAnsi="宋体" w:eastAsia="宋体" w:cs="宋体"/>
          <w:color w:val="auto"/>
          <w:sz w:val="24"/>
          <w:szCs w:val="24"/>
          <w:highlight w:val="none"/>
        </w:rPr>
        <w:t>第三章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4</w:t>
      </w:r>
    </w:p>
    <w:p w14:paraId="1EA85D29">
      <w:pPr>
        <w:pStyle w:val="18"/>
        <w:tabs>
          <w:tab w:val="right" w:leader="dot" w:pos="8279"/>
        </w:tabs>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"_Toc17554" </w:instrText>
      </w:r>
      <w:r>
        <w:rPr>
          <w:color w:val="auto"/>
          <w:highlight w:val="none"/>
        </w:rPr>
        <w:fldChar w:fldCharType="separate"/>
      </w:r>
      <w:r>
        <w:rPr>
          <w:rFonts w:hint="eastAsia" w:ascii="宋体" w:hAnsi="宋体" w:eastAsia="宋体" w:cs="宋体"/>
          <w:color w:val="auto"/>
          <w:sz w:val="24"/>
          <w:szCs w:val="24"/>
          <w:highlight w:val="none"/>
        </w:rPr>
        <w:t>第四章  评审方法和标准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_Toc17554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738FBB2">
      <w:pPr>
        <w:pStyle w:val="18"/>
        <w:tabs>
          <w:tab w:val="right" w:leader="dot" w:pos="8279"/>
        </w:tabs>
        <w:rPr>
          <w:rFonts w:hint="eastAsia" w:ascii="宋体" w:hAnsi="宋体" w:eastAsia="宋体" w:cs="宋体"/>
          <w:color w:val="auto"/>
          <w:sz w:val="24"/>
          <w:szCs w:val="24"/>
          <w:highlight w:val="none"/>
          <w:lang w:eastAsia="zh-CN"/>
        </w:rPr>
      </w:pPr>
      <w:r>
        <w:rPr>
          <w:color w:val="auto"/>
          <w:highlight w:val="none"/>
        </w:rPr>
        <w:fldChar w:fldCharType="begin"/>
      </w:r>
      <w:r>
        <w:rPr>
          <w:color w:val="auto"/>
          <w:highlight w:val="none"/>
        </w:rPr>
        <w:instrText xml:space="preserve"> HYPERLINK \l "_Toc6037" </w:instrText>
      </w:r>
      <w:r>
        <w:rPr>
          <w:color w:val="auto"/>
          <w:highlight w:val="none"/>
        </w:rPr>
        <w:fldChar w:fldCharType="separate"/>
      </w:r>
      <w:r>
        <w:rPr>
          <w:rFonts w:hint="eastAsia" w:ascii="宋体" w:hAnsi="宋体" w:eastAsia="宋体" w:cs="宋体"/>
          <w:color w:val="auto"/>
          <w:sz w:val="24"/>
          <w:szCs w:val="24"/>
          <w:highlight w:val="none"/>
        </w:rPr>
        <w:t>第五章  政府采购合同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9</w:t>
      </w:r>
    </w:p>
    <w:p w14:paraId="763CDEB3">
      <w:pPr>
        <w:pStyle w:val="18"/>
        <w:tabs>
          <w:tab w:val="right" w:leader="dot" w:pos="8279"/>
        </w:tabs>
        <w:rPr>
          <w:rFonts w:hint="eastAsia" w:ascii="宋体" w:hAnsi="宋体" w:eastAsia="宋体" w:cs="宋体"/>
          <w:color w:val="auto"/>
          <w:sz w:val="24"/>
          <w:szCs w:val="24"/>
          <w:highlight w:val="none"/>
          <w:lang w:eastAsia="zh-CN"/>
        </w:rPr>
      </w:pPr>
      <w:r>
        <w:rPr>
          <w:color w:val="auto"/>
          <w:highlight w:val="none"/>
        </w:rPr>
        <w:fldChar w:fldCharType="begin"/>
      </w:r>
      <w:r>
        <w:rPr>
          <w:color w:val="auto"/>
          <w:highlight w:val="none"/>
        </w:rPr>
        <w:instrText xml:space="preserve"> HYPERLINK \l "_Toc16475" </w:instrText>
      </w:r>
      <w:r>
        <w:rPr>
          <w:color w:val="auto"/>
          <w:highlight w:val="none"/>
        </w:rPr>
        <w:fldChar w:fldCharType="separate"/>
      </w:r>
      <w:r>
        <w:rPr>
          <w:rFonts w:hint="eastAsia" w:ascii="宋体" w:hAnsi="宋体" w:eastAsia="宋体" w:cs="宋体"/>
          <w:color w:val="auto"/>
          <w:sz w:val="24"/>
          <w:szCs w:val="24"/>
          <w:highlight w:val="none"/>
        </w:rPr>
        <w:t>第六章  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8</w:t>
      </w:r>
    </w:p>
    <w:p w14:paraId="5E0A87AD">
      <w:pPr>
        <w:pStyle w:val="18"/>
        <w:tabs>
          <w:tab w:val="right" w:leader="dot" w:pos="8279"/>
        </w:tabs>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"_Toc7345" </w:instrText>
      </w:r>
      <w:r>
        <w:rPr>
          <w:color w:val="auto"/>
          <w:highlight w:val="none"/>
        </w:rPr>
        <w:fldChar w:fldCharType="separate"/>
      </w:r>
      <w:r>
        <w:rPr>
          <w:rFonts w:hint="eastAsia" w:ascii="宋体" w:hAnsi="宋体" w:eastAsia="宋体" w:cs="宋体"/>
          <w:bCs/>
          <w:color w:val="auto"/>
          <w:sz w:val="24"/>
          <w:szCs w:val="24"/>
          <w:highlight w:val="none"/>
        </w:rPr>
        <w:t>第七章  政府采购</w:t>
      </w:r>
      <w:r>
        <w:rPr>
          <w:rFonts w:hint="eastAsia" w:ascii="宋体" w:hAnsi="宋体" w:eastAsia="宋体" w:cs="宋体"/>
          <w:color w:val="auto"/>
          <w:sz w:val="24"/>
          <w:szCs w:val="24"/>
          <w:highlight w:val="none"/>
        </w:rPr>
        <w:t>供应</w:t>
      </w:r>
      <w:r>
        <w:rPr>
          <w:rFonts w:hint="eastAsia" w:ascii="宋体" w:hAnsi="宋体" w:eastAsia="宋体" w:cs="宋体"/>
          <w:bCs/>
          <w:color w:val="auto"/>
          <w:sz w:val="24"/>
          <w:szCs w:val="24"/>
          <w:highlight w:val="none"/>
        </w:rPr>
        <w:t>商询问函和质疑函范本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_Toc7345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85AA193">
      <w:pPr>
        <w:pStyle w:val="20"/>
        <w:tabs>
          <w:tab w:val="right" w:leader="dot" w:pos="8296"/>
        </w:tabs>
        <w:rPr>
          <w:rFonts w:asciiTheme="minorEastAsia" w:hAnsiTheme="minorEastAsia"/>
          <w:b/>
          <w:color w:val="auto"/>
          <w:sz w:val="32"/>
          <w:highlight w:val="none"/>
        </w:rPr>
      </w:pPr>
      <w:r>
        <w:rPr>
          <w:rFonts w:hint="eastAsia" w:ascii="宋体" w:hAnsi="宋体" w:eastAsia="宋体" w:cs="宋体"/>
          <w:color w:val="auto"/>
          <w:sz w:val="24"/>
          <w:szCs w:val="24"/>
          <w:highlight w:val="none"/>
        </w:rPr>
        <w:fldChar w:fldCharType="end"/>
      </w:r>
    </w:p>
    <w:p w14:paraId="7EC30EAB">
      <w:pPr>
        <w:spacing w:line="360" w:lineRule="auto"/>
        <w:jc w:val="center"/>
        <w:outlineLvl w:val="1"/>
        <w:rPr>
          <w:rFonts w:asciiTheme="minorEastAsia" w:hAnsiTheme="minorEastAsia" w:eastAsiaTheme="minorEastAsia"/>
          <w:b/>
          <w:color w:val="auto"/>
          <w:sz w:val="28"/>
          <w:highlight w:val="none"/>
        </w:rPr>
        <w:sectPr>
          <w:headerReference r:id="rId3" w:type="default"/>
          <w:footerReference r:id="rId4" w:type="default"/>
          <w:pgSz w:w="11907" w:h="16840"/>
          <w:pgMar w:top="1474" w:right="1814" w:bottom="1474" w:left="1814" w:header="851" w:footer="992" w:gutter="0"/>
          <w:cols w:space="720" w:num="1"/>
          <w:docGrid w:linePitch="462" w:charSpace="0"/>
        </w:sectPr>
      </w:pPr>
    </w:p>
    <w:p w14:paraId="72414522">
      <w:pPr>
        <w:spacing w:line="360" w:lineRule="auto"/>
        <w:jc w:val="center"/>
        <w:outlineLvl w:val="0"/>
        <w:rPr>
          <w:rFonts w:asciiTheme="minorEastAsia" w:hAnsiTheme="minorEastAsia" w:eastAsiaTheme="minorEastAsia"/>
          <w:b/>
          <w:color w:val="auto"/>
          <w:sz w:val="28"/>
          <w:highlight w:val="none"/>
        </w:rPr>
      </w:pPr>
      <w:bookmarkStart w:id="1" w:name="_Toc19927"/>
      <w:bookmarkStart w:id="2" w:name="_Toc19988"/>
      <w:bookmarkStart w:id="3" w:name="_Toc501"/>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磋商邀请</w:t>
      </w:r>
      <w:bookmarkEnd w:id="1"/>
      <w:bookmarkEnd w:id="2"/>
      <w:bookmarkEnd w:id="3"/>
    </w:p>
    <w:p w14:paraId="5D93C5A7">
      <w:pPr>
        <w:autoSpaceDE w:val="0"/>
        <w:autoSpaceDN w:val="0"/>
        <w:adjustRightInd w:val="0"/>
        <w:spacing w:line="480" w:lineRule="exact"/>
        <w:ind w:firstLine="436" w:firstLineChars="182"/>
        <w:jc w:val="left"/>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项目概况</w:t>
      </w:r>
    </w:p>
    <w:p w14:paraId="6BBF9098">
      <w:pPr>
        <w:autoSpaceDE w:val="0"/>
        <w:autoSpaceDN w:val="0"/>
        <w:adjustRightInd w:val="0"/>
        <w:spacing w:line="480" w:lineRule="exact"/>
        <w:ind w:firstLine="436" w:firstLineChars="182"/>
        <w:jc w:val="left"/>
        <w:rPr>
          <w:rFonts w:ascii="宋体" w:hAnsi="宋体" w:eastAsia="宋体"/>
          <w:color w:val="auto"/>
          <w:sz w:val="24"/>
          <w:szCs w:val="24"/>
          <w:highlight w:val="none"/>
          <w:u w:val="single"/>
        </w:rPr>
      </w:pPr>
      <w:r>
        <w:rPr>
          <w:rFonts w:hint="eastAsia" w:ascii="宋体" w:hAnsi="宋体" w:eastAsia="宋体" w:cs="宋体"/>
          <w:color w:val="auto"/>
          <w:sz w:val="24"/>
          <w:szCs w:val="24"/>
          <w:highlight w:val="none"/>
          <w:u w:val="single"/>
          <w:lang w:eastAsia="zh-CN" w:bidi="ar"/>
        </w:rPr>
        <w:t>滁州职业技术学院国家职业教育精品在线课程培育建设服务项目</w:t>
      </w:r>
      <w:r>
        <w:rPr>
          <w:rFonts w:hint="eastAsia" w:ascii="宋体" w:hAnsi="宋体" w:eastAsia="宋体" w:cs="宋体"/>
          <w:color w:val="auto"/>
          <w:sz w:val="24"/>
          <w:szCs w:val="24"/>
          <w:highlight w:val="none"/>
          <w:lang w:bidi="ar"/>
        </w:rPr>
        <w:t>的潜在供应商应在滁州市公共资源交易中心网（http://ggzy.chuzhou.gov.cn/）获取采购文件，并于202</w:t>
      </w: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年</w:t>
      </w:r>
      <w:r>
        <w:rPr>
          <w:rFonts w:hint="eastAsia" w:ascii="宋体" w:hAnsi="宋体" w:eastAsia="宋体" w:cs="宋体"/>
          <w:color w:val="auto"/>
          <w:sz w:val="24"/>
          <w:szCs w:val="24"/>
          <w:highlight w:val="none"/>
          <w:lang w:val="en-US" w:eastAsia="zh-CN" w:bidi="ar"/>
        </w:rPr>
        <w:t>08</w:t>
      </w:r>
      <w:r>
        <w:rPr>
          <w:rFonts w:hint="eastAsia" w:ascii="宋体" w:hAnsi="宋体" w:eastAsia="宋体" w:cs="宋体"/>
          <w:color w:val="auto"/>
          <w:sz w:val="24"/>
          <w:szCs w:val="24"/>
          <w:highlight w:val="none"/>
          <w:lang w:bidi="ar"/>
        </w:rPr>
        <w:t>月</w:t>
      </w:r>
      <w:r>
        <w:rPr>
          <w:rFonts w:hint="eastAsia" w:ascii="宋体" w:hAnsi="宋体" w:eastAsia="宋体" w:cs="宋体"/>
          <w:color w:val="auto"/>
          <w:sz w:val="24"/>
          <w:szCs w:val="24"/>
          <w:highlight w:val="none"/>
          <w:lang w:val="en-US" w:eastAsia="zh-CN" w:bidi="ar"/>
        </w:rPr>
        <w:t>11</w:t>
      </w:r>
      <w:r>
        <w:rPr>
          <w:rFonts w:hint="eastAsia" w:ascii="宋体" w:hAnsi="宋体" w:eastAsia="宋体" w:cs="宋体"/>
          <w:color w:val="auto"/>
          <w:sz w:val="24"/>
          <w:szCs w:val="24"/>
          <w:highlight w:val="none"/>
          <w:lang w:bidi="ar"/>
        </w:rPr>
        <w:t>日8点00分（北京时间）前递交响应文件。</w:t>
      </w:r>
    </w:p>
    <w:p w14:paraId="5E37F716">
      <w:pPr>
        <w:spacing w:line="480" w:lineRule="exact"/>
        <w:ind w:firstLine="435"/>
        <w:outlineLvl w:val="1"/>
        <w:rPr>
          <w:rFonts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一、项目名称及内容</w:t>
      </w:r>
    </w:p>
    <w:p w14:paraId="30206F27">
      <w:pPr>
        <w:autoSpaceDE w:val="0"/>
        <w:autoSpaceDN w:val="0"/>
        <w:adjustRightInd w:val="0"/>
        <w:spacing w:line="480" w:lineRule="exact"/>
        <w:ind w:firstLine="436" w:firstLineChars="182"/>
        <w:jc w:val="left"/>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项目编号：czsjcg202507-085</w:t>
      </w:r>
    </w:p>
    <w:p w14:paraId="13AF0E27">
      <w:pPr>
        <w:autoSpaceDE w:val="0"/>
        <w:autoSpaceDN w:val="0"/>
        <w:adjustRightInd w:val="0"/>
        <w:spacing w:line="480" w:lineRule="exact"/>
        <w:ind w:firstLine="436" w:firstLineChars="182"/>
        <w:jc w:val="left"/>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项目名称：</w:t>
      </w:r>
      <w:r>
        <w:rPr>
          <w:rFonts w:hint="eastAsia" w:ascii="宋体" w:hAnsi="宋体" w:eastAsia="宋体" w:cs="宋体"/>
          <w:color w:val="auto"/>
          <w:sz w:val="24"/>
          <w:szCs w:val="24"/>
          <w:highlight w:val="none"/>
          <w:lang w:eastAsia="zh-CN" w:bidi="ar"/>
        </w:rPr>
        <w:t>滁州职业技术学院国家职业教育精品在线课程培育建设服务项目</w:t>
      </w:r>
    </w:p>
    <w:p w14:paraId="67E3C50A">
      <w:pPr>
        <w:autoSpaceDE w:val="0"/>
        <w:autoSpaceDN w:val="0"/>
        <w:adjustRightInd w:val="0"/>
        <w:spacing w:line="480" w:lineRule="exact"/>
        <w:ind w:firstLine="436" w:firstLineChars="182"/>
        <w:jc w:val="left"/>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采购方式：竞争性磋商</w:t>
      </w:r>
    </w:p>
    <w:p w14:paraId="76414ED9">
      <w:pPr>
        <w:autoSpaceDE w:val="0"/>
        <w:autoSpaceDN w:val="0"/>
        <w:adjustRightInd w:val="0"/>
        <w:spacing w:line="480" w:lineRule="exact"/>
        <w:ind w:firstLine="436" w:firstLineChars="182"/>
        <w:jc w:val="left"/>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预算金额：</w:t>
      </w:r>
      <w:r>
        <w:rPr>
          <w:rFonts w:hint="eastAsia" w:ascii="宋体" w:hAnsi="宋体" w:eastAsia="宋体" w:cs="宋体"/>
          <w:color w:val="auto"/>
          <w:sz w:val="24"/>
          <w:szCs w:val="24"/>
          <w:highlight w:val="none"/>
          <w:lang w:val="en-US" w:eastAsia="zh-CN" w:bidi="ar"/>
        </w:rPr>
        <w:t>598500元</w:t>
      </w:r>
    </w:p>
    <w:p w14:paraId="158EF8BC">
      <w:pPr>
        <w:autoSpaceDE w:val="0"/>
        <w:autoSpaceDN w:val="0"/>
        <w:adjustRightInd w:val="0"/>
        <w:spacing w:line="480" w:lineRule="exact"/>
        <w:ind w:firstLine="436" w:firstLineChars="182"/>
        <w:jc w:val="left"/>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最高限价：</w:t>
      </w:r>
      <w:r>
        <w:rPr>
          <w:rFonts w:hint="eastAsia" w:ascii="宋体" w:hAnsi="宋体" w:eastAsia="宋体" w:cs="宋体"/>
          <w:color w:val="auto"/>
          <w:sz w:val="24"/>
          <w:szCs w:val="24"/>
          <w:highlight w:val="none"/>
          <w:lang w:val="en-US" w:eastAsia="zh-CN" w:bidi="ar"/>
        </w:rPr>
        <w:t>598500元(</w:t>
      </w:r>
      <w:r>
        <w:rPr>
          <w:rFonts w:hint="eastAsia" w:ascii="宋体" w:hAnsi="宋体" w:eastAsia="宋体" w:cs="宋体"/>
          <w:color w:val="auto"/>
          <w:sz w:val="24"/>
          <w:highlight w:val="none"/>
          <w:lang w:val="en-US" w:eastAsia="zh-CN"/>
        </w:rPr>
        <w:t>其中第1包449250元；第2包149250元）</w:t>
      </w:r>
      <w:r>
        <w:rPr>
          <w:rFonts w:hint="eastAsia" w:ascii="宋体" w:hAnsi="宋体" w:eastAsia="宋体" w:cs="宋体"/>
          <w:color w:val="auto"/>
          <w:sz w:val="24"/>
          <w:szCs w:val="24"/>
          <w:highlight w:val="none"/>
          <w:lang w:bidi="ar"/>
        </w:rPr>
        <w:t>，响应报价不得高于最高限价，否则按无效响应处理</w:t>
      </w:r>
    </w:p>
    <w:p w14:paraId="341B654D">
      <w:pPr>
        <w:autoSpaceDE w:val="0"/>
        <w:autoSpaceDN w:val="0"/>
        <w:adjustRightInd w:val="0"/>
        <w:spacing w:line="480" w:lineRule="exact"/>
        <w:ind w:firstLine="436" w:firstLineChars="182"/>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采购需求：智慧课程建设及运行服务</w:t>
      </w:r>
    </w:p>
    <w:p w14:paraId="215B3F58">
      <w:pPr>
        <w:autoSpaceDE w:val="0"/>
        <w:autoSpaceDN w:val="0"/>
        <w:adjustRightInd w:val="0"/>
        <w:spacing w:line="480" w:lineRule="exact"/>
        <w:ind w:firstLine="436" w:firstLineChars="182"/>
        <w:jc w:val="left"/>
        <w:rPr>
          <w:rFonts w:hint="eastAsia"/>
          <w:color w:val="auto"/>
          <w:highlight w:val="none"/>
        </w:rPr>
      </w:pPr>
      <w:r>
        <w:rPr>
          <w:rFonts w:hint="eastAsia" w:ascii="宋体" w:hAnsi="宋体" w:eastAsia="宋体" w:cs="宋体"/>
          <w:color w:val="auto"/>
          <w:sz w:val="24"/>
          <w:szCs w:val="24"/>
          <w:highlight w:val="none"/>
          <w:lang w:bidi="ar"/>
        </w:rPr>
        <w:t>合同履行期限：</w:t>
      </w:r>
      <w:r>
        <w:rPr>
          <w:rFonts w:hint="eastAsia" w:ascii="宋体" w:hAnsi="宋体" w:eastAsia="宋体" w:cs="宋体"/>
          <w:color w:val="auto"/>
          <w:sz w:val="24"/>
          <w:szCs w:val="24"/>
          <w:highlight w:val="none"/>
          <w:lang w:val="en-US" w:eastAsia="zh-CN" w:bidi="ar"/>
        </w:rPr>
        <w:t>自</w:t>
      </w:r>
      <w:r>
        <w:rPr>
          <w:rFonts w:hint="eastAsia" w:ascii="宋体" w:hAnsi="宋体" w:eastAsia="宋体" w:cs="宋体"/>
          <w:color w:val="auto"/>
          <w:sz w:val="24"/>
          <w:szCs w:val="24"/>
          <w:highlight w:val="none"/>
          <w:lang w:bidi="ar"/>
        </w:rPr>
        <w:t>合同签订之日起</w:t>
      </w:r>
      <w:r>
        <w:rPr>
          <w:rFonts w:hint="eastAsia" w:ascii="宋体" w:hAnsi="宋体" w:eastAsia="宋体" w:cs="宋体"/>
          <w:color w:val="auto"/>
          <w:sz w:val="24"/>
          <w:szCs w:val="24"/>
          <w:highlight w:val="none"/>
          <w:u w:val="none"/>
          <w:lang w:val="en-US" w:eastAsia="zh-CN" w:bidi="ar"/>
        </w:rPr>
        <w:t>一年内</w:t>
      </w:r>
      <w:r>
        <w:rPr>
          <w:rFonts w:hint="eastAsia" w:ascii="宋体" w:hAnsi="宋体" w:eastAsia="宋体" w:cs="宋体"/>
          <w:color w:val="auto"/>
          <w:sz w:val="24"/>
          <w:szCs w:val="24"/>
          <w:highlight w:val="none"/>
          <w:lang w:bidi="ar"/>
        </w:rPr>
        <w:t>前完成精品在线课程培育建设、平台运营以及申报</w:t>
      </w:r>
      <w:r>
        <w:rPr>
          <w:rFonts w:hint="eastAsia" w:ascii="宋体" w:hAnsi="宋体" w:eastAsia="宋体" w:cs="宋体"/>
          <w:color w:val="auto"/>
          <w:sz w:val="24"/>
          <w:szCs w:val="24"/>
          <w:highlight w:val="none"/>
          <w:lang w:val="en-US" w:eastAsia="zh-CN" w:bidi="ar"/>
        </w:rPr>
        <w:t>等</w:t>
      </w:r>
      <w:r>
        <w:rPr>
          <w:rFonts w:hint="eastAsia" w:ascii="宋体" w:hAnsi="宋体" w:eastAsia="宋体" w:cs="宋体"/>
          <w:color w:val="auto"/>
          <w:sz w:val="24"/>
          <w:szCs w:val="24"/>
          <w:highlight w:val="none"/>
          <w:lang w:bidi="ar"/>
        </w:rPr>
        <w:t>工作。</w:t>
      </w:r>
    </w:p>
    <w:p w14:paraId="3EA732A3">
      <w:pPr>
        <w:autoSpaceDE w:val="0"/>
        <w:autoSpaceDN w:val="0"/>
        <w:adjustRightInd w:val="0"/>
        <w:spacing w:line="480" w:lineRule="exact"/>
        <w:ind w:firstLine="436" w:firstLineChars="182"/>
        <w:jc w:val="left"/>
        <w:rPr>
          <w:rFonts w:ascii="宋体" w:hAnsi="宋体" w:eastAsia="宋体"/>
          <w:color w:val="auto"/>
          <w:sz w:val="24"/>
          <w:szCs w:val="24"/>
          <w:highlight w:val="none"/>
        </w:rPr>
      </w:pPr>
      <w:r>
        <w:rPr>
          <w:rFonts w:hint="eastAsia" w:ascii="宋体" w:hAnsi="宋体" w:eastAsia="宋体" w:cs="宋体"/>
          <w:color w:val="auto"/>
          <w:sz w:val="24"/>
          <w:szCs w:val="24"/>
          <w:highlight w:val="none"/>
          <w:lang w:bidi="ar"/>
        </w:rPr>
        <w:t>本项目</w:t>
      </w:r>
      <w:r>
        <w:rPr>
          <w:rFonts w:hint="eastAsia" w:ascii="宋体" w:hAnsi="宋体" w:eastAsia="宋体" w:cs="宋体"/>
          <w:color w:val="auto"/>
          <w:sz w:val="24"/>
          <w:szCs w:val="24"/>
          <w:highlight w:val="none"/>
          <w:lang w:val="en-US" w:eastAsia="zh-CN" w:bidi="ar"/>
        </w:rPr>
        <w:t>不</w:t>
      </w:r>
      <w:r>
        <w:rPr>
          <w:rFonts w:hint="eastAsia" w:ascii="宋体" w:hAnsi="宋体" w:eastAsia="宋体" w:cs="宋体"/>
          <w:color w:val="auto"/>
          <w:sz w:val="24"/>
          <w:szCs w:val="24"/>
          <w:highlight w:val="none"/>
          <w:lang w:bidi="ar"/>
        </w:rPr>
        <w:t>接受联合体。</w:t>
      </w:r>
    </w:p>
    <w:p w14:paraId="5DB48A3F">
      <w:pPr>
        <w:spacing w:line="480" w:lineRule="exact"/>
        <w:ind w:firstLine="435"/>
        <w:outlineLvl w:val="1"/>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lang w:bidi="ar"/>
        </w:rPr>
        <w:t>二</w:t>
      </w:r>
      <w:r>
        <w:rPr>
          <w:rFonts w:hint="eastAsia" w:ascii="宋体" w:hAnsi="宋体" w:eastAsia="宋体" w:cs="宋体"/>
          <w:b/>
          <w:color w:val="auto"/>
          <w:sz w:val="24"/>
          <w:szCs w:val="24"/>
          <w:highlight w:val="none"/>
          <w:lang w:bidi="ar"/>
        </w:rPr>
        <w:t>、</w:t>
      </w:r>
      <w:r>
        <w:rPr>
          <w:rFonts w:hint="eastAsia" w:ascii="宋体" w:hAnsi="宋体" w:eastAsia="宋体" w:cs="宋体"/>
          <w:b/>
          <w:bCs/>
          <w:color w:val="auto"/>
          <w:sz w:val="24"/>
          <w:szCs w:val="24"/>
          <w:highlight w:val="none"/>
          <w:lang w:bidi="ar"/>
        </w:rPr>
        <w:t>申请人的资格要求</w:t>
      </w:r>
    </w:p>
    <w:p w14:paraId="3C88F11B">
      <w:pPr>
        <w:spacing w:line="360" w:lineRule="auto"/>
        <w:ind w:firstLine="43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1.满足《中华人民共和国政府采购法》第二十二条规定；</w:t>
      </w:r>
    </w:p>
    <w:p w14:paraId="322CF838">
      <w:pPr>
        <w:spacing w:line="360" w:lineRule="auto"/>
        <w:ind w:firstLine="435"/>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2.落实政府采购政策需满足的资格要求：按照财政部、工业和信息化部制定的《政府采购促进中小企业发展管理办法》，本项目为专门面向中小企业采购项目。企业划型标准按照《关于印发中小企业划型标准规定的通知》（工信部联企业〔2011〕300号）规定执行。</w:t>
      </w:r>
    </w:p>
    <w:p w14:paraId="110DEF74">
      <w:pPr>
        <w:spacing w:line="360" w:lineRule="auto"/>
        <w:ind w:firstLine="435"/>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3.本项目的特定资格要求：/</w:t>
      </w:r>
      <w:r>
        <w:rPr>
          <w:rFonts w:hint="eastAsia" w:ascii="宋体" w:hAnsi="宋体" w:eastAsia="宋体" w:cs="宋体"/>
          <w:color w:val="auto"/>
          <w:sz w:val="24"/>
          <w:szCs w:val="24"/>
          <w:highlight w:val="none"/>
          <w:lang w:val="en-US" w:eastAsia="zh-CN" w:bidi="ar"/>
        </w:rPr>
        <w:t>。</w:t>
      </w:r>
    </w:p>
    <w:p w14:paraId="2048AB48">
      <w:pPr>
        <w:spacing w:line="360" w:lineRule="auto"/>
        <w:ind w:firstLine="43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4.信誉要求：投标人不得存在以下情形：</w:t>
      </w:r>
    </w:p>
    <w:p w14:paraId="35787462">
      <w:pPr>
        <w:spacing w:line="360" w:lineRule="auto"/>
        <w:ind w:firstLine="43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①被列入“信用中国”网站“失信被执行人”的；</w:t>
      </w:r>
    </w:p>
    <w:p w14:paraId="4CDE85D5">
      <w:pPr>
        <w:spacing w:line="360" w:lineRule="auto"/>
        <w:ind w:firstLine="43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②被列入“信用中国”网站“重大税收违法失信主体”的；</w:t>
      </w:r>
    </w:p>
    <w:p w14:paraId="0086861D">
      <w:pPr>
        <w:spacing w:line="360" w:lineRule="auto"/>
        <w:ind w:firstLine="43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③被列入“信用中国”网站 “严重失信主体名单”的；</w:t>
      </w:r>
    </w:p>
    <w:p w14:paraId="78038FDE">
      <w:pPr>
        <w:spacing w:line="360" w:lineRule="auto"/>
        <w:ind w:firstLine="43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④在“信用中国”网站上披露的仍在公示期的严重失信行为(具体行为类别及判定依据见“信用中国”查询的严重失信行为类别及判定依据)的。</w:t>
      </w:r>
    </w:p>
    <w:p w14:paraId="72666843">
      <w:pPr>
        <w:spacing w:line="360" w:lineRule="auto"/>
        <w:ind w:firstLine="43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⑤被列入国家企业信用信息公示系统网站“经营异常名录”或者“严重违法失信名单”的。</w:t>
      </w:r>
    </w:p>
    <w:p w14:paraId="49DA9AF9">
      <w:pPr>
        <w:spacing w:line="360" w:lineRule="auto"/>
        <w:ind w:firstLine="43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⑥被列入中国政府采购网站“政府采购严重违法失信行为信息记录”的。</w:t>
      </w:r>
    </w:p>
    <w:p w14:paraId="3C27F9D4">
      <w:pPr>
        <w:spacing w:line="360" w:lineRule="auto"/>
        <w:ind w:firstLine="43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⑦前三年有行贿犯罪行为的单位和个人。</w:t>
      </w:r>
    </w:p>
    <w:p w14:paraId="1115B2B1">
      <w:pPr>
        <w:spacing w:line="360" w:lineRule="auto"/>
        <w:ind w:firstLine="43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5.投标人所属分公司、办事处等分支机构存在第4款信誉要求①-⑦项情形之一的，接受投标人参加本项目。</w:t>
      </w:r>
    </w:p>
    <w:p w14:paraId="197ED446">
      <w:pPr>
        <w:spacing w:line="360" w:lineRule="auto"/>
        <w:ind w:firstLine="435"/>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备注：第4、5条按照“关于联合惩戒失信行为加强信用查询管理的通知”查询或承诺。</w:t>
      </w:r>
    </w:p>
    <w:p w14:paraId="61FCF1DE">
      <w:pPr>
        <w:spacing w:line="480" w:lineRule="exact"/>
        <w:ind w:firstLine="435"/>
        <w:outlineLvl w:val="1"/>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lang w:bidi="ar"/>
        </w:rPr>
        <w:t>三</w:t>
      </w:r>
      <w:r>
        <w:rPr>
          <w:rFonts w:hint="eastAsia" w:ascii="宋体" w:hAnsi="宋体" w:eastAsia="宋体" w:cs="宋体"/>
          <w:b/>
          <w:color w:val="auto"/>
          <w:sz w:val="24"/>
          <w:szCs w:val="24"/>
          <w:highlight w:val="none"/>
          <w:lang w:bidi="ar"/>
        </w:rPr>
        <w:t>、获取采购文件</w:t>
      </w:r>
    </w:p>
    <w:p w14:paraId="6FEAE30D">
      <w:pPr>
        <w:adjustRightInd w:val="0"/>
        <w:snapToGrid w:val="0"/>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时间：</w:t>
      </w:r>
      <w:r>
        <w:rPr>
          <w:rFonts w:hint="eastAsia" w:ascii="宋体" w:hAnsi="宋体" w:eastAsia="宋体" w:cs="宋体"/>
          <w:color w:val="auto"/>
          <w:sz w:val="24"/>
          <w:szCs w:val="24"/>
          <w:highlight w:val="none"/>
          <w:u w:val="single"/>
          <w:lang w:bidi="ar"/>
        </w:rPr>
        <w:t>202</w:t>
      </w:r>
      <w:r>
        <w:rPr>
          <w:rFonts w:hint="eastAsia" w:ascii="宋体" w:hAnsi="宋体" w:eastAsia="宋体" w:cs="宋体"/>
          <w:color w:val="auto"/>
          <w:sz w:val="24"/>
          <w:szCs w:val="24"/>
          <w:highlight w:val="none"/>
          <w:u w:val="single"/>
          <w:lang w:val="en-US" w:eastAsia="zh-CN" w:bidi="ar"/>
        </w:rPr>
        <w:t>5</w:t>
      </w:r>
      <w:r>
        <w:rPr>
          <w:rFonts w:hint="eastAsia" w:ascii="宋体" w:hAnsi="宋体" w:eastAsia="宋体" w:cs="宋体"/>
          <w:color w:val="auto"/>
          <w:sz w:val="24"/>
          <w:szCs w:val="24"/>
          <w:highlight w:val="none"/>
          <w:lang w:bidi="ar"/>
        </w:rPr>
        <w:t>年</w:t>
      </w:r>
      <w:r>
        <w:rPr>
          <w:rFonts w:hint="eastAsia" w:ascii="宋体" w:hAnsi="宋体" w:eastAsia="宋体" w:cs="宋体"/>
          <w:color w:val="auto"/>
          <w:sz w:val="24"/>
          <w:szCs w:val="24"/>
          <w:highlight w:val="none"/>
          <w:u w:val="single"/>
          <w:lang w:val="en-US" w:eastAsia="zh-CN" w:bidi="ar"/>
        </w:rPr>
        <w:t>07</w:t>
      </w:r>
      <w:r>
        <w:rPr>
          <w:rFonts w:hint="eastAsia" w:ascii="宋体" w:hAnsi="宋体" w:eastAsia="宋体" w:cs="宋体"/>
          <w:color w:val="auto"/>
          <w:sz w:val="24"/>
          <w:szCs w:val="24"/>
          <w:highlight w:val="none"/>
          <w:lang w:bidi="ar"/>
        </w:rPr>
        <w:t>月</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val="en-US" w:eastAsia="zh-CN" w:bidi="ar"/>
        </w:rPr>
        <w:t xml:space="preserve">31 </w:t>
      </w:r>
      <w:r>
        <w:rPr>
          <w:rFonts w:hint="eastAsia" w:ascii="宋体" w:hAnsi="宋体" w:eastAsia="宋体" w:cs="宋体"/>
          <w:color w:val="auto"/>
          <w:sz w:val="24"/>
          <w:szCs w:val="24"/>
          <w:highlight w:val="none"/>
          <w:lang w:bidi="ar"/>
        </w:rPr>
        <w:t>日至</w:t>
      </w:r>
      <w:r>
        <w:rPr>
          <w:rFonts w:hint="eastAsia" w:ascii="宋体" w:hAnsi="宋体" w:eastAsia="宋体" w:cs="宋体"/>
          <w:color w:val="auto"/>
          <w:sz w:val="24"/>
          <w:szCs w:val="24"/>
          <w:highlight w:val="none"/>
          <w:u w:val="single"/>
          <w:lang w:bidi="ar"/>
        </w:rPr>
        <w:t>202</w:t>
      </w:r>
      <w:r>
        <w:rPr>
          <w:rFonts w:hint="eastAsia" w:ascii="宋体" w:hAnsi="宋体" w:eastAsia="宋体" w:cs="宋体"/>
          <w:color w:val="auto"/>
          <w:sz w:val="24"/>
          <w:szCs w:val="24"/>
          <w:highlight w:val="none"/>
          <w:u w:val="single"/>
          <w:lang w:val="en-US" w:eastAsia="zh-CN" w:bidi="ar"/>
        </w:rPr>
        <w:t>5</w:t>
      </w:r>
      <w:r>
        <w:rPr>
          <w:rFonts w:hint="eastAsia" w:ascii="宋体" w:hAnsi="宋体" w:eastAsia="宋体" w:cs="宋体"/>
          <w:color w:val="auto"/>
          <w:sz w:val="24"/>
          <w:szCs w:val="24"/>
          <w:highlight w:val="none"/>
          <w:lang w:bidi="ar"/>
        </w:rPr>
        <w:t>年</w:t>
      </w:r>
      <w:r>
        <w:rPr>
          <w:rFonts w:hint="eastAsia" w:ascii="宋体" w:hAnsi="宋体" w:eastAsia="宋体" w:cs="宋体"/>
          <w:color w:val="auto"/>
          <w:sz w:val="24"/>
          <w:szCs w:val="24"/>
          <w:highlight w:val="none"/>
          <w:u w:val="single"/>
          <w:lang w:val="en-US" w:eastAsia="zh-CN" w:bidi="ar"/>
        </w:rPr>
        <w:t>08</w:t>
      </w:r>
      <w:r>
        <w:rPr>
          <w:rFonts w:hint="eastAsia" w:ascii="宋体" w:hAnsi="宋体" w:eastAsia="宋体" w:cs="宋体"/>
          <w:color w:val="auto"/>
          <w:sz w:val="24"/>
          <w:szCs w:val="24"/>
          <w:highlight w:val="none"/>
          <w:lang w:bidi="ar"/>
        </w:rPr>
        <w:t>月</w:t>
      </w:r>
      <w:r>
        <w:rPr>
          <w:rFonts w:hint="eastAsia" w:ascii="宋体" w:hAnsi="宋体" w:eastAsia="宋体" w:cs="宋体"/>
          <w:color w:val="auto"/>
          <w:sz w:val="24"/>
          <w:szCs w:val="24"/>
          <w:highlight w:val="none"/>
          <w:u w:val="single"/>
          <w:lang w:val="en-US" w:eastAsia="zh-CN" w:bidi="ar"/>
        </w:rPr>
        <w:t xml:space="preserve"> 11 </w:t>
      </w:r>
      <w:r>
        <w:rPr>
          <w:rFonts w:hint="eastAsia" w:ascii="宋体" w:hAnsi="宋体" w:eastAsia="宋体" w:cs="宋体"/>
          <w:color w:val="auto"/>
          <w:sz w:val="24"/>
          <w:szCs w:val="24"/>
          <w:highlight w:val="none"/>
          <w:lang w:bidi="ar"/>
        </w:rPr>
        <w:t>日（磋商文件的发售期限自开始之日起不得少于5个工作日）</w:t>
      </w:r>
    </w:p>
    <w:p w14:paraId="34312BE5">
      <w:pPr>
        <w:adjustRightInd w:val="0"/>
        <w:snapToGrid w:val="0"/>
        <w:spacing w:line="480" w:lineRule="exact"/>
        <w:ind w:firstLine="480" w:firstLineChars="200"/>
        <w:rPr>
          <w:rFonts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地点：</w:t>
      </w:r>
      <w:r>
        <w:rPr>
          <w:rFonts w:hint="eastAsia" w:ascii="宋体" w:hAnsi="宋体" w:eastAsia="宋体" w:cs="宋体"/>
          <w:color w:val="auto"/>
          <w:sz w:val="24"/>
          <w:szCs w:val="24"/>
          <w:highlight w:val="none"/>
          <w:u w:val="single"/>
          <w:lang w:bidi="ar"/>
        </w:rPr>
        <w:t>滁州市公共资源交易中心网</w:t>
      </w:r>
    </w:p>
    <w:p w14:paraId="442757DE">
      <w:pPr>
        <w:autoSpaceDE w:val="0"/>
        <w:spacing w:line="480" w:lineRule="exact"/>
        <w:ind w:firstLine="480" w:firstLineChars="200"/>
        <w:rPr>
          <w:rFonts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方式：</w:t>
      </w:r>
      <w:r>
        <w:rPr>
          <w:rFonts w:hint="eastAsia" w:ascii="宋体" w:hAnsi="宋体" w:eastAsia="宋体" w:cs="宋体"/>
          <w:color w:val="auto"/>
          <w:sz w:val="24"/>
          <w:szCs w:val="24"/>
          <w:highlight w:val="none"/>
          <w:u w:val="single"/>
          <w:lang w:bidi="ar"/>
        </w:rPr>
        <w:t>网上下载</w:t>
      </w:r>
    </w:p>
    <w:p w14:paraId="221BB486">
      <w:pPr>
        <w:autoSpaceDE w:val="0"/>
        <w:spacing w:line="480" w:lineRule="exact"/>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售价：</w:t>
      </w:r>
      <w:r>
        <w:rPr>
          <w:rFonts w:hint="eastAsia" w:ascii="宋体" w:hAnsi="宋体" w:eastAsia="宋体" w:cs="宋体"/>
          <w:color w:val="auto"/>
          <w:sz w:val="24"/>
          <w:szCs w:val="24"/>
          <w:highlight w:val="none"/>
          <w:u w:val="single"/>
          <w:lang w:bidi="ar"/>
        </w:rPr>
        <w:t>0元</w:t>
      </w:r>
    </w:p>
    <w:p w14:paraId="1C303588">
      <w:pPr>
        <w:spacing w:line="480" w:lineRule="exact"/>
        <w:ind w:firstLine="435"/>
        <w:outlineLvl w:val="1"/>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lang w:bidi="ar"/>
        </w:rPr>
        <w:t>四</w:t>
      </w:r>
      <w:r>
        <w:rPr>
          <w:rFonts w:hint="eastAsia" w:ascii="宋体" w:hAnsi="宋体" w:eastAsia="宋体" w:cs="宋体"/>
          <w:b/>
          <w:color w:val="auto"/>
          <w:sz w:val="24"/>
          <w:szCs w:val="24"/>
          <w:highlight w:val="none"/>
          <w:lang w:bidi="ar"/>
        </w:rPr>
        <w:t>、</w:t>
      </w:r>
      <w:r>
        <w:rPr>
          <w:rFonts w:hint="eastAsia" w:ascii="宋体" w:hAnsi="宋体" w:eastAsia="宋体" w:cs="宋体"/>
          <w:b/>
          <w:bCs/>
          <w:color w:val="auto"/>
          <w:sz w:val="24"/>
          <w:szCs w:val="24"/>
          <w:highlight w:val="none"/>
          <w:lang w:bidi="ar"/>
        </w:rPr>
        <w:t>响应文件提交</w:t>
      </w:r>
    </w:p>
    <w:p w14:paraId="234E720B">
      <w:pPr>
        <w:spacing w:line="48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截止时间：</w:t>
      </w:r>
      <w:r>
        <w:rPr>
          <w:rFonts w:hint="eastAsia" w:ascii="宋体" w:hAnsi="宋体" w:eastAsia="宋体" w:cs="宋体"/>
          <w:bCs/>
          <w:color w:val="auto"/>
          <w:sz w:val="24"/>
          <w:szCs w:val="24"/>
          <w:highlight w:val="none"/>
          <w:u w:val="single"/>
          <w:lang w:eastAsia="zh-CN" w:bidi="ar"/>
        </w:rPr>
        <w:t>2025年</w:t>
      </w:r>
      <w:r>
        <w:rPr>
          <w:rFonts w:hint="eastAsia" w:ascii="宋体" w:hAnsi="宋体" w:eastAsia="宋体" w:cs="宋体"/>
          <w:bCs/>
          <w:color w:val="auto"/>
          <w:sz w:val="24"/>
          <w:szCs w:val="24"/>
          <w:highlight w:val="none"/>
          <w:u w:val="single"/>
          <w:lang w:val="en-US" w:eastAsia="zh-CN" w:bidi="ar"/>
        </w:rPr>
        <w:t>08</w:t>
      </w:r>
      <w:r>
        <w:rPr>
          <w:rFonts w:hint="eastAsia" w:ascii="宋体" w:hAnsi="宋体" w:eastAsia="宋体" w:cs="宋体"/>
          <w:bCs/>
          <w:color w:val="auto"/>
          <w:sz w:val="24"/>
          <w:szCs w:val="24"/>
          <w:highlight w:val="none"/>
          <w:lang w:bidi="ar"/>
        </w:rPr>
        <w:t>月</w:t>
      </w:r>
      <w:r>
        <w:rPr>
          <w:rFonts w:hint="eastAsia" w:ascii="宋体" w:hAnsi="宋体" w:eastAsia="宋体" w:cs="宋体"/>
          <w:bCs/>
          <w:color w:val="auto"/>
          <w:sz w:val="24"/>
          <w:szCs w:val="24"/>
          <w:highlight w:val="none"/>
          <w:u w:val="single"/>
          <w:lang w:val="en-US" w:eastAsia="zh-CN" w:bidi="ar"/>
        </w:rPr>
        <w:t xml:space="preserve"> 11 </w:t>
      </w:r>
      <w:r>
        <w:rPr>
          <w:rFonts w:hint="eastAsia" w:ascii="宋体" w:hAnsi="宋体" w:eastAsia="宋体" w:cs="宋体"/>
          <w:bCs/>
          <w:color w:val="auto"/>
          <w:sz w:val="24"/>
          <w:szCs w:val="24"/>
          <w:highlight w:val="none"/>
          <w:lang w:bidi="ar"/>
        </w:rPr>
        <w:t>日</w:t>
      </w:r>
      <w:r>
        <w:rPr>
          <w:rFonts w:hint="eastAsia" w:ascii="宋体" w:hAnsi="宋体" w:eastAsia="宋体" w:cs="宋体"/>
          <w:bCs/>
          <w:color w:val="auto"/>
          <w:sz w:val="24"/>
          <w:szCs w:val="24"/>
          <w:highlight w:val="none"/>
          <w:u w:val="single"/>
          <w:lang w:bidi="ar"/>
        </w:rPr>
        <w:t>8</w:t>
      </w:r>
      <w:r>
        <w:rPr>
          <w:rFonts w:hint="eastAsia" w:ascii="宋体" w:hAnsi="宋体" w:eastAsia="宋体" w:cs="宋体"/>
          <w:bCs/>
          <w:color w:val="auto"/>
          <w:sz w:val="24"/>
          <w:szCs w:val="24"/>
          <w:highlight w:val="none"/>
          <w:lang w:bidi="ar"/>
        </w:rPr>
        <w:t>点</w:t>
      </w:r>
      <w:r>
        <w:rPr>
          <w:rFonts w:hint="eastAsia" w:ascii="宋体" w:hAnsi="宋体" w:eastAsia="宋体" w:cs="宋体"/>
          <w:bCs/>
          <w:color w:val="auto"/>
          <w:sz w:val="24"/>
          <w:szCs w:val="24"/>
          <w:highlight w:val="none"/>
          <w:u w:val="single"/>
          <w:lang w:bidi="ar"/>
        </w:rPr>
        <w:t>00</w:t>
      </w:r>
      <w:r>
        <w:rPr>
          <w:rFonts w:hint="eastAsia" w:ascii="宋体" w:hAnsi="宋体" w:eastAsia="宋体" w:cs="宋体"/>
          <w:bCs/>
          <w:color w:val="auto"/>
          <w:sz w:val="24"/>
          <w:szCs w:val="24"/>
          <w:highlight w:val="none"/>
          <w:lang w:bidi="ar"/>
        </w:rPr>
        <w:t>分（北京时间）（从磋商文件开始发出之日起至供应商提交首次响应文件截止之日止不得少于10日）</w:t>
      </w:r>
    </w:p>
    <w:p w14:paraId="03FFEDE0">
      <w:pPr>
        <w:spacing w:line="480" w:lineRule="exact"/>
        <w:ind w:firstLine="435"/>
        <w:rPr>
          <w:rFonts w:ascii="宋体" w:hAnsi="宋体" w:eastAsia="宋体"/>
          <w:color w:val="auto"/>
          <w:sz w:val="24"/>
          <w:szCs w:val="24"/>
          <w:highlight w:val="none"/>
        </w:rPr>
      </w:pPr>
      <w:r>
        <w:rPr>
          <w:rFonts w:hint="eastAsia" w:ascii="宋体" w:hAnsi="宋体" w:eastAsia="宋体" w:cs="宋体"/>
          <w:color w:val="auto"/>
          <w:sz w:val="24"/>
          <w:szCs w:val="24"/>
          <w:highlight w:val="none"/>
          <w:lang w:bidi="ar"/>
        </w:rPr>
        <w:t>地点：滁州市公共资源交易平台电子交易系统</w:t>
      </w:r>
    </w:p>
    <w:p w14:paraId="04733B2C">
      <w:pPr>
        <w:spacing w:line="480" w:lineRule="exact"/>
        <w:ind w:firstLine="435"/>
        <w:outlineLvl w:val="1"/>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lang w:bidi="ar"/>
        </w:rPr>
        <w:t>五</w:t>
      </w:r>
      <w:r>
        <w:rPr>
          <w:rFonts w:hint="eastAsia" w:ascii="宋体" w:hAnsi="宋体" w:eastAsia="宋体" w:cs="宋体"/>
          <w:b/>
          <w:color w:val="auto"/>
          <w:sz w:val="24"/>
          <w:szCs w:val="24"/>
          <w:highlight w:val="none"/>
          <w:lang w:bidi="ar"/>
        </w:rPr>
        <w:t>、</w:t>
      </w:r>
      <w:r>
        <w:rPr>
          <w:rFonts w:hint="eastAsia" w:ascii="宋体" w:hAnsi="宋体" w:eastAsia="宋体" w:cs="宋体"/>
          <w:b/>
          <w:bCs/>
          <w:color w:val="auto"/>
          <w:sz w:val="24"/>
          <w:szCs w:val="24"/>
          <w:highlight w:val="none"/>
          <w:lang w:bidi="ar"/>
        </w:rPr>
        <w:t>开启</w:t>
      </w:r>
    </w:p>
    <w:p w14:paraId="05695CBF">
      <w:pPr>
        <w:adjustRightInd w:val="0"/>
        <w:snapToGrid w:val="0"/>
        <w:spacing w:line="48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时间：</w:t>
      </w:r>
      <w:r>
        <w:rPr>
          <w:rFonts w:hint="eastAsia" w:ascii="宋体" w:hAnsi="宋体" w:eastAsia="宋体" w:cs="宋体"/>
          <w:bCs/>
          <w:color w:val="auto"/>
          <w:sz w:val="24"/>
          <w:szCs w:val="24"/>
          <w:highlight w:val="none"/>
          <w:u w:val="single"/>
          <w:lang w:eastAsia="zh-CN" w:bidi="ar"/>
        </w:rPr>
        <w:t>2025</w:t>
      </w:r>
      <w:r>
        <w:rPr>
          <w:rFonts w:hint="eastAsia" w:ascii="宋体" w:hAnsi="宋体" w:eastAsia="宋体" w:cs="宋体"/>
          <w:bCs/>
          <w:color w:val="auto"/>
          <w:sz w:val="24"/>
          <w:szCs w:val="24"/>
          <w:highlight w:val="none"/>
          <w:u w:val="none"/>
          <w:lang w:eastAsia="zh-CN" w:bidi="ar"/>
        </w:rPr>
        <w:t>年</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u w:val="single"/>
          <w:lang w:val="en-US" w:eastAsia="zh-CN" w:bidi="ar"/>
        </w:rPr>
        <w:t>08</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lang w:bidi="ar"/>
        </w:rPr>
        <w:t>月</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u w:val="single"/>
          <w:lang w:val="en-US" w:eastAsia="zh-CN" w:bidi="ar"/>
        </w:rPr>
        <w:t xml:space="preserve">11 </w:t>
      </w:r>
      <w:r>
        <w:rPr>
          <w:rFonts w:hint="eastAsia" w:ascii="宋体" w:hAnsi="宋体" w:eastAsia="宋体" w:cs="宋体"/>
          <w:bCs/>
          <w:color w:val="auto"/>
          <w:sz w:val="24"/>
          <w:szCs w:val="24"/>
          <w:highlight w:val="none"/>
          <w:lang w:bidi="ar"/>
        </w:rPr>
        <w:t>日</w:t>
      </w:r>
      <w:r>
        <w:rPr>
          <w:rFonts w:hint="eastAsia" w:ascii="宋体" w:hAnsi="宋体" w:eastAsia="宋体" w:cs="宋体"/>
          <w:bCs/>
          <w:color w:val="auto"/>
          <w:sz w:val="24"/>
          <w:szCs w:val="24"/>
          <w:highlight w:val="none"/>
          <w:u w:val="single"/>
          <w:lang w:bidi="ar"/>
        </w:rPr>
        <w:t>8</w:t>
      </w:r>
      <w:r>
        <w:rPr>
          <w:rFonts w:hint="eastAsia" w:ascii="宋体" w:hAnsi="宋体" w:eastAsia="宋体" w:cs="宋体"/>
          <w:bCs/>
          <w:color w:val="auto"/>
          <w:sz w:val="24"/>
          <w:szCs w:val="24"/>
          <w:highlight w:val="none"/>
          <w:lang w:bidi="ar"/>
        </w:rPr>
        <w:t>点</w:t>
      </w:r>
      <w:r>
        <w:rPr>
          <w:rFonts w:hint="eastAsia" w:ascii="宋体" w:hAnsi="宋体" w:eastAsia="宋体" w:cs="宋体"/>
          <w:bCs/>
          <w:color w:val="auto"/>
          <w:sz w:val="24"/>
          <w:szCs w:val="24"/>
          <w:highlight w:val="none"/>
          <w:u w:val="single"/>
          <w:lang w:bidi="ar"/>
        </w:rPr>
        <w:t>00</w:t>
      </w:r>
      <w:r>
        <w:rPr>
          <w:rFonts w:hint="eastAsia" w:ascii="宋体" w:hAnsi="宋体" w:eastAsia="宋体" w:cs="宋体"/>
          <w:bCs/>
          <w:color w:val="auto"/>
          <w:sz w:val="24"/>
          <w:szCs w:val="24"/>
          <w:highlight w:val="none"/>
          <w:lang w:bidi="ar"/>
        </w:rPr>
        <w:t>分（北京时间）</w:t>
      </w:r>
    </w:p>
    <w:p w14:paraId="7DEE0D1E">
      <w:pPr>
        <w:adjustRightInd w:val="0"/>
        <w:snapToGrid w:val="0"/>
        <w:spacing w:line="480" w:lineRule="exact"/>
        <w:ind w:firstLine="480" w:firstLineChars="200"/>
        <w:rPr>
          <w:rFonts w:ascii="宋体" w:hAnsi="宋体" w:eastAsia="宋体"/>
          <w:color w:val="auto"/>
          <w:sz w:val="24"/>
          <w:szCs w:val="24"/>
          <w:highlight w:val="none"/>
        </w:rPr>
      </w:pPr>
      <w:r>
        <w:rPr>
          <w:rFonts w:hint="eastAsia" w:ascii="宋体" w:hAnsi="宋体" w:eastAsia="宋体" w:cs="宋体"/>
          <w:color w:val="auto"/>
          <w:sz w:val="24"/>
          <w:szCs w:val="24"/>
          <w:highlight w:val="none"/>
          <w:lang w:bidi="ar"/>
        </w:rPr>
        <w:t>地点：滁州市公共资源交易平台电子交易系统</w:t>
      </w:r>
    </w:p>
    <w:p w14:paraId="6BD0C6E9">
      <w:pPr>
        <w:spacing w:line="480" w:lineRule="exact"/>
        <w:ind w:firstLine="435"/>
        <w:outlineLvl w:val="1"/>
        <w:rPr>
          <w:rFonts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六、公告期限</w:t>
      </w:r>
    </w:p>
    <w:p w14:paraId="5E1E982F">
      <w:pPr>
        <w:adjustRightInd w:val="0"/>
        <w:snapToGrid w:val="0"/>
        <w:spacing w:line="48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自本公告发布之日起3个工作日。</w:t>
      </w:r>
    </w:p>
    <w:p w14:paraId="19CE579B">
      <w:pPr>
        <w:spacing w:line="480" w:lineRule="exact"/>
        <w:ind w:firstLine="435"/>
        <w:outlineLvl w:val="1"/>
        <w:rPr>
          <w:rFonts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七、其他补充事宜</w:t>
      </w:r>
    </w:p>
    <w:p w14:paraId="0CDC89B4">
      <w:pPr>
        <w:wordWrap w:val="0"/>
        <w:autoSpaceDE w:val="0"/>
        <w:spacing w:line="480" w:lineRule="exact"/>
        <w:ind w:firstLine="480" w:firstLineChars="200"/>
        <w:rPr>
          <w:rFonts w:ascii="宋体" w:hAnsi="宋体" w:eastAsia="宋体"/>
          <w:color w:val="auto"/>
          <w:sz w:val="24"/>
          <w:szCs w:val="24"/>
          <w:highlight w:val="none"/>
        </w:rPr>
      </w:pPr>
      <w:r>
        <w:rPr>
          <w:rFonts w:hint="eastAsia" w:ascii="宋体" w:hAnsi="宋体" w:eastAsia="宋体" w:cs="宋体"/>
          <w:color w:val="auto"/>
          <w:sz w:val="24"/>
          <w:szCs w:val="24"/>
          <w:highlight w:val="none"/>
          <w:lang w:bidi="ar"/>
        </w:rPr>
        <w:t>1.本项目只接受在安徽省公共资源交易市场主体库（http://ggzy.ah.gov.cn/ahggfwpt-zhutiku/dengludenglu）登记并进行信息确认提交的供应商参与，未登记的供应商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；2.CA数字证书有关问题：安徽CA客服400-880-4959、0550-3019013（工作日），CFCA客服025-66085508 、0550-3801669（工作日）；3.市场主体招标环节和投标环节系统使用问题：400-998-0000（8：00-21：00）、0550-3801701（工作日）。因未及时通过CA数字证书登录省主体库对相关信息进行补充完善并确认提交，导致无法参与本项目的，责任自负。为保证系统使用过程中产生的问题能够及时得到解决，请各主体进行主体信息登记、更新、响应文件制作等相关操作。</w:t>
      </w:r>
    </w:p>
    <w:p w14:paraId="495714C0">
      <w:pPr>
        <w:wordWrap w:val="0"/>
        <w:autoSpaceDE w:val="0"/>
        <w:spacing w:line="480" w:lineRule="exact"/>
        <w:ind w:firstLine="480" w:firstLineChars="200"/>
        <w:rPr>
          <w:rFonts w:ascii="宋体" w:hAnsi="宋体" w:eastAsia="宋体"/>
          <w:color w:val="auto"/>
          <w:sz w:val="24"/>
          <w:szCs w:val="24"/>
          <w:highlight w:val="none"/>
        </w:rPr>
      </w:pPr>
      <w:r>
        <w:rPr>
          <w:rFonts w:hint="eastAsia" w:ascii="宋体" w:hAnsi="宋体" w:eastAsia="宋体" w:cs="宋体"/>
          <w:color w:val="auto"/>
          <w:sz w:val="24"/>
          <w:szCs w:val="24"/>
          <w:highlight w:val="none"/>
          <w:lang w:bidi="ar"/>
        </w:rPr>
        <w:t>2.请供应商登录滁州市公共资源交易中心网站查看参加本项目的程序。（具体操作步骤和程序请参见服务指南&gt;交易须知&gt;投标人填写投标信息、下载文件及网上提问操作手册）。</w:t>
      </w:r>
    </w:p>
    <w:p w14:paraId="70922689">
      <w:pPr>
        <w:wordWrap w:val="0"/>
        <w:autoSpaceDE w:val="0"/>
        <w:spacing w:line="480" w:lineRule="exact"/>
        <w:ind w:firstLine="480" w:firstLineChars="200"/>
        <w:rPr>
          <w:rFonts w:ascii="宋体" w:hAnsi="宋体" w:eastAsia="宋体"/>
          <w:color w:val="auto"/>
          <w:sz w:val="24"/>
          <w:szCs w:val="24"/>
          <w:highlight w:val="none"/>
        </w:rPr>
      </w:pPr>
      <w:r>
        <w:rPr>
          <w:rFonts w:hint="eastAsia" w:ascii="宋体" w:hAnsi="宋体" w:eastAsia="宋体" w:cs="宋体"/>
          <w:color w:val="auto"/>
          <w:sz w:val="24"/>
          <w:szCs w:val="24"/>
          <w:highlight w:val="none"/>
          <w:lang w:bidi="ar"/>
        </w:rPr>
        <w:t>3.本项目采用不见面（远程解密)方式，开启时供应商无须至现场进行解密，采取远程解密方式解密响应文件，解密方式为：供应商在开启时间前使用CA数字证书登录滁州市“不见面开标系统”，网址为https://ggzy.chuzhou.gov.cn/BidOpening,等待开启并按系统提示进行相应的供应商解密等事项，无需到现场。采用本方式可以观看开启现场音视频直播并进行互动交流。具体操作方法见中心网站&gt;服务指南&gt;交易须知中的《滁州市不见面开标系统操作手册》。</w:t>
      </w:r>
    </w:p>
    <w:p w14:paraId="24DA8628">
      <w:pPr>
        <w:wordWrap w:val="0"/>
        <w:autoSpaceDE w:val="0"/>
        <w:spacing w:line="480" w:lineRule="exact"/>
        <w:ind w:firstLine="480" w:firstLineChars="200"/>
        <w:rPr>
          <w:rFonts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4.供应商接到远程解密指令后，须在规定时间内解密。因供应商自身原因导致响应文件在规定时间内未能解密、解密失败或解密超时，响应文件无效；因采购代理机构原因或网上平台发生故障，导致无法按时完成响应文件解密的，经采购代理机构申请后可延迟解密时间。</w:t>
      </w:r>
    </w:p>
    <w:p w14:paraId="483D5599">
      <w:pPr>
        <w:spacing w:line="360" w:lineRule="auto"/>
        <w:ind w:firstLine="435"/>
        <w:outlineLvl w:val="1"/>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lang w:bidi="ar"/>
        </w:rPr>
        <w:t>八</w:t>
      </w:r>
      <w:r>
        <w:rPr>
          <w:rFonts w:hint="eastAsia" w:ascii="宋体" w:hAnsi="宋体" w:eastAsia="宋体" w:cs="宋体"/>
          <w:b/>
          <w:color w:val="auto"/>
          <w:sz w:val="24"/>
          <w:szCs w:val="24"/>
          <w:highlight w:val="none"/>
          <w:lang w:bidi="ar"/>
        </w:rPr>
        <w:t>、</w:t>
      </w:r>
      <w:r>
        <w:rPr>
          <w:rFonts w:hint="eastAsia" w:ascii="宋体" w:hAnsi="宋体" w:eastAsia="宋体" w:cs="宋体"/>
          <w:b/>
          <w:bCs/>
          <w:color w:val="auto"/>
          <w:sz w:val="24"/>
          <w:szCs w:val="24"/>
          <w:highlight w:val="none"/>
          <w:lang w:bidi="ar"/>
        </w:rPr>
        <w:t>凡对本次采购提出询问，请按以下方式联系</w:t>
      </w:r>
    </w:p>
    <w:p w14:paraId="29B221E5">
      <w:pPr>
        <w:spacing w:line="360" w:lineRule="auto"/>
        <w:ind w:firstLine="437"/>
        <w:outlineLvl w:val="2"/>
        <w:rPr>
          <w:rFonts w:ascii="宋体" w:hAnsi="宋体" w:eastAsia="宋体"/>
          <w:color w:val="auto"/>
          <w:sz w:val="24"/>
          <w:szCs w:val="24"/>
          <w:highlight w:val="none"/>
        </w:rPr>
      </w:pPr>
      <w:r>
        <w:rPr>
          <w:rFonts w:hint="eastAsia" w:ascii="宋体" w:hAnsi="宋体" w:eastAsia="宋体" w:cs="宋体"/>
          <w:color w:val="auto"/>
          <w:sz w:val="24"/>
          <w:szCs w:val="24"/>
          <w:highlight w:val="none"/>
          <w:lang w:bidi="ar"/>
        </w:rPr>
        <w:t>1.采购人信息</w:t>
      </w:r>
    </w:p>
    <w:p w14:paraId="2260DD97">
      <w:pPr>
        <w:spacing w:line="360" w:lineRule="auto"/>
        <w:ind w:firstLine="435"/>
        <w:rPr>
          <w:rFonts w:hint="eastAsia" w:ascii="宋体" w:hAnsi="宋体" w:eastAsia="宋体"/>
          <w:color w:val="auto"/>
          <w:sz w:val="24"/>
          <w:szCs w:val="24"/>
          <w:highlight w:val="none"/>
          <w:lang w:eastAsia="zh-CN"/>
        </w:rPr>
      </w:pPr>
      <w:r>
        <w:rPr>
          <w:rFonts w:hint="eastAsia" w:ascii="宋体" w:hAnsi="宋体" w:eastAsia="宋体" w:cs="宋体"/>
          <w:color w:val="auto"/>
          <w:sz w:val="24"/>
          <w:szCs w:val="24"/>
          <w:highlight w:val="none"/>
          <w:lang w:bidi="ar"/>
        </w:rPr>
        <w:t>名  称：</w:t>
      </w:r>
      <w:r>
        <w:rPr>
          <w:rFonts w:hint="eastAsia" w:ascii="宋体" w:hAnsi="宋体" w:eastAsia="宋体" w:cs="宋体"/>
          <w:color w:val="auto"/>
          <w:sz w:val="24"/>
          <w:szCs w:val="24"/>
          <w:highlight w:val="none"/>
          <w:u w:val="single"/>
          <w:lang w:eastAsia="zh-CN" w:bidi="ar"/>
        </w:rPr>
        <w:t>滁州职业技术学院</w:t>
      </w:r>
    </w:p>
    <w:p w14:paraId="288D6F49">
      <w:pPr>
        <w:spacing w:line="360" w:lineRule="auto"/>
        <w:ind w:firstLine="435"/>
        <w:rPr>
          <w:rFonts w:hint="eastAsia" w:ascii="宋体" w:hAnsi="宋体" w:eastAsia="宋体"/>
          <w:color w:val="auto"/>
          <w:sz w:val="24"/>
          <w:szCs w:val="24"/>
          <w:highlight w:val="none"/>
          <w:u w:val="single"/>
          <w:lang w:eastAsia="zh-CN"/>
        </w:rPr>
      </w:pPr>
      <w:r>
        <w:rPr>
          <w:rFonts w:hint="eastAsia" w:ascii="宋体" w:hAnsi="宋体" w:eastAsia="宋体" w:cs="宋体"/>
          <w:color w:val="auto"/>
          <w:sz w:val="24"/>
          <w:szCs w:val="24"/>
          <w:highlight w:val="none"/>
          <w:lang w:bidi="ar"/>
        </w:rPr>
        <w:t>地</w:t>
      </w: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址：</w:t>
      </w:r>
      <w:r>
        <w:rPr>
          <w:rFonts w:hint="eastAsia" w:ascii="宋体" w:hAnsi="宋体" w:eastAsia="宋体" w:cs="宋体"/>
          <w:color w:val="auto"/>
          <w:sz w:val="24"/>
          <w:szCs w:val="24"/>
          <w:highlight w:val="none"/>
          <w:u w:val="single"/>
          <w:lang w:eastAsia="zh-CN" w:bidi="ar"/>
        </w:rPr>
        <w:t>安徽滁州市丰乐大道2188号</w:t>
      </w:r>
    </w:p>
    <w:p w14:paraId="2D954477">
      <w:pPr>
        <w:spacing w:line="360" w:lineRule="auto"/>
        <w:ind w:firstLine="435"/>
        <w:rPr>
          <w:rFonts w:hint="eastAsia" w:ascii="宋体" w:hAnsi="宋体" w:eastAsia="宋体"/>
          <w:color w:val="auto"/>
          <w:sz w:val="24"/>
          <w:szCs w:val="24"/>
          <w:highlight w:val="none"/>
          <w:lang w:eastAsia="zh-CN"/>
        </w:rPr>
      </w:pPr>
      <w:r>
        <w:rPr>
          <w:rFonts w:hint="eastAsia" w:ascii="宋体" w:hAnsi="宋体" w:eastAsia="宋体" w:cs="宋体"/>
          <w:color w:val="auto"/>
          <w:sz w:val="24"/>
          <w:szCs w:val="24"/>
          <w:highlight w:val="none"/>
          <w:lang w:bidi="ar"/>
        </w:rPr>
        <w:t>联系人：</w:t>
      </w:r>
      <w:r>
        <w:rPr>
          <w:rFonts w:hint="eastAsia" w:ascii="宋体" w:hAnsi="宋体" w:eastAsia="宋体" w:cs="宋体"/>
          <w:color w:val="auto"/>
          <w:sz w:val="24"/>
          <w:szCs w:val="24"/>
          <w:highlight w:val="none"/>
          <w:u w:val="single"/>
          <w:lang w:eastAsia="zh-CN" w:bidi="ar"/>
        </w:rPr>
        <w:t>陈老师、李老师</w:t>
      </w:r>
    </w:p>
    <w:p w14:paraId="1F851893">
      <w:pPr>
        <w:spacing w:line="360" w:lineRule="auto"/>
        <w:ind w:firstLine="435"/>
        <w:rPr>
          <w:rFonts w:hint="eastAsia" w:ascii="宋体" w:hAnsi="宋体" w:eastAsia="宋体"/>
          <w:color w:val="auto"/>
          <w:sz w:val="24"/>
          <w:szCs w:val="24"/>
          <w:highlight w:val="none"/>
          <w:lang w:eastAsia="zh-CN"/>
        </w:rPr>
      </w:pPr>
      <w:r>
        <w:rPr>
          <w:rFonts w:hint="eastAsia" w:ascii="宋体" w:hAnsi="宋体" w:eastAsia="宋体" w:cs="宋体"/>
          <w:color w:val="auto"/>
          <w:sz w:val="24"/>
          <w:szCs w:val="24"/>
          <w:highlight w:val="none"/>
          <w:lang w:bidi="ar"/>
        </w:rPr>
        <w:t>联系方式：</w:t>
      </w:r>
      <w:r>
        <w:rPr>
          <w:rFonts w:hint="eastAsia" w:ascii="宋体" w:hAnsi="宋体" w:eastAsia="宋体" w:cs="宋体"/>
          <w:color w:val="auto"/>
          <w:sz w:val="24"/>
          <w:szCs w:val="24"/>
          <w:highlight w:val="none"/>
          <w:u w:val="single"/>
          <w:lang w:eastAsia="zh-CN" w:bidi="ar"/>
        </w:rPr>
        <w:t>0550-3854662</w:t>
      </w:r>
    </w:p>
    <w:p w14:paraId="613DEC7D">
      <w:pPr>
        <w:spacing w:line="360" w:lineRule="auto"/>
        <w:ind w:firstLine="437"/>
        <w:outlineLvl w:val="2"/>
        <w:rPr>
          <w:rFonts w:ascii="宋体" w:hAnsi="宋体" w:eastAsia="宋体"/>
          <w:color w:val="auto"/>
          <w:sz w:val="24"/>
          <w:szCs w:val="24"/>
          <w:highlight w:val="none"/>
        </w:rPr>
      </w:pPr>
      <w:r>
        <w:rPr>
          <w:rFonts w:hint="eastAsia" w:ascii="宋体" w:hAnsi="宋体" w:eastAsia="宋体"/>
          <w:color w:val="auto"/>
          <w:sz w:val="24"/>
          <w:szCs w:val="24"/>
          <w:highlight w:val="none"/>
          <w:lang w:bidi="ar"/>
        </w:rPr>
        <w:t>2.采购代理机构</w:t>
      </w:r>
      <w:r>
        <w:rPr>
          <w:rFonts w:hint="eastAsia" w:ascii="宋体" w:hAnsi="宋体" w:eastAsia="宋体" w:cs="宋体"/>
          <w:color w:val="auto"/>
          <w:sz w:val="24"/>
          <w:szCs w:val="24"/>
          <w:highlight w:val="none"/>
          <w:lang w:bidi="ar"/>
        </w:rPr>
        <w:t>信息</w:t>
      </w:r>
    </w:p>
    <w:p w14:paraId="077CFB6C">
      <w:pPr>
        <w:spacing w:line="360" w:lineRule="auto"/>
        <w:ind w:firstLine="435"/>
        <w:rPr>
          <w:rFonts w:ascii="宋体" w:hAnsi="宋体" w:eastAsia="宋体"/>
          <w:color w:val="auto"/>
          <w:sz w:val="24"/>
          <w:szCs w:val="24"/>
          <w:highlight w:val="none"/>
        </w:rPr>
      </w:pPr>
      <w:r>
        <w:rPr>
          <w:rFonts w:hint="eastAsia" w:ascii="宋体" w:hAnsi="宋体" w:eastAsia="宋体" w:cs="宋体"/>
          <w:color w:val="auto"/>
          <w:sz w:val="24"/>
          <w:szCs w:val="24"/>
          <w:highlight w:val="none"/>
          <w:lang w:bidi="ar"/>
        </w:rPr>
        <w:t>名  称：</w:t>
      </w:r>
      <w:r>
        <w:rPr>
          <w:rFonts w:hint="eastAsia" w:ascii="宋体" w:hAnsi="宋体" w:eastAsia="宋体" w:cs="宋体"/>
          <w:color w:val="auto"/>
          <w:sz w:val="24"/>
          <w:szCs w:val="24"/>
          <w:highlight w:val="none"/>
          <w:u w:val="single"/>
          <w:lang w:bidi="ar"/>
        </w:rPr>
        <w:t>滁州市城投工程咨询管理有限公司</w:t>
      </w:r>
    </w:p>
    <w:p w14:paraId="2BE07DE9">
      <w:pPr>
        <w:spacing w:line="360" w:lineRule="auto"/>
        <w:ind w:firstLine="435"/>
        <w:rPr>
          <w:rFonts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地</w:t>
      </w: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址：</w:t>
      </w:r>
      <w:r>
        <w:rPr>
          <w:rFonts w:hint="eastAsia" w:ascii="宋体" w:hAnsi="宋体" w:eastAsia="宋体" w:cs="宋体"/>
          <w:color w:val="auto"/>
          <w:sz w:val="24"/>
          <w:szCs w:val="24"/>
          <w:highlight w:val="none"/>
          <w:u w:val="single"/>
          <w:lang w:bidi="ar"/>
        </w:rPr>
        <w:t>滁州市龙蟠大道109号房产商务大厦6楼</w:t>
      </w:r>
    </w:p>
    <w:p w14:paraId="17BA27DE">
      <w:pPr>
        <w:spacing w:line="360" w:lineRule="auto"/>
        <w:ind w:firstLine="435"/>
        <w:rPr>
          <w:rFonts w:hint="eastAsia" w:eastAsia="宋体"/>
          <w:color w:val="auto"/>
          <w:szCs w:val="21"/>
          <w:highlight w:val="none"/>
          <w:lang w:eastAsia="zh-CN"/>
        </w:rPr>
      </w:pPr>
      <w:r>
        <w:rPr>
          <w:rFonts w:hint="eastAsia" w:ascii="宋体" w:hAnsi="宋体" w:eastAsia="宋体" w:cs="宋体"/>
          <w:color w:val="auto"/>
          <w:sz w:val="24"/>
          <w:szCs w:val="24"/>
          <w:highlight w:val="none"/>
          <w:lang w:bidi="ar"/>
        </w:rPr>
        <w:t>联系人：</w:t>
      </w:r>
      <w:r>
        <w:rPr>
          <w:rFonts w:hint="eastAsia" w:ascii="宋体" w:hAnsi="宋体" w:eastAsia="宋体" w:cs="宋体"/>
          <w:color w:val="auto"/>
          <w:sz w:val="24"/>
          <w:szCs w:val="24"/>
          <w:highlight w:val="none"/>
          <w:u w:val="single"/>
          <w:lang w:eastAsia="zh-CN" w:bidi="ar"/>
        </w:rPr>
        <w:t>周晓培</w:t>
      </w:r>
    </w:p>
    <w:p w14:paraId="32878CCE">
      <w:pPr>
        <w:spacing w:line="360" w:lineRule="auto"/>
        <w:ind w:firstLine="435"/>
        <w:rPr>
          <w:rFonts w:hint="eastAsia" w:ascii="宋体" w:hAnsi="宋体" w:eastAsia="宋体"/>
          <w:color w:val="auto"/>
          <w:sz w:val="24"/>
          <w:szCs w:val="24"/>
          <w:highlight w:val="none"/>
          <w:lang w:eastAsia="zh-CN"/>
        </w:rPr>
      </w:pPr>
      <w:r>
        <w:rPr>
          <w:rFonts w:hint="eastAsia" w:ascii="宋体" w:hAnsi="宋体" w:eastAsia="宋体" w:cs="宋体"/>
          <w:color w:val="auto"/>
          <w:sz w:val="24"/>
          <w:szCs w:val="24"/>
          <w:highlight w:val="none"/>
          <w:lang w:bidi="ar"/>
        </w:rPr>
        <w:t>联系方式：</w:t>
      </w:r>
      <w:r>
        <w:rPr>
          <w:rFonts w:hint="eastAsia" w:ascii="宋体" w:hAnsi="宋体" w:eastAsia="宋体" w:cs="宋体"/>
          <w:color w:val="auto"/>
          <w:sz w:val="24"/>
          <w:szCs w:val="24"/>
          <w:highlight w:val="none"/>
          <w:u w:val="single"/>
          <w:lang w:eastAsia="zh-CN" w:bidi="ar"/>
        </w:rPr>
        <w:t>0550-3519512</w:t>
      </w:r>
      <w:r>
        <w:rPr>
          <w:rFonts w:hint="eastAsia" w:ascii="宋体" w:hAnsi="宋体" w:eastAsia="宋体" w:cs="宋体"/>
          <w:color w:val="auto"/>
          <w:sz w:val="24"/>
          <w:szCs w:val="24"/>
          <w:highlight w:val="none"/>
          <w:u w:val="single"/>
          <w:lang w:bidi="ar"/>
        </w:rPr>
        <w:t>、</w:t>
      </w:r>
      <w:r>
        <w:rPr>
          <w:rFonts w:hint="eastAsia" w:ascii="宋体" w:hAnsi="宋体" w:eastAsia="宋体" w:cs="宋体"/>
          <w:color w:val="auto"/>
          <w:sz w:val="24"/>
          <w:szCs w:val="24"/>
          <w:highlight w:val="none"/>
          <w:u w:val="single"/>
          <w:lang w:eastAsia="zh-CN" w:bidi="ar"/>
        </w:rPr>
        <w:t>18255055896</w:t>
      </w:r>
    </w:p>
    <w:p w14:paraId="5C10DE21">
      <w:pPr>
        <w:spacing w:line="360" w:lineRule="auto"/>
        <w:ind w:firstLine="437"/>
        <w:outlineLvl w:val="2"/>
        <w:rPr>
          <w:rFonts w:ascii="宋体" w:hAnsi="宋体" w:eastAsia="宋体"/>
          <w:b/>
          <w:color w:val="auto"/>
          <w:sz w:val="24"/>
          <w:szCs w:val="24"/>
          <w:highlight w:val="none"/>
        </w:rPr>
      </w:pPr>
      <w:r>
        <w:rPr>
          <w:rFonts w:hint="eastAsia" w:ascii="宋体" w:hAnsi="宋体" w:eastAsia="宋体" w:cs="宋体"/>
          <w:bCs/>
          <w:color w:val="auto"/>
          <w:sz w:val="24"/>
          <w:szCs w:val="24"/>
          <w:highlight w:val="none"/>
          <w:lang w:bidi="ar"/>
        </w:rPr>
        <w:t>3</w:t>
      </w:r>
      <w:r>
        <w:rPr>
          <w:rFonts w:hint="eastAsia" w:ascii="宋体" w:hAnsi="宋体" w:eastAsia="宋体" w:cs="宋体"/>
          <w:b/>
          <w:color w:val="auto"/>
          <w:sz w:val="24"/>
          <w:szCs w:val="24"/>
          <w:highlight w:val="none"/>
          <w:lang w:bidi="ar"/>
        </w:rPr>
        <w:t>.</w:t>
      </w:r>
      <w:r>
        <w:rPr>
          <w:rFonts w:hint="eastAsia" w:ascii="宋体" w:hAnsi="宋体" w:eastAsia="宋体" w:cs="宋体"/>
          <w:color w:val="auto"/>
          <w:sz w:val="24"/>
          <w:szCs w:val="24"/>
          <w:highlight w:val="none"/>
          <w:lang w:bidi="ar"/>
        </w:rPr>
        <w:t>政府采购监督管理部门信息</w:t>
      </w:r>
    </w:p>
    <w:p w14:paraId="5C584AEF">
      <w:pPr>
        <w:spacing w:line="360" w:lineRule="auto"/>
        <w:ind w:firstLine="435"/>
        <w:rPr>
          <w:rFonts w:ascii="宋体" w:hAnsi="宋体" w:eastAsia="宋体"/>
          <w:color w:val="auto"/>
          <w:sz w:val="24"/>
          <w:szCs w:val="24"/>
          <w:highlight w:val="none"/>
        </w:rPr>
      </w:pPr>
      <w:r>
        <w:rPr>
          <w:rFonts w:hint="eastAsia" w:ascii="宋体" w:hAnsi="宋体" w:eastAsia="宋体" w:cs="宋体"/>
          <w:color w:val="auto"/>
          <w:sz w:val="24"/>
          <w:szCs w:val="24"/>
          <w:highlight w:val="none"/>
          <w:lang w:bidi="ar"/>
        </w:rPr>
        <w:t>名  称：</w:t>
      </w:r>
      <w:r>
        <w:rPr>
          <w:rFonts w:hint="eastAsia" w:ascii="宋体" w:hAnsi="宋体" w:eastAsia="宋体" w:cs="宋体"/>
          <w:color w:val="auto"/>
          <w:sz w:val="24"/>
          <w:szCs w:val="24"/>
          <w:highlight w:val="none"/>
          <w:u w:val="single"/>
          <w:lang w:bidi="ar"/>
        </w:rPr>
        <w:t>滁州市公共资源交易监督管理局</w:t>
      </w:r>
    </w:p>
    <w:p w14:paraId="740ADF26">
      <w:pPr>
        <w:spacing w:line="360" w:lineRule="auto"/>
        <w:ind w:firstLine="435"/>
        <w:rPr>
          <w:rFonts w:ascii="宋体" w:hAnsi="宋体" w:eastAsia="宋体"/>
          <w:color w:val="auto"/>
          <w:sz w:val="24"/>
          <w:szCs w:val="24"/>
          <w:highlight w:val="none"/>
        </w:rPr>
      </w:pPr>
      <w:r>
        <w:rPr>
          <w:rFonts w:hint="eastAsia" w:ascii="宋体" w:hAnsi="宋体" w:eastAsia="宋体" w:cs="宋体"/>
          <w:color w:val="auto"/>
          <w:sz w:val="24"/>
          <w:szCs w:val="24"/>
          <w:highlight w:val="none"/>
          <w:lang w:bidi="ar"/>
        </w:rPr>
        <w:t>地</w:t>
      </w: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址：</w:t>
      </w:r>
      <w:r>
        <w:rPr>
          <w:rFonts w:hint="eastAsia" w:ascii="宋体" w:hAnsi="宋体" w:eastAsia="宋体" w:cs="宋体"/>
          <w:color w:val="auto"/>
          <w:sz w:val="24"/>
          <w:szCs w:val="24"/>
          <w:highlight w:val="none"/>
          <w:u w:val="single"/>
          <w:lang w:bidi="ar"/>
        </w:rPr>
        <w:t>滁州市龙蟠大道109号房产大厦三楼</w:t>
      </w:r>
    </w:p>
    <w:p w14:paraId="1BE0DCED">
      <w:pPr>
        <w:spacing w:line="360" w:lineRule="auto"/>
        <w:ind w:firstLine="435"/>
        <w:rPr>
          <w:color w:val="auto"/>
          <w:highlight w:val="none"/>
        </w:rPr>
      </w:pPr>
      <w:r>
        <w:rPr>
          <w:rFonts w:hint="eastAsia" w:ascii="宋体" w:hAnsi="宋体" w:eastAsia="宋体" w:cs="宋体"/>
          <w:color w:val="auto"/>
          <w:sz w:val="24"/>
          <w:szCs w:val="24"/>
          <w:highlight w:val="none"/>
          <w:lang w:bidi="ar"/>
        </w:rPr>
        <w:t>联系方式：</w:t>
      </w:r>
      <w:r>
        <w:rPr>
          <w:rFonts w:hint="eastAsia" w:ascii="宋体" w:hAnsi="宋体" w:eastAsia="宋体" w:cs="宋体"/>
          <w:color w:val="auto"/>
          <w:sz w:val="24"/>
          <w:szCs w:val="24"/>
          <w:highlight w:val="none"/>
          <w:u w:val="single"/>
          <w:lang w:bidi="ar"/>
        </w:rPr>
        <w:t>0550-3801656</w:t>
      </w:r>
    </w:p>
    <w:p w14:paraId="2EB2BDED">
      <w:pPr>
        <w:spacing w:line="360" w:lineRule="auto"/>
        <w:ind w:firstLine="435"/>
        <w:rPr>
          <w:rFonts w:ascii="宋体" w:hAnsi="宋体" w:eastAsia="宋体"/>
          <w:color w:val="auto"/>
          <w:sz w:val="24"/>
          <w:szCs w:val="18"/>
          <w:highlight w:val="none"/>
          <w:u w:val="single"/>
        </w:rPr>
      </w:pPr>
    </w:p>
    <w:p w14:paraId="3411B50B">
      <w:pPr>
        <w:spacing w:line="360" w:lineRule="auto"/>
        <w:ind w:firstLine="435"/>
        <w:rPr>
          <w:rFonts w:ascii="宋体" w:hAnsi="宋体" w:eastAsia="宋体"/>
          <w:color w:val="auto"/>
          <w:sz w:val="24"/>
          <w:szCs w:val="18"/>
          <w:highlight w:val="none"/>
        </w:rPr>
      </w:pPr>
      <w:r>
        <w:rPr>
          <w:rFonts w:ascii="宋体" w:hAnsi="宋体" w:eastAsia="宋体"/>
          <w:color w:val="auto"/>
          <w:sz w:val="24"/>
          <w:szCs w:val="18"/>
          <w:highlight w:val="none"/>
        </w:rPr>
        <w:br w:type="page"/>
      </w:r>
    </w:p>
    <w:p w14:paraId="1E65AF54">
      <w:pPr>
        <w:spacing w:line="360" w:lineRule="auto"/>
        <w:jc w:val="center"/>
        <w:outlineLvl w:val="0"/>
        <w:rPr>
          <w:rFonts w:asciiTheme="minorEastAsia" w:hAnsiTheme="minorEastAsia" w:eastAsiaTheme="minorEastAsia"/>
          <w:b/>
          <w:color w:val="auto"/>
          <w:sz w:val="28"/>
          <w:highlight w:val="none"/>
        </w:rPr>
      </w:pPr>
      <w:bookmarkStart w:id="4" w:name="_Toc3785"/>
      <w:bookmarkStart w:id="5" w:name="_Toc7162"/>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供应商</w:t>
      </w:r>
      <w:r>
        <w:rPr>
          <w:rFonts w:asciiTheme="minorEastAsia" w:hAnsiTheme="minorEastAsia" w:eastAsiaTheme="minorEastAsia"/>
          <w:b/>
          <w:color w:val="auto"/>
          <w:sz w:val="28"/>
          <w:highlight w:val="none"/>
        </w:rPr>
        <w:t>须知</w:t>
      </w:r>
      <w:bookmarkEnd w:id="4"/>
      <w:bookmarkEnd w:id="5"/>
    </w:p>
    <w:p w14:paraId="6D14119D">
      <w:pPr>
        <w:spacing w:line="360" w:lineRule="auto"/>
        <w:jc w:val="center"/>
        <w:outlineLvl w:val="1"/>
        <w:rPr>
          <w:rFonts w:asciiTheme="minorEastAsia" w:hAnsiTheme="minorEastAsia" w:eastAsiaTheme="minorEastAsia"/>
          <w:b/>
          <w:color w:val="auto"/>
          <w:sz w:val="24"/>
          <w:highlight w:val="none"/>
        </w:rPr>
      </w:pPr>
      <w:bookmarkStart w:id="6" w:name="_Toc11383"/>
      <w:bookmarkStart w:id="7" w:name="_Toc11709"/>
      <w:r>
        <w:rPr>
          <w:rFonts w:hint="eastAsia" w:asciiTheme="minorEastAsia" w:hAnsiTheme="minorEastAsia" w:eastAsiaTheme="minorEastAsia"/>
          <w:b/>
          <w:color w:val="auto"/>
          <w:sz w:val="24"/>
          <w:highlight w:val="none"/>
        </w:rPr>
        <w:t>一、供应商</w:t>
      </w:r>
      <w:r>
        <w:rPr>
          <w:rFonts w:asciiTheme="minorEastAsia" w:hAnsiTheme="minorEastAsia" w:eastAsiaTheme="minorEastAsia"/>
          <w:b/>
          <w:color w:val="auto"/>
          <w:sz w:val="24"/>
          <w:highlight w:val="none"/>
        </w:rPr>
        <w:t>须知前附表</w:t>
      </w:r>
      <w:bookmarkEnd w:id="6"/>
      <w:bookmarkEnd w:id="7"/>
    </w:p>
    <w:p w14:paraId="1940BE5F">
      <w:pPr>
        <w:spacing w:line="360" w:lineRule="auto"/>
        <w:ind w:firstLine="435"/>
        <w:rPr>
          <w:rFonts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本表是本项目的具体要求，是对供应商须知的具体补充和修改，如有不一致，以本表为准。</w:t>
      </w:r>
    </w:p>
    <w:tbl>
      <w:tblPr>
        <w:tblStyle w:val="25"/>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2031"/>
        <w:gridCol w:w="5722"/>
      </w:tblGrid>
      <w:tr w14:paraId="7A2D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0AE5DC5E">
            <w:pPr>
              <w:pStyle w:val="43"/>
              <w:widowControl w:val="0"/>
              <w:spacing w:before="0" w:beforeAutospacing="0" w:after="0" w:afterAutospacing="0" w:line="360" w:lineRule="auto"/>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1160" w:type="pct"/>
            <w:vAlign w:val="center"/>
          </w:tcPr>
          <w:p w14:paraId="629D8455">
            <w:pPr>
              <w:pStyle w:val="43"/>
              <w:widowControl w:val="0"/>
              <w:spacing w:before="0" w:beforeAutospacing="0" w:after="0" w:afterAutospacing="0" w:line="360" w:lineRule="auto"/>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3267" w:type="pct"/>
            <w:vAlign w:val="center"/>
          </w:tcPr>
          <w:p w14:paraId="07067A50">
            <w:pPr>
              <w:pStyle w:val="43"/>
              <w:widowControl w:val="0"/>
              <w:spacing w:before="0" w:beforeAutospacing="0" w:after="0" w:afterAutospacing="0" w:line="360" w:lineRule="auto"/>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04C53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3FD37CAD">
            <w:pPr>
              <w:pStyle w:val="44"/>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5</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1160" w:type="pct"/>
            <w:vAlign w:val="center"/>
          </w:tcPr>
          <w:p w14:paraId="04BAD88A">
            <w:pPr>
              <w:pStyle w:val="43"/>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kern w:val="2"/>
                <w:sz w:val="24"/>
                <w:szCs w:val="22"/>
                <w:highlight w:val="none"/>
              </w:rPr>
              <w:t>现场考察或标前答疑会</w:t>
            </w:r>
          </w:p>
        </w:tc>
        <w:tc>
          <w:tcPr>
            <w:tcW w:w="3267" w:type="pct"/>
            <w:vAlign w:val="center"/>
          </w:tcPr>
          <w:p w14:paraId="41A36F1A">
            <w:pPr>
              <w:spacing w:line="360" w:lineRule="auto"/>
              <w:rPr>
                <w:rFonts w:ascii="宋体" w:hAnsi="宋体" w:eastAsia="宋体"/>
                <w:bCs/>
                <w:color w:val="auto"/>
                <w:sz w:val="24"/>
                <w:highlight w:val="none"/>
              </w:rPr>
            </w:pPr>
            <w:r>
              <w:rPr>
                <w:rFonts w:hint="eastAsia" w:ascii="宋体" w:hAnsi="宋体" w:eastAsia="宋体"/>
                <w:bCs/>
                <w:color w:val="auto"/>
                <w:sz w:val="24"/>
                <w:szCs w:val="24"/>
                <w:highlight w:val="none"/>
              </w:rPr>
              <w:t>☑</w:t>
            </w:r>
            <w:r>
              <w:rPr>
                <w:rFonts w:hint="eastAsia" w:ascii="宋体" w:hAnsi="宋体" w:eastAsia="宋体"/>
                <w:color w:val="auto"/>
                <w:sz w:val="24"/>
                <w:highlight w:val="none"/>
              </w:rPr>
              <w:t>不组织或不召开</w:t>
            </w:r>
          </w:p>
          <w:p w14:paraId="58589960">
            <w:pPr>
              <w:spacing w:line="360" w:lineRule="auto"/>
              <w:rPr>
                <w:rFonts w:ascii="宋体" w:hAnsi="宋体" w:eastAsia="宋体"/>
                <w:bCs/>
                <w:color w:val="auto"/>
                <w:sz w:val="24"/>
                <w:highlight w:val="none"/>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w:t>
            </w:r>
          </w:p>
          <w:p w14:paraId="6DFC9AC3">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rPr>
              <w:t xml:space="preserve"> /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分</w:t>
            </w:r>
          </w:p>
          <w:p w14:paraId="38AFDA7B">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5257A4EB">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联系人及联系电话：</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119440B9">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Cs w:val="0"/>
                <w:color w:val="auto"/>
                <w:sz w:val="24"/>
                <w:highlight w:val="none"/>
              </w:rPr>
              <w:t>注：如供应商未参加采购人统一组织的现场考察或采购人统一召开的标前答疑会，视同放弃现场考察或标前答疑会，由此引起的一切责任由供应商自行承担。</w:t>
            </w:r>
          </w:p>
        </w:tc>
      </w:tr>
      <w:tr w14:paraId="778C9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7D6910E1">
            <w:pPr>
              <w:pStyle w:val="44"/>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6</w:t>
            </w:r>
            <w:r>
              <w:rPr>
                <w:rFonts w:ascii="宋体" w:hAnsi="宋体" w:eastAsia="宋体"/>
                <w:bCs/>
                <w:color w:val="auto"/>
                <w:kern w:val="2"/>
                <w:highlight w:val="none"/>
              </w:rPr>
              <w:t>.1</w:t>
            </w:r>
          </w:p>
        </w:tc>
        <w:tc>
          <w:tcPr>
            <w:tcW w:w="1160" w:type="pct"/>
            <w:vAlign w:val="center"/>
          </w:tcPr>
          <w:p w14:paraId="015EEDAB">
            <w:pPr>
              <w:pStyle w:val="43"/>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sz w:val="24"/>
                <w:highlight w:val="none"/>
              </w:rPr>
              <w:t>网上询问截止时间</w:t>
            </w:r>
          </w:p>
        </w:tc>
        <w:tc>
          <w:tcPr>
            <w:tcW w:w="3267" w:type="pct"/>
            <w:vAlign w:val="center"/>
          </w:tcPr>
          <w:p w14:paraId="51BA2955">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rPr>
              <w:t>202</w:t>
            </w:r>
            <w:r>
              <w:rPr>
                <w:rFonts w:hint="eastAsia" w:ascii="宋体" w:hAnsi="宋体" w:eastAsia="宋体"/>
                <w:b w:val="0"/>
                <w:color w:val="auto"/>
                <w:sz w:val="24"/>
                <w:highlight w:val="none"/>
                <w:u w:val="single"/>
                <w:lang w:val="en-US" w:eastAsia="zh-CN"/>
              </w:rPr>
              <w:t>5</w:t>
            </w:r>
            <w:r>
              <w:rPr>
                <w:rFonts w:ascii="宋体" w:hAnsi="宋体" w:eastAsia="宋体"/>
                <w:b w:val="0"/>
                <w:color w:val="auto"/>
                <w:sz w:val="24"/>
                <w:highlight w:val="none"/>
                <w:u w:val="single"/>
              </w:rPr>
              <w:t xml:space="preserve"> </w:t>
            </w:r>
            <w:r>
              <w:rPr>
                <w:rFonts w:ascii="宋体" w:hAnsi="宋体" w:eastAsia="宋体"/>
                <w:b w:val="0"/>
                <w:color w:val="auto"/>
                <w:sz w:val="24"/>
                <w:highlight w:val="none"/>
              </w:rPr>
              <w:t>年</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08</w:t>
            </w:r>
            <w:r>
              <w:rPr>
                <w:rFonts w:ascii="宋体" w:hAnsi="宋体" w:eastAsia="宋体"/>
                <w:b w:val="0"/>
                <w:color w:val="auto"/>
                <w:sz w:val="24"/>
                <w:highlight w:val="none"/>
              </w:rPr>
              <w:t>月</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 xml:space="preserve">05 </w:t>
            </w:r>
            <w:r>
              <w:rPr>
                <w:rFonts w:ascii="宋体" w:hAnsi="宋体" w:eastAsia="宋体"/>
                <w:b w:val="0"/>
                <w:color w:val="auto"/>
                <w:sz w:val="24"/>
                <w:highlight w:val="none"/>
              </w:rPr>
              <w:t>日</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rPr>
              <w:t>17</w:t>
            </w:r>
            <w:r>
              <w:rPr>
                <w:rFonts w:ascii="宋体" w:hAnsi="宋体" w:eastAsia="宋体"/>
                <w:b w:val="0"/>
                <w:color w:val="auto"/>
                <w:sz w:val="24"/>
                <w:highlight w:val="none"/>
                <w:u w:val="single"/>
              </w:rPr>
              <w:t xml:space="preserve"> </w:t>
            </w:r>
            <w:r>
              <w:rPr>
                <w:rFonts w:ascii="宋体" w:hAnsi="宋体" w:eastAsia="宋体"/>
                <w:b w:val="0"/>
                <w:color w:val="auto"/>
                <w:sz w:val="24"/>
                <w:highlight w:val="none"/>
              </w:rPr>
              <w:t>时</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rPr>
              <w:t>30</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rPr>
              <w:t>分</w:t>
            </w:r>
          </w:p>
        </w:tc>
      </w:tr>
      <w:tr w14:paraId="5503A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002" w:type="dxa"/>
            <w:vAlign w:val="center"/>
          </w:tcPr>
          <w:p w14:paraId="6AD45C62">
            <w:pPr>
              <w:pStyle w:val="44"/>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7.1</w:t>
            </w:r>
          </w:p>
        </w:tc>
        <w:tc>
          <w:tcPr>
            <w:tcW w:w="1160" w:type="pct"/>
            <w:vAlign w:val="center"/>
          </w:tcPr>
          <w:p w14:paraId="06A2DEFF">
            <w:pPr>
              <w:pStyle w:val="43"/>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267" w:type="pct"/>
            <w:vAlign w:val="center"/>
          </w:tcPr>
          <w:p w14:paraId="59030409">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lang w:eastAsia="zh-CN"/>
              </w:rPr>
              <w:t>□</w:t>
            </w:r>
            <w:r>
              <w:rPr>
                <w:rFonts w:ascii="宋体" w:hAnsi="宋体" w:eastAsia="宋体"/>
                <w:b w:val="0"/>
                <w:color w:val="auto"/>
                <w:sz w:val="24"/>
                <w:highlight w:val="none"/>
              </w:rPr>
              <w:t xml:space="preserve">不分包     </w:t>
            </w:r>
            <w:r>
              <w:rPr>
                <w:rFonts w:hint="eastAsia" w:ascii="宋体" w:hAnsi="宋体" w:eastAsia="宋体"/>
                <w:b w:val="0"/>
                <w:color w:val="auto"/>
                <w:sz w:val="24"/>
                <w:highlight w:val="none"/>
                <w:lang w:eastAsia="zh-CN"/>
              </w:rPr>
              <w:t>☑</w:t>
            </w:r>
            <w:r>
              <w:rPr>
                <w:rFonts w:ascii="宋体" w:hAnsi="宋体" w:eastAsia="宋体"/>
                <w:b w:val="0"/>
                <w:color w:val="auto"/>
                <w:sz w:val="24"/>
                <w:highlight w:val="none"/>
              </w:rPr>
              <w:t>分为</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2</w:t>
            </w:r>
            <w:r>
              <w:rPr>
                <w:rFonts w:ascii="宋体" w:hAnsi="宋体" w:eastAsia="宋体"/>
                <w:b w:val="0"/>
                <w:color w:val="auto"/>
                <w:sz w:val="24"/>
                <w:highlight w:val="none"/>
                <w:u w:val="single"/>
              </w:rPr>
              <w:t xml:space="preserve"> </w:t>
            </w:r>
            <w:r>
              <w:rPr>
                <w:rFonts w:ascii="宋体" w:hAnsi="宋体" w:eastAsia="宋体"/>
                <w:b w:val="0"/>
                <w:color w:val="auto"/>
                <w:sz w:val="24"/>
                <w:highlight w:val="none"/>
              </w:rPr>
              <w:t>个包</w:t>
            </w:r>
          </w:p>
          <w:p w14:paraId="60FE36D1">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rPr>
              <w:t>供应商参加多个包磋商的成交</w:t>
            </w:r>
            <w:r>
              <w:rPr>
                <w:rFonts w:ascii="宋体" w:hAnsi="宋体" w:eastAsia="宋体"/>
                <w:b w:val="0"/>
                <w:bCs w:val="0"/>
                <w:color w:val="auto"/>
                <w:sz w:val="24"/>
                <w:szCs w:val="24"/>
                <w:highlight w:val="none"/>
              </w:rPr>
              <w:t>包</w:t>
            </w:r>
            <w:r>
              <w:rPr>
                <w:rFonts w:hint="eastAsia" w:ascii="宋体" w:hAnsi="宋体" w:eastAsia="宋体"/>
                <w:b w:val="0"/>
                <w:bCs w:val="0"/>
                <w:color w:val="auto"/>
                <w:sz w:val="24"/>
                <w:szCs w:val="24"/>
                <w:highlight w:val="none"/>
              </w:rPr>
              <w:t>数规定：</w:t>
            </w:r>
            <w:r>
              <w:rPr>
                <w:rFonts w:hint="eastAsia" w:ascii="宋体" w:hAnsi="宋体" w:eastAsia="宋体"/>
                <w:b w:val="0"/>
                <w:bCs w:val="0"/>
                <w:color w:val="auto"/>
                <w:sz w:val="24"/>
                <w:szCs w:val="24"/>
                <w:highlight w:val="none"/>
                <w:u w:val="single"/>
              </w:rPr>
              <w:t>供应商</w:t>
            </w:r>
            <w:r>
              <w:rPr>
                <w:rFonts w:hint="eastAsia" w:ascii="宋体" w:hAnsi="宋体" w:eastAsia="宋体" w:cs="宋体"/>
                <w:b w:val="0"/>
                <w:color w:val="auto"/>
                <w:sz w:val="24"/>
                <w:highlight w:val="none"/>
                <w:u w:val="single"/>
              </w:rPr>
              <w:t>可以同时</w:t>
            </w:r>
            <w:r>
              <w:rPr>
                <w:rFonts w:hint="eastAsia" w:ascii="宋体" w:hAnsi="宋体" w:eastAsia="宋体" w:cs="宋体"/>
                <w:b w:val="0"/>
                <w:color w:val="auto"/>
                <w:sz w:val="24"/>
                <w:highlight w:val="none"/>
                <w:u w:val="single"/>
                <w:lang w:val="en-US" w:eastAsia="zh-CN"/>
              </w:rPr>
              <w:t>参与本项目2</w:t>
            </w:r>
            <w:r>
              <w:rPr>
                <w:rFonts w:hint="eastAsia" w:ascii="宋体" w:hAnsi="宋体" w:eastAsia="宋体" w:cs="宋体"/>
                <w:b w:val="0"/>
                <w:color w:val="auto"/>
                <w:sz w:val="24"/>
                <w:highlight w:val="none"/>
                <w:u w:val="single"/>
              </w:rPr>
              <w:t>个包</w:t>
            </w:r>
            <w:r>
              <w:rPr>
                <w:rFonts w:hint="eastAsia" w:ascii="宋体" w:hAnsi="宋体" w:eastAsia="宋体" w:cs="宋体"/>
                <w:b w:val="0"/>
                <w:color w:val="auto"/>
                <w:sz w:val="24"/>
                <w:highlight w:val="none"/>
                <w:u w:val="single"/>
                <w:lang w:val="en-US" w:eastAsia="zh-CN"/>
              </w:rPr>
              <w:t>的投标</w:t>
            </w:r>
            <w:r>
              <w:rPr>
                <w:rFonts w:hint="eastAsia" w:ascii="宋体" w:hAnsi="宋体" w:eastAsia="宋体" w:cs="宋体"/>
                <w:b w:val="0"/>
                <w:color w:val="auto"/>
                <w:sz w:val="24"/>
                <w:highlight w:val="none"/>
                <w:u w:val="single"/>
              </w:rPr>
              <w:t>，但只能</w:t>
            </w:r>
            <w:r>
              <w:rPr>
                <w:rFonts w:hint="eastAsia" w:ascii="宋体" w:hAnsi="宋体" w:eastAsia="宋体" w:cs="宋体"/>
                <w:b w:val="0"/>
                <w:color w:val="auto"/>
                <w:sz w:val="24"/>
                <w:highlight w:val="none"/>
                <w:u w:val="single"/>
                <w:lang w:val="en-US" w:eastAsia="zh-CN"/>
              </w:rPr>
              <w:t>按评审顺序</w:t>
            </w:r>
            <w:r>
              <w:rPr>
                <w:rFonts w:hint="eastAsia" w:ascii="宋体" w:hAnsi="宋体" w:eastAsia="宋体" w:cs="宋体"/>
                <w:b w:val="0"/>
                <w:color w:val="auto"/>
                <w:sz w:val="24"/>
                <w:highlight w:val="none"/>
                <w:u w:val="single"/>
              </w:rPr>
              <w:t>中其中1个包。评审时按照包别顺序依次进行（评审顺序：1包→2包）。如某一有效投标人被确定为</w:t>
            </w:r>
            <w:r>
              <w:rPr>
                <w:rFonts w:hint="eastAsia" w:ascii="宋体" w:hAnsi="宋体" w:eastAsia="宋体" w:cs="宋体"/>
                <w:b w:val="0"/>
                <w:color w:val="auto"/>
                <w:sz w:val="24"/>
                <w:highlight w:val="none"/>
                <w:u w:val="single"/>
                <w:lang w:val="en-US" w:eastAsia="zh-CN"/>
              </w:rPr>
              <w:t>1包</w:t>
            </w:r>
            <w:r>
              <w:rPr>
                <w:rFonts w:hint="eastAsia" w:ascii="宋体" w:hAnsi="宋体" w:eastAsia="宋体" w:cs="宋体"/>
                <w:b w:val="0"/>
                <w:color w:val="auto"/>
                <w:sz w:val="24"/>
                <w:highlight w:val="none"/>
                <w:u w:val="single"/>
              </w:rPr>
              <w:t>的</w:t>
            </w:r>
            <w:r>
              <w:rPr>
                <w:rFonts w:hint="eastAsia" w:ascii="宋体" w:hAnsi="宋体" w:eastAsia="宋体" w:cs="宋体"/>
                <w:b w:val="0"/>
                <w:color w:val="auto"/>
                <w:sz w:val="24"/>
                <w:highlight w:val="none"/>
                <w:u w:val="single"/>
                <w:lang w:eastAsia="zh-CN"/>
              </w:rPr>
              <w:t>第一中标候选人</w:t>
            </w:r>
            <w:r>
              <w:rPr>
                <w:rFonts w:hint="eastAsia" w:ascii="宋体" w:hAnsi="宋体" w:eastAsia="宋体" w:cs="宋体"/>
                <w:b w:val="0"/>
                <w:color w:val="auto"/>
                <w:sz w:val="24"/>
                <w:highlight w:val="none"/>
                <w:u w:val="single"/>
              </w:rPr>
              <w:t>，则</w:t>
            </w:r>
            <w:r>
              <w:rPr>
                <w:rFonts w:hint="eastAsia" w:ascii="宋体" w:hAnsi="宋体" w:eastAsia="宋体" w:cs="宋体"/>
                <w:b w:val="0"/>
                <w:color w:val="auto"/>
                <w:sz w:val="24"/>
                <w:highlight w:val="none"/>
                <w:u w:val="single"/>
                <w:lang w:eastAsia="zh-CN"/>
              </w:rPr>
              <w:t>在</w:t>
            </w:r>
            <w:r>
              <w:rPr>
                <w:rFonts w:hint="eastAsia" w:ascii="宋体" w:hAnsi="宋体" w:eastAsia="宋体" w:cs="宋体"/>
                <w:b w:val="0"/>
                <w:color w:val="auto"/>
                <w:sz w:val="24"/>
                <w:highlight w:val="none"/>
                <w:u w:val="single"/>
                <w:lang w:val="en-US" w:eastAsia="zh-CN"/>
              </w:rPr>
              <w:t>2包</w:t>
            </w:r>
            <w:r>
              <w:rPr>
                <w:rFonts w:hint="eastAsia" w:ascii="宋体" w:hAnsi="宋体" w:eastAsia="宋体" w:cs="宋体"/>
                <w:b w:val="0"/>
                <w:color w:val="auto"/>
                <w:sz w:val="24"/>
                <w:highlight w:val="none"/>
                <w:u w:val="single"/>
                <w:lang w:eastAsia="zh-CN"/>
              </w:rPr>
              <w:t>中通过资格审查和符合性审查后，仅作为有效投标人，</w:t>
            </w:r>
            <w:r>
              <w:rPr>
                <w:rFonts w:hint="eastAsia" w:ascii="宋体" w:hAnsi="宋体" w:eastAsia="宋体" w:cs="宋体"/>
                <w:b w:val="0"/>
                <w:color w:val="auto"/>
                <w:sz w:val="24"/>
                <w:highlight w:val="none"/>
                <w:u w:val="single"/>
              </w:rPr>
              <w:t>不再参与</w:t>
            </w:r>
            <w:r>
              <w:rPr>
                <w:rFonts w:hint="eastAsia" w:ascii="宋体" w:hAnsi="宋体" w:eastAsia="宋体" w:cs="宋体"/>
                <w:b w:val="0"/>
                <w:color w:val="auto"/>
                <w:sz w:val="24"/>
                <w:highlight w:val="none"/>
                <w:u w:val="single"/>
                <w:lang w:val="en-US" w:eastAsia="zh-CN"/>
              </w:rPr>
              <w:t>2包</w:t>
            </w:r>
            <w:r>
              <w:rPr>
                <w:rFonts w:hint="eastAsia" w:ascii="宋体" w:hAnsi="宋体" w:eastAsia="宋体" w:cs="宋体"/>
                <w:b w:val="0"/>
                <w:color w:val="auto"/>
                <w:sz w:val="24"/>
                <w:highlight w:val="none"/>
                <w:u w:val="single"/>
              </w:rPr>
              <w:t>的中标候选</w:t>
            </w:r>
            <w:r>
              <w:rPr>
                <w:rFonts w:hint="eastAsia" w:ascii="宋体" w:hAnsi="宋体" w:eastAsia="宋体" w:cs="宋体"/>
                <w:b w:val="0"/>
                <w:color w:val="auto"/>
                <w:sz w:val="24"/>
                <w:highlight w:val="none"/>
                <w:u w:val="single"/>
                <w:lang w:val="en-US" w:eastAsia="zh-CN"/>
              </w:rPr>
              <w:t>人</w:t>
            </w:r>
            <w:r>
              <w:rPr>
                <w:rFonts w:hint="eastAsia" w:ascii="宋体" w:hAnsi="宋体" w:eastAsia="宋体" w:cs="宋体"/>
                <w:b w:val="0"/>
                <w:color w:val="auto"/>
                <w:sz w:val="24"/>
                <w:highlight w:val="none"/>
                <w:u w:val="single"/>
              </w:rPr>
              <w:t>排名</w:t>
            </w:r>
            <w:r>
              <w:rPr>
                <w:rFonts w:hint="eastAsia" w:ascii="宋体" w:hAnsi="宋体" w:eastAsia="宋体" w:cs="宋体"/>
                <w:b w:val="0"/>
                <w:color w:val="auto"/>
                <w:sz w:val="24"/>
                <w:highlight w:val="none"/>
                <w:u w:val="single"/>
                <w:lang w:eastAsia="zh-CN"/>
              </w:rPr>
              <w:t>。</w:t>
            </w:r>
            <w:r>
              <w:rPr>
                <w:rFonts w:hint="eastAsia" w:ascii="宋体" w:hAnsi="宋体" w:eastAsia="宋体" w:cs="宋体"/>
                <w:b w:val="0"/>
                <w:color w:val="auto"/>
                <w:sz w:val="24"/>
                <w:highlight w:val="none"/>
                <w:u w:val="single"/>
                <w:lang w:val="en-US" w:eastAsia="zh-CN"/>
              </w:rPr>
              <w:t>评审完成后被确定为第一中标候选人的供应商在任何情况下均不参与其他包别的中标人递补。</w:t>
            </w:r>
          </w:p>
        </w:tc>
      </w:tr>
      <w:tr w14:paraId="054EE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02" w:type="dxa"/>
            <w:vAlign w:val="center"/>
          </w:tcPr>
          <w:p w14:paraId="5828F3D4">
            <w:pPr>
              <w:pStyle w:val="44"/>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10.1</w:t>
            </w:r>
          </w:p>
        </w:tc>
        <w:tc>
          <w:tcPr>
            <w:tcW w:w="1160" w:type="pct"/>
            <w:vAlign w:val="center"/>
          </w:tcPr>
          <w:p w14:paraId="31CD62E0">
            <w:pPr>
              <w:pStyle w:val="43"/>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sz w:val="24"/>
                <w:highlight w:val="none"/>
              </w:rPr>
              <w:t>磋商保证金</w:t>
            </w:r>
          </w:p>
        </w:tc>
        <w:tc>
          <w:tcPr>
            <w:tcW w:w="3267" w:type="pct"/>
            <w:vAlign w:val="center"/>
          </w:tcPr>
          <w:p w14:paraId="43EA111A">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不收取</w:t>
            </w:r>
          </w:p>
        </w:tc>
      </w:tr>
      <w:tr w14:paraId="7B17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58DD35E8">
            <w:pPr>
              <w:pStyle w:val="44"/>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11</w:t>
            </w:r>
            <w:r>
              <w:rPr>
                <w:rFonts w:ascii="宋体" w:hAnsi="宋体" w:eastAsia="宋体"/>
                <w:bCs/>
                <w:color w:val="auto"/>
                <w:kern w:val="2"/>
                <w:highlight w:val="none"/>
              </w:rPr>
              <w:t>.1</w:t>
            </w:r>
          </w:p>
        </w:tc>
        <w:tc>
          <w:tcPr>
            <w:tcW w:w="1160" w:type="pct"/>
            <w:vAlign w:val="center"/>
          </w:tcPr>
          <w:p w14:paraId="0CA105B5">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磋商有效期</w:t>
            </w:r>
          </w:p>
        </w:tc>
        <w:tc>
          <w:tcPr>
            <w:tcW w:w="3267" w:type="pct"/>
            <w:vAlign w:val="center"/>
          </w:tcPr>
          <w:p w14:paraId="17835C23">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single"/>
              </w:rPr>
              <w:t xml:space="preserve"> 90 </w:t>
            </w:r>
            <w:r>
              <w:rPr>
                <w:rFonts w:hint="eastAsia" w:ascii="宋体" w:hAnsi="宋体" w:eastAsia="宋体"/>
                <w:b w:val="0"/>
                <w:color w:val="auto"/>
                <w:sz w:val="24"/>
                <w:highlight w:val="none"/>
              </w:rPr>
              <w:t>日历日</w:t>
            </w:r>
          </w:p>
        </w:tc>
      </w:tr>
      <w:tr w14:paraId="0F2C3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778240F1">
            <w:pPr>
              <w:pStyle w:val="44"/>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12</w:t>
            </w:r>
            <w:r>
              <w:rPr>
                <w:rFonts w:ascii="宋体" w:hAnsi="宋体" w:eastAsia="宋体"/>
                <w:bCs/>
                <w:color w:val="auto"/>
                <w:kern w:val="2"/>
                <w:highlight w:val="none"/>
              </w:rPr>
              <w:t>.</w:t>
            </w:r>
            <w:r>
              <w:rPr>
                <w:rFonts w:hint="eastAsia" w:ascii="宋体" w:hAnsi="宋体" w:eastAsia="宋体"/>
                <w:bCs/>
                <w:color w:val="auto"/>
                <w:kern w:val="2"/>
                <w:highlight w:val="none"/>
              </w:rPr>
              <w:t>3</w:t>
            </w:r>
          </w:p>
        </w:tc>
        <w:tc>
          <w:tcPr>
            <w:tcW w:w="1160" w:type="pct"/>
            <w:vAlign w:val="center"/>
          </w:tcPr>
          <w:p w14:paraId="5B5ADBD6">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响应文件解密时间</w:t>
            </w:r>
          </w:p>
        </w:tc>
        <w:tc>
          <w:tcPr>
            <w:tcW w:w="3267" w:type="pct"/>
            <w:vAlign w:val="center"/>
          </w:tcPr>
          <w:p w14:paraId="726B0204">
            <w:pPr>
              <w:pStyle w:val="43"/>
              <w:widowControl w:val="0"/>
              <w:spacing w:before="0" w:beforeAutospacing="0" w:after="0" w:afterAutospacing="0" w:line="360" w:lineRule="auto"/>
              <w:jc w:val="both"/>
              <w:rPr>
                <w:rFonts w:ascii="宋体" w:hAnsi="宋体" w:eastAsia="宋体"/>
                <w:b w:val="0"/>
                <w:color w:val="auto"/>
                <w:sz w:val="24"/>
                <w:highlight w:val="none"/>
                <w:u w:val="single"/>
              </w:rPr>
            </w:pPr>
            <w:r>
              <w:rPr>
                <w:rFonts w:hint="eastAsia" w:ascii="宋体" w:hAnsi="宋体" w:eastAsia="宋体"/>
                <w:b w:val="0"/>
                <w:color w:val="auto"/>
                <w:sz w:val="24"/>
                <w:highlight w:val="none"/>
              </w:rPr>
              <w:t>响应文件提交截止时间后</w:t>
            </w:r>
            <w:r>
              <w:rPr>
                <w:rFonts w:hint="eastAsia" w:ascii="宋体" w:hAnsi="宋体" w:eastAsia="宋体"/>
                <w:b w:val="0"/>
                <w:color w:val="auto"/>
                <w:sz w:val="24"/>
                <w:highlight w:val="none"/>
                <w:u w:val="single"/>
              </w:rPr>
              <w:t xml:space="preserve"> 60 </w:t>
            </w:r>
            <w:r>
              <w:rPr>
                <w:rFonts w:hint="eastAsia" w:ascii="宋体" w:hAnsi="宋体" w:eastAsia="宋体"/>
                <w:b w:val="0"/>
                <w:color w:val="auto"/>
                <w:sz w:val="24"/>
                <w:highlight w:val="none"/>
              </w:rPr>
              <w:t>分钟内（以本项目网上招投标系统解密倒计时为准）。</w:t>
            </w:r>
          </w:p>
        </w:tc>
      </w:tr>
      <w:tr w14:paraId="0618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39251797">
            <w:pPr>
              <w:pStyle w:val="44"/>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14.2</w:t>
            </w:r>
          </w:p>
        </w:tc>
        <w:tc>
          <w:tcPr>
            <w:tcW w:w="1160" w:type="pct"/>
            <w:vAlign w:val="center"/>
          </w:tcPr>
          <w:p w14:paraId="1D42D461">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评审方法</w:t>
            </w:r>
          </w:p>
        </w:tc>
        <w:tc>
          <w:tcPr>
            <w:tcW w:w="3267" w:type="pct"/>
            <w:vAlign w:val="center"/>
          </w:tcPr>
          <w:p w14:paraId="20E2B29F">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综合评分法</w:t>
            </w:r>
          </w:p>
        </w:tc>
      </w:tr>
      <w:tr w14:paraId="684AB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0EB1DDC0">
            <w:pPr>
              <w:pStyle w:val="44"/>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17.4</w:t>
            </w:r>
          </w:p>
        </w:tc>
        <w:tc>
          <w:tcPr>
            <w:tcW w:w="1160" w:type="pct"/>
            <w:vAlign w:val="center"/>
          </w:tcPr>
          <w:p w14:paraId="235358DA">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最后报价扣除</w:t>
            </w:r>
            <w:r>
              <w:rPr>
                <w:rFonts w:hint="eastAsia" w:ascii="宋体" w:hAnsi="宋体" w:eastAsia="宋体"/>
                <w:b w:val="0"/>
                <w:i/>
                <w:color w:val="auto"/>
                <w:sz w:val="24"/>
                <w:highlight w:val="none"/>
              </w:rPr>
              <w:t>（非专门面向中小企业采购项目适用）</w:t>
            </w:r>
          </w:p>
        </w:tc>
        <w:tc>
          <w:tcPr>
            <w:tcW w:w="3267" w:type="pct"/>
            <w:vAlign w:val="center"/>
          </w:tcPr>
          <w:p w14:paraId="7655D17C">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（1）</w:t>
            </w:r>
            <w:r>
              <w:rPr>
                <w:rFonts w:ascii="宋体" w:hAnsi="宋体" w:eastAsia="宋体"/>
                <w:b w:val="0"/>
                <w:color w:val="auto"/>
                <w:sz w:val="24"/>
                <w:highlight w:val="none"/>
              </w:rPr>
              <w:t>小型和微型</w:t>
            </w:r>
            <w:r>
              <w:rPr>
                <w:rFonts w:hint="eastAsia" w:ascii="宋体" w:hAnsi="宋体" w:eastAsia="宋体"/>
                <w:b w:val="0"/>
                <w:color w:val="auto"/>
                <w:sz w:val="24"/>
                <w:highlight w:val="none"/>
              </w:rPr>
              <w:t>企业价格扣除：</w:t>
            </w:r>
            <w:r>
              <w:rPr>
                <w:rFonts w:hint="eastAsia" w:ascii="宋体" w:hAnsi="宋体" w:eastAsia="宋体"/>
                <w:b w:val="0"/>
                <w:color w:val="auto"/>
                <w:sz w:val="24"/>
                <w:highlight w:val="none"/>
                <w:u w:val="single"/>
                <w:lang w:val="en-US" w:eastAsia="zh-CN"/>
              </w:rPr>
              <w:t>/</w:t>
            </w:r>
            <w:r>
              <w:rPr>
                <w:rFonts w:hint="eastAsia" w:ascii="宋体" w:hAnsi="宋体" w:eastAsia="宋体"/>
                <w:b w:val="0"/>
                <w:color w:val="auto"/>
                <w:sz w:val="24"/>
                <w:highlight w:val="none"/>
              </w:rPr>
              <w:t>。</w:t>
            </w:r>
          </w:p>
          <w:p w14:paraId="081522BA">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（2）监狱企业价格扣除：同</w:t>
            </w:r>
            <w:r>
              <w:rPr>
                <w:rFonts w:ascii="宋体" w:hAnsi="宋体" w:eastAsia="宋体"/>
                <w:b w:val="0"/>
                <w:color w:val="auto"/>
                <w:sz w:val="24"/>
                <w:highlight w:val="none"/>
              </w:rPr>
              <w:t>小型和微型企业</w:t>
            </w:r>
            <w:r>
              <w:rPr>
                <w:rFonts w:hint="eastAsia" w:ascii="宋体" w:hAnsi="宋体" w:eastAsia="宋体"/>
                <w:b w:val="0"/>
                <w:color w:val="auto"/>
                <w:sz w:val="24"/>
                <w:highlight w:val="none"/>
              </w:rPr>
              <w:t>。</w:t>
            </w:r>
          </w:p>
          <w:p w14:paraId="1D3077DC">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（3）残疾人福利性单位价格扣除：同</w:t>
            </w:r>
            <w:r>
              <w:rPr>
                <w:rFonts w:ascii="宋体" w:hAnsi="宋体" w:eastAsia="宋体"/>
                <w:b w:val="0"/>
                <w:color w:val="auto"/>
                <w:sz w:val="24"/>
                <w:highlight w:val="none"/>
              </w:rPr>
              <w:t>小型和微型企业</w:t>
            </w:r>
            <w:r>
              <w:rPr>
                <w:rFonts w:hint="eastAsia" w:ascii="宋体" w:hAnsi="宋体" w:eastAsia="宋体"/>
                <w:b w:val="0"/>
                <w:color w:val="auto"/>
                <w:sz w:val="24"/>
                <w:highlight w:val="none"/>
              </w:rPr>
              <w:t>。</w:t>
            </w:r>
          </w:p>
          <w:p w14:paraId="6DC68061">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（4）符合条件的联合体价格扣除：</w:t>
            </w:r>
            <w:r>
              <w:rPr>
                <w:rFonts w:hint="eastAsia" w:ascii="宋体" w:hAnsi="宋体" w:eastAsia="宋体"/>
                <w:b w:val="0"/>
                <w:color w:val="auto"/>
                <w:sz w:val="24"/>
                <w:highlight w:val="none"/>
                <w:u w:val="single"/>
              </w:rPr>
              <w:t>/</w:t>
            </w:r>
            <w:r>
              <w:rPr>
                <w:rFonts w:hint="eastAsia" w:ascii="宋体" w:hAnsi="宋体" w:eastAsia="宋体"/>
                <w:b w:val="0"/>
                <w:color w:val="auto"/>
                <w:sz w:val="24"/>
                <w:highlight w:val="none"/>
              </w:rPr>
              <w:t>。</w:t>
            </w:r>
          </w:p>
          <w:p w14:paraId="0C3ACE5F">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（5）符合条件的向小微企业分包的大中型企业价格扣除：</w:t>
            </w:r>
            <w:r>
              <w:rPr>
                <w:rFonts w:hint="eastAsia" w:ascii="宋体" w:hAnsi="宋体" w:eastAsia="宋体"/>
                <w:b w:val="0"/>
                <w:color w:val="auto"/>
                <w:sz w:val="24"/>
                <w:highlight w:val="none"/>
                <w:u w:val="single"/>
              </w:rPr>
              <w:t xml:space="preserve">  / </w:t>
            </w:r>
            <w:r>
              <w:rPr>
                <w:rFonts w:hint="eastAsia" w:ascii="宋体" w:hAnsi="宋体" w:eastAsia="宋体"/>
                <w:b w:val="0"/>
                <w:color w:val="auto"/>
                <w:sz w:val="24"/>
                <w:highlight w:val="none"/>
              </w:rPr>
              <w:t>。</w:t>
            </w:r>
          </w:p>
        </w:tc>
      </w:tr>
      <w:tr w14:paraId="58CB6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Merge w:val="restart"/>
            <w:vAlign w:val="center"/>
          </w:tcPr>
          <w:p w14:paraId="5550329F">
            <w:pPr>
              <w:pStyle w:val="44"/>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19</w:t>
            </w:r>
            <w:r>
              <w:rPr>
                <w:rFonts w:ascii="宋体" w:hAnsi="宋体" w:eastAsia="宋体"/>
                <w:bCs/>
                <w:color w:val="auto"/>
                <w:kern w:val="2"/>
                <w:highlight w:val="none"/>
              </w:rPr>
              <w:t>.</w:t>
            </w:r>
            <w:r>
              <w:rPr>
                <w:rFonts w:hint="eastAsia" w:ascii="宋体" w:hAnsi="宋体" w:eastAsia="宋体"/>
                <w:bCs/>
                <w:color w:val="auto"/>
                <w:kern w:val="2"/>
                <w:highlight w:val="none"/>
              </w:rPr>
              <w:t>1</w:t>
            </w:r>
          </w:p>
        </w:tc>
        <w:tc>
          <w:tcPr>
            <w:tcW w:w="1160" w:type="pct"/>
            <w:vMerge w:val="restart"/>
            <w:vAlign w:val="center"/>
          </w:tcPr>
          <w:p w14:paraId="756355DD">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Theme="minorEastAsia" w:hAnsiTheme="minorEastAsia" w:eastAsiaTheme="minorEastAsia"/>
                <w:b w:val="0"/>
                <w:color w:val="auto"/>
                <w:sz w:val="24"/>
                <w:highlight w:val="none"/>
              </w:rPr>
              <w:t>确定成交候选供应商和成交供应商</w:t>
            </w:r>
          </w:p>
        </w:tc>
        <w:tc>
          <w:tcPr>
            <w:tcW w:w="3267" w:type="pct"/>
            <w:vAlign w:val="center"/>
          </w:tcPr>
          <w:p w14:paraId="198ADCD8">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磋商小组推荐成交</w:t>
            </w:r>
            <w:r>
              <w:rPr>
                <w:rFonts w:ascii="宋体" w:hAnsi="宋体" w:eastAsia="宋体"/>
                <w:b w:val="0"/>
                <w:color w:val="auto"/>
                <w:sz w:val="24"/>
                <w:highlight w:val="none"/>
              </w:rPr>
              <w:t>候选</w:t>
            </w:r>
            <w:r>
              <w:rPr>
                <w:rFonts w:hint="eastAsia" w:ascii="宋体" w:hAnsi="宋体" w:eastAsia="宋体"/>
                <w:b w:val="0"/>
                <w:color w:val="auto"/>
                <w:sz w:val="24"/>
                <w:highlight w:val="none"/>
              </w:rPr>
              <w:t>供应商的</w:t>
            </w:r>
            <w:r>
              <w:rPr>
                <w:rFonts w:ascii="宋体" w:hAnsi="宋体" w:eastAsia="宋体"/>
                <w:b w:val="0"/>
                <w:color w:val="auto"/>
                <w:sz w:val="24"/>
                <w:highlight w:val="none"/>
              </w:rPr>
              <w:t>数</w:t>
            </w:r>
            <w:r>
              <w:rPr>
                <w:rFonts w:hint="eastAsia" w:ascii="宋体" w:hAnsi="宋体" w:eastAsia="宋体"/>
                <w:b w:val="0"/>
                <w:color w:val="auto"/>
                <w:sz w:val="24"/>
                <w:highlight w:val="none"/>
              </w:rPr>
              <w:t>量：3家</w:t>
            </w:r>
          </w:p>
          <w:p w14:paraId="3BFC2B87">
            <w:pPr>
              <w:pStyle w:val="43"/>
              <w:widowControl w:val="0"/>
              <w:spacing w:before="0" w:beforeAutospacing="0" w:after="0" w:afterAutospacing="0" w:line="360" w:lineRule="auto"/>
              <w:jc w:val="both"/>
              <w:rPr>
                <w:rFonts w:ascii="宋体" w:hAnsi="宋体" w:eastAsia="宋体"/>
                <w:b w:val="0"/>
                <w:color w:val="auto"/>
                <w:sz w:val="24"/>
                <w:highlight w:val="none"/>
                <w:u w:val="single"/>
              </w:rPr>
            </w:pPr>
            <w:r>
              <w:rPr>
                <w:rFonts w:hint="eastAsia" w:ascii="宋体" w:hAnsi="宋体" w:eastAsia="宋体"/>
                <w:b w:val="0"/>
                <w:color w:val="auto"/>
                <w:sz w:val="24"/>
                <w:highlight w:val="none"/>
              </w:rPr>
              <w:t>注：法律、法规另有规定的，从其规定。</w:t>
            </w:r>
          </w:p>
        </w:tc>
      </w:tr>
      <w:tr w14:paraId="2CBD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Merge w:val="continue"/>
            <w:vAlign w:val="center"/>
          </w:tcPr>
          <w:p w14:paraId="486691F6">
            <w:pPr>
              <w:pStyle w:val="44"/>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p>
        </w:tc>
        <w:tc>
          <w:tcPr>
            <w:tcW w:w="1160" w:type="pct"/>
            <w:vMerge w:val="continue"/>
            <w:vAlign w:val="center"/>
          </w:tcPr>
          <w:p w14:paraId="112560B1">
            <w:pPr>
              <w:pStyle w:val="43"/>
              <w:widowControl w:val="0"/>
              <w:spacing w:before="0" w:beforeAutospacing="0" w:after="0" w:afterAutospacing="0" w:line="360" w:lineRule="auto"/>
              <w:jc w:val="both"/>
              <w:rPr>
                <w:rFonts w:ascii="宋体" w:hAnsi="宋体" w:eastAsia="宋体"/>
                <w:b w:val="0"/>
                <w:color w:val="auto"/>
                <w:sz w:val="24"/>
                <w:highlight w:val="none"/>
              </w:rPr>
            </w:pPr>
          </w:p>
        </w:tc>
        <w:tc>
          <w:tcPr>
            <w:tcW w:w="3267" w:type="pct"/>
            <w:vAlign w:val="center"/>
          </w:tcPr>
          <w:p w14:paraId="38218450">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确定成交供应商：</w:t>
            </w:r>
          </w:p>
          <w:p w14:paraId="02673FA7">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 xml:space="preserve">□采购人委托磋商小组确定     </w:t>
            </w:r>
            <w:r>
              <w:rPr>
                <w:rFonts w:hint="eastAsia" w:ascii="宋体" w:hAnsi="宋体" w:eastAsia="宋体"/>
                <w:b w:val="0"/>
                <w:color w:val="auto"/>
                <w:sz w:val="24"/>
                <w:highlight w:val="none"/>
              </w:rPr>
              <w:sym w:font="Wingdings" w:char="00FE"/>
            </w:r>
            <w:r>
              <w:rPr>
                <w:rFonts w:hint="eastAsia" w:ascii="宋体" w:hAnsi="宋体" w:eastAsia="宋体"/>
                <w:b w:val="0"/>
                <w:color w:val="auto"/>
                <w:sz w:val="24"/>
                <w:highlight w:val="none"/>
              </w:rPr>
              <w:t>采购人确定</w:t>
            </w:r>
          </w:p>
        </w:tc>
      </w:tr>
      <w:tr w14:paraId="1BA1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300DEA12">
            <w:pPr>
              <w:pStyle w:val="44"/>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22</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1160" w:type="pct"/>
            <w:vAlign w:val="center"/>
          </w:tcPr>
          <w:p w14:paraId="6DC099A1">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随成交结果公告同时公告的内容</w:t>
            </w:r>
          </w:p>
        </w:tc>
        <w:tc>
          <w:tcPr>
            <w:tcW w:w="3267" w:type="pct"/>
            <w:vAlign w:val="center"/>
          </w:tcPr>
          <w:p w14:paraId="4D5E9056">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（1）中小企业声明函；</w:t>
            </w:r>
          </w:p>
          <w:p w14:paraId="1CE4842F">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（2）残疾人福利性单位声明函（如有）；</w:t>
            </w:r>
          </w:p>
          <w:p w14:paraId="7921CB6D">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w:t>
            </w:r>
            <w:r>
              <w:rPr>
                <w:rFonts w:hint="eastAsia" w:ascii="宋体" w:hAnsi="宋体" w:eastAsia="宋体"/>
                <w:b w:val="0"/>
                <w:color w:val="auto"/>
                <w:sz w:val="24"/>
                <w:highlight w:val="none"/>
                <w:lang w:val="en-US" w:eastAsia="zh-CN"/>
              </w:rPr>
              <w:t>3</w:t>
            </w:r>
            <w:r>
              <w:rPr>
                <w:rFonts w:hint="eastAsia" w:ascii="宋体" w:hAnsi="宋体" w:eastAsia="宋体"/>
                <w:b w:val="0"/>
                <w:color w:val="auto"/>
                <w:sz w:val="24"/>
                <w:highlight w:val="none"/>
              </w:rPr>
              <w:t>）成交供应商的评审总得分；</w:t>
            </w:r>
          </w:p>
        </w:tc>
      </w:tr>
      <w:tr w14:paraId="4DF6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0F28BDB7">
            <w:pPr>
              <w:pStyle w:val="44"/>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23</w:t>
            </w:r>
            <w:r>
              <w:rPr>
                <w:rFonts w:ascii="宋体" w:hAnsi="宋体" w:eastAsia="宋体"/>
                <w:bCs/>
                <w:color w:val="auto"/>
                <w:kern w:val="2"/>
                <w:highlight w:val="none"/>
              </w:rPr>
              <w:t>.1</w:t>
            </w:r>
          </w:p>
        </w:tc>
        <w:tc>
          <w:tcPr>
            <w:tcW w:w="1160" w:type="pct"/>
            <w:vAlign w:val="center"/>
          </w:tcPr>
          <w:p w14:paraId="35C644E3">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成交通知书发出的形式</w:t>
            </w:r>
          </w:p>
        </w:tc>
        <w:tc>
          <w:tcPr>
            <w:tcW w:w="3267" w:type="pct"/>
            <w:vAlign w:val="center"/>
          </w:tcPr>
          <w:p w14:paraId="567EE532">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 xml:space="preserve">□书面 </w:t>
            </w:r>
            <w:r>
              <w:rPr>
                <w:rFonts w:ascii="宋体" w:hAnsi="宋体" w:eastAsia="宋体"/>
                <w:b w:val="0"/>
                <w:color w:val="auto"/>
                <w:sz w:val="24"/>
                <w:highlight w:val="none"/>
              </w:rPr>
              <w:t xml:space="preserve">    </w:t>
            </w:r>
            <w:r>
              <w:rPr>
                <w:rFonts w:hint="eastAsia" w:ascii="宋体" w:hAnsi="宋体" w:eastAsia="宋体"/>
                <w:b w:val="0"/>
                <w:bCs w:val="0"/>
                <w:color w:val="auto"/>
                <w:sz w:val="24"/>
                <w:szCs w:val="24"/>
                <w:highlight w:val="none"/>
              </w:rPr>
              <w:sym w:font="Wingdings" w:char="00FE"/>
            </w:r>
            <w:r>
              <w:rPr>
                <w:rFonts w:hint="eastAsia" w:ascii="宋体" w:hAnsi="宋体" w:eastAsia="宋体"/>
                <w:b w:val="0"/>
                <w:color w:val="auto"/>
                <w:sz w:val="24"/>
                <w:highlight w:val="none"/>
              </w:rPr>
              <w:t>数据电文</w:t>
            </w:r>
          </w:p>
        </w:tc>
      </w:tr>
      <w:tr w14:paraId="2615C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730A1A93">
            <w:pPr>
              <w:pStyle w:val="44"/>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24</w:t>
            </w:r>
            <w:r>
              <w:rPr>
                <w:rFonts w:ascii="宋体" w:hAnsi="宋体" w:eastAsia="宋体"/>
                <w:bCs/>
                <w:color w:val="auto"/>
                <w:kern w:val="2"/>
                <w:highlight w:val="none"/>
              </w:rPr>
              <w:t>.1</w:t>
            </w:r>
          </w:p>
        </w:tc>
        <w:tc>
          <w:tcPr>
            <w:tcW w:w="1160" w:type="pct"/>
            <w:vAlign w:val="center"/>
          </w:tcPr>
          <w:p w14:paraId="22DDB5FB">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告知磋商结果的形式</w:t>
            </w:r>
          </w:p>
        </w:tc>
        <w:tc>
          <w:tcPr>
            <w:tcW w:w="3267" w:type="pct"/>
            <w:vAlign w:val="center"/>
          </w:tcPr>
          <w:p w14:paraId="00D6BE95">
            <w:pPr>
              <w:pStyle w:val="43"/>
              <w:widowControl w:val="0"/>
              <w:spacing w:before="0" w:beforeAutospacing="0" w:after="0" w:afterAutospacing="0" w:line="360" w:lineRule="auto"/>
              <w:jc w:val="both"/>
              <w:rPr>
                <w:rFonts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sym w:font="Wingdings" w:char="00FE"/>
            </w:r>
            <w:r>
              <w:rPr>
                <w:rFonts w:hint="eastAsia" w:ascii="宋体" w:hAnsi="宋体" w:eastAsia="宋体"/>
                <w:b w:val="0"/>
                <w:bCs w:val="0"/>
                <w:color w:val="auto"/>
                <w:sz w:val="24"/>
                <w:szCs w:val="24"/>
                <w:highlight w:val="none"/>
              </w:rPr>
              <w:t>供应商自行登录电子</w:t>
            </w:r>
            <w:r>
              <w:rPr>
                <w:rFonts w:hint="eastAsia" w:ascii="宋体" w:hAnsi="宋体" w:eastAsia="宋体" w:cs="宋体"/>
                <w:b w:val="0"/>
                <w:bCs w:val="0"/>
                <w:color w:val="auto"/>
                <w:sz w:val="24"/>
                <w:szCs w:val="24"/>
                <w:highlight w:val="none"/>
              </w:rPr>
              <w:t>交易</w:t>
            </w:r>
            <w:r>
              <w:rPr>
                <w:rFonts w:hint="eastAsia" w:ascii="宋体" w:hAnsi="宋体" w:eastAsia="宋体"/>
                <w:b w:val="0"/>
                <w:bCs w:val="0"/>
                <w:color w:val="auto"/>
                <w:sz w:val="24"/>
                <w:szCs w:val="24"/>
                <w:highlight w:val="none"/>
              </w:rPr>
              <w:t>系统查看</w:t>
            </w:r>
          </w:p>
          <w:p w14:paraId="16675A39">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□磋商现场告知</w:t>
            </w:r>
          </w:p>
        </w:tc>
      </w:tr>
      <w:tr w14:paraId="189DC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245988BA">
            <w:pPr>
              <w:pStyle w:val="44"/>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25</w:t>
            </w:r>
            <w:r>
              <w:rPr>
                <w:rFonts w:ascii="宋体" w:hAnsi="宋体" w:eastAsia="宋体"/>
                <w:bCs/>
                <w:color w:val="auto"/>
                <w:kern w:val="2"/>
                <w:highlight w:val="none"/>
              </w:rPr>
              <w:t>.1</w:t>
            </w:r>
          </w:p>
        </w:tc>
        <w:tc>
          <w:tcPr>
            <w:tcW w:w="1160" w:type="pct"/>
            <w:vAlign w:val="center"/>
          </w:tcPr>
          <w:p w14:paraId="54914579">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履约保证金</w:t>
            </w:r>
          </w:p>
        </w:tc>
        <w:tc>
          <w:tcPr>
            <w:tcW w:w="3267" w:type="pct"/>
          </w:tcPr>
          <w:p w14:paraId="7C5F62D4">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（1）金额：</w:t>
            </w:r>
          </w:p>
          <w:p w14:paraId="20E445CB">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☑免收</w:t>
            </w:r>
          </w:p>
          <w:p w14:paraId="71EFCF89">
            <w:pPr>
              <w:spacing w:line="36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合同价的</w:t>
            </w:r>
            <w:r>
              <w:rPr>
                <w:rFonts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rPr>
              <w:t>/</w:t>
            </w:r>
            <w:r>
              <w:rPr>
                <w:rFonts w:ascii="宋体" w:hAnsi="宋体" w:eastAsia="宋体"/>
                <w:bCs/>
                <w:color w:val="auto"/>
                <w:kern w:val="0"/>
                <w:sz w:val="24"/>
                <w:szCs w:val="28"/>
                <w:highlight w:val="none"/>
                <w:u w:val="single"/>
              </w:rPr>
              <w:t xml:space="preserve">  </w:t>
            </w:r>
            <w:r>
              <w:rPr>
                <w:rFonts w:ascii="宋体" w:hAnsi="宋体" w:eastAsia="宋体"/>
                <w:bCs/>
                <w:color w:val="auto"/>
                <w:kern w:val="0"/>
                <w:sz w:val="24"/>
                <w:szCs w:val="28"/>
                <w:highlight w:val="none"/>
              </w:rPr>
              <w:t>%</w:t>
            </w:r>
          </w:p>
          <w:p w14:paraId="1F9B8ED5">
            <w:pPr>
              <w:spacing w:line="36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定额收取：人民币</w:t>
            </w:r>
            <w:r>
              <w:rPr>
                <w:rFonts w:hint="eastAsia" w:ascii="宋体" w:hAnsi="宋体" w:eastAsia="宋体"/>
                <w:bCs/>
                <w:color w:val="auto"/>
                <w:kern w:val="0"/>
                <w:sz w:val="24"/>
                <w:szCs w:val="28"/>
                <w:highlight w:val="none"/>
                <w:u w:val="single"/>
              </w:rPr>
              <w:t xml:space="preserve">      /        </w:t>
            </w:r>
            <w:r>
              <w:rPr>
                <w:rFonts w:hint="eastAsia" w:ascii="宋体" w:hAnsi="宋体" w:eastAsia="宋体"/>
                <w:bCs/>
                <w:color w:val="auto"/>
                <w:kern w:val="0"/>
                <w:sz w:val="24"/>
                <w:szCs w:val="28"/>
                <w:highlight w:val="none"/>
              </w:rPr>
              <w:t>元</w:t>
            </w:r>
          </w:p>
          <w:p w14:paraId="5BBD3DBE">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（2）支付方式：</w:t>
            </w:r>
          </w:p>
          <w:p w14:paraId="41B18CCE">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转账/电汇</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 xml:space="preserve">支票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汇票</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 xml:space="preserve">本票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保</w:t>
            </w:r>
            <w:r>
              <w:rPr>
                <w:rFonts w:hint="eastAsia" w:ascii="宋体" w:hAnsi="宋体" w:eastAsia="宋体"/>
                <w:bCs/>
                <w:color w:val="auto"/>
                <w:kern w:val="0"/>
                <w:sz w:val="24"/>
                <w:szCs w:val="28"/>
                <w:highlight w:val="none"/>
              </w:rPr>
              <w:t xml:space="preserve">险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保</w:t>
            </w:r>
            <w:r>
              <w:rPr>
                <w:rFonts w:ascii="宋体" w:hAnsi="宋体" w:eastAsia="宋体"/>
                <w:bCs/>
                <w:color w:val="auto"/>
                <w:kern w:val="0"/>
                <w:sz w:val="24"/>
                <w:szCs w:val="28"/>
                <w:highlight w:val="none"/>
              </w:rPr>
              <w:t>函</w:t>
            </w:r>
          </w:p>
          <w:p w14:paraId="0CA67DBB">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（3）收取单位：</w:t>
            </w:r>
            <w:r>
              <w:rPr>
                <w:rFonts w:hint="eastAsia" w:ascii="宋体" w:hAnsi="宋体" w:eastAsia="宋体"/>
                <w:bCs/>
                <w:color w:val="auto"/>
                <w:kern w:val="0"/>
                <w:sz w:val="24"/>
                <w:szCs w:val="28"/>
                <w:highlight w:val="none"/>
                <w:u w:val="single"/>
              </w:rPr>
              <w:t xml:space="preserve">     /         </w:t>
            </w:r>
            <w:r>
              <w:rPr>
                <w:rFonts w:hint="eastAsia" w:ascii="宋体" w:hAnsi="宋体" w:eastAsia="宋体"/>
                <w:bCs/>
                <w:color w:val="auto"/>
                <w:kern w:val="0"/>
                <w:sz w:val="24"/>
                <w:szCs w:val="28"/>
                <w:highlight w:val="none"/>
              </w:rPr>
              <w:t xml:space="preserve">              </w:t>
            </w:r>
          </w:p>
          <w:p w14:paraId="6A58A8C8">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（4）收取账号：</w:t>
            </w:r>
            <w:r>
              <w:rPr>
                <w:rFonts w:hint="eastAsia" w:ascii="宋体" w:hAnsi="宋体" w:eastAsia="宋体"/>
                <w:bCs/>
                <w:color w:val="auto"/>
                <w:kern w:val="0"/>
                <w:sz w:val="24"/>
                <w:szCs w:val="28"/>
                <w:highlight w:val="none"/>
                <w:u w:val="single"/>
              </w:rPr>
              <w:t xml:space="preserve">     /         </w:t>
            </w:r>
          </w:p>
          <w:p w14:paraId="609676EE">
            <w:pPr>
              <w:spacing w:line="360" w:lineRule="auto"/>
              <w:rPr>
                <w:rFonts w:ascii="宋体" w:hAnsi="宋体" w:eastAsia="宋体"/>
                <w:color w:val="auto"/>
                <w:sz w:val="24"/>
                <w:highlight w:val="none"/>
              </w:rPr>
            </w:pPr>
            <w:r>
              <w:rPr>
                <w:rFonts w:hint="eastAsia" w:ascii="宋体" w:hAnsi="宋体" w:eastAsia="宋体"/>
                <w:bCs/>
                <w:color w:val="auto"/>
                <w:kern w:val="0"/>
                <w:sz w:val="24"/>
                <w:szCs w:val="28"/>
                <w:highlight w:val="none"/>
              </w:rPr>
              <w:t>（5）</w:t>
            </w:r>
            <w:r>
              <w:rPr>
                <w:rFonts w:hint="eastAsia" w:ascii="宋体" w:hAnsi="宋体" w:eastAsia="宋体"/>
                <w:color w:val="auto"/>
                <w:sz w:val="24"/>
                <w:highlight w:val="none"/>
              </w:rPr>
              <w:t>退还时间：</w:t>
            </w:r>
            <w:r>
              <w:rPr>
                <w:rFonts w:hint="eastAsia" w:ascii="宋体" w:hAnsi="宋体" w:eastAsia="宋体"/>
                <w:bCs/>
                <w:color w:val="auto"/>
                <w:kern w:val="0"/>
                <w:sz w:val="24"/>
                <w:szCs w:val="28"/>
                <w:highlight w:val="none"/>
                <w:u w:val="single"/>
              </w:rPr>
              <w:t xml:space="preserve">     /         </w:t>
            </w:r>
          </w:p>
          <w:p w14:paraId="49C74B02">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798097F8">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5E67056D">
            <w:pPr>
              <w:pStyle w:val="43"/>
              <w:widowControl w:val="0"/>
              <w:spacing w:before="0" w:beforeAutospacing="0" w:after="0" w:afterAutospacing="0" w:line="360" w:lineRule="auto"/>
              <w:jc w:val="both"/>
              <w:rPr>
                <w:rFonts w:ascii="宋体" w:hAnsi="宋体" w:eastAsia="宋体"/>
                <w:color w:val="auto"/>
                <w:sz w:val="24"/>
                <w:highlight w:val="none"/>
              </w:rPr>
            </w:pPr>
            <w:r>
              <w:rPr>
                <w:rFonts w:hint="eastAsia" w:ascii="宋体" w:hAnsi="宋体" w:eastAsia="宋体"/>
                <w:bCs w:val="0"/>
                <w:color w:val="auto"/>
                <w:sz w:val="24"/>
                <w:szCs w:val="24"/>
                <w:highlight w:val="none"/>
              </w:rPr>
              <w:t>（2）以担保函、保证保险形式缴纳履约保证金的，受益人和收取单位须为采购人。</w:t>
            </w:r>
          </w:p>
        </w:tc>
      </w:tr>
      <w:tr w14:paraId="7278B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7C48A15C">
            <w:pPr>
              <w:pStyle w:val="44"/>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26</w:t>
            </w:r>
            <w:r>
              <w:rPr>
                <w:rFonts w:ascii="宋体" w:hAnsi="宋体" w:eastAsia="宋体"/>
                <w:bCs/>
                <w:color w:val="auto"/>
                <w:kern w:val="2"/>
                <w:highlight w:val="none"/>
              </w:rPr>
              <w:t>.1</w:t>
            </w:r>
          </w:p>
        </w:tc>
        <w:tc>
          <w:tcPr>
            <w:tcW w:w="1160" w:type="pct"/>
            <w:vAlign w:val="center"/>
          </w:tcPr>
          <w:p w14:paraId="06F31476">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代理费用</w:t>
            </w:r>
          </w:p>
        </w:tc>
        <w:tc>
          <w:tcPr>
            <w:tcW w:w="3267" w:type="pct"/>
            <w:vAlign w:val="center"/>
          </w:tcPr>
          <w:p w14:paraId="79E2FF71">
            <w:pPr>
              <w:spacing w:before="39" w:line="360" w:lineRule="auto"/>
              <w:rPr>
                <w:rFonts w:ascii="宋体" w:hAnsi="宋体" w:eastAsia="宋体" w:cs="宋体"/>
                <w:color w:val="auto"/>
                <w:sz w:val="24"/>
                <w:szCs w:val="24"/>
                <w:highlight w:val="none"/>
              </w:rPr>
            </w:pPr>
            <w:r>
              <w:rPr>
                <w:rFonts w:hint="eastAsia" w:ascii="宋体" w:hAnsi="宋体" w:eastAsia="宋体"/>
                <w:bCs/>
                <w:color w:val="auto"/>
                <w:kern w:val="0"/>
                <w:sz w:val="24"/>
                <w:szCs w:val="28"/>
                <w:highlight w:val="none"/>
              </w:rPr>
              <w:t>（1）</w:t>
            </w:r>
            <w:r>
              <w:rPr>
                <w:rFonts w:ascii="宋体" w:hAnsi="宋体" w:eastAsia="宋体"/>
                <w:bCs/>
                <w:color w:val="auto"/>
                <w:kern w:val="0"/>
                <w:sz w:val="24"/>
                <w:szCs w:val="28"/>
                <w:highlight w:val="none"/>
              </w:rPr>
              <w:t>收费对象</w:t>
            </w:r>
            <w:r>
              <w:rPr>
                <w:rFonts w:ascii="宋体" w:hAnsi="宋体" w:eastAsia="宋体" w:cs="宋体"/>
                <w:color w:val="auto"/>
                <w:spacing w:val="-12"/>
                <w:sz w:val="24"/>
                <w:szCs w:val="24"/>
                <w:highlight w:val="none"/>
              </w:rPr>
              <w:t>：</w:t>
            </w:r>
            <w:r>
              <w:rPr>
                <w:rFonts w:hint="eastAsia" w:ascii="宋体" w:hAnsi="宋体" w:eastAsia="宋体"/>
                <w:bCs/>
                <w:color w:val="auto"/>
                <w:kern w:val="0"/>
                <w:sz w:val="24"/>
                <w:szCs w:val="28"/>
                <w:highlight w:val="none"/>
              </w:rPr>
              <w:sym w:font="Wingdings" w:char="00A8"/>
            </w:r>
            <w:r>
              <w:rPr>
                <w:rFonts w:ascii="宋体" w:hAnsi="宋体" w:eastAsia="宋体" w:cs="宋体"/>
                <w:color w:val="auto"/>
                <w:spacing w:val="14"/>
                <w:sz w:val="24"/>
                <w:szCs w:val="24"/>
                <w:highlight w:val="none"/>
              </w:rPr>
              <w:t>采购人</w:t>
            </w:r>
            <w:r>
              <w:rPr>
                <w:rFonts w:hint="eastAsia" w:ascii="宋体" w:hAnsi="宋体" w:eastAsia="宋体" w:cs="宋体"/>
                <w:color w:val="auto"/>
                <w:spacing w:val="14"/>
                <w:sz w:val="24"/>
                <w:szCs w:val="24"/>
                <w:highlight w:val="none"/>
              </w:rPr>
              <w:t xml:space="preserve">   </w:t>
            </w:r>
            <w:r>
              <w:rPr>
                <w:rFonts w:hint="eastAsia" w:ascii="宋体" w:hAnsi="宋体" w:eastAsia="宋体"/>
                <w:bCs/>
                <w:color w:val="auto"/>
                <w:kern w:val="0"/>
                <w:sz w:val="24"/>
                <w:szCs w:val="28"/>
                <w:highlight w:val="none"/>
              </w:rPr>
              <w:sym w:font="Wingdings" w:char="00FE"/>
            </w:r>
            <w:r>
              <w:rPr>
                <w:rFonts w:hint="eastAsia" w:ascii="宋体" w:hAnsi="宋体" w:eastAsia="宋体" w:cs="宋体"/>
                <w:color w:val="auto"/>
                <w:spacing w:val="14"/>
                <w:sz w:val="24"/>
                <w:szCs w:val="24"/>
                <w:highlight w:val="none"/>
              </w:rPr>
              <w:t>成交供应商</w:t>
            </w:r>
          </w:p>
          <w:p w14:paraId="5845F2CB">
            <w:pPr>
              <w:spacing w:before="24"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ascii="宋体" w:hAnsi="宋体" w:eastAsia="宋体"/>
                <w:bCs/>
                <w:color w:val="auto"/>
                <w:kern w:val="0"/>
                <w:sz w:val="24"/>
                <w:szCs w:val="28"/>
                <w:highlight w:val="none"/>
              </w:rPr>
              <w:t>收取方式</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领取成交通知书时一次性支付给代理机构。</w:t>
            </w:r>
          </w:p>
          <w:p w14:paraId="39B49EE3">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highlight w:val="none"/>
              </w:rPr>
              <w:t>（3）</w:t>
            </w:r>
            <w:r>
              <w:rPr>
                <w:rFonts w:ascii="宋体" w:hAnsi="宋体" w:eastAsia="宋体"/>
                <w:b w:val="0"/>
                <w:color w:val="auto"/>
                <w:sz w:val="24"/>
                <w:highlight w:val="none"/>
              </w:rPr>
              <w:t>收费标准：</w:t>
            </w:r>
            <w:r>
              <w:rPr>
                <w:rFonts w:hint="eastAsia" w:ascii="宋体" w:hAnsi="宋体" w:eastAsia="宋体"/>
                <w:b w:val="0"/>
                <w:color w:val="auto"/>
                <w:sz w:val="24"/>
                <w:highlight w:val="none"/>
                <w:u w:val="single"/>
              </w:rPr>
              <w:t>4488</w:t>
            </w:r>
            <w:r>
              <w:rPr>
                <w:rFonts w:hint="eastAsia" w:ascii="宋体" w:hAnsi="宋体" w:eastAsia="宋体" w:cs="宋体"/>
                <w:b w:val="0"/>
                <w:color w:val="auto"/>
                <w:sz w:val="24"/>
                <w:szCs w:val="24"/>
                <w:highlight w:val="none"/>
                <w:u w:val="single"/>
              </w:rPr>
              <w:t>元</w:t>
            </w:r>
            <w:r>
              <w:rPr>
                <w:rFonts w:hint="eastAsia" w:ascii="宋体" w:hAnsi="宋体" w:eastAsia="宋体" w:cs="宋体"/>
                <w:b w:val="0"/>
                <w:color w:val="auto"/>
                <w:sz w:val="24"/>
                <w:szCs w:val="24"/>
                <w:highlight w:val="none"/>
                <w:u w:val="single"/>
                <w:lang w:val="en-US" w:eastAsia="zh-CN"/>
              </w:rPr>
              <w:t>(第1包3369，第2包1119）</w:t>
            </w:r>
            <w:r>
              <w:rPr>
                <w:rFonts w:hint="eastAsia" w:ascii="宋体" w:hAnsi="宋体" w:eastAsia="宋体" w:cs="宋体"/>
                <w:b w:val="0"/>
                <w:color w:val="auto"/>
                <w:sz w:val="24"/>
                <w:szCs w:val="24"/>
                <w:highlight w:val="none"/>
                <w:u w:val="single"/>
              </w:rPr>
              <w:t>，</w:t>
            </w:r>
            <w:r>
              <w:rPr>
                <w:rFonts w:hint="eastAsia" w:ascii="宋体" w:hAnsi="宋体" w:eastAsia="宋体" w:cs="宋体"/>
                <w:b w:val="0"/>
                <w:color w:val="auto"/>
                <w:sz w:val="24"/>
                <w:szCs w:val="24"/>
                <w:highlight w:val="none"/>
                <w:u w:val="single"/>
                <w:lang w:val="en-US" w:eastAsia="zh-CN"/>
              </w:rPr>
              <w:t>参考《关于进一步明确代理费计取标准的通知》（滁公管综〔2023〕19号）标准</w:t>
            </w:r>
            <w:r>
              <w:rPr>
                <w:rFonts w:hint="eastAsia" w:ascii="宋体" w:hAnsi="宋体" w:eastAsia="宋体" w:cs="宋体"/>
                <w:b w:val="0"/>
                <w:color w:val="auto"/>
                <w:sz w:val="24"/>
                <w:szCs w:val="24"/>
                <w:highlight w:val="none"/>
                <w:u w:val="single"/>
              </w:rPr>
              <w:t>。</w:t>
            </w:r>
          </w:p>
        </w:tc>
      </w:tr>
      <w:tr w14:paraId="5A39A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12F3744C">
            <w:pPr>
              <w:pStyle w:val="44"/>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27.1</w:t>
            </w:r>
          </w:p>
        </w:tc>
        <w:tc>
          <w:tcPr>
            <w:tcW w:w="1160" w:type="pct"/>
            <w:vAlign w:val="center"/>
          </w:tcPr>
          <w:p w14:paraId="209DDD12">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签订合同和合同公告时间</w:t>
            </w:r>
          </w:p>
        </w:tc>
        <w:tc>
          <w:tcPr>
            <w:tcW w:w="3267" w:type="pct"/>
            <w:vAlign w:val="center"/>
          </w:tcPr>
          <w:p w14:paraId="79D20107">
            <w:pPr>
              <w:pStyle w:val="43"/>
              <w:widowControl w:val="0"/>
              <w:spacing w:before="0" w:beforeAutospacing="0" w:after="0" w:afterAutospacing="0" w:line="360" w:lineRule="auto"/>
              <w:jc w:val="both"/>
              <w:rPr>
                <w:rFonts w:ascii="宋体" w:hAnsi="宋体" w:eastAsia="宋体"/>
                <w:bCs w:val="0"/>
                <w:color w:val="auto"/>
                <w:sz w:val="24"/>
                <w:highlight w:val="none"/>
              </w:rPr>
            </w:pPr>
            <w:r>
              <w:rPr>
                <w:rFonts w:hint="eastAsia" w:ascii="宋体" w:hAnsi="宋体" w:eastAsia="宋体"/>
                <w:bCs w:val="0"/>
                <w:color w:val="auto"/>
                <w:sz w:val="24"/>
                <w:highlight w:val="none"/>
              </w:rPr>
              <w:t>（1）采购人与成交供应商应当自发出成交通知书之日起7个工作日内签订合同，采购合同签订之日起2个工作日内完成政府采购合同公开。</w:t>
            </w:r>
          </w:p>
          <w:p w14:paraId="366534E1">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ascii="宋体" w:hAnsi="宋体" w:eastAsia="宋体" w:cs="宋体"/>
                <w:bCs w:val="0"/>
                <w:color w:val="auto"/>
                <w:sz w:val="24"/>
                <w:szCs w:val="24"/>
                <w:highlight w:val="none"/>
              </w:rPr>
              <w:t>（2）采购人与</w:t>
            </w:r>
            <w:r>
              <w:rPr>
                <w:rFonts w:hint="eastAsia" w:ascii="宋体" w:hAnsi="宋体" w:eastAsia="宋体"/>
                <w:bCs w:val="0"/>
                <w:color w:val="auto"/>
                <w:sz w:val="24"/>
                <w:highlight w:val="none"/>
              </w:rPr>
              <w:t>成交供应商</w:t>
            </w:r>
            <w:r>
              <w:rPr>
                <w:rFonts w:ascii="宋体" w:hAnsi="宋体" w:eastAsia="宋体" w:cs="宋体"/>
                <w:color w:val="auto"/>
                <w:sz w:val="24"/>
                <w:szCs w:val="24"/>
                <w:highlight w:val="none"/>
              </w:rPr>
              <w:t>不得擅自变更合同，依照政府采购法确需变更政府采购合同内容的，采购人应当自合同变更之日起2个工作日内在安徽省政府采购网</w:t>
            </w:r>
            <w:r>
              <w:rPr>
                <w:rFonts w:hint="eastAsia" w:ascii="宋体" w:hAnsi="宋体" w:eastAsia="宋体" w:cs="宋体"/>
                <w:color w:val="auto"/>
                <w:sz w:val="24"/>
                <w:szCs w:val="24"/>
                <w:highlight w:val="none"/>
              </w:rPr>
              <w:t>和滁州市公共资源交易中心网</w:t>
            </w:r>
            <w:r>
              <w:rPr>
                <w:rFonts w:ascii="宋体" w:hAnsi="宋体" w:eastAsia="宋体" w:cs="宋体"/>
                <w:color w:val="auto"/>
                <w:sz w:val="24"/>
                <w:szCs w:val="24"/>
                <w:highlight w:val="none"/>
              </w:rPr>
              <w:t>发布政府采购合同变更公告，但涉及国家秘密、商业秘密的信息和其他依法不得公开的信息除外。</w:t>
            </w:r>
          </w:p>
        </w:tc>
      </w:tr>
      <w:tr w14:paraId="54A8B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4E0911F3">
            <w:pPr>
              <w:pStyle w:val="44"/>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29.3</w:t>
            </w:r>
          </w:p>
        </w:tc>
        <w:tc>
          <w:tcPr>
            <w:tcW w:w="1160" w:type="pct"/>
            <w:vAlign w:val="center"/>
          </w:tcPr>
          <w:p w14:paraId="07FA5320">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267" w:type="pct"/>
            <w:vAlign w:val="center"/>
          </w:tcPr>
          <w:p w14:paraId="378DB940">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递交方式：</w:t>
            </w:r>
            <w:r>
              <w:rPr>
                <w:rFonts w:hint="eastAsia" w:ascii="宋体" w:hAnsi="宋体" w:eastAsia="宋体"/>
                <w:color w:val="auto"/>
                <w:sz w:val="24"/>
                <w:highlight w:val="none"/>
                <w:u w:val="single"/>
              </w:rPr>
              <w:t>供应商可以通过书面形式提出，也可以通过线上提出质疑【通过线上向滁州市公共资源交易中心网电子交易系统提出质疑（具体操作步骤和程序请参见服务指南&gt;交易须知&gt;在线异议、质疑和投诉操作手册）】。一份质疑函只能针对一个项目提出质疑，且针对同一采购程序环节的质疑应当一次性提出。</w:t>
            </w:r>
          </w:p>
          <w:p w14:paraId="03D3ED40">
            <w:pPr>
              <w:pStyle w:val="43"/>
              <w:widowControl w:val="0"/>
              <w:spacing w:before="0" w:beforeAutospacing="0" w:after="0" w:afterAutospacing="0" w:line="360" w:lineRule="auto"/>
              <w:jc w:val="both"/>
              <w:rPr>
                <w:rFonts w:ascii="宋体" w:hAnsi="宋体" w:eastAsia="宋体"/>
                <w:b w:val="0"/>
                <w:bCs w:val="0"/>
                <w:color w:val="auto"/>
                <w:sz w:val="24"/>
                <w:szCs w:val="18"/>
                <w:highlight w:val="none"/>
              </w:rPr>
            </w:pPr>
            <w:r>
              <w:rPr>
                <w:rFonts w:hint="eastAsia" w:ascii="宋体" w:hAnsi="宋体" w:eastAsia="宋体"/>
                <w:b w:val="0"/>
                <w:color w:val="auto"/>
                <w:sz w:val="24"/>
                <w:highlight w:val="none"/>
              </w:rPr>
              <w:t>接收部门：</w:t>
            </w:r>
            <w:r>
              <w:rPr>
                <w:rFonts w:hint="eastAsia" w:ascii="宋体" w:hAnsi="宋体" w:eastAsia="宋体"/>
                <w:color w:val="auto"/>
                <w:sz w:val="24"/>
                <w:highlight w:val="none"/>
                <w:u w:val="single"/>
                <w:lang w:eastAsia="zh-CN"/>
              </w:rPr>
              <w:t>滁州职业技术学院</w:t>
            </w:r>
            <w:r>
              <w:rPr>
                <w:rFonts w:hint="eastAsia" w:ascii="宋体" w:hAnsi="宋体" w:eastAsia="宋体"/>
                <w:color w:val="auto"/>
                <w:sz w:val="24"/>
                <w:highlight w:val="none"/>
                <w:u w:val="single"/>
              </w:rPr>
              <w:t>、滁州市城投工程咨询管理有限公司；</w:t>
            </w:r>
          </w:p>
          <w:p w14:paraId="577EC2DF">
            <w:pPr>
              <w:pStyle w:val="43"/>
              <w:widowControl w:val="0"/>
              <w:spacing w:before="0" w:beforeAutospacing="0" w:after="0" w:afterAutospacing="0" w:line="360" w:lineRule="auto"/>
              <w:jc w:val="both"/>
              <w:rPr>
                <w:rFonts w:ascii="宋体" w:hAnsi="宋体" w:eastAsia="宋体"/>
                <w:b w:val="0"/>
                <w:bCs w:val="0"/>
                <w:color w:val="auto"/>
                <w:sz w:val="24"/>
                <w:szCs w:val="18"/>
                <w:highlight w:val="none"/>
              </w:rPr>
            </w:pPr>
            <w:r>
              <w:rPr>
                <w:rFonts w:ascii="宋体" w:hAnsi="宋体" w:eastAsia="宋体"/>
                <w:b w:val="0"/>
                <w:color w:val="auto"/>
                <w:sz w:val="24"/>
                <w:highlight w:val="none"/>
              </w:rPr>
              <w:t>联系电话：</w:t>
            </w:r>
            <w:r>
              <w:rPr>
                <w:rFonts w:hint="eastAsia" w:ascii="宋体" w:hAnsi="宋体" w:eastAsia="宋体"/>
                <w:color w:val="auto"/>
                <w:sz w:val="24"/>
                <w:highlight w:val="none"/>
                <w:u w:val="single"/>
                <w:lang w:eastAsia="zh-CN"/>
              </w:rPr>
              <w:t>0550-3854662</w:t>
            </w:r>
            <w:r>
              <w:rPr>
                <w:rFonts w:hint="eastAsia" w:ascii="宋体" w:hAnsi="宋体" w:eastAsia="宋体"/>
                <w:color w:val="auto"/>
                <w:sz w:val="24"/>
                <w:highlight w:val="none"/>
                <w:u w:val="single"/>
              </w:rPr>
              <w:t>、</w:t>
            </w:r>
            <w:r>
              <w:rPr>
                <w:rFonts w:hint="eastAsia" w:ascii="宋体" w:hAnsi="宋体" w:eastAsia="宋体"/>
                <w:color w:val="auto"/>
                <w:sz w:val="24"/>
                <w:highlight w:val="none"/>
                <w:u w:val="single"/>
                <w:lang w:eastAsia="zh-CN"/>
              </w:rPr>
              <w:t>0550-3519512</w:t>
            </w:r>
            <w:r>
              <w:rPr>
                <w:rFonts w:hint="eastAsia" w:ascii="宋体" w:hAnsi="宋体" w:eastAsia="宋体"/>
                <w:color w:val="auto"/>
                <w:sz w:val="24"/>
                <w:highlight w:val="none"/>
                <w:u w:val="single"/>
              </w:rPr>
              <w:t>；</w:t>
            </w:r>
          </w:p>
          <w:p w14:paraId="11B66923">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通讯地址：</w:t>
            </w:r>
            <w:r>
              <w:rPr>
                <w:rFonts w:hint="eastAsia" w:ascii="宋体" w:hAnsi="宋体" w:eastAsia="宋体"/>
                <w:color w:val="auto"/>
                <w:sz w:val="24"/>
                <w:highlight w:val="none"/>
                <w:u w:val="single"/>
                <w:lang w:eastAsia="zh-CN"/>
              </w:rPr>
              <w:t>安徽滁州市丰乐大道2188号</w:t>
            </w:r>
            <w:r>
              <w:rPr>
                <w:rFonts w:hint="eastAsia" w:ascii="宋体" w:hAnsi="宋体" w:eastAsia="宋体"/>
                <w:color w:val="auto"/>
                <w:sz w:val="24"/>
                <w:highlight w:val="none"/>
                <w:u w:val="single"/>
              </w:rPr>
              <w:t>、滁州市龙蟠大道109号房产商务大厦6楼。</w:t>
            </w:r>
          </w:p>
        </w:tc>
      </w:tr>
      <w:tr w14:paraId="3A41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49330393">
            <w:pPr>
              <w:pStyle w:val="44"/>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30</w:t>
            </w:r>
          </w:p>
        </w:tc>
        <w:tc>
          <w:tcPr>
            <w:tcW w:w="1160" w:type="pct"/>
            <w:vAlign w:val="center"/>
          </w:tcPr>
          <w:p w14:paraId="5D225ED3">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其他内容</w:t>
            </w:r>
          </w:p>
        </w:tc>
        <w:tc>
          <w:tcPr>
            <w:tcW w:w="6274" w:type="dxa"/>
            <w:vAlign w:val="center"/>
          </w:tcPr>
          <w:p w14:paraId="092A0BEA">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1.解释权</w:t>
            </w:r>
          </w:p>
          <w:p w14:paraId="7CD83071">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构成本</w:t>
            </w:r>
            <w:r>
              <w:rPr>
                <w:rFonts w:hint="eastAsia" w:asciiTheme="minorEastAsia" w:hAnsiTheme="minorEastAsia" w:eastAsiaTheme="minorEastAsia"/>
                <w:bCs/>
                <w:color w:val="auto"/>
                <w:sz w:val="24"/>
                <w:szCs w:val="24"/>
                <w:highlight w:val="none"/>
              </w:rPr>
              <w:t>磋商</w:t>
            </w:r>
            <w:r>
              <w:rPr>
                <w:rFonts w:asciiTheme="minorEastAsia" w:hAnsiTheme="minorEastAsia" w:eastAsiaTheme="minorEastAsia"/>
                <w:bCs/>
                <w:color w:val="auto"/>
                <w:sz w:val="24"/>
                <w:szCs w:val="24"/>
                <w:highlight w:val="none"/>
              </w:rPr>
              <w:t>文件的各个组成文件应互为解释，互为说明；</w:t>
            </w:r>
          </w:p>
          <w:p w14:paraId="592B3B80">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同一组成文件中就同一事项的规定或约定不一致的，以编排顺序在后者为准；</w:t>
            </w:r>
          </w:p>
          <w:p w14:paraId="21482F75">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2068E328">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除</w:t>
            </w:r>
            <w:r>
              <w:rPr>
                <w:rFonts w:hint="eastAsia" w:asciiTheme="minorEastAsia" w:hAnsiTheme="minorEastAsia" w:eastAsiaTheme="minorEastAsia"/>
                <w:bCs/>
                <w:color w:val="auto"/>
                <w:sz w:val="24"/>
                <w:szCs w:val="24"/>
                <w:highlight w:val="none"/>
              </w:rPr>
              <w:t>磋商</w:t>
            </w:r>
            <w:r>
              <w:rPr>
                <w:rFonts w:asciiTheme="minorEastAsia" w:hAnsiTheme="minorEastAsia" w:eastAsiaTheme="minorEastAsia"/>
                <w:bCs/>
                <w:color w:val="auto"/>
                <w:sz w:val="24"/>
                <w:szCs w:val="24"/>
                <w:highlight w:val="none"/>
              </w:rPr>
              <w:t>文件中有特别规定外，仅适用于</w:t>
            </w:r>
            <w:r>
              <w:rPr>
                <w:rFonts w:hint="eastAsia" w:asciiTheme="minorEastAsia" w:hAnsiTheme="minorEastAsia" w:eastAsiaTheme="minorEastAsia"/>
                <w:bCs/>
                <w:color w:val="auto"/>
                <w:sz w:val="24"/>
                <w:szCs w:val="24"/>
                <w:highlight w:val="none"/>
              </w:rPr>
              <w:t>磋商及响应文件提交</w:t>
            </w:r>
            <w:r>
              <w:rPr>
                <w:rFonts w:asciiTheme="minorEastAsia" w:hAnsiTheme="minorEastAsia" w:eastAsiaTheme="minorEastAsia"/>
                <w:bCs/>
                <w:color w:val="auto"/>
                <w:sz w:val="24"/>
                <w:szCs w:val="24"/>
                <w:highlight w:val="none"/>
              </w:rPr>
              <w:t>阶段的规定，按</w:t>
            </w:r>
            <w:r>
              <w:rPr>
                <w:rFonts w:hint="eastAsia" w:asciiTheme="minorEastAsia" w:hAnsiTheme="minorEastAsia" w:eastAsiaTheme="minorEastAsia"/>
                <w:bCs/>
                <w:color w:val="auto"/>
                <w:sz w:val="24"/>
                <w:szCs w:val="24"/>
                <w:highlight w:val="none"/>
              </w:rPr>
              <w:t>竞争性磋商</w:t>
            </w:r>
            <w:r>
              <w:rPr>
                <w:rFonts w:asciiTheme="minorEastAsia" w:hAnsiTheme="minorEastAsia" w:eastAsiaTheme="minorEastAsia"/>
                <w:bCs/>
                <w:color w:val="auto"/>
                <w:sz w:val="24"/>
                <w:szCs w:val="24"/>
                <w:highlight w:val="none"/>
              </w:rPr>
              <w:t>公告、</w:t>
            </w:r>
            <w:r>
              <w:rPr>
                <w:rFonts w:hint="eastAsia" w:asciiTheme="minorEastAsia" w:hAnsiTheme="minorEastAsia" w:eastAsiaTheme="minorEastAsia"/>
                <w:bCs/>
                <w:color w:val="auto"/>
                <w:sz w:val="24"/>
                <w:szCs w:val="24"/>
                <w:highlight w:val="none"/>
              </w:rPr>
              <w:t>磋商邀请、供应商</w:t>
            </w:r>
            <w:r>
              <w:rPr>
                <w:rFonts w:asciiTheme="minorEastAsia" w:hAnsiTheme="minorEastAsia" w:eastAsiaTheme="minorEastAsia"/>
                <w:bCs/>
                <w:color w:val="auto"/>
                <w:sz w:val="24"/>
                <w:szCs w:val="24"/>
                <w:highlight w:val="none"/>
              </w:rPr>
              <w:t>须知、评</w:t>
            </w:r>
            <w:r>
              <w:rPr>
                <w:rFonts w:hint="eastAsia" w:asciiTheme="minorEastAsia" w:hAnsiTheme="minorEastAsia" w:eastAsiaTheme="minorEastAsia"/>
                <w:bCs/>
                <w:color w:val="auto"/>
                <w:sz w:val="24"/>
                <w:szCs w:val="24"/>
                <w:highlight w:val="none"/>
              </w:rPr>
              <w:t>审方</w:t>
            </w:r>
            <w:r>
              <w:rPr>
                <w:rFonts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响应</w:t>
            </w:r>
            <w:r>
              <w:rPr>
                <w:rFonts w:asciiTheme="minorEastAsia" w:hAnsiTheme="minorEastAsia" w:eastAsiaTheme="minorEastAsia"/>
                <w:bCs/>
                <w:color w:val="auto"/>
                <w:sz w:val="24"/>
                <w:szCs w:val="24"/>
                <w:highlight w:val="none"/>
              </w:rPr>
              <w:t>文件格式的先后顺序解释；</w:t>
            </w:r>
          </w:p>
          <w:p w14:paraId="2F8E4B01">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（5）</w:t>
            </w:r>
            <w:r>
              <w:rPr>
                <w:rFonts w:asciiTheme="minorEastAsia" w:hAnsiTheme="minorEastAsia" w:eastAsiaTheme="minorEastAsia"/>
                <w:bCs/>
                <w:color w:val="auto"/>
                <w:sz w:val="24"/>
                <w:szCs w:val="24"/>
                <w:highlight w:val="none"/>
              </w:rPr>
              <w:t>按本款前述规定仍不能形成结论的，由</w:t>
            </w:r>
            <w:r>
              <w:rPr>
                <w:rFonts w:hint="eastAsia" w:asciiTheme="minorEastAsia" w:hAnsiTheme="minorEastAsia" w:eastAsiaTheme="minorEastAsia"/>
                <w:bCs/>
                <w:color w:val="auto"/>
                <w:sz w:val="24"/>
                <w:szCs w:val="24"/>
                <w:highlight w:val="none"/>
              </w:rPr>
              <w:t>采购</w:t>
            </w:r>
            <w:r>
              <w:rPr>
                <w:rFonts w:asciiTheme="minorEastAsia" w:hAnsiTheme="minorEastAsia" w:eastAsiaTheme="minorEastAsia"/>
                <w:bCs/>
                <w:color w:val="auto"/>
                <w:sz w:val="24"/>
                <w:szCs w:val="24"/>
                <w:highlight w:val="none"/>
              </w:rPr>
              <w:t>人负责解释。</w:t>
            </w:r>
          </w:p>
          <w:p w14:paraId="3ABCAD24">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2.“政采贷”融资指引：有融资需求的</w:t>
            </w:r>
            <w:r>
              <w:rPr>
                <w:rFonts w:hint="eastAsia" w:ascii="宋体" w:hAnsi="宋体" w:eastAsia="宋体" w:cs="宋体"/>
                <w:color w:val="auto"/>
                <w:sz w:val="24"/>
                <w:szCs w:val="24"/>
                <w:highlight w:val="none"/>
              </w:rPr>
              <w:t>供应商</w:t>
            </w:r>
            <w:r>
              <w:rPr>
                <w:rFonts w:hint="eastAsia" w:asciiTheme="minorEastAsia" w:hAnsiTheme="minorEastAsia" w:eastAsiaTheme="minorEastAsia"/>
                <w:bCs/>
                <w:color w:val="auto"/>
                <w:sz w:val="24"/>
                <w:szCs w:val="24"/>
                <w:highlight w:val="none"/>
              </w:rPr>
              <w:t>在取得政府采购中标或成交通知书后，可访问安徽省政府采购网“政采贷”栏目，查看和联系第三方平台或者金融机构，商洽融资事项，确定融资意向。</w:t>
            </w:r>
            <w:r>
              <w:rPr>
                <w:rFonts w:hint="eastAsia" w:ascii="宋体" w:hAnsi="宋体" w:eastAsia="宋体" w:cs="宋体"/>
                <w:color w:val="auto"/>
                <w:sz w:val="24"/>
                <w:szCs w:val="24"/>
                <w:highlight w:val="none"/>
              </w:rPr>
              <w:t>供应商</w:t>
            </w:r>
            <w:r>
              <w:rPr>
                <w:rFonts w:hint="eastAsia" w:asciiTheme="minorEastAsia" w:hAnsiTheme="minorEastAsia" w:eastAsiaTheme="minorEastAsia"/>
                <w:bCs/>
                <w:color w:val="auto"/>
                <w:sz w:val="24"/>
                <w:szCs w:val="24"/>
                <w:highlight w:val="none"/>
              </w:rPr>
              <w:t>签署政府采购中标（成交）合同后，登录“徽采云”金融服务模块，选择意向产品进行申请，并填写相关信息，“徽采云”金融服务模块将</w:t>
            </w:r>
            <w:r>
              <w:rPr>
                <w:rFonts w:hint="eastAsia" w:ascii="宋体" w:hAnsi="宋体" w:eastAsia="宋体" w:cs="宋体"/>
                <w:color w:val="auto"/>
                <w:sz w:val="24"/>
                <w:szCs w:val="24"/>
                <w:highlight w:val="none"/>
              </w:rPr>
              <w:t>成交供应商</w:t>
            </w:r>
            <w:r>
              <w:rPr>
                <w:rFonts w:hint="eastAsia" w:asciiTheme="minorEastAsia" w:hAnsiTheme="minorEastAsia" w:eastAsiaTheme="minorEastAsia"/>
                <w:bCs/>
                <w:color w:val="auto"/>
                <w:sz w:val="24"/>
                <w:szCs w:val="24"/>
                <w:highlight w:val="none"/>
              </w:rPr>
              <w:t>融资申请信息推送第三方平台、意向金融机构。</w:t>
            </w:r>
          </w:p>
          <w:p w14:paraId="11C2D5CC">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3.电子保函指引：成交供应商可访问安徽省政府采购网“融资/保函”栏目，申请办理电子保函（包括：履约保函、预付款保函）。</w:t>
            </w:r>
          </w:p>
          <w:p w14:paraId="7FC483DA">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bCs/>
                <w:color w:val="auto"/>
                <w:sz w:val="24"/>
                <w:szCs w:val="24"/>
                <w:highlight w:val="none"/>
              </w:rPr>
              <w:t>4.</w:t>
            </w:r>
            <w:r>
              <w:rPr>
                <w:rFonts w:hint="eastAsia" w:asciiTheme="minorEastAsia" w:hAnsiTheme="minorEastAsia" w:eastAsiaTheme="minorEastAsia"/>
                <w:color w:val="auto"/>
                <w:sz w:val="24"/>
                <w:szCs w:val="24"/>
                <w:highlight w:val="none"/>
              </w:rPr>
              <w:t>部分可提供线下政采贷的金融机构：</w:t>
            </w:r>
          </w:p>
          <w:p w14:paraId="419791B0">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市本级</w:t>
            </w:r>
          </w:p>
          <w:p w14:paraId="195FB752">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金融机构名称：兴业银行滁州分行</w:t>
            </w:r>
          </w:p>
          <w:p w14:paraId="6DD90DF6">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安徽省滁州市琅琊区丰乐大道1090号</w:t>
            </w:r>
          </w:p>
          <w:p w14:paraId="04078B02">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伏庚：17755080811</w:t>
            </w:r>
          </w:p>
          <w:p w14:paraId="087BD36B">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5.特别提示：</w:t>
            </w:r>
          </w:p>
          <w:p w14:paraId="61516AB5">
            <w:pPr>
              <w:pStyle w:val="43"/>
              <w:widowControl w:val="0"/>
              <w:spacing w:before="0" w:beforeAutospacing="0" w:after="0" w:afterAutospacing="0" w:line="360" w:lineRule="auto"/>
              <w:jc w:val="both"/>
              <w:rPr>
                <w:rFonts w:asciiTheme="minorEastAsia" w:hAnsiTheme="minorEastAsia" w:eastAsiaTheme="minorEastAsia"/>
                <w:b w:val="0"/>
                <w:bCs w:val="0"/>
                <w:color w:val="auto"/>
                <w:kern w:val="2"/>
                <w:sz w:val="24"/>
                <w:szCs w:val="24"/>
                <w:highlight w:val="none"/>
              </w:rPr>
            </w:pPr>
            <w:r>
              <w:rPr>
                <w:rFonts w:hint="eastAsia" w:asciiTheme="minorEastAsia" w:hAnsiTheme="minorEastAsia" w:eastAsiaTheme="minorEastAsia"/>
                <w:b w:val="0"/>
                <w:bCs w:val="0"/>
                <w:color w:val="auto"/>
                <w:kern w:val="2"/>
                <w:sz w:val="24"/>
                <w:szCs w:val="24"/>
                <w:highlight w:val="none"/>
              </w:rPr>
              <w:t>（1）供应商应填写投标信息并下载采购文件，否则无法上传响应文件。</w:t>
            </w:r>
          </w:p>
          <w:p w14:paraId="78D8BF8F">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本项目采用电子招标投标，请供应商在滁州市公共资源交易中心网&gt;服务指南&gt;软件下载栏目点击下载响应文件制作工具。供应商需采用最新版响应文件制作工具。软件运行需在国际互联网络通畅状态，供应商需注意更新，以免造成响应文件制作错误，如因此导致磋商小组否决其磋商资格，责任自负。如有技术问题请联系0550-3801701，4009980000。</w:t>
            </w:r>
          </w:p>
          <w:p w14:paraId="3AD41831">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（3）如果过程中出现采购文件更改，应以最后发布的招标答疑澄清文件中的模板制作本项目最新响应文件。</w:t>
            </w:r>
          </w:p>
          <w:p w14:paraId="1D20A4C1">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（4）供应商应当用本单位CA数字证书制作响应文件，制作成功后进行响应文件上传。 </w:t>
            </w:r>
          </w:p>
          <w:p w14:paraId="177258CE">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供应商须用CA数字证书盖章和加密响应文件，建议使用主锁。（如未办理CA数字证书请及时办理，网上办理和窗口办理均可。查看办理所需资料请登录滁州市公共资源交易中心网&gt;服务指南&gt;办事指南&gt;CA数字证书和电子签章。因未及时办理CA数字证书手续导致无法投标的，责任自负。</w:t>
            </w:r>
          </w:p>
          <w:p w14:paraId="0612D572">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（6）请供应商注意加密响应文件CA数字证书的有效期，不在有效期的CA数字证书无法解密响应文件。</w:t>
            </w:r>
          </w:p>
          <w:p w14:paraId="2A5F10BC">
            <w:pPr>
              <w:pStyle w:val="21"/>
              <w:spacing w:before="0" w:beforeAutospacing="0" w:after="0" w:afterAutospacing="0" w:line="440" w:lineRule="exact"/>
              <w:jc w:val="both"/>
              <w:rPr>
                <w:rFonts w:ascii="宋体" w:hAnsi="宋体" w:eastAsia="宋体" w:cs="@仿宋_GB2312"/>
                <w:bCs/>
                <w:color w:val="auto"/>
                <w:kern w:val="2"/>
                <w:szCs w:val="24"/>
                <w:highlight w:val="none"/>
              </w:rPr>
            </w:pPr>
            <w:r>
              <w:rPr>
                <w:rFonts w:hint="eastAsia" w:asciiTheme="minorEastAsia" w:hAnsiTheme="minorEastAsia" w:eastAsiaTheme="minorEastAsia"/>
                <w:color w:val="auto"/>
                <w:kern w:val="2"/>
                <w:szCs w:val="24"/>
                <w:highlight w:val="none"/>
              </w:rPr>
              <w:t>（7）</w:t>
            </w:r>
            <w:r>
              <w:rPr>
                <w:rFonts w:hint="eastAsia" w:ascii="宋体" w:hAnsi="宋体" w:eastAsia="宋体" w:cs="宋体"/>
                <w:bCs/>
                <w:color w:val="auto"/>
                <w:kern w:val="2"/>
                <w:szCs w:val="24"/>
                <w:highlight w:val="none"/>
                <w:lang w:bidi="ar"/>
              </w:rPr>
              <w:t>供应商投标MAC地址或供应商联系人或联系电话相同的，由磋商小组否决其响应，并报告监管部门作不良行为处理和进一步调查。</w:t>
            </w:r>
          </w:p>
          <w:p w14:paraId="6604DD2E">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（8）供应商单方面出现其他供应商材料的，由磋商小组否决其响应。</w:t>
            </w:r>
          </w:p>
          <w:p w14:paraId="3BF2DDCA">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评审时查询响应文件制作机器码、文件创建标识码及造价软件加密锁号。若存在响应文件制作机器码或创建标识码或造价软件加密锁号信息与其他供应商雷同的，由磋商小组否决其响应，依法依规予以处理。</w:t>
            </w:r>
          </w:p>
          <w:p w14:paraId="6B70B95B">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电子加密响应文件上传到系统后，需要供应商和采购代理公司到截止时间后共同解锁，不存在商务报价等投标信息通过系统泄密的风险；截止时间前，已上传的响应文件也可以撤回修改。集中到开标截止时间前上传电子加密响应文件，可能出现由于投标企业制作电子响应文件不熟练、网络拥堵等不可预知的情况而且无法及时解决，丧失投标机会，请各投标企业提前制作、上传电子加密响应文件，否则由于无法及时上传电子加密响应文件而无效响应的情况，责任自负！</w:t>
            </w:r>
          </w:p>
          <w:p w14:paraId="549E7487">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6.评审过程中的澄清、说明或补正：</w:t>
            </w:r>
          </w:p>
          <w:p w14:paraId="2C96392C">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（1）磋商小组通过网上招投标系统将需要澄清、说明或补正的内容以询标函的形式发送给供应商，供应商应安排专人登录网上招投标系统并保持在线状态，以便及时接收磋商小组可能发出的询标函。</w:t>
            </w:r>
          </w:p>
          <w:p w14:paraId="72B1E358">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因供应商未登录网上招投标系统导致无法及时接收询标函（远程网上询标）或未在规定时间内按磋商小组要求进行澄清、说明或补正内容的视同供应商放弃澄清、说明或补正内容的权利，磋商小组可按对供应商不利的解释进行判定。</w:t>
            </w:r>
          </w:p>
          <w:p w14:paraId="06CDB11D">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7.同义词语：</w:t>
            </w:r>
          </w:p>
          <w:p w14:paraId="0D212F1F">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磋商文件第六章  响应文件格式、附件1“关于联合惩戒失信行为 加强信用查询管理的通知”等章节中 “招标人”、“投标人”，等同于“采购人”、“供应商”。</w:t>
            </w:r>
          </w:p>
          <w:p w14:paraId="5E6DE56D">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8.落实政府采购支持节能产品、环境标志产品政策。</w:t>
            </w:r>
          </w:p>
          <w:p w14:paraId="3A127438">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color w:val="auto"/>
                <w:sz w:val="24"/>
                <w:szCs w:val="24"/>
                <w:highlight w:val="none"/>
              </w:rPr>
              <w:t>9.系统中提供的表格与采购文件中不一致时，以采购文件中提供的表格格式为准。</w:t>
            </w:r>
          </w:p>
        </w:tc>
      </w:tr>
    </w:tbl>
    <w:p w14:paraId="11E5B2D3">
      <w:pPr>
        <w:spacing w:line="360" w:lineRule="auto"/>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8" w:name="_Toc27470"/>
      <w:bookmarkStart w:id="9" w:name="_Toc14293"/>
      <w:r>
        <w:rPr>
          <w:rFonts w:hint="eastAsia" w:asciiTheme="minorEastAsia" w:hAnsiTheme="minorEastAsia" w:eastAsiaTheme="minorEastAsia"/>
          <w:b/>
          <w:color w:val="auto"/>
          <w:sz w:val="24"/>
          <w:highlight w:val="none"/>
        </w:rPr>
        <w:t>二、供应商</w:t>
      </w:r>
      <w:r>
        <w:rPr>
          <w:rFonts w:asciiTheme="minorEastAsia" w:hAnsiTheme="minorEastAsia" w:eastAsiaTheme="minorEastAsia"/>
          <w:b/>
          <w:color w:val="auto"/>
          <w:sz w:val="24"/>
          <w:highlight w:val="none"/>
        </w:rPr>
        <w:t>须知</w:t>
      </w:r>
      <w:r>
        <w:rPr>
          <w:rFonts w:hint="eastAsia" w:asciiTheme="minorEastAsia" w:hAnsiTheme="minorEastAsia" w:eastAsiaTheme="minorEastAsia"/>
          <w:b/>
          <w:color w:val="auto"/>
          <w:sz w:val="24"/>
          <w:highlight w:val="none"/>
        </w:rPr>
        <w:t>正文</w:t>
      </w:r>
      <w:bookmarkEnd w:id="8"/>
      <w:bookmarkEnd w:id="9"/>
    </w:p>
    <w:p w14:paraId="662F0C1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采购人、采购代理机构及供应商</w:t>
      </w:r>
    </w:p>
    <w:p w14:paraId="390184E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.1采购人：是指依法开展政府采购活动的国家机关、事业单位、团体组织。</w:t>
      </w:r>
    </w:p>
    <w:p w14:paraId="21A1780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.2采购代理机构：是指集中采购机构或从事采购代理业务的社会中介机构。</w:t>
      </w:r>
    </w:p>
    <w:p w14:paraId="7E438C5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rPr>
        <w:t>各级人民政府指定的有关部门依法履行与政府采购活动有关的监督管理职责</w:t>
      </w:r>
      <w:r>
        <w:rPr>
          <w:rFonts w:ascii="宋体" w:hAnsi="宋体" w:eastAsia="宋体"/>
          <w:color w:val="auto"/>
          <w:sz w:val="24"/>
          <w:highlight w:val="none"/>
        </w:rPr>
        <w:t>。</w:t>
      </w:r>
    </w:p>
    <w:p w14:paraId="6FB92AC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供应商</w:t>
      </w:r>
      <w:r>
        <w:rPr>
          <w:rFonts w:ascii="宋体" w:hAnsi="宋体" w:eastAsia="宋体"/>
          <w:color w:val="auto"/>
          <w:sz w:val="24"/>
          <w:highlight w:val="none"/>
        </w:rPr>
        <w:t>：是指向采购人提供货物、工程或者服务的法人、</w:t>
      </w:r>
      <w:r>
        <w:rPr>
          <w:rFonts w:hint="eastAsia" w:ascii="宋体" w:hAnsi="宋体" w:eastAsia="宋体"/>
          <w:color w:val="auto"/>
          <w:sz w:val="24"/>
          <w:highlight w:val="none"/>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r>
        <w:rPr>
          <w:rFonts w:ascii="宋体" w:hAnsi="宋体" w:eastAsia="宋体"/>
          <w:color w:val="auto"/>
          <w:sz w:val="24"/>
          <w:highlight w:val="none"/>
        </w:rPr>
        <w:t>本项目的</w:t>
      </w:r>
      <w:r>
        <w:rPr>
          <w:rFonts w:hint="eastAsia" w:ascii="宋体" w:hAnsi="宋体" w:eastAsia="宋体"/>
          <w:color w:val="auto"/>
          <w:sz w:val="24"/>
          <w:highlight w:val="none"/>
        </w:rPr>
        <w:t>供应商</w:t>
      </w:r>
      <w:r>
        <w:rPr>
          <w:rFonts w:ascii="宋体" w:hAnsi="宋体" w:eastAsia="宋体"/>
          <w:color w:val="auto"/>
          <w:sz w:val="24"/>
          <w:highlight w:val="none"/>
        </w:rPr>
        <w:t>及其</w:t>
      </w:r>
      <w:r>
        <w:rPr>
          <w:rFonts w:hint="eastAsia" w:ascii="宋体" w:hAnsi="宋体" w:eastAsia="宋体"/>
          <w:color w:val="auto"/>
          <w:sz w:val="24"/>
          <w:highlight w:val="none"/>
        </w:rPr>
        <w:t>所</w:t>
      </w:r>
      <w:r>
        <w:rPr>
          <w:rFonts w:ascii="宋体" w:hAnsi="宋体" w:eastAsia="宋体"/>
          <w:color w:val="auto"/>
          <w:sz w:val="24"/>
          <w:highlight w:val="none"/>
        </w:rPr>
        <w:t>投货物须满足以下条件：</w:t>
      </w:r>
    </w:p>
    <w:p w14:paraId="7F7DDFC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3B2D498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2</w:t>
      </w:r>
      <w:r>
        <w:rPr>
          <w:rFonts w:ascii="宋体" w:hAnsi="宋体" w:eastAsia="宋体"/>
          <w:color w:val="auto"/>
          <w:sz w:val="24"/>
          <w:highlight w:val="none"/>
        </w:rPr>
        <w:t>以采购代理机构认可的方式获得了本项目的</w:t>
      </w:r>
      <w:r>
        <w:rPr>
          <w:rFonts w:hint="eastAsia" w:ascii="宋体" w:hAnsi="宋体" w:eastAsia="宋体"/>
          <w:color w:val="auto"/>
          <w:sz w:val="24"/>
          <w:highlight w:val="none"/>
        </w:rPr>
        <w:t>磋商</w:t>
      </w:r>
      <w:r>
        <w:rPr>
          <w:rFonts w:ascii="宋体" w:hAnsi="宋体" w:eastAsia="宋体"/>
          <w:color w:val="auto"/>
          <w:sz w:val="24"/>
          <w:highlight w:val="none"/>
        </w:rPr>
        <w:t>文件。</w:t>
      </w:r>
    </w:p>
    <w:p w14:paraId="6C4A0B6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3</w:t>
      </w:r>
      <w:r>
        <w:rPr>
          <w:rFonts w:ascii="宋体" w:hAnsi="宋体" w:eastAsia="宋体"/>
          <w:color w:val="auto"/>
          <w:sz w:val="24"/>
          <w:highlight w:val="none"/>
        </w:rPr>
        <w:t>若</w:t>
      </w:r>
      <w:r>
        <w:rPr>
          <w:rFonts w:hint="eastAsia" w:ascii="宋体" w:hAnsi="宋体" w:eastAsia="宋体"/>
          <w:color w:val="auto"/>
          <w:sz w:val="24"/>
          <w:highlight w:val="none"/>
        </w:rPr>
        <w:t>采购需求</w:t>
      </w:r>
      <w:r>
        <w:rPr>
          <w:rFonts w:ascii="宋体" w:hAnsi="宋体" w:eastAsia="宋体"/>
          <w:color w:val="auto"/>
          <w:sz w:val="24"/>
          <w:highlight w:val="none"/>
        </w:rPr>
        <w:t>中写明允许采购进口产品，</w:t>
      </w:r>
      <w:r>
        <w:rPr>
          <w:rFonts w:hint="eastAsia" w:ascii="宋体" w:hAnsi="宋体" w:eastAsia="宋体"/>
          <w:color w:val="auto"/>
          <w:sz w:val="24"/>
          <w:highlight w:val="none"/>
        </w:rPr>
        <w:t>供应商</w:t>
      </w:r>
      <w:r>
        <w:rPr>
          <w:rFonts w:ascii="宋体" w:hAnsi="宋体" w:eastAsia="宋体"/>
          <w:color w:val="auto"/>
          <w:sz w:val="24"/>
          <w:highlight w:val="none"/>
        </w:rPr>
        <w:t>应保证所投产品可履行合法报通关手续进入中国关境内。</w:t>
      </w:r>
    </w:p>
    <w:p w14:paraId="26F2051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若采购需求中未写明允许采购进口产品，如供应商所投产品为进口产品，其响应文件将被认定为</w:t>
      </w:r>
      <w:r>
        <w:rPr>
          <w:rFonts w:hint="eastAsia" w:ascii="宋体" w:hAnsi="宋体" w:eastAsia="宋体"/>
          <w:b/>
          <w:color w:val="auto"/>
          <w:sz w:val="24"/>
          <w:highlight w:val="none"/>
        </w:rPr>
        <w:t>响应无效</w:t>
      </w:r>
      <w:r>
        <w:rPr>
          <w:rFonts w:hint="eastAsia" w:ascii="宋体" w:hAnsi="宋体" w:eastAsia="宋体"/>
          <w:color w:val="auto"/>
          <w:sz w:val="24"/>
          <w:highlight w:val="none"/>
        </w:rPr>
        <w:t>。</w:t>
      </w:r>
    </w:p>
    <w:p w14:paraId="48FDE1E5">
      <w:pPr>
        <w:spacing w:line="360" w:lineRule="auto"/>
        <w:ind w:firstLine="435"/>
        <w:rPr>
          <w:rFonts w:ascii="宋体" w:hAnsi="宋体" w:eastAsia="宋体"/>
          <w:color w:val="auto"/>
          <w:sz w:val="24"/>
          <w:highlight w:val="none"/>
        </w:rPr>
      </w:pPr>
      <w:bookmarkStart w:id="10" w:name="_Hlk60607583"/>
      <w:r>
        <w:rPr>
          <w:rFonts w:hint="eastAsia" w:ascii="宋体" w:hAnsi="宋体" w:eastAsia="宋体"/>
          <w:bCs/>
          <w:color w:val="auto"/>
          <w:kern w:val="0"/>
          <w:sz w:val="24"/>
          <w:szCs w:val="28"/>
          <w:highlight w:val="none"/>
        </w:rPr>
        <w:t>1</w:t>
      </w:r>
      <w:r>
        <w:rPr>
          <w:rFonts w:ascii="宋体" w:hAnsi="宋体" w:eastAsia="宋体"/>
          <w:bCs/>
          <w:color w:val="auto"/>
          <w:kern w:val="0"/>
          <w:sz w:val="24"/>
          <w:szCs w:val="28"/>
          <w:highlight w:val="none"/>
        </w:rPr>
        <w:t>.5</w:t>
      </w:r>
      <w:r>
        <w:rPr>
          <w:rFonts w:hint="eastAsia" w:ascii="宋体" w:hAnsi="宋体" w:eastAsia="宋体"/>
          <w:bCs/>
          <w:color w:val="auto"/>
          <w:kern w:val="0"/>
          <w:sz w:val="24"/>
          <w:szCs w:val="28"/>
          <w:highlight w:val="none"/>
        </w:rPr>
        <w:t>若竞争性磋商公告</w:t>
      </w:r>
      <w:r>
        <w:rPr>
          <w:rFonts w:ascii="宋体" w:hAnsi="宋体" w:eastAsia="宋体"/>
          <w:bCs/>
          <w:color w:val="auto"/>
          <w:kern w:val="0"/>
          <w:sz w:val="24"/>
          <w:szCs w:val="28"/>
          <w:highlight w:val="none"/>
        </w:rPr>
        <w:t>中允许联合体</w:t>
      </w:r>
      <w:r>
        <w:rPr>
          <w:rFonts w:hint="eastAsia" w:ascii="宋体" w:hAnsi="宋体" w:eastAsia="宋体"/>
          <w:bCs/>
          <w:color w:val="auto"/>
          <w:kern w:val="0"/>
          <w:sz w:val="24"/>
          <w:szCs w:val="28"/>
          <w:highlight w:val="none"/>
        </w:rPr>
        <w:t>参加磋商</w:t>
      </w:r>
      <w:r>
        <w:rPr>
          <w:rFonts w:ascii="宋体" w:hAnsi="宋体" w:eastAsia="宋体"/>
          <w:bCs/>
          <w:color w:val="auto"/>
          <w:kern w:val="0"/>
          <w:sz w:val="24"/>
          <w:szCs w:val="28"/>
          <w:highlight w:val="none"/>
        </w:rPr>
        <w:t>，对联合体规定如下：</w:t>
      </w:r>
    </w:p>
    <w:bookmarkEnd w:id="10"/>
    <w:p w14:paraId="48A25D0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.1</w:t>
      </w:r>
      <w:r>
        <w:rPr>
          <w:rFonts w:hint="eastAsia" w:ascii="宋体" w:hAnsi="宋体" w:eastAsia="宋体"/>
          <w:color w:val="auto"/>
          <w:sz w:val="24"/>
          <w:highlight w:val="none"/>
        </w:rPr>
        <w:t>两个以上供应商可以组成一个磋商联合体，以一个供应商的身份磋商</w:t>
      </w:r>
      <w:r>
        <w:rPr>
          <w:rFonts w:ascii="宋体" w:hAnsi="宋体" w:eastAsia="宋体"/>
          <w:color w:val="auto"/>
          <w:sz w:val="24"/>
          <w:highlight w:val="none"/>
        </w:rPr>
        <w:t>。联合体参加磋商的，</w:t>
      </w:r>
      <w:r>
        <w:rPr>
          <w:rFonts w:hint="eastAsia" w:ascii="宋体" w:hAnsi="宋体" w:eastAsia="宋体"/>
          <w:color w:val="auto"/>
          <w:sz w:val="24"/>
          <w:highlight w:val="none"/>
        </w:rPr>
        <w:t>磋商文件获取</w:t>
      </w:r>
      <w:r>
        <w:rPr>
          <w:rFonts w:ascii="宋体" w:hAnsi="宋体" w:eastAsia="宋体"/>
          <w:color w:val="auto"/>
          <w:sz w:val="24"/>
          <w:highlight w:val="none"/>
        </w:rPr>
        <w:t>手续由联合体</w:t>
      </w:r>
      <w:r>
        <w:rPr>
          <w:rFonts w:hint="eastAsia" w:ascii="宋体" w:hAnsi="宋体" w:eastAsia="宋体"/>
          <w:color w:val="auto"/>
          <w:sz w:val="24"/>
          <w:highlight w:val="none"/>
        </w:rPr>
        <w:t>中</w:t>
      </w:r>
      <w:r>
        <w:rPr>
          <w:rFonts w:ascii="宋体" w:hAnsi="宋体" w:eastAsia="宋体"/>
          <w:color w:val="auto"/>
          <w:sz w:val="24"/>
          <w:highlight w:val="none"/>
        </w:rPr>
        <w:t>任一</w:t>
      </w:r>
      <w:r>
        <w:rPr>
          <w:rFonts w:hint="eastAsia" w:ascii="宋体" w:hAnsi="宋体" w:eastAsia="宋体"/>
          <w:color w:val="auto"/>
          <w:sz w:val="24"/>
          <w:highlight w:val="none"/>
        </w:rPr>
        <w:t>成员单位</w:t>
      </w:r>
      <w:r>
        <w:rPr>
          <w:rFonts w:ascii="宋体" w:hAnsi="宋体" w:eastAsia="宋体"/>
          <w:color w:val="auto"/>
          <w:sz w:val="24"/>
          <w:highlight w:val="none"/>
        </w:rPr>
        <w:t>办理均可。</w:t>
      </w:r>
    </w:p>
    <w:p w14:paraId="253108A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.2联合体各方均应符合《中华人民共和国政府采购法》第二十二条规定的条件。</w:t>
      </w:r>
    </w:p>
    <w:p w14:paraId="45B1B55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.3采购人根据采购项目对</w:t>
      </w:r>
      <w:r>
        <w:rPr>
          <w:rFonts w:hint="eastAsia" w:ascii="宋体" w:hAnsi="宋体" w:eastAsia="宋体"/>
          <w:color w:val="auto"/>
          <w:sz w:val="24"/>
          <w:highlight w:val="none"/>
        </w:rPr>
        <w:t>供应商</w:t>
      </w:r>
      <w:r>
        <w:rPr>
          <w:rFonts w:ascii="宋体" w:hAnsi="宋体" w:eastAsia="宋体"/>
          <w:color w:val="auto"/>
          <w:sz w:val="24"/>
          <w:highlight w:val="none"/>
        </w:rPr>
        <w:t>的特殊要求，联合体中至少应当有一方符合相关规定。</w:t>
      </w:r>
    </w:p>
    <w:p w14:paraId="61D0217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.4联合体各方应签订</w:t>
      </w:r>
      <w:r>
        <w:rPr>
          <w:rFonts w:hint="eastAsia" w:ascii="宋体" w:hAnsi="宋体" w:eastAsia="宋体"/>
          <w:color w:val="auto"/>
          <w:sz w:val="24"/>
          <w:highlight w:val="none"/>
        </w:rPr>
        <w:t>联合协议</w:t>
      </w:r>
      <w:r>
        <w:rPr>
          <w:rFonts w:ascii="宋体" w:hAnsi="宋体" w:eastAsia="宋体"/>
          <w:color w:val="auto"/>
          <w:sz w:val="24"/>
          <w:highlight w:val="none"/>
        </w:rPr>
        <w:t>，明确约定联合体各方承担的工作和相应的责任，并将</w:t>
      </w:r>
      <w:r>
        <w:rPr>
          <w:rFonts w:hint="eastAsia" w:ascii="宋体" w:hAnsi="宋体" w:eastAsia="宋体"/>
          <w:color w:val="auto"/>
          <w:sz w:val="24"/>
          <w:highlight w:val="none"/>
        </w:rPr>
        <w:t>联合协议</w:t>
      </w:r>
      <w:r>
        <w:rPr>
          <w:rFonts w:ascii="宋体" w:hAnsi="宋体" w:eastAsia="宋体"/>
          <w:color w:val="auto"/>
          <w:sz w:val="24"/>
          <w:highlight w:val="none"/>
        </w:rPr>
        <w:t>作为</w:t>
      </w:r>
      <w:r>
        <w:rPr>
          <w:rFonts w:hint="eastAsia" w:ascii="宋体" w:hAnsi="宋体" w:eastAsia="宋体"/>
          <w:color w:val="auto"/>
          <w:sz w:val="24"/>
          <w:highlight w:val="none"/>
        </w:rPr>
        <w:t>响应</w:t>
      </w:r>
      <w:r>
        <w:rPr>
          <w:rFonts w:ascii="宋体" w:hAnsi="宋体" w:eastAsia="宋体"/>
          <w:color w:val="auto"/>
          <w:sz w:val="24"/>
          <w:highlight w:val="none"/>
        </w:rPr>
        <w:t>文件</w:t>
      </w:r>
      <w:r>
        <w:rPr>
          <w:rFonts w:hint="eastAsia" w:ascii="宋体" w:hAnsi="宋体" w:eastAsia="宋体"/>
          <w:color w:val="auto"/>
          <w:sz w:val="24"/>
          <w:highlight w:val="none"/>
        </w:rPr>
        <w:t>的</w:t>
      </w:r>
      <w:r>
        <w:rPr>
          <w:rFonts w:ascii="宋体" w:hAnsi="宋体" w:eastAsia="宋体"/>
          <w:color w:val="auto"/>
          <w:sz w:val="24"/>
          <w:highlight w:val="none"/>
        </w:rPr>
        <w:t>一部分提交。</w:t>
      </w:r>
    </w:p>
    <w:p w14:paraId="3B0CE76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.5大中型企业、其他自然人、法人或者非法人组织与小型、微型企业组成联合体共同参加</w:t>
      </w:r>
      <w:r>
        <w:rPr>
          <w:rFonts w:hint="eastAsia" w:ascii="宋体" w:hAnsi="宋体" w:eastAsia="宋体"/>
          <w:color w:val="auto"/>
          <w:sz w:val="24"/>
          <w:highlight w:val="none"/>
        </w:rPr>
        <w:t>磋商</w:t>
      </w:r>
      <w:r>
        <w:rPr>
          <w:rFonts w:ascii="宋体" w:hAnsi="宋体" w:eastAsia="宋体"/>
          <w:color w:val="auto"/>
          <w:sz w:val="24"/>
          <w:highlight w:val="none"/>
        </w:rPr>
        <w:t>，</w:t>
      </w:r>
      <w:r>
        <w:rPr>
          <w:rFonts w:hint="eastAsia" w:ascii="宋体" w:hAnsi="宋体" w:eastAsia="宋体"/>
          <w:color w:val="auto"/>
          <w:sz w:val="24"/>
          <w:highlight w:val="none"/>
        </w:rPr>
        <w:t>联合协议中</w:t>
      </w:r>
      <w:r>
        <w:rPr>
          <w:rFonts w:ascii="宋体" w:hAnsi="宋体" w:eastAsia="宋体"/>
          <w:color w:val="auto"/>
          <w:sz w:val="24"/>
          <w:highlight w:val="none"/>
        </w:rPr>
        <w:t>应写明小型、微型企业的协议合同金额占到</w:t>
      </w:r>
      <w:r>
        <w:rPr>
          <w:rFonts w:hint="eastAsia" w:ascii="宋体" w:hAnsi="宋体" w:eastAsia="宋体"/>
          <w:color w:val="auto"/>
          <w:sz w:val="24"/>
          <w:highlight w:val="none"/>
        </w:rPr>
        <w:t>联合协议合同</w:t>
      </w:r>
      <w:r>
        <w:rPr>
          <w:rFonts w:ascii="宋体" w:hAnsi="宋体" w:eastAsia="宋体"/>
          <w:color w:val="auto"/>
          <w:sz w:val="24"/>
          <w:highlight w:val="none"/>
        </w:rPr>
        <w:t>总金额的比例。</w:t>
      </w:r>
    </w:p>
    <w:p w14:paraId="6FE6ECE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.5.6</w:t>
      </w:r>
      <w:r>
        <w:rPr>
          <w:rFonts w:hint="eastAsia" w:ascii="宋体" w:hAnsi="宋体" w:eastAsia="宋体"/>
          <w:color w:val="auto"/>
          <w:sz w:val="24"/>
          <w:highlight w:val="none"/>
        </w:rPr>
        <w:t>联合体中有同类资质的供应商按照联合体分工承担相同工作的，</w:t>
      </w:r>
      <w:r>
        <w:rPr>
          <w:rFonts w:ascii="宋体" w:hAnsi="宋体" w:eastAsia="宋体"/>
          <w:color w:val="auto"/>
          <w:sz w:val="24"/>
          <w:highlight w:val="none"/>
        </w:rPr>
        <w:t>应当按照</w:t>
      </w:r>
      <w:r>
        <w:rPr>
          <w:rFonts w:hint="eastAsia" w:ascii="宋体" w:hAnsi="宋体" w:eastAsia="宋体"/>
          <w:color w:val="auto"/>
          <w:sz w:val="24"/>
          <w:highlight w:val="none"/>
        </w:rPr>
        <w:t>资质等级较低的供应商确定资质等级。</w:t>
      </w:r>
    </w:p>
    <w:p w14:paraId="275C5A3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.7以联合体形式参加政府采购活动的，联合体各方不得再单独参加或者与其他供应商另外组成联合体参加本项目</w:t>
      </w:r>
      <w:r>
        <w:rPr>
          <w:rFonts w:hint="eastAsia" w:ascii="宋体" w:hAnsi="宋体" w:eastAsia="宋体"/>
          <w:color w:val="auto"/>
          <w:sz w:val="24"/>
          <w:highlight w:val="none"/>
        </w:rPr>
        <w:t>磋商</w:t>
      </w:r>
      <w:r>
        <w:rPr>
          <w:rFonts w:ascii="宋体" w:hAnsi="宋体" w:eastAsia="宋体"/>
          <w:color w:val="auto"/>
          <w:sz w:val="24"/>
          <w:highlight w:val="none"/>
        </w:rPr>
        <w:t>，否则相关</w:t>
      </w:r>
      <w:r>
        <w:rPr>
          <w:rFonts w:hint="eastAsia" w:ascii="宋体" w:hAnsi="宋体" w:eastAsia="宋体"/>
          <w:color w:val="auto"/>
          <w:sz w:val="24"/>
          <w:highlight w:val="none"/>
        </w:rPr>
        <w:t>响应文件将被认定为</w:t>
      </w:r>
      <w:r>
        <w:rPr>
          <w:rFonts w:hint="eastAsia" w:ascii="宋体" w:hAnsi="宋体" w:eastAsia="宋体"/>
          <w:b/>
          <w:color w:val="auto"/>
          <w:sz w:val="24"/>
          <w:highlight w:val="none"/>
        </w:rPr>
        <w:t>响应无效</w:t>
      </w:r>
      <w:r>
        <w:rPr>
          <w:rFonts w:ascii="宋体" w:hAnsi="宋体" w:eastAsia="宋体"/>
          <w:color w:val="auto"/>
          <w:sz w:val="24"/>
          <w:highlight w:val="none"/>
        </w:rPr>
        <w:t>。</w:t>
      </w:r>
    </w:p>
    <w:p w14:paraId="0366807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.8对联合体参加磋商的其他资格要求见</w:t>
      </w:r>
      <w:r>
        <w:rPr>
          <w:rFonts w:hint="eastAsia" w:ascii="宋体" w:hAnsi="宋体" w:eastAsia="宋体"/>
          <w:color w:val="auto"/>
          <w:sz w:val="24"/>
          <w:highlight w:val="none"/>
        </w:rPr>
        <w:t>申请人的资格要求</w:t>
      </w:r>
      <w:r>
        <w:rPr>
          <w:rFonts w:ascii="宋体" w:hAnsi="宋体" w:eastAsia="宋体"/>
          <w:color w:val="auto"/>
          <w:sz w:val="24"/>
          <w:highlight w:val="none"/>
        </w:rPr>
        <w:t>。</w:t>
      </w:r>
    </w:p>
    <w:p w14:paraId="4163D12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资金落实情况</w:t>
      </w:r>
    </w:p>
    <w:p w14:paraId="6E29041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.1本项目的采购人已获得足以支付本次磋商后所签订的合同项下的资金。</w:t>
      </w:r>
    </w:p>
    <w:p w14:paraId="1B6964C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磋商费用</w:t>
      </w:r>
    </w:p>
    <w:p w14:paraId="776BDEAD">
      <w:pPr>
        <w:spacing w:line="360" w:lineRule="auto"/>
        <w:ind w:firstLine="480" w:firstLineChars="200"/>
        <w:outlineLvl w:val="2"/>
        <w:rPr>
          <w:rFonts w:ascii="宋体" w:hAnsi="宋体" w:eastAsia="宋体"/>
          <w:color w:val="auto"/>
          <w:sz w:val="24"/>
          <w:highlight w:val="none"/>
        </w:rPr>
      </w:pPr>
      <w:r>
        <w:rPr>
          <w:rFonts w:hint="eastAsia" w:ascii="宋体" w:hAnsi="宋体" w:eastAsia="宋体"/>
          <w:color w:val="auto"/>
          <w:sz w:val="24"/>
          <w:highlight w:val="none"/>
        </w:rPr>
        <w:t>不论磋商的结果如何，供应商应承担其所有与准备和参加磋商有关的费用</w:t>
      </w:r>
    </w:p>
    <w:p w14:paraId="733C8DF1">
      <w:pPr>
        <w:spacing w:line="360" w:lineRule="auto"/>
        <w:ind w:firstLine="482" w:firstLineChars="200"/>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4.适用法律</w:t>
      </w:r>
    </w:p>
    <w:p w14:paraId="67D92C76">
      <w:pPr>
        <w:spacing w:line="360" w:lineRule="auto"/>
        <w:ind w:firstLine="480" w:firstLineChars="200"/>
        <w:outlineLvl w:val="2"/>
        <w:rPr>
          <w:rFonts w:ascii="宋体" w:hAnsi="宋体" w:eastAsia="宋体"/>
          <w:color w:val="auto"/>
          <w:sz w:val="24"/>
          <w:highlight w:val="none"/>
        </w:rPr>
      </w:pPr>
      <w:r>
        <w:rPr>
          <w:rFonts w:hint="eastAsia" w:ascii="宋体" w:hAnsi="宋体" w:eastAsia="宋体"/>
          <w:color w:val="auto"/>
          <w:sz w:val="24"/>
          <w:highlight w:val="none"/>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法规的保护。</w:t>
      </w:r>
    </w:p>
    <w:p w14:paraId="197F190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磋商文件构成</w:t>
      </w:r>
    </w:p>
    <w:p w14:paraId="6E43DBB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5.1磋商文件包括下列内容：</w:t>
      </w:r>
    </w:p>
    <w:p w14:paraId="34BB6ACE">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磋商邀请</w:t>
      </w:r>
    </w:p>
    <w:p w14:paraId="734232E0">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须知</w:t>
      </w:r>
    </w:p>
    <w:p w14:paraId="1040FA3B">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4EB33B6A">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评审方法</w:t>
      </w:r>
      <w:r>
        <w:rPr>
          <w:rFonts w:asciiTheme="minorEastAsia" w:hAnsiTheme="minorEastAsia" w:eastAsiaTheme="minorEastAsia"/>
          <w:color w:val="auto"/>
          <w:sz w:val="24"/>
          <w:highlight w:val="none"/>
        </w:rPr>
        <w:t>和标准</w:t>
      </w:r>
    </w:p>
    <w:p w14:paraId="0F7BE23B">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3290A20B">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文件格式</w:t>
      </w:r>
    </w:p>
    <w:p w14:paraId="191CA03C">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第七章</w:t>
      </w:r>
      <w:r>
        <w:rPr>
          <w:rFonts w:asciiTheme="minorEastAsia" w:hAnsiTheme="minorEastAsia" w:eastAsiaTheme="minorEastAsia"/>
          <w:color w:val="auto"/>
          <w:sz w:val="24"/>
          <w:highlight w:val="none"/>
        </w:rPr>
        <w:t xml:space="preserve">  政府采购供应商</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67910F2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7B868DC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3供应商</w:t>
      </w:r>
      <w:r>
        <w:rPr>
          <w:rFonts w:asciiTheme="minorEastAsia" w:hAnsiTheme="minorEastAsia" w:eastAsiaTheme="minorEastAsia"/>
          <w:color w:val="auto"/>
          <w:sz w:val="24"/>
          <w:highlight w:val="none"/>
        </w:rPr>
        <w:t>应认真阅读</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文件所有的事项、格式、条款和技术规范等。</w:t>
      </w:r>
    </w:p>
    <w:p w14:paraId="67BD8E9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磋商文件的澄清与修改</w:t>
      </w:r>
    </w:p>
    <w:p w14:paraId="2E3BB1B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1供应商</w:t>
      </w:r>
      <w:r>
        <w:rPr>
          <w:rFonts w:asciiTheme="minorEastAsia" w:hAnsiTheme="minorEastAsia" w:eastAsiaTheme="minorEastAsia"/>
          <w:color w:val="auto"/>
          <w:sz w:val="24"/>
          <w:highlight w:val="none"/>
        </w:rPr>
        <w:t>如对</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文件内容有疑问，</w:t>
      </w:r>
      <w:r>
        <w:rPr>
          <w:rFonts w:hint="eastAsia" w:asciiTheme="minorEastAsia" w:hAnsiTheme="minorEastAsia" w:eastAsiaTheme="minorEastAsia"/>
          <w:color w:val="auto"/>
          <w:sz w:val="24"/>
          <w:highlight w:val="none"/>
        </w:rPr>
        <w:t>可</w:t>
      </w:r>
      <w:r>
        <w:rPr>
          <w:rFonts w:asciiTheme="minorEastAsia" w:hAnsiTheme="minorEastAsia" w:eastAsiaTheme="minorEastAsia"/>
          <w:color w:val="auto"/>
          <w:sz w:val="24"/>
          <w:highlight w:val="none"/>
        </w:rPr>
        <w:t>在</w:t>
      </w:r>
      <w:r>
        <w:rPr>
          <w:rFonts w:ascii="宋体" w:hAnsi="宋体" w:eastAsia="宋体"/>
          <w:color w:val="auto"/>
          <w:sz w:val="24"/>
          <w:highlight w:val="none"/>
          <w:u w:val="single"/>
        </w:rPr>
        <w:t>供应商须知前附表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截止时间前以网上提问形式</w:t>
      </w:r>
      <w:r>
        <w:rPr>
          <w:rFonts w:hint="eastAsia" w:asciiTheme="minorEastAsia" w:hAnsiTheme="minorEastAsia" w:eastAsiaTheme="minorEastAsia"/>
          <w:color w:val="auto"/>
          <w:sz w:val="24"/>
          <w:highlight w:val="none"/>
        </w:rPr>
        <w:t>（电子交易系统）</w:t>
      </w:r>
      <w:r>
        <w:rPr>
          <w:rFonts w:asciiTheme="minorEastAsia" w:hAnsiTheme="minorEastAsia" w:eastAsiaTheme="minorEastAsia"/>
          <w:color w:val="auto"/>
          <w:sz w:val="24"/>
          <w:highlight w:val="none"/>
        </w:rPr>
        <w:t>提交给采购代理机构。</w:t>
      </w:r>
    </w:p>
    <w:p w14:paraId="7BFBD86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2采购人可主动地或在答复供应商提出的询问时对磋商文件进行澄清与修改。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w:t>
      </w:r>
      <w:bookmarkStart w:id="11" w:name="_Hlk16458572"/>
      <w:r>
        <w:rPr>
          <w:rFonts w:hint="eastAsia" w:ascii="宋体" w:hAnsi="宋体" w:eastAsia="宋体"/>
          <w:color w:val="auto"/>
          <w:sz w:val="24"/>
          <w:szCs w:val="18"/>
          <w:highlight w:val="none"/>
        </w:rPr>
        <w:t>安徽省政府采购网</w:t>
      </w:r>
      <w:bookmarkEnd w:id="11"/>
      <w:r>
        <w:rPr>
          <w:rFonts w:hint="eastAsia" w:ascii="宋体" w:hAnsi="宋体" w:eastAsia="宋体"/>
          <w:color w:val="auto"/>
          <w:sz w:val="24"/>
          <w:szCs w:val="18"/>
          <w:highlight w:val="none"/>
        </w:rPr>
        <w:t>和滁州市公共资源交易中心网</w:t>
      </w:r>
      <w:r>
        <w:rPr>
          <w:rFonts w:hint="eastAsia" w:asciiTheme="minorEastAsia" w:hAnsiTheme="minorEastAsia" w:eastAsiaTheme="minorEastAsia"/>
          <w:color w:val="auto"/>
          <w:sz w:val="24"/>
          <w:highlight w:val="none"/>
        </w:rPr>
        <w:t>以发布更正公告的方式澄清或者修改磋商文件，更正公告的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起约束作用</w:t>
      </w:r>
      <w:r>
        <w:rPr>
          <w:rFonts w:hint="eastAsia" w:asciiTheme="minorEastAsia" w:hAnsiTheme="minorEastAsia" w:eastAsiaTheme="minorEastAsia"/>
          <w:color w:val="auto"/>
          <w:sz w:val="24"/>
          <w:highlight w:val="none"/>
        </w:rPr>
        <w:t>。供应商应主动上网查询。采购代理机构不承担供应商未及时关注相关信息引发的相关责任。</w:t>
      </w:r>
    </w:p>
    <w:p w14:paraId="0229AB2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6.3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2A1E8494">
      <w:pPr>
        <w:spacing w:line="360" w:lineRule="auto"/>
        <w:ind w:firstLine="435"/>
        <w:rPr>
          <w:rFonts w:asciiTheme="minorEastAsia" w:hAnsiTheme="minorEastAsia" w:eastAsiaTheme="minorEastAsia"/>
          <w:iCs/>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rFonts w:ascii="宋体" w:hAnsi="宋体" w:eastAsia="宋体"/>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本磋商</w:t>
      </w:r>
      <w:r>
        <w:rPr>
          <w:rFonts w:asciiTheme="minorEastAsia" w:hAnsiTheme="minorEastAsia" w:eastAsiaTheme="minorEastAsia"/>
          <w:color w:val="auto"/>
          <w:sz w:val="24"/>
          <w:highlight w:val="none"/>
        </w:rPr>
        <w:t>文件（含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w:t>
      </w:r>
    </w:p>
    <w:p w14:paraId="6AAA75C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磋商范围及响应文件中标准和计量单位的使用</w:t>
      </w:r>
    </w:p>
    <w:p w14:paraId="49EB55D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.1项目有分包的，供应商可</w:t>
      </w:r>
      <w:r>
        <w:rPr>
          <w:rFonts w:hint="eastAsia" w:asciiTheme="minorEastAsia" w:hAnsiTheme="minorEastAsia" w:eastAsiaTheme="minorEastAsia"/>
          <w:color w:val="auto"/>
          <w:sz w:val="24"/>
          <w:highlight w:val="none"/>
        </w:rPr>
        <w:t>参与</w:t>
      </w:r>
      <w:r>
        <w:rPr>
          <w:rFonts w:asciiTheme="minorEastAsia" w:hAnsiTheme="minorEastAsia" w:eastAsiaTheme="minorEastAsia"/>
          <w:color w:val="auto"/>
          <w:sz w:val="24"/>
          <w:highlight w:val="none"/>
        </w:rPr>
        <w:t>其中某一个或</w:t>
      </w:r>
      <w:r>
        <w:rPr>
          <w:rFonts w:hint="eastAsia" w:asciiTheme="minorEastAsia" w:hAnsiTheme="minorEastAsia" w:eastAsiaTheme="minorEastAsia"/>
          <w:color w:val="auto"/>
          <w:sz w:val="24"/>
          <w:highlight w:val="none"/>
        </w:rPr>
        <w:t>多</w:t>
      </w:r>
      <w:r>
        <w:rPr>
          <w:rFonts w:asciiTheme="minorEastAsia" w:hAnsiTheme="minorEastAsia" w:eastAsiaTheme="minorEastAsia"/>
          <w:color w:val="auto"/>
          <w:sz w:val="24"/>
          <w:highlight w:val="none"/>
        </w:rPr>
        <w:t>个分包</w:t>
      </w:r>
      <w:r>
        <w:rPr>
          <w:rFonts w:hint="eastAsia" w:asciiTheme="minorEastAsia" w:hAnsiTheme="minorEastAsia" w:eastAsiaTheme="minorEastAsia"/>
          <w:color w:val="auto"/>
          <w:sz w:val="24"/>
          <w:highlight w:val="none"/>
        </w:rPr>
        <w:t>的磋商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成交包数详见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中规定。</w:t>
      </w:r>
    </w:p>
    <w:p w14:paraId="127146A6">
      <w:pPr>
        <w:spacing w:line="360" w:lineRule="auto"/>
        <w:ind w:firstLine="435"/>
        <w:rPr>
          <w:rFonts w:eastAsiaTheme="minorEastAsia"/>
          <w:color w:val="auto"/>
          <w:highlight w:val="none"/>
        </w:rPr>
      </w:pPr>
      <w:r>
        <w:rPr>
          <w:rFonts w:hint="eastAsia" w:asciiTheme="minorEastAsia" w:hAnsiTheme="minorEastAsia" w:eastAsiaTheme="minorEastAsia"/>
          <w:color w:val="auto"/>
          <w:sz w:val="24"/>
          <w:highlight w:val="none"/>
        </w:rPr>
        <w:t>7.2 供应商</w:t>
      </w:r>
      <w:r>
        <w:rPr>
          <w:rFonts w:asciiTheme="minorEastAsia" w:hAnsiTheme="minorEastAsia" w:eastAsiaTheme="minorEastAsia"/>
          <w:color w:val="auto"/>
          <w:sz w:val="24"/>
          <w:highlight w:val="none"/>
        </w:rPr>
        <w:t>应当对所投分包</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，如仅响应</w:t>
      </w:r>
      <w:r>
        <w:rPr>
          <w:rFonts w:hint="eastAsia" w:asciiTheme="minorEastAsia" w:hAnsiTheme="minorEastAsia" w:eastAsiaTheme="minorEastAsia"/>
          <w:color w:val="auto"/>
          <w:sz w:val="24"/>
          <w:highlight w:val="none"/>
        </w:rPr>
        <w:t>所投包别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所投包别的响应</w:t>
      </w:r>
      <w:r>
        <w:rPr>
          <w:rFonts w:asciiTheme="minorEastAsia" w:hAnsiTheme="minorEastAsia" w:eastAsiaTheme="minorEastAsia"/>
          <w:color w:val="auto"/>
          <w:sz w:val="24"/>
          <w:highlight w:val="none"/>
        </w:rPr>
        <w:t>将被认定为</w:t>
      </w:r>
      <w:r>
        <w:rPr>
          <w:rFonts w:hint="eastAsia" w:asciiTheme="minorEastAsia" w:hAnsiTheme="minorEastAsia" w:eastAsiaTheme="minorEastAsia"/>
          <w:b/>
          <w:color w:val="auto"/>
          <w:sz w:val="24"/>
          <w:highlight w:val="none"/>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p w14:paraId="5749629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无论磋商文件中是否要求，供应商所投货物及伴随的服务和工程均应符合国家强制性标准。</w:t>
      </w:r>
    </w:p>
    <w:p w14:paraId="776A0B9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供应商与采购代理机构之间与磋商有关的所有往来通知、函件和响应文件均用中文表述。供应商随响应文件提供的证明文件和资料可以为其它语言，但必须附中文译文。翻译的中文资料与外文资料如果出现差异时，以中文为准。</w:t>
      </w:r>
    </w:p>
    <w:p w14:paraId="4B08C9F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除磋商文件中有特殊要求外，响应文件中所使用的计量单位，应采用中华人民共和国法定计量单位。</w:t>
      </w:r>
    </w:p>
    <w:p w14:paraId="2ECA56A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响应文件构成</w:t>
      </w:r>
    </w:p>
    <w:p w14:paraId="1039ACC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r>
        <w:rPr>
          <w:rFonts w:asciiTheme="minorEastAsia" w:hAnsiTheme="minorEastAsia" w:eastAsiaTheme="minorEastAsia"/>
          <w:color w:val="auto"/>
          <w:sz w:val="24"/>
          <w:highlight w:val="none"/>
        </w:rPr>
        <w:t>.1</w:t>
      </w:r>
      <w:r>
        <w:rPr>
          <w:rFonts w:hint="eastAsia" w:ascii="宋体" w:hAnsi="宋体" w:eastAsia="宋体"/>
          <w:color w:val="auto"/>
          <w:sz w:val="24"/>
          <w:highlight w:val="none"/>
        </w:rPr>
        <w:t>供应商</w:t>
      </w:r>
      <w:r>
        <w:rPr>
          <w:rFonts w:asciiTheme="minorEastAsia" w:hAnsiTheme="minorEastAsia" w:eastAsiaTheme="minorEastAsia"/>
          <w:color w:val="auto"/>
          <w:sz w:val="24"/>
          <w:highlight w:val="none"/>
        </w:rPr>
        <w:t>应完整地按</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文件提供的</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文件格式及要求</w:t>
      </w:r>
      <w:r>
        <w:rPr>
          <w:rFonts w:hint="eastAsia" w:asciiTheme="minorEastAsia" w:hAnsiTheme="minorEastAsia" w:eastAsiaTheme="minorEastAsia"/>
          <w:color w:val="auto"/>
          <w:sz w:val="24"/>
          <w:highlight w:val="none"/>
        </w:rPr>
        <w:t>编</w:t>
      </w:r>
      <w:r>
        <w:rPr>
          <w:rFonts w:asciiTheme="minorEastAsia" w:hAnsiTheme="minorEastAsia" w:eastAsiaTheme="minorEastAsia"/>
          <w:color w:val="auto"/>
          <w:sz w:val="24"/>
          <w:highlight w:val="none"/>
        </w:rPr>
        <w:t>写</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具体内容详见本项目响应文件格式的相关内容。</w:t>
      </w:r>
    </w:p>
    <w:p w14:paraId="4392670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8.2</w:t>
      </w:r>
      <w:r>
        <w:rPr>
          <w:rFonts w:hint="eastAsia" w:ascii="宋体" w:hAnsi="宋体" w:eastAsia="宋体"/>
          <w:color w:val="auto"/>
          <w:sz w:val="24"/>
          <w:highlight w:val="none"/>
        </w:rPr>
        <w:t>供应商</w:t>
      </w:r>
      <w:r>
        <w:rPr>
          <w:rFonts w:asciiTheme="minorEastAsia" w:hAnsiTheme="minorEastAsia" w:eastAsiaTheme="minorEastAsia"/>
          <w:color w:val="auto"/>
          <w:sz w:val="24"/>
          <w:highlight w:val="none"/>
        </w:rPr>
        <w:t>应提交</w:t>
      </w:r>
      <w:r>
        <w:rPr>
          <w:rFonts w:hint="eastAsia" w:asciiTheme="minorEastAsia" w:hAnsiTheme="minorEastAsia" w:eastAsiaTheme="minorEastAsia"/>
          <w:color w:val="auto"/>
          <w:sz w:val="24"/>
          <w:highlight w:val="none"/>
        </w:rPr>
        <w:t>磋商文件要求的</w:t>
      </w:r>
      <w:r>
        <w:rPr>
          <w:rFonts w:asciiTheme="minorEastAsia" w:hAnsiTheme="minorEastAsia" w:eastAsiaTheme="minorEastAsia"/>
          <w:color w:val="auto"/>
          <w:sz w:val="24"/>
          <w:highlight w:val="none"/>
        </w:rPr>
        <w:t>证明文件，证明其</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内容符合</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文件规定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该证明文件是</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文件的一部分</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rPr>
        <w:t>形式</w:t>
      </w:r>
      <w:r>
        <w:rPr>
          <w:rFonts w:asciiTheme="minorEastAsia" w:hAnsiTheme="minorEastAsia" w:eastAsiaTheme="minorEastAsia"/>
          <w:color w:val="auto"/>
          <w:sz w:val="24"/>
          <w:highlight w:val="none"/>
        </w:rPr>
        <w:t>可以是文字资料、图纸和数据</w:t>
      </w:r>
      <w:r>
        <w:rPr>
          <w:rFonts w:hint="eastAsia" w:asciiTheme="minorEastAsia" w:hAnsiTheme="minorEastAsia" w:eastAsiaTheme="minorEastAsia"/>
          <w:color w:val="auto"/>
          <w:sz w:val="24"/>
          <w:highlight w:val="none"/>
        </w:rPr>
        <w:t>等。</w:t>
      </w:r>
    </w:p>
    <w:p w14:paraId="69D3AFF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8.3</w:t>
      </w:r>
      <w:r>
        <w:rPr>
          <w:rFonts w:asciiTheme="minorEastAsia" w:hAnsiTheme="minorEastAsia" w:eastAsiaTheme="minorEastAsia"/>
          <w:color w:val="auto"/>
          <w:sz w:val="24"/>
          <w:highlight w:val="none"/>
        </w:rPr>
        <w:t>为保证</w:t>
      </w:r>
      <w:r>
        <w:rPr>
          <w:rFonts w:ascii="宋体" w:hAnsi="宋体" w:eastAsia="宋体"/>
          <w:color w:val="auto"/>
          <w:sz w:val="24"/>
          <w:highlight w:val="none"/>
        </w:rPr>
        <w:t>公平</w:t>
      </w:r>
      <w:r>
        <w:rPr>
          <w:rFonts w:asciiTheme="minorEastAsia" w:hAnsiTheme="minorEastAsia" w:eastAsiaTheme="minorEastAsia"/>
          <w:color w:val="auto"/>
          <w:sz w:val="24"/>
          <w:highlight w:val="none"/>
        </w:rPr>
        <w:t>公正，除非另有规定或说明，</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对同一项目</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时，不得同时提供</w:t>
      </w:r>
      <w:r>
        <w:rPr>
          <w:rFonts w:hint="eastAsia" w:asciiTheme="minorEastAsia" w:hAnsiTheme="minorEastAsia" w:eastAsiaTheme="minorEastAsia"/>
          <w:color w:val="auto"/>
          <w:sz w:val="24"/>
          <w:highlight w:val="none"/>
        </w:rPr>
        <w:t>备选磋商</w:t>
      </w:r>
      <w:r>
        <w:rPr>
          <w:rFonts w:asciiTheme="minorEastAsia" w:hAnsiTheme="minorEastAsia" w:eastAsiaTheme="minorEastAsia"/>
          <w:color w:val="auto"/>
          <w:sz w:val="24"/>
          <w:highlight w:val="none"/>
        </w:rPr>
        <w:t>方案。</w:t>
      </w:r>
    </w:p>
    <w:p w14:paraId="111EEA4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报价</w:t>
      </w:r>
    </w:p>
    <w:p w14:paraId="11E15A3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的报价应当包括满足本次</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全部采购需求所应提供的</w:t>
      </w:r>
      <w:r>
        <w:rPr>
          <w:rFonts w:hint="eastAsia" w:asciiTheme="minorEastAsia" w:hAnsiTheme="minorEastAsia" w:eastAsiaTheme="minorEastAsia"/>
          <w:color w:val="auto"/>
          <w:sz w:val="24"/>
          <w:highlight w:val="none"/>
        </w:rPr>
        <w:t>货物，</w:t>
      </w:r>
      <w:r>
        <w:rPr>
          <w:rFonts w:asciiTheme="minorEastAsia" w:hAnsiTheme="minorEastAsia" w:eastAsiaTheme="minorEastAsia"/>
          <w:color w:val="auto"/>
          <w:sz w:val="24"/>
          <w:highlight w:val="none"/>
        </w:rPr>
        <w:t>以及伴随的</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和工程</w:t>
      </w:r>
      <w:r>
        <w:rPr>
          <w:rFonts w:hint="eastAsia" w:asciiTheme="minorEastAsia" w:hAnsiTheme="minorEastAsia" w:eastAsiaTheme="minorEastAsia"/>
          <w:color w:val="auto"/>
          <w:sz w:val="24"/>
          <w:highlight w:val="none"/>
        </w:rPr>
        <w:t>。除磋商文件另有规定外，所有内容均应以人民币报价，供应商的磋商报价应遵守《中华人民共和国价格法》。</w:t>
      </w:r>
    </w:p>
    <w:p w14:paraId="6D8A71F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除非磋商文件另有规定或经采购人同意支付的，最后报价均不得高于磋商文件（公告）列明的项目预算，否则其响应文件将被认定为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6ED48C0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3报价</w:t>
      </w:r>
      <w:r>
        <w:rPr>
          <w:rFonts w:asciiTheme="minorEastAsia" w:hAnsiTheme="minorEastAsia" w:eastAsiaTheme="minorEastAsia"/>
          <w:color w:val="auto"/>
          <w:sz w:val="24"/>
          <w:highlight w:val="none"/>
        </w:rPr>
        <w:t>在合同履行过程中是固定不变的，不得以任何理由予以变更。任何包含价格调整要求的</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，其</w:t>
      </w:r>
      <w:r>
        <w:rPr>
          <w:rFonts w:hint="eastAsia" w:asciiTheme="minorEastAsia" w:hAnsiTheme="minorEastAsia" w:eastAsiaTheme="minorEastAsia"/>
          <w:color w:val="auto"/>
          <w:sz w:val="24"/>
          <w:highlight w:val="none"/>
        </w:rPr>
        <w:t>响应文件将被认定为</w:t>
      </w:r>
      <w:r>
        <w:rPr>
          <w:rFonts w:hint="eastAsia"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17DE245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采购人不接受具有附加条件的报价。</w:t>
      </w:r>
    </w:p>
    <w:p w14:paraId="138A493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磋商保证金</w:t>
      </w:r>
    </w:p>
    <w:p w14:paraId="3DA7655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10.1本项目不收取磋商保证金。</w:t>
      </w:r>
    </w:p>
    <w:p w14:paraId="641E9DE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磋商有效期</w:t>
      </w:r>
    </w:p>
    <w:p w14:paraId="0549B82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w:t>
      </w:r>
      <w:r>
        <w:rPr>
          <w:rFonts w:asciiTheme="minorEastAsia" w:hAnsiTheme="minorEastAsia" w:eastAsiaTheme="minorEastAsia"/>
          <w:color w:val="auto"/>
          <w:sz w:val="24"/>
          <w:highlight w:val="none"/>
        </w:rPr>
        <w:t>.1磋商有效期为从响应文件提交截止之日算起的日历天数，磋商有效期详见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7BDF219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w:t>
      </w:r>
      <w:r>
        <w:rPr>
          <w:rFonts w:asciiTheme="minorEastAsia" w:hAnsiTheme="minorEastAsia" w:eastAsiaTheme="minorEastAsia"/>
          <w:color w:val="auto"/>
          <w:sz w:val="24"/>
          <w:highlight w:val="none"/>
        </w:rPr>
        <w:t>.2在磋商有效期内，供应商的磋商保持有效，供应商不得要求撤销或修改其响应文件。磋商有效期不满足要求的响应，其响应文件将被认定为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3BE9B1A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w:t>
      </w:r>
      <w:r>
        <w:rPr>
          <w:rFonts w:asciiTheme="minorEastAsia" w:hAnsiTheme="minorEastAsia" w:eastAsiaTheme="minorEastAsia"/>
          <w:color w:val="auto"/>
          <w:sz w:val="24"/>
          <w:highlight w:val="none"/>
        </w:rPr>
        <w:t>.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0B9F6444">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响应文件的提交、修改与撤回</w:t>
      </w:r>
    </w:p>
    <w:p w14:paraId="690DD6B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12.1供应商应当在第一章竞争性磋商公告规定的响应文件提交截止时间前</w:t>
      </w:r>
      <w:r>
        <w:rPr>
          <w:rFonts w:asciiTheme="minorEastAsia" w:hAnsiTheme="minorEastAsia" w:eastAsiaTheme="minorEastAsia"/>
          <w:color w:val="auto"/>
          <w:sz w:val="24"/>
          <w:highlight w:val="none"/>
        </w:rPr>
        <w:t>，将加密的</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5FF655F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12.2供应商应当在响应文件提交截止时间前完成响应文件的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p>
    <w:p w14:paraId="6DEB937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供应商应在</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规定的解密时间前对其响应文件进行解密。未在规定时间内进行解密的，</w:t>
      </w:r>
      <w:r>
        <w:rPr>
          <w:rFonts w:hint="eastAsia" w:asciiTheme="minorEastAsia" w:hAnsiTheme="minorEastAsia" w:eastAsiaTheme="minorEastAsia"/>
          <w:b/>
          <w:bCs/>
          <w:color w:val="auto"/>
          <w:sz w:val="24"/>
          <w:highlight w:val="none"/>
        </w:rPr>
        <w:t>响应无效。</w:t>
      </w:r>
    </w:p>
    <w:p w14:paraId="4FDA23FF">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12.4在响应文件提交截止时间之后，供应商不得对其响应文件做任何修改。</w:t>
      </w:r>
      <w:r>
        <w:rPr>
          <w:rFonts w:hint="eastAsia" w:ascii="宋体" w:hAnsi="宋体" w:eastAsia="宋体"/>
          <w:color w:val="auto"/>
          <w:sz w:val="24"/>
          <w:highlight w:val="none"/>
        </w:rPr>
        <w:t>但属于磋商小组在评审中发现的计算错误并进行核实的修改、按照磋商文件的变动情况和磋商小组的要求重新提交响应文件的，不在此列。</w:t>
      </w:r>
    </w:p>
    <w:p w14:paraId="06B0F48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磋商小组</w:t>
      </w:r>
    </w:p>
    <w:p w14:paraId="1057DC4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r>
        <w:rPr>
          <w:rFonts w:asciiTheme="minorEastAsia" w:hAnsiTheme="minorEastAsia" w:eastAsiaTheme="minorEastAsia"/>
          <w:color w:val="auto"/>
          <w:sz w:val="24"/>
          <w:highlight w:val="none"/>
        </w:rPr>
        <w:t>.1本项目将依法组建磋商小组，磋商小组成员由3人以上</w:t>
      </w:r>
      <w:r>
        <w:rPr>
          <w:rFonts w:hint="eastAsia" w:asciiTheme="minorEastAsia" w:hAnsiTheme="minorEastAsia" w:eastAsiaTheme="minorEastAsia"/>
          <w:color w:val="auto"/>
          <w:sz w:val="24"/>
          <w:highlight w:val="none"/>
        </w:rPr>
        <w:t>（含）</w:t>
      </w:r>
      <w:r>
        <w:rPr>
          <w:rFonts w:asciiTheme="minorEastAsia" w:hAnsiTheme="minorEastAsia" w:eastAsiaTheme="minorEastAsia"/>
          <w:color w:val="auto"/>
          <w:sz w:val="24"/>
          <w:highlight w:val="none"/>
        </w:rPr>
        <w:t>单数组成，磋商小组及其成员应当依照政府采购的有关规定履行相关职责和义务。</w:t>
      </w:r>
    </w:p>
    <w:p w14:paraId="2807D54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r>
        <w:rPr>
          <w:rFonts w:asciiTheme="minorEastAsia" w:hAnsiTheme="minorEastAsia" w:eastAsiaTheme="minorEastAsia"/>
          <w:color w:val="auto"/>
          <w:sz w:val="24"/>
          <w:highlight w:val="none"/>
        </w:rPr>
        <w:t>.2磋商小组依法对响应文件进行评审，并根据磋商文件规定的程序、评定成交的标准等事项与实质性响应磋商文件要求的供应商进行磋商。</w:t>
      </w:r>
    </w:p>
    <w:p w14:paraId="6433456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r>
        <w:rPr>
          <w:rFonts w:asciiTheme="minorEastAsia" w:hAnsiTheme="minorEastAsia" w:eastAsiaTheme="minorEastAsia"/>
          <w:color w:val="auto"/>
          <w:sz w:val="24"/>
          <w:highlight w:val="none"/>
        </w:rPr>
        <w:t>.3磋商小组应当从质量和服务均能满足磋商文件实质性响应要求的供应商中，按照评审方法和标准</w:t>
      </w:r>
      <w:r>
        <w:rPr>
          <w:rFonts w:hint="eastAsia" w:asciiTheme="minorEastAsia" w:hAnsiTheme="minorEastAsia" w:eastAsiaTheme="minorEastAsia"/>
          <w:color w:val="auto"/>
          <w:sz w:val="24"/>
          <w:highlight w:val="none"/>
        </w:rPr>
        <w:t>推荐</w:t>
      </w:r>
      <w:r>
        <w:rPr>
          <w:rFonts w:asciiTheme="minorEastAsia" w:hAnsiTheme="minorEastAsia" w:eastAsiaTheme="minorEastAsia"/>
          <w:color w:val="auto"/>
          <w:sz w:val="24"/>
          <w:highlight w:val="none"/>
        </w:rPr>
        <w:t>成交候选供应商，并编写</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报告。</w:t>
      </w:r>
    </w:p>
    <w:p w14:paraId="6943246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14</w:t>
      </w:r>
      <w:r>
        <w:rPr>
          <w:rFonts w:asciiTheme="minorEastAsia" w:hAnsiTheme="minorEastAsia" w:eastAsiaTheme="minorEastAsia"/>
          <w:b/>
          <w:color w:val="auto"/>
          <w:sz w:val="24"/>
          <w:highlight w:val="none"/>
        </w:rPr>
        <w:t>.响应文件的评审与磋商</w:t>
      </w:r>
    </w:p>
    <w:p w14:paraId="5D9784C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1采购人和采购代理机构将在竞争性磋商公告规定的时间和地点组织磋商。</w:t>
      </w:r>
    </w:p>
    <w:p w14:paraId="170FAB8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14.2竞争性磋商活动采用综合评分法评审。</w:t>
      </w:r>
    </w:p>
    <w:p w14:paraId="31906A6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综合评分法，是指响应文件满足磋商文件全部实质性要求且按评审因素的量化指标评审得分最高的供应商为成交候选供应商的评审方法。</w:t>
      </w:r>
    </w:p>
    <w:p w14:paraId="1EACBAC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14.3磋商小组将按照磋商文件规定的评审方法和标准对供应商独立进行评审。评审程序如下：</w:t>
      </w:r>
    </w:p>
    <w:p w14:paraId="050DA63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14.3.1</w:t>
      </w:r>
      <w:r>
        <w:rPr>
          <w:rFonts w:hint="eastAsia" w:asciiTheme="minorEastAsia" w:hAnsiTheme="minorEastAsia" w:eastAsiaTheme="minorEastAsia"/>
          <w:b/>
          <w:color w:val="auto"/>
          <w:sz w:val="24"/>
          <w:highlight w:val="none"/>
        </w:rPr>
        <w:t>初审</w:t>
      </w:r>
      <w:r>
        <w:rPr>
          <w:rFonts w:hint="eastAsia" w:asciiTheme="minorEastAsia" w:hAnsiTheme="minorEastAsia" w:eastAsiaTheme="minorEastAsia"/>
          <w:color w:val="auto"/>
          <w:sz w:val="24"/>
          <w:highlight w:val="none"/>
        </w:rPr>
        <w:t>。磋商小组对供应商必须满足和实质性响应的内容进行评审，供应商未实质性响应磋商文件要求导致响应无效的，磋商小组将以书面询标的方式告知有关供应商。</w:t>
      </w:r>
    </w:p>
    <w:p w14:paraId="36CA5A91">
      <w:pPr>
        <w:spacing w:line="360" w:lineRule="auto"/>
        <w:ind w:firstLine="43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将在响应文件提交截止时间后至评审结束前通过“信用中国”网站(www.creditchina.gov.cn)、中国政府采购网(www.ccgp.gov.cn)查询相关供应商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65FABCB8">
      <w:pPr>
        <w:spacing w:line="360" w:lineRule="auto"/>
        <w:ind w:firstLine="43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以联合体形式参加磋商的，联合体成员存在以上不良信用记录的，联合体磋商将被认定为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09531E13">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供应商不良信用记录以采购人或采购代理机构查询结果为准。在本采购文件规定的查询时间之外，网站信息发生的任何变更均不作为初审依据。供应商自行提供的与网站信息不一致的其他证明材料亦不作为初审依据。</w:t>
      </w:r>
    </w:p>
    <w:p w14:paraId="68A9C24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14.3.2</w:t>
      </w:r>
      <w:r>
        <w:rPr>
          <w:rFonts w:hint="eastAsia" w:asciiTheme="minorEastAsia" w:hAnsiTheme="minorEastAsia" w:eastAsiaTheme="minorEastAsia"/>
          <w:b/>
          <w:color w:val="auto"/>
          <w:sz w:val="24"/>
          <w:highlight w:val="none"/>
        </w:rPr>
        <w:t>磋商</w:t>
      </w:r>
      <w:r>
        <w:rPr>
          <w:rFonts w:hint="eastAsia" w:asciiTheme="minorEastAsia" w:hAnsiTheme="minorEastAsia" w:eastAsiaTheme="minorEastAsia"/>
          <w:color w:val="auto"/>
          <w:sz w:val="24"/>
          <w:highlight w:val="none"/>
        </w:rPr>
        <w:t>。初审合格后，磋商小组将按网上加密电子响应文件提交顺序集中与单一供应商分别进行磋商，并给予所有参加磋商的供应商平等的磋商机会。</w:t>
      </w:r>
    </w:p>
    <w:p w14:paraId="7F826B8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14.3.3</w:t>
      </w:r>
      <w:r>
        <w:rPr>
          <w:rFonts w:asciiTheme="minorEastAsia" w:hAnsiTheme="minorEastAsia" w:eastAsiaTheme="minorEastAsia"/>
          <w:b/>
          <w:color w:val="auto"/>
          <w:sz w:val="24"/>
          <w:highlight w:val="none"/>
        </w:rPr>
        <w:t>报价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磋商结束后，磋商小组应当要求所有</w:t>
      </w:r>
      <w:r>
        <w:rPr>
          <w:rFonts w:hint="eastAsia" w:asciiTheme="minorEastAsia" w:hAnsiTheme="minorEastAsia" w:eastAsiaTheme="minorEastAsia"/>
          <w:color w:val="auto"/>
          <w:sz w:val="24"/>
          <w:highlight w:val="none"/>
        </w:rPr>
        <w:t>实质性响应</w:t>
      </w:r>
      <w:r>
        <w:rPr>
          <w:rFonts w:asciiTheme="minorEastAsia" w:hAnsiTheme="minorEastAsia" w:eastAsiaTheme="minorEastAsia"/>
          <w:color w:val="auto"/>
          <w:sz w:val="24"/>
          <w:highlight w:val="none"/>
        </w:rPr>
        <w:t>的供应商在规定时间内提交最后报价</w:t>
      </w:r>
      <w:r>
        <w:rPr>
          <w:rFonts w:hint="eastAsia" w:ascii="宋体" w:hAnsi="宋体" w:eastAsia="宋体"/>
          <w:color w:val="auto"/>
          <w:sz w:val="24"/>
          <w:highlight w:val="none"/>
        </w:rPr>
        <w:t>。</w:t>
      </w:r>
    </w:p>
    <w:p w14:paraId="0565B7E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14.3.4</w:t>
      </w:r>
      <w:r>
        <w:rPr>
          <w:rFonts w:hint="eastAsia" w:asciiTheme="minorEastAsia" w:hAnsiTheme="minorEastAsia" w:eastAsiaTheme="minorEastAsia"/>
          <w:b/>
          <w:color w:val="auto"/>
          <w:sz w:val="24"/>
          <w:highlight w:val="none"/>
        </w:rPr>
        <w:t>综合评分</w:t>
      </w:r>
      <w:r>
        <w:rPr>
          <w:rFonts w:hint="eastAsia" w:asciiTheme="minorEastAsia" w:hAnsiTheme="minorEastAsia" w:eastAsiaTheme="minorEastAsia"/>
          <w:color w:val="auto"/>
          <w:sz w:val="24"/>
          <w:highlight w:val="none"/>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732E75E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14.4相关说明。</w:t>
      </w:r>
    </w:p>
    <w:p w14:paraId="52B47C4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14.4.1为保证磋商活动顺利进行，供应商可派相关技术人员进行网上答疑； </w:t>
      </w:r>
    </w:p>
    <w:p w14:paraId="44D8D8A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14.4.2磋</w:t>
      </w:r>
      <w:r>
        <w:rPr>
          <w:rFonts w:asciiTheme="minorEastAsia" w:hAnsiTheme="minorEastAsia" w:eastAsiaTheme="minorEastAsia"/>
          <w:color w:val="auto"/>
          <w:sz w:val="24"/>
          <w:highlight w:val="none"/>
        </w:rPr>
        <w:t>商小组根据与</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磋商情况可能实质性变动</w:t>
      </w:r>
      <w:r>
        <w:rPr>
          <w:rFonts w:hint="eastAsia" w:asciiTheme="minorEastAsia" w:hAnsiTheme="minorEastAsia" w:eastAsiaTheme="minorEastAsia"/>
          <w:color w:val="auto"/>
          <w:sz w:val="24"/>
          <w:highlight w:val="none"/>
        </w:rPr>
        <w:t>磋商文件</w:t>
      </w:r>
      <w:r>
        <w:rPr>
          <w:rFonts w:asciiTheme="minorEastAsia" w:hAnsiTheme="minorEastAsia" w:eastAsiaTheme="minorEastAsia"/>
          <w:color w:val="auto"/>
          <w:sz w:val="24"/>
          <w:highlight w:val="none"/>
        </w:rPr>
        <w:t>的内容，包括采购需求中的技术、服务要求以及合同草案条款。磋商文件有实质性变动的，</w:t>
      </w:r>
      <w:r>
        <w:rPr>
          <w:rFonts w:hint="eastAsia" w:asciiTheme="minorEastAsia" w:hAnsiTheme="minorEastAsia" w:eastAsiaTheme="minorEastAsia"/>
          <w:color w:val="auto"/>
          <w:sz w:val="24"/>
          <w:highlight w:val="none"/>
        </w:rPr>
        <w:t>经采购人代表确认作为磋商文件的有效组成部分，</w:t>
      </w:r>
      <w:r>
        <w:rPr>
          <w:rFonts w:asciiTheme="minorEastAsia" w:hAnsiTheme="minorEastAsia" w:eastAsiaTheme="minorEastAsia"/>
          <w:color w:val="auto"/>
          <w:sz w:val="24"/>
          <w:highlight w:val="none"/>
        </w:rPr>
        <w:t>磋商小组</w:t>
      </w:r>
      <w:r>
        <w:rPr>
          <w:rFonts w:hint="eastAsia" w:asciiTheme="minorEastAsia" w:hAnsiTheme="minorEastAsia" w:eastAsiaTheme="minorEastAsia"/>
          <w:color w:val="auto"/>
          <w:sz w:val="24"/>
          <w:highlight w:val="none"/>
        </w:rPr>
        <w:t>将</w:t>
      </w:r>
      <w:r>
        <w:rPr>
          <w:rFonts w:asciiTheme="minorEastAsia" w:hAnsiTheme="minorEastAsia" w:eastAsiaTheme="minorEastAsia"/>
          <w:color w:val="auto"/>
          <w:sz w:val="24"/>
          <w:highlight w:val="none"/>
        </w:rPr>
        <w:t>以书面形式通知所有参加磋商的供应商。</w:t>
      </w:r>
    </w:p>
    <w:p w14:paraId="586DB05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14.4.3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hint="eastAsia" w:asciiTheme="minorEastAsia" w:hAnsiTheme="minorEastAsia" w:eastAsiaTheme="minorEastAsia"/>
          <w:b/>
          <w:color w:val="auto"/>
          <w:sz w:val="24"/>
          <w:highlight w:val="none"/>
        </w:rPr>
        <w:t>响应无效</w:t>
      </w:r>
      <w:r>
        <w:rPr>
          <w:rFonts w:hint="eastAsia" w:asciiTheme="minorEastAsia" w:hAnsiTheme="minorEastAsia" w:eastAsiaTheme="minorEastAsia"/>
          <w:color w:val="auto"/>
          <w:sz w:val="24"/>
          <w:highlight w:val="none"/>
        </w:rPr>
        <w:t>。</w:t>
      </w:r>
    </w:p>
    <w:p w14:paraId="456C348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14.4.4</w:t>
      </w:r>
      <w:r>
        <w:rPr>
          <w:rFonts w:asciiTheme="minorEastAsia" w:hAnsiTheme="minorEastAsia" w:eastAsiaTheme="minorEastAsia"/>
          <w:color w:val="auto"/>
          <w:sz w:val="24"/>
          <w:highlight w:val="none"/>
        </w:rPr>
        <w:t>无论何种原因，即使供应商</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时携带了证书材料的原件，但响应文件中未提供与之内容完全一致的</w:t>
      </w:r>
      <w:r>
        <w:rPr>
          <w:rFonts w:hint="eastAsia" w:asciiTheme="minorEastAsia" w:hAnsiTheme="minorEastAsia" w:eastAsiaTheme="minorEastAsia"/>
          <w:color w:val="auto"/>
          <w:sz w:val="24"/>
          <w:highlight w:val="none"/>
        </w:rPr>
        <w:t>扫描件</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小组可以视同其未提供。</w:t>
      </w:r>
    </w:p>
    <w:p w14:paraId="0EF7B05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14.4.5磋商</w:t>
      </w:r>
      <w:r>
        <w:rPr>
          <w:rFonts w:asciiTheme="minorEastAsia" w:hAnsiTheme="minorEastAsia" w:eastAsiaTheme="minorEastAsia"/>
          <w:color w:val="auto"/>
          <w:sz w:val="24"/>
          <w:highlight w:val="none"/>
        </w:rPr>
        <w:t>小组决定响应文件的响应性及符合性只根据响应文件本身的内容，而不寻求其他外部证据。</w:t>
      </w:r>
    </w:p>
    <w:p w14:paraId="7F841C9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rPr>
        <w:t>授权</w:t>
      </w:r>
      <w:r>
        <w:rPr>
          <w:rFonts w:asciiTheme="minorEastAsia" w:hAnsiTheme="minorEastAsia" w:eastAsiaTheme="minorEastAsia"/>
          <w:color w:val="auto"/>
          <w:sz w:val="24"/>
          <w:highlight w:val="none"/>
        </w:rPr>
        <w:t>代表对</w:t>
      </w:r>
      <w:r>
        <w:rPr>
          <w:rFonts w:hint="eastAsia" w:asciiTheme="minorEastAsia" w:hAnsiTheme="minorEastAsia" w:eastAsiaTheme="minorEastAsia"/>
          <w:color w:val="auto"/>
          <w:sz w:val="24"/>
          <w:highlight w:val="none"/>
        </w:rPr>
        <w:t>磋商过程</w:t>
      </w:r>
      <w:r>
        <w:rPr>
          <w:rFonts w:asciiTheme="minorEastAsia" w:hAnsiTheme="minorEastAsia" w:eastAsiaTheme="minorEastAsia"/>
          <w:color w:val="auto"/>
          <w:sz w:val="24"/>
          <w:highlight w:val="none"/>
        </w:rPr>
        <w:t>有疑义，以及认为采购人、采购代理机构相关工作人员有需要回避的情形的，应当场提出询问或者回避申请</w:t>
      </w:r>
      <w:r>
        <w:rPr>
          <w:rFonts w:hint="eastAsia" w:asciiTheme="minorEastAsia" w:hAnsiTheme="minorEastAsia" w:eastAsiaTheme="minorEastAsia"/>
          <w:color w:val="auto"/>
          <w:sz w:val="24"/>
          <w:highlight w:val="none"/>
        </w:rPr>
        <w:t>，并说明理由。</w:t>
      </w:r>
      <w:r>
        <w:rPr>
          <w:rFonts w:asciiTheme="minorEastAsia" w:hAnsiTheme="minorEastAsia" w:eastAsiaTheme="minorEastAsia"/>
          <w:color w:val="auto"/>
          <w:sz w:val="24"/>
          <w:highlight w:val="none"/>
        </w:rPr>
        <w:t xml:space="preserve"> </w:t>
      </w:r>
    </w:p>
    <w:p w14:paraId="3F7E8794">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15</w:t>
      </w:r>
      <w:r>
        <w:rPr>
          <w:rFonts w:asciiTheme="minorEastAsia" w:hAnsiTheme="minorEastAsia" w:eastAsiaTheme="minorEastAsia"/>
          <w:b/>
          <w:color w:val="auto"/>
          <w:sz w:val="24"/>
          <w:highlight w:val="none"/>
        </w:rPr>
        <w:t>.终止竞争性磋商</w:t>
      </w:r>
    </w:p>
    <w:p w14:paraId="62BF628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15.1出现下列情况之一时，采购人和采购代理机构有权宣布终止竞争性磋商采购，并将理由通知所有供应商：</w:t>
      </w:r>
    </w:p>
    <w:p w14:paraId="41628CF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（1）有效供应商数量不足，导致本次磋商缺乏竞争的；</w:t>
      </w:r>
    </w:p>
    <w:p w14:paraId="2A565E6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（2）出现影响采购公正的违法、违规行为的；</w:t>
      </w:r>
    </w:p>
    <w:p w14:paraId="5B9D349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（3）因重大变故，采购任务取消的；</w:t>
      </w:r>
    </w:p>
    <w:p w14:paraId="04D324A0">
      <w:pPr>
        <w:spacing w:line="360" w:lineRule="auto"/>
        <w:ind w:firstLine="437"/>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（4）政府采购法律法规规定的其他情形。</w:t>
      </w:r>
    </w:p>
    <w:p w14:paraId="7E0C0AF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16</w:t>
      </w:r>
      <w:r>
        <w:rPr>
          <w:rFonts w:asciiTheme="minorEastAsia" w:hAnsiTheme="minorEastAsia" w:eastAsiaTheme="minorEastAsia"/>
          <w:b/>
          <w:color w:val="auto"/>
          <w:sz w:val="24"/>
          <w:highlight w:val="none"/>
        </w:rPr>
        <w:t>.响应文件的澄清、说明或</w:t>
      </w:r>
      <w:r>
        <w:rPr>
          <w:rFonts w:hint="eastAsia" w:asciiTheme="minorEastAsia" w:hAnsiTheme="minorEastAsia" w:eastAsiaTheme="minorEastAsia"/>
          <w:b/>
          <w:color w:val="auto"/>
          <w:sz w:val="24"/>
          <w:highlight w:val="none"/>
        </w:rPr>
        <w:t>更正</w:t>
      </w:r>
    </w:p>
    <w:p w14:paraId="39E899F1">
      <w:pPr>
        <w:spacing w:line="360" w:lineRule="auto"/>
        <w:ind w:firstLine="470" w:firstLineChars="196"/>
        <w:rPr>
          <w:rFonts w:ascii="宋体" w:hAnsi="宋体" w:eastAsia="宋体"/>
          <w:color w:val="auto"/>
          <w:sz w:val="24"/>
          <w:highlight w:val="none"/>
        </w:rPr>
      </w:pPr>
      <w:r>
        <w:rPr>
          <w:rFonts w:hint="eastAsia" w:ascii="宋体" w:hAnsi="宋体" w:eastAsia="宋体"/>
          <w:color w:val="auto"/>
          <w:sz w:val="24"/>
          <w:highlight w:val="none"/>
        </w:rPr>
        <w:t>16.1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54D6F9A0">
      <w:pPr>
        <w:spacing w:line="360" w:lineRule="auto"/>
        <w:ind w:firstLine="470" w:firstLineChars="196"/>
        <w:rPr>
          <w:rFonts w:ascii="宋体" w:hAnsi="宋体" w:eastAsia="宋体"/>
          <w:color w:val="auto"/>
          <w:sz w:val="24"/>
          <w:highlight w:val="none"/>
        </w:rPr>
      </w:pPr>
      <w:r>
        <w:rPr>
          <w:rFonts w:hint="eastAsia" w:ascii="宋体" w:hAnsi="宋体" w:eastAsia="宋体"/>
          <w:color w:val="auto"/>
          <w:sz w:val="24"/>
          <w:highlight w:val="none"/>
        </w:rPr>
        <w:t>16.2磋商小组要求供应商澄清、说明或者更正响应文件应当以书面形式（询标）作出。供应商的澄清、说明或者更正应当由法定代表人或其授权代表签字或者加盖公章（电子签章）。</w:t>
      </w:r>
    </w:p>
    <w:p w14:paraId="78883C76">
      <w:pPr>
        <w:spacing w:line="360" w:lineRule="auto"/>
        <w:ind w:firstLine="435"/>
        <w:rPr>
          <w:rFonts w:ascii="宋体" w:hAnsi="宋体" w:eastAsia="宋体"/>
          <w:b/>
          <w:color w:val="auto"/>
          <w:sz w:val="24"/>
          <w:highlight w:val="none"/>
        </w:rPr>
      </w:pPr>
      <w:r>
        <w:rPr>
          <w:rFonts w:hint="eastAsia" w:ascii="宋体" w:hAnsi="宋体" w:eastAsia="宋体"/>
          <w:b/>
          <w:color w:val="auto"/>
          <w:sz w:val="24"/>
          <w:highlight w:val="none"/>
        </w:rPr>
        <w:t>如有询标，授权代表（或法定代表人）可通过远程登录的方式接受网上询标，也可凭本人有效身份证明参加询标。因授权代表联系不上</w:t>
      </w:r>
      <w:r>
        <w:rPr>
          <w:rFonts w:hint="eastAsia" w:ascii="宋体" w:hAnsi="宋体" w:eastAsia="宋体"/>
          <w:b/>
          <w:bCs/>
          <w:color w:val="auto"/>
          <w:sz w:val="24"/>
          <w:highlight w:val="none"/>
        </w:rPr>
        <w:t>、没有及时登录系统等情形</w:t>
      </w:r>
      <w:r>
        <w:rPr>
          <w:rFonts w:hint="eastAsia" w:ascii="宋体" w:hAnsi="宋体" w:eastAsia="宋体"/>
          <w:b/>
          <w:color w:val="auto"/>
          <w:sz w:val="24"/>
          <w:highlight w:val="none"/>
        </w:rPr>
        <w:t>而无法接受磋商小组询标的，供应商自行承担相关风险。</w:t>
      </w:r>
    </w:p>
    <w:p w14:paraId="10AE2606">
      <w:pPr>
        <w:spacing w:line="360" w:lineRule="auto"/>
        <w:ind w:firstLine="435"/>
        <w:rPr>
          <w:rFonts w:ascii="宋体" w:hAnsi="宋体" w:eastAsia="宋体"/>
          <w:color w:val="auto"/>
          <w:sz w:val="24"/>
          <w:highlight w:val="none"/>
        </w:rPr>
      </w:pPr>
      <w:r>
        <w:rPr>
          <w:rFonts w:hint="eastAsia" w:ascii="宋体" w:hAnsi="宋体" w:eastAsia="宋体"/>
          <w:b/>
          <w:color w:val="auto"/>
          <w:sz w:val="24"/>
          <w:highlight w:val="none"/>
        </w:rPr>
        <w:t>本项目采用远程开标，具体操作方法详见服务指南&gt;交易须知&gt;开标大厅远程解密、质疑(异议)及回复以及评标过程中询标流程操作手册。</w:t>
      </w:r>
    </w:p>
    <w:p w14:paraId="314DB9B8">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17</w:t>
      </w:r>
      <w:r>
        <w:rPr>
          <w:rFonts w:asciiTheme="minorEastAsia" w:hAnsiTheme="minorEastAsia" w:eastAsiaTheme="minorEastAsia"/>
          <w:b/>
          <w:color w:val="auto"/>
          <w:sz w:val="24"/>
          <w:highlight w:val="none"/>
        </w:rPr>
        <w:t>.最后报价</w:t>
      </w:r>
    </w:p>
    <w:p w14:paraId="49BE915A">
      <w:pPr>
        <w:spacing w:line="520" w:lineRule="exact"/>
        <w:ind w:firstLine="435"/>
        <w:rPr>
          <w:rFonts w:ascii="宋体" w:hAnsi="宋体" w:eastAsia="宋体" w:cs="宋体"/>
          <w:color w:val="auto"/>
          <w:kern w:val="0"/>
          <w:sz w:val="24"/>
          <w:highlight w:val="none"/>
        </w:rPr>
      </w:pPr>
      <w:r>
        <w:rPr>
          <w:rFonts w:hint="eastAsia" w:asciiTheme="minorEastAsia" w:hAnsiTheme="minorEastAsia" w:eastAsiaTheme="minorEastAsia"/>
          <w:color w:val="auto"/>
          <w:sz w:val="24"/>
          <w:highlight w:val="none"/>
        </w:rPr>
        <w:t>17.1</w:t>
      </w:r>
      <w:r>
        <w:rPr>
          <w:rFonts w:asciiTheme="minorEastAsia" w:hAnsiTheme="minorEastAsia" w:eastAsiaTheme="minorEastAsia"/>
          <w:color w:val="auto"/>
          <w:sz w:val="24"/>
          <w:highlight w:val="none"/>
        </w:rPr>
        <w:t>磋商并不限定只进行二轮报价，如果磋商小组认为有必要，可以要求供应商进行多轮报价</w:t>
      </w:r>
      <w:r>
        <w:rPr>
          <w:rFonts w:hint="eastAsia" w:ascii="宋体" w:hAnsi="宋体" w:eastAsia="宋体" w:cs="宋体"/>
          <w:color w:val="auto"/>
          <w:kern w:val="0"/>
          <w:sz w:val="24"/>
          <w:highlight w:val="none"/>
        </w:rPr>
        <w:t>（本项目约定为两次报价）</w:t>
      </w:r>
      <w:r>
        <w:rPr>
          <w:rFonts w:asciiTheme="minorEastAsia" w:hAnsiTheme="minorEastAsia" w:eastAsiaTheme="minorEastAsia"/>
          <w:color w:val="auto"/>
          <w:sz w:val="24"/>
          <w:highlight w:val="none"/>
        </w:rPr>
        <w:t>。</w:t>
      </w:r>
    </w:p>
    <w:p w14:paraId="6A2A29D5">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b/>
          <w:color w:val="auto"/>
          <w:kern w:val="0"/>
          <w:sz w:val="24"/>
          <w:highlight w:val="none"/>
        </w:rPr>
        <w:t>本次磋商实行两次报价。第一次报价为供应商在响应文件中填报的报价，第二次报价在响应文件通过评审后，由磋商小组通过评标系统以询标方式，向响应文件评审有效的各供应商进行询标，各供应商应在评标系统询标规定的时间内，通过“评标澄清回复”进行二次报价。各供应商应及时查看系统质询问题并及时进行二次报价，第二次报价即为最后报价，若供应商未在系统询标规定的时间内进行二次报价（最后报价）或二次报价被磋商小组认为不符合要求的，磋商小组默认其响应文件中填报的价格为供应商的最后报价，磋商价格分以供应商的最后报价为准，即满足磋商文件要求且最后报价最低的供应商的价格为磋商基准价，其价格分为满分。二次报价（最后报价）不得高于最高限价，否则取消其磋商资格。望各供应商务必全程在线，及时进行回复，否则，因此给其造成相关后果，自行承担。</w:t>
      </w:r>
    </w:p>
    <w:p w14:paraId="5F39FFC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17.2</w:t>
      </w:r>
      <w:r>
        <w:rPr>
          <w:rFonts w:asciiTheme="minorEastAsia" w:hAnsiTheme="minorEastAsia" w:eastAsiaTheme="minorEastAsia"/>
          <w:color w:val="auto"/>
          <w:sz w:val="24"/>
          <w:highlight w:val="none"/>
        </w:rPr>
        <w:t>在磋商内容不做实质性变更或重大调整的前提下，供应商下轮报价不得高于上一轮报价</w:t>
      </w:r>
      <w:r>
        <w:rPr>
          <w:rFonts w:hint="eastAsia" w:asciiTheme="minorEastAsia" w:hAnsiTheme="minorEastAsia" w:eastAsiaTheme="minorEastAsia"/>
          <w:color w:val="auto"/>
          <w:sz w:val="24"/>
          <w:highlight w:val="none"/>
        </w:rPr>
        <w:t>。</w:t>
      </w:r>
    </w:p>
    <w:p w14:paraId="04989F5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17.3</w:t>
      </w:r>
      <w:r>
        <w:rPr>
          <w:rFonts w:asciiTheme="minorEastAsia" w:hAnsiTheme="minorEastAsia" w:eastAsiaTheme="minorEastAsia"/>
          <w:color w:val="auto"/>
          <w:sz w:val="24"/>
          <w:highlight w:val="none"/>
        </w:rPr>
        <w:t>最后报价是供应商响应文件的有效组成部分，最后报价也是签订合同的依据。</w:t>
      </w:r>
    </w:p>
    <w:p w14:paraId="60EC5E56">
      <w:pPr>
        <w:spacing w:line="360" w:lineRule="auto"/>
        <w:ind w:firstLine="435"/>
        <w:rPr>
          <w:rFonts w:asciiTheme="majorEastAsia" w:hAnsiTheme="majorEastAsia" w:eastAsiaTheme="majorEastAsia"/>
          <w:color w:val="auto"/>
          <w:sz w:val="24"/>
          <w:highlight w:val="none"/>
        </w:rPr>
      </w:pPr>
      <w:bookmarkStart w:id="12" w:name="_Hlk60607655"/>
      <w:bookmarkStart w:id="13" w:name="_Hlk60607673"/>
      <w:r>
        <w:rPr>
          <w:rFonts w:hint="eastAsia" w:asciiTheme="majorEastAsia" w:hAnsiTheme="majorEastAsia" w:eastAsiaTheme="majorEastAsia"/>
          <w:color w:val="auto"/>
          <w:sz w:val="24"/>
          <w:highlight w:val="none"/>
        </w:rPr>
        <w:t>17.</w:t>
      </w:r>
      <w:r>
        <w:rPr>
          <w:rFonts w:asciiTheme="majorEastAsia" w:hAnsiTheme="majorEastAsia" w:eastAsiaTheme="majorEastAsia"/>
          <w:color w:val="auto"/>
          <w:sz w:val="24"/>
          <w:highlight w:val="none"/>
        </w:rPr>
        <w:t>4</w:t>
      </w:r>
      <w:r>
        <w:rPr>
          <w:rFonts w:hint="eastAsia" w:asciiTheme="majorEastAsia" w:hAnsiTheme="majorEastAsia" w:eastAsiaTheme="majorEastAsia"/>
          <w:color w:val="auto"/>
          <w:sz w:val="24"/>
          <w:highlight w:val="none"/>
        </w:rPr>
        <w:t>根据《政府采购促进中小企业发展管理办法》（财库〔</w:t>
      </w:r>
      <w:r>
        <w:rPr>
          <w:rFonts w:asciiTheme="majorEastAsia" w:hAnsiTheme="majorEastAsia" w:eastAsiaTheme="majorEastAsia"/>
          <w:color w:val="auto"/>
          <w:sz w:val="24"/>
          <w:highlight w:val="none"/>
        </w:rPr>
        <w:t>2020〕46号</w:t>
      </w:r>
      <w:r>
        <w:rPr>
          <w:rFonts w:hint="eastAsia" w:asciiTheme="majorEastAsia" w:hAnsiTheme="majorEastAsia" w:eastAsiaTheme="majorEastAsia"/>
          <w:color w:val="auto"/>
          <w:sz w:val="24"/>
          <w:highlight w:val="none"/>
        </w:rPr>
        <w:t>）、《三部门联合发布关于促进残疾人就业政府采购政策的通知》（财库〔2017〕141号）和《</w:t>
      </w:r>
      <w:r>
        <w:rPr>
          <w:rFonts w:asciiTheme="majorEastAsia" w:hAnsiTheme="majorEastAsia" w:eastAsiaTheme="majorEastAsia"/>
          <w:color w:val="auto"/>
          <w:sz w:val="24"/>
          <w:highlight w:val="none"/>
        </w:rPr>
        <w:t>财政部 司法部关于政府采购支持监狱企业发展有关问题的通知</w:t>
      </w:r>
      <w:r>
        <w:rPr>
          <w:rFonts w:hint="eastAsia" w:asciiTheme="majorEastAsia" w:hAnsiTheme="majorEastAsia" w:eastAsiaTheme="majorEastAsia"/>
          <w:color w:val="auto"/>
          <w:sz w:val="24"/>
          <w:highlight w:val="none"/>
        </w:rPr>
        <w:t>》（财库〔2014〕68号）的规定，对满足价格扣除条件且在响应文件中提交了</w:t>
      </w:r>
      <w:r>
        <w:rPr>
          <w:rFonts w:asciiTheme="majorEastAsia" w:hAnsiTheme="majorEastAsia" w:eastAsiaTheme="majorEastAsia"/>
          <w:color w:val="auto"/>
          <w:sz w:val="24"/>
          <w:highlight w:val="none"/>
        </w:rPr>
        <w:t>《中小企业声明函》</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《残疾人福利性单位声明函》</w:t>
      </w:r>
      <w:r>
        <w:rPr>
          <w:rFonts w:hint="eastAsia" w:asciiTheme="majorEastAsia" w:hAnsiTheme="majorEastAsia" w:eastAsiaTheme="majorEastAsia"/>
          <w:color w:val="auto"/>
          <w:sz w:val="24"/>
          <w:highlight w:val="none"/>
        </w:rPr>
        <w:t>或省级以上监狱管理局、戒毒管理局（含新疆生产建设兵团）出具的属于监狱企业的证明文件的供应商，其最后报价按照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中规定的标准扣除后的价格参与评审。对于同时属于小微企业、监狱企业或残疾人福利性单位的，不重复进行最后报价扣除。</w:t>
      </w:r>
    </w:p>
    <w:p w14:paraId="13F5AA3E">
      <w:pPr>
        <w:spacing w:line="360" w:lineRule="auto"/>
        <w:ind w:firstLine="435"/>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Theme="majorEastAsia" w:hAnsiTheme="majorEastAsia" w:eastAsiaTheme="majorEastAsia"/>
          <w:color w:val="auto"/>
          <w:sz w:val="24"/>
          <w:highlight w:val="none"/>
        </w:rPr>
        <w:t>30%以上的，可给予联合体或者大中型企业的</w:t>
      </w:r>
      <w:r>
        <w:rPr>
          <w:rFonts w:hint="eastAsia" w:asciiTheme="majorEastAsia" w:hAnsiTheme="majorEastAsia" w:eastAsiaTheme="majorEastAsia"/>
          <w:color w:val="auto"/>
          <w:sz w:val="24"/>
          <w:highlight w:val="none"/>
        </w:rPr>
        <w:t>最后报价按照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w:t>
      </w:r>
      <w:r>
        <w:rPr>
          <w:rFonts w:asciiTheme="majorEastAsia" w:hAnsiTheme="majorEastAsia" w:eastAsiaTheme="majorEastAsia"/>
          <w:color w:val="auto"/>
          <w:sz w:val="24"/>
          <w:highlight w:val="none"/>
        </w:rPr>
        <w:t>。</w:t>
      </w:r>
      <w:r>
        <w:rPr>
          <w:rFonts w:hint="eastAsia" w:asciiTheme="majorEastAsia" w:hAnsiTheme="majorEastAsia" w:eastAsiaTheme="majorEastAsia"/>
          <w:color w:val="auto"/>
          <w:sz w:val="24"/>
          <w:highlight w:val="none"/>
        </w:rPr>
        <w:t>组成联合体或者接受分包的小微企业与联合体内其他企业、分包企业之间存在直接控股、管理关系的，不享受价格扣除优惠政策。</w:t>
      </w:r>
    </w:p>
    <w:p w14:paraId="435D69FD">
      <w:pPr>
        <w:spacing w:line="360" w:lineRule="auto"/>
        <w:ind w:firstLine="435"/>
        <w:rPr>
          <w:rFonts w:asciiTheme="minorEastAsia" w:hAnsiTheme="minorEastAsia" w:eastAsiaTheme="minorEastAsia"/>
          <w:color w:val="auto"/>
          <w:sz w:val="24"/>
          <w:highlight w:val="none"/>
        </w:rPr>
      </w:pPr>
      <w:r>
        <w:rPr>
          <w:rFonts w:hint="eastAsia" w:asciiTheme="majorEastAsia" w:hAnsiTheme="majorEastAsia" w:eastAsiaTheme="majorEastAsia"/>
          <w:color w:val="auto"/>
          <w:sz w:val="24"/>
          <w:highlight w:val="none"/>
        </w:rPr>
        <w:t>以联合体形式参加政府采购活动，联合体各方均为中小企业的，联合体视同中小企业。其中，联合体各方均为小微企业的，联合体视同小微企业。</w:t>
      </w:r>
      <w:bookmarkEnd w:id="12"/>
    </w:p>
    <w:bookmarkEnd w:id="13"/>
    <w:p w14:paraId="0F4AB5C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成交候选供应商的推荐原则及标准</w:t>
      </w:r>
    </w:p>
    <w:p w14:paraId="4C49D9D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1磋商小组</w:t>
      </w:r>
      <w:r>
        <w:rPr>
          <w:rFonts w:asciiTheme="minorEastAsia" w:hAnsiTheme="minorEastAsia" w:eastAsiaTheme="minorEastAsia"/>
          <w:color w:val="auto"/>
          <w:sz w:val="24"/>
          <w:highlight w:val="none"/>
        </w:rPr>
        <w:t>依据本项目</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文件所约定的</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方法</w:t>
      </w:r>
      <w:r>
        <w:rPr>
          <w:rFonts w:hint="eastAsia" w:asciiTheme="minorEastAsia" w:hAnsiTheme="minorEastAsia" w:eastAsiaTheme="minorEastAsia"/>
          <w:color w:val="auto"/>
          <w:sz w:val="24"/>
          <w:highlight w:val="none"/>
        </w:rPr>
        <w:t>和标准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5977AD3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确定成交候选供应商和成交供应商</w:t>
      </w:r>
    </w:p>
    <w:p w14:paraId="71180C14">
      <w:pPr>
        <w:spacing w:line="360" w:lineRule="auto"/>
        <w:ind w:firstLine="435"/>
        <w:rPr>
          <w:rFonts w:asciiTheme="minorEastAsia" w:hAnsiTheme="minorEastAsia" w:eastAsiaTheme="minorEastAsia"/>
          <w:color w:val="auto"/>
          <w:sz w:val="24"/>
          <w:highlight w:val="none"/>
        </w:rPr>
      </w:pPr>
      <w:r>
        <w:rPr>
          <w:rFonts w:hint="eastAsia" w:ascii="宋体" w:hAnsi="宋体" w:eastAsia="宋体"/>
          <w:color w:val="auto"/>
          <w:sz w:val="24"/>
          <w:highlight w:val="none"/>
        </w:rPr>
        <w:t>19.1磋商小组根据综合评分的结果和</w:t>
      </w:r>
      <w:r>
        <w:rPr>
          <w:rFonts w:hint="eastAsia" w:asciiTheme="minorEastAsia" w:hAnsiTheme="minorEastAsia" w:eastAsiaTheme="minorEastAsia"/>
          <w:color w:val="auto"/>
          <w:sz w:val="24"/>
          <w:highlight w:val="none"/>
          <w:u w:val="single"/>
        </w:rPr>
        <w:t>供应商</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w:t>
      </w:r>
      <w:r>
        <w:rPr>
          <w:rFonts w:hint="eastAsia" w:ascii="宋体" w:hAnsi="宋体" w:eastAsia="宋体"/>
          <w:color w:val="auto"/>
          <w:sz w:val="24"/>
          <w:highlight w:val="none"/>
        </w:rPr>
        <w:t>确定成交候选供应商，并标明排列顺序。</w:t>
      </w:r>
      <w:r>
        <w:rPr>
          <w:rFonts w:hint="eastAsia" w:asciiTheme="minorEastAsia" w:hAnsiTheme="minorEastAsia" w:eastAsiaTheme="minorEastAsia"/>
          <w:color w:val="auto"/>
          <w:sz w:val="24"/>
          <w:highlight w:val="none"/>
        </w:rPr>
        <w:t>按</w:t>
      </w:r>
      <w:r>
        <w:rPr>
          <w:rFonts w:hint="eastAsia" w:asciiTheme="minorEastAsia" w:hAnsiTheme="minorEastAsia" w:eastAsiaTheme="minorEastAsia"/>
          <w:color w:val="auto"/>
          <w:sz w:val="24"/>
          <w:highlight w:val="none"/>
          <w:u w:val="single"/>
        </w:rPr>
        <w:t>供应商</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w:t>
      </w:r>
      <w:r>
        <w:rPr>
          <w:rFonts w:hint="eastAsia" w:asciiTheme="minorEastAsia" w:hAnsiTheme="minorEastAsia" w:eastAsiaTheme="minorEastAsia"/>
          <w:color w:val="auto"/>
          <w:sz w:val="24"/>
          <w:highlight w:val="none"/>
        </w:rPr>
        <w:t>磋商小组</w:t>
      </w:r>
      <w:r>
        <w:rPr>
          <w:rFonts w:asciiTheme="minorEastAsia" w:hAnsiTheme="minorEastAsia" w:eastAsiaTheme="minorEastAsia"/>
          <w:color w:val="auto"/>
          <w:sz w:val="24"/>
          <w:highlight w:val="none"/>
        </w:rPr>
        <w:t>或采购人确定</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w:t>
      </w:r>
    </w:p>
    <w:p w14:paraId="5CC00EF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20</w:t>
      </w:r>
      <w:r>
        <w:rPr>
          <w:rFonts w:asciiTheme="minorEastAsia" w:hAnsiTheme="minorEastAsia" w:eastAsiaTheme="minorEastAsia"/>
          <w:b/>
          <w:color w:val="auto"/>
          <w:sz w:val="24"/>
          <w:highlight w:val="none"/>
        </w:rPr>
        <w:t>.编写评审报告</w:t>
      </w:r>
    </w:p>
    <w:p w14:paraId="08278ED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43CB3EC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67D50DA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21.1评审将在严格保密的情况下进行。</w:t>
      </w:r>
    </w:p>
    <w:p w14:paraId="661387D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21.2有关人员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w:t>
      </w:r>
      <w:r>
        <w:rPr>
          <w:rFonts w:hint="eastAsia" w:ascii="宋体" w:hAnsi="宋体" w:eastAsia="宋体"/>
          <w:color w:val="auto"/>
          <w:sz w:val="24"/>
          <w:highlight w:val="none"/>
        </w:rPr>
        <w:t>评审</w:t>
      </w:r>
      <w:r>
        <w:rPr>
          <w:rFonts w:ascii="宋体" w:hAnsi="宋体" w:eastAsia="宋体"/>
          <w:color w:val="auto"/>
          <w:sz w:val="24"/>
          <w:highlight w:val="none"/>
        </w:rPr>
        <w:t>工作纪律，不得</w:t>
      </w:r>
      <w:r>
        <w:rPr>
          <w:rFonts w:hint="eastAsia" w:ascii="宋体" w:hAnsi="宋体" w:eastAsia="宋体"/>
          <w:color w:val="auto"/>
          <w:sz w:val="24"/>
          <w:highlight w:val="none"/>
        </w:rPr>
        <w:t>泄露评审文件</w:t>
      </w:r>
      <w:r>
        <w:rPr>
          <w:rFonts w:ascii="宋体" w:hAnsi="宋体" w:eastAsia="宋体"/>
          <w:color w:val="auto"/>
          <w:sz w:val="24"/>
          <w:highlight w:val="none"/>
        </w:rPr>
        <w:t>、</w:t>
      </w:r>
      <w:r>
        <w:rPr>
          <w:rFonts w:hint="eastAsia" w:ascii="宋体" w:hAnsi="宋体" w:eastAsia="宋体"/>
          <w:color w:val="auto"/>
          <w:sz w:val="24"/>
          <w:highlight w:val="none"/>
        </w:rPr>
        <w:t>评审</w:t>
      </w:r>
      <w:r>
        <w:rPr>
          <w:rFonts w:ascii="宋体" w:hAnsi="宋体" w:eastAsia="宋体"/>
          <w:color w:val="auto"/>
          <w:sz w:val="24"/>
          <w:highlight w:val="none"/>
        </w:rPr>
        <w:t>情况和</w:t>
      </w:r>
      <w:r>
        <w:rPr>
          <w:rFonts w:hint="eastAsia" w:ascii="宋体" w:hAnsi="宋体" w:eastAsia="宋体"/>
          <w:color w:val="auto"/>
          <w:sz w:val="24"/>
          <w:highlight w:val="none"/>
        </w:rPr>
        <w:t>评审</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595F28E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22</w:t>
      </w:r>
      <w:r>
        <w:rPr>
          <w:rFonts w:asciiTheme="minorEastAsia" w:hAnsiTheme="minorEastAsia" w:eastAsiaTheme="minorEastAsia"/>
          <w:b/>
          <w:color w:val="auto"/>
          <w:sz w:val="24"/>
          <w:highlight w:val="none"/>
        </w:rPr>
        <w:t>.成交结果公告</w:t>
      </w:r>
    </w:p>
    <w:p w14:paraId="0D9F428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asciiTheme="minorEastAsia" w:hAnsiTheme="minorEastAsia" w:eastAsiaTheme="minorEastAsia"/>
          <w:color w:val="auto"/>
          <w:sz w:val="24"/>
          <w:highlight w:val="none"/>
        </w:rPr>
        <w:t>.1为体现“公开、公平、公正”的原则，磋商结束后，</w:t>
      </w:r>
      <w:r>
        <w:rPr>
          <w:rFonts w:hint="eastAsia" w:ascii="宋体" w:hAnsi="宋体" w:eastAsia="宋体"/>
          <w:color w:val="auto"/>
          <w:sz w:val="24"/>
          <w:szCs w:val="18"/>
          <w:highlight w:val="none"/>
        </w:rPr>
        <w:t>采购代理机构将在安徽省政府采购网（www.ccgp-anhui.gov.cn）和滁州市公共资源交易中心网</w:t>
      </w:r>
      <w:r>
        <w:rPr>
          <w:rFonts w:asciiTheme="minorEastAsia" w:hAnsiTheme="minorEastAsia" w:eastAsiaTheme="minorEastAsia"/>
          <w:color w:val="auto"/>
          <w:sz w:val="24"/>
          <w:highlight w:val="none"/>
        </w:rPr>
        <w:t>上发布成交结果公告。</w:t>
      </w:r>
    </w:p>
    <w:p w14:paraId="27AD919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asciiTheme="minorEastAsia" w:hAnsiTheme="minorEastAsia" w:eastAsiaTheme="minorEastAsia"/>
          <w:color w:val="auto"/>
          <w:sz w:val="24"/>
          <w:highlight w:val="none"/>
        </w:rPr>
        <w:t>.2成交结果公告内容应当包括采购人及其委托的采购代理机构的名称、地址、联系方式，项目名称和项目编号，成交供应商名称、地址和成交金额，主要成交标的的名称、</w:t>
      </w:r>
      <w:r>
        <w:rPr>
          <w:rFonts w:hint="eastAsia" w:asciiTheme="minorEastAsia" w:hAnsiTheme="minorEastAsia" w:eastAsiaTheme="minorEastAsia"/>
          <w:color w:val="auto"/>
          <w:sz w:val="24"/>
          <w:highlight w:val="none"/>
        </w:rPr>
        <w:t>服务范围、服务要求、服务时间、服务标准</w:t>
      </w:r>
      <w:r>
        <w:rPr>
          <w:rFonts w:asciiTheme="minorEastAsia" w:hAnsiTheme="minorEastAsia" w:eastAsiaTheme="minorEastAsia"/>
          <w:color w:val="auto"/>
          <w:sz w:val="24"/>
          <w:highlight w:val="none"/>
        </w:rPr>
        <w:t>，成交结果公告期限、评审专家名单以及</w:t>
      </w:r>
      <w:r>
        <w:rPr>
          <w:rFonts w:hint="eastAsia"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中约定进行公告的内容。</w:t>
      </w:r>
    </w:p>
    <w:p w14:paraId="7AE318F8">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23</w:t>
      </w:r>
      <w:r>
        <w:rPr>
          <w:rFonts w:ascii="宋体" w:hAnsi="宋体" w:eastAsia="宋体"/>
          <w:b/>
          <w:color w:val="auto"/>
          <w:sz w:val="24"/>
          <w:highlight w:val="none"/>
        </w:rPr>
        <w:t>.成交</w:t>
      </w:r>
      <w:r>
        <w:rPr>
          <w:rFonts w:asciiTheme="minorEastAsia" w:hAnsiTheme="minorEastAsia" w:eastAsiaTheme="minorEastAsia"/>
          <w:b/>
          <w:color w:val="auto"/>
          <w:sz w:val="24"/>
          <w:highlight w:val="none"/>
        </w:rPr>
        <w:t>通知书</w:t>
      </w:r>
    </w:p>
    <w:p w14:paraId="4B02660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23</w:t>
      </w:r>
      <w:r>
        <w:rPr>
          <w:rFonts w:ascii="宋体" w:hAnsi="宋体" w:eastAsia="宋体"/>
          <w:color w:val="auto"/>
          <w:sz w:val="24"/>
          <w:highlight w:val="none"/>
        </w:rPr>
        <w:t>.1采购代理机构发布成交结果公告的同时</w:t>
      </w:r>
      <w:r>
        <w:rPr>
          <w:rFonts w:asciiTheme="minorEastAsia" w:hAnsiTheme="minorEastAsia" w:eastAsiaTheme="minorEastAsia"/>
          <w:color w:val="auto"/>
          <w:sz w:val="24"/>
          <w:highlight w:val="none"/>
        </w:rPr>
        <w:t>以</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rFonts w:ascii="宋体" w:hAnsi="宋体" w:eastAsia="宋体"/>
          <w:color w:val="auto"/>
          <w:sz w:val="24"/>
          <w:highlight w:val="none"/>
        </w:rPr>
        <w:t>向成交供应商发出成交通知书</w:t>
      </w:r>
      <w:r>
        <w:rPr>
          <w:rFonts w:hint="eastAsia" w:ascii="宋体" w:hAnsi="宋体" w:eastAsia="宋体"/>
          <w:color w:val="auto"/>
          <w:sz w:val="24"/>
          <w:highlight w:val="none"/>
        </w:rPr>
        <w:t>。成交通知书须加盖采购人、采购代理机构公章并经公共资源交易中心加盖见证章后，方可发出</w:t>
      </w:r>
      <w:r>
        <w:rPr>
          <w:rFonts w:ascii="宋体" w:hAnsi="宋体" w:eastAsia="宋体"/>
          <w:color w:val="auto"/>
          <w:sz w:val="24"/>
          <w:highlight w:val="none"/>
        </w:rPr>
        <w:t>。</w:t>
      </w:r>
    </w:p>
    <w:p w14:paraId="61B908C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23</w:t>
      </w:r>
      <w:r>
        <w:rPr>
          <w:rFonts w:ascii="宋体" w:hAnsi="宋体" w:eastAsia="宋体"/>
          <w:color w:val="auto"/>
          <w:sz w:val="24"/>
          <w:highlight w:val="none"/>
        </w:rPr>
        <w:t>.2成交通知书对采购人和成交供应商具有同等法律效力。成交通知书发出以后，采购人改变成交结果或者成交供应商放弃成交资格，应当承担相应的法律责任。</w:t>
      </w:r>
    </w:p>
    <w:p w14:paraId="23A7859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23</w:t>
      </w:r>
      <w:r>
        <w:rPr>
          <w:rFonts w:ascii="宋体" w:hAnsi="宋体" w:eastAsia="宋体"/>
          <w:color w:val="auto"/>
          <w:sz w:val="24"/>
          <w:highlight w:val="none"/>
        </w:rPr>
        <w:t>.3成交通知书是合同的组成部分。</w:t>
      </w:r>
    </w:p>
    <w:p w14:paraId="2E64EB36">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24</w:t>
      </w:r>
      <w:r>
        <w:rPr>
          <w:rFonts w:ascii="宋体" w:hAnsi="宋体" w:eastAsia="宋体"/>
          <w:b/>
          <w:color w:val="auto"/>
          <w:sz w:val="24"/>
          <w:highlight w:val="none"/>
        </w:rPr>
        <w:t>.告知</w:t>
      </w:r>
      <w:r>
        <w:rPr>
          <w:rFonts w:hint="eastAsia" w:ascii="宋体" w:hAnsi="宋体" w:eastAsia="宋体"/>
          <w:b/>
          <w:color w:val="auto"/>
          <w:sz w:val="24"/>
          <w:highlight w:val="none"/>
        </w:rPr>
        <w:t>磋商</w:t>
      </w:r>
      <w:r>
        <w:rPr>
          <w:rFonts w:ascii="宋体" w:hAnsi="宋体" w:eastAsia="宋体"/>
          <w:b/>
          <w:color w:val="auto"/>
          <w:sz w:val="24"/>
          <w:highlight w:val="none"/>
        </w:rPr>
        <w:t>结果</w:t>
      </w:r>
    </w:p>
    <w:p w14:paraId="5D2E5D8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24</w:t>
      </w:r>
      <w:r>
        <w:rPr>
          <w:rFonts w:ascii="宋体" w:hAnsi="宋体" w:eastAsia="宋体"/>
          <w:color w:val="auto"/>
          <w:sz w:val="24"/>
          <w:highlight w:val="none"/>
        </w:rPr>
        <w:t>.1在公告</w:t>
      </w:r>
      <w:r>
        <w:rPr>
          <w:rFonts w:hint="eastAsia" w:ascii="宋体" w:hAnsi="宋体" w:eastAsia="宋体"/>
          <w:color w:val="auto"/>
          <w:sz w:val="24"/>
          <w:highlight w:val="none"/>
        </w:rPr>
        <w:t>成交</w:t>
      </w:r>
      <w:r>
        <w:rPr>
          <w:rFonts w:ascii="宋体" w:hAnsi="宋体" w:eastAsia="宋体"/>
          <w:color w:val="auto"/>
          <w:sz w:val="24"/>
          <w:highlight w:val="none"/>
        </w:rPr>
        <w:t>结果的同时，采购代理机构同时以</w:t>
      </w:r>
      <w:r>
        <w:rPr>
          <w:rFonts w:hint="eastAsia" w:ascii="宋体" w:hAnsi="宋体" w:eastAsia="宋体"/>
          <w:color w:val="auto"/>
          <w:sz w:val="24"/>
          <w:highlight w:val="none"/>
          <w:u w:val="single"/>
        </w:rPr>
        <w:t>供应商</w:t>
      </w:r>
      <w:r>
        <w:rPr>
          <w:rFonts w:ascii="宋体" w:hAnsi="宋体" w:eastAsia="宋体"/>
          <w:color w:val="auto"/>
          <w:sz w:val="24"/>
          <w:highlight w:val="none"/>
          <w:u w:val="single"/>
        </w:rPr>
        <w:t>须知前附表</w:t>
      </w:r>
      <w:r>
        <w:rPr>
          <w:rFonts w:ascii="宋体" w:hAnsi="宋体" w:eastAsia="宋体"/>
          <w:color w:val="auto"/>
          <w:sz w:val="24"/>
          <w:highlight w:val="none"/>
        </w:rPr>
        <w:t>规定的形式告知未</w:t>
      </w:r>
      <w:r>
        <w:rPr>
          <w:rFonts w:hint="eastAsia" w:ascii="宋体" w:hAnsi="宋体" w:eastAsia="宋体"/>
          <w:color w:val="auto"/>
          <w:sz w:val="24"/>
          <w:highlight w:val="none"/>
        </w:rPr>
        <w:t>成交供应商</w:t>
      </w:r>
      <w:r>
        <w:rPr>
          <w:rFonts w:ascii="宋体" w:hAnsi="宋体" w:eastAsia="宋体"/>
          <w:color w:val="auto"/>
          <w:sz w:val="24"/>
          <w:highlight w:val="none"/>
        </w:rPr>
        <w:t>本人的评审得分和排序。</w:t>
      </w:r>
    </w:p>
    <w:p w14:paraId="48F9F29F">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24</w:t>
      </w: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采购代理机构对未成交的供应商不做未成交原因的解释。</w:t>
      </w:r>
    </w:p>
    <w:p w14:paraId="2F90556E">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25</w:t>
      </w:r>
      <w:r>
        <w:rPr>
          <w:rFonts w:ascii="宋体" w:hAnsi="宋体" w:eastAsia="宋体"/>
          <w:b/>
          <w:color w:val="auto"/>
          <w:sz w:val="24"/>
          <w:highlight w:val="none"/>
        </w:rPr>
        <w:t>.履约保证金</w:t>
      </w:r>
    </w:p>
    <w:p w14:paraId="47C7784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25</w:t>
      </w:r>
      <w:r>
        <w:rPr>
          <w:rFonts w:ascii="宋体" w:hAnsi="宋体" w:eastAsia="宋体"/>
          <w:color w:val="auto"/>
          <w:sz w:val="24"/>
          <w:highlight w:val="none"/>
        </w:rPr>
        <w:t>.1成交供应商应按照</w:t>
      </w:r>
      <w:r>
        <w:rPr>
          <w:rFonts w:ascii="宋体" w:hAnsi="宋体" w:eastAsia="宋体"/>
          <w:color w:val="auto"/>
          <w:sz w:val="24"/>
          <w:highlight w:val="none"/>
          <w:u w:val="single"/>
        </w:rPr>
        <w:t>供应商须知前附表</w:t>
      </w:r>
      <w:r>
        <w:rPr>
          <w:rFonts w:ascii="宋体" w:hAnsi="宋体" w:eastAsia="宋体"/>
          <w:color w:val="auto"/>
          <w:sz w:val="24"/>
          <w:highlight w:val="none"/>
        </w:rPr>
        <w:t>规定</w:t>
      </w:r>
      <w:r>
        <w:rPr>
          <w:rFonts w:hint="eastAsia" w:ascii="宋体" w:hAnsi="宋体" w:eastAsia="宋体"/>
          <w:color w:val="auto"/>
          <w:sz w:val="24"/>
          <w:highlight w:val="none"/>
        </w:rPr>
        <w:t>缴纳</w:t>
      </w:r>
      <w:r>
        <w:rPr>
          <w:rFonts w:ascii="宋体" w:hAnsi="宋体" w:eastAsia="宋体"/>
          <w:color w:val="auto"/>
          <w:sz w:val="24"/>
          <w:highlight w:val="none"/>
        </w:rPr>
        <w:t>履约保证金。</w:t>
      </w:r>
    </w:p>
    <w:p w14:paraId="4F657CC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25</w:t>
      </w:r>
      <w:r>
        <w:rPr>
          <w:rFonts w:ascii="宋体" w:hAnsi="宋体" w:eastAsia="宋体"/>
          <w:color w:val="auto"/>
          <w:sz w:val="24"/>
          <w:highlight w:val="none"/>
        </w:rPr>
        <w:t>.2如果成交供应商没有按照上述履约保证金的规定执行，将视为放弃成交资格。在此情况下，采购人可确定下一成交候选供应商为成交供应商，也可以重新开展采购活动。</w:t>
      </w:r>
    </w:p>
    <w:p w14:paraId="3898D645">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26</w:t>
      </w:r>
      <w:r>
        <w:rPr>
          <w:rFonts w:ascii="宋体" w:hAnsi="宋体" w:eastAsia="宋体"/>
          <w:b/>
          <w:color w:val="auto"/>
          <w:sz w:val="24"/>
          <w:highlight w:val="none"/>
        </w:rPr>
        <w:t>.</w:t>
      </w:r>
      <w:r>
        <w:rPr>
          <w:rFonts w:hint="eastAsia" w:ascii="宋体" w:hAnsi="宋体" w:eastAsia="宋体"/>
          <w:b/>
          <w:color w:val="auto"/>
          <w:sz w:val="24"/>
          <w:highlight w:val="none"/>
        </w:rPr>
        <w:t>代理费用</w:t>
      </w:r>
    </w:p>
    <w:p w14:paraId="0338F2E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26</w:t>
      </w:r>
      <w:r>
        <w:rPr>
          <w:rFonts w:ascii="宋体" w:hAnsi="宋体" w:eastAsia="宋体"/>
          <w:color w:val="auto"/>
          <w:sz w:val="24"/>
          <w:highlight w:val="none"/>
        </w:rPr>
        <w:t>.1本项目</w:t>
      </w:r>
      <w:r>
        <w:rPr>
          <w:rFonts w:hint="eastAsia" w:ascii="宋体" w:hAnsi="宋体" w:eastAsia="宋体"/>
          <w:color w:val="auto"/>
          <w:sz w:val="24"/>
          <w:highlight w:val="none"/>
        </w:rPr>
        <w:t>代理费用</w:t>
      </w:r>
      <w:r>
        <w:rPr>
          <w:rFonts w:ascii="宋体" w:hAnsi="宋体" w:eastAsia="宋体"/>
          <w:color w:val="auto"/>
          <w:sz w:val="24"/>
          <w:highlight w:val="none"/>
        </w:rPr>
        <w:t>的收取按</w:t>
      </w:r>
      <w:r>
        <w:rPr>
          <w:rFonts w:hint="eastAsia" w:ascii="宋体" w:hAnsi="宋体" w:eastAsia="宋体"/>
          <w:color w:val="auto"/>
          <w:sz w:val="24"/>
          <w:highlight w:val="none"/>
          <w:u w:val="single"/>
        </w:rPr>
        <w:t>供应商</w:t>
      </w:r>
      <w:r>
        <w:rPr>
          <w:rFonts w:ascii="宋体" w:hAnsi="宋体" w:eastAsia="宋体"/>
          <w:color w:val="auto"/>
          <w:sz w:val="24"/>
          <w:highlight w:val="none"/>
          <w:u w:val="single"/>
        </w:rPr>
        <w:t>须知前附表</w:t>
      </w:r>
      <w:r>
        <w:rPr>
          <w:rFonts w:ascii="宋体" w:hAnsi="宋体" w:eastAsia="宋体"/>
          <w:color w:val="auto"/>
          <w:sz w:val="24"/>
          <w:highlight w:val="none"/>
        </w:rPr>
        <w:t>的规定执行。</w:t>
      </w:r>
    </w:p>
    <w:p w14:paraId="71E1EAE9">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27</w:t>
      </w:r>
      <w:r>
        <w:rPr>
          <w:rFonts w:ascii="宋体" w:hAnsi="宋体" w:eastAsia="宋体"/>
          <w:b/>
          <w:color w:val="auto"/>
          <w:sz w:val="24"/>
          <w:highlight w:val="none"/>
        </w:rPr>
        <w:t>.签订</w:t>
      </w:r>
      <w:r>
        <w:rPr>
          <w:rFonts w:asciiTheme="minorEastAsia" w:hAnsiTheme="minorEastAsia" w:eastAsiaTheme="minorEastAsia"/>
          <w:b/>
          <w:color w:val="auto"/>
          <w:sz w:val="24"/>
          <w:highlight w:val="none"/>
        </w:rPr>
        <w:t>合同</w:t>
      </w:r>
    </w:p>
    <w:p w14:paraId="252C61B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27</w:t>
      </w:r>
      <w:r>
        <w:rPr>
          <w:rFonts w:ascii="宋体" w:hAnsi="宋体" w:eastAsia="宋体"/>
          <w:color w:val="auto"/>
          <w:sz w:val="24"/>
          <w:highlight w:val="none"/>
        </w:rPr>
        <w:t>.1</w:t>
      </w:r>
      <w:r>
        <w:rPr>
          <w:rFonts w:hint="eastAsia" w:ascii="宋体" w:hAnsi="宋体" w:eastAsia="宋体" w:cs="宋体"/>
          <w:color w:val="auto"/>
          <w:sz w:val="24"/>
          <w:szCs w:val="24"/>
          <w:highlight w:val="none"/>
        </w:rPr>
        <w:t>采购人与成交供应商应当按照</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规定的时间内完成政府采购合同签订及合同公告。</w:t>
      </w:r>
    </w:p>
    <w:p w14:paraId="5DE9618F">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27</w:t>
      </w:r>
      <w:r>
        <w:rPr>
          <w:rFonts w:ascii="宋体" w:hAnsi="宋体" w:eastAsia="宋体"/>
          <w:color w:val="auto"/>
          <w:sz w:val="24"/>
          <w:highlight w:val="none"/>
        </w:rPr>
        <w:t>.2磋商文件、成交供应商的响应文件及其澄清文件等，均为签订合同的依据。</w:t>
      </w:r>
    </w:p>
    <w:p w14:paraId="0595E407">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27</w:t>
      </w:r>
      <w:r>
        <w:rPr>
          <w:rFonts w:ascii="宋体" w:hAnsi="宋体" w:eastAsia="宋体"/>
          <w:color w:val="auto"/>
          <w:sz w:val="24"/>
          <w:highlight w:val="none"/>
        </w:rPr>
        <w:t>.3成交供应商拒绝与采购人签订合同的，采购人可以按照评审报告推荐的成交候选供应商名单排序，确定下一成交候选供应商为成交供应商，也可以重新开展采购活动。</w:t>
      </w:r>
      <w:r>
        <w:rPr>
          <w:rFonts w:hint="eastAsia" w:ascii="宋体" w:hAnsi="宋体" w:eastAsia="宋体"/>
          <w:color w:val="auto"/>
          <w:sz w:val="24"/>
          <w:highlight w:val="none"/>
        </w:rPr>
        <w:t>成交供应商拒绝签订政府采购合同的不得参加对该项目重新开展的采购活动。</w:t>
      </w:r>
    </w:p>
    <w:p w14:paraId="3B2E0DE8">
      <w:pPr>
        <w:spacing w:line="360" w:lineRule="auto"/>
        <w:ind w:firstLine="470" w:firstLineChars="196"/>
        <w:rPr>
          <w:rFonts w:ascii="宋体" w:hAnsi="宋体" w:eastAsia="宋体"/>
          <w:color w:val="auto"/>
          <w:sz w:val="24"/>
          <w:highlight w:val="none"/>
        </w:rPr>
      </w:pPr>
      <w:bookmarkStart w:id="14" w:name="_Hlk60264926"/>
      <w:r>
        <w:rPr>
          <w:rFonts w:hint="eastAsia" w:ascii="宋体" w:hAnsi="宋体" w:eastAsia="宋体"/>
          <w:color w:val="auto"/>
          <w:sz w:val="24"/>
          <w:highlight w:val="none"/>
        </w:rPr>
        <w:t>27.</w:t>
      </w:r>
      <w:r>
        <w:rPr>
          <w:rFonts w:ascii="宋体" w:hAnsi="宋体" w:eastAsia="宋体"/>
          <w:color w:val="auto"/>
          <w:sz w:val="24"/>
          <w:highlight w:val="none"/>
        </w:rPr>
        <w:t>4</w:t>
      </w:r>
      <w:r>
        <w:rPr>
          <w:rFonts w:hint="eastAsia" w:ascii="宋体" w:hAnsi="宋体" w:eastAsia="宋体"/>
          <w:color w:val="auto"/>
          <w:sz w:val="24"/>
          <w:highlight w:val="none"/>
        </w:rPr>
        <w:t>依据《政府采购促进中小企业发展管理办法》（财库〔</w:t>
      </w:r>
      <w:r>
        <w:rPr>
          <w:rFonts w:ascii="宋体" w:hAnsi="宋体" w:eastAsia="宋体"/>
          <w:color w:val="auto"/>
          <w:sz w:val="24"/>
          <w:highlight w:val="none"/>
        </w:rPr>
        <w:t>2020〕46号</w:t>
      </w:r>
      <w:r>
        <w:rPr>
          <w:rFonts w:hint="eastAsia" w:ascii="宋体" w:hAnsi="宋体" w:eastAsia="宋体"/>
          <w:color w:val="auto"/>
          <w:sz w:val="24"/>
          <w:highlight w:val="none"/>
        </w:rPr>
        <w:t>）规定享受扶持政策获得政府采购合同的，小微企业不得将合同分包给大中型企业，中型企业不得将合同分包给大型企业。</w:t>
      </w:r>
      <w:bookmarkEnd w:id="14"/>
    </w:p>
    <w:p w14:paraId="2B06F9E3">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28</w:t>
      </w:r>
      <w:r>
        <w:rPr>
          <w:rFonts w:ascii="宋体" w:hAnsi="宋体" w:eastAsia="宋体"/>
          <w:b/>
          <w:color w:val="auto"/>
          <w:sz w:val="24"/>
          <w:highlight w:val="none"/>
        </w:rPr>
        <w:t>.廉洁</w:t>
      </w:r>
      <w:r>
        <w:rPr>
          <w:rFonts w:asciiTheme="minorEastAsia" w:hAnsiTheme="minorEastAsia" w:eastAsiaTheme="minorEastAsia"/>
          <w:b/>
          <w:color w:val="auto"/>
          <w:sz w:val="24"/>
          <w:highlight w:val="none"/>
        </w:rPr>
        <w:t>自律</w:t>
      </w:r>
      <w:r>
        <w:rPr>
          <w:rFonts w:ascii="宋体" w:hAnsi="宋体" w:eastAsia="宋体"/>
          <w:b/>
          <w:color w:val="auto"/>
          <w:sz w:val="24"/>
          <w:highlight w:val="none"/>
        </w:rPr>
        <w:t>规定</w:t>
      </w:r>
    </w:p>
    <w:p w14:paraId="2A2EF98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28</w:t>
      </w:r>
      <w:r>
        <w:rPr>
          <w:rFonts w:ascii="宋体" w:hAnsi="宋体" w:eastAsia="宋体"/>
          <w:color w:val="auto"/>
          <w:sz w:val="24"/>
          <w:highlight w:val="none"/>
        </w:rPr>
        <w:t>.1采购代理机构工作人员不得以不正当手段获取政府采购代理业务，不得与采购人、供应商恶意串通。</w:t>
      </w:r>
    </w:p>
    <w:p w14:paraId="45EFB73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28</w:t>
      </w:r>
      <w:r>
        <w:rPr>
          <w:rFonts w:ascii="宋体" w:hAnsi="宋体" w:eastAsia="宋体"/>
          <w:color w:val="auto"/>
          <w:sz w:val="24"/>
          <w:highlight w:val="none"/>
        </w:rPr>
        <w:t>.2采购代理机构工作人员不得接受采购人或者供应商组织的宴请、旅游、娱乐，不得收受礼品、现金、有价证券等，不得向采购人或者供应商报销应当由个人承担的费用。</w:t>
      </w:r>
    </w:p>
    <w:p w14:paraId="271AC73F">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29</w:t>
      </w:r>
      <w:r>
        <w:rPr>
          <w:rFonts w:ascii="宋体" w:hAnsi="宋体" w:eastAsia="宋体"/>
          <w:b/>
          <w:color w:val="auto"/>
          <w:sz w:val="24"/>
          <w:highlight w:val="none"/>
        </w:rPr>
        <w:t>.质疑的</w:t>
      </w:r>
      <w:r>
        <w:rPr>
          <w:rFonts w:asciiTheme="minorEastAsia" w:hAnsiTheme="minorEastAsia" w:eastAsiaTheme="minorEastAsia"/>
          <w:b/>
          <w:color w:val="auto"/>
          <w:sz w:val="24"/>
          <w:highlight w:val="none"/>
        </w:rPr>
        <w:t>提出</w:t>
      </w:r>
      <w:r>
        <w:rPr>
          <w:rFonts w:ascii="宋体" w:hAnsi="宋体" w:eastAsia="宋体"/>
          <w:b/>
          <w:color w:val="auto"/>
          <w:sz w:val="24"/>
          <w:highlight w:val="none"/>
        </w:rPr>
        <w:t>与接收</w:t>
      </w:r>
    </w:p>
    <w:p w14:paraId="7AC3ADD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29.1供应商认为磋商文件、采购过程和成交结果使自己的权益受到损害的，可以在知道或者应知其权益受到损害之日起七个工作日内，以书面形式向采购人或其委托的采购代理机构提出质疑。</w:t>
      </w:r>
    </w:p>
    <w:p w14:paraId="1A41299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29.2质疑供应商应按照财政部制定的《政府采购质疑函范本》格式（详见磋商文件）和《政府采购质疑和投诉办法》的要求，在法定质疑期内以书面形式提出质疑，超出法定质疑期提交的质疑将被拒绝。针对同一采购程序环节的质疑应一次性提出。</w:t>
      </w:r>
    </w:p>
    <w:p w14:paraId="6504A8BB">
      <w:pPr>
        <w:spacing w:line="360" w:lineRule="auto"/>
        <w:ind w:firstLine="435"/>
        <w:rPr>
          <w:rFonts w:ascii="宋体" w:hAnsi="宋体" w:eastAsia="宋体"/>
          <w:color w:val="auto"/>
          <w:sz w:val="24"/>
          <w:highlight w:val="none"/>
          <w:u w:val="single"/>
        </w:rPr>
      </w:pPr>
      <w:r>
        <w:rPr>
          <w:rFonts w:hint="eastAsia" w:ascii="宋体" w:hAnsi="宋体" w:eastAsia="宋体"/>
          <w:color w:val="auto"/>
          <w:sz w:val="24"/>
          <w:highlight w:val="none"/>
        </w:rPr>
        <w:t>29.3采购代理机构质疑函接收部门、联系电话和通讯地址，见</w:t>
      </w:r>
      <w:r>
        <w:rPr>
          <w:rFonts w:hint="eastAsia" w:ascii="宋体" w:hAnsi="宋体" w:eastAsia="宋体"/>
          <w:color w:val="auto"/>
          <w:sz w:val="24"/>
          <w:highlight w:val="none"/>
          <w:u w:val="single"/>
        </w:rPr>
        <w:t>供应商须知前附表</w:t>
      </w:r>
      <w:r>
        <w:rPr>
          <w:rFonts w:hint="eastAsia" w:ascii="宋体" w:hAnsi="宋体" w:eastAsia="宋体"/>
          <w:color w:val="auto"/>
          <w:sz w:val="24"/>
          <w:highlight w:val="none"/>
        </w:rPr>
        <w:t>。</w:t>
      </w:r>
    </w:p>
    <w:p w14:paraId="2024C6F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29.4采购人或采购代理机构在收到供应商的质疑函后，将审查质疑函的格式、内容以及所附的证明文件是否符合要求。如不符合，说明原因退回供应商；如符合要求，则接受该质疑函。供应商对评审过程、成交结果提出质疑的，采购人、采购代理机构可以组织原磋商小组协助答复质疑。处理质疑的时间，从实际接受供应商质疑函的时间开始计算。</w:t>
      </w:r>
    </w:p>
    <w:p w14:paraId="66B9857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注：上述条款中所要求的书面形式包含通过电子交易系统递交方式。</w:t>
      </w:r>
    </w:p>
    <w:p w14:paraId="53ED6421">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30</w:t>
      </w:r>
      <w:r>
        <w:rPr>
          <w:rFonts w:ascii="宋体" w:hAnsi="宋体" w:eastAsia="宋体"/>
          <w:b/>
          <w:color w:val="auto"/>
          <w:sz w:val="24"/>
          <w:highlight w:val="none"/>
        </w:rPr>
        <w:t>.</w:t>
      </w:r>
      <w:r>
        <w:rPr>
          <w:rFonts w:hint="eastAsia" w:ascii="宋体" w:hAnsi="宋体" w:eastAsia="宋体"/>
          <w:b/>
          <w:color w:val="auto"/>
          <w:sz w:val="24"/>
          <w:highlight w:val="none"/>
        </w:rPr>
        <w:t>投诉</w:t>
      </w:r>
    </w:p>
    <w:p w14:paraId="7A49C047">
      <w:pPr>
        <w:wordWrap w:val="0"/>
        <w:spacing w:line="360" w:lineRule="auto"/>
        <w:ind w:firstLine="437"/>
        <w:rPr>
          <w:rFonts w:ascii="宋体" w:hAnsi="宋体" w:eastAsia="宋体"/>
          <w:color w:val="auto"/>
          <w:sz w:val="24"/>
          <w:highlight w:val="none"/>
        </w:rPr>
      </w:pPr>
      <w:r>
        <w:rPr>
          <w:rFonts w:hint="eastAsia" w:ascii="宋体" w:hAnsi="宋体" w:eastAsia="宋体"/>
          <w:color w:val="auto"/>
          <w:sz w:val="24"/>
          <w:highlight w:val="none"/>
        </w:rPr>
        <w:t>30.1质疑供应商对采购人、采购代理机构的答复不满意，或者采购人、采购代理机构未在规定的时间内答复的，可以在答复期满后十五个工作日内按有关规定，以书面形式（http://ggzy.chuzhou.gov.cn/fwzn/011001/011001001/011001001003/20200727/7fb88e17-63dd-4f17-b17c-290526c6eda8.html）向同级政府采购监督管理部门提出投诉或者线上提交投诉材料（http://ggzy.chuzhou.gov.cn/fwzn/011001/011001001/011001001003/20200221/b079d9ca-90f2-4cce-aa7c-94a444e7ac91.html）。</w:t>
      </w:r>
    </w:p>
    <w:p w14:paraId="6ABB69F9">
      <w:pPr>
        <w:wordWrap w:val="0"/>
        <w:spacing w:line="360" w:lineRule="auto"/>
        <w:ind w:firstLine="437"/>
        <w:rPr>
          <w:rFonts w:ascii="宋体" w:hAnsi="宋体" w:eastAsia="宋体"/>
          <w:color w:val="auto"/>
          <w:sz w:val="24"/>
          <w:highlight w:val="none"/>
        </w:rPr>
      </w:pPr>
      <w:r>
        <w:rPr>
          <w:rFonts w:hint="eastAsia" w:ascii="宋体" w:hAnsi="宋体" w:eastAsia="宋体"/>
          <w:color w:val="auto"/>
          <w:sz w:val="24"/>
          <w:highlight w:val="none"/>
        </w:rPr>
        <w:t>30.2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5AFC401A">
      <w:pPr>
        <w:wordWrap w:val="0"/>
        <w:spacing w:line="360" w:lineRule="auto"/>
        <w:ind w:firstLine="437"/>
        <w:rPr>
          <w:rFonts w:ascii="宋体" w:hAnsi="宋体" w:eastAsia="宋体"/>
          <w:color w:val="auto"/>
          <w:sz w:val="24"/>
          <w:highlight w:val="none"/>
        </w:rPr>
      </w:pPr>
      <w:r>
        <w:rPr>
          <w:rFonts w:hint="eastAsia" w:ascii="宋体" w:hAnsi="宋体" w:eastAsia="宋体"/>
          <w:color w:val="auto"/>
          <w:sz w:val="24"/>
          <w:highlight w:val="none"/>
        </w:rPr>
        <w:t>30.3政府采购监督管理部门在处理投诉事项期间，可以视具体情况书面通知采购人暂停采购活动，但暂停时间最长不得超过30日。</w:t>
      </w:r>
    </w:p>
    <w:p w14:paraId="00DD0914">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31.</w:t>
      </w:r>
      <w:r>
        <w:rPr>
          <w:rFonts w:ascii="宋体" w:hAnsi="宋体" w:eastAsia="宋体"/>
          <w:b/>
          <w:color w:val="auto"/>
          <w:sz w:val="24"/>
          <w:highlight w:val="none"/>
        </w:rPr>
        <w:t>需要</w:t>
      </w:r>
      <w:r>
        <w:rPr>
          <w:rFonts w:asciiTheme="minorEastAsia" w:hAnsiTheme="minorEastAsia" w:eastAsiaTheme="minorEastAsia"/>
          <w:b/>
          <w:color w:val="auto"/>
          <w:sz w:val="24"/>
          <w:highlight w:val="none"/>
        </w:rPr>
        <w:t>补充</w:t>
      </w:r>
      <w:r>
        <w:rPr>
          <w:rFonts w:ascii="宋体" w:hAnsi="宋体" w:eastAsia="宋体"/>
          <w:b/>
          <w:color w:val="auto"/>
          <w:sz w:val="24"/>
          <w:highlight w:val="none"/>
        </w:rPr>
        <w:t>的其他内容</w:t>
      </w:r>
    </w:p>
    <w:p w14:paraId="073EB622">
      <w:pPr>
        <w:spacing w:line="360" w:lineRule="auto"/>
        <w:ind w:firstLine="437"/>
        <w:outlineLvl w:val="2"/>
        <w:rPr>
          <w:rFonts w:asciiTheme="minorEastAsia" w:hAnsiTheme="minorEastAsia" w:eastAsiaTheme="minorEastAsia"/>
          <w:b/>
          <w:color w:val="auto"/>
          <w:sz w:val="28"/>
          <w:highlight w:val="none"/>
        </w:rPr>
      </w:pPr>
      <w:r>
        <w:rPr>
          <w:rFonts w:hint="eastAsia" w:ascii="宋体" w:hAnsi="宋体" w:eastAsia="宋体"/>
          <w:color w:val="auto"/>
          <w:sz w:val="24"/>
          <w:highlight w:val="none"/>
        </w:rPr>
        <w:t>需要补充的其他内容，见</w:t>
      </w:r>
      <w:r>
        <w:rPr>
          <w:rFonts w:hint="eastAsia" w:ascii="宋体" w:hAnsi="宋体" w:eastAsia="宋体"/>
          <w:color w:val="auto"/>
          <w:sz w:val="24"/>
          <w:highlight w:val="none"/>
          <w:u w:val="single"/>
        </w:rPr>
        <w:t>供应商须知前附表</w:t>
      </w:r>
      <w:r>
        <w:rPr>
          <w:rFonts w:hint="eastAsia" w:ascii="宋体" w:hAnsi="宋体" w:eastAsia="宋体"/>
          <w:color w:val="auto"/>
          <w:sz w:val="24"/>
          <w:highlight w:val="none"/>
        </w:rPr>
        <w:t>。</w:t>
      </w:r>
      <w:r>
        <w:rPr>
          <w:rFonts w:asciiTheme="minorEastAsia" w:hAnsiTheme="minorEastAsia" w:eastAsiaTheme="minorEastAsia"/>
          <w:color w:val="auto"/>
          <w:sz w:val="24"/>
          <w:highlight w:val="none"/>
        </w:rPr>
        <w:br w:type="page"/>
      </w:r>
    </w:p>
    <w:p w14:paraId="774BCF1E">
      <w:pPr>
        <w:spacing w:line="360" w:lineRule="auto"/>
        <w:jc w:val="center"/>
        <w:outlineLvl w:val="0"/>
        <w:rPr>
          <w:rFonts w:asciiTheme="minorEastAsia" w:hAnsiTheme="minorEastAsia" w:eastAsiaTheme="minorEastAsia"/>
          <w:b/>
          <w:color w:val="auto"/>
          <w:sz w:val="28"/>
          <w:highlight w:val="none"/>
        </w:rPr>
      </w:pPr>
      <w:bookmarkStart w:id="15" w:name="_Toc28125"/>
      <w:bookmarkStart w:id="16" w:name="_Toc19440"/>
      <w:r>
        <w:rPr>
          <w:rFonts w:hint="eastAsia" w:asciiTheme="minorEastAsia" w:hAnsiTheme="minorEastAsia" w:eastAsiaTheme="minorEastAsia"/>
          <w:b/>
          <w:color w:val="auto"/>
          <w:sz w:val="28"/>
          <w:highlight w:val="none"/>
        </w:rPr>
        <w:t>第三章  采购需求</w:t>
      </w:r>
      <w:bookmarkEnd w:id="15"/>
      <w:bookmarkEnd w:id="16"/>
    </w:p>
    <w:p w14:paraId="0859C694">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前注：</w:t>
      </w:r>
    </w:p>
    <w:p w14:paraId="12826B8B">
      <w:pPr>
        <w:spacing w:line="360" w:lineRule="auto"/>
        <w:ind w:firstLine="43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1.本采购需求中提出的服务方案仅为参考，如无明确限制，供应商可以进行优化，提供满足采购人实际需要的更优（或者性能实质上不低于的）服务方案，且此方案须经磋商小组评审认可。</w:t>
      </w:r>
    </w:p>
    <w:p w14:paraId="79F85370">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2.下列采购需求中</w:t>
      </w:r>
      <w:r>
        <w:rPr>
          <w:rFonts w:ascii="宋体" w:hAnsi="宋体" w:eastAsia="宋体" w:cs="宋体"/>
          <w:color w:val="auto"/>
          <w:sz w:val="24"/>
          <w:szCs w:val="24"/>
          <w:highlight w:val="none"/>
        </w:rPr>
        <w:t>（包括但不限于下列具体政策要求</w:t>
      </w:r>
      <w:r>
        <w:rPr>
          <w:rFonts w:hint="eastAsia" w:ascii="宋体" w:hAnsi="宋体" w:eastAsia="宋体" w:cs="宋体"/>
          <w:color w:val="auto"/>
          <w:sz w:val="24"/>
          <w:szCs w:val="24"/>
          <w:highlight w:val="none"/>
        </w:rPr>
        <w:t>）</w:t>
      </w:r>
      <w:r>
        <w:rPr>
          <w:rFonts w:hint="eastAsia" w:ascii="宋体" w:hAnsi="宋体" w:eastAsia="宋体"/>
          <w:color w:val="auto"/>
          <w:sz w:val="24"/>
          <w:szCs w:val="18"/>
          <w:highlight w:val="none"/>
        </w:rPr>
        <w:t>：</w:t>
      </w:r>
    </w:p>
    <w:p w14:paraId="10F8364A">
      <w:pPr>
        <w:spacing w:line="360" w:lineRule="auto"/>
        <w:ind w:firstLine="43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供应商在响应文件中提供所投产品须具有市场监管总局公布的《参与实施政府采购节能产品认证机构目录》中的认证机构出具的、处于有效期内的节能产品认证证书。</w:t>
      </w:r>
    </w:p>
    <w:p w14:paraId="1CE1CCE8">
      <w:pPr>
        <w:spacing w:line="360" w:lineRule="auto"/>
        <w:ind w:firstLine="43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供应商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2FE4B1D5">
      <w:pPr>
        <w:spacing w:line="360" w:lineRule="auto"/>
        <w:ind w:firstLine="435"/>
        <w:rPr>
          <w:rFonts w:asciiTheme="minorEastAsia" w:hAnsiTheme="minorEastAsia" w:eastAsiaTheme="minorEastAsia"/>
          <w:color w:val="auto"/>
          <w:sz w:val="24"/>
          <w:highlight w:val="none"/>
        </w:rPr>
      </w:pPr>
      <w:r>
        <w:rPr>
          <w:rFonts w:hint="eastAsia" w:ascii="宋体" w:hAnsi="宋体" w:eastAsia="宋体"/>
          <w:color w:val="auto"/>
          <w:sz w:val="24"/>
          <w:szCs w:val="18"/>
          <w:highlight w:val="none"/>
        </w:rPr>
        <w:t>3.如采购人允许采用分包方式履行合同的，应当明确可以分包履行的相关内容：</w:t>
      </w:r>
      <w:r>
        <w:rPr>
          <w:rFonts w:hint="eastAsia" w:ascii="宋体" w:hAnsi="宋体" w:eastAsia="宋体"/>
          <w:color w:val="auto"/>
          <w:sz w:val="24"/>
          <w:szCs w:val="18"/>
          <w:highlight w:val="none"/>
          <w:u w:val="single"/>
        </w:rPr>
        <w:t>本项目不允许分包</w:t>
      </w:r>
      <w:r>
        <w:rPr>
          <w:rFonts w:hint="eastAsia" w:ascii="宋体" w:hAnsi="宋体" w:eastAsia="宋体"/>
          <w:color w:val="auto"/>
          <w:sz w:val="24"/>
          <w:szCs w:val="18"/>
          <w:highlight w:val="none"/>
        </w:rPr>
        <w:t>。</w:t>
      </w:r>
    </w:p>
    <w:p w14:paraId="3136DE72">
      <w:pPr>
        <w:spacing w:line="360" w:lineRule="auto"/>
        <w:ind w:firstLine="437"/>
        <w:outlineLvl w:val="1"/>
        <w:rPr>
          <w:rFonts w:ascii="宋体" w:hAnsi="宋体" w:eastAsia="宋体"/>
          <w:b/>
          <w:color w:val="auto"/>
          <w:sz w:val="24"/>
          <w:szCs w:val="18"/>
          <w:highlight w:val="none"/>
        </w:rPr>
      </w:pPr>
      <w:bookmarkStart w:id="17" w:name="_Toc26349"/>
      <w:bookmarkStart w:id="18" w:name="_Toc7699"/>
      <w:r>
        <w:rPr>
          <w:rFonts w:hint="eastAsia" w:ascii="宋体" w:hAnsi="宋体" w:eastAsia="宋体"/>
          <w:b/>
          <w:color w:val="auto"/>
          <w:sz w:val="24"/>
          <w:szCs w:val="18"/>
          <w:highlight w:val="none"/>
        </w:rPr>
        <w:t>一、采购需求前附表</w:t>
      </w:r>
      <w:bookmarkEnd w:id="17"/>
      <w:bookmarkEnd w:id="18"/>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3F90F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E5CE6F1">
            <w:pPr>
              <w:pStyle w:val="44"/>
              <w:pBdr>
                <w:bottom w:val="none" w:color="auto" w:sz="0" w:space="0"/>
              </w:pBdr>
              <w:tabs>
                <w:tab w:val="clear" w:pos="4153"/>
                <w:tab w:val="clear" w:pos="8306"/>
              </w:tabs>
              <w:adjustRightInd/>
              <w:spacing w:line="240" w:lineRule="auto"/>
              <w:textAlignment w:val="auto"/>
              <w:rPr>
                <w:rFonts w:ascii="宋体" w:hAnsi="宋体" w:eastAsia="宋体"/>
                <w:b/>
                <w:color w:val="auto"/>
                <w:kern w:val="2"/>
                <w:highlight w:val="none"/>
              </w:rPr>
            </w:pPr>
            <w:bookmarkStart w:id="19" w:name="_Hlk16461016"/>
            <w:r>
              <w:rPr>
                <w:rFonts w:hint="eastAsia" w:ascii="宋体" w:hAnsi="宋体" w:eastAsia="宋体"/>
                <w:b/>
                <w:color w:val="auto"/>
                <w:kern w:val="2"/>
                <w:highlight w:val="none"/>
              </w:rPr>
              <w:t>序号</w:t>
            </w:r>
          </w:p>
        </w:tc>
        <w:tc>
          <w:tcPr>
            <w:tcW w:w="1192" w:type="pct"/>
            <w:vAlign w:val="center"/>
          </w:tcPr>
          <w:p w14:paraId="0E71ACBD">
            <w:pPr>
              <w:pStyle w:val="43"/>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17" w:type="pct"/>
            <w:vAlign w:val="center"/>
          </w:tcPr>
          <w:p w14:paraId="2522F256">
            <w:pPr>
              <w:pStyle w:val="43"/>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08050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94891D1">
            <w:pPr>
              <w:pStyle w:val="4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1192" w:type="pct"/>
            <w:vAlign w:val="center"/>
          </w:tcPr>
          <w:p w14:paraId="7F7C5076">
            <w:pPr>
              <w:pStyle w:val="43"/>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217" w:type="pct"/>
            <w:vAlign w:val="center"/>
          </w:tcPr>
          <w:p w14:paraId="420127B9">
            <w:pPr>
              <w:pStyle w:val="43"/>
              <w:widowControl w:val="0"/>
              <w:spacing w:before="0" w:beforeAutospacing="0" w:after="0" w:afterAutospacing="0" w:line="360" w:lineRule="auto"/>
              <w:jc w:val="both"/>
              <w:rPr>
                <w:rFonts w:hint="eastAsia" w:ascii="宋体" w:hAnsi="宋体" w:eastAsia="宋体"/>
                <w:b w:val="0"/>
                <w:color w:val="auto"/>
                <w:sz w:val="24"/>
                <w:highlight w:val="none"/>
                <w:u w:val="single"/>
                <w:lang w:eastAsia="zh-CN"/>
              </w:rPr>
            </w:pPr>
            <w:r>
              <w:rPr>
                <w:rFonts w:hint="eastAsia" w:ascii="宋体" w:hAnsi="宋体" w:eastAsia="宋体"/>
                <w:b w:val="0"/>
                <w:color w:val="auto"/>
                <w:sz w:val="24"/>
                <w:highlight w:val="none"/>
                <w:u w:val="single"/>
                <w:lang w:eastAsia="zh-CN"/>
              </w:rPr>
              <w:t>合同签订生效并具备实施条件后支付合同金额的40%预付款（预付款支付前，中标人须提供等额的见索即付预付款保函），完成</w:t>
            </w:r>
            <w:r>
              <w:rPr>
                <w:rFonts w:hint="eastAsia" w:ascii="宋体" w:hAnsi="宋体" w:eastAsia="宋体"/>
                <w:b w:val="0"/>
                <w:color w:val="auto"/>
                <w:sz w:val="24"/>
                <w:highlight w:val="none"/>
                <w:u w:val="single"/>
                <w:lang w:val="en-US" w:eastAsia="zh-CN"/>
              </w:rPr>
              <w:t>课程建设并经采购人确认后支付至合同金额85%，申报完成后支付合同剩余金额的15%</w:t>
            </w:r>
            <w:r>
              <w:rPr>
                <w:rFonts w:hint="eastAsia" w:ascii="宋体" w:hAnsi="宋体" w:eastAsia="宋体"/>
                <w:b w:val="0"/>
                <w:color w:val="auto"/>
                <w:sz w:val="24"/>
                <w:highlight w:val="none"/>
                <w:u w:val="single"/>
                <w:lang w:eastAsia="zh-CN"/>
              </w:rPr>
              <w:t>。</w:t>
            </w:r>
          </w:p>
        </w:tc>
      </w:tr>
      <w:tr w14:paraId="034F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CA7F007">
            <w:pPr>
              <w:pStyle w:val="4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1192" w:type="pct"/>
            <w:vAlign w:val="center"/>
          </w:tcPr>
          <w:p w14:paraId="12604845">
            <w:pPr>
              <w:pStyle w:val="43"/>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服务地点</w:t>
            </w:r>
          </w:p>
        </w:tc>
        <w:tc>
          <w:tcPr>
            <w:tcW w:w="3217" w:type="pct"/>
            <w:vAlign w:val="center"/>
          </w:tcPr>
          <w:p w14:paraId="07685D79">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single"/>
              </w:rPr>
              <w:t xml:space="preserve">滁州市内，采购人指定地点 </w:t>
            </w:r>
          </w:p>
        </w:tc>
      </w:tr>
      <w:tr w14:paraId="6E8DE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B314161">
            <w:pPr>
              <w:pStyle w:val="4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1192" w:type="pct"/>
            <w:vAlign w:val="center"/>
          </w:tcPr>
          <w:p w14:paraId="1D32387E">
            <w:pPr>
              <w:pStyle w:val="43"/>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服务期限</w:t>
            </w:r>
          </w:p>
        </w:tc>
        <w:tc>
          <w:tcPr>
            <w:tcW w:w="3217" w:type="pct"/>
            <w:vAlign w:val="center"/>
          </w:tcPr>
          <w:p w14:paraId="6839BC8C">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自合同签订之日起</w:t>
            </w:r>
            <w:r>
              <w:rPr>
                <w:rFonts w:hint="eastAsia" w:ascii="宋体" w:hAnsi="宋体" w:eastAsia="宋体"/>
                <w:b w:val="0"/>
                <w:color w:val="auto"/>
                <w:sz w:val="24"/>
                <w:highlight w:val="none"/>
                <w:u w:val="none"/>
                <w:lang w:val="en-US" w:eastAsia="zh-CN"/>
              </w:rPr>
              <w:t>一年内</w:t>
            </w:r>
            <w:r>
              <w:rPr>
                <w:rFonts w:hint="eastAsia" w:ascii="宋体" w:hAnsi="宋体" w:eastAsia="宋体"/>
                <w:b w:val="0"/>
                <w:color w:val="auto"/>
                <w:sz w:val="24"/>
                <w:highlight w:val="none"/>
              </w:rPr>
              <w:t>完成精品在线课程培育建设、平台运营以及申报等工作。</w:t>
            </w:r>
          </w:p>
        </w:tc>
      </w:tr>
      <w:tr w14:paraId="4A9C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pct"/>
            <w:vAlign w:val="center"/>
          </w:tcPr>
          <w:p w14:paraId="7717F621">
            <w:pPr>
              <w:pStyle w:val="4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4</w:t>
            </w:r>
          </w:p>
        </w:tc>
        <w:tc>
          <w:tcPr>
            <w:tcW w:w="1192" w:type="pct"/>
            <w:vAlign w:val="center"/>
          </w:tcPr>
          <w:p w14:paraId="2122D26F">
            <w:pPr>
              <w:pStyle w:val="43"/>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本项目采购标的名称及所属行业</w:t>
            </w:r>
          </w:p>
        </w:tc>
        <w:tc>
          <w:tcPr>
            <w:tcW w:w="3217" w:type="pct"/>
            <w:vAlign w:val="center"/>
          </w:tcPr>
          <w:p w14:paraId="2001A175">
            <w:pPr>
              <w:spacing w:line="360" w:lineRule="auto"/>
              <w:jc w:val="left"/>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标的名称：</w:t>
            </w:r>
            <w:r>
              <w:rPr>
                <w:rFonts w:hint="eastAsia" w:asciiTheme="minorEastAsia" w:hAnsiTheme="minorEastAsia" w:eastAsiaTheme="minorEastAsia"/>
                <w:color w:val="auto"/>
                <w:sz w:val="24"/>
                <w:highlight w:val="none"/>
                <w:lang w:eastAsia="zh-CN"/>
              </w:rPr>
              <w:t>滁州职业技术学院国家职业教育精品在线课程培育建设服务项目</w:t>
            </w:r>
          </w:p>
          <w:p w14:paraId="4931434E">
            <w:pPr>
              <w:widowControl/>
              <w:jc w:val="left"/>
              <w:rPr>
                <w:rFonts w:ascii="宋体" w:hAnsi="宋体" w:eastAsia="宋体"/>
                <w:color w:val="auto"/>
                <w:sz w:val="24"/>
                <w:highlight w:val="none"/>
                <w:u w:val="single"/>
              </w:rPr>
            </w:pPr>
            <w:r>
              <w:rPr>
                <w:rFonts w:hint="eastAsia" w:asciiTheme="minorEastAsia" w:hAnsiTheme="minorEastAsia" w:eastAsiaTheme="minorEastAsia"/>
                <w:color w:val="auto"/>
                <w:sz w:val="24"/>
                <w:highlight w:val="none"/>
              </w:rPr>
              <w:t>所属行业：</w:t>
            </w:r>
            <w:r>
              <w:rPr>
                <w:rFonts w:hint="eastAsia" w:ascii="宋体" w:hAnsi="宋体" w:eastAsia="宋体" w:cs="宋体"/>
                <w:color w:val="auto"/>
                <w:kern w:val="0"/>
                <w:sz w:val="24"/>
                <w:szCs w:val="24"/>
                <w:highlight w:val="none"/>
                <w:lang w:bidi="ar"/>
              </w:rPr>
              <w:t>其他未列明行业</w:t>
            </w:r>
          </w:p>
        </w:tc>
      </w:tr>
    </w:tbl>
    <w:p w14:paraId="6443F2DB">
      <w:pPr>
        <w:spacing w:line="360" w:lineRule="auto"/>
        <w:ind w:firstLine="435"/>
        <w:rPr>
          <w:rFonts w:hint="eastAsia" w:ascii="宋体" w:hAnsi="宋体" w:eastAsia="宋体" w:cs="宋体"/>
          <w:b/>
          <w:bCs/>
          <w:color w:val="auto"/>
          <w:sz w:val="24"/>
          <w:szCs w:val="24"/>
          <w:highlight w:val="none"/>
          <w:lang w:val="en-US" w:eastAsia="zh-CN"/>
        </w:rPr>
      </w:pPr>
      <w:bookmarkStart w:id="20" w:name="_Toc25144"/>
      <w:bookmarkStart w:id="21" w:name="_Toc23116"/>
      <w:r>
        <w:rPr>
          <w:rFonts w:hint="eastAsia" w:ascii="宋体" w:hAnsi="宋体" w:eastAsia="宋体" w:cs="宋体"/>
          <w:b/>
          <w:bCs/>
          <w:color w:val="auto"/>
          <w:sz w:val="24"/>
          <w:szCs w:val="24"/>
          <w:highlight w:val="none"/>
          <w:lang w:val="en-US" w:eastAsia="zh-CN"/>
        </w:rPr>
        <w:t>第1包：</w:t>
      </w:r>
    </w:p>
    <w:p w14:paraId="555742B1">
      <w:pPr>
        <w:spacing w:line="360" w:lineRule="auto"/>
        <w:ind w:firstLine="435"/>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二、项目概述</w:t>
      </w:r>
    </w:p>
    <w:p w14:paraId="3711212C">
      <w:pPr>
        <w:spacing w:line="360" w:lineRule="auto"/>
        <w:ind w:firstLine="43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深入贯彻党的二十大精神，落实中共中央办公厅、国务院办公厅印发的《关于深化现代职业教育体系建设改革的意见》的重点任务中要求适应职业教育数字化转型趋势和变革要求，加快构建校省国家三级中职高职全覆盖的职业教育专业教学资源共建共享体系。现针对滁州职业技术学院机械与汽车工程学院《智能网联汽车》，电气工程学院《工厂电气控制技术》及《光伏电池及组件加工技术》等3门智慧课程建设及运行服务进行招标。</w:t>
      </w:r>
    </w:p>
    <w:p w14:paraId="5965A686">
      <w:pPr>
        <w:spacing w:line="360" w:lineRule="auto"/>
        <w:ind w:firstLine="43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主要建设内容为《智能网联汽车》、《工厂电气控制技术》、《光伏电池及组件加工技术》三门智慧课程，每门智慧课程课程包含课程资源、课程知识图谱和AI助教三部分内容，课程建设具体要求如下。</w:t>
      </w:r>
    </w:p>
    <w:p w14:paraId="5699BCDA">
      <w:pPr>
        <w:spacing w:line="360" w:lineRule="auto"/>
        <w:ind w:firstLine="435"/>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三、采购需求</w:t>
      </w:r>
    </w:p>
    <w:tbl>
      <w:tblPr>
        <w:tblStyle w:val="25"/>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505"/>
        <w:gridCol w:w="6102"/>
        <w:gridCol w:w="685"/>
        <w:gridCol w:w="719"/>
      </w:tblGrid>
      <w:tr w14:paraId="3C54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39" w:type="dxa"/>
            <w:shd w:val="clear" w:color="auto" w:fill="auto"/>
            <w:vAlign w:val="bottom"/>
          </w:tcPr>
          <w:p w14:paraId="6FC5DD1B">
            <w:pPr>
              <w:spacing w:after="156"/>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1505" w:type="dxa"/>
            <w:shd w:val="clear" w:color="auto" w:fill="auto"/>
            <w:vAlign w:val="bottom"/>
          </w:tcPr>
          <w:p w14:paraId="574B76FC">
            <w:pPr>
              <w:spacing w:after="156"/>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服务</w:t>
            </w:r>
            <w:r>
              <w:rPr>
                <w:rFonts w:hint="eastAsia" w:ascii="宋体" w:hAnsi="宋体" w:cs="宋体"/>
                <w:b/>
                <w:bCs/>
                <w:color w:val="auto"/>
                <w:kern w:val="0"/>
                <w:sz w:val="21"/>
                <w:szCs w:val="21"/>
                <w:highlight w:val="none"/>
              </w:rPr>
              <w:t>名称</w:t>
            </w:r>
          </w:p>
        </w:tc>
        <w:tc>
          <w:tcPr>
            <w:tcW w:w="6102" w:type="dxa"/>
            <w:shd w:val="clear" w:color="auto" w:fill="auto"/>
            <w:vAlign w:val="bottom"/>
          </w:tcPr>
          <w:p w14:paraId="385475C6">
            <w:pPr>
              <w:spacing w:after="156"/>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技术</w:t>
            </w:r>
            <w:r>
              <w:rPr>
                <w:rFonts w:hint="eastAsia" w:ascii="宋体" w:hAnsi="宋体" w:cs="宋体"/>
                <w:b/>
                <w:bCs/>
                <w:color w:val="auto"/>
                <w:kern w:val="0"/>
                <w:sz w:val="21"/>
                <w:szCs w:val="21"/>
                <w:highlight w:val="none"/>
              </w:rPr>
              <w:t>参数</w:t>
            </w:r>
          </w:p>
        </w:tc>
        <w:tc>
          <w:tcPr>
            <w:tcW w:w="685" w:type="dxa"/>
            <w:shd w:val="clear" w:color="auto" w:fill="auto"/>
            <w:vAlign w:val="bottom"/>
          </w:tcPr>
          <w:p w14:paraId="72A6184A">
            <w:pPr>
              <w:spacing w:after="156"/>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数量</w:t>
            </w:r>
          </w:p>
        </w:tc>
        <w:tc>
          <w:tcPr>
            <w:tcW w:w="719" w:type="dxa"/>
            <w:shd w:val="clear" w:color="auto" w:fill="auto"/>
            <w:vAlign w:val="bottom"/>
          </w:tcPr>
          <w:p w14:paraId="45647EB3">
            <w:pPr>
              <w:spacing w:after="156"/>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单位</w:t>
            </w:r>
          </w:p>
        </w:tc>
      </w:tr>
      <w:tr w14:paraId="76683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50" w:type="dxa"/>
            <w:gridSpan w:val="5"/>
            <w:shd w:val="clear" w:color="auto" w:fill="auto"/>
            <w:vAlign w:val="center"/>
          </w:tcPr>
          <w:p w14:paraId="7D4ED2BB">
            <w:pPr>
              <w:spacing w:after="156"/>
              <w:jc w:val="center"/>
              <w:rPr>
                <w:rFonts w:ascii="宋体" w:hAnsi="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一、智慧课程建设（含课程资源、课程知识图谱、课程AI助教）</w:t>
            </w:r>
          </w:p>
        </w:tc>
      </w:tr>
      <w:tr w14:paraId="0E6B3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39" w:type="dxa"/>
            <w:shd w:val="clear" w:color="auto" w:fill="auto"/>
            <w:vAlign w:val="center"/>
          </w:tcPr>
          <w:p w14:paraId="1FD9B6FB">
            <w:pPr>
              <w:spacing w:after="156"/>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505" w:type="dxa"/>
            <w:shd w:val="clear" w:color="auto" w:fill="auto"/>
            <w:vAlign w:val="center"/>
          </w:tcPr>
          <w:p w14:paraId="03342C77">
            <w:pPr>
              <w:spacing w:after="156"/>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（一）课程资源建设</w:t>
            </w:r>
          </w:p>
        </w:tc>
        <w:tc>
          <w:tcPr>
            <w:tcW w:w="6102" w:type="dxa"/>
            <w:shd w:val="clear" w:color="auto" w:fill="auto"/>
            <w:vAlign w:val="center"/>
          </w:tcPr>
          <w:p w14:paraId="6AFC9E3E">
            <w:pPr>
              <w:spacing w:after="156"/>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685" w:type="dxa"/>
            <w:shd w:val="clear" w:color="auto" w:fill="auto"/>
            <w:vAlign w:val="center"/>
          </w:tcPr>
          <w:p w14:paraId="5DB63A5D">
            <w:pPr>
              <w:spacing w:after="156"/>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719" w:type="dxa"/>
            <w:shd w:val="clear" w:color="auto" w:fill="auto"/>
            <w:vAlign w:val="center"/>
          </w:tcPr>
          <w:p w14:paraId="5847C964">
            <w:pPr>
              <w:spacing w:after="156"/>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r w14:paraId="5C89C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39" w:type="dxa"/>
            <w:shd w:val="clear" w:color="auto" w:fill="auto"/>
            <w:vAlign w:val="center"/>
          </w:tcPr>
          <w:p w14:paraId="5D0C212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05" w:type="dxa"/>
            <w:shd w:val="clear" w:color="auto" w:fill="auto"/>
            <w:vAlign w:val="center"/>
          </w:tcPr>
          <w:p w14:paraId="4D3BC09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课程清单</w:t>
            </w:r>
          </w:p>
        </w:tc>
        <w:tc>
          <w:tcPr>
            <w:tcW w:w="6102" w:type="dxa"/>
            <w:shd w:val="clear" w:color="auto" w:fill="auto"/>
            <w:vAlign w:val="center"/>
          </w:tcPr>
          <w:p w14:paraId="38980E4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本项目需要建设</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门线上课程资源，课程清单如下：</w:t>
            </w:r>
            <w:r>
              <w:rPr>
                <w:rFonts w:hint="eastAsia" w:ascii="宋体" w:hAnsi="宋体" w:eastAsia="宋体" w:cs="宋体"/>
                <w:color w:val="auto"/>
                <w:sz w:val="21"/>
                <w:szCs w:val="21"/>
                <w:highlight w:val="none"/>
                <w:lang w:val="en-US" w:eastAsia="zh-CN"/>
              </w:rPr>
              <w:t>《智能网联汽车》、《工厂电气控制技术》、《光伏电池及组件加工技术》</w:t>
            </w:r>
          </w:p>
        </w:tc>
        <w:tc>
          <w:tcPr>
            <w:tcW w:w="685" w:type="dxa"/>
            <w:shd w:val="clear" w:color="auto" w:fill="auto"/>
            <w:vAlign w:val="center"/>
          </w:tcPr>
          <w:p w14:paraId="13871A13">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19" w:type="dxa"/>
            <w:shd w:val="clear" w:color="auto" w:fill="auto"/>
            <w:vAlign w:val="center"/>
          </w:tcPr>
          <w:p w14:paraId="0E577728">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门</w:t>
            </w:r>
          </w:p>
        </w:tc>
      </w:tr>
      <w:tr w14:paraId="3174C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39" w:type="dxa"/>
            <w:shd w:val="clear" w:color="auto" w:fill="auto"/>
            <w:vAlign w:val="center"/>
          </w:tcPr>
          <w:p w14:paraId="78B5EE9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05" w:type="dxa"/>
            <w:shd w:val="clear" w:color="auto" w:fill="auto"/>
            <w:vAlign w:val="center"/>
          </w:tcPr>
          <w:p w14:paraId="7D93264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课程拍摄及制作要求</w:t>
            </w:r>
          </w:p>
        </w:tc>
        <w:tc>
          <w:tcPr>
            <w:tcW w:w="6102" w:type="dxa"/>
            <w:shd w:val="clear" w:color="auto" w:fill="auto"/>
            <w:vAlign w:val="center"/>
          </w:tcPr>
          <w:p w14:paraId="0E6AC37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制定拍摄计划及拍摄地点。在整个的课程拍摄过程中，老师基本上只需要准备好所讲的内容，对于课程如何表现，如何制作的美观，在什么样的环境下拍摄这些等问题都是由中标人与老师的沟通来确定方式并负责实现；</w:t>
            </w:r>
          </w:p>
          <w:p w14:paraId="0ED46AB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.2中标人依据事先与教师团队最终确定的拍摄方案进行场地布局，由专业化妆师和造型师为您打造授课形象，课程编导全程跟进，辅助授课教师熟悉拍摄坏境，适应镜头感；</w:t>
            </w:r>
          </w:p>
          <w:p w14:paraId="2FEF703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为解决老师们面对摄像机紧张的情况，在拍摄前，中标人需要给老师做相关培训，内容包括但不限于辅导老师如何在镜头前表现自己，为老师提供一些小方法进行自我适应和训练，如何准备课程知识点内容，拍摄具体流程等；</w:t>
            </w:r>
          </w:p>
          <w:p w14:paraId="5F66F4B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.4为保证老师们的拍摄效果，现场需有提词器帮助老师解决忘词的问题。</w:t>
            </w:r>
          </w:p>
          <w:p w14:paraId="471DBD1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.5使用专业的非线性编辑系统对源视频进行最基本的处理（如颜色校正、双声道处理、渲染）。使用专业的视频编辑系统进行视频降噪、音频降噪；</w:t>
            </w:r>
          </w:p>
          <w:p w14:paraId="050CE52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.6使用专业的后期合成软件进行片头设计：用平面设计+后期合成，根据每个课题的内容设计出相关联的内容元素，，包括:LOGO、课程名称、讲次、主讲教师姓名、单位等信息；</w:t>
            </w:r>
          </w:p>
          <w:p w14:paraId="7893BC3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.7使用专业的后期合成软件和图片处理软件进行拍摄背景设计：根据每讲的课程内容来制定出相应的拍摄背景，并且主色调要和片头、片尾还有内容相协调；</w:t>
            </w:r>
          </w:p>
          <w:p w14:paraId="784DA8B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.8使用专业的后期合成软件进行课题条、简介条设计：根据课程内容不同，设计符合本课程的课题简介的模版，以此来介绍本讲的主要内容和老师名称；</w:t>
            </w:r>
          </w:p>
          <w:p w14:paraId="63F718C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内容编辑、资料查询（编导工作）：通篇观看源视频，根据主讲人所讲内容，理清脉络，划分片子结构，确定片子整体风格，查找相关素材资料；标记与课程内容关系不大的内容时间点，进行删除处理，并且确保不存在涉及政治和民族矛盾等字眼出现，最后编辑出最终的制作脚本；</w:t>
            </w:r>
          </w:p>
          <w:p w14:paraId="71C0405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2.10每门课程应按照课程性质特点，制作不同的片头片尾（含背景音乐）：</w:t>
            </w:r>
          </w:p>
          <w:p w14:paraId="770AE53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专业非线性编辑系统制作片花、引文、情景图片：根据编导所提供的制作脚本来进行片花和引文等的编辑与制作，主要有背景板、特定的背景音乐、音乐场景特效、引文字体、字体颜色、构图排版、转场特效、基本剪辑、音视频调整与衔接等；</w:t>
            </w:r>
          </w:p>
          <w:p w14:paraId="7A060D1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（2）使用专业的后期合成软件制作片尾：制定相关的片尾名单，包括版权单位、制作单位、录制时间等信息；</w:t>
            </w:r>
          </w:p>
          <w:p w14:paraId="0E73845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（3）使用专业非线性编辑系统剪掉不必要的废镜头，制作完之后，添加必要的背景音乐，保证制作的片花无错误、无硬伤，画面美观，排版规范、逻辑完整；</w:t>
            </w:r>
          </w:p>
          <w:p w14:paraId="704E0D2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（4）使用专业非线性编辑系统渲染成片：所有内容编辑结束之后，生成成片，成品为高清制式。</w:t>
            </w:r>
          </w:p>
          <w:p w14:paraId="225C792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2.11对于视频剪辑中所引用的教育视频片段，中标人须保证无版权问题，对于所引用的教育视频资源须提供主讲人授权协议。</w:t>
            </w:r>
          </w:p>
          <w:p w14:paraId="645D604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3.视频资源技术指标 </w:t>
            </w:r>
          </w:p>
          <w:p w14:paraId="6D8E5B8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3.1视频信号源：</w:t>
            </w:r>
          </w:p>
          <w:p w14:paraId="38A49E6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（1）稳定性：全片图像同步性能稳定，无失步现象，CTL同步控制信号必须连续；图像无抖动跳跃，色彩无突变，编辑点处图像稳定；</w:t>
            </w:r>
          </w:p>
          <w:p w14:paraId="01D627E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（2）信噪比：图像信噪比不低于55dB，无明显杂波；</w:t>
            </w:r>
          </w:p>
          <w:p w14:paraId="35FEFAF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（3）色调：白平衡正确，无明显偏色，多机拍摄的镜头衔接处无明显色差；</w:t>
            </w:r>
          </w:p>
          <w:p w14:paraId="32A6DE2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（4）视频电平：视频全讯号幅度为1Ⅴp-p，最大不超过1.1Ⅴ p-p。其中，消隐电平为0V时，白电平幅度0.7Ⅴp-p，同步信号-0.3V，色同步信号幅度0.3V p-p (以消隐线上下对称)，全片一致；</w:t>
            </w:r>
          </w:p>
          <w:p w14:paraId="5E38A78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3.2音频信号源：</w:t>
            </w:r>
          </w:p>
          <w:p w14:paraId="638C82E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（1）声道：中文内容音频信号记录于第1声道，音乐、音效、同期声记录于第2声道，若有其他文字解说记录于第3声道（如录音设备无第3声道，则录于第2声道）；</w:t>
            </w:r>
          </w:p>
          <w:p w14:paraId="5DBF0AB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（2）电平指标：-2db — -8db声音应无明显失真、放音过冲、过弱；</w:t>
            </w:r>
          </w:p>
          <w:p w14:paraId="560232D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（3）音频信噪比不低于48db；</w:t>
            </w:r>
          </w:p>
          <w:p w14:paraId="50FE1B7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（4）声音和画面要求同步，无交流声或其他杂音等缺陷；</w:t>
            </w:r>
          </w:p>
          <w:p w14:paraId="7CAA596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（5）伴音清晰、饱满、圆润，无失真、噪声杂音干扰、音量忽大忽小现象。解说声与现场声无明显比例失调，解说声与背景音乐无明显比例失调；</w:t>
            </w:r>
          </w:p>
          <w:p w14:paraId="58E2D76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视、音频交付文件：</w:t>
            </w:r>
          </w:p>
          <w:p w14:paraId="6A96E63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（1）交付载体。所有视频文件存储于移动硬盘内，并在盘里注明交付的内容清单（标记学校名称、课程名称、讲次及标题、主讲教师、时长等）</w:t>
            </w:r>
          </w:p>
          <w:p w14:paraId="6FCA566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（2）视频压缩格式及技术参数：</w:t>
            </w:r>
          </w:p>
          <w:p w14:paraId="614EBEE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①视频压缩采用H.264(MPEG-4Part10：profile=main,level=3.0)编码、使用二次编码、不包含字幕的 MP4格式。</w:t>
            </w:r>
          </w:p>
          <w:p w14:paraId="6E55AAE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②视频码流率：动态码流的最高码率不高于2500 Kbps，最低码率不得低于1024Kbps。</w:t>
            </w:r>
          </w:p>
          <w:p w14:paraId="4CF8395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③视频分辨率：前期采用高清16:9拍摄，设定为 1920X1080。在同一课程中，各讲的视频分辨率统一，统一高清。</w:t>
            </w:r>
          </w:p>
          <w:p w14:paraId="7D51EAA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④视频帧率为25帧/秒，扫描方式采用逐行扫描。</w:t>
            </w:r>
          </w:p>
          <w:p w14:paraId="613788C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⑤音频压缩格式及技术参数：音频压缩采用AAC(MPEG4 Part3)格式，采样率48KHz，音频码流率128Kbps (恒定)，必须是双声道，必须做混音处理。</w:t>
            </w:r>
          </w:p>
          <w:p w14:paraId="7BDEB49D">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4.资源交付量</w:t>
            </w:r>
          </w:p>
          <w:p w14:paraId="33402BDE">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（1）视频资源交付量：每门课程不低于300分钟（具体以教师课程实际需求量为准）</w:t>
            </w:r>
          </w:p>
          <w:p w14:paraId="03E16006">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（2）动画资源交付量：每门课程不低于8个（具体以教师课程实际需求量为准）</w:t>
            </w:r>
          </w:p>
          <w:p w14:paraId="239B15B2">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（3）PPT美化：以课程教师实际需求量为准</w:t>
            </w:r>
          </w:p>
        </w:tc>
        <w:tc>
          <w:tcPr>
            <w:tcW w:w="685" w:type="dxa"/>
            <w:shd w:val="clear" w:color="auto" w:fill="auto"/>
            <w:vAlign w:val="center"/>
          </w:tcPr>
          <w:p w14:paraId="15EC574B">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19" w:type="dxa"/>
            <w:shd w:val="clear" w:color="auto" w:fill="auto"/>
            <w:vAlign w:val="center"/>
          </w:tcPr>
          <w:p w14:paraId="41A3C3B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14971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39" w:type="dxa"/>
            <w:shd w:val="clear" w:color="auto" w:fill="auto"/>
            <w:vAlign w:val="center"/>
          </w:tcPr>
          <w:p w14:paraId="6C213FE8">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505" w:type="dxa"/>
            <w:shd w:val="clear" w:color="auto" w:fill="auto"/>
            <w:vAlign w:val="center"/>
          </w:tcPr>
          <w:p w14:paraId="0E75262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课程知识图谱建设</w:t>
            </w:r>
          </w:p>
        </w:tc>
        <w:tc>
          <w:tcPr>
            <w:tcW w:w="6102" w:type="dxa"/>
            <w:shd w:val="clear" w:color="auto" w:fill="auto"/>
            <w:vAlign w:val="center"/>
          </w:tcPr>
          <w:p w14:paraId="63480B90">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供应商需要为每门课程建设课程知识图谱功能，以满足智慧课程建设要求，课程知识图谱功能应满足以下功能要求：</w:t>
            </w:r>
          </w:p>
          <w:p w14:paraId="35FD918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.1课程知识图谱框架设计</w:t>
            </w:r>
          </w:p>
          <w:p w14:paraId="4083461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搭建知识图谱、问题图谱、目标图谱的图谱框架，知识图谱模式实现大纲模式、思维导图模式、图谱模式等形态。课程按每学分，设计问题图谱≥</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个基本问题，设计知识图谱≥</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00个知识点。</w:t>
            </w:r>
          </w:p>
          <w:p w14:paraId="34AA37E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目标图谱：实现基于专业培养方案，将课程的能力目标与毕业要求关联，设置课程目标与知识点关联，每门课程设定明确的课程目标，形成知识点-课程目标-毕业要求关联体系，形成能力画像，包含能力名称、能力详情、关联问题、关联主题、关联知识点等。</w:t>
            </w:r>
          </w:p>
          <w:p w14:paraId="02CAC9E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问题图谱：实现指向高阶思维与能力提升的问题图谱创建，从高阶目标出发，通过基本问题、组合问题和疑难问题的设置，通过问题间的逻辑关系，将三层问题体系相关联，建设完整的问题体系及关联的问题描述、问题标签，关联知识点，形成基于问题的学习路径，引导学生从知识吸收到应用创造的能力提升。</w:t>
            </w:r>
          </w:p>
          <w:p w14:paraId="2D930C7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实现对问题进行命名、描述，添加重点、难点等标签，可查看问题的详情、解答和具体的知识点画像，实现根据需要修改问题图谱的概念及内涵，根据课程需要设置项目图谱、能力图谱或技能图谱；</w:t>
            </w:r>
          </w:p>
          <w:p w14:paraId="7B93D61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知识图谱：实现设置课程里的全部知识点及其属性、知识点之间的关联关系，知识点覆盖整门课程理论知识体系，用知识点掌握率考察目标达成度。通过大纲视图、思维导图视图、图谱视图、地图模式等形式呈现知识图谱。</w:t>
            </w:r>
          </w:p>
          <w:p w14:paraId="1365BF4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.2知识点梳理</w:t>
            </w:r>
          </w:p>
          <w:p w14:paraId="47642B6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（1）知识点内容和数量确定</w:t>
            </w:r>
          </w:p>
          <w:p w14:paraId="70C85E1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实现根据课程教学目标和教学形式的要求设计和提取知识点，有相对完整的内容和教学设计，能组成适于教学的基本单元。</w:t>
            </w:r>
          </w:p>
          <w:p w14:paraId="649B61B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结合学校定位、专业与课程目标，在符合课程统一标准的前提下，对重构后的课程内容拆分知识点，并根据课程特点和教学要求调整知识点的颗粒度，一门2学分的课程，知识点数量≥</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个。</w:t>
            </w:r>
          </w:p>
          <w:p w14:paraId="067A769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（2）知识点的命名规范</w:t>
            </w:r>
          </w:p>
          <w:p w14:paraId="5BA60E8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实现对知识点进行准确命名。知识点名称要具有具体含义，知识点的命名要标准化、术语化，能够合理概括教学内容。</w:t>
            </w:r>
          </w:p>
          <w:p w14:paraId="4DED35E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）知识点的类别标注</w:t>
            </w:r>
          </w:p>
          <w:p w14:paraId="6AA57DB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实现对知识点的类别进行以下标注：</w:t>
            </w:r>
          </w:p>
          <w:p w14:paraId="399AE4A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事实性知识：是学习者在掌握某一学科或解决问题时必须知道的基本要素。包括术语知识、具体细节和要素的知识。</w:t>
            </w:r>
          </w:p>
          <w:p w14:paraId="3DF39C0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概念性知识：指一个整体结构中基本要素之间的关系，表明某一个学科领域的知识是如何加以组织的，如何发生内在联系的，如何体现出系统一致的方式。包括类别与分类的知识，原理与概括的知识，理论、模式与结构的知识。</w:t>
            </w:r>
          </w:p>
          <w:p w14:paraId="055A257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程序性知识：是“如何做事的知识”。“做事”可以是形成一个简单易行的常规联系，也可以是解答一个新颖别致的问题。包括具体学科技能和算法的知识、具体学科技巧和方法的知识、确定何时运用是当程序的知识。</w:t>
            </w:r>
          </w:p>
          <w:p w14:paraId="77FD831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元认知知识：是关于一般的认知知识和自我认知的知识。</w:t>
            </w:r>
          </w:p>
          <w:p w14:paraId="47687BD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一门课程，知识点类别标注占比应≥知识点总数量的50%。</w:t>
            </w:r>
          </w:p>
          <w:p w14:paraId="4370517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.3知识图谱构建和管理</w:t>
            </w:r>
          </w:p>
          <w:p w14:paraId="2ADB37F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.3.1知识图谱框架管理</w:t>
            </w:r>
          </w:p>
          <w:p w14:paraId="5D7BE68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（1）支持建立以学校的教务课程-知识点为体系的知识点架构进行后台知识图谱框架管理；</w:t>
            </w:r>
          </w:p>
          <w:p w14:paraId="34B21B6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（2）支持对教务课程的课程类别、课程性质进行增删改查管理；</w:t>
            </w:r>
          </w:p>
          <w:p w14:paraId="3CA6360C">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（3）支持按照学校不同专业关联不同的课程，生成课程群知识图谱；</w:t>
            </w:r>
          </w:p>
          <w:p w14:paraId="2A05D85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（4）支持为网络课程和教务课程建立独立的知识图谱，便于统一管理。</w:t>
            </w:r>
          </w:p>
          <w:p w14:paraId="791D6B9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.3.2课程知识图谱创建</w:t>
            </w:r>
          </w:p>
          <w:p w14:paraId="366AE75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（1）支持多种图谱形式：支持按照实际需要创建知识图谱、问题图谱、目标图谱；</w:t>
            </w:r>
          </w:p>
          <w:p w14:paraId="2A15808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（2）支持多种智能化创建方式：支持智能导入教学大纲、电子教材等，系统智能识别构建生成知识图谱；</w:t>
            </w:r>
          </w:p>
          <w:p w14:paraId="0E02078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（3）支持思维导图导入知识图谱：支持本地导入xmind格式的思维导图文件，自动读取文件数据，生成课程知识图谱；</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投标文件中需提供软件功能截图</w:t>
            </w:r>
            <w:r>
              <w:rPr>
                <w:rFonts w:hint="eastAsia" w:ascii="宋体" w:hAnsi="宋体" w:eastAsia="宋体" w:cs="宋体"/>
                <w:b/>
                <w:bCs/>
                <w:color w:val="auto"/>
                <w:sz w:val="21"/>
                <w:szCs w:val="21"/>
                <w:highlight w:val="none"/>
                <w:lang w:eastAsia="zh-CN"/>
              </w:rPr>
              <w:t>）</w:t>
            </w:r>
          </w:p>
          <w:p w14:paraId="4C38D1B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（4）支持在线课程章节目录智能导入：可直接导入已有在线课程章节目录，自动生成知识图谱；</w:t>
            </w:r>
          </w:p>
          <w:p w14:paraId="51E02F1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（5）支持教务课程和网络课程知识图谱互相同步调用；</w:t>
            </w:r>
          </w:p>
          <w:p w14:paraId="7FD68BCD">
            <w:pP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（6）支持手动添加、模板导入等方式手动构建知识图谱；支持课程章节一键转化生成知识图谱，并同时进行资源关联；</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投标文件中需提供软件功能截图</w:t>
            </w:r>
            <w:r>
              <w:rPr>
                <w:rFonts w:hint="eastAsia" w:ascii="宋体" w:hAnsi="宋体" w:eastAsia="宋体" w:cs="宋体"/>
                <w:b/>
                <w:bCs/>
                <w:color w:val="auto"/>
                <w:sz w:val="21"/>
                <w:szCs w:val="21"/>
                <w:highlight w:val="none"/>
                <w:lang w:eastAsia="zh-CN"/>
              </w:rPr>
              <w:t>）</w:t>
            </w:r>
          </w:p>
          <w:p w14:paraId="3B94105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）支持克隆或继承前课程的知识图谱以及相关关系。</w:t>
            </w:r>
          </w:p>
          <w:p w14:paraId="33D4D38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.4知识图谱资源建设</w:t>
            </w:r>
          </w:p>
          <w:p w14:paraId="7F48AF0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（1）支持智能化推送教材教参、视频等教学资源。供应商需提供5000余门在线课程资源，支持在线查找并添加相关的学术视频、教材教参、期刊文献资料，推荐给学生直接在线阅读和观看。</w:t>
            </w:r>
          </w:p>
          <w:p w14:paraId="317C83D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课程题库/作业库/试卷库建设。题库支持excel及word格式的模版批量导入或逐个添加，支持对已添加的试题进行修改、删除、查询、排序、浏览等功能，题型包括单选、多选、判断、简答、填空等，题目可进行分值分配、难度系数、适用层级等设置。</w:t>
            </w:r>
          </w:p>
          <w:p w14:paraId="3EE0267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（3）支持课程资源标记为知识点，可实现知识图谱的双向互通链接使用。支持从知识图谱中点击各知识点，选择匹配的资源；支持从课程资料、在线课程章节中点击各资源，关联知识点。</w:t>
            </w:r>
          </w:p>
          <w:p w14:paraId="1414B70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（4）支持系统智能识别视频内容，在视频时间点上自动打知识点标签，教师可以编辑修改；视频播放时学生可以定位到时间点观看对应知识点的视频讲解；</w:t>
            </w:r>
          </w:p>
          <w:p w14:paraId="6AB61FB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（5）支持课程章节中的视频手动进行知识点标记，视频若涉及多个知识点，可以标记知识点的具体时间点；</w:t>
            </w:r>
          </w:p>
          <w:p w14:paraId="71D40CF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（6）支持引用图书、期刊等资源到知识点下；支持教师将自己建设的资源添加到知识点；</w:t>
            </w:r>
          </w:p>
          <w:p w14:paraId="479D883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支持在创建或编辑题目时标记每道题对应的知识点标签，并支持按知识点筛选管理题目；支持按模板批量导入题目时导入题目知识点；支持批量编辑题目关联知识点；题目关联知识点操作时系统支持智能推荐知识点，便于教师快速进行关联操作</w:t>
            </w:r>
          </w:p>
          <w:p w14:paraId="3CB87BF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（8）课程知识图谱构建支持智能导入，同步其他课程知识图谱，从课程章节导入，其中智能导入支持用户自主本地上传教学大纲、书籍教材，系统进行智能识别构建生成知识图谱。</w:t>
            </w:r>
          </w:p>
          <w:p w14:paraId="73635FB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（9）平台支持智能识别视频内容，在视频时间点上自动打知识点标签，教师可以在智能标记的基础上进行手动调整修改；学生在学习对应知识点时视频播放自动定位到知识点标记的时间点。</w:t>
            </w:r>
          </w:p>
          <w:p w14:paraId="088E669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（10）平台支持智能翻译课程视频内容，视频字幕支持中文、英语、日语、韩语、法语等十二种语言，满足不同语言学生学习需要。</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投标文件中需提供软件功能截图</w:t>
            </w:r>
            <w:r>
              <w:rPr>
                <w:rFonts w:hint="eastAsia" w:ascii="宋体" w:hAnsi="宋体" w:eastAsia="宋体" w:cs="宋体"/>
                <w:b/>
                <w:bCs/>
                <w:color w:val="auto"/>
                <w:sz w:val="21"/>
                <w:szCs w:val="21"/>
                <w:highlight w:val="none"/>
                <w:lang w:eastAsia="zh-CN"/>
              </w:rPr>
              <w:t>）</w:t>
            </w:r>
          </w:p>
          <w:p w14:paraId="35FEE39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（11）支持按不同层级查看知识图谱，按知识点搜索；支持在图谱上查看每个知识点关联的资源，学生的掌握率、完成率学生通过图谱进行知识点学习。</w:t>
            </w:r>
          </w:p>
          <w:p w14:paraId="47965BD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（12）平台支持用户手动上传文档至问答库，上传后系统可上传的文档进行解析，解析后可智能回答文档相关问题</w:t>
            </w:r>
            <w:r>
              <w:rPr>
                <w:rFonts w:hint="eastAsia" w:ascii="宋体" w:hAnsi="宋体" w:eastAsia="宋体" w:cs="宋体"/>
                <w:color w:val="auto"/>
                <w:sz w:val="21"/>
                <w:szCs w:val="21"/>
                <w:highlight w:val="none"/>
                <w:lang w:val="en-US" w:eastAsia="zh-CN"/>
              </w:rPr>
              <w:t>.</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投标文件中需提供软件功能截图</w:t>
            </w:r>
            <w:r>
              <w:rPr>
                <w:rFonts w:hint="eastAsia" w:ascii="宋体" w:hAnsi="宋体" w:eastAsia="宋体" w:cs="宋体"/>
                <w:b/>
                <w:bCs/>
                <w:color w:val="auto"/>
                <w:sz w:val="21"/>
                <w:szCs w:val="21"/>
                <w:highlight w:val="none"/>
                <w:lang w:eastAsia="zh-CN"/>
              </w:rPr>
              <w:t>）</w:t>
            </w:r>
          </w:p>
          <w:p w14:paraId="285FA2F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.5课程知识图谱管理</w:t>
            </w:r>
          </w:p>
          <w:p w14:paraId="0810152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（1）支持创建管理知识图谱：支持跨学校、学院基于虚拟教研室创建知识图谱，教研室主任可设置团队成员权限，授权团队成员管理、编辑、应用图谱权限；</w:t>
            </w:r>
          </w:p>
          <w:p w14:paraId="2936134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（2）支持虚拟教研团队管理：对于当前知识图谱管理员可修改、删除团队成员的图谱权限；</w:t>
            </w:r>
          </w:p>
          <w:p w14:paraId="428DC59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（3）支持协同创建知识图谱：支持多人在线协同创建知识图谱；</w:t>
            </w:r>
          </w:p>
          <w:p w14:paraId="522D003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（4）支持知识图谱历史记录：支持团队成员按时间维度查看团队历史编辑记录，包括主题、知识点、知识关系的增加、修改、删除；</w:t>
            </w:r>
          </w:p>
          <w:p w14:paraId="2C87342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（5）支持管理个人知识点：设置快速入口，方便团队成员快捷查看个人创建或参与编辑的知识点，并查看知识点详情的编辑进度；</w:t>
            </w:r>
          </w:p>
          <w:p w14:paraId="77479C7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（6）支持教研室内跨课之间知识点进行关联，关联后可以进行多门课程的知识点关联展示。</w:t>
            </w:r>
          </w:p>
          <w:p w14:paraId="4FE48BB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.6课程知识图谱展示</w:t>
            </w:r>
          </w:p>
          <w:p w14:paraId="150A735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知识图谱全局展示：支持学科、专业、课程类型的知识图谱的全局展示，包括知识图谱的名称、显示或隐藏知识图谱的详细简介内容。可根据知识单元、知识点层次、掌握率完成率等设置图谱配色方案；</w:t>
            </w:r>
          </w:p>
          <w:p w14:paraId="1DEE643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（2）支持知识图谱自适应调节：通过滚动鼠标，自动调整图谱大小和比例，并自适应显示效果，方便用户查看知识图谱;</w:t>
            </w:r>
          </w:p>
          <w:p w14:paraId="47D59B9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（3）支持知识图谱基础数据统计：自动统计并显示当前知识图谱累计建设的知识点数量、学习资源数量和试题数量等数据;</w:t>
            </w:r>
          </w:p>
          <w:p w14:paraId="35277E3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（4）支持知识图谱按关系显示：支持图谱按关系显示，点击子级、后置、关联，只显示相关图谱，方便用户针对性学习;</w:t>
            </w:r>
          </w:p>
          <w:p w14:paraId="2E183E1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（5）支持搜索或点击单个知识点：支持通过关键字搜索或点击单个知识点两种方式，快速定位知识点，并自动调整画布位置或比例，将知识点自动呈现至画布中央保证最佳展示视角，方便用户查看;</w:t>
            </w:r>
          </w:p>
          <w:p w14:paraId="6C20D5D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（6）支持知识点详情展示：选中知识点时，展示知识点的基本信息（需要包含知识点名称、关联资源、推荐资源、关联试题），以及知识点的完成率、掌握率；</w:t>
            </w:r>
          </w:p>
          <w:p w14:paraId="28965FA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（7）支持单个知识点溯源：选中知识点时，展示知识点的溯源关系，可以查看与它有父子关系、前后置关系、关联关系的知识点，并显示其掌握率，有利于用户对知识脉络的梳理和把握;</w:t>
            </w:r>
          </w:p>
          <w:p w14:paraId="5D60556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（8）支持问题与知识点关联：建立问题模型中的某一具体问题与知识点间的关联，展示该问题的详细解答，理清为解决该问题所需要掌握的知识点及其关系，培养用户以问题为导向的学习模式；</w:t>
            </w:r>
          </w:p>
          <w:p w14:paraId="72415E2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（9）支持思维导图模式展示图谱内容，支持切换不同的结构形式查看，以及检索知识点快速查找；同时思维导图支持编辑模式，可进行操作的回退前进，知识点的增删改，以及属性编辑等。</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投标文件中需提供软件功能截图</w:t>
            </w:r>
            <w:r>
              <w:rPr>
                <w:rFonts w:hint="eastAsia" w:ascii="宋体" w:hAnsi="宋体" w:eastAsia="宋体" w:cs="宋体"/>
                <w:b/>
                <w:bCs/>
                <w:color w:val="auto"/>
                <w:sz w:val="21"/>
                <w:szCs w:val="21"/>
                <w:highlight w:val="none"/>
                <w:lang w:eastAsia="zh-CN"/>
              </w:rPr>
              <w:t>）</w:t>
            </w:r>
          </w:p>
        </w:tc>
        <w:tc>
          <w:tcPr>
            <w:tcW w:w="685" w:type="dxa"/>
            <w:shd w:val="clear" w:color="auto" w:fill="auto"/>
            <w:vAlign w:val="center"/>
          </w:tcPr>
          <w:p w14:paraId="2D42F969">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19" w:type="dxa"/>
            <w:shd w:val="clear" w:color="auto" w:fill="auto"/>
            <w:vAlign w:val="center"/>
          </w:tcPr>
          <w:p w14:paraId="75B03733">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r>
      <w:tr w14:paraId="1BB96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39" w:type="dxa"/>
            <w:shd w:val="clear" w:color="auto" w:fill="auto"/>
            <w:vAlign w:val="center"/>
          </w:tcPr>
          <w:p w14:paraId="7C539406">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505" w:type="dxa"/>
            <w:shd w:val="clear" w:color="auto" w:fill="auto"/>
            <w:vAlign w:val="center"/>
          </w:tcPr>
          <w:p w14:paraId="038F66D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课程大模型及AI助教</w:t>
            </w:r>
          </w:p>
        </w:tc>
        <w:tc>
          <w:tcPr>
            <w:tcW w:w="6102" w:type="dxa"/>
            <w:shd w:val="clear" w:color="auto" w:fill="auto"/>
            <w:vAlign w:val="center"/>
          </w:tcPr>
          <w:p w14:paraId="4C2C27AF">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供应商需要为每门课程配备课程人工智能应用，建设课程AI助教功能，以满足课程上线平台要求，课程AI助教功能应满足以下功能要求：</w:t>
            </w:r>
          </w:p>
          <w:p w14:paraId="3743CE3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.1智能答疑</w:t>
            </w:r>
          </w:p>
          <w:p w14:paraId="77AFB26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（1）支持自定义添加、编辑、删除业务问答分类，分类数量无限制；</w:t>
            </w:r>
          </w:p>
          <w:p w14:paraId="4784888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（2）支持自定义添加、编辑、删除、批量导入、批量导出、批量删除业务问答规则，业务问答规则数量无限制；</w:t>
            </w:r>
          </w:p>
          <w:p w14:paraId="70133E8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（3）支持手工启用、停用业务问答规则，可根据关键词搜索业务内容；</w:t>
            </w:r>
          </w:p>
          <w:p w14:paraId="22F041F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（4）业务问答规则中，答案支持文本、图片、语音、视频、自定义级联菜单、图文混排、链接等多种内容；</w:t>
            </w:r>
          </w:p>
          <w:p w14:paraId="402180F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（5）自定义添加、编辑业务问答中问题标签，并根据标签进行问答提示；</w:t>
            </w:r>
          </w:p>
          <w:p w14:paraId="353DDAE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（6）支持用户手动上传文档至问答库，上传后系统可上传的文档进行解析，解析后可智能回答文档相关问题；</w:t>
            </w:r>
          </w:p>
          <w:p w14:paraId="292D256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（7）问答时支持智能推荐问题关联的相关微应用；</w:t>
            </w:r>
          </w:p>
          <w:p w14:paraId="1ACBDB6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（8）机器可自动对没有答案的问题描述进行关键词识别并统计聚类，按照关键词问答频率由高到低排序，同时可以批量导出未知问题；</w:t>
            </w:r>
          </w:p>
          <w:p w14:paraId="6ADADE4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（9）支持手工添加未知问题至业务问答规则，并支持自定义修改；支持自动忽略无意义的问法，比如无效数字字母的组合；</w:t>
            </w:r>
          </w:p>
          <w:p w14:paraId="42C2782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（10）支持根据用户输入问题进行匹配提示；支持问答无匹配时，提供语义相似度最高的热门问题；</w:t>
            </w:r>
          </w:p>
          <w:p w14:paraId="73BC25E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（11）支持未知问题回复语自定义设置；支持欢迎语的自定义设置；支持阈值自定义；</w:t>
            </w:r>
          </w:p>
          <w:p w14:paraId="408727E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（12）可根据用户行为自动记录待学习问题，超级管理员可一键学习或一键通过；</w:t>
            </w:r>
          </w:p>
          <w:p w14:paraId="70C1F7F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（13）支持用户自定义唤醒词；支持在不同的时间段自动推送智能学习提示语；</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投标文件中需提供软件功能截图</w:t>
            </w:r>
            <w:r>
              <w:rPr>
                <w:rFonts w:hint="eastAsia" w:ascii="宋体" w:hAnsi="宋体" w:eastAsia="宋体" w:cs="宋体"/>
                <w:b/>
                <w:bCs/>
                <w:color w:val="auto"/>
                <w:sz w:val="21"/>
                <w:szCs w:val="21"/>
                <w:highlight w:val="none"/>
                <w:lang w:eastAsia="zh-CN"/>
              </w:rPr>
              <w:t>）</w:t>
            </w:r>
          </w:p>
          <w:p w14:paraId="7AC4EDF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.2资料查找</w:t>
            </w:r>
          </w:p>
          <w:p w14:paraId="169D112E">
            <w:pP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（1）支持查询图书、期刊等文献，根据用户输入问题推荐相关文献，图书、期刊等推荐文献可在线查看原文和文献传递；</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投标文件中需提供软件功能截图</w:t>
            </w:r>
            <w:r>
              <w:rPr>
                <w:rFonts w:hint="eastAsia" w:ascii="宋体" w:hAnsi="宋体" w:eastAsia="宋体" w:cs="宋体"/>
                <w:b/>
                <w:bCs/>
                <w:color w:val="auto"/>
                <w:sz w:val="21"/>
                <w:szCs w:val="21"/>
                <w:highlight w:val="none"/>
                <w:lang w:eastAsia="zh-CN"/>
              </w:rPr>
              <w:t>）</w:t>
            </w:r>
          </w:p>
          <w:p w14:paraId="33DF165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（2）支持针对用户网络课程学习进度和掌握情况，个性化推荐课程资源和拓展性学习资源。</w:t>
            </w:r>
          </w:p>
          <w:p w14:paraId="6CEC322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（3）可关联校本网络教学平台网络课程的知识图谱，基于知识点之间的关联关系与学生知识点的学习情况，推荐知识点相关学习资源。</w:t>
            </w:r>
          </w:p>
          <w:p w14:paraId="11DFE56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5.3语音指令</w:t>
            </w:r>
          </w:p>
          <w:p w14:paraId="5A29331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（1）提供独立电脑客户端，可通过电脑端语音唤醒助教，实现通过语音调用开启相关应用；</w:t>
            </w:r>
          </w:p>
          <w:p w14:paraId="3DE6701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（2）支持通过语音对助教进行提问，助教可自动识别用户语音内容进行文本识别后回答问题；</w:t>
            </w:r>
          </w:p>
          <w:p w14:paraId="724C59D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3）支持通过语音唤醒助教，口述语音指令选择本账号下的线上课程进入授课，并支持通过语音开启是否录制、是否共享屏幕、是否开启同声翻译等操作；支持通过语音发起指令，调用与网络课程相关的应用，快速帮助老师发起活动，如投屏、签到、白板等；</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投标文件中需提供软件功能截图</w:t>
            </w:r>
            <w:r>
              <w:rPr>
                <w:rFonts w:hint="eastAsia" w:ascii="宋体" w:hAnsi="宋体" w:eastAsia="宋体" w:cs="宋体"/>
                <w:b/>
                <w:bCs/>
                <w:color w:val="auto"/>
                <w:sz w:val="21"/>
                <w:szCs w:val="21"/>
                <w:highlight w:val="none"/>
                <w:lang w:eastAsia="zh-CN"/>
              </w:rPr>
              <w:t>）</w:t>
            </w:r>
          </w:p>
        </w:tc>
        <w:tc>
          <w:tcPr>
            <w:tcW w:w="685" w:type="dxa"/>
            <w:shd w:val="clear" w:color="auto" w:fill="auto"/>
            <w:vAlign w:val="center"/>
          </w:tcPr>
          <w:p w14:paraId="1D5ADFFE">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19" w:type="dxa"/>
            <w:shd w:val="clear" w:color="auto" w:fill="auto"/>
            <w:vAlign w:val="center"/>
          </w:tcPr>
          <w:p w14:paraId="3BA28375">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r>
      <w:tr w14:paraId="36D81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50" w:type="dxa"/>
            <w:gridSpan w:val="5"/>
            <w:shd w:val="clear" w:color="auto" w:fill="auto"/>
            <w:vAlign w:val="center"/>
          </w:tcPr>
          <w:p w14:paraId="6D073F0C">
            <w:pPr>
              <w:spacing w:after="156"/>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二、智慧课程运行服务</w:t>
            </w:r>
          </w:p>
        </w:tc>
      </w:tr>
      <w:tr w14:paraId="591B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39" w:type="dxa"/>
            <w:shd w:val="clear" w:color="auto" w:fill="auto"/>
            <w:vAlign w:val="center"/>
          </w:tcPr>
          <w:p w14:paraId="3751F01D">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505" w:type="dxa"/>
            <w:shd w:val="clear" w:color="auto" w:fill="auto"/>
            <w:vAlign w:val="center"/>
          </w:tcPr>
          <w:p w14:paraId="6012B42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课程运行平台技术要求</w:t>
            </w:r>
          </w:p>
        </w:tc>
        <w:tc>
          <w:tcPr>
            <w:tcW w:w="6102" w:type="dxa"/>
            <w:shd w:val="clear" w:color="auto" w:fill="auto"/>
            <w:vAlign w:val="center"/>
          </w:tcPr>
          <w:p w14:paraId="217ABE19">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供应商需具备课程运行平台并为建设的3门免费提供平台使用及课程运行服务，运行平台需满足以下教学功能要求：</w:t>
            </w:r>
          </w:p>
          <w:p w14:paraId="20944DF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1.系统基本要求</w:t>
            </w:r>
          </w:p>
          <w:p w14:paraId="6904B2F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（1）支持整个课程创建、内容共享、学习过程跟踪和控制、在线测试和作业发布、交流互动、成绩评测和学习成果反馈教学流程，实现信息技术与教学过程的深度融合。</w:t>
            </w:r>
          </w:p>
          <w:p w14:paraId="4A43CD6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（2）成熟稳定的软件产品，具有国家软件著作权登记证书。</w:t>
            </w:r>
          </w:p>
          <w:p w14:paraId="61B4FC8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（3）系统设计满足大规模用户使用、支持分布式部署，应满足万人在线学习的性能要求。</w:t>
            </w:r>
          </w:p>
          <w:p w14:paraId="62BB466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（4）采用B/S结构，基于J2EE架构，页面采用Web2.0 AJAX开发，不需要另行安装插件就可以支持IE9及以上版本、safari、Firefox、chrome等浏览器。</w:t>
            </w:r>
          </w:p>
          <w:p w14:paraId="5EA640E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（5）支持Web服务器集群。具有安全策略和备份机制，可根据不同的业务要求采用不同的安全措施，保证发生故障时不影响整个系统的正常运行。</w:t>
            </w:r>
          </w:p>
          <w:p w14:paraId="3C239B8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（6）不限注册课程数量和注册用户数，其中的网络课程可以实现按课程的导入、导出进行备份。</w:t>
            </w:r>
          </w:p>
          <w:p w14:paraId="0B3A2AD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（7）平台支持辅助教学、混合式教学、纯网络教学、直播课堂等多种网络教学模式。</w:t>
            </w:r>
          </w:p>
          <w:p w14:paraId="5D3C90D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（8）角色管理：可建立学生、教师、管理员、超级管理员等角色，各级管理员也可以根据自身的需求创建角色和为角色指定权限。</w:t>
            </w:r>
          </w:p>
          <w:p w14:paraId="11BA97D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2.课程建设服务</w:t>
            </w:r>
          </w:p>
          <w:p w14:paraId="0F6BFBE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（1）支持制作富媒体课程，选择不同的模板就可以建设慕课或精品课程的个性化课程网站。</w:t>
            </w:r>
          </w:p>
          <w:p w14:paraId="03F559F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（2）支持多套精美网络课程建课模板，教师可依据个人资料的丰富程度及喜欢的风格进行个性化的设置，支持教师在建课程自动生成课程网站。</w:t>
            </w:r>
          </w:p>
          <w:p w14:paraId="5906826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（3）支持课程创建者按周、课时自动生成课程章节，快速创建课程章节目录，也可以选择模板导入形式创建课程目录，提升建课效率。</w:t>
            </w:r>
          </w:p>
          <w:p w14:paraId="1F9AECF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课程负责人指派其他人作为具有同等或者小于本身课程建设管理权限的课程建设者共建同一门课程，也可为自己指定助教辅助自己进行课程建设和教学管理。并且可以对助教的权限进行设置，比如，是否允许查看成绩、允许管理作业、允许管理考试、允许管理论坛、允许发布通知、允许管理课程设置等。</w:t>
            </w:r>
          </w:p>
          <w:p w14:paraId="27A76E2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（5）视频上传与播放支持rmvb、3gp、mpg、mpeg、mov、wmv、avi、mkv、mp4、flv、vob、f4v等高清和网络格式，视频上传后自动转码，无需下载可以直接在线进行播放。</w:t>
            </w:r>
          </w:p>
          <w:p w14:paraId="1469D5A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（6）支持多种文档格式的上传，包括DOC、PPT、PDF等，上传后自动转码，无需下载可以直接在线阅读。</w:t>
            </w:r>
          </w:p>
          <w:p w14:paraId="1E8C06C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（7）支持2G以上文件上传，并可断点续传。</w:t>
            </w:r>
          </w:p>
          <w:p w14:paraId="48C8E50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（8）支持将资源先批量上传至个人课程空间云盘中，在课堂中引用。</w:t>
            </w:r>
          </w:p>
          <w:p w14:paraId="766BB1A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（9）支持视频中任意时间点插入测验：上传视频后，可以在任意时间点插入测试题，包含单选题、多选题和对错题。</w:t>
            </w:r>
          </w:p>
          <w:p w14:paraId="6668ABB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（10）平台需支持视频剪辑，只需要拖动视频播放的起始点、终止点，就可以将视频文件按照课程的要求剪辑成所需长度，方便教师编辑自己录制的视频。 </w:t>
            </w:r>
          </w:p>
          <w:p w14:paraId="7F6F3F4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（11）需提供可视化的公式编辑器，方便教师在线进行公式的录入与编辑。</w:t>
            </w:r>
          </w:p>
          <w:p w14:paraId="5F7F1F8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（12）教师端提供课程管理、班级管理、教师团队管理、助教管理、统计、考试及作业管理、课程通告管理等；提供当前学习过程实时监管；提供进度统计功能、成绩统计并支持报表导出。</w:t>
            </w:r>
          </w:p>
          <w:p w14:paraId="4601EDF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（13）上传教学视频可插入测验题、图片或PPT，插入的图片与ppt可随时更改位置。  </w:t>
            </w:r>
          </w:p>
          <w:p w14:paraId="1AB592D1">
            <w:pP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（14）支持根据关键词自动生成相关课程、参考书资源，插入到课程单元中，并能够查阅相关参考书等资料。</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投标文件中需提供软件功能截图</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 xml:space="preserve"> </w:t>
            </w:r>
          </w:p>
          <w:p w14:paraId="1375714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（15）支持在课程章节中插入直播教学，并可对观看人数进行统计，记录分数。</w:t>
            </w:r>
          </w:p>
          <w:p w14:paraId="38E8035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个人直播管理后台可对历史直播数据进行管理，支持查看直播观看地址、下载地址，观看记录，观看记录可查看观看总人数、pc观看次数及移动端观看次数，支持数据记录导出。支持课程管理，设置课程试读范围、克隆课程。</w:t>
            </w:r>
          </w:p>
          <w:p w14:paraId="79E1B1F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.作业与考试</w:t>
            </w:r>
          </w:p>
          <w:p w14:paraId="2829349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（1）具有从题库或以前的测验中随机生成新的试卷与作业的功能，教师可以对试卷和作业中的试题进行添加、修改、删除、任意排序、预览等功能，可以对试题设定分值，作业与试卷可多次重复使用。</w:t>
            </w:r>
          </w:p>
          <w:p w14:paraId="6E4308A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（2）作业需具备生生互评的功能，设为互评的作业，学生间对作业相互打分；支持设置互评指标、互评时间、学生间互评次数，学生互评批语字数限制。</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投标文件中需提供软件功能截图</w:t>
            </w:r>
            <w:r>
              <w:rPr>
                <w:rFonts w:hint="eastAsia" w:ascii="宋体" w:hAnsi="宋体" w:eastAsia="宋体" w:cs="宋体"/>
                <w:b/>
                <w:bCs/>
                <w:color w:val="auto"/>
                <w:sz w:val="21"/>
                <w:szCs w:val="21"/>
                <w:highlight w:val="none"/>
                <w:lang w:eastAsia="zh-CN"/>
              </w:rPr>
              <w:t>）</w:t>
            </w:r>
          </w:p>
          <w:p w14:paraId="15595B6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（3）支持进行作业查重，对于简答题、论述题等主观题，可进行班级内两两学生间比对查重。对于同一套作业，可以设置题目乱序，防止学生作弊，对于未提交作业的学生，可以进行督促，发放督促通知。</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投标文件中需提供软件功能截图</w:t>
            </w:r>
            <w:r>
              <w:rPr>
                <w:rFonts w:hint="eastAsia" w:ascii="宋体" w:hAnsi="宋体" w:eastAsia="宋体" w:cs="宋体"/>
                <w:b/>
                <w:bCs/>
                <w:color w:val="auto"/>
                <w:sz w:val="21"/>
                <w:szCs w:val="21"/>
                <w:highlight w:val="none"/>
                <w:lang w:eastAsia="zh-CN"/>
              </w:rPr>
              <w:t>）</w:t>
            </w:r>
          </w:p>
          <w:p w14:paraId="2FC8A6F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）为保障系统题库安全，题库建设者可为自己所负责的的题库设置安全口令，只有输入安全口令才能进入题库，避免因题库泄露导致考试事故的发生。</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投标文件中需提供软件功能截图</w:t>
            </w:r>
            <w:r>
              <w:rPr>
                <w:rFonts w:hint="eastAsia" w:ascii="宋体" w:hAnsi="宋体" w:eastAsia="宋体" w:cs="宋体"/>
                <w:b/>
                <w:bCs/>
                <w:color w:val="auto"/>
                <w:sz w:val="21"/>
                <w:szCs w:val="21"/>
                <w:highlight w:val="none"/>
                <w:lang w:eastAsia="zh-CN"/>
              </w:rPr>
              <w:t>）</w:t>
            </w:r>
          </w:p>
          <w:p w14:paraId="460A5BD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）需支持对组好的试卷可进行封存保管，对封存的试卷在考试前必须输入试卷密码才能开启试卷。</w:t>
            </w:r>
          </w:p>
          <w:p w14:paraId="21622B0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）支持自动随机组卷，组多套试卷时，可设置试卷试题重复率为0、不高于20%、不高于50%等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平台支持试卷导出功能，至少支持A3、A4、B4等版式。</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投标文件中需提供软件功能截图</w:t>
            </w:r>
            <w:r>
              <w:rPr>
                <w:rFonts w:hint="eastAsia" w:ascii="宋体" w:hAnsi="宋体" w:eastAsia="宋体" w:cs="宋体"/>
                <w:b/>
                <w:bCs/>
                <w:color w:val="auto"/>
                <w:sz w:val="21"/>
                <w:szCs w:val="21"/>
                <w:highlight w:val="none"/>
                <w:lang w:eastAsia="zh-CN"/>
              </w:rPr>
              <w:t>）</w:t>
            </w:r>
          </w:p>
          <w:p w14:paraId="162EBCC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）支持网页端、移动端、考试客户端独立考试。支持在线阅卷，阅卷教师可在线打分、写评语、如答案为图片，支持在图片上进行批注；可切换批阅方式，支持按人批阅或按题目批阅。</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投标文件中需提供软件功能截图</w:t>
            </w:r>
            <w:r>
              <w:rPr>
                <w:rFonts w:hint="eastAsia" w:ascii="宋体" w:hAnsi="宋体" w:eastAsia="宋体" w:cs="宋体"/>
                <w:b/>
                <w:bCs/>
                <w:color w:val="auto"/>
                <w:sz w:val="21"/>
                <w:szCs w:val="21"/>
                <w:highlight w:val="none"/>
                <w:lang w:eastAsia="zh-CN"/>
              </w:rPr>
              <w:t>）</w:t>
            </w:r>
          </w:p>
          <w:p w14:paraId="0344C59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）支持生成试卷分析报告，报告中需至少包含试卷难度、区分度统计，成绩正态分布，试卷信度等分析数据项。</w:t>
            </w:r>
          </w:p>
          <w:p w14:paraId="731C6B4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.统计督学</w:t>
            </w:r>
          </w:p>
          <w:p w14:paraId="4D74B3E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（1）支持查看一门课程的平均视频观看时长、最长观看时长及最短观看时长；可以按月份统计学生的访问情况。</w:t>
            </w:r>
          </w:p>
          <w:p w14:paraId="52892DB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对课程中的视频、作业、测验、在线时长等做权重设置，可以针对作业模块做细化到每一份作业的权重设置。可统计所有学生的各项成绩、综合成绩及排名。教师可以设置是否允许学生查看成绩。可以导入线下成绩，保证学生的成绩更加全面。</w:t>
            </w:r>
          </w:p>
          <w:p w14:paraId="3535928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（3）支持统计各类课堂活动的详细情况，包括发放次数、学生总体参与情况及详情，并支持一键导出。</w:t>
            </w:r>
          </w:p>
          <w:p w14:paraId="310DE97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（4）支持查看课程资源建设情况，资源基础统计数据、各资源类型分布及占比情况、各资源类型变化趋势情况。</w:t>
            </w:r>
          </w:p>
          <w:p w14:paraId="118A36F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（5）根据课程统计数据，可设置一键筛选出视频分数、测验分数、作业分数、讨论数、阅读时长等各类学习指标低于设定值的学生，一键督促，学生将收到督促通知。</w:t>
            </w:r>
          </w:p>
          <w:p w14:paraId="5740FF7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.移动端</w:t>
            </w:r>
          </w:p>
          <w:p w14:paraId="590236B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（1）具有移动客户端，支持iOS和Android操作系统，用于手机、Pad等智能移动终端实现在线移动学习。</w:t>
            </w:r>
          </w:p>
          <w:p w14:paraId="4F327F0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（2）PC端与移动端的学习进度保持同步，学生在任何终端上，都可以实现学习记录的持续性，系统也可对任何终端的学习行为进行监控。</w:t>
            </w:r>
          </w:p>
          <w:p w14:paraId="2EC8B75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（3）教师备课：教师可以在移动端的活动库中，设置移动教案。按照教学计划，教师可提前在上面组织教学内容，有序安排资料推送、签到、问答、抢答、投票等教学活动，方便课堂发放并易于复用。</w:t>
            </w:r>
          </w:p>
          <w:p w14:paraId="17E8D45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（4）支持学生通过扫描班级二维码进入班级。</w:t>
            </w:r>
          </w:p>
          <w:p w14:paraId="5F6BB67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（5）教师轻松通过投屏进行签到、选人、抢答等教学环节，并能直接在投屏上展示结果数据。</w:t>
            </w:r>
          </w:p>
          <w:p w14:paraId="3CD4928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（6）支持不借助任何第三方投屏软件，通过移动端投屏功能把移动端图片、文档、课程相关图片、视频资源直接在投在电脑屏幕上展示。</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投标文件中需提供软件功能截图</w:t>
            </w:r>
            <w:r>
              <w:rPr>
                <w:rFonts w:hint="eastAsia" w:ascii="宋体" w:hAnsi="宋体" w:eastAsia="宋体" w:cs="宋体"/>
                <w:b/>
                <w:bCs/>
                <w:color w:val="auto"/>
                <w:sz w:val="21"/>
                <w:szCs w:val="21"/>
                <w:highlight w:val="none"/>
                <w:lang w:eastAsia="zh-CN"/>
              </w:rPr>
              <w:t>）</w:t>
            </w:r>
          </w:p>
          <w:p w14:paraId="185A53C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（7）支持强大PPT演示功能，PPT投屏演示保留动画效果，播放流畅。PPT文件来源多种渠道，可以从云盘中直接调取，可以通过电脑端把文件直接发送至移动端，提高资源展示的便捷性。</w:t>
            </w:r>
          </w:p>
          <w:p w14:paraId="307D653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（8）需支持电脑端与手机端发起课程直播，学生可通过电脑与手机观看课程直播，并且直播要支持回看。</w:t>
            </w:r>
          </w:p>
          <w:p w14:paraId="0EBE0B3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（9）支持在个人云盘中调取ppt，直接打开上课。 </w:t>
            </w:r>
          </w:p>
        </w:tc>
        <w:tc>
          <w:tcPr>
            <w:tcW w:w="685" w:type="dxa"/>
            <w:shd w:val="clear" w:color="auto" w:fill="auto"/>
            <w:vAlign w:val="center"/>
          </w:tcPr>
          <w:p w14:paraId="7B3A52AA">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19" w:type="dxa"/>
            <w:shd w:val="clear" w:color="auto" w:fill="auto"/>
            <w:vAlign w:val="center"/>
          </w:tcPr>
          <w:p w14:paraId="737D2C49">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r>
      <w:tr w14:paraId="340D3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39" w:type="dxa"/>
            <w:shd w:val="clear" w:color="auto" w:fill="auto"/>
            <w:vAlign w:val="center"/>
          </w:tcPr>
          <w:p w14:paraId="363B0E12">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505" w:type="dxa"/>
            <w:shd w:val="clear" w:color="auto" w:fill="auto"/>
            <w:vAlign w:val="center"/>
          </w:tcPr>
          <w:p w14:paraId="60E3DA9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w:t>
            </w:r>
            <w:r>
              <w:rPr>
                <w:rFonts w:hint="eastAsia" w:ascii="宋体" w:hAnsi="宋体" w:eastAsia="宋体" w:cs="宋体"/>
                <w:color w:val="auto"/>
                <w:sz w:val="21"/>
                <w:szCs w:val="21"/>
                <w:highlight w:val="none"/>
                <w:lang w:val="en-US" w:eastAsia="zh-CN"/>
              </w:rPr>
              <w:t>推广</w:t>
            </w:r>
            <w:r>
              <w:rPr>
                <w:rFonts w:hint="eastAsia" w:ascii="宋体" w:hAnsi="宋体" w:eastAsia="宋体" w:cs="宋体"/>
                <w:color w:val="auto"/>
                <w:sz w:val="21"/>
                <w:szCs w:val="21"/>
                <w:highlight w:val="none"/>
              </w:rPr>
              <w:t>服务</w:t>
            </w:r>
          </w:p>
          <w:p w14:paraId="104056C6">
            <w:pPr>
              <w:rPr>
                <w:rFonts w:hint="eastAsia" w:ascii="宋体" w:hAnsi="宋体" w:eastAsia="宋体" w:cs="宋体"/>
                <w:color w:val="auto"/>
                <w:sz w:val="21"/>
                <w:szCs w:val="21"/>
                <w:highlight w:val="none"/>
              </w:rPr>
            </w:pPr>
          </w:p>
        </w:tc>
        <w:tc>
          <w:tcPr>
            <w:tcW w:w="6102" w:type="dxa"/>
            <w:shd w:val="clear" w:color="auto" w:fill="auto"/>
            <w:vAlign w:val="center"/>
          </w:tcPr>
          <w:p w14:paraId="55186B5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课程上线到平台上后，供应商需免费提供课程两年的推广和维护服务，具体要求如下：投标人能够支持校内教学和校外课程共享推广，投标人具有网络教学或慕课平台，对所拍摄的课程进行免费的日常教学、运营和推广服务。</w:t>
            </w:r>
          </w:p>
          <w:p w14:paraId="241CEA4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（2）根据教育部文件要求，为保护学校教学数据及师生用户信息安全，平台需符合国家信息络安全等级保护，具有有效期内的信息系统安全等级保护三级及以上证书。（注：投标人或须提供平台相关资质证明）</w:t>
            </w:r>
          </w:p>
          <w:p w14:paraId="689CCBD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平台方保证课程上线教育部认定的在线开放平台，上线课程平台需符合申报国家线上金课评审标准。</w:t>
            </w:r>
          </w:p>
          <w:p w14:paraId="4C49FD42">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4）课程从建设至运行申报省/国家级课程项目环节提供不低于三轮的专家指导，专家级别为评委级或具备国家级课程申报成功经验。</w:t>
            </w:r>
            <w:r>
              <w:rPr>
                <w:rFonts w:hint="eastAsia" w:ascii="宋体" w:hAnsi="宋体" w:eastAsia="宋体" w:cs="宋体"/>
                <w:b/>
                <w:bCs/>
                <w:color w:val="auto"/>
                <w:sz w:val="21"/>
                <w:szCs w:val="21"/>
                <w:highlight w:val="none"/>
                <w:lang w:val="en-US" w:eastAsia="zh-CN"/>
              </w:rPr>
              <w:t>（投标文件中需提供相应承诺函）</w:t>
            </w:r>
          </w:p>
        </w:tc>
        <w:tc>
          <w:tcPr>
            <w:tcW w:w="685" w:type="dxa"/>
            <w:shd w:val="clear" w:color="auto" w:fill="auto"/>
            <w:vAlign w:val="center"/>
          </w:tcPr>
          <w:p w14:paraId="0CEE88C6">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19" w:type="dxa"/>
            <w:shd w:val="clear" w:color="auto" w:fill="auto"/>
            <w:vAlign w:val="center"/>
          </w:tcPr>
          <w:p w14:paraId="06B66762">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r>
      <w:tr w14:paraId="33850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50" w:type="dxa"/>
            <w:gridSpan w:val="5"/>
            <w:shd w:val="clear" w:color="auto" w:fill="auto"/>
            <w:vAlign w:val="center"/>
          </w:tcPr>
          <w:p w14:paraId="576782C3">
            <w:pPr>
              <w:spacing w:after="156"/>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三、服务及其它相关要求</w:t>
            </w:r>
          </w:p>
        </w:tc>
      </w:tr>
      <w:tr w14:paraId="0117A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39" w:type="dxa"/>
            <w:shd w:val="clear" w:color="auto" w:fill="auto"/>
            <w:vAlign w:val="center"/>
          </w:tcPr>
          <w:p w14:paraId="264DF533">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505" w:type="dxa"/>
            <w:shd w:val="clear" w:color="auto" w:fill="auto"/>
            <w:vAlign w:val="center"/>
          </w:tcPr>
          <w:p w14:paraId="7AA54ED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服务及其它相关要求</w:t>
            </w:r>
          </w:p>
        </w:tc>
        <w:tc>
          <w:tcPr>
            <w:tcW w:w="6102" w:type="dxa"/>
            <w:shd w:val="clear" w:color="auto" w:fill="auto"/>
            <w:vAlign w:val="center"/>
          </w:tcPr>
          <w:p w14:paraId="5104459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技术支持和售后服务</w:t>
            </w:r>
          </w:p>
          <w:p w14:paraId="618CFD3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（1）中标人提供课程资源目录说明文档、课程基本资源文件、课程片花文件、字幕文件、课外资料、习题以及如何使用上述资源的手册等技术资料。</w:t>
            </w:r>
          </w:p>
          <w:p w14:paraId="74205500">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（2）中标人应提供从验收合格之日起，至少三年的免费全保。在保修期内，课程内容如有故障、更新，中标人接到用户保修电话后，须在两小时内排除故障及给出更新方案</w:t>
            </w:r>
            <w:r>
              <w:rPr>
                <w:rFonts w:hint="eastAsia" w:ascii="宋体" w:hAnsi="宋体" w:eastAsia="宋体" w:cs="宋体"/>
                <w:color w:val="auto"/>
                <w:sz w:val="21"/>
                <w:szCs w:val="21"/>
                <w:highlight w:val="none"/>
                <w:lang w:eastAsia="zh-CN"/>
              </w:rPr>
              <w:t>。</w:t>
            </w:r>
          </w:p>
          <w:p w14:paraId="48ACB4F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课程上线平台后，供应商需针对参与资源建设的教师提供平台使用培训，确保熟练使用平台的功能</w:t>
            </w:r>
            <w:r>
              <w:rPr>
                <w:rFonts w:hint="eastAsia" w:ascii="宋体" w:hAnsi="宋体" w:eastAsia="宋体" w:cs="宋体"/>
                <w:color w:val="auto"/>
                <w:sz w:val="21"/>
                <w:szCs w:val="21"/>
                <w:highlight w:val="none"/>
              </w:rPr>
              <w:t>。</w:t>
            </w:r>
          </w:p>
          <w:p w14:paraId="61F1E27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2、课程制作数量要求</w:t>
            </w:r>
          </w:p>
          <w:p w14:paraId="0DB1B50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滁州</w:t>
            </w:r>
            <w:r>
              <w:rPr>
                <w:rFonts w:hint="eastAsia" w:ascii="宋体" w:hAnsi="宋体" w:eastAsia="宋体" w:cs="宋体"/>
                <w:color w:val="auto"/>
                <w:sz w:val="21"/>
                <w:szCs w:val="21"/>
                <w:highlight w:val="none"/>
              </w:rPr>
              <w:t>职业技术学院</w:t>
            </w:r>
            <w:r>
              <w:rPr>
                <w:rFonts w:hint="eastAsia" w:ascii="宋体" w:hAnsi="宋体" w:eastAsia="宋体" w:cs="宋体"/>
                <w:color w:val="auto"/>
                <w:sz w:val="21"/>
                <w:szCs w:val="21"/>
                <w:highlight w:val="none"/>
                <w:lang w:val="en-US" w:eastAsia="zh-CN"/>
              </w:rPr>
              <w:t>《智能网联汽车》、《工厂电气控制技术》、《光伏电池及组件加工技术》3</w:t>
            </w:r>
            <w:r>
              <w:rPr>
                <w:rFonts w:hint="eastAsia" w:ascii="宋体" w:hAnsi="宋体" w:eastAsia="宋体" w:cs="宋体"/>
                <w:color w:val="auto"/>
                <w:sz w:val="21"/>
                <w:szCs w:val="21"/>
                <w:highlight w:val="none"/>
              </w:rPr>
              <w:t>门智慧课程建设服务项目，现招标服务分为视频拍摄及后期处理两部分，其中制作课程视频个数根据学校实际要求确定，每门课程视频编辑完成后成片总时长≥</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0分钟。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具体时长以教师团队实际需求为准</w:t>
            </w:r>
            <w:r>
              <w:rPr>
                <w:rFonts w:hint="eastAsia" w:ascii="宋体" w:hAnsi="宋体" w:eastAsia="宋体" w:cs="宋体"/>
                <w:color w:val="auto"/>
                <w:sz w:val="21"/>
                <w:szCs w:val="21"/>
                <w:highlight w:val="none"/>
                <w:lang w:eastAsia="zh-CN"/>
              </w:rPr>
              <w:t>）</w:t>
            </w:r>
          </w:p>
        </w:tc>
        <w:tc>
          <w:tcPr>
            <w:tcW w:w="685" w:type="dxa"/>
            <w:shd w:val="clear" w:color="auto" w:fill="auto"/>
            <w:vAlign w:val="center"/>
          </w:tcPr>
          <w:p w14:paraId="78500622">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19" w:type="dxa"/>
            <w:shd w:val="clear" w:color="auto" w:fill="auto"/>
            <w:vAlign w:val="center"/>
          </w:tcPr>
          <w:p w14:paraId="19FDB4A1">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r>
    </w:tbl>
    <w:p w14:paraId="707D61B7">
      <w:pPr>
        <w:spacing w:line="360" w:lineRule="auto"/>
        <w:ind w:firstLine="435"/>
        <w:rPr>
          <w:rFonts w:hint="eastAsia" w:ascii="宋体" w:hAnsi="宋体" w:eastAsia="宋体" w:cs="宋体"/>
          <w:b/>
          <w:bCs/>
          <w:color w:val="auto"/>
          <w:sz w:val="24"/>
          <w:szCs w:val="24"/>
          <w:highlight w:val="none"/>
          <w:lang w:val="en-US" w:eastAsia="zh-CN"/>
        </w:rPr>
      </w:pPr>
    </w:p>
    <w:p w14:paraId="75C629EA">
      <w:pPr>
        <w:spacing w:line="360" w:lineRule="auto"/>
        <w:ind w:firstLine="435"/>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第2包：</w:t>
      </w:r>
    </w:p>
    <w:p w14:paraId="11D1CA8D">
      <w:pPr>
        <w:spacing w:line="360" w:lineRule="auto"/>
        <w:ind w:firstLine="435"/>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二、项目概述</w:t>
      </w:r>
    </w:p>
    <w:p w14:paraId="7BB53315">
      <w:pPr>
        <w:spacing w:line="360" w:lineRule="auto"/>
        <w:ind w:firstLine="43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为深入贯彻党的二十大精神，落实中共中央办公厅、国务院办公厅印发的《关于深化现代职业教育体系建设改革的意见》的重点任务中要求适应职业教育数字化转型趋势和变革要求，加快构建校省国家三级中职高职全覆盖的职业教育专业教学资源共建共享体系。现针对滁州职业技术学院机械与汽车工程学院《数控加工技术》精品课程建设进行招标。</w:t>
      </w:r>
    </w:p>
    <w:p w14:paraId="71F6C5E2">
      <w:pPr>
        <w:spacing w:line="360" w:lineRule="auto"/>
        <w:ind w:firstLine="43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主要建设内容为《数控加工技术》精品课程建设，精品课程建设包含理论知识资源建设，实践实操资源建设，二维动画建设，三维动画建设。课程建设具体要求如下。</w:t>
      </w:r>
    </w:p>
    <w:p w14:paraId="070190F7">
      <w:pPr>
        <w:spacing w:line="360" w:lineRule="auto"/>
        <w:ind w:firstLine="43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三、采购需求</w:t>
      </w:r>
    </w:p>
    <w:tbl>
      <w:tblPr>
        <w:tblStyle w:val="25"/>
        <w:tblpPr w:leftFromText="180" w:rightFromText="180" w:vertAnchor="text" w:horzAnchor="page" w:tblpX="1257" w:tblpY="453"/>
        <w:tblOverlap w:val="never"/>
        <w:tblW w:w="9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20"/>
        <w:gridCol w:w="6102"/>
        <w:gridCol w:w="685"/>
        <w:gridCol w:w="719"/>
      </w:tblGrid>
      <w:tr w14:paraId="69506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77" w:type="dxa"/>
            <w:shd w:val="clear" w:color="auto" w:fill="auto"/>
            <w:vAlign w:val="center"/>
          </w:tcPr>
          <w:p w14:paraId="5733F8D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20" w:type="dxa"/>
            <w:shd w:val="clear" w:color="auto" w:fill="auto"/>
            <w:vAlign w:val="center"/>
          </w:tcPr>
          <w:p w14:paraId="391440C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服务</w:t>
            </w:r>
            <w:r>
              <w:rPr>
                <w:rFonts w:hint="eastAsia" w:ascii="宋体" w:hAnsi="宋体" w:eastAsia="宋体" w:cs="宋体"/>
                <w:b/>
                <w:bCs/>
                <w:color w:val="auto"/>
                <w:sz w:val="21"/>
                <w:szCs w:val="21"/>
                <w:highlight w:val="none"/>
              </w:rPr>
              <w:t>名称</w:t>
            </w:r>
          </w:p>
        </w:tc>
        <w:tc>
          <w:tcPr>
            <w:tcW w:w="6102" w:type="dxa"/>
            <w:shd w:val="clear" w:color="auto" w:fill="auto"/>
            <w:vAlign w:val="center"/>
          </w:tcPr>
          <w:p w14:paraId="509BA33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技术</w:t>
            </w:r>
            <w:r>
              <w:rPr>
                <w:rFonts w:hint="eastAsia" w:ascii="宋体" w:hAnsi="宋体" w:eastAsia="宋体" w:cs="宋体"/>
                <w:b/>
                <w:bCs/>
                <w:color w:val="auto"/>
                <w:sz w:val="21"/>
                <w:szCs w:val="21"/>
                <w:highlight w:val="none"/>
              </w:rPr>
              <w:t>参数</w:t>
            </w:r>
          </w:p>
        </w:tc>
        <w:tc>
          <w:tcPr>
            <w:tcW w:w="685" w:type="dxa"/>
            <w:shd w:val="clear" w:color="auto" w:fill="auto"/>
            <w:vAlign w:val="center"/>
          </w:tcPr>
          <w:p w14:paraId="53B0503F">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719" w:type="dxa"/>
            <w:shd w:val="clear" w:color="auto" w:fill="auto"/>
            <w:vAlign w:val="center"/>
          </w:tcPr>
          <w:p w14:paraId="7287CF0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r>
      <w:tr w14:paraId="796C8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77" w:type="dxa"/>
            <w:shd w:val="clear" w:color="auto" w:fill="auto"/>
            <w:vAlign w:val="center"/>
          </w:tcPr>
          <w:p w14:paraId="7D59C27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320" w:type="dxa"/>
            <w:shd w:val="clear" w:color="auto" w:fill="auto"/>
            <w:vAlign w:val="center"/>
          </w:tcPr>
          <w:p w14:paraId="754FFE46">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（一）课程资源建设</w:t>
            </w:r>
          </w:p>
        </w:tc>
        <w:tc>
          <w:tcPr>
            <w:tcW w:w="6102" w:type="dxa"/>
            <w:shd w:val="clear" w:color="auto" w:fill="auto"/>
            <w:vAlign w:val="center"/>
          </w:tcPr>
          <w:p w14:paraId="0FC6439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685" w:type="dxa"/>
            <w:shd w:val="clear" w:color="auto" w:fill="auto"/>
            <w:vAlign w:val="center"/>
          </w:tcPr>
          <w:p w14:paraId="1C1BC05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19" w:type="dxa"/>
            <w:shd w:val="clear" w:color="auto" w:fill="auto"/>
            <w:vAlign w:val="center"/>
          </w:tcPr>
          <w:p w14:paraId="31C653A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E86F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77" w:type="dxa"/>
            <w:shd w:val="clear" w:color="auto" w:fill="auto"/>
            <w:vAlign w:val="center"/>
          </w:tcPr>
          <w:p w14:paraId="2667A96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20" w:type="dxa"/>
            <w:shd w:val="clear" w:color="auto" w:fill="auto"/>
            <w:vAlign w:val="center"/>
          </w:tcPr>
          <w:p w14:paraId="432397C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课程清单</w:t>
            </w:r>
          </w:p>
        </w:tc>
        <w:tc>
          <w:tcPr>
            <w:tcW w:w="6102" w:type="dxa"/>
            <w:shd w:val="clear" w:color="auto" w:fill="auto"/>
            <w:vAlign w:val="center"/>
          </w:tcPr>
          <w:p w14:paraId="5E0142A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本项目需要建设</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门线上课程资源，</w:t>
            </w:r>
            <w:r>
              <w:rPr>
                <w:rFonts w:hint="eastAsia" w:ascii="宋体" w:hAnsi="宋体" w:eastAsia="宋体" w:cs="宋体"/>
                <w:color w:val="auto"/>
                <w:sz w:val="21"/>
                <w:szCs w:val="21"/>
                <w:highlight w:val="none"/>
                <w:lang w:val="en-US" w:eastAsia="zh-CN"/>
              </w:rPr>
              <w:t>《数控加工技术》</w:t>
            </w:r>
          </w:p>
        </w:tc>
        <w:tc>
          <w:tcPr>
            <w:tcW w:w="685" w:type="dxa"/>
            <w:shd w:val="clear" w:color="auto" w:fill="auto"/>
            <w:vAlign w:val="center"/>
          </w:tcPr>
          <w:p w14:paraId="7906E129">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19" w:type="dxa"/>
            <w:shd w:val="clear" w:color="auto" w:fill="auto"/>
            <w:vAlign w:val="center"/>
          </w:tcPr>
          <w:p w14:paraId="7899328D">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门</w:t>
            </w:r>
          </w:p>
        </w:tc>
      </w:tr>
      <w:tr w14:paraId="77F65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77" w:type="dxa"/>
            <w:shd w:val="clear" w:color="auto" w:fill="auto"/>
            <w:vAlign w:val="center"/>
          </w:tcPr>
          <w:p w14:paraId="4E62492E">
            <w:pPr>
              <w:spacing w:after="156"/>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1320" w:type="dxa"/>
            <w:shd w:val="clear" w:color="auto" w:fill="auto"/>
            <w:vAlign w:val="center"/>
          </w:tcPr>
          <w:p w14:paraId="182B50B8">
            <w:pPr>
              <w:spacing w:after="156" w:line="24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课程拍摄及制作要求</w:t>
            </w:r>
          </w:p>
        </w:tc>
        <w:tc>
          <w:tcPr>
            <w:tcW w:w="6102" w:type="dxa"/>
            <w:shd w:val="clear" w:color="auto" w:fill="auto"/>
            <w:vAlign w:val="center"/>
          </w:tcPr>
          <w:p w14:paraId="5E290254">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本次招标建设课程，每门课程实际制作的资源数量以最终的课程建设方案为准。课程制作内容须满足教育部《2022年职业教育在线精品课程观测指标》要求。</w:t>
            </w:r>
          </w:p>
          <w:p w14:paraId="138595F5">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在线开放课程的制作主要包括以下三个部分：</w:t>
            </w:r>
          </w:p>
          <w:p w14:paraId="76B4A502">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1.片头与片尾</w:t>
            </w:r>
          </w:p>
          <w:p w14:paraId="29079AF5">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能根据每个课程的内容提供片头片尾案例策划不少 2套。时长约10秒，包含学校 LOGO、课程名称、讲次、主讲教师姓名、专业技术职务、单位等信息。</w:t>
            </w:r>
          </w:p>
          <w:p w14:paraId="0DF350A9">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2.课程概述</w:t>
            </w:r>
          </w:p>
          <w:p w14:paraId="7BB08471">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内容：时长3分钟左右，要求能够较充分的反映课程的主要内容概况，集、形、声、色、动态于一体，生动直观、易于接受、感染力强、形式新颖、生动有趣、富有新意。含基本信息、课程设计、课程建设、课程实施、教学环 境、教学效果和特色创新之处等。在线开放课程名称与《专业人才培养方案》 中的课程名称一致；课程目标定位符合专业教学标准、课程标准要求，课程使用的教材符合《职业院校教材管理办法》。</w:t>
            </w:r>
          </w:p>
          <w:p w14:paraId="2F56038A">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（2）技术要求：分辨率720P 以上，MP4格式，图像清晰稳定、声音清楚。语言及字幕为国家通用语言文字。</w:t>
            </w:r>
          </w:p>
          <w:p w14:paraId="0DC4BF52">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3.知识点单元</w:t>
            </w:r>
          </w:p>
          <w:p w14:paraId="2B575FDE">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一个知识点单元包含视频资源和非视频资源两部分。</w:t>
            </w:r>
          </w:p>
          <w:p w14:paraId="687E8186">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知识点单元的基本教学资源指能反映课程教学设计特点、教学内容、教学 方法、教学过程的核心资源，须按照课程视频、非视频课程资料（课件、图形/ 图像素材、音频素材等）、课程习题、课程讨论题目、内容介绍、教学互动习题 等能反映教学活动必需的资源来组织。</w:t>
            </w:r>
          </w:p>
          <w:p w14:paraId="69A09B66">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（1）视频单元（约5-15分钟/单元）</w:t>
            </w:r>
          </w:p>
          <w:p w14:paraId="77407EBF">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视频单元包括音频、视频和字幕，根据课程内容设计情况，每个视频单元 又可分为一至多个片段。每个课时的视频单元大致为 5-15 分钟。视频与 PPT、动画等画面之间应根据教学团队建课需要作适当切换，以最优方式呈现画面。人物出镜讲解或 PPT 画面文字应有适当的包装，增加画面的趣味性。</w:t>
            </w:r>
          </w:p>
          <w:p w14:paraId="079B64F5">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（2）非视频单元</w:t>
            </w:r>
          </w:p>
          <w:p w14:paraId="527827F6">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供应商协助教师团队制作与课程相关的数字教学资源。包括电子教案、ppt、教学标准、微课视频、课堂笔记、测验题和讨论主题等。</w:t>
            </w:r>
          </w:p>
          <w:p w14:paraId="24880682">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（3）动画制作</w:t>
            </w:r>
          </w:p>
          <w:p w14:paraId="195E6219">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供应商根据课程建设需要进行必要的二维三维动画的设计。要求达到制作高清， 画面排版精致，图像清晰，色彩饱和，播放流畅，声音清楚，制作精细，吸引力强，激发学习兴趣。</w:t>
            </w:r>
          </w:p>
          <w:p w14:paraId="5605E21B">
            <w:pP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供应商有各类动画课件开发的经验，能进行二维、三维、虚拟仿真动画的开发。</w:t>
            </w:r>
          </w:p>
          <w:p w14:paraId="3F0C3C0C">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（二）在线课程制作技术要求</w:t>
            </w:r>
          </w:p>
          <w:p w14:paraId="2917FB23">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1.视频制作部分</w:t>
            </w:r>
          </w:p>
          <w:p w14:paraId="691D412E">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（1）拍摄形式及设备要求：要求4K高清相机（或摄像机）拍摄。操作性课程需要配备摇臂、导轨等拍摄设备。拍摄配置单反镜头：24mm-70mm 常规镜头。</w:t>
            </w:r>
          </w:p>
          <w:p w14:paraId="18B21FC6">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（2）拍摄场景选择：根据拍摄形式选择在摄影棚、专业录播室、教学触摸 一体机、实景场地、休息室或纯色背景前拍摄。与课程内容相关的实践、生产、 经营类知识点建议以实景拍摄为主，但需保证录制现场光线充足、环境安静、整洁，避免在镜头中出现有广告嫌疑或与课程无关的标识等内容。</w:t>
            </w:r>
          </w:p>
          <w:p w14:paraId="65CC0A3C">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（3）视频构图、配色：画面构图要求构图合理，画面主体突出。除了普通 的出镜讲解之外，与课程内容相符合的教具实拍、实验实拍、抠像动画、抠像 PPT、虚拟背景等形式，更要满足画面的主体与构图合理，内容与教学目标相吻合。</w:t>
            </w:r>
          </w:p>
          <w:p w14:paraId="5D6307E4">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微课的背景配色要求与课程内容相匹配，可以是彩色喷绘、电脑虚拟或现 场实景等背景。背景的颜色、图案不易过多，保持静态，画面简洁、明快，利于营造好的学习气氛。</w:t>
            </w:r>
          </w:p>
          <w:p w14:paraId="1A8AC9B0">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课程声音效果：（a）声音和画面同步。（b）双声道。（c）声音无明显失真、无明显噪音、回声或其它杂音，无音量忽大忽小现象。（d）伴音清晰、饱满、圆润，解说声与现场声无明显比例失调，解说声与背景音乐无明显比例 失调。（e）背景音乐需要与课程学习想匹配，与教师声音、配音以及其他音频 资料，整体和谐；（f）无其它声音质量问题。</w:t>
            </w:r>
          </w:p>
          <w:p w14:paraId="0845737A">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（5）视频编码方式：视频压缩采用 H.264/AVC 编码方式，封装格式采用MP4。</w:t>
            </w:r>
          </w:p>
          <w:p w14:paraId="792F4E0C">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（6）视频分辨率：画面宽高比 16:9，分辨率不低于 1280×720，建议采用 1920×1080 分辨率，单个文件体积不大于 800M。</w:t>
            </w:r>
          </w:p>
          <w:p w14:paraId="64941699">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（7）视频码率：码率不低于 5Mbps，建议采用 8Mbps 码率。（bps：每秒比特数）</w:t>
            </w:r>
          </w:p>
          <w:p w14:paraId="64B7E0DB">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（8）视频帧率：PAL 制，25 帧/秒，扫描方式为逐行扫描。</w:t>
            </w:r>
          </w:p>
          <w:p w14:paraId="115CE881">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（9）图像效果：（a）图像不过亮、过暗；（b）人、物移动时无拖影、耀光 现象；（c）图像无抖动跳跃，色彩无突变，编辑点处图像稳定，画面剪辑衔接 自然，无空白帧。（d）白平衡正确，无明显偏色。（e）无其它图像质量问题。</w:t>
            </w:r>
          </w:p>
          <w:p w14:paraId="4AADF0DB">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（10）音频编码：采用高级音频编码 AAC（Advanced Audio Coding）。</w:t>
            </w:r>
          </w:p>
          <w:p w14:paraId="4EEECB27">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（11）音频采样率：不低于 48KHz。</w:t>
            </w:r>
          </w:p>
          <w:p w14:paraId="57948878">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（12）音频码流率：建议不低于 128Kbps。</w:t>
            </w:r>
          </w:p>
          <w:p w14:paraId="31FC989E">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（13）音频信噪比不低于48db。</w:t>
            </w:r>
          </w:p>
          <w:p w14:paraId="281696C9">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（14）视频素材：用于课程的视频、图片等资料应选用高质量、清晰的， 尽量与课程视频分辨率相匹配。若用 PPT作为素材的，注意 PPT 的宽高比应设置为16:9，排版美观，画面和谐精美。</w:t>
            </w:r>
          </w:p>
          <w:p w14:paraId="3AF16680">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（15）动画文字：后期制作的动画、显示的文字，不能出现错误，同一门课程中字体风格一致。</w:t>
            </w:r>
          </w:p>
          <w:p w14:paraId="584A6158">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（16）片头：（a）片头需要原创，建议片头长度不超过 10 秒。一个教学单 元内，如果有多个视频，建议仅在第一个视频加片头，可在每个视频后加片尾。</w:t>
            </w:r>
          </w:p>
          <w:p w14:paraId="514A760E">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（b）片头建议包含我校特色素材，体现我校相应课程特色。（c）片头出现的学 校 LOGO、名字等素材不能失真、变形。</w:t>
            </w:r>
          </w:p>
          <w:p w14:paraId="779FEFA6">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（17）视频长度：建议单个视频长度为 5-15 分钟，原则上最长不超过20分钟。</w:t>
            </w:r>
          </w:p>
          <w:p w14:paraId="31BD9D8E">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2.字幕（唱词）制作部分</w:t>
            </w:r>
          </w:p>
          <w:p w14:paraId="1EF824F7">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（1）文件格式：SRT 封装格式，UTF-8 编码，每个视频文件对应独立的 SRT 文件。</w:t>
            </w:r>
          </w:p>
          <w:p w14:paraId="51EC491A">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（2）唱词的行数、字数要求：每屏只有一行唱词，每行不超过 20 个字。</w:t>
            </w:r>
          </w:p>
          <w:p w14:paraId="7DF74A5E">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（3）唱词的断句：不能简单按照字数断句，以内容为断句依据。</w:t>
            </w:r>
          </w:p>
          <w:p w14:paraId="545A7B66">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（4）唱词时间轴对应：唱词文字出现的时间与视频声音一致。</w:t>
            </w:r>
          </w:p>
          <w:p w14:paraId="333F8284">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（5）唱词的文字内容：唱词文字要使用符合国家标准的规范字，除特殊情 况下不出现繁体字、异体字、错别字。唱词文字错误率不能超过1%。</w:t>
            </w:r>
          </w:p>
          <w:p w14:paraId="59D08DC6">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（6）唱词中的标点符号：只有书名号及书名号中的标点、间隔号、连接号、 具有特殊含意的词语的引号可以出现在唱词中，在每屏唱词中用空格（半角）代替标点表示语气停顿。</w:t>
            </w:r>
          </w:p>
          <w:p w14:paraId="53752286">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（7）唱词中的数学公式、化学分子式、物理量和单位，尽量以文本文字呈 现；不宜用文本文字呈现的且在视频画面中已经通过 PPT、板书等方式显示清 楚的，可以不加该行唱词。</w:t>
            </w:r>
          </w:p>
          <w:p w14:paraId="2584DBC9">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(8)唱词文字：一般情况下使用中文字幕，有特殊需求的课程（双语课 程等），除制作中文唱词外，还需制作英文唱词。</w:t>
            </w:r>
          </w:p>
          <w:p w14:paraId="05DD6580">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（9）多语种唱词应用多个 SRT 文件封装（如中英文双唱词，应配 1 个中文 SRT 文件和 1 个英文 SRT 文件）。</w:t>
            </w:r>
          </w:p>
          <w:p w14:paraId="00D14C53">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3.教学资源部分</w:t>
            </w:r>
          </w:p>
          <w:p w14:paraId="331CE093">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（1）文本文档：一般情况下可使用 DOC、DOCX,PDF，PPT、PPTX 等常用存储格式，建议使用 PDF 文本格式。</w:t>
            </w:r>
          </w:p>
          <w:p w14:paraId="231EF276">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（2）图形图像文件：一般情况下使用 JPG，PNG，BMP，TIF 和 GIF 等常用 格式，建议彩色图像颜色位深度不低于 24 位（真彩色），灰度图像灰度级不低于256 级，图片内容清晰可辨，无明显的模糊。单个文件不大于 10M。</w:t>
            </w:r>
          </w:p>
          <w:p w14:paraId="091DC0B2">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（3）音频文件：MP3 作为音频存储格式，原则上要求音频采样频率不低于22.05KHz，量化位数不小于 8 位，音频码率不低于 128Kbps；音频播放流畅，双声道，声音清晰，噪音低，回响小，无失真。</w:t>
            </w:r>
          </w:p>
          <w:p w14:paraId="6AE3DDD1">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资源交付量</w:t>
            </w:r>
          </w:p>
          <w:p w14:paraId="3DFF21DF">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视频资源交付量：每门课程不低于300分钟（具体以教师课程实际需求量为准）</w:t>
            </w:r>
          </w:p>
          <w:p w14:paraId="2B0657E7">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动画资源交付量：每门课程不低于10个（具体以教师课程实际需求量为准）</w:t>
            </w:r>
          </w:p>
          <w:p w14:paraId="3B5D7A81">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PPT美化：以课程教师实际课件需求量为准</w:t>
            </w:r>
          </w:p>
          <w:p w14:paraId="30784FD3">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三维动画制作量：不低于60秒不超过100秒（具体以教师课程实际需求量为准）</w:t>
            </w:r>
          </w:p>
          <w:p w14:paraId="3637B3AB">
            <w:pPr>
              <w:pStyle w:val="76"/>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三维动画制作要求</w:t>
            </w:r>
            <w:r>
              <w:rPr>
                <w:rFonts w:hint="eastAsia" w:hAnsi="宋体" w:cs="宋体"/>
                <w:color w:val="auto"/>
                <w:sz w:val="21"/>
                <w:szCs w:val="21"/>
                <w:highlight w:val="none"/>
                <w:lang w:val="en-US" w:eastAsia="zh-CN"/>
              </w:rPr>
              <w:t>：</w:t>
            </w:r>
          </w:p>
          <w:p w14:paraId="367F90A2">
            <w:pP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所有材质使用PBR（物理渲染）标准；</w:t>
            </w:r>
          </w:p>
          <w:p w14:paraId="3AAA66C0">
            <w:pP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贴图分辨率不低于4096×4096像素，支持Albedo、Normal、Roughness、Metallic等通道；</w:t>
            </w:r>
          </w:p>
          <w:p w14:paraId="67A6029C">
            <w:pP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贴图格式采用PNG或EXR，支持透明通道与高动态光照</w:t>
            </w:r>
          </w:p>
          <w:p w14:paraId="34DB01EB">
            <w:pP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渲染引擎须使用Arnold、V-Ray、Redshift、OctaneRender 等主流影视级渲染器；</w:t>
            </w:r>
          </w:p>
          <w:p w14:paraId="5636BA8F">
            <w:pP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必须启用全局光照（Global Illumination）和焦散效果（Caustics）；</w:t>
            </w:r>
          </w:p>
          <w:p w14:paraId="388A209F">
            <w:pP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渲染分辨率不低于4K，最终输出前需进行抗锯齿处理（AA≥8x）；</w:t>
            </w:r>
          </w:p>
          <w:p w14:paraId="2A0C68F3">
            <w:pPr>
              <w:rPr>
                <w:rFonts w:hint="default"/>
                <w:color w:val="auto"/>
                <w:highlight w:val="none"/>
                <w:lang w:val="en-US" w:eastAsia="zh-CN"/>
              </w:rPr>
            </w:pPr>
            <w:r>
              <w:rPr>
                <w:rFonts w:hint="eastAsia" w:ascii="宋体" w:hAnsi="宋体" w:eastAsia="宋体" w:cs="宋体"/>
                <w:color w:val="auto"/>
                <w:kern w:val="0"/>
                <w:sz w:val="21"/>
                <w:szCs w:val="21"/>
                <w:highlight w:val="none"/>
                <w:lang w:val="en-US" w:eastAsia="zh-CN" w:bidi="ar-SA"/>
              </w:rPr>
              <w:t>镜头调度流畅，符合影视叙事节奏，剪辑逻辑清晰</w:t>
            </w:r>
          </w:p>
        </w:tc>
        <w:tc>
          <w:tcPr>
            <w:tcW w:w="685" w:type="dxa"/>
            <w:shd w:val="clear" w:color="auto" w:fill="auto"/>
            <w:vAlign w:val="center"/>
          </w:tcPr>
          <w:p w14:paraId="14339FCD">
            <w:pPr>
              <w:spacing w:after="156"/>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719" w:type="dxa"/>
            <w:shd w:val="clear" w:color="auto" w:fill="auto"/>
            <w:vAlign w:val="center"/>
          </w:tcPr>
          <w:p w14:paraId="63F0A5F9">
            <w:pPr>
              <w:spacing w:after="156"/>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套</w:t>
            </w:r>
          </w:p>
        </w:tc>
      </w:tr>
      <w:tr w14:paraId="7A98D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603" w:type="dxa"/>
            <w:gridSpan w:val="5"/>
            <w:shd w:val="clear" w:color="auto" w:fill="auto"/>
            <w:vAlign w:val="center"/>
          </w:tcPr>
          <w:p w14:paraId="107FA83D">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二、服务及其它相关要求</w:t>
            </w:r>
          </w:p>
        </w:tc>
      </w:tr>
      <w:tr w14:paraId="4D3D9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77" w:type="dxa"/>
            <w:shd w:val="clear" w:color="auto" w:fill="auto"/>
            <w:vAlign w:val="center"/>
          </w:tcPr>
          <w:p w14:paraId="1C6DA627">
            <w:pPr>
              <w:spacing w:after="156"/>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1320" w:type="dxa"/>
            <w:shd w:val="clear" w:color="auto" w:fill="auto"/>
            <w:vAlign w:val="center"/>
          </w:tcPr>
          <w:p w14:paraId="7CC8FE3B">
            <w:pPr>
              <w:spacing w:after="156" w:line="24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服务及其它相关要求</w:t>
            </w:r>
          </w:p>
        </w:tc>
        <w:tc>
          <w:tcPr>
            <w:tcW w:w="6102" w:type="dxa"/>
            <w:shd w:val="clear" w:color="auto" w:fill="auto"/>
            <w:vAlign w:val="center"/>
          </w:tcPr>
          <w:p w14:paraId="1806D7B1">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五、服务要求</w:t>
            </w:r>
          </w:p>
          <w:p w14:paraId="4FCDCFCB">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（一）课程制作服务团队</w:t>
            </w:r>
          </w:p>
          <w:p w14:paraId="3BC0D1EC">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应为滁州职业技术学院的在线开放课程建设配备专业化的课程制作团队，包括教学设计、拍摄和后期制作等。团队人数不少于6人，人员需具备专业技术能力，具备与专业岗位匹配的技术证书，人员配置应保证满足课程拍摄和制作过程中的各项要求，服务团队人员需为供应商在职员工。</w:t>
            </w:r>
          </w:p>
          <w:p w14:paraId="4F147BED">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2．供货商专业团队需有系统化的课程开发流程规范及信息化服务经验，满足信息技术服务与信息安全管理的要求。</w:t>
            </w:r>
          </w:p>
          <w:p w14:paraId="08AAED06">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（二）课程制作实施方案</w:t>
            </w:r>
          </w:p>
          <w:p w14:paraId="203E0C5A">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1.供应商提供科学可行的组织实施方案，包含工作任务分类、人员分工， 项目实施推进规划，与学校管理部门（教务处或相关学院）、教师、学生就课程 制作的进程安排和课程拍摄细节进行沟通处理的方案，课程制作各环节、部分 的实施方案，以及其他为确保课程建设质量可能涉及的工作方案。</w:t>
            </w:r>
          </w:p>
          <w:p w14:paraId="52DF3FB1">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2.供应商应保证服务的专业性，对在线开放课程建设的质量和流程有严格的要求控制。</w:t>
            </w:r>
          </w:p>
          <w:p w14:paraId="5D8100A1">
            <w:pPr>
              <w:keepNext w:val="0"/>
              <w:keepLines w:val="0"/>
              <w:widowControl/>
              <w:suppressLineNumbers w:val="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 三） 应用要求 </w:t>
            </w:r>
          </w:p>
          <w:p w14:paraId="14CD6029">
            <w:pPr>
              <w:keepNext w:val="0"/>
              <w:keepLines w:val="0"/>
              <w:widowControl/>
              <w:suppressLineNumbers w:val="0"/>
              <w:jc w:val="left"/>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★1.供应商具有相关专业课程资源开发经验的专家（正高以上） 能对课程教师进行资源开发的培训。</w:t>
            </w:r>
            <w:r>
              <w:rPr>
                <w:rFonts w:hint="eastAsia" w:ascii="宋体" w:hAnsi="宋体" w:eastAsia="宋体" w:cs="宋体"/>
                <w:b/>
                <w:bCs/>
                <w:color w:val="auto"/>
                <w:kern w:val="0"/>
                <w:sz w:val="21"/>
                <w:szCs w:val="21"/>
                <w:highlight w:val="none"/>
                <w:lang w:val="en-US" w:eastAsia="zh-CN" w:bidi="ar"/>
              </w:rPr>
              <w:t>（投标文件中</w:t>
            </w:r>
            <w:r>
              <w:rPr>
                <w:rFonts w:hint="eastAsia" w:ascii="宋体" w:hAnsi="宋体" w:eastAsia="宋体" w:cs="宋体"/>
                <w:b/>
                <w:bCs/>
                <w:color w:val="auto"/>
                <w:kern w:val="2"/>
                <w:sz w:val="21"/>
                <w:szCs w:val="21"/>
                <w:highlight w:val="none"/>
                <w:lang w:val="en-US" w:eastAsia="zh-CN" w:bidi="ar-SA"/>
              </w:rPr>
              <w:t>需</w:t>
            </w:r>
            <w:r>
              <w:rPr>
                <w:rFonts w:hint="eastAsia" w:ascii="宋体" w:hAnsi="宋体" w:eastAsia="宋体" w:cs="宋体"/>
                <w:b/>
                <w:bCs/>
                <w:color w:val="auto"/>
                <w:kern w:val="0"/>
                <w:sz w:val="21"/>
                <w:szCs w:val="21"/>
                <w:highlight w:val="none"/>
                <w:lang w:val="en-US" w:eastAsia="zh-CN" w:bidi="ar"/>
              </w:rPr>
              <w:t xml:space="preserve">提供专家职称证书及聘用证明材料） </w:t>
            </w:r>
          </w:p>
          <w:p w14:paraId="5C9C78CE">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2.供应商在课程制作完成并满足上线要求后， 需有专门人员协助课程负责人进行课程的上线， 指导教师及时将拍摄制作的视频等资源上传指定平台进行模拟教学。 </w:t>
            </w:r>
          </w:p>
          <w:p w14:paraId="064FD23A">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★3.在线课程内容制作完成后，保证内容推广合法性及版权要求。</w:t>
            </w:r>
            <w:r>
              <w:rPr>
                <w:rFonts w:hint="eastAsia" w:ascii="宋体" w:hAnsi="宋体" w:eastAsia="宋体" w:cs="宋体"/>
                <w:b/>
                <w:bCs/>
                <w:color w:val="auto"/>
                <w:kern w:val="2"/>
                <w:sz w:val="21"/>
                <w:szCs w:val="21"/>
                <w:highlight w:val="none"/>
                <w:lang w:val="en-US" w:eastAsia="zh-CN" w:bidi="ar-SA"/>
              </w:rPr>
              <w:t>（投标文件中需提供承诺函，格式自拟）</w:t>
            </w:r>
          </w:p>
          <w:p w14:paraId="3AE52AC0">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4.供应商应具备完整的职业院校信息化教学能力提升培训课程体系， 能辅助课程团队教师进行信息化教学能力提升。</w:t>
            </w:r>
          </w:p>
          <w:p w14:paraId="29E9465F">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（四）前期制作要求</w:t>
            </w:r>
          </w:p>
          <w:p w14:paraId="53497193">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1.课程设计环节：</w:t>
            </w:r>
          </w:p>
          <w:p w14:paraId="74D02E19">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（1）供应商需安排课程顾问同课程主要负责人根据教学标准制定整体教学设计。</w:t>
            </w:r>
          </w:p>
          <w:p w14:paraId="7133AB7B">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（2）以知识点组织基础教学内容，每个知识点的教学视频内容约为 5-15 分钟，超过 15 分钟的，可分为上、下。</w:t>
            </w:r>
          </w:p>
          <w:p w14:paraId="2EB51713">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（3）供应商负责安排课程编导与课程教师按课程模块（章节）和知识点，收集材料如：PPT、视频、文档、老师资料以及一些辅助课程的拓展资料。</w:t>
            </w:r>
          </w:p>
          <w:p w14:paraId="0410DB48">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（4）课程编导与课程教师确定拍摄章节和知识点，根据课程内容进行策划 制作效果，选择场地、布置现场、服装搭配，协调拍摄注意事项等问题。</w:t>
            </w:r>
          </w:p>
          <w:p w14:paraId="0F467C84">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（5）供应商需根据课程教师的要求适当制作并穿插3D、情景视频。</w:t>
            </w:r>
          </w:p>
          <w:p w14:paraId="0DBC9067">
            <w:pP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★（6）供应商负责提供视频课程摄制过程中所需的化妆、道具、场地、图片资料、视频资料。</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kern w:val="2"/>
                <w:sz w:val="21"/>
                <w:szCs w:val="21"/>
                <w:highlight w:val="none"/>
                <w:lang w:val="en-US" w:eastAsia="zh-CN" w:bidi="ar-SA"/>
              </w:rPr>
              <w:t>投标文件中需</w:t>
            </w:r>
            <w:r>
              <w:rPr>
                <w:rFonts w:hint="eastAsia" w:ascii="宋体" w:hAnsi="宋体" w:eastAsia="宋体" w:cs="宋体"/>
                <w:b/>
                <w:bCs/>
                <w:color w:val="auto"/>
                <w:sz w:val="21"/>
                <w:szCs w:val="21"/>
                <w:highlight w:val="none"/>
                <w:lang w:val="en-US" w:eastAsia="zh-CN"/>
              </w:rPr>
              <w:t>提供服务类证明材料或图片）</w:t>
            </w:r>
          </w:p>
          <w:p w14:paraId="05CD78A3">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2.录制方式及设备</w:t>
            </w:r>
          </w:p>
          <w:p w14:paraId="3D683D86">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（1）拍摄方式：采用多机位拍摄，机位设置应完整展现教师的授课内容， 并合理地展现教师的授课风采。</w:t>
            </w:r>
          </w:p>
          <w:p w14:paraId="4F8FDCD7">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（2）录像设备：摄像机要求不低于专业级数字设备，使用 4K 高清数字设 备。摄像机拍摄时采用分辨率为 4096×2160，录像视频宽 16:9，帧率设定为 25 帧；拍摄设备要同型同款，多台高清摄像机保证录制效果的一致性。</w:t>
            </w:r>
          </w:p>
          <w:p w14:paraId="29397193">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（3）录音设备：使用专业级话筒，以保证教师和学生发言的录音质量；须 配备足量的胸麦和手持话筒。</w:t>
            </w:r>
          </w:p>
          <w:p w14:paraId="18D74BB7">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（4）后期制作设备：使用专业广电级非线性编辑系统。</w:t>
            </w:r>
          </w:p>
          <w:p w14:paraId="08FEF034">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3.具有专业摄像服务</w:t>
            </w:r>
          </w:p>
          <w:p w14:paraId="1B8F515B">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（1）对现场拍摄进行指导或建议；</w:t>
            </w:r>
          </w:p>
          <w:p w14:paraId="65C9BBA9">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（2）给主讲老师上妆、搭配服饰；</w:t>
            </w:r>
          </w:p>
          <w:p w14:paraId="13D15213">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（3）实时记录拍摄进度、景别、时间点、拍摄内容等；</w:t>
            </w:r>
          </w:p>
          <w:p w14:paraId="7650B25A">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（4）做好专业的灯光调式，保证拍报效果；</w:t>
            </w:r>
          </w:p>
          <w:p w14:paraId="599A90E2">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（5）运用专业的摄影机、专业镜头，拍摄出高清晰质量的视频；</w:t>
            </w:r>
          </w:p>
          <w:p w14:paraId="1BE40A46">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（6）提供辅助老师记忆设备，给老师提供提词器；</w:t>
            </w:r>
          </w:p>
          <w:p w14:paraId="2BF70DBB">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（7）使用专业后期调色软件对视频进行后期调色；根据课程内容需求，运 用特效包装；根据课程需要制作动画；对教学过程录像进行字幕的速记、校对， 制作外挂字幕等。</w:t>
            </w:r>
          </w:p>
          <w:p w14:paraId="0B0D1262">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（五）后期制作成片要求</w:t>
            </w:r>
          </w:p>
          <w:p w14:paraId="10A449A3">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1.视频标准：格式为 MP4，采用 H.264 编码。公司应保留全部母带级别文件，至少一年。</w:t>
            </w:r>
          </w:p>
          <w:p w14:paraId="1A20F236">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2.分辨率：1080p 高清（1920×1080）。压缩码率&gt;800kb，&lt;1024kb。单个 文件大小 800M 以内。录制视频宽高比 16:9。视频帧率为 25 帧/秒。</w:t>
            </w:r>
          </w:p>
          <w:p w14:paraId="6B0AA680">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3.音频标准：采样率：48KHz。音频码流率：128Kbps。声道：双声道</w:t>
            </w:r>
          </w:p>
          <w:p w14:paraId="4F7193B0">
            <w:pPr>
              <w:spacing w:after="156"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4.字幕标准：视频下方居中位置显示简体中文字幕信息，字幕与教师所讲 的内容完全符合，包括表单符号的显示，字幕为一行显示，字幕最多不过 20 字，声音和字幕匹配。</w:t>
            </w:r>
          </w:p>
          <w:p w14:paraId="14D4F660">
            <w:pPr>
              <w:pStyle w:val="24"/>
              <w:spacing w:line="24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（五）课程推广要求</w:t>
            </w:r>
          </w:p>
          <w:p w14:paraId="2727E9BF">
            <w:pPr>
              <w:pStyle w:val="24"/>
              <w:spacing w:line="24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1.课程上线教育部认定的在线开放平台，上线课程需符合申报国家线上金课评审标准。</w:t>
            </w:r>
          </w:p>
          <w:p w14:paraId="5CCCA206">
            <w:pPr>
              <w:pStyle w:val="24"/>
              <w:spacing w:line="24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2.课程上线到学校指定平台后，供应商需免费提供两年的推广和维护服务。</w:t>
            </w:r>
          </w:p>
          <w:p w14:paraId="1A2652BD">
            <w:pPr>
              <w:pStyle w:val="24"/>
              <w:spacing w:line="240" w:lineRule="auto"/>
              <w:ind w:left="0" w:leftChars="0" w:firstLine="0" w:firstLineChars="0"/>
              <w:rPr>
                <w:rFonts w:hint="eastAsia"/>
                <w:color w:val="auto"/>
                <w:highlight w:val="none"/>
              </w:rPr>
            </w:pPr>
            <w:r>
              <w:rPr>
                <w:rFonts w:hint="eastAsia" w:ascii="宋体" w:hAnsi="宋体" w:eastAsia="宋体" w:cs="宋体"/>
                <w:color w:val="auto"/>
                <w:kern w:val="2"/>
                <w:sz w:val="21"/>
                <w:szCs w:val="21"/>
                <w:highlight w:val="none"/>
                <w:lang w:val="en-US" w:eastAsia="zh-CN" w:bidi="ar-SA"/>
              </w:rPr>
              <w:t>★3.课程从建设至运行申报省/国家级课程项目环节提供不低于三轮的专家指导，专家级别为评委级或具备国家级课程申报成功经验。</w:t>
            </w:r>
            <w:r>
              <w:rPr>
                <w:rFonts w:hint="eastAsia" w:ascii="宋体" w:hAnsi="宋体" w:eastAsia="宋体" w:cs="宋体"/>
                <w:b/>
                <w:bCs/>
                <w:color w:val="auto"/>
                <w:kern w:val="2"/>
                <w:sz w:val="21"/>
                <w:szCs w:val="21"/>
                <w:highlight w:val="none"/>
                <w:lang w:val="en-US" w:eastAsia="zh-CN" w:bidi="ar-SA"/>
              </w:rPr>
              <w:t>（投标文件中需提供承诺函</w:t>
            </w:r>
            <w:r>
              <w:rPr>
                <w:rFonts w:hint="eastAsia" w:hAnsi="宋体" w:cs="宋体"/>
                <w:b/>
                <w:bCs/>
                <w:color w:val="auto"/>
                <w:kern w:val="2"/>
                <w:sz w:val="21"/>
                <w:szCs w:val="21"/>
                <w:highlight w:val="none"/>
                <w:lang w:val="en-US" w:eastAsia="zh-CN" w:bidi="ar-SA"/>
              </w:rPr>
              <w:t>，格式自拟</w:t>
            </w:r>
            <w:r>
              <w:rPr>
                <w:rFonts w:hint="eastAsia" w:ascii="宋体" w:hAnsi="宋体" w:eastAsia="宋体" w:cs="宋体"/>
                <w:b/>
                <w:bCs/>
                <w:color w:val="auto"/>
                <w:kern w:val="2"/>
                <w:sz w:val="21"/>
                <w:szCs w:val="21"/>
                <w:highlight w:val="none"/>
                <w:lang w:val="en-US" w:eastAsia="zh-CN" w:bidi="ar-SA"/>
              </w:rPr>
              <w:t>）</w:t>
            </w:r>
          </w:p>
        </w:tc>
        <w:tc>
          <w:tcPr>
            <w:tcW w:w="685" w:type="dxa"/>
            <w:shd w:val="clear" w:color="auto" w:fill="auto"/>
            <w:vAlign w:val="center"/>
          </w:tcPr>
          <w:p w14:paraId="309A488C">
            <w:pPr>
              <w:spacing w:after="156"/>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719" w:type="dxa"/>
            <w:shd w:val="clear" w:color="auto" w:fill="auto"/>
            <w:vAlign w:val="center"/>
          </w:tcPr>
          <w:p w14:paraId="3DD5A3A9">
            <w:pPr>
              <w:spacing w:after="156"/>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套</w:t>
            </w:r>
          </w:p>
        </w:tc>
      </w:tr>
    </w:tbl>
    <w:p w14:paraId="3AD5BE50">
      <w:pPr>
        <w:pStyle w:val="24"/>
        <w:ind w:left="0" w:leftChars="0" w:firstLine="0" w:firstLineChars="0"/>
        <w:rPr>
          <w:rFonts w:hint="default"/>
          <w:b/>
          <w:bCs/>
          <w:color w:val="auto"/>
          <w:sz w:val="24"/>
          <w:szCs w:val="24"/>
          <w:highlight w:val="none"/>
          <w:lang w:val="en-US" w:eastAsia="zh-CN"/>
        </w:rPr>
      </w:pPr>
      <w:r>
        <w:rPr>
          <w:rFonts w:hint="eastAsia"/>
          <w:b/>
          <w:bCs/>
          <w:color w:val="auto"/>
          <w:sz w:val="24"/>
          <w:szCs w:val="24"/>
          <w:highlight w:val="none"/>
          <w:lang w:val="en-US" w:eastAsia="zh-CN"/>
        </w:rPr>
        <w:t>第1包，第2包：</w:t>
      </w:r>
    </w:p>
    <w:bookmarkEnd w:id="20"/>
    <w:bookmarkEnd w:id="21"/>
    <w:p w14:paraId="4B690C07">
      <w:pPr>
        <w:spacing w:line="360" w:lineRule="auto"/>
        <w:ind w:firstLine="437"/>
        <w:outlineLvl w:val="1"/>
        <w:rPr>
          <w:rFonts w:ascii="宋体" w:hAnsi="宋体" w:eastAsia="宋体"/>
          <w:b/>
          <w:color w:val="auto"/>
          <w:sz w:val="24"/>
          <w:szCs w:val="18"/>
          <w:highlight w:val="none"/>
        </w:rPr>
      </w:pPr>
      <w:bookmarkStart w:id="22" w:name="_Toc18052"/>
      <w:bookmarkStart w:id="23" w:name="_Toc12910"/>
      <w:r>
        <w:rPr>
          <w:rFonts w:hint="eastAsia" w:ascii="宋体" w:hAnsi="宋体" w:eastAsia="宋体"/>
          <w:b/>
          <w:color w:val="auto"/>
          <w:sz w:val="24"/>
          <w:szCs w:val="18"/>
          <w:highlight w:val="none"/>
          <w:lang w:val="en-US" w:eastAsia="zh-CN"/>
        </w:rPr>
        <w:t>四</w:t>
      </w:r>
      <w:r>
        <w:rPr>
          <w:rFonts w:hint="eastAsia" w:ascii="宋体" w:hAnsi="宋体" w:eastAsia="宋体"/>
          <w:b/>
          <w:color w:val="auto"/>
          <w:sz w:val="24"/>
          <w:szCs w:val="18"/>
          <w:highlight w:val="none"/>
        </w:rPr>
        <w:t>、报价要求</w:t>
      </w:r>
      <w:bookmarkEnd w:id="22"/>
      <w:bookmarkEnd w:id="23"/>
    </w:p>
    <w:p w14:paraId="2BD98C46">
      <w:pPr>
        <w:spacing w:line="360" w:lineRule="auto"/>
        <w:ind w:firstLine="480" w:firstLineChars="200"/>
        <w:outlineLvl w:val="2"/>
        <w:rPr>
          <w:rFonts w:ascii="宋体" w:hAnsi="宋体" w:eastAsia="宋体"/>
          <w:bCs/>
          <w:color w:val="auto"/>
          <w:sz w:val="24"/>
          <w:szCs w:val="18"/>
          <w:highlight w:val="none"/>
        </w:rPr>
      </w:pPr>
      <w:bookmarkStart w:id="24" w:name="_Toc23590"/>
      <w:bookmarkStart w:id="25" w:name="_Toc3530"/>
      <w:r>
        <w:rPr>
          <w:rFonts w:hint="eastAsia" w:ascii="宋体" w:hAnsi="宋体" w:eastAsia="宋体"/>
          <w:bCs/>
          <w:color w:val="auto"/>
          <w:sz w:val="24"/>
          <w:szCs w:val="18"/>
          <w:highlight w:val="none"/>
        </w:rPr>
        <w:t>供应商的报价应含有服务、利润、税金、政策性文件规定及合同包含的所有风险、责任、义务等，即为完成磋商文件要求的服务内容所包含的一切应有费用，其组成包括但不限于工作、交通、通讯、设备（仪器）、劳力、利润、税收、管理等。成交价格今后将不作任何调整，采购人后期不再追加费用，供应商自行考虑报价风险。</w:t>
      </w:r>
      <w:bookmarkEnd w:id="19"/>
      <w:bookmarkEnd w:id="24"/>
      <w:bookmarkEnd w:id="25"/>
    </w:p>
    <w:p w14:paraId="413A52B5">
      <w:pPr>
        <w:spacing w:line="360" w:lineRule="auto"/>
        <w:ind w:firstLine="437"/>
        <w:outlineLvl w:val="1"/>
        <w:rPr>
          <w:rFonts w:ascii="宋体" w:hAnsi="宋体" w:eastAsia="宋体"/>
          <w:b/>
          <w:color w:val="auto"/>
          <w:sz w:val="24"/>
          <w:szCs w:val="18"/>
          <w:highlight w:val="none"/>
        </w:rPr>
      </w:pPr>
      <w:r>
        <w:rPr>
          <w:rFonts w:hint="eastAsia" w:ascii="宋体" w:hAnsi="宋体" w:eastAsia="宋体"/>
          <w:b/>
          <w:color w:val="auto"/>
          <w:sz w:val="24"/>
          <w:szCs w:val="18"/>
          <w:highlight w:val="none"/>
          <w:lang w:val="en-US" w:eastAsia="zh-CN"/>
        </w:rPr>
        <w:t>五</w:t>
      </w:r>
      <w:r>
        <w:rPr>
          <w:rFonts w:hint="eastAsia" w:ascii="宋体" w:hAnsi="宋体" w:eastAsia="宋体"/>
          <w:b/>
          <w:color w:val="auto"/>
          <w:sz w:val="24"/>
          <w:szCs w:val="18"/>
          <w:highlight w:val="none"/>
        </w:rPr>
        <w:t xml:space="preserve">、其他要求 </w:t>
      </w:r>
    </w:p>
    <w:p w14:paraId="4BC26375">
      <w:pPr>
        <w:spacing w:line="360" w:lineRule="auto"/>
        <w:ind w:firstLine="480" w:firstLineChars="200"/>
        <w:outlineLvl w:val="2"/>
        <w:rPr>
          <w:rFonts w:ascii="宋体" w:hAnsi="宋体" w:eastAsia="宋体"/>
          <w:bCs/>
          <w:color w:val="auto"/>
          <w:sz w:val="24"/>
          <w:szCs w:val="18"/>
          <w:highlight w:val="none"/>
        </w:rPr>
      </w:pPr>
      <w:r>
        <w:rPr>
          <w:rFonts w:hint="eastAsia" w:ascii="宋体" w:hAnsi="宋体" w:eastAsia="宋体"/>
          <w:bCs/>
          <w:color w:val="auto"/>
          <w:sz w:val="24"/>
          <w:szCs w:val="18"/>
          <w:highlight w:val="none"/>
        </w:rPr>
        <w:t xml:space="preserve">1、成交供应商应对采购人提供的业务资料、技术资料应严格保密、不得扩散，否则应承担相应责任且采购人有权追究成交供应商违约责任。 </w:t>
      </w:r>
    </w:p>
    <w:p w14:paraId="75293D3E">
      <w:pPr>
        <w:spacing w:line="360" w:lineRule="auto"/>
        <w:ind w:firstLine="480" w:firstLineChars="200"/>
        <w:outlineLvl w:val="2"/>
        <w:rPr>
          <w:rFonts w:ascii="宋体" w:hAnsi="宋体" w:eastAsia="宋体"/>
          <w:bCs/>
          <w:color w:val="auto"/>
          <w:sz w:val="24"/>
          <w:szCs w:val="18"/>
          <w:highlight w:val="none"/>
        </w:rPr>
      </w:pPr>
      <w:r>
        <w:rPr>
          <w:rFonts w:hint="eastAsia" w:ascii="宋体" w:hAnsi="宋体" w:eastAsia="宋体"/>
          <w:bCs/>
          <w:color w:val="auto"/>
          <w:sz w:val="24"/>
          <w:szCs w:val="18"/>
          <w:highlight w:val="none"/>
        </w:rPr>
        <w:t>2、成交供应商如迟延履行合同、不完全履行合同</w:t>
      </w:r>
      <w:r>
        <w:rPr>
          <w:rFonts w:hint="eastAsia" w:ascii="宋体" w:hAnsi="宋体" w:eastAsia="宋体"/>
          <w:bCs/>
          <w:color w:val="auto"/>
          <w:sz w:val="24"/>
          <w:szCs w:val="18"/>
          <w:highlight w:val="none"/>
          <w:lang w:val="en-US" w:eastAsia="zh-CN"/>
        </w:rPr>
        <w:t>的</w:t>
      </w:r>
      <w:r>
        <w:rPr>
          <w:rFonts w:hint="eastAsia" w:ascii="宋体" w:hAnsi="宋体" w:eastAsia="宋体"/>
          <w:bCs/>
          <w:color w:val="auto"/>
          <w:sz w:val="24"/>
          <w:szCs w:val="18"/>
          <w:highlight w:val="none"/>
        </w:rPr>
        <w:t>，采购人有权追究成交供应商责任，并就成交供应商违约给采购人造成的损失向成交供应商索赔。</w:t>
      </w:r>
    </w:p>
    <w:p w14:paraId="2017CA2B">
      <w:pPr>
        <w:spacing w:line="360" w:lineRule="auto"/>
        <w:ind w:firstLine="480" w:firstLineChars="200"/>
        <w:outlineLvl w:val="2"/>
        <w:rPr>
          <w:rFonts w:ascii="宋体" w:hAnsi="宋体" w:eastAsia="宋体"/>
          <w:bCs/>
          <w:color w:val="auto"/>
          <w:sz w:val="24"/>
          <w:szCs w:val="18"/>
          <w:highlight w:val="none"/>
        </w:rPr>
      </w:pPr>
      <w:r>
        <w:rPr>
          <w:rFonts w:hint="eastAsia" w:ascii="宋体" w:hAnsi="宋体" w:eastAsia="宋体"/>
          <w:bCs/>
          <w:color w:val="auto"/>
          <w:sz w:val="24"/>
          <w:szCs w:val="18"/>
          <w:highlight w:val="none"/>
        </w:rPr>
        <w:t xml:space="preserve">3、所有成果的知识产权归采购人所有。 </w:t>
      </w:r>
    </w:p>
    <w:p w14:paraId="773F2479">
      <w:pPr>
        <w:spacing w:line="360" w:lineRule="auto"/>
        <w:ind w:firstLine="480" w:firstLineChars="200"/>
        <w:outlineLvl w:val="2"/>
        <w:rPr>
          <w:rFonts w:ascii="宋体" w:hAnsi="宋体" w:eastAsia="宋体"/>
          <w:bCs/>
          <w:color w:val="auto"/>
          <w:sz w:val="24"/>
          <w:szCs w:val="18"/>
          <w:highlight w:val="none"/>
        </w:rPr>
      </w:pPr>
      <w:r>
        <w:rPr>
          <w:rFonts w:hint="eastAsia" w:ascii="宋体" w:hAnsi="宋体" w:eastAsia="宋体"/>
          <w:bCs/>
          <w:color w:val="auto"/>
          <w:sz w:val="24"/>
          <w:szCs w:val="18"/>
          <w:highlight w:val="none"/>
        </w:rPr>
        <w:t>4、对于成交供应商无法按时按承诺完成的工作，采购人有权请第三方解决，所需所有费用由成交供应商支付。</w:t>
      </w:r>
    </w:p>
    <w:p w14:paraId="667D7D5F">
      <w:pPr>
        <w:spacing w:line="360" w:lineRule="auto"/>
        <w:ind w:firstLine="480" w:firstLineChars="200"/>
        <w:outlineLvl w:val="2"/>
        <w:rPr>
          <w:rFonts w:asciiTheme="minorEastAsia" w:hAnsiTheme="minorEastAsia" w:eastAsiaTheme="minorEastAsia"/>
          <w:color w:val="auto"/>
          <w:sz w:val="24"/>
          <w:highlight w:val="none"/>
        </w:rPr>
      </w:pPr>
      <w:r>
        <w:rPr>
          <w:rFonts w:hint="eastAsia" w:ascii="宋体" w:hAnsi="宋体" w:eastAsia="宋体"/>
          <w:bCs/>
          <w:color w:val="auto"/>
          <w:sz w:val="24"/>
          <w:szCs w:val="18"/>
          <w:highlight w:val="none"/>
        </w:rPr>
        <w:br w:type="page"/>
      </w:r>
    </w:p>
    <w:p w14:paraId="7DD3CC47">
      <w:pPr>
        <w:spacing w:line="360" w:lineRule="auto"/>
        <w:jc w:val="center"/>
        <w:outlineLvl w:val="0"/>
        <w:rPr>
          <w:rFonts w:asciiTheme="minorEastAsia" w:hAnsiTheme="minorEastAsia" w:eastAsiaTheme="minorEastAsia"/>
          <w:b/>
          <w:color w:val="auto"/>
          <w:sz w:val="28"/>
          <w:highlight w:val="none"/>
        </w:rPr>
      </w:pPr>
      <w:bookmarkStart w:id="26" w:name="_Toc17554"/>
      <w:bookmarkStart w:id="27" w:name="_Toc8668"/>
      <w:r>
        <w:rPr>
          <w:rFonts w:hint="eastAsia" w:asciiTheme="minorEastAsia" w:hAnsiTheme="minorEastAsia" w:eastAsiaTheme="minorEastAsia"/>
          <w:b/>
          <w:color w:val="auto"/>
          <w:sz w:val="28"/>
          <w:highlight w:val="none"/>
        </w:rPr>
        <w:t>第四章  评审方法和标准</w:t>
      </w:r>
      <w:bookmarkEnd w:id="26"/>
      <w:bookmarkEnd w:id="27"/>
    </w:p>
    <w:p w14:paraId="5FED226D">
      <w:pPr>
        <w:spacing w:line="360" w:lineRule="auto"/>
        <w:ind w:firstLine="437"/>
        <w:outlineLvl w:val="1"/>
        <w:rPr>
          <w:rFonts w:asciiTheme="minorEastAsia" w:hAnsiTheme="minorEastAsia" w:eastAsiaTheme="minorEastAsia"/>
          <w:b/>
          <w:color w:val="auto"/>
          <w:sz w:val="24"/>
          <w:highlight w:val="none"/>
        </w:rPr>
      </w:pPr>
      <w:bookmarkStart w:id="28" w:name="_Toc21211"/>
      <w:bookmarkStart w:id="29" w:name="_Toc12199"/>
      <w:r>
        <w:rPr>
          <w:rFonts w:hint="eastAsia" w:asciiTheme="minorEastAsia" w:hAnsiTheme="minorEastAsia" w:eastAsiaTheme="minorEastAsia"/>
          <w:b/>
          <w:color w:val="auto"/>
          <w:sz w:val="24"/>
          <w:highlight w:val="none"/>
        </w:rPr>
        <w:t>一、总则</w:t>
      </w:r>
      <w:bookmarkEnd w:id="28"/>
      <w:bookmarkEnd w:id="29"/>
    </w:p>
    <w:p w14:paraId="356A139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本项目将按照磋商文件第二章 供应商须知的相关要求</w:t>
      </w:r>
      <w:r>
        <w:rPr>
          <w:rFonts w:asciiTheme="minorEastAsia" w:hAnsiTheme="minorEastAsia" w:eastAsiaTheme="minorEastAsia"/>
          <w:color w:val="auto"/>
          <w:sz w:val="24"/>
          <w:highlight w:val="none"/>
        </w:rPr>
        <w:t>及本章的规定</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w:t>
      </w:r>
    </w:p>
    <w:p w14:paraId="49EE136C">
      <w:pPr>
        <w:spacing w:line="360" w:lineRule="auto"/>
        <w:ind w:firstLine="437"/>
        <w:outlineLvl w:val="1"/>
        <w:rPr>
          <w:rFonts w:asciiTheme="minorEastAsia" w:hAnsiTheme="minorEastAsia" w:eastAsiaTheme="minorEastAsia"/>
          <w:b/>
          <w:color w:val="auto"/>
          <w:sz w:val="24"/>
          <w:highlight w:val="none"/>
        </w:rPr>
      </w:pPr>
      <w:bookmarkStart w:id="30" w:name="_Toc16885"/>
      <w:bookmarkStart w:id="31" w:name="_Toc13039"/>
      <w:r>
        <w:rPr>
          <w:rFonts w:hint="eastAsia" w:asciiTheme="minorEastAsia" w:hAnsiTheme="minorEastAsia" w:eastAsiaTheme="minorEastAsia"/>
          <w:b/>
          <w:color w:val="auto"/>
          <w:sz w:val="24"/>
          <w:highlight w:val="none"/>
        </w:rPr>
        <w:t>二、评审方法</w:t>
      </w:r>
      <w:bookmarkEnd w:id="30"/>
      <w:bookmarkEnd w:id="31"/>
    </w:p>
    <w:p w14:paraId="0A99C509">
      <w:pPr>
        <w:spacing w:line="360" w:lineRule="auto"/>
        <w:ind w:firstLine="435"/>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2.1初审</w:t>
      </w:r>
    </w:p>
    <w:p w14:paraId="7A94AE2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磋商小组对供应商的响应文件进行初审，以确定其是否满足磋商文件的实质性要求。初审表如下：</w:t>
      </w:r>
    </w:p>
    <w:tbl>
      <w:tblPr>
        <w:tblStyle w:val="25"/>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651"/>
        <w:gridCol w:w="4556"/>
        <w:gridCol w:w="1917"/>
      </w:tblGrid>
      <w:tr w14:paraId="2E28E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045F5714">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b/>
                <w:color w:val="auto"/>
                <w:sz w:val="24"/>
                <w:szCs w:val="22"/>
                <w:highlight w:val="none"/>
              </w:rPr>
              <w:t>初审表</w:t>
            </w:r>
          </w:p>
        </w:tc>
      </w:tr>
      <w:tr w14:paraId="3E89B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bottom w:val="single" w:color="auto" w:sz="4" w:space="0"/>
            </w:tcBorders>
            <w:vAlign w:val="center"/>
          </w:tcPr>
          <w:p w14:paraId="35098258">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942" w:type="pct"/>
            <w:tcBorders>
              <w:bottom w:val="single" w:color="auto" w:sz="4" w:space="0"/>
            </w:tcBorders>
            <w:vAlign w:val="center"/>
          </w:tcPr>
          <w:p w14:paraId="122C5933">
            <w:pPr>
              <w:pStyle w:val="44"/>
              <w:pBdr>
                <w:bottom w:val="none" w:color="auto" w:sz="0" w:space="0"/>
              </w:pBdr>
              <w:tabs>
                <w:tab w:val="clear" w:pos="4153"/>
                <w:tab w:val="clear" w:pos="8306"/>
              </w:tabs>
              <w:snapToGrid w:val="0"/>
              <w:spacing w:line="360" w:lineRule="auto"/>
              <w:ind w:right="-10"/>
              <w:textAlignment w:val="auto"/>
              <w:rPr>
                <w:rFonts w:ascii="宋体" w:hAnsi="宋体" w:eastAsia="宋体"/>
                <w:color w:val="auto"/>
                <w:kern w:val="2"/>
                <w:szCs w:val="24"/>
                <w:highlight w:val="none"/>
              </w:rPr>
            </w:pPr>
            <w:r>
              <w:rPr>
                <w:rFonts w:hint="eastAsia" w:ascii="宋体" w:hAnsi="宋体" w:eastAsia="宋体"/>
                <w:color w:val="auto"/>
                <w:kern w:val="2"/>
                <w:szCs w:val="24"/>
                <w:highlight w:val="none"/>
              </w:rPr>
              <w:t>审查指标</w:t>
            </w:r>
          </w:p>
        </w:tc>
        <w:tc>
          <w:tcPr>
            <w:tcW w:w="2600" w:type="pct"/>
            <w:tcBorders>
              <w:bottom w:val="single" w:color="auto" w:sz="4" w:space="0"/>
            </w:tcBorders>
            <w:vAlign w:val="center"/>
          </w:tcPr>
          <w:p w14:paraId="5DBCCC99">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审查标准</w:t>
            </w:r>
          </w:p>
        </w:tc>
        <w:tc>
          <w:tcPr>
            <w:tcW w:w="1092" w:type="pct"/>
            <w:tcBorders>
              <w:bottom w:val="single" w:color="auto" w:sz="4" w:space="0"/>
            </w:tcBorders>
            <w:vAlign w:val="center"/>
          </w:tcPr>
          <w:p w14:paraId="432263E1">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12626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64" w:type="pct"/>
            <w:tcBorders>
              <w:bottom w:val="single" w:color="auto" w:sz="4" w:space="0"/>
            </w:tcBorders>
            <w:vAlign w:val="center"/>
          </w:tcPr>
          <w:p w14:paraId="71C807AC">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1</w:t>
            </w:r>
          </w:p>
        </w:tc>
        <w:tc>
          <w:tcPr>
            <w:tcW w:w="942" w:type="pct"/>
            <w:tcBorders>
              <w:bottom w:val="single" w:color="auto" w:sz="4" w:space="0"/>
            </w:tcBorders>
            <w:vAlign w:val="center"/>
          </w:tcPr>
          <w:p w14:paraId="5D7713C7">
            <w:pPr>
              <w:spacing w:after="50" w:line="360" w:lineRule="auto"/>
              <w:ind w:right="-10"/>
              <w:jc w:val="center"/>
              <w:rPr>
                <w:rFonts w:ascii="宋体" w:hAnsi="宋体" w:eastAsia="宋体"/>
                <w:color w:val="auto"/>
                <w:sz w:val="24"/>
                <w:szCs w:val="28"/>
                <w:highlight w:val="none"/>
              </w:rPr>
            </w:pPr>
            <w:r>
              <w:rPr>
                <w:rFonts w:ascii="宋体" w:hAnsi="宋体" w:eastAsia="宋体" w:cs="宋体"/>
                <w:color w:val="auto"/>
                <w:spacing w:val="9"/>
                <w:sz w:val="24"/>
                <w:szCs w:val="24"/>
                <w:highlight w:val="none"/>
              </w:rPr>
              <w:t>营业执照等证明</w:t>
            </w:r>
            <w:r>
              <w:rPr>
                <w:rFonts w:ascii="宋体" w:hAnsi="宋体" w:eastAsia="宋体" w:cs="宋体"/>
                <w:color w:val="auto"/>
                <w:spacing w:val="-3"/>
                <w:sz w:val="24"/>
                <w:szCs w:val="24"/>
                <w:highlight w:val="none"/>
              </w:rPr>
              <w:t>文件</w:t>
            </w:r>
          </w:p>
        </w:tc>
        <w:tc>
          <w:tcPr>
            <w:tcW w:w="2600" w:type="pct"/>
            <w:tcBorders>
              <w:bottom w:val="single" w:color="auto" w:sz="4" w:space="0"/>
            </w:tcBorders>
            <w:vAlign w:val="center"/>
          </w:tcPr>
          <w:p w14:paraId="7F339E44">
            <w:pPr>
              <w:spacing w:after="50" w:line="360" w:lineRule="auto"/>
              <w:ind w:right="-1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w:t>
            </w:r>
            <w:r>
              <w:rPr>
                <w:rFonts w:ascii="宋体" w:hAnsi="宋体" w:eastAsia="宋体" w:cs="宋体"/>
                <w:color w:val="auto"/>
                <w:sz w:val="24"/>
                <w:szCs w:val="24"/>
                <w:highlight w:val="none"/>
              </w:rPr>
              <w:t>为企业（包括合伙企业）的，应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供有效的营业执照；</w:t>
            </w:r>
          </w:p>
          <w:p w14:paraId="3C7D6554">
            <w:pPr>
              <w:spacing w:after="50" w:line="360" w:lineRule="auto"/>
              <w:ind w:right="-1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w:t>
            </w:r>
            <w:r>
              <w:rPr>
                <w:rFonts w:ascii="宋体" w:hAnsi="宋体" w:eastAsia="宋体" w:cs="宋体"/>
                <w:color w:val="auto"/>
                <w:sz w:val="24"/>
                <w:szCs w:val="24"/>
                <w:highlight w:val="none"/>
              </w:rPr>
              <w:t>为事业单位的，应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供有效的事业单位法人证书；</w:t>
            </w:r>
          </w:p>
          <w:p w14:paraId="2B00F87D">
            <w:pPr>
              <w:spacing w:after="50" w:line="360" w:lineRule="auto"/>
              <w:ind w:right="-1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w:t>
            </w:r>
            <w:r>
              <w:rPr>
                <w:rFonts w:ascii="宋体" w:hAnsi="宋体" w:eastAsia="宋体" w:cs="宋体"/>
                <w:color w:val="auto"/>
                <w:sz w:val="24"/>
                <w:szCs w:val="24"/>
                <w:highlight w:val="none"/>
              </w:rPr>
              <w:t>是非企业机构的，应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rPr>
              <w:t>或</w:t>
            </w:r>
            <w:r>
              <w:rPr>
                <w:rFonts w:ascii="宋体" w:hAnsi="宋体" w:eastAsia="宋体" w:cs="宋体"/>
                <w:color w:val="auto"/>
                <w:sz w:val="24"/>
                <w:szCs w:val="24"/>
                <w:highlight w:val="none"/>
              </w:rPr>
              <w:t>登记证书等证明文件；</w:t>
            </w:r>
          </w:p>
          <w:p w14:paraId="18576642">
            <w:pPr>
              <w:spacing w:after="50" w:line="360" w:lineRule="auto"/>
              <w:ind w:right="-1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w:t>
            </w:r>
            <w:r>
              <w:rPr>
                <w:rFonts w:ascii="宋体" w:hAnsi="宋体" w:eastAsia="宋体" w:cs="宋体"/>
                <w:color w:val="auto"/>
                <w:sz w:val="24"/>
                <w:szCs w:val="24"/>
                <w:highlight w:val="none"/>
              </w:rPr>
              <w:t>是个体工商户的，应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供有效的个体工商户营业执照；</w:t>
            </w:r>
          </w:p>
          <w:p w14:paraId="78E599B4">
            <w:pPr>
              <w:spacing w:after="50" w:line="360" w:lineRule="auto"/>
              <w:ind w:right="-10"/>
              <w:jc w:val="left"/>
              <w:rPr>
                <w:rFonts w:ascii="宋体" w:hAnsi="宋体" w:eastAsia="宋体"/>
                <w:color w:val="auto"/>
                <w:sz w:val="24"/>
                <w:szCs w:val="28"/>
                <w:highlight w:val="none"/>
              </w:rPr>
            </w:pPr>
            <w:r>
              <w:rPr>
                <w:rFonts w:hint="eastAsia" w:ascii="宋体" w:hAnsi="宋体" w:eastAsia="宋体" w:cs="宋体"/>
                <w:color w:val="auto"/>
                <w:sz w:val="24"/>
                <w:szCs w:val="24"/>
                <w:highlight w:val="none"/>
              </w:rPr>
              <w:t>（5）供应商</w:t>
            </w:r>
            <w:r>
              <w:rPr>
                <w:rFonts w:ascii="宋体" w:hAnsi="宋体" w:eastAsia="宋体" w:cs="宋体"/>
                <w:color w:val="auto"/>
                <w:sz w:val="24"/>
                <w:szCs w:val="24"/>
                <w:highlight w:val="none"/>
              </w:rPr>
              <w:t>是自然人的，应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供有效的自然人身份证明。</w:t>
            </w:r>
          </w:p>
        </w:tc>
        <w:tc>
          <w:tcPr>
            <w:tcW w:w="1092" w:type="pct"/>
            <w:vAlign w:val="center"/>
          </w:tcPr>
          <w:p w14:paraId="7635AE33">
            <w:pPr>
              <w:spacing w:line="360" w:lineRule="auto"/>
              <w:jc w:val="left"/>
              <w:rPr>
                <w:rFonts w:ascii="宋体" w:hAnsi="宋体" w:eastAsia="宋体"/>
                <w:color w:val="auto"/>
                <w:sz w:val="24"/>
                <w:highlight w:val="none"/>
              </w:rPr>
            </w:pPr>
            <w:r>
              <w:rPr>
                <w:rFonts w:hint="eastAsia" w:ascii="宋体" w:hAnsi="宋体" w:eastAsia="宋体" w:cs="宋体"/>
                <w:color w:val="auto"/>
                <w:sz w:val="24"/>
                <w:szCs w:val="24"/>
                <w:highlight w:val="none"/>
              </w:rPr>
              <w:t>提供材料扫描件或电子证照，应完整的体现出材料或电子证照全部内容。</w:t>
            </w:r>
          </w:p>
        </w:tc>
      </w:tr>
      <w:tr w14:paraId="31CC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64" w:type="pct"/>
            <w:tcBorders>
              <w:bottom w:val="single" w:color="auto" w:sz="4" w:space="0"/>
            </w:tcBorders>
            <w:vAlign w:val="center"/>
          </w:tcPr>
          <w:p w14:paraId="5018DF1A">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942" w:type="pct"/>
            <w:tcBorders>
              <w:bottom w:val="single" w:color="auto" w:sz="4" w:space="0"/>
            </w:tcBorders>
            <w:vAlign w:val="center"/>
          </w:tcPr>
          <w:p w14:paraId="54E1F2BB">
            <w:pPr>
              <w:spacing w:after="50" w:line="360" w:lineRule="auto"/>
              <w:ind w:right="-10"/>
              <w:jc w:val="center"/>
              <w:rPr>
                <w:rFonts w:ascii="宋体" w:hAnsi="宋体" w:eastAsia="宋体"/>
                <w:color w:val="auto"/>
                <w:sz w:val="24"/>
                <w:szCs w:val="28"/>
                <w:highlight w:val="none"/>
              </w:rPr>
            </w:pPr>
            <w:r>
              <w:rPr>
                <w:rFonts w:hint="eastAsia" w:ascii="宋体" w:hAnsi="宋体" w:eastAsia="宋体"/>
                <w:color w:val="auto"/>
                <w:sz w:val="24"/>
                <w:szCs w:val="18"/>
                <w:highlight w:val="none"/>
              </w:rPr>
              <w:t>供应商资格声明书</w:t>
            </w:r>
          </w:p>
        </w:tc>
        <w:tc>
          <w:tcPr>
            <w:tcW w:w="2600" w:type="pct"/>
            <w:tcBorders>
              <w:bottom w:val="single" w:color="auto" w:sz="4" w:space="0"/>
            </w:tcBorders>
            <w:vAlign w:val="center"/>
          </w:tcPr>
          <w:p w14:paraId="50B63CEC">
            <w:pPr>
              <w:spacing w:after="50" w:line="360" w:lineRule="auto"/>
              <w:ind w:right="-10"/>
              <w:jc w:val="left"/>
              <w:rPr>
                <w:rFonts w:ascii="宋体" w:hAnsi="宋体" w:eastAsia="宋体"/>
                <w:color w:val="auto"/>
                <w:sz w:val="24"/>
                <w:szCs w:val="28"/>
                <w:highlight w:val="none"/>
              </w:rPr>
            </w:pP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供符合</w:t>
            </w:r>
            <w:r>
              <w:rPr>
                <w:rFonts w:hint="eastAsia" w:ascii="宋体" w:hAnsi="宋体" w:eastAsia="宋体" w:cs="宋体"/>
                <w:color w:val="auto"/>
                <w:sz w:val="24"/>
                <w:szCs w:val="24"/>
                <w:highlight w:val="none"/>
              </w:rPr>
              <w:t>磋商</w:t>
            </w:r>
            <w:r>
              <w:rPr>
                <w:rFonts w:ascii="宋体" w:hAnsi="宋体" w:eastAsia="宋体" w:cs="宋体"/>
                <w:color w:val="auto"/>
                <w:sz w:val="24"/>
                <w:szCs w:val="24"/>
                <w:highlight w:val="none"/>
              </w:rPr>
              <w:t>文件要求的《</w:t>
            </w:r>
            <w:r>
              <w:rPr>
                <w:rFonts w:hint="eastAsia" w:ascii="宋体" w:hAnsi="宋体" w:eastAsia="宋体" w:cs="宋体"/>
                <w:color w:val="auto"/>
                <w:sz w:val="24"/>
                <w:szCs w:val="24"/>
                <w:highlight w:val="none"/>
              </w:rPr>
              <w:t>供应商</w:t>
            </w:r>
            <w:r>
              <w:rPr>
                <w:rFonts w:ascii="宋体" w:hAnsi="宋体" w:eastAsia="宋体" w:cs="宋体"/>
                <w:color w:val="auto"/>
                <w:sz w:val="24"/>
                <w:szCs w:val="24"/>
                <w:highlight w:val="none"/>
              </w:rPr>
              <w:t>资格声明书》</w:t>
            </w:r>
            <w:r>
              <w:rPr>
                <w:rFonts w:hint="eastAsia" w:ascii="宋体" w:hAnsi="宋体" w:eastAsia="宋体" w:cs="宋体"/>
                <w:color w:val="auto"/>
                <w:sz w:val="24"/>
                <w:szCs w:val="24"/>
                <w:highlight w:val="none"/>
              </w:rPr>
              <w:t>。</w:t>
            </w:r>
          </w:p>
        </w:tc>
        <w:tc>
          <w:tcPr>
            <w:tcW w:w="1092" w:type="pct"/>
            <w:vAlign w:val="center"/>
          </w:tcPr>
          <w:p w14:paraId="2488A033">
            <w:pPr>
              <w:spacing w:line="360" w:lineRule="auto"/>
              <w:jc w:val="left"/>
              <w:rPr>
                <w:rFonts w:ascii="宋体" w:hAnsi="宋体" w:eastAsia="宋体" w:cs="宋体"/>
                <w:color w:val="auto"/>
                <w:sz w:val="24"/>
                <w:szCs w:val="24"/>
                <w:highlight w:val="none"/>
              </w:rPr>
            </w:pPr>
            <w:r>
              <w:rPr>
                <w:rFonts w:hint="eastAsia" w:ascii="宋体" w:hAnsi="宋体" w:eastAsia="宋体"/>
                <w:color w:val="auto"/>
                <w:sz w:val="24"/>
                <w:highlight w:val="none"/>
              </w:rPr>
              <w:t>详见第六章响应文件格式。</w:t>
            </w:r>
          </w:p>
        </w:tc>
      </w:tr>
      <w:tr w14:paraId="1EA88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bottom w:val="single" w:color="auto" w:sz="4" w:space="0"/>
            </w:tcBorders>
            <w:vAlign w:val="center"/>
          </w:tcPr>
          <w:p w14:paraId="22D7627E">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3</w:t>
            </w:r>
          </w:p>
        </w:tc>
        <w:tc>
          <w:tcPr>
            <w:tcW w:w="942" w:type="pct"/>
            <w:tcBorders>
              <w:bottom w:val="single" w:color="auto" w:sz="4" w:space="0"/>
            </w:tcBorders>
            <w:vAlign w:val="center"/>
          </w:tcPr>
          <w:p w14:paraId="5AD2FA5A">
            <w:pPr>
              <w:spacing w:after="50" w:line="360" w:lineRule="auto"/>
              <w:ind w:right="-10"/>
              <w:jc w:val="center"/>
              <w:rPr>
                <w:rFonts w:ascii="宋体" w:hAnsi="宋体" w:eastAsia="宋体"/>
                <w:color w:val="auto"/>
                <w:sz w:val="24"/>
                <w:szCs w:val="28"/>
                <w:highlight w:val="none"/>
              </w:rPr>
            </w:pPr>
            <w:r>
              <w:rPr>
                <w:rFonts w:hint="eastAsia" w:ascii="宋体" w:hAnsi="宋体" w:eastAsia="宋体"/>
                <w:color w:val="auto"/>
                <w:sz w:val="24"/>
                <w:szCs w:val="18"/>
                <w:highlight w:val="none"/>
              </w:rPr>
              <w:t>供应商</w:t>
            </w:r>
            <w:r>
              <w:rPr>
                <w:rFonts w:hint="eastAsia" w:ascii="宋体" w:hAnsi="宋体" w:eastAsia="宋体" w:cs="宋体"/>
                <w:color w:val="auto"/>
                <w:sz w:val="24"/>
                <w:szCs w:val="24"/>
                <w:highlight w:val="none"/>
              </w:rPr>
              <w:t>信用记录</w:t>
            </w:r>
          </w:p>
        </w:tc>
        <w:tc>
          <w:tcPr>
            <w:tcW w:w="2600" w:type="pct"/>
            <w:tcBorders>
              <w:bottom w:val="single" w:color="auto" w:sz="4" w:space="0"/>
            </w:tcBorders>
            <w:vAlign w:val="center"/>
          </w:tcPr>
          <w:p w14:paraId="1052DCA2">
            <w:pPr>
              <w:spacing w:after="50" w:line="360" w:lineRule="auto"/>
              <w:ind w:right="-10"/>
              <w:jc w:val="center"/>
              <w:rPr>
                <w:color w:val="auto"/>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zh-CN"/>
              </w:rPr>
              <w:t>不得存在《</w:t>
            </w:r>
            <w:r>
              <w:rPr>
                <w:rFonts w:hint="eastAsia" w:ascii="宋体" w:hAnsi="宋体" w:eastAsia="宋体" w:cs="宋体"/>
                <w:color w:val="auto"/>
                <w:sz w:val="24"/>
                <w:szCs w:val="24"/>
                <w:highlight w:val="none"/>
              </w:rPr>
              <w:t>磋商</w:t>
            </w:r>
            <w:r>
              <w:rPr>
                <w:rFonts w:hint="eastAsia" w:ascii="宋体" w:hAnsi="宋体" w:eastAsia="宋体" w:cs="宋体"/>
                <w:color w:val="auto"/>
                <w:sz w:val="24"/>
                <w:szCs w:val="24"/>
                <w:highlight w:val="none"/>
                <w:lang w:val="zh-CN"/>
              </w:rPr>
              <w:t>邀请》第4条信誉要求和</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zh-CN"/>
              </w:rPr>
              <w:t>须知正文第1</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092" w:type="pct"/>
            <w:tcBorders>
              <w:bottom w:val="single" w:color="auto" w:sz="4" w:space="0"/>
            </w:tcBorders>
            <w:vAlign w:val="center"/>
          </w:tcPr>
          <w:p w14:paraId="590BEEA0">
            <w:pPr>
              <w:spacing w:line="360" w:lineRule="auto"/>
              <w:jc w:val="left"/>
              <w:rPr>
                <w:color w:val="auto"/>
                <w:highlight w:val="none"/>
              </w:rPr>
            </w:pPr>
            <w:r>
              <w:rPr>
                <w:rFonts w:hint="eastAsia" w:ascii="宋体" w:hAnsi="宋体" w:eastAsia="宋体" w:cs="宋体"/>
                <w:color w:val="auto"/>
                <w:sz w:val="24"/>
                <w:szCs w:val="24"/>
                <w:highlight w:val="none"/>
              </w:rPr>
              <w:t>无须供应商提供，由采购人或采购代理机构查询。</w:t>
            </w:r>
          </w:p>
        </w:tc>
      </w:tr>
      <w:tr w14:paraId="533CD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bottom w:val="single" w:color="auto" w:sz="4" w:space="0"/>
            </w:tcBorders>
            <w:shd w:val="clear" w:color="auto" w:fill="auto"/>
            <w:vAlign w:val="center"/>
          </w:tcPr>
          <w:p w14:paraId="439956FC">
            <w:pPr>
              <w:keepNext w:val="0"/>
              <w:keepLines w:val="0"/>
              <w:suppressLineNumbers w:val="0"/>
              <w:adjustRightInd w:val="0"/>
              <w:snapToGrid w:val="0"/>
              <w:spacing w:before="0" w:beforeAutospacing="0" w:after="0" w:afterAutospacing="0" w:line="360" w:lineRule="auto"/>
              <w:ind w:left="0" w:leftChars="0" w:right="-10" w:rightChars="0"/>
              <w:jc w:val="center"/>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olor w:val="auto"/>
                <w:sz w:val="24"/>
                <w:szCs w:val="20"/>
                <w:highlight w:val="none"/>
                <w:lang w:val="en-US" w:eastAsia="zh-CN"/>
              </w:rPr>
              <w:t>4</w:t>
            </w:r>
          </w:p>
        </w:tc>
        <w:tc>
          <w:tcPr>
            <w:tcW w:w="942" w:type="pct"/>
            <w:tcBorders>
              <w:bottom w:val="single" w:color="auto" w:sz="4" w:space="0"/>
            </w:tcBorders>
            <w:shd w:val="clear" w:color="auto" w:fill="auto"/>
            <w:vAlign w:val="center"/>
          </w:tcPr>
          <w:p w14:paraId="58FBDBC9">
            <w:pPr>
              <w:keepNext w:val="0"/>
              <w:keepLines w:val="0"/>
              <w:suppressLineNumbers w:val="0"/>
              <w:spacing w:before="0" w:beforeAutospacing="0" w:after="50" w:afterAutospacing="0" w:line="360" w:lineRule="auto"/>
              <w:ind w:left="0" w:leftChars="0" w:right="-1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中小企业证明文件</w:t>
            </w:r>
          </w:p>
        </w:tc>
        <w:tc>
          <w:tcPr>
            <w:tcW w:w="2600" w:type="pct"/>
            <w:tcBorders>
              <w:bottom w:val="single" w:color="auto" w:sz="4" w:space="0"/>
            </w:tcBorders>
            <w:shd w:val="clear" w:color="auto" w:fill="auto"/>
            <w:vAlign w:val="center"/>
          </w:tcPr>
          <w:p w14:paraId="3AEE14D4">
            <w:pPr>
              <w:keepNext w:val="0"/>
              <w:keepLines w:val="0"/>
              <w:suppressLineNumbers w:val="0"/>
              <w:spacing w:before="0" w:beforeAutospacing="0" w:after="50" w:afterAutospacing="0" w:line="360" w:lineRule="auto"/>
              <w:ind w:left="0" w:right="-10" w:rightChars="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符合申请人的资格要求中落实政府采购政策需满足的资格要求：</w:t>
            </w:r>
          </w:p>
          <w:p w14:paraId="0B3036C7">
            <w:pPr>
              <w:keepNext w:val="0"/>
              <w:keepLines w:val="0"/>
              <w:suppressLineNumbers w:val="0"/>
              <w:spacing w:before="0" w:beforeAutospacing="0" w:after="50" w:afterAutospacing="0" w:line="360" w:lineRule="auto"/>
              <w:ind w:left="0" w:right="-10" w:rightChars="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（1）专门面向中小企业采购的，投标人应提供《中小企业声明函》或《残疾人福利性单位声明函》或由省级以上监狱管理局、戒毒管理局（含新疆 生产建设兵团）出具的属于监狱企业的证明文件。</w:t>
            </w:r>
          </w:p>
          <w:p w14:paraId="70B6EB35">
            <w:pPr>
              <w:keepNext w:val="0"/>
              <w:keepLines w:val="0"/>
              <w:suppressLineNumbers w:val="0"/>
              <w:spacing w:before="0" w:beforeAutospacing="0" w:after="50" w:afterAutospacing="0" w:line="360" w:lineRule="auto"/>
              <w:ind w:left="0" w:leftChars="0" w:right="-10" w:rightChars="0"/>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eastAsia="zh-CN"/>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092" w:type="pct"/>
            <w:tcBorders>
              <w:bottom w:val="single" w:color="auto" w:sz="4" w:space="0"/>
            </w:tcBorders>
            <w:shd w:val="clear" w:color="auto" w:fill="auto"/>
            <w:vAlign w:val="center"/>
          </w:tcPr>
          <w:p w14:paraId="3941E9D7">
            <w:pPr>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详见第六章投标文件格式。</w:t>
            </w:r>
          </w:p>
        </w:tc>
      </w:tr>
      <w:tr w14:paraId="66596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bottom w:val="single" w:color="auto" w:sz="4" w:space="0"/>
            </w:tcBorders>
            <w:vAlign w:val="center"/>
          </w:tcPr>
          <w:p w14:paraId="3626819A">
            <w:pPr>
              <w:adjustRightInd w:val="0"/>
              <w:snapToGrid w:val="0"/>
              <w:spacing w:line="360" w:lineRule="auto"/>
              <w:ind w:right="-10"/>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5</w:t>
            </w:r>
          </w:p>
        </w:tc>
        <w:tc>
          <w:tcPr>
            <w:tcW w:w="942" w:type="pct"/>
            <w:tcBorders>
              <w:bottom w:val="single" w:color="auto" w:sz="4" w:space="0"/>
            </w:tcBorders>
            <w:vAlign w:val="center"/>
          </w:tcPr>
          <w:p w14:paraId="07150671">
            <w:pPr>
              <w:spacing w:after="50" w:line="360" w:lineRule="auto"/>
              <w:ind w:right="-10"/>
              <w:jc w:val="center"/>
              <w:rPr>
                <w:rFonts w:ascii="宋体" w:hAnsi="宋体" w:eastAsia="宋体" w:cs="宋体"/>
                <w:color w:val="auto"/>
                <w:spacing w:val="10"/>
                <w:sz w:val="24"/>
                <w:szCs w:val="24"/>
                <w:highlight w:val="none"/>
              </w:rPr>
            </w:pPr>
            <w:r>
              <w:rPr>
                <w:rFonts w:ascii="宋体" w:hAnsi="宋体" w:eastAsia="宋体" w:cs="宋体"/>
                <w:color w:val="auto"/>
                <w:spacing w:val="10"/>
                <w:sz w:val="24"/>
                <w:szCs w:val="24"/>
                <w:highlight w:val="none"/>
              </w:rPr>
              <w:t>其他特定资格要求</w:t>
            </w:r>
          </w:p>
        </w:tc>
        <w:tc>
          <w:tcPr>
            <w:tcW w:w="2600" w:type="pct"/>
            <w:tcBorders>
              <w:bottom w:val="single" w:color="auto" w:sz="4" w:space="0"/>
            </w:tcBorders>
            <w:vAlign w:val="center"/>
          </w:tcPr>
          <w:p w14:paraId="5E99D656">
            <w:pPr>
              <w:spacing w:after="50" w:line="360" w:lineRule="auto"/>
              <w:ind w:right="-10"/>
              <w:jc w:val="center"/>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如有，</w:t>
            </w:r>
            <w:r>
              <w:rPr>
                <w:rFonts w:ascii="宋体" w:hAnsi="宋体" w:eastAsia="宋体" w:cs="宋体"/>
                <w:color w:val="auto"/>
                <w:spacing w:val="10"/>
                <w:sz w:val="24"/>
                <w:szCs w:val="24"/>
                <w:highlight w:val="none"/>
              </w:rPr>
              <w:t>见第一章《</w:t>
            </w:r>
            <w:r>
              <w:rPr>
                <w:rFonts w:hint="eastAsia" w:ascii="宋体" w:hAnsi="宋体" w:eastAsia="宋体" w:cs="宋体"/>
                <w:color w:val="auto"/>
                <w:spacing w:val="10"/>
                <w:sz w:val="24"/>
                <w:szCs w:val="24"/>
                <w:highlight w:val="none"/>
              </w:rPr>
              <w:t>磋商</w:t>
            </w:r>
            <w:r>
              <w:rPr>
                <w:rFonts w:ascii="宋体" w:hAnsi="宋体" w:eastAsia="宋体" w:cs="宋体"/>
                <w:color w:val="auto"/>
                <w:spacing w:val="10"/>
                <w:sz w:val="24"/>
                <w:szCs w:val="24"/>
                <w:highlight w:val="none"/>
              </w:rPr>
              <w:t>邀请》</w:t>
            </w:r>
          </w:p>
        </w:tc>
        <w:tc>
          <w:tcPr>
            <w:tcW w:w="1092" w:type="pct"/>
            <w:tcBorders>
              <w:bottom w:val="single" w:color="auto" w:sz="4" w:space="0"/>
            </w:tcBorders>
            <w:vAlign w:val="center"/>
          </w:tcPr>
          <w:p w14:paraId="71472373">
            <w:pPr>
              <w:spacing w:after="50" w:line="360" w:lineRule="auto"/>
              <w:ind w:right="-10"/>
              <w:rPr>
                <w:rFonts w:ascii="宋体" w:hAnsi="宋体" w:eastAsia="宋体" w:cs="宋体"/>
                <w:color w:val="auto"/>
                <w:spacing w:val="10"/>
                <w:sz w:val="24"/>
                <w:szCs w:val="24"/>
                <w:highlight w:val="none"/>
              </w:rPr>
            </w:pPr>
            <w:r>
              <w:rPr>
                <w:rFonts w:hint="eastAsia" w:ascii="宋体" w:hAnsi="宋体" w:eastAsia="宋体" w:cs="宋体"/>
                <w:color w:val="auto"/>
                <w:sz w:val="24"/>
                <w:szCs w:val="24"/>
                <w:highlight w:val="none"/>
              </w:rPr>
              <w:t>提供材料扫描件或电子证照，应完整的体现出材料或电子证照全部内容。</w:t>
            </w:r>
          </w:p>
        </w:tc>
      </w:tr>
      <w:tr w14:paraId="18DB8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bottom w:val="single" w:color="auto" w:sz="4" w:space="0"/>
            </w:tcBorders>
            <w:vAlign w:val="center"/>
          </w:tcPr>
          <w:p w14:paraId="74CD2AA8">
            <w:pPr>
              <w:adjustRightInd w:val="0"/>
              <w:snapToGrid w:val="0"/>
              <w:spacing w:line="360" w:lineRule="auto"/>
              <w:ind w:right="-10"/>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6</w:t>
            </w:r>
          </w:p>
        </w:tc>
        <w:tc>
          <w:tcPr>
            <w:tcW w:w="942" w:type="pct"/>
            <w:tcBorders>
              <w:bottom w:val="single" w:color="auto" w:sz="4" w:space="0"/>
            </w:tcBorders>
            <w:vAlign w:val="center"/>
          </w:tcPr>
          <w:p w14:paraId="4DF5F3F4">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磋商响应函</w:t>
            </w:r>
          </w:p>
        </w:tc>
        <w:tc>
          <w:tcPr>
            <w:tcW w:w="2600" w:type="pct"/>
            <w:tcBorders>
              <w:bottom w:val="single" w:color="auto" w:sz="4" w:space="0"/>
            </w:tcBorders>
            <w:vAlign w:val="center"/>
          </w:tcPr>
          <w:p w14:paraId="20B67603">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格式、填写要求符合磋商文件规定并加盖供应商电子签章</w:t>
            </w:r>
          </w:p>
        </w:tc>
        <w:tc>
          <w:tcPr>
            <w:tcW w:w="1092" w:type="pct"/>
            <w:tcBorders>
              <w:bottom w:val="single" w:color="auto" w:sz="4" w:space="0"/>
            </w:tcBorders>
            <w:vAlign w:val="center"/>
          </w:tcPr>
          <w:p w14:paraId="1E102A0F">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宋体" w:hAnsi="宋体" w:eastAsia="宋体"/>
                <w:color w:val="auto"/>
                <w:sz w:val="24"/>
                <w:highlight w:val="none"/>
              </w:rPr>
              <w:t>详见第六章响应文件格式。</w:t>
            </w:r>
          </w:p>
        </w:tc>
      </w:tr>
      <w:tr w14:paraId="42A2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vAlign w:val="center"/>
          </w:tcPr>
          <w:p w14:paraId="7C703CD2">
            <w:pPr>
              <w:adjustRightInd w:val="0"/>
              <w:snapToGrid w:val="0"/>
              <w:spacing w:line="360" w:lineRule="auto"/>
              <w:ind w:right="-10"/>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7</w:t>
            </w:r>
          </w:p>
        </w:tc>
        <w:tc>
          <w:tcPr>
            <w:tcW w:w="942" w:type="pct"/>
            <w:vAlign w:val="center"/>
          </w:tcPr>
          <w:p w14:paraId="19CA1993">
            <w:pPr>
              <w:spacing w:after="50" w:line="360" w:lineRule="auto"/>
              <w:ind w:right="-10"/>
              <w:jc w:val="center"/>
              <w:rPr>
                <w:rFonts w:ascii="宋体" w:hAnsi="宋体" w:eastAsia="宋体" w:cs="宋体"/>
                <w:color w:val="auto"/>
                <w:spacing w:val="10"/>
                <w:sz w:val="24"/>
                <w:szCs w:val="24"/>
                <w:highlight w:val="none"/>
              </w:rPr>
            </w:pPr>
            <w:r>
              <w:rPr>
                <w:rFonts w:hint="eastAsia" w:asciiTheme="minorEastAsia" w:hAnsiTheme="minorEastAsia" w:eastAsiaTheme="minorEastAsia"/>
                <w:color w:val="auto"/>
                <w:sz w:val="24"/>
                <w:szCs w:val="28"/>
                <w:highlight w:val="none"/>
              </w:rPr>
              <w:t>授权书</w:t>
            </w:r>
          </w:p>
        </w:tc>
        <w:tc>
          <w:tcPr>
            <w:tcW w:w="2600" w:type="pct"/>
            <w:vAlign w:val="center"/>
          </w:tcPr>
          <w:p w14:paraId="2707A439">
            <w:pPr>
              <w:spacing w:after="50" w:line="360" w:lineRule="auto"/>
              <w:ind w:right="-10"/>
              <w:jc w:val="center"/>
              <w:rPr>
                <w:rFonts w:ascii="宋体" w:hAnsi="宋体" w:eastAsia="宋体" w:cs="宋体"/>
                <w:color w:val="auto"/>
                <w:spacing w:val="10"/>
                <w:sz w:val="24"/>
                <w:szCs w:val="24"/>
                <w:highlight w:val="none"/>
              </w:rPr>
            </w:pPr>
            <w:r>
              <w:rPr>
                <w:rFonts w:hint="eastAsia" w:asciiTheme="minorEastAsia" w:hAnsiTheme="minorEastAsia" w:eastAsiaTheme="minorEastAsia"/>
                <w:color w:val="auto"/>
                <w:sz w:val="24"/>
                <w:szCs w:val="28"/>
                <w:highlight w:val="none"/>
              </w:rPr>
              <w:t>格式、填写要求符合</w:t>
            </w:r>
            <w:r>
              <w:rPr>
                <w:rFonts w:hint="eastAsia" w:ascii="宋体" w:hAnsi="宋体" w:eastAsia="宋体" w:cs="宋体"/>
                <w:color w:val="auto"/>
                <w:spacing w:val="10"/>
                <w:sz w:val="24"/>
                <w:szCs w:val="24"/>
                <w:highlight w:val="none"/>
              </w:rPr>
              <w:t>磋商</w:t>
            </w:r>
            <w:r>
              <w:rPr>
                <w:rFonts w:hint="eastAsia" w:asciiTheme="minorEastAsia" w:hAnsiTheme="minorEastAsia" w:eastAsiaTheme="minorEastAsia"/>
                <w:color w:val="auto"/>
                <w:sz w:val="24"/>
                <w:szCs w:val="28"/>
                <w:highlight w:val="none"/>
              </w:rPr>
              <w:t>文件规定并加盖</w:t>
            </w:r>
            <w:r>
              <w:rPr>
                <w:rFonts w:hint="eastAsia"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szCs w:val="28"/>
                <w:highlight w:val="none"/>
              </w:rPr>
              <w:t>电子签章</w:t>
            </w:r>
          </w:p>
        </w:tc>
        <w:tc>
          <w:tcPr>
            <w:tcW w:w="1092" w:type="pct"/>
            <w:vAlign w:val="center"/>
          </w:tcPr>
          <w:p w14:paraId="0FEFD437">
            <w:pPr>
              <w:adjustRightInd w:val="0"/>
              <w:snapToGrid w:val="0"/>
              <w:spacing w:line="360" w:lineRule="auto"/>
              <w:ind w:right="-10"/>
              <w:jc w:val="center"/>
              <w:rPr>
                <w:rFonts w:ascii="宋体" w:hAnsi="宋体" w:eastAsia="宋体" w:cs="宋体"/>
                <w:color w:val="auto"/>
                <w:sz w:val="24"/>
                <w:szCs w:val="24"/>
                <w:highlight w:val="none"/>
              </w:rPr>
            </w:pPr>
            <w:r>
              <w:rPr>
                <w:rFonts w:hint="eastAsia" w:asciiTheme="minorEastAsia" w:hAnsiTheme="minorEastAsia" w:eastAsiaTheme="minorEastAsia"/>
                <w:color w:val="auto"/>
                <w:sz w:val="24"/>
                <w:highlight w:val="none"/>
              </w:rPr>
              <w:t>法定代表人参加磋商的无需此件，提供身份证明即可。详见第六章响应文件格式。</w:t>
            </w:r>
          </w:p>
        </w:tc>
      </w:tr>
      <w:tr w14:paraId="47255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vAlign w:val="center"/>
          </w:tcPr>
          <w:p w14:paraId="7CEA8D60">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8</w:t>
            </w:r>
          </w:p>
        </w:tc>
        <w:tc>
          <w:tcPr>
            <w:tcW w:w="942" w:type="pct"/>
            <w:vAlign w:val="center"/>
          </w:tcPr>
          <w:p w14:paraId="04253689">
            <w:pPr>
              <w:spacing w:after="50" w:line="360" w:lineRule="auto"/>
              <w:ind w:right="-10"/>
              <w:jc w:val="center"/>
              <w:rPr>
                <w:rFonts w:ascii="宋体" w:hAnsi="宋体" w:eastAsia="宋体" w:cs="宋体"/>
                <w:color w:val="auto"/>
                <w:spacing w:val="10"/>
                <w:sz w:val="24"/>
                <w:szCs w:val="24"/>
                <w:highlight w:val="none"/>
              </w:rPr>
            </w:pPr>
            <w:r>
              <w:rPr>
                <w:rFonts w:hint="eastAsia" w:asciiTheme="minorEastAsia" w:hAnsiTheme="minorEastAsia" w:eastAsiaTheme="minorEastAsia"/>
                <w:color w:val="auto"/>
                <w:sz w:val="24"/>
                <w:szCs w:val="28"/>
                <w:highlight w:val="none"/>
              </w:rPr>
              <w:t>磋商报价</w:t>
            </w:r>
          </w:p>
        </w:tc>
        <w:tc>
          <w:tcPr>
            <w:tcW w:w="2600" w:type="pct"/>
            <w:vAlign w:val="center"/>
          </w:tcPr>
          <w:p w14:paraId="57874B12">
            <w:pPr>
              <w:spacing w:after="50" w:line="360" w:lineRule="auto"/>
              <w:ind w:right="-10"/>
              <w:jc w:val="center"/>
              <w:rPr>
                <w:rFonts w:ascii="宋体" w:hAnsi="宋体" w:eastAsia="宋体" w:cs="宋体"/>
                <w:color w:val="auto"/>
                <w:spacing w:val="10"/>
                <w:sz w:val="24"/>
                <w:szCs w:val="24"/>
                <w:highlight w:val="none"/>
              </w:rPr>
            </w:pPr>
            <w:r>
              <w:rPr>
                <w:rFonts w:hint="eastAsia" w:asciiTheme="minorEastAsia" w:hAnsiTheme="minorEastAsia" w:eastAsiaTheme="minorEastAsia"/>
                <w:color w:val="auto"/>
                <w:sz w:val="24"/>
                <w:szCs w:val="28"/>
                <w:highlight w:val="none"/>
              </w:rPr>
              <w:t>符合</w:t>
            </w:r>
            <w:r>
              <w:rPr>
                <w:rFonts w:hint="eastAsia" w:ascii="宋体" w:hAnsi="宋体" w:eastAsia="宋体" w:cs="宋体"/>
                <w:color w:val="auto"/>
                <w:spacing w:val="10"/>
                <w:sz w:val="24"/>
                <w:szCs w:val="24"/>
                <w:highlight w:val="none"/>
              </w:rPr>
              <w:t>磋商</w:t>
            </w:r>
            <w:r>
              <w:rPr>
                <w:rFonts w:hint="eastAsia" w:asciiTheme="minorEastAsia" w:hAnsiTheme="minorEastAsia" w:eastAsiaTheme="minorEastAsia"/>
                <w:color w:val="auto"/>
                <w:sz w:val="24"/>
                <w:highlight w:val="none"/>
              </w:rPr>
              <w:t>文件供应商须知正文第9条要求</w:t>
            </w:r>
          </w:p>
        </w:tc>
        <w:tc>
          <w:tcPr>
            <w:tcW w:w="1092" w:type="pct"/>
            <w:vAlign w:val="center"/>
          </w:tcPr>
          <w:p w14:paraId="7D8C6416">
            <w:pPr>
              <w:adjustRightInd w:val="0"/>
              <w:snapToGrid w:val="0"/>
              <w:spacing w:line="360" w:lineRule="auto"/>
              <w:ind w:right="-10"/>
              <w:jc w:val="center"/>
              <w:rPr>
                <w:rFonts w:ascii="宋体" w:hAnsi="宋体" w:eastAsia="宋体" w:cs="宋体"/>
                <w:color w:val="auto"/>
                <w:sz w:val="24"/>
                <w:szCs w:val="24"/>
                <w:highlight w:val="none"/>
              </w:rPr>
            </w:pPr>
            <w:r>
              <w:rPr>
                <w:rFonts w:hint="eastAsia" w:asciiTheme="minorEastAsia" w:hAnsiTheme="minorEastAsia" w:eastAsiaTheme="minorEastAsia"/>
                <w:color w:val="auto"/>
                <w:sz w:val="24"/>
                <w:highlight w:val="none"/>
              </w:rPr>
              <w:t>详见第六章响应文件格式。</w:t>
            </w:r>
          </w:p>
        </w:tc>
      </w:tr>
      <w:tr w14:paraId="40BB9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vAlign w:val="center"/>
          </w:tcPr>
          <w:p w14:paraId="67BCEF80">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9</w:t>
            </w:r>
          </w:p>
        </w:tc>
        <w:tc>
          <w:tcPr>
            <w:tcW w:w="942" w:type="pct"/>
            <w:vAlign w:val="center"/>
          </w:tcPr>
          <w:p w14:paraId="021AB554">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商务响应情况</w:t>
            </w:r>
          </w:p>
        </w:tc>
        <w:tc>
          <w:tcPr>
            <w:tcW w:w="2600" w:type="pct"/>
            <w:vAlign w:val="center"/>
          </w:tcPr>
          <w:p w14:paraId="260FD38C">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宋体" w:hAnsi="宋体" w:eastAsia="宋体" w:cs="宋体"/>
                <w:color w:val="auto"/>
                <w:spacing w:val="10"/>
                <w:sz w:val="24"/>
                <w:szCs w:val="24"/>
                <w:highlight w:val="none"/>
              </w:rPr>
              <w:t>磋商</w:t>
            </w:r>
            <w:r>
              <w:rPr>
                <w:rFonts w:hint="eastAsia" w:asciiTheme="minorEastAsia" w:hAnsiTheme="minorEastAsia" w:eastAsiaTheme="minorEastAsia"/>
                <w:color w:val="auto"/>
                <w:sz w:val="24"/>
                <w:szCs w:val="28"/>
                <w:highlight w:val="none"/>
              </w:rPr>
              <w:t>文件采购需求中对付款方式、服务地点、服务期限等实质性要求</w:t>
            </w:r>
          </w:p>
        </w:tc>
        <w:tc>
          <w:tcPr>
            <w:tcW w:w="1092" w:type="pct"/>
            <w:vAlign w:val="center"/>
          </w:tcPr>
          <w:p w14:paraId="08477D0F">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详见第六章响应文件格式。</w:t>
            </w:r>
          </w:p>
        </w:tc>
      </w:tr>
      <w:tr w14:paraId="0551F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vAlign w:val="center"/>
          </w:tcPr>
          <w:p w14:paraId="52831D36">
            <w:pPr>
              <w:adjustRightInd w:val="0"/>
              <w:snapToGrid w:val="0"/>
              <w:spacing w:line="360" w:lineRule="auto"/>
              <w:ind w:right="-10"/>
              <w:jc w:val="center"/>
              <w:rPr>
                <w:rFonts w:hint="default" w:ascii="宋体" w:hAnsi="宋体" w:eastAsia="宋体"/>
                <w:color w:val="auto"/>
                <w:sz w:val="24"/>
                <w:highlight w:val="none"/>
                <w:lang w:val="en-US" w:eastAsia="zh-CN"/>
              </w:rPr>
            </w:pPr>
            <w:r>
              <w:rPr>
                <w:rFonts w:hint="eastAsia" w:asciiTheme="minorEastAsia" w:hAnsiTheme="minorEastAsia" w:eastAsiaTheme="minorEastAsia"/>
                <w:color w:val="auto"/>
                <w:sz w:val="24"/>
                <w:highlight w:val="none"/>
                <w:lang w:val="en-US" w:eastAsia="zh-CN"/>
              </w:rPr>
              <w:t>10</w:t>
            </w:r>
          </w:p>
        </w:tc>
        <w:tc>
          <w:tcPr>
            <w:tcW w:w="942" w:type="pct"/>
            <w:vAlign w:val="center"/>
          </w:tcPr>
          <w:p w14:paraId="119A018F">
            <w:pPr>
              <w:spacing w:after="50" w:line="360" w:lineRule="auto"/>
              <w:ind w:right="-10"/>
              <w:jc w:val="center"/>
              <w:rPr>
                <w:rFonts w:ascii="宋体" w:hAnsi="宋体" w:eastAsia="宋体" w:cs="宋体"/>
                <w:color w:val="auto"/>
                <w:spacing w:val="10"/>
                <w:sz w:val="24"/>
                <w:szCs w:val="24"/>
                <w:highlight w:val="none"/>
              </w:rPr>
            </w:pPr>
            <w:r>
              <w:rPr>
                <w:rFonts w:hint="eastAsia" w:asciiTheme="minorEastAsia" w:hAnsiTheme="minorEastAsia" w:eastAsiaTheme="minorEastAsia"/>
                <w:color w:val="auto"/>
                <w:sz w:val="24"/>
                <w:szCs w:val="28"/>
                <w:highlight w:val="none"/>
              </w:rPr>
              <w:t>其他要求</w:t>
            </w:r>
          </w:p>
        </w:tc>
        <w:tc>
          <w:tcPr>
            <w:tcW w:w="2600" w:type="pct"/>
            <w:vAlign w:val="center"/>
          </w:tcPr>
          <w:p w14:paraId="35C2108D">
            <w:pPr>
              <w:spacing w:after="50" w:line="360" w:lineRule="auto"/>
              <w:ind w:right="-10"/>
              <w:jc w:val="center"/>
              <w:rPr>
                <w:rFonts w:ascii="宋体" w:hAnsi="宋体" w:eastAsia="宋体" w:cs="宋体"/>
                <w:color w:val="auto"/>
                <w:spacing w:val="10"/>
                <w:sz w:val="24"/>
                <w:szCs w:val="24"/>
                <w:highlight w:val="none"/>
              </w:rPr>
            </w:pPr>
            <w:r>
              <w:rPr>
                <w:rFonts w:hint="eastAsia" w:asciiTheme="minorEastAsia" w:hAnsiTheme="minorEastAsia" w:eastAsiaTheme="minorEastAsia"/>
                <w:color w:val="auto"/>
                <w:sz w:val="24"/>
                <w:szCs w:val="28"/>
                <w:highlight w:val="none"/>
              </w:rPr>
              <w:t>符合法律、行政法规规定的其他条件或磋商文件列明的其他实质性要求</w:t>
            </w:r>
          </w:p>
        </w:tc>
        <w:tc>
          <w:tcPr>
            <w:tcW w:w="1092" w:type="pct"/>
            <w:vAlign w:val="center"/>
          </w:tcPr>
          <w:p w14:paraId="41501625">
            <w:pPr>
              <w:adjustRightInd w:val="0"/>
              <w:snapToGrid w:val="0"/>
              <w:spacing w:line="360" w:lineRule="auto"/>
              <w:ind w:right="-10"/>
              <w:jc w:val="center"/>
              <w:rPr>
                <w:rFonts w:ascii="宋体" w:hAnsi="宋体" w:eastAsia="宋体" w:cs="宋体"/>
                <w:color w:val="auto"/>
                <w:sz w:val="24"/>
                <w:szCs w:val="24"/>
                <w:highlight w:val="none"/>
              </w:rPr>
            </w:pPr>
          </w:p>
        </w:tc>
      </w:tr>
    </w:tbl>
    <w:p w14:paraId="385D93B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初审指标通过标准：</w:t>
      </w:r>
      <w:r>
        <w:rPr>
          <w:rFonts w:hint="eastAsia" w:asciiTheme="minorEastAsia" w:hAnsiTheme="minorEastAsia" w:eastAsiaTheme="minorEastAsia"/>
          <w:color w:val="auto"/>
          <w:sz w:val="24"/>
          <w:highlight w:val="none"/>
        </w:rPr>
        <w:t>供应商必须通过初审表中的全部评审指标。</w:t>
      </w:r>
    </w:p>
    <w:p w14:paraId="2BA0FC55">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2.2综合评分</w:t>
      </w:r>
    </w:p>
    <w:p w14:paraId="3FE3A1E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磋商小组按照下表对</w:t>
      </w:r>
      <w:r>
        <w:rPr>
          <w:rFonts w:hint="eastAsia" w:ascii="宋体" w:hAnsi="宋体" w:eastAsia="宋体"/>
          <w:color w:val="auto"/>
          <w:sz w:val="24"/>
          <w:highlight w:val="none"/>
        </w:rPr>
        <w:t>进入综合评分的所有供应商的</w:t>
      </w:r>
      <w:r>
        <w:rPr>
          <w:rFonts w:hint="eastAsia" w:asciiTheme="minorEastAsia" w:hAnsiTheme="minorEastAsia" w:eastAsiaTheme="minorEastAsia"/>
          <w:color w:val="auto"/>
          <w:sz w:val="24"/>
          <w:highlight w:val="none"/>
        </w:rPr>
        <w:t>响应文件进行综合评分。</w:t>
      </w:r>
    </w:p>
    <w:p w14:paraId="65750067">
      <w:pPr>
        <w:spacing w:line="440" w:lineRule="exact"/>
        <w:ind w:firstLine="435"/>
        <w:rPr>
          <w:color w:val="auto"/>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本项目</w:t>
      </w:r>
      <w:r>
        <w:rPr>
          <w:rFonts w:hint="eastAsia" w:asciiTheme="minorEastAsia" w:hAnsiTheme="minorEastAsia" w:eastAsiaTheme="minorEastAsia"/>
          <w:color w:val="auto"/>
          <w:sz w:val="24"/>
          <w:highlight w:val="none"/>
          <w:lang w:val="en-US" w:eastAsia="zh-CN"/>
        </w:rPr>
        <w:t>第1包</w:t>
      </w:r>
      <w:r>
        <w:rPr>
          <w:rFonts w:hint="eastAsia" w:asciiTheme="minorEastAsia" w:hAnsiTheme="minorEastAsia" w:eastAsiaTheme="minorEastAsia"/>
          <w:color w:val="auto"/>
          <w:sz w:val="24"/>
          <w:highlight w:val="none"/>
        </w:rPr>
        <w:t>综合评分满分为1</w:t>
      </w:r>
      <w:r>
        <w:rPr>
          <w:rFonts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rPr>
        <w:t>分，其中：资信分值占总分值的权重为</w:t>
      </w:r>
      <w:r>
        <w:rPr>
          <w:rFonts w:hint="eastAsia" w:asciiTheme="minorEastAsia" w:hAnsiTheme="minorEastAsia" w:eastAsiaTheme="minorEastAsia"/>
          <w:color w:val="auto"/>
          <w:sz w:val="24"/>
          <w:highlight w:val="none"/>
          <w:u w:val="single"/>
          <w:lang w:val="en-US" w:eastAsia="zh-CN"/>
        </w:rPr>
        <w:t>22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技术分值占总分值的权重为</w:t>
      </w:r>
      <w:r>
        <w:rPr>
          <w:rFonts w:hint="eastAsia" w:asciiTheme="minorEastAsia" w:hAnsiTheme="minorEastAsia" w:eastAsiaTheme="minorEastAsia"/>
          <w:color w:val="auto"/>
          <w:sz w:val="24"/>
          <w:highlight w:val="none"/>
          <w:u w:val="single"/>
          <w:lang w:val="en-US" w:eastAsia="zh-CN"/>
        </w:rPr>
        <w:t>62</w:t>
      </w:r>
      <w:r>
        <w:rPr>
          <w:rFonts w:asciiTheme="minorEastAsia" w:hAnsiTheme="minorEastAsia" w:eastAsiaTheme="minorEastAsia"/>
          <w:color w:val="auto"/>
          <w:sz w:val="24"/>
          <w:highlight w:val="none"/>
        </w:rPr>
        <w:t>%，价格分值占总分值的权重为</w:t>
      </w:r>
      <w:r>
        <w:rPr>
          <w:rFonts w:hint="eastAsia" w:asciiTheme="minorEastAsia" w:hAnsiTheme="minorEastAsia" w:eastAsiaTheme="minorEastAsia"/>
          <w:color w:val="auto"/>
          <w:sz w:val="24"/>
          <w:highlight w:val="none"/>
          <w:u w:val="single"/>
          <w:lang w:val="en-US" w:eastAsia="zh-CN"/>
        </w:rPr>
        <w:t>16</w:t>
      </w:r>
      <w:r>
        <w:rPr>
          <w:rFonts w:asciiTheme="minorEastAsia" w:hAnsiTheme="minorEastAsia" w:eastAsiaTheme="minorEastAsia"/>
          <w:color w:val="auto"/>
          <w:sz w:val="24"/>
          <w:highlight w:val="none"/>
        </w:rPr>
        <w:t>%。具体评分细则如下：</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1488"/>
        <w:gridCol w:w="4375"/>
        <w:gridCol w:w="1187"/>
      </w:tblGrid>
      <w:tr w14:paraId="5022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4" w:type="pct"/>
            <w:tcBorders>
              <w:top w:val="single" w:color="auto" w:sz="4" w:space="0"/>
              <w:left w:val="single" w:color="auto" w:sz="4" w:space="0"/>
              <w:bottom w:val="single" w:color="auto" w:sz="4" w:space="0"/>
              <w:right w:val="single" w:color="auto" w:sz="4" w:space="0"/>
            </w:tcBorders>
            <w:vAlign w:val="center"/>
          </w:tcPr>
          <w:p w14:paraId="47B0E371">
            <w:pPr>
              <w:spacing w:line="400" w:lineRule="exact"/>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类别</w:t>
            </w:r>
          </w:p>
        </w:tc>
        <w:tc>
          <w:tcPr>
            <w:tcW w:w="873" w:type="pct"/>
            <w:tcBorders>
              <w:top w:val="single" w:color="auto" w:sz="4" w:space="0"/>
              <w:left w:val="single" w:color="auto" w:sz="4" w:space="0"/>
              <w:bottom w:val="single" w:color="auto" w:sz="4" w:space="0"/>
              <w:right w:val="single" w:color="auto" w:sz="4" w:space="0"/>
            </w:tcBorders>
            <w:vAlign w:val="center"/>
          </w:tcPr>
          <w:p w14:paraId="4E30F95E">
            <w:pPr>
              <w:spacing w:line="400" w:lineRule="exact"/>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评分内容</w:t>
            </w:r>
          </w:p>
        </w:tc>
        <w:tc>
          <w:tcPr>
            <w:tcW w:w="2566" w:type="pct"/>
            <w:tcBorders>
              <w:top w:val="single" w:color="auto" w:sz="4" w:space="0"/>
              <w:left w:val="single" w:color="auto" w:sz="4" w:space="0"/>
              <w:bottom w:val="single" w:color="auto" w:sz="4" w:space="0"/>
              <w:right w:val="single" w:color="auto" w:sz="4" w:space="0"/>
            </w:tcBorders>
            <w:vAlign w:val="center"/>
          </w:tcPr>
          <w:p w14:paraId="60E3CAF8">
            <w:pPr>
              <w:spacing w:line="400" w:lineRule="exact"/>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评分标准</w:t>
            </w:r>
          </w:p>
        </w:tc>
        <w:tc>
          <w:tcPr>
            <w:tcW w:w="695" w:type="pct"/>
            <w:tcBorders>
              <w:top w:val="single" w:color="auto" w:sz="4" w:space="0"/>
              <w:left w:val="single" w:color="auto" w:sz="4" w:space="0"/>
              <w:bottom w:val="single" w:color="auto" w:sz="4" w:space="0"/>
              <w:right w:val="single" w:color="auto" w:sz="4" w:space="0"/>
            </w:tcBorders>
            <w:vAlign w:val="center"/>
          </w:tcPr>
          <w:p w14:paraId="4E093628">
            <w:pPr>
              <w:spacing w:line="400" w:lineRule="exact"/>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分值范围</w:t>
            </w:r>
          </w:p>
        </w:tc>
      </w:tr>
      <w:tr w14:paraId="74ADD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pct"/>
            <w:vMerge w:val="restart"/>
            <w:tcBorders>
              <w:top w:val="single" w:color="auto" w:sz="4" w:space="0"/>
              <w:left w:val="single" w:color="auto" w:sz="4" w:space="0"/>
              <w:right w:val="single" w:color="auto" w:sz="4" w:space="0"/>
            </w:tcBorders>
            <w:vAlign w:val="center"/>
          </w:tcPr>
          <w:p w14:paraId="21D0BF1C">
            <w:pPr>
              <w:spacing w:line="4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资信分</w:t>
            </w:r>
          </w:p>
          <w:p w14:paraId="576E623C">
            <w:pPr>
              <w:spacing w:line="400" w:lineRule="exact"/>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22</w:t>
            </w:r>
            <w:r>
              <w:rPr>
                <w:rFonts w:hint="eastAsia" w:asciiTheme="minorEastAsia" w:hAnsiTheme="minorEastAsia" w:eastAsiaTheme="minorEastAsia"/>
                <w:color w:val="auto"/>
                <w:sz w:val="24"/>
                <w:highlight w:val="none"/>
              </w:rPr>
              <w:t>分）</w:t>
            </w:r>
          </w:p>
        </w:tc>
        <w:tc>
          <w:tcPr>
            <w:tcW w:w="873" w:type="pct"/>
            <w:tcBorders>
              <w:top w:val="single" w:color="auto" w:sz="4" w:space="0"/>
              <w:left w:val="single" w:color="auto" w:sz="4" w:space="0"/>
              <w:right w:val="single" w:color="auto" w:sz="4" w:space="0"/>
            </w:tcBorders>
            <w:shd w:val="clear" w:color="auto" w:fill="auto"/>
            <w:vAlign w:val="center"/>
          </w:tcPr>
          <w:p w14:paraId="36F4BE12">
            <w:pPr>
              <w:spacing w:line="400" w:lineRule="exact"/>
              <w:jc w:val="center"/>
              <w:rPr>
                <w:rFonts w:hint="eastAsia" w:cs="@仿宋_GB2312"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color w:val="auto"/>
                <w:sz w:val="24"/>
                <w:szCs w:val="24"/>
                <w:highlight w:val="none"/>
              </w:rPr>
              <w:t>供应商业绩</w:t>
            </w:r>
          </w:p>
        </w:tc>
        <w:tc>
          <w:tcPr>
            <w:tcW w:w="2566" w:type="pct"/>
            <w:tcBorders>
              <w:top w:val="single" w:color="auto" w:sz="4" w:space="0"/>
              <w:left w:val="single" w:color="auto" w:sz="4" w:space="0"/>
              <w:bottom w:val="single" w:color="auto" w:sz="4" w:space="0"/>
              <w:right w:val="single" w:color="auto" w:sz="4" w:space="0"/>
            </w:tcBorders>
            <w:shd w:val="clear" w:color="auto" w:fill="auto"/>
            <w:vAlign w:val="center"/>
          </w:tcPr>
          <w:p w14:paraId="2724F14A">
            <w:pPr>
              <w:spacing w:line="400" w:lineRule="exact"/>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投标人</w:t>
            </w:r>
            <w:r>
              <w:rPr>
                <w:rFonts w:hint="eastAsia" w:ascii="宋体" w:hAnsi="宋体" w:eastAsia="宋体" w:cs="宋体"/>
                <w:color w:val="auto"/>
                <w:sz w:val="24"/>
                <w:szCs w:val="24"/>
                <w:highlight w:val="none"/>
                <w:lang w:val="en-US" w:eastAsia="zh-CN" w:bidi="ar"/>
              </w:rPr>
              <w:t>自2022年1月1日至投标截止时间，</w:t>
            </w:r>
            <w:r>
              <w:rPr>
                <w:rFonts w:hint="eastAsia" w:ascii="宋体" w:hAnsi="宋体" w:eastAsia="宋体" w:cs="宋体"/>
                <w:color w:val="auto"/>
                <w:sz w:val="24"/>
                <w:szCs w:val="24"/>
                <w:highlight w:val="none"/>
                <w:lang w:eastAsia="zh-CN" w:bidi="ar"/>
              </w:rPr>
              <w:t>具有</w:t>
            </w:r>
            <w:r>
              <w:rPr>
                <w:rFonts w:hint="eastAsia" w:ascii="宋体" w:hAnsi="宋体" w:eastAsia="宋体" w:cs="宋体"/>
                <w:color w:val="auto"/>
                <w:sz w:val="24"/>
                <w:szCs w:val="24"/>
                <w:highlight w:val="none"/>
                <w:lang w:val="en-US" w:eastAsia="zh-CN" w:bidi="ar"/>
              </w:rPr>
              <w:t>智慧</w:t>
            </w:r>
            <w:r>
              <w:rPr>
                <w:rFonts w:hint="eastAsia" w:ascii="宋体" w:hAnsi="宋体" w:eastAsia="宋体" w:cs="宋体"/>
                <w:color w:val="auto"/>
                <w:sz w:val="24"/>
                <w:szCs w:val="24"/>
                <w:highlight w:val="none"/>
                <w:lang w:eastAsia="zh-CN" w:bidi="ar"/>
              </w:rPr>
              <w:t>课程制作服务类</w:t>
            </w:r>
            <w:r>
              <w:rPr>
                <w:rFonts w:hint="eastAsia" w:ascii="宋体" w:hAnsi="宋体" w:eastAsia="宋体" w:cs="宋体"/>
                <w:color w:val="auto"/>
                <w:sz w:val="24"/>
                <w:szCs w:val="24"/>
                <w:highlight w:val="none"/>
                <w:lang w:bidi="ar"/>
              </w:rPr>
              <w:t>项目</w:t>
            </w:r>
            <w:r>
              <w:rPr>
                <w:rFonts w:hint="eastAsia" w:ascii="宋体" w:hAnsi="宋体" w:eastAsia="宋体" w:cs="宋体"/>
                <w:color w:val="auto"/>
                <w:sz w:val="24"/>
                <w:szCs w:val="24"/>
                <w:highlight w:val="none"/>
                <w:lang w:eastAsia="zh-CN" w:bidi="ar"/>
              </w:rPr>
              <w:t>业绩的</w:t>
            </w:r>
            <w:r>
              <w:rPr>
                <w:rFonts w:hint="eastAsia" w:ascii="宋体" w:hAnsi="宋体" w:eastAsia="宋体" w:cs="宋体"/>
                <w:color w:val="auto"/>
                <w:sz w:val="24"/>
                <w:szCs w:val="24"/>
                <w:highlight w:val="none"/>
                <w:lang w:bidi="ar"/>
              </w:rPr>
              <w:t>。每提供一个得</w:t>
            </w: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 xml:space="preserve">分，最高得 </w:t>
            </w:r>
            <w:r>
              <w:rPr>
                <w:rFonts w:hint="eastAsia" w:ascii="宋体" w:hAnsi="宋体" w:eastAsia="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分。</w:t>
            </w:r>
          </w:p>
          <w:p w14:paraId="7559BDB0">
            <w:pPr>
              <w:spacing w:line="400" w:lineRule="exact"/>
              <w:jc w:val="left"/>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bidi="ar"/>
              </w:rPr>
              <w:t>注：①响应</w:t>
            </w:r>
            <w:r>
              <w:rPr>
                <w:rFonts w:hint="eastAsia" w:ascii="宋体" w:hAnsi="宋体" w:eastAsia="宋体" w:cs="宋体"/>
                <w:color w:val="auto"/>
                <w:sz w:val="24"/>
                <w:szCs w:val="24"/>
                <w:highlight w:val="none"/>
                <w:lang w:val="zh-CN" w:bidi="ar"/>
              </w:rPr>
              <w:t>文件中提供业绩合同扫描件，时间以合同签订时间为准；若合同材料中无法体现签订时间、供货内容等关键评审因素的，须另</w:t>
            </w:r>
            <w:r>
              <w:rPr>
                <w:rFonts w:hint="eastAsia" w:ascii="宋体" w:hAnsi="宋体" w:eastAsia="宋体" w:cs="宋体"/>
                <w:color w:val="auto"/>
                <w:sz w:val="24"/>
                <w:szCs w:val="24"/>
                <w:highlight w:val="none"/>
                <w:lang w:bidi="ar"/>
              </w:rPr>
              <w:t>外提供</w:t>
            </w:r>
            <w:r>
              <w:rPr>
                <w:rFonts w:hint="eastAsia" w:ascii="宋体" w:hAnsi="宋体" w:eastAsia="宋体" w:cs="宋体"/>
                <w:color w:val="auto"/>
                <w:sz w:val="24"/>
                <w:szCs w:val="24"/>
                <w:highlight w:val="none"/>
                <w:lang w:val="zh-CN" w:bidi="ar"/>
              </w:rPr>
              <w:t>业主（合同甲方）出具的证明材料。</w:t>
            </w:r>
          </w:p>
          <w:p w14:paraId="19355AE9">
            <w:pPr>
              <w:spacing w:line="400" w:lineRule="exact"/>
              <w:jc w:val="left"/>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sz w:val="24"/>
                <w:highlight w:val="none"/>
              </w:rPr>
              <w:t>②提供的项目业绩只计算评审分值对应的项目数量，按照排列顺序从首个业绩开始评审至对应数量，超出部分不进行评审。对应数量内业绩不符合采购文件要求不得分的，不再补充评审超出部分业绩。如：提供2个业绩即得满分的，按照响应文件排序评审第一、第二项业绩，其余超出部分不再评审。</w:t>
            </w:r>
          </w:p>
        </w:tc>
        <w:tc>
          <w:tcPr>
            <w:tcW w:w="695" w:type="pct"/>
            <w:tcBorders>
              <w:top w:val="single" w:color="auto" w:sz="4" w:space="0"/>
              <w:left w:val="single" w:color="auto" w:sz="4" w:space="0"/>
              <w:bottom w:val="single" w:color="auto" w:sz="4" w:space="0"/>
              <w:right w:val="single" w:color="auto" w:sz="4" w:space="0"/>
            </w:tcBorders>
            <w:shd w:val="clear" w:color="auto" w:fill="auto"/>
            <w:vAlign w:val="center"/>
          </w:tcPr>
          <w:p w14:paraId="373697F5">
            <w:pPr>
              <w:spacing w:line="400" w:lineRule="exact"/>
              <w:jc w:val="center"/>
              <w:rPr>
                <w:rFonts w:hint="eastAsia" w:cs="@仿宋_GB2312" w:asciiTheme="minorEastAsia" w:hAnsiTheme="minorEastAsia" w:eastAsiaTheme="minorEastAsia"/>
                <w:b/>
                <w:bCs/>
                <w:color w:val="auto"/>
                <w:kern w:val="2"/>
                <w:sz w:val="24"/>
                <w:highlight w:val="none"/>
                <w:lang w:val="en-US" w:eastAsia="zh-CN" w:bidi="ar-SA"/>
              </w:rPr>
            </w:pPr>
            <w:r>
              <w:rPr>
                <w:rFonts w:hint="eastAsia" w:asciiTheme="minorEastAsia" w:hAnsiTheme="minorEastAsia" w:eastAsiaTheme="minorEastAsia"/>
                <w:color w:val="auto"/>
                <w:sz w:val="24"/>
                <w:szCs w:val="24"/>
                <w:highlight w:val="none"/>
              </w:rPr>
              <w:t>0-4分</w:t>
            </w:r>
          </w:p>
        </w:tc>
      </w:tr>
      <w:tr w14:paraId="4F104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pct"/>
            <w:vMerge w:val="continue"/>
            <w:tcBorders>
              <w:left w:val="single" w:color="auto" w:sz="4" w:space="0"/>
              <w:right w:val="single" w:color="auto" w:sz="4" w:space="0"/>
            </w:tcBorders>
            <w:vAlign w:val="center"/>
          </w:tcPr>
          <w:p w14:paraId="29D59528">
            <w:pPr>
              <w:spacing w:line="400" w:lineRule="exact"/>
              <w:jc w:val="center"/>
              <w:rPr>
                <w:rFonts w:hint="eastAsia" w:asciiTheme="minorEastAsia" w:hAnsiTheme="minorEastAsia" w:eastAsiaTheme="minorEastAsia"/>
                <w:color w:val="auto"/>
                <w:sz w:val="24"/>
                <w:highlight w:val="none"/>
              </w:rPr>
            </w:pPr>
          </w:p>
        </w:tc>
        <w:tc>
          <w:tcPr>
            <w:tcW w:w="873" w:type="pct"/>
            <w:tcBorders>
              <w:top w:val="single" w:color="auto" w:sz="4" w:space="0"/>
              <w:left w:val="single" w:color="auto" w:sz="4" w:space="0"/>
              <w:right w:val="single" w:color="auto" w:sz="4" w:space="0"/>
            </w:tcBorders>
            <w:shd w:val="clear" w:color="auto" w:fill="auto"/>
            <w:vAlign w:val="center"/>
          </w:tcPr>
          <w:p w14:paraId="5264DBDC">
            <w:pPr>
              <w:spacing w:line="400" w:lineRule="exact"/>
              <w:jc w:val="center"/>
              <w:rPr>
                <w:rFonts w:hint="eastAsia" w:cs="@仿宋_GB2312" w:asciiTheme="minorEastAsia" w:hAnsiTheme="minorEastAsia" w:eastAsiaTheme="minorEastAsia"/>
                <w:color w:val="auto"/>
                <w:kern w:val="2"/>
                <w:sz w:val="24"/>
                <w:highlight w:val="none"/>
                <w:lang w:val="en-US" w:eastAsia="zh-CN" w:bidi="ar-SA"/>
              </w:rPr>
            </w:pPr>
            <w:r>
              <w:rPr>
                <w:rFonts w:hint="eastAsia" w:ascii="宋体" w:hAnsi="宋体" w:eastAsia="宋体" w:cs="宋体"/>
                <w:color w:val="auto"/>
                <w:sz w:val="24"/>
                <w:highlight w:val="none"/>
                <w:lang w:val="en-US" w:eastAsia="zh-CN"/>
              </w:rPr>
              <w:t>企业资质</w:t>
            </w:r>
          </w:p>
        </w:tc>
        <w:tc>
          <w:tcPr>
            <w:tcW w:w="2566" w:type="pct"/>
            <w:tcBorders>
              <w:top w:val="single" w:color="auto" w:sz="4" w:space="0"/>
              <w:left w:val="single" w:color="auto" w:sz="4" w:space="0"/>
              <w:bottom w:val="single" w:color="auto" w:sz="4" w:space="0"/>
              <w:right w:val="single" w:color="auto" w:sz="4" w:space="0"/>
            </w:tcBorders>
            <w:shd w:val="clear" w:color="auto" w:fill="auto"/>
            <w:vAlign w:val="center"/>
          </w:tcPr>
          <w:p w14:paraId="26F8E609">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供应商具有以下计算机软件著作权证书的，每提供一个得2分，未提供或不合格的不得分，本条满分18分。</w:t>
            </w:r>
          </w:p>
          <w:p w14:paraId="2557C03A">
            <w:pPr>
              <w:spacing w:line="400" w:lineRule="exact"/>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1.知识资源细颗粒度标签标引系统类；</w:t>
            </w:r>
          </w:p>
          <w:p w14:paraId="54AD00BE">
            <w:pPr>
              <w:spacing w:line="400" w:lineRule="exact"/>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2.知识图谱在线制作系统类；</w:t>
            </w:r>
          </w:p>
          <w:p w14:paraId="178F274E">
            <w:pPr>
              <w:spacing w:line="400" w:lineRule="exact"/>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3.电子图书数据库系统类；</w:t>
            </w:r>
          </w:p>
          <w:p w14:paraId="156B7421">
            <w:pPr>
              <w:spacing w:line="400" w:lineRule="exact"/>
              <w:jc w:val="both"/>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4.智慧教学课程在线管理系统软件类</w:t>
            </w:r>
            <w:r>
              <w:rPr>
                <w:rFonts w:hint="default" w:ascii="宋体" w:hAnsi="宋体" w:eastAsia="宋体" w:cs="宋体"/>
                <w:color w:val="auto"/>
                <w:sz w:val="24"/>
                <w:highlight w:val="none"/>
                <w:lang w:val="en-US" w:eastAsia="zh-CN"/>
              </w:rPr>
              <w:t>；</w:t>
            </w:r>
          </w:p>
          <w:p w14:paraId="53E9088F">
            <w:pPr>
              <w:spacing w:line="400" w:lineRule="exact"/>
              <w:jc w:val="both"/>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5.基于知识图谱的文献分析系统类</w:t>
            </w:r>
            <w:r>
              <w:rPr>
                <w:rFonts w:hint="default" w:ascii="宋体" w:hAnsi="宋体" w:eastAsia="宋体" w:cs="宋体"/>
                <w:color w:val="auto"/>
                <w:sz w:val="24"/>
                <w:highlight w:val="none"/>
                <w:lang w:val="en-US" w:eastAsia="zh-CN"/>
              </w:rPr>
              <w:t>；</w:t>
            </w:r>
          </w:p>
          <w:p w14:paraId="46AE44F8">
            <w:pPr>
              <w:spacing w:line="400" w:lineRule="exact"/>
              <w:jc w:val="both"/>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6.智能知识点打点推送系统类</w:t>
            </w:r>
            <w:r>
              <w:rPr>
                <w:rFonts w:hint="default" w:ascii="宋体" w:hAnsi="宋体" w:eastAsia="宋体" w:cs="宋体"/>
                <w:color w:val="auto"/>
                <w:sz w:val="24"/>
                <w:highlight w:val="none"/>
                <w:lang w:val="en-US" w:eastAsia="zh-CN"/>
              </w:rPr>
              <w:t>；</w:t>
            </w:r>
          </w:p>
          <w:p w14:paraId="2DDED196">
            <w:pPr>
              <w:spacing w:line="400" w:lineRule="exact"/>
              <w:jc w:val="both"/>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7.内容安全审核系统类</w:t>
            </w:r>
            <w:r>
              <w:rPr>
                <w:rFonts w:hint="default" w:ascii="宋体" w:hAnsi="宋体" w:eastAsia="宋体" w:cs="宋体"/>
                <w:color w:val="auto"/>
                <w:sz w:val="24"/>
                <w:highlight w:val="none"/>
                <w:lang w:val="en-US" w:eastAsia="zh-CN"/>
              </w:rPr>
              <w:t>；</w:t>
            </w:r>
          </w:p>
          <w:p w14:paraId="4655EEE9">
            <w:pPr>
              <w:spacing w:line="400" w:lineRule="exact"/>
              <w:jc w:val="both"/>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8.数字对象唯一标识符管理系统</w:t>
            </w:r>
            <w:r>
              <w:rPr>
                <w:rFonts w:hint="default" w:ascii="宋体" w:hAnsi="宋体" w:eastAsia="宋体" w:cs="宋体"/>
                <w:color w:val="auto"/>
                <w:sz w:val="24"/>
                <w:highlight w:val="none"/>
                <w:lang w:val="en-US" w:eastAsia="zh-CN"/>
              </w:rPr>
              <w:t>；</w:t>
            </w:r>
          </w:p>
          <w:p w14:paraId="29B88E0A">
            <w:pPr>
              <w:spacing w:line="400" w:lineRule="exact"/>
              <w:jc w:val="both"/>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9.AR增强现实学习平台类。</w:t>
            </w:r>
          </w:p>
          <w:p w14:paraId="7F386F69">
            <w:pPr>
              <w:spacing w:line="400" w:lineRule="exact"/>
              <w:jc w:val="both"/>
              <w:rPr>
                <w:rFonts w:hint="eastAsia" w:cs="@仿宋_GB2312" w:asciiTheme="minorEastAsia" w:hAnsiTheme="minorEastAsia" w:eastAsiaTheme="minorEastAsia"/>
                <w:color w:val="auto"/>
                <w:kern w:val="2"/>
                <w:sz w:val="24"/>
                <w:highlight w:val="none"/>
                <w:lang w:val="en-US" w:eastAsia="zh-CN" w:bidi="ar-SA"/>
              </w:rPr>
            </w:pPr>
            <w:r>
              <w:rPr>
                <w:rFonts w:hint="eastAsia" w:ascii="宋体" w:hAnsi="宋体" w:eastAsia="宋体" w:cs="宋体"/>
                <w:color w:val="auto"/>
                <w:sz w:val="24"/>
                <w:highlight w:val="none"/>
                <w:lang w:val="en-US" w:eastAsia="zh-CN"/>
              </w:rPr>
              <w:t>注：投标文件中提供证书扫描件并加盖投标人公章，未提供不得分。</w:t>
            </w:r>
          </w:p>
        </w:tc>
        <w:tc>
          <w:tcPr>
            <w:tcW w:w="695" w:type="pct"/>
            <w:tcBorders>
              <w:top w:val="single" w:color="auto" w:sz="4" w:space="0"/>
              <w:left w:val="single" w:color="auto" w:sz="4" w:space="0"/>
              <w:bottom w:val="single" w:color="auto" w:sz="4" w:space="0"/>
              <w:right w:val="single" w:color="auto" w:sz="4" w:space="0"/>
            </w:tcBorders>
            <w:shd w:val="clear" w:color="auto" w:fill="auto"/>
            <w:vAlign w:val="center"/>
          </w:tcPr>
          <w:p w14:paraId="64A901DB">
            <w:pPr>
              <w:spacing w:line="400" w:lineRule="exact"/>
              <w:jc w:val="center"/>
              <w:rPr>
                <w:rFonts w:hint="eastAsia" w:cs="@仿宋_GB2312" w:asciiTheme="minorEastAsia" w:hAnsiTheme="minorEastAsia" w:eastAsiaTheme="minorEastAsia"/>
                <w:b/>
                <w:bCs/>
                <w:color w:val="auto"/>
                <w:kern w:val="2"/>
                <w:sz w:val="24"/>
                <w:highlight w:val="none"/>
                <w:lang w:val="en-US" w:eastAsia="zh-CN" w:bidi="ar-SA"/>
              </w:rPr>
            </w:pPr>
            <w:r>
              <w:rPr>
                <w:rFonts w:hint="eastAsia" w:asciiTheme="minorEastAsia" w:hAnsiTheme="minorEastAsia" w:eastAsiaTheme="minorEastAsia"/>
                <w:color w:val="auto"/>
                <w:sz w:val="24"/>
                <w:szCs w:val="24"/>
                <w:highlight w:val="none"/>
              </w:rPr>
              <w:t>0-</w:t>
            </w:r>
            <w:r>
              <w:rPr>
                <w:rFonts w:hint="eastAsia" w:asciiTheme="minorEastAsia" w:hAnsiTheme="minorEastAsia" w:eastAsiaTheme="minorEastAsia"/>
                <w:color w:val="auto"/>
                <w:sz w:val="24"/>
                <w:szCs w:val="24"/>
                <w:highlight w:val="none"/>
                <w:lang w:val="en-US" w:eastAsia="zh-CN"/>
              </w:rPr>
              <w:t>18</w:t>
            </w:r>
            <w:r>
              <w:rPr>
                <w:rFonts w:hint="eastAsia" w:asciiTheme="minorEastAsia" w:hAnsiTheme="minorEastAsia" w:eastAsiaTheme="minorEastAsia"/>
                <w:color w:val="auto"/>
                <w:sz w:val="24"/>
                <w:szCs w:val="24"/>
                <w:highlight w:val="none"/>
              </w:rPr>
              <w:t>分</w:t>
            </w:r>
          </w:p>
        </w:tc>
      </w:tr>
      <w:tr w14:paraId="65D1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pct"/>
            <w:vMerge w:val="restart"/>
            <w:tcBorders>
              <w:top w:val="single" w:color="auto" w:sz="4" w:space="0"/>
              <w:left w:val="single" w:color="auto" w:sz="4" w:space="0"/>
              <w:right w:val="single" w:color="auto" w:sz="4" w:space="0"/>
            </w:tcBorders>
            <w:vAlign w:val="center"/>
          </w:tcPr>
          <w:p w14:paraId="74DCF6A0">
            <w:pPr>
              <w:spacing w:line="4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技术</w:t>
            </w:r>
            <w:r>
              <w:rPr>
                <w:rFonts w:hint="eastAsia" w:asciiTheme="minorEastAsia" w:hAnsiTheme="minorEastAsia" w:eastAsiaTheme="minorEastAsia"/>
                <w:color w:val="auto"/>
                <w:sz w:val="24"/>
                <w:highlight w:val="none"/>
              </w:rPr>
              <w:t>分</w:t>
            </w:r>
          </w:p>
          <w:p w14:paraId="5D76C226">
            <w:pPr>
              <w:spacing w:line="400" w:lineRule="exact"/>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62</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分）</w:t>
            </w:r>
          </w:p>
        </w:tc>
        <w:tc>
          <w:tcPr>
            <w:tcW w:w="873" w:type="pct"/>
            <w:tcBorders>
              <w:top w:val="single" w:color="auto" w:sz="4" w:space="0"/>
              <w:left w:val="single" w:color="auto" w:sz="4" w:space="0"/>
              <w:right w:val="single" w:color="auto" w:sz="4" w:space="0"/>
            </w:tcBorders>
            <w:vAlign w:val="center"/>
          </w:tcPr>
          <w:p w14:paraId="08B39341">
            <w:pPr>
              <w:widowControl/>
              <w:spacing w:line="400" w:lineRule="exact"/>
              <w:jc w:val="left"/>
              <w:rPr>
                <w:rFonts w:asciiTheme="minorEastAsia" w:hAnsiTheme="minorEastAsia" w:eastAsiaTheme="minorEastAsia"/>
                <w:bCs/>
                <w:color w:val="auto"/>
                <w:sz w:val="24"/>
                <w:highlight w:val="none"/>
              </w:rPr>
            </w:pPr>
            <w:r>
              <w:rPr>
                <w:rFonts w:hint="eastAsia" w:ascii="宋体" w:hAnsi="宋体" w:eastAsia="宋体" w:cs="宋体"/>
                <w:color w:val="auto"/>
                <w:kern w:val="0"/>
                <w:sz w:val="24"/>
                <w:szCs w:val="24"/>
                <w:highlight w:val="none"/>
                <w:lang w:val="en-US" w:eastAsia="zh-CN" w:bidi="ar"/>
              </w:rPr>
              <w:t>1.技术参数响应</w:t>
            </w:r>
          </w:p>
        </w:tc>
        <w:tc>
          <w:tcPr>
            <w:tcW w:w="2566" w:type="pct"/>
            <w:tcBorders>
              <w:top w:val="single" w:color="auto" w:sz="4" w:space="0"/>
              <w:left w:val="single" w:color="auto" w:sz="4" w:space="0"/>
              <w:bottom w:val="single" w:color="auto" w:sz="4" w:space="0"/>
              <w:right w:val="single" w:color="auto" w:sz="4" w:space="0"/>
            </w:tcBorders>
            <w:vAlign w:val="center"/>
          </w:tcPr>
          <w:p w14:paraId="685FD0F2">
            <w:pPr>
              <w:spacing w:line="400" w:lineRule="exact"/>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所投产品完全满足或优于招标文件采购需求中“技术参数”要求的全部内容，得32分。其中：</w:t>
            </w:r>
          </w:p>
          <w:p w14:paraId="6E46C79B">
            <w:pPr>
              <w:spacing w:line="400" w:lineRule="exact"/>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（1）标注“★”的参数，每满足或优于一项指标的得2分，共16项，共计32分。</w:t>
            </w:r>
          </w:p>
          <w:p w14:paraId="04A59A92">
            <w:pPr>
              <w:spacing w:line="400" w:lineRule="exact"/>
              <w:jc w:val="both"/>
              <w:rPr>
                <w:rFonts w:hint="default" w:ascii="宋体" w:hAnsi="宋体" w:eastAsia="宋体" w:cs="宋体"/>
                <w:b/>
                <w:bCs/>
                <w:color w:val="auto"/>
                <w:sz w:val="24"/>
                <w:highlight w:val="none"/>
                <w:lang w:val="en-US" w:eastAsia="zh-CN"/>
              </w:rPr>
            </w:pPr>
            <w:r>
              <w:rPr>
                <w:rFonts w:hint="eastAsia" w:ascii="宋体" w:hAnsi="宋体" w:eastAsia="宋体" w:cs="宋体"/>
                <w:color w:val="auto"/>
                <w:sz w:val="24"/>
                <w:highlight w:val="none"/>
                <w:lang w:val="en-US" w:eastAsia="zh-CN"/>
              </w:rPr>
              <w:t>（2）未标符号的为一般参数，响应文件中无需列明，但在合同签订后将作为履约验收的依据，</w:t>
            </w:r>
            <w:r>
              <w:rPr>
                <w:rFonts w:hint="eastAsia" w:ascii="宋体" w:hAnsi="宋体" w:eastAsia="宋体" w:cs="宋体"/>
                <w:b/>
                <w:bCs/>
                <w:color w:val="auto"/>
                <w:sz w:val="24"/>
                <w:highlight w:val="none"/>
                <w:lang w:val="en-US" w:eastAsia="zh-CN"/>
              </w:rPr>
              <w:t>供应商在响应文件中提供相关承诺函，承诺函格式自拟，但须明确体现上述内容，否则投标无效。</w:t>
            </w:r>
          </w:p>
          <w:p w14:paraId="130903D2">
            <w:pPr>
              <w:spacing w:line="400" w:lineRule="exact"/>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注：（1）如某项标识中包含多条技术参数或要求，则该项标识所含内容均需满足或优于招标文件要求，否则不予认可。 </w:t>
            </w:r>
          </w:p>
          <w:p w14:paraId="75FCB437">
            <w:pPr>
              <w:spacing w:line="400" w:lineRule="exact"/>
              <w:jc w:val="both"/>
              <w:rPr>
                <w:rFonts w:asciiTheme="minorEastAsia" w:hAnsiTheme="minorEastAsia" w:eastAsiaTheme="minorEastAsia"/>
                <w:bCs/>
                <w:color w:val="auto"/>
                <w:sz w:val="24"/>
                <w:highlight w:val="none"/>
              </w:rPr>
            </w:pPr>
            <w:r>
              <w:rPr>
                <w:rFonts w:hint="eastAsia" w:ascii="宋体" w:hAnsi="宋体" w:eastAsia="宋体" w:cs="宋体"/>
                <w:color w:val="auto"/>
                <w:sz w:val="24"/>
                <w:highlight w:val="none"/>
                <w:lang w:val="en-US" w:eastAsia="zh-CN"/>
              </w:rPr>
              <w:t>（2）以采购需求及技术参数要求提供的证明材料作为评审依据。技术参数响应情况投标人须依据所投产品如实填写，若自填响应或正偏离，供货时实际产品不响应或负偏离，弄虚作假谋取中标资格的，采购人有权上报相关部门，按相关法律处理。</w:t>
            </w:r>
          </w:p>
        </w:tc>
        <w:tc>
          <w:tcPr>
            <w:tcW w:w="695" w:type="pct"/>
            <w:tcBorders>
              <w:top w:val="single" w:color="auto" w:sz="4" w:space="0"/>
              <w:left w:val="single" w:color="auto" w:sz="4" w:space="0"/>
              <w:bottom w:val="single" w:color="auto" w:sz="4" w:space="0"/>
              <w:right w:val="single" w:color="auto" w:sz="4" w:space="0"/>
            </w:tcBorders>
            <w:vAlign w:val="center"/>
          </w:tcPr>
          <w:p w14:paraId="52E8BFF2">
            <w:pPr>
              <w:spacing w:line="400" w:lineRule="exact"/>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0-</w:t>
            </w:r>
            <w:r>
              <w:rPr>
                <w:rFonts w:hint="eastAsia" w:asciiTheme="minorEastAsia" w:hAnsiTheme="minorEastAsia" w:eastAsiaTheme="minorEastAsia"/>
                <w:b/>
                <w:bCs/>
                <w:color w:val="auto"/>
                <w:sz w:val="24"/>
                <w:highlight w:val="none"/>
                <w:lang w:val="en-US" w:eastAsia="zh-CN"/>
              </w:rPr>
              <w:t>32</w:t>
            </w:r>
            <w:r>
              <w:rPr>
                <w:rFonts w:hint="eastAsia" w:asciiTheme="minorEastAsia" w:hAnsiTheme="minorEastAsia" w:eastAsiaTheme="minorEastAsia"/>
                <w:b/>
                <w:bCs/>
                <w:color w:val="auto"/>
                <w:sz w:val="24"/>
                <w:highlight w:val="none"/>
              </w:rPr>
              <w:t>分</w:t>
            </w:r>
          </w:p>
        </w:tc>
      </w:tr>
      <w:tr w14:paraId="4B44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pct"/>
            <w:vMerge w:val="continue"/>
            <w:tcBorders>
              <w:left w:val="single" w:color="auto" w:sz="4" w:space="0"/>
              <w:right w:val="single" w:color="auto" w:sz="4" w:space="0"/>
            </w:tcBorders>
            <w:vAlign w:val="center"/>
          </w:tcPr>
          <w:p w14:paraId="70367FA1">
            <w:pPr>
              <w:spacing w:line="400" w:lineRule="exact"/>
              <w:ind w:firstLine="435"/>
              <w:jc w:val="center"/>
              <w:rPr>
                <w:rFonts w:asciiTheme="minorEastAsia" w:hAnsiTheme="minorEastAsia" w:eastAsiaTheme="minorEastAsia"/>
                <w:b/>
                <w:bCs/>
                <w:color w:val="auto"/>
                <w:sz w:val="24"/>
                <w:highlight w:val="none"/>
              </w:rPr>
            </w:pPr>
          </w:p>
        </w:tc>
        <w:tc>
          <w:tcPr>
            <w:tcW w:w="873" w:type="pct"/>
            <w:tcBorders>
              <w:top w:val="single" w:color="auto" w:sz="4" w:space="0"/>
              <w:left w:val="single" w:color="auto" w:sz="4" w:space="0"/>
              <w:right w:val="single" w:color="auto" w:sz="4" w:space="0"/>
            </w:tcBorders>
            <w:shd w:val="clear" w:color="auto" w:fill="auto"/>
            <w:vAlign w:val="center"/>
          </w:tcPr>
          <w:p w14:paraId="5C3051C9">
            <w:pPr>
              <w:widowControl/>
              <w:spacing w:line="400" w:lineRule="exact"/>
              <w:jc w:val="center"/>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2总体服务方案</w:t>
            </w:r>
          </w:p>
        </w:tc>
        <w:tc>
          <w:tcPr>
            <w:tcW w:w="2566" w:type="pct"/>
            <w:tcBorders>
              <w:top w:val="single" w:color="auto" w:sz="4" w:space="0"/>
              <w:left w:val="single" w:color="auto" w:sz="4" w:space="0"/>
              <w:bottom w:val="single" w:color="auto" w:sz="4" w:space="0"/>
              <w:right w:val="single" w:color="auto" w:sz="4" w:space="0"/>
            </w:tcBorders>
            <w:shd w:val="clear" w:color="auto" w:fill="auto"/>
            <w:vAlign w:val="center"/>
          </w:tcPr>
          <w:p w14:paraId="3C13D304">
            <w:pPr>
              <w:widowControl/>
              <w:spacing w:line="400" w:lineRule="exact"/>
              <w:jc w:val="both"/>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供应商针对本项目制定</w:t>
            </w:r>
            <w:r>
              <w:rPr>
                <w:rFonts w:hint="eastAsia" w:ascii="宋体" w:hAnsi="宋体" w:eastAsia="宋体" w:cs="宋体"/>
                <w:color w:val="auto"/>
                <w:sz w:val="24"/>
                <w:szCs w:val="24"/>
                <w:highlight w:val="none"/>
                <w:shd w:val="clear" w:color="auto" w:fill="FFFFFF"/>
                <w:lang w:val="en-US" w:eastAsia="zh-CN"/>
              </w:rPr>
              <w:t>总体服务方案</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对</w:t>
            </w:r>
            <w:r>
              <w:rPr>
                <w:rFonts w:hint="eastAsia" w:ascii="宋体" w:hAnsi="宋体" w:eastAsia="宋体" w:cs="宋体"/>
                <w:color w:val="auto"/>
                <w:sz w:val="24"/>
                <w:szCs w:val="24"/>
                <w:highlight w:val="none"/>
                <w:shd w:val="clear" w:color="auto" w:fill="FFFFFF"/>
                <w:lang w:val="en-US" w:eastAsia="zh-CN"/>
              </w:rPr>
              <w:t>服务方案内容</w:t>
            </w:r>
            <w:r>
              <w:rPr>
                <w:rFonts w:hint="eastAsia" w:ascii="宋体" w:hAnsi="宋体" w:eastAsia="宋体" w:cs="宋体"/>
                <w:color w:val="auto"/>
                <w:sz w:val="24"/>
                <w:szCs w:val="24"/>
                <w:highlight w:val="none"/>
                <w:shd w:val="clear" w:color="auto" w:fill="FFFFFF"/>
              </w:rPr>
              <w:t>阐述</w:t>
            </w:r>
            <w:r>
              <w:rPr>
                <w:rFonts w:hint="eastAsia" w:ascii="宋体" w:hAnsi="宋体" w:eastAsia="宋体" w:cs="宋体"/>
                <w:color w:val="auto"/>
                <w:sz w:val="24"/>
                <w:szCs w:val="24"/>
                <w:highlight w:val="none"/>
                <w:shd w:val="clear" w:color="auto" w:fill="FFFFFF"/>
                <w:lang w:val="en-US" w:eastAsia="zh-CN"/>
              </w:rPr>
              <w:t>分析</w:t>
            </w:r>
            <w:r>
              <w:rPr>
                <w:rFonts w:hint="eastAsia" w:ascii="宋体" w:hAnsi="宋体" w:eastAsia="宋体" w:cs="宋体"/>
                <w:color w:val="auto"/>
                <w:sz w:val="24"/>
                <w:szCs w:val="24"/>
                <w:highlight w:val="none"/>
                <w:shd w:val="clear" w:color="auto" w:fill="FFFFFF"/>
              </w:rPr>
              <w:t>，由磋商小组进行综合评审</w:t>
            </w:r>
            <w:r>
              <w:rPr>
                <w:rFonts w:hint="eastAsia" w:ascii="宋体" w:hAnsi="宋体" w:eastAsia="宋体" w:cs="宋体"/>
                <w:color w:val="auto"/>
                <w:sz w:val="24"/>
                <w:szCs w:val="24"/>
                <w:highlight w:val="none"/>
                <w:shd w:val="clear" w:color="auto" w:fill="FFFFFF"/>
                <w:lang w:eastAsia="zh-CN"/>
              </w:rPr>
              <w:t>：</w:t>
            </w:r>
          </w:p>
          <w:p w14:paraId="4762CE9A">
            <w:pPr>
              <w:widowControl/>
              <w:spacing w:line="400" w:lineRule="exact"/>
              <w:jc w:val="both"/>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val="en-US" w:eastAsia="zh-CN"/>
              </w:rPr>
              <w:t>总体服务</w:t>
            </w:r>
            <w:r>
              <w:rPr>
                <w:rFonts w:hint="eastAsia" w:ascii="宋体" w:hAnsi="宋体" w:eastAsia="宋体" w:cs="宋体"/>
                <w:color w:val="auto"/>
                <w:sz w:val="24"/>
                <w:szCs w:val="24"/>
                <w:highlight w:val="none"/>
                <w:shd w:val="clear" w:color="auto" w:fill="FFFFFF"/>
              </w:rPr>
              <w:t xml:space="preserve">方案详尽，利于项目实施的得5分； </w:t>
            </w:r>
          </w:p>
          <w:p w14:paraId="0111E6A6">
            <w:pPr>
              <w:widowControl/>
              <w:spacing w:line="400" w:lineRule="exact"/>
              <w:jc w:val="both"/>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w:t>
            </w:r>
            <w:r>
              <w:rPr>
                <w:rFonts w:hint="eastAsia" w:ascii="宋体" w:hAnsi="宋体" w:eastAsia="宋体" w:cs="宋体"/>
                <w:color w:val="auto"/>
                <w:sz w:val="24"/>
                <w:szCs w:val="24"/>
                <w:highlight w:val="none"/>
                <w:shd w:val="clear" w:color="auto" w:fill="FFFFFF"/>
                <w:lang w:val="en-US" w:eastAsia="zh-CN"/>
              </w:rPr>
              <w:t>总体服务方案完整</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shd w:val="clear" w:color="auto" w:fill="FFFFFF"/>
                <w:lang w:val="en-US" w:eastAsia="zh-CN"/>
              </w:rPr>
              <w:t>表述适当的</w:t>
            </w:r>
            <w:r>
              <w:rPr>
                <w:rFonts w:hint="eastAsia" w:ascii="宋体" w:hAnsi="宋体" w:eastAsia="宋体" w:cs="宋体"/>
                <w:color w:val="auto"/>
                <w:sz w:val="24"/>
                <w:szCs w:val="24"/>
                <w:highlight w:val="none"/>
                <w:shd w:val="clear" w:color="auto" w:fill="FFFFFF"/>
              </w:rPr>
              <w:t xml:space="preserve">得3分； </w:t>
            </w:r>
          </w:p>
          <w:p w14:paraId="109CE99D">
            <w:pPr>
              <w:widowControl/>
              <w:spacing w:line="400" w:lineRule="exact"/>
              <w:jc w:val="both"/>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w:t>
            </w:r>
            <w:r>
              <w:rPr>
                <w:rFonts w:hint="eastAsia" w:ascii="宋体" w:hAnsi="宋体" w:eastAsia="宋体" w:cs="宋体"/>
                <w:color w:val="auto"/>
                <w:sz w:val="24"/>
                <w:szCs w:val="24"/>
                <w:highlight w:val="none"/>
                <w:shd w:val="clear" w:color="auto" w:fill="FFFFFF"/>
                <w:lang w:val="en-US" w:eastAsia="zh-CN"/>
              </w:rPr>
              <w:t>总体服务方案要求突出不够明显，</w:t>
            </w:r>
            <w:r>
              <w:rPr>
                <w:rFonts w:hint="eastAsia" w:ascii="宋体" w:hAnsi="宋体" w:eastAsia="宋体" w:cs="宋体"/>
                <w:color w:val="auto"/>
                <w:sz w:val="24"/>
                <w:szCs w:val="24"/>
                <w:highlight w:val="none"/>
                <w:shd w:val="clear" w:color="auto" w:fill="FFFFFF"/>
              </w:rPr>
              <w:t>有待完善</w:t>
            </w:r>
            <w:r>
              <w:rPr>
                <w:rFonts w:hint="eastAsia" w:ascii="宋体" w:hAnsi="宋体" w:eastAsia="宋体" w:cs="宋体"/>
                <w:color w:val="auto"/>
                <w:sz w:val="24"/>
                <w:szCs w:val="24"/>
                <w:highlight w:val="none"/>
                <w:shd w:val="clear" w:color="auto" w:fill="FFFFFF"/>
                <w:lang w:val="en-US" w:eastAsia="zh-CN"/>
              </w:rPr>
              <w:t>的</w:t>
            </w:r>
            <w:r>
              <w:rPr>
                <w:rFonts w:hint="eastAsia" w:ascii="宋体" w:hAnsi="宋体" w:eastAsia="宋体" w:cs="宋体"/>
                <w:color w:val="auto"/>
                <w:sz w:val="24"/>
                <w:szCs w:val="24"/>
                <w:highlight w:val="none"/>
                <w:shd w:val="clear" w:color="auto" w:fill="FFFFFF"/>
              </w:rPr>
              <w:t xml:space="preserve">得1分； </w:t>
            </w:r>
          </w:p>
          <w:p w14:paraId="32722259">
            <w:pPr>
              <w:widowControl/>
              <w:spacing w:line="400" w:lineRule="exact"/>
              <w:jc w:val="both"/>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（4）未提供的不得分。</w:t>
            </w:r>
          </w:p>
        </w:tc>
        <w:tc>
          <w:tcPr>
            <w:tcW w:w="695" w:type="pct"/>
            <w:tcBorders>
              <w:top w:val="single" w:color="auto" w:sz="4" w:space="0"/>
              <w:left w:val="single" w:color="auto" w:sz="4" w:space="0"/>
              <w:bottom w:val="single" w:color="auto" w:sz="4" w:space="0"/>
              <w:right w:val="single" w:color="auto" w:sz="4" w:space="0"/>
            </w:tcBorders>
            <w:shd w:val="clear" w:color="auto" w:fill="auto"/>
            <w:vAlign w:val="center"/>
          </w:tcPr>
          <w:p w14:paraId="46631DA4">
            <w:pPr>
              <w:spacing w:line="400" w:lineRule="exact"/>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0-</w:t>
            </w:r>
            <w:r>
              <w:rPr>
                <w:rFonts w:hint="eastAsia" w:asciiTheme="minorEastAsia" w:hAnsiTheme="minorEastAsia" w:eastAsiaTheme="minorEastAsia"/>
                <w:b/>
                <w:bCs/>
                <w:color w:val="auto"/>
                <w:sz w:val="24"/>
                <w:highlight w:val="none"/>
                <w:lang w:val="en-US" w:eastAsia="zh-CN"/>
              </w:rPr>
              <w:t>5</w:t>
            </w:r>
            <w:r>
              <w:rPr>
                <w:rFonts w:hint="eastAsia" w:asciiTheme="minorEastAsia" w:hAnsiTheme="minorEastAsia" w:eastAsiaTheme="minorEastAsia"/>
                <w:b/>
                <w:bCs/>
                <w:color w:val="auto"/>
                <w:sz w:val="24"/>
                <w:highlight w:val="none"/>
              </w:rPr>
              <w:t>分</w:t>
            </w:r>
          </w:p>
        </w:tc>
      </w:tr>
      <w:tr w14:paraId="616AC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pct"/>
            <w:vMerge w:val="continue"/>
            <w:tcBorders>
              <w:left w:val="single" w:color="auto" w:sz="4" w:space="0"/>
              <w:right w:val="single" w:color="auto" w:sz="4" w:space="0"/>
            </w:tcBorders>
            <w:vAlign w:val="center"/>
          </w:tcPr>
          <w:p w14:paraId="26616775">
            <w:pPr>
              <w:spacing w:line="400" w:lineRule="exact"/>
              <w:ind w:firstLine="435"/>
              <w:jc w:val="center"/>
              <w:rPr>
                <w:rFonts w:asciiTheme="minorEastAsia" w:hAnsiTheme="minorEastAsia" w:eastAsiaTheme="minorEastAsia"/>
                <w:b/>
                <w:bCs/>
                <w:color w:val="auto"/>
                <w:sz w:val="24"/>
                <w:highlight w:val="none"/>
              </w:rPr>
            </w:pPr>
          </w:p>
        </w:tc>
        <w:tc>
          <w:tcPr>
            <w:tcW w:w="873" w:type="pct"/>
            <w:tcBorders>
              <w:top w:val="single" w:color="auto" w:sz="4" w:space="0"/>
              <w:left w:val="single" w:color="auto" w:sz="4" w:space="0"/>
              <w:right w:val="single" w:color="auto" w:sz="4" w:space="0"/>
            </w:tcBorders>
            <w:vAlign w:val="center"/>
          </w:tcPr>
          <w:p w14:paraId="6B410175">
            <w:pPr>
              <w:spacing w:line="360" w:lineRule="auto"/>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rPr>
              <w:t>3.项目背景及需求理解</w:t>
            </w:r>
          </w:p>
        </w:tc>
        <w:tc>
          <w:tcPr>
            <w:tcW w:w="2566" w:type="pct"/>
            <w:tcBorders>
              <w:top w:val="single" w:color="auto" w:sz="4" w:space="0"/>
              <w:left w:val="single" w:color="auto" w:sz="4" w:space="0"/>
              <w:bottom w:val="single" w:color="auto" w:sz="4" w:space="0"/>
              <w:right w:val="single" w:color="auto" w:sz="4" w:space="0"/>
            </w:tcBorders>
            <w:vAlign w:val="center"/>
          </w:tcPr>
          <w:p w14:paraId="3B5C1674">
            <w:pPr>
              <w:widowControl/>
              <w:spacing w:line="400" w:lineRule="exact"/>
              <w:jc w:val="both"/>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对供应商提供的项目背景及需求理解，</w:t>
            </w:r>
            <w:r>
              <w:rPr>
                <w:rFonts w:hint="eastAsia" w:ascii="宋体" w:hAnsi="宋体" w:eastAsia="宋体" w:cs="宋体"/>
                <w:color w:val="auto"/>
                <w:kern w:val="0"/>
                <w:sz w:val="24"/>
                <w:szCs w:val="24"/>
                <w:highlight w:val="none"/>
                <w:lang w:bidi="ar"/>
              </w:rPr>
              <w:t>由磋商小组进行综合评审</w:t>
            </w:r>
            <w:r>
              <w:rPr>
                <w:rFonts w:hint="eastAsia" w:asciiTheme="minorEastAsia" w:hAnsiTheme="minorEastAsia" w:eastAsiaTheme="minorEastAsia"/>
                <w:bCs/>
                <w:color w:val="auto"/>
                <w:sz w:val="24"/>
                <w:highlight w:val="none"/>
                <w:lang w:val="en-US" w:eastAsia="zh-CN"/>
              </w:rPr>
              <w:t>：</w:t>
            </w:r>
          </w:p>
          <w:p w14:paraId="3E515F85">
            <w:pPr>
              <w:spacing w:line="360" w:lineRule="auto"/>
              <w:jc w:val="both"/>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（1）内容完整详实，表述清晰，具有针对性，利于项目实施的得5分；</w:t>
            </w:r>
          </w:p>
          <w:p w14:paraId="5D049C8B">
            <w:pPr>
              <w:spacing w:line="360" w:lineRule="auto"/>
              <w:jc w:val="both"/>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（2）内容覆盖全面，内容完整详实，表述适当，符合项目实施要求的得3分；</w:t>
            </w:r>
          </w:p>
          <w:p w14:paraId="774759D3">
            <w:pPr>
              <w:spacing w:line="360" w:lineRule="auto"/>
              <w:jc w:val="both"/>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（3）内容有待完善，要点突出不够明显，针对性不够，具体细节有待完善的得1分；</w:t>
            </w:r>
          </w:p>
          <w:p w14:paraId="1F2C5447">
            <w:pPr>
              <w:spacing w:line="360" w:lineRule="auto"/>
              <w:jc w:val="both"/>
              <w:rPr>
                <w:rFonts w:hint="eastAsia" w:ascii="宋体" w:hAnsi="宋体" w:eastAsia="宋体" w:cs="宋体"/>
                <w:color w:val="auto"/>
                <w:sz w:val="24"/>
                <w:szCs w:val="24"/>
                <w:highlight w:val="none"/>
                <w:lang w:bidi="ar"/>
              </w:rPr>
            </w:pPr>
            <w:r>
              <w:rPr>
                <w:rFonts w:hint="eastAsia" w:asciiTheme="minorEastAsia" w:hAnsiTheme="minorEastAsia" w:eastAsiaTheme="minorEastAsia"/>
                <w:bCs/>
                <w:color w:val="auto"/>
                <w:sz w:val="24"/>
                <w:highlight w:val="none"/>
                <w:lang w:val="en-US" w:eastAsia="zh-CN"/>
              </w:rPr>
              <w:t>（4）未提供相应内容的不得分。</w:t>
            </w:r>
          </w:p>
        </w:tc>
        <w:tc>
          <w:tcPr>
            <w:tcW w:w="695" w:type="pct"/>
            <w:tcBorders>
              <w:top w:val="single" w:color="auto" w:sz="4" w:space="0"/>
              <w:left w:val="single" w:color="auto" w:sz="4" w:space="0"/>
              <w:bottom w:val="single" w:color="auto" w:sz="4" w:space="0"/>
              <w:right w:val="single" w:color="auto" w:sz="4" w:space="0"/>
            </w:tcBorders>
            <w:vAlign w:val="center"/>
          </w:tcPr>
          <w:p w14:paraId="7235EDAD">
            <w:pPr>
              <w:spacing w:line="400" w:lineRule="exact"/>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0-5分</w:t>
            </w:r>
          </w:p>
        </w:tc>
      </w:tr>
      <w:tr w14:paraId="1F3A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pct"/>
            <w:vMerge w:val="continue"/>
            <w:tcBorders>
              <w:left w:val="single" w:color="auto" w:sz="4" w:space="0"/>
              <w:right w:val="single" w:color="auto" w:sz="4" w:space="0"/>
            </w:tcBorders>
            <w:vAlign w:val="center"/>
          </w:tcPr>
          <w:p w14:paraId="2E8A434A">
            <w:pPr>
              <w:spacing w:line="400" w:lineRule="exact"/>
              <w:ind w:firstLine="435"/>
              <w:jc w:val="center"/>
              <w:rPr>
                <w:rFonts w:asciiTheme="minorEastAsia" w:hAnsiTheme="minorEastAsia" w:eastAsiaTheme="minorEastAsia"/>
                <w:b/>
                <w:bCs/>
                <w:color w:val="auto"/>
                <w:sz w:val="24"/>
                <w:highlight w:val="none"/>
              </w:rPr>
            </w:pPr>
          </w:p>
        </w:tc>
        <w:tc>
          <w:tcPr>
            <w:tcW w:w="873" w:type="pct"/>
            <w:tcBorders>
              <w:left w:val="single" w:color="auto" w:sz="4" w:space="0"/>
              <w:bottom w:val="single" w:color="auto" w:sz="4" w:space="0"/>
              <w:right w:val="single" w:color="auto" w:sz="4" w:space="0"/>
            </w:tcBorders>
            <w:shd w:val="clear" w:color="auto" w:fill="auto"/>
            <w:vAlign w:val="center"/>
          </w:tcPr>
          <w:p w14:paraId="523E9D17">
            <w:pPr>
              <w:spacing w:line="360" w:lineRule="auto"/>
              <w:jc w:val="center"/>
              <w:rPr>
                <w:rFonts w:hint="eastAsia" w:ascii="宋体" w:hAnsi="宋体" w:eastAsia="@仿宋_GB2312"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4.知识图谱建设方案</w:t>
            </w:r>
          </w:p>
        </w:tc>
        <w:tc>
          <w:tcPr>
            <w:tcW w:w="2566" w:type="pct"/>
            <w:tcBorders>
              <w:top w:val="single" w:color="auto" w:sz="4" w:space="0"/>
              <w:left w:val="single" w:color="auto" w:sz="4" w:space="0"/>
              <w:bottom w:val="single" w:color="auto" w:sz="4" w:space="0"/>
              <w:right w:val="single" w:color="auto" w:sz="4" w:space="0"/>
            </w:tcBorders>
            <w:shd w:val="clear" w:color="auto" w:fill="auto"/>
            <w:vAlign w:val="center"/>
          </w:tcPr>
          <w:p w14:paraId="7B5DAB13">
            <w:pPr>
              <w:spacing w:line="360" w:lineRule="auto"/>
              <w:jc w:val="both"/>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 xml:space="preserve">对供应商提供的知识图谱建设方案进行评审： </w:t>
            </w:r>
          </w:p>
          <w:p w14:paraId="67051C83">
            <w:pPr>
              <w:spacing w:line="360" w:lineRule="auto"/>
              <w:jc w:val="both"/>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w:t>
            </w:r>
            <w:r>
              <w:rPr>
                <w:rFonts w:hint="default" w:asciiTheme="minorEastAsia" w:hAnsiTheme="minorEastAsia" w:eastAsiaTheme="minorEastAsia"/>
                <w:bCs/>
                <w:color w:val="auto"/>
                <w:sz w:val="24"/>
                <w:highlight w:val="none"/>
                <w:lang w:val="en-US" w:eastAsia="zh-CN"/>
              </w:rPr>
              <w:t>1</w:t>
            </w:r>
            <w:r>
              <w:rPr>
                <w:rFonts w:hint="eastAsia" w:asciiTheme="minorEastAsia" w:hAnsiTheme="minorEastAsia" w:eastAsiaTheme="minorEastAsia"/>
                <w:bCs/>
                <w:color w:val="auto"/>
                <w:sz w:val="24"/>
                <w:highlight w:val="none"/>
                <w:lang w:val="en-US" w:eastAsia="zh-CN"/>
              </w:rPr>
              <w:t>）</w:t>
            </w:r>
            <w:r>
              <w:rPr>
                <w:rFonts w:hint="eastAsia" w:ascii="宋体" w:hAnsi="宋体" w:eastAsia="宋体" w:cs="宋体"/>
                <w:color w:val="auto"/>
                <w:sz w:val="24"/>
                <w:szCs w:val="24"/>
                <w:highlight w:val="none"/>
                <w:lang w:val="en-US" w:eastAsia="zh-CN"/>
              </w:rPr>
              <w:t>建设</w:t>
            </w:r>
            <w:r>
              <w:rPr>
                <w:rFonts w:hint="eastAsia" w:asciiTheme="minorEastAsia" w:hAnsiTheme="minorEastAsia" w:eastAsiaTheme="minorEastAsia"/>
                <w:bCs/>
                <w:color w:val="auto"/>
                <w:sz w:val="24"/>
                <w:highlight w:val="none"/>
                <w:lang w:val="en-US" w:eastAsia="zh-CN"/>
              </w:rPr>
              <w:t>方案内容完整、详尽细致紧，密结合实际，符合或优于采购需求的得</w:t>
            </w:r>
            <w:r>
              <w:rPr>
                <w:rFonts w:hint="default" w:asciiTheme="minorEastAsia" w:hAnsiTheme="minorEastAsia" w:eastAsiaTheme="minorEastAsia"/>
                <w:bCs/>
                <w:color w:val="auto"/>
                <w:sz w:val="24"/>
                <w:highlight w:val="none"/>
                <w:lang w:val="en-US" w:eastAsia="zh-CN"/>
              </w:rPr>
              <w:t>5</w:t>
            </w:r>
            <w:r>
              <w:rPr>
                <w:rFonts w:hint="eastAsia" w:asciiTheme="minorEastAsia" w:hAnsiTheme="minorEastAsia" w:eastAsiaTheme="minorEastAsia"/>
                <w:bCs/>
                <w:color w:val="auto"/>
                <w:sz w:val="24"/>
                <w:highlight w:val="none"/>
                <w:lang w:val="en-US" w:eastAsia="zh-CN"/>
              </w:rPr>
              <w:t xml:space="preserve">分； </w:t>
            </w:r>
          </w:p>
          <w:p w14:paraId="6826CD96">
            <w:pPr>
              <w:spacing w:line="360" w:lineRule="auto"/>
              <w:jc w:val="both"/>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w:t>
            </w:r>
            <w:r>
              <w:rPr>
                <w:rFonts w:hint="default" w:asciiTheme="minorEastAsia" w:hAnsiTheme="minorEastAsia" w:eastAsiaTheme="minorEastAsia"/>
                <w:bCs/>
                <w:color w:val="auto"/>
                <w:sz w:val="24"/>
                <w:highlight w:val="none"/>
                <w:lang w:val="en-US" w:eastAsia="zh-CN"/>
              </w:rPr>
              <w:t>2</w:t>
            </w:r>
            <w:r>
              <w:rPr>
                <w:rFonts w:hint="eastAsia" w:asciiTheme="minorEastAsia" w:hAnsiTheme="minorEastAsia" w:eastAsiaTheme="minorEastAsia"/>
                <w:bCs/>
                <w:color w:val="auto"/>
                <w:sz w:val="24"/>
                <w:highlight w:val="none"/>
                <w:lang w:val="en-US" w:eastAsia="zh-CN"/>
              </w:rPr>
              <w:t>）</w:t>
            </w:r>
            <w:r>
              <w:rPr>
                <w:rFonts w:hint="eastAsia" w:ascii="宋体" w:hAnsi="宋体" w:eastAsia="宋体" w:cs="宋体"/>
                <w:color w:val="auto"/>
                <w:sz w:val="24"/>
                <w:szCs w:val="24"/>
                <w:highlight w:val="none"/>
                <w:lang w:val="en-US" w:eastAsia="zh-CN"/>
              </w:rPr>
              <w:t>建设</w:t>
            </w:r>
            <w:r>
              <w:rPr>
                <w:rFonts w:hint="eastAsia" w:asciiTheme="minorEastAsia" w:hAnsiTheme="minorEastAsia" w:eastAsiaTheme="minorEastAsia"/>
                <w:bCs/>
                <w:color w:val="auto"/>
                <w:sz w:val="24"/>
                <w:highlight w:val="none"/>
                <w:lang w:val="en-US" w:eastAsia="zh-CN"/>
              </w:rPr>
              <w:t>方案内容完整、结合实际，满足采购需求的得</w:t>
            </w:r>
            <w:r>
              <w:rPr>
                <w:rFonts w:hint="default" w:asciiTheme="minorEastAsia" w:hAnsiTheme="minorEastAsia" w:eastAsiaTheme="minorEastAsia"/>
                <w:bCs/>
                <w:color w:val="auto"/>
                <w:sz w:val="24"/>
                <w:highlight w:val="none"/>
                <w:lang w:val="en-US" w:eastAsia="zh-CN"/>
              </w:rPr>
              <w:t>3</w:t>
            </w:r>
            <w:r>
              <w:rPr>
                <w:rFonts w:hint="eastAsia" w:asciiTheme="minorEastAsia" w:hAnsiTheme="minorEastAsia" w:eastAsiaTheme="minorEastAsia"/>
                <w:bCs/>
                <w:color w:val="auto"/>
                <w:sz w:val="24"/>
                <w:highlight w:val="none"/>
                <w:lang w:val="en-US" w:eastAsia="zh-CN"/>
              </w:rPr>
              <w:t xml:space="preserve">分； </w:t>
            </w:r>
          </w:p>
          <w:p w14:paraId="6A2E994C">
            <w:pPr>
              <w:spacing w:line="360" w:lineRule="auto"/>
              <w:jc w:val="both"/>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w:t>
            </w:r>
            <w:r>
              <w:rPr>
                <w:rFonts w:hint="default" w:asciiTheme="minorEastAsia" w:hAnsiTheme="minorEastAsia" w:eastAsiaTheme="minorEastAsia"/>
                <w:bCs/>
                <w:color w:val="auto"/>
                <w:sz w:val="24"/>
                <w:highlight w:val="none"/>
                <w:lang w:val="en-US" w:eastAsia="zh-CN"/>
              </w:rPr>
              <w:t>3</w:t>
            </w:r>
            <w:r>
              <w:rPr>
                <w:rFonts w:hint="eastAsia" w:asciiTheme="minorEastAsia" w:hAnsiTheme="minorEastAsia" w:eastAsiaTheme="minorEastAsia"/>
                <w:bCs/>
                <w:color w:val="auto"/>
                <w:sz w:val="24"/>
                <w:highlight w:val="none"/>
                <w:lang w:val="en-US" w:eastAsia="zh-CN"/>
              </w:rPr>
              <w:t>）</w:t>
            </w:r>
            <w:r>
              <w:rPr>
                <w:rFonts w:hint="eastAsia" w:ascii="宋体" w:hAnsi="宋体" w:eastAsia="宋体" w:cs="宋体"/>
                <w:color w:val="auto"/>
                <w:sz w:val="24"/>
                <w:szCs w:val="24"/>
                <w:highlight w:val="none"/>
                <w:lang w:val="en-US" w:eastAsia="zh-CN"/>
              </w:rPr>
              <w:t>建设</w:t>
            </w:r>
            <w:r>
              <w:rPr>
                <w:rFonts w:hint="eastAsia" w:asciiTheme="minorEastAsia" w:hAnsiTheme="minorEastAsia" w:eastAsiaTheme="minorEastAsia"/>
                <w:bCs/>
                <w:color w:val="auto"/>
                <w:sz w:val="24"/>
                <w:highlight w:val="none"/>
                <w:lang w:val="en-US" w:eastAsia="zh-CN"/>
              </w:rPr>
              <w:t>方案内容简单，出现非专门针对本项目或整体有待完善的得</w:t>
            </w:r>
            <w:r>
              <w:rPr>
                <w:rFonts w:hint="default" w:asciiTheme="minorEastAsia" w:hAnsiTheme="minorEastAsia" w:eastAsiaTheme="minorEastAsia"/>
                <w:bCs/>
                <w:color w:val="auto"/>
                <w:sz w:val="24"/>
                <w:highlight w:val="none"/>
                <w:lang w:val="en-US" w:eastAsia="zh-CN"/>
              </w:rPr>
              <w:t>1</w:t>
            </w:r>
            <w:r>
              <w:rPr>
                <w:rFonts w:hint="eastAsia" w:asciiTheme="minorEastAsia" w:hAnsiTheme="minorEastAsia" w:eastAsiaTheme="minorEastAsia"/>
                <w:bCs/>
                <w:color w:val="auto"/>
                <w:sz w:val="24"/>
                <w:highlight w:val="none"/>
                <w:lang w:val="en-US" w:eastAsia="zh-CN"/>
              </w:rPr>
              <w:t xml:space="preserve">分； </w:t>
            </w:r>
          </w:p>
          <w:p w14:paraId="2DD381CE">
            <w:pPr>
              <w:spacing w:line="360" w:lineRule="auto"/>
              <w:jc w:val="both"/>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w:t>
            </w:r>
            <w:r>
              <w:rPr>
                <w:rFonts w:hint="default" w:asciiTheme="minorEastAsia" w:hAnsiTheme="minorEastAsia" w:eastAsiaTheme="minorEastAsia"/>
                <w:bCs/>
                <w:color w:val="auto"/>
                <w:sz w:val="24"/>
                <w:highlight w:val="none"/>
                <w:lang w:val="en-US" w:eastAsia="zh-CN"/>
              </w:rPr>
              <w:t>4</w:t>
            </w:r>
            <w:r>
              <w:rPr>
                <w:rFonts w:hint="eastAsia" w:asciiTheme="minorEastAsia" w:hAnsiTheme="minorEastAsia" w:eastAsiaTheme="minorEastAsia"/>
                <w:bCs/>
                <w:color w:val="auto"/>
                <w:sz w:val="24"/>
                <w:highlight w:val="none"/>
                <w:lang w:val="en-US" w:eastAsia="zh-CN"/>
              </w:rPr>
              <w:t>）未提供或内容存在明显缺陷的不得分。</w:t>
            </w:r>
          </w:p>
        </w:tc>
        <w:tc>
          <w:tcPr>
            <w:tcW w:w="695" w:type="pct"/>
            <w:tcBorders>
              <w:top w:val="single" w:color="auto" w:sz="4" w:space="0"/>
              <w:left w:val="single" w:color="auto" w:sz="4" w:space="0"/>
              <w:bottom w:val="single" w:color="auto" w:sz="4" w:space="0"/>
              <w:right w:val="single" w:color="auto" w:sz="4" w:space="0"/>
            </w:tcBorders>
            <w:shd w:val="clear" w:color="auto" w:fill="auto"/>
            <w:vAlign w:val="center"/>
          </w:tcPr>
          <w:p w14:paraId="79647D99">
            <w:pPr>
              <w:spacing w:line="400" w:lineRule="exact"/>
              <w:jc w:val="center"/>
              <w:rPr>
                <w:rFonts w:hint="eastAsia" w:asciiTheme="minorEastAsia" w:hAnsiTheme="minorEastAsia" w:eastAsiaTheme="minorEastAsia"/>
                <w:b w:val="0"/>
                <w:bCs w:val="0"/>
                <w:color w:val="auto"/>
                <w:sz w:val="24"/>
                <w:highlight w:val="none"/>
              </w:rPr>
            </w:pPr>
            <w:r>
              <w:rPr>
                <w:rFonts w:hint="eastAsia" w:asciiTheme="minorEastAsia" w:hAnsiTheme="minorEastAsia" w:eastAsiaTheme="minorEastAsia"/>
                <w:b/>
                <w:bCs/>
                <w:color w:val="auto"/>
                <w:sz w:val="24"/>
                <w:highlight w:val="none"/>
              </w:rPr>
              <w:t>0-5分</w:t>
            </w:r>
          </w:p>
        </w:tc>
      </w:tr>
      <w:tr w14:paraId="3198F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pct"/>
            <w:vMerge w:val="continue"/>
            <w:tcBorders>
              <w:left w:val="single" w:color="auto" w:sz="4" w:space="0"/>
              <w:right w:val="single" w:color="auto" w:sz="4" w:space="0"/>
            </w:tcBorders>
            <w:vAlign w:val="center"/>
          </w:tcPr>
          <w:p w14:paraId="78787AE0">
            <w:pPr>
              <w:spacing w:line="400" w:lineRule="exact"/>
              <w:ind w:firstLine="435"/>
              <w:jc w:val="center"/>
              <w:rPr>
                <w:rFonts w:asciiTheme="minorEastAsia" w:hAnsiTheme="minorEastAsia" w:eastAsiaTheme="minorEastAsia"/>
                <w:b/>
                <w:bCs/>
                <w:color w:val="auto"/>
                <w:sz w:val="24"/>
                <w:highlight w:val="none"/>
              </w:rPr>
            </w:pPr>
          </w:p>
        </w:tc>
        <w:tc>
          <w:tcPr>
            <w:tcW w:w="873" w:type="pct"/>
            <w:tcBorders>
              <w:left w:val="single" w:color="auto" w:sz="4" w:space="0"/>
              <w:bottom w:val="single" w:color="auto" w:sz="4" w:space="0"/>
              <w:right w:val="single" w:color="auto" w:sz="4" w:space="0"/>
            </w:tcBorders>
            <w:shd w:val="clear" w:color="auto" w:fill="auto"/>
            <w:vAlign w:val="center"/>
          </w:tcPr>
          <w:p w14:paraId="13AA2A90">
            <w:pPr>
              <w:spacing w:line="360" w:lineRule="auto"/>
              <w:jc w:val="center"/>
              <w:rPr>
                <w:rFonts w:hint="eastAsia" w:cs="@仿宋_GB2312" w:asciiTheme="minorEastAsia" w:hAnsiTheme="minorEastAsia" w:eastAsiaTheme="minorEastAsia"/>
                <w:color w:val="auto"/>
                <w:kern w:val="2"/>
                <w:sz w:val="24"/>
                <w:highlight w:val="none"/>
                <w:lang w:val="en-US" w:eastAsia="zh-CN" w:bidi="ar-SA"/>
              </w:rPr>
            </w:pPr>
            <w:r>
              <w:rPr>
                <w:rFonts w:hint="eastAsia" w:ascii="宋体" w:hAnsi="宋体" w:eastAsia="宋体" w:cs="宋体"/>
                <w:color w:val="auto"/>
                <w:sz w:val="24"/>
                <w:szCs w:val="24"/>
                <w:highlight w:val="none"/>
                <w:lang w:val="en-US" w:eastAsia="zh-CN"/>
              </w:rPr>
              <w:t>5.智慧课程3D虚拟展厅建设方案</w:t>
            </w:r>
          </w:p>
        </w:tc>
        <w:tc>
          <w:tcPr>
            <w:tcW w:w="2566" w:type="pct"/>
            <w:tcBorders>
              <w:top w:val="single" w:color="auto" w:sz="4" w:space="0"/>
              <w:left w:val="single" w:color="auto" w:sz="4" w:space="0"/>
              <w:bottom w:val="single" w:color="auto" w:sz="4" w:space="0"/>
              <w:right w:val="single" w:color="auto" w:sz="4" w:space="0"/>
            </w:tcBorders>
            <w:shd w:val="clear" w:color="auto" w:fill="auto"/>
            <w:vAlign w:val="center"/>
          </w:tcPr>
          <w:p w14:paraId="2F33EE11">
            <w:pPr>
              <w:widowControl/>
              <w:spacing w:line="400" w:lineRule="exact"/>
              <w:jc w:val="both"/>
              <w:rPr>
                <w:rFonts w:hint="eastAsia" w:eastAsia="宋体" w:asciiTheme="minorEastAsia" w:hAnsi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对供应商提供的</w:t>
            </w:r>
            <w:r>
              <w:rPr>
                <w:rFonts w:hint="eastAsia" w:ascii="宋体" w:hAnsi="宋体" w:eastAsia="宋体" w:cs="宋体"/>
                <w:color w:val="auto"/>
                <w:sz w:val="24"/>
                <w:szCs w:val="24"/>
                <w:highlight w:val="none"/>
                <w:lang w:val="en-US" w:eastAsia="zh-CN"/>
              </w:rPr>
              <w:t>智慧课程3D虚拟展厅建设方案</w:t>
            </w:r>
            <w:r>
              <w:rPr>
                <w:rFonts w:hint="eastAsia" w:asciiTheme="minorEastAsia" w:hAnsiTheme="minorEastAsia" w:eastAsiaTheme="minorEastAsia"/>
                <w:bCs/>
                <w:color w:val="auto"/>
                <w:sz w:val="24"/>
                <w:highlight w:val="none"/>
                <w:lang w:val="en-US" w:eastAsia="zh-CN"/>
              </w:rPr>
              <w:t>，</w:t>
            </w:r>
            <w:r>
              <w:rPr>
                <w:rFonts w:hint="eastAsia" w:ascii="宋体" w:hAnsi="宋体" w:eastAsia="宋体" w:cs="宋体"/>
                <w:color w:val="auto"/>
                <w:kern w:val="0"/>
                <w:sz w:val="24"/>
                <w:szCs w:val="24"/>
                <w:highlight w:val="none"/>
                <w:lang w:bidi="ar"/>
              </w:rPr>
              <w:t>由磋商小组进行综合评审</w:t>
            </w:r>
            <w:r>
              <w:rPr>
                <w:rFonts w:hint="eastAsia" w:ascii="宋体" w:hAnsi="宋体" w:eastAsia="宋体" w:cs="宋体"/>
                <w:color w:val="auto"/>
                <w:kern w:val="0"/>
                <w:sz w:val="24"/>
                <w:szCs w:val="24"/>
                <w:highlight w:val="none"/>
                <w:lang w:eastAsia="zh-CN" w:bidi="ar"/>
              </w:rPr>
              <w:t>：</w:t>
            </w:r>
          </w:p>
          <w:p w14:paraId="2F3F9BEB">
            <w:pPr>
              <w:spacing w:line="360" w:lineRule="auto"/>
              <w:jc w:val="both"/>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（1）</w:t>
            </w:r>
            <w:r>
              <w:rPr>
                <w:rFonts w:hint="eastAsia" w:ascii="宋体" w:hAnsi="宋体" w:eastAsia="宋体" w:cs="宋体"/>
                <w:color w:val="auto"/>
                <w:sz w:val="24"/>
                <w:szCs w:val="24"/>
                <w:highlight w:val="none"/>
                <w:lang w:val="en-US" w:eastAsia="zh-CN"/>
              </w:rPr>
              <w:t>建设方案内容及</w:t>
            </w:r>
            <w:r>
              <w:rPr>
                <w:rFonts w:hint="eastAsia" w:asciiTheme="minorEastAsia" w:hAnsiTheme="minorEastAsia" w:eastAsiaTheme="minorEastAsia"/>
                <w:bCs/>
                <w:color w:val="auto"/>
                <w:sz w:val="24"/>
                <w:highlight w:val="none"/>
                <w:lang w:val="en-US" w:eastAsia="zh-CN"/>
              </w:rPr>
              <w:t>措施详尽、举措得当的得5分；</w:t>
            </w:r>
          </w:p>
          <w:p w14:paraId="6DFA7ACE">
            <w:pPr>
              <w:spacing w:line="360" w:lineRule="auto"/>
              <w:jc w:val="both"/>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（2）</w:t>
            </w:r>
            <w:r>
              <w:rPr>
                <w:rFonts w:hint="eastAsia" w:ascii="宋体" w:hAnsi="宋体" w:eastAsia="宋体" w:cs="宋体"/>
                <w:color w:val="auto"/>
                <w:sz w:val="24"/>
                <w:szCs w:val="24"/>
                <w:highlight w:val="none"/>
                <w:lang w:val="en-US" w:eastAsia="zh-CN"/>
              </w:rPr>
              <w:t>建设方案内容及</w:t>
            </w:r>
            <w:r>
              <w:rPr>
                <w:rFonts w:hint="eastAsia" w:asciiTheme="minorEastAsia" w:hAnsiTheme="minorEastAsia" w:eastAsiaTheme="minorEastAsia"/>
                <w:bCs/>
                <w:color w:val="auto"/>
                <w:sz w:val="24"/>
                <w:highlight w:val="none"/>
                <w:lang w:val="en-US" w:eastAsia="zh-CN"/>
              </w:rPr>
              <w:t>措施详尽、应对措施合理的得3分；</w:t>
            </w:r>
          </w:p>
          <w:p w14:paraId="07AED581">
            <w:pPr>
              <w:spacing w:line="360" w:lineRule="auto"/>
              <w:jc w:val="both"/>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（3）</w:t>
            </w:r>
            <w:r>
              <w:rPr>
                <w:rFonts w:hint="eastAsia" w:ascii="宋体" w:hAnsi="宋体" w:eastAsia="宋体" w:cs="宋体"/>
                <w:color w:val="auto"/>
                <w:sz w:val="24"/>
                <w:szCs w:val="24"/>
                <w:highlight w:val="none"/>
                <w:lang w:val="en-US" w:eastAsia="zh-CN"/>
              </w:rPr>
              <w:t>建设方案内容及</w:t>
            </w:r>
            <w:r>
              <w:rPr>
                <w:rFonts w:hint="eastAsia" w:asciiTheme="minorEastAsia" w:hAnsiTheme="minorEastAsia" w:eastAsiaTheme="minorEastAsia"/>
                <w:bCs/>
                <w:color w:val="auto"/>
                <w:sz w:val="24"/>
                <w:highlight w:val="none"/>
                <w:lang w:val="en-US" w:eastAsia="zh-CN"/>
              </w:rPr>
              <w:t>措施不完善、无有效应对措施的得1分;</w:t>
            </w:r>
          </w:p>
          <w:p w14:paraId="1940C556">
            <w:pPr>
              <w:spacing w:line="360" w:lineRule="auto"/>
              <w:jc w:val="both"/>
              <w:rPr>
                <w:rFonts w:hint="eastAsia" w:cs="@仿宋_GB2312"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bCs/>
                <w:color w:val="auto"/>
                <w:sz w:val="24"/>
                <w:highlight w:val="none"/>
                <w:lang w:val="en-US" w:eastAsia="zh-CN"/>
              </w:rPr>
              <w:t>（4）未提供相应内容的不得分。</w:t>
            </w:r>
          </w:p>
        </w:tc>
        <w:tc>
          <w:tcPr>
            <w:tcW w:w="695" w:type="pct"/>
            <w:tcBorders>
              <w:top w:val="single" w:color="auto" w:sz="4" w:space="0"/>
              <w:left w:val="single" w:color="auto" w:sz="4" w:space="0"/>
              <w:bottom w:val="single" w:color="auto" w:sz="4" w:space="0"/>
              <w:right w:val="single" w:color="auto" w:sz="4" w:space="0"/>
            </w:tcBorders>
            <w:shd w:val="clear" w:color="auto" w:fill="auto"/>
            <w:vAlign w:val="center"/>
          </w:tcPr>
          <w:p w14:paraId="4193E14E">
            <w:pPr>
              <w:spacing w:line="400" w:lineRule="exact"/>
              <w:jc w:val="center"/>
              <w:rPr>
                <w:rFonts w:hint="eastAsia" w:cs="@仿宋_GB2312" w:asciiTheme="minorEastAsia" w:hAnsiTheme="minorEastAsia" w:eastAsiaTheme="minorEastAsia"/>
                <w:b/>
                <w:bCs/>
                <w:color w:val="auto"/>
                <w:kern w:val="2"/>
                <w:sz w:val="24"/>
                <w:highlight w:val="none"/>
                <w:lang w:val="en-US" w:eastAsia="zh-CN" w:bidi="ar-SA"/>
              </w:rPr>
            </w:pPr>
            <w:r>
              <w:rPr>
                <w:rFonts w:hint="eastAsia" w:asciiTheme="minorEastAsia" w:hAnsiTheme="minorEastAsia" w:eastAsiaTheme="minorEastAsia"/>
                <w:b/>
                <w:bCs/>
                <w:color w:val="auto"/>
                <w:sz w:val="24"/>
                <w:highlight w:val="none"/>
              </w:rPr>
              <w:t>0-5分</w:t>
            </w:r>
          </w:p>
        </w:tc>
      </w:tr>
      <w:tr w14:paraId="4D2A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pct"/>
            <w:vMerge w:val="continue"/>
            <w:tcBorders>
              <w:left w:val="single" w:color="auto" w:sz="4" w:space="0"/>
              <w:right w:val="single" w:color="auto" w:sz="4" w:space="0"/>
            </w:tcBorders>
            <w:vAlign w:val="center"/>
          </w:tcPr>
          <w:p w14:paraId="7EAB2F91">
            <w:pPr>
              <w:spacing w:line="400" w:lineRule="exact"/>
              <w:ind w:firstLine="435"/>
              <w:jc w:val="center"/>
              <w:rPr>
                <w:rFonts w:asciiTheme="minorEastAsia" w:hAnsiTheme="minorEastAsia" w:eastAsiaTheme="minorEastAsia"/>
                <w:b/>
                <w:bCs/>
                <w:color w:val="auto"/>
                <w:sz w:val="24"/>
                <w:highlight w:val="none"/>
              </w:rPr>
            </w:pPr>
          </w:p>
        </w:tc>
        <w:tc>
          <w:tcPr>
            <w:tcW w:w="873" w:type="pct"/>
            <w:tcBorders>
              <w:left w:val="single" w:color="auto" w:sz="4" w:space="0"/>
              <w:bottom w:val="single" w:color="auto" w:sz="4" w:space="0"/>
              <w:right w:val="single" w:color="auto" w:sz="4" w:space="0"/>
            </w:tcBorders>
            <w:vAlign w:val="center"/>
          </w:tcPr>
          <w:p w14:paraId="7C28BF7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
                <w:kern w:val="0"/>
                <w:sz w:val="24"/>
                <w:szCs w:val="24"/>
                <w:highlight w:val="none"/>
                <w:lang w:val="en-US" w:eastAsia="zh-CN"/>
              </w:rPr>
              <w:t>6.项目重难点分析方案</w:t>
            </w:r>
          </w:p>
        </w:tc>
        <w:tc>
          <w:tcPr>
            <w:tcW w:w="2566" w:type="pct"/>
            <w:tcBorders>
              <w:top w:val="single" w:color="auto" w:sz="4" w:space="0"/>
              <w:left w:val="single" w:color="auto" w:sz="4" w:space="0"/>
              <w:bottom w:val="single" w:color="auto" w:sz="4" w:space="0"/>
              <w:right w:val="single" w:color="auto" w:sz="4" w:space="0"/>
            </w:tcBorders>
            <w:vAlign w:val="center"/>
          </w:tcPr>
          <w:p w14:paraId="48426BDA">
            <w:pPr>
              <w:widowControl/>
              <w:spacing w:line="400" w:lineRule="exact"/>
              <w:jc w:val="both"/>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根据本项目特点，对供应商提供的</w:t>
            </w:r>
            <w:r>
              <w:rPr>
                <w:rFonts w:hint="eastAsia" w:ascii="宋体" w:hAnsi="宋体" w:eastAsia="宋体" w:cs="宋体"/>
                <w:color w:val="auto"/>
                <w:spacing w:val="1"/>
                <w:kern w:val="0"/>
                <w:sz w:val="24"/>
                <w:szCs w:val="24"/>
                <w:highlight w:val="none"/>
                <w:lang w:val="en-US" w:eastAsia="zh-CN"/>
              </w:rPr>
              <w:t>项目重难点分析方案</w:t>
            </w:r>
            <w:r>
              <w:rPr>
                <w:rFonts w:hint="eastAsia" w:asciiTheme="minorEastAsia" w:hAnsiTheme="minorEastAsia" w:eastAsiaTheme="minorEastAsia"/>
                <w:bCs/>
                <w:color w:val="auto"/>
                <w:sz w:val="24"/>
                <w:highlight w:val="none"/>
                <w:lang w:val="en-US" w:eastAsia="zh-CN"/>
              </w:rPr>
              <w:t>，</w:t>
            </w:r>
            <w:r>
              <w:rPr>
                <w:rFonts w:hint="eastAsia" w:ascii="宋体" w:hAnsi="宋体" w:eastAsia="宋体" w:cs="宋体"/>
                <w:color w:val="auto"/>
                <w:kern w:val="0"/>
                <w:sz w:val="24"/>
                <w:szCs w:val="24"/>
                <w:highlight w:val="none"/>
                <w:lang w:bidi="ar"/>
              </w:rPr>
              <w:t>由磋商小组进行综合评审</w:t>
            </w:r>
            <w:r>
              <w:rPr>
                <w:rFonts w:hint="eastAsia" w:asciiTheme="minorEastAsia" w:hAnsiTheme="minorEastAsia" w:eastAsiaTheme="minorEastAsia"/>
                <w:bCs/>
                <w:color w:val="auto"/>
                <w:sz w:val="24"/>
                <w:highlight w:val="none"/>
                <w:lang w:val="en-US" w:eastAsia="zh-CN"/>
              </w:rPr>
              <w:t>：</w:t>
            </w:r>
          </w:p>
          <w:p w14:paraId="07DD9C05">
            <w:pPr>
              <w:widowControl/>
              <w:spacing w:line="400" w:lineRule="exact"/>
              <w:jc w:val="both"/>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（1）对项目重难点把握到位、理解准确，方案分析透彻完整、思路清晰完全满足或优于项目采购需求的得 5 分；</w:t>
            </w:r>
          </w:p>
          <w:p w14:paraId="77361ECE">
            <w:pPr>
              <w:widowControl/>
              <w:spacing w:line="400" w:lineRule="exact"/>
              <w:jc w:val="both"/>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（2）对项目重难点有认识，分析方案完善、对策措施有保障的得3分；</w:t>
            </w:r>
          </w:p>
          <w:p w14:paraId="703C1972">
            <w:pPr>
              <w:widowControl/>
              <w:spacing w:line="400" w:lineRule="exact"/>
              <w:jc w:val="both"/>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（3）对项目重难点认识不到位，方案分析内容简单、思路尚可实施但存在与项目要求不贴合或矛盾的地方的得1分；</w:t>
            </w:r>
          </w:p>
          <w:p w14:paraId="75526DF3">
            <w:pPr>
              <w:spacing w:line="360" w:lineRule="auto"/>
              <w:jc w:val="both"/>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（4）未提供相应内容的不得分。</w:t>
            </w:r>
          </w:p>
        </w:tc>
        <w:tc>
          <w:tcPr>
            <w:tcW w:w="695" w:type="pct"/>
            <w:tcBorders>
              <w:top w:val="single" w:color="auto" w:sz="4" w:space="0"/>
              <w:left w:val="single" w:color="auto" w:sz="4" w:space="0"/>
              <w:bottom w:val="single" w:color="auto" w:sz="4" w:space="0"/>
              <w:right w:val="single" w:color="auto" w:sz="4" w:space="0"/>
            </w:tcBorders>
            <w:vAlign w:val="center"/>
          </w:tcPr>
          <w:p w14:paraId="391F7CCC">
            <w:pPr>
              <w:spacing w:line="360" w:lineRule="auto"/>
              <w:jc w:val="center"/>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lang w:val="en-US" w:eastAsia="zh-CN"/>
              </w:rPr>
              <w:t>0-5分</w:t>
            </w:r>
          </w:p>
        </w:tc>
      </w:tr>
      <w:tr w14:paraId="7585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pct"/>
            <w:vMerge w:val="continue"/>
            <w:tcBorders>
              <w:left w:val="single" w:color="auto" w:sz="4" w:space="0"/>
              <w:right w:val="single" w:color="auto" w:sz="4" w:space="0"/>
            </w:tcBorders>
            <w:vAlign w:val="center"/>
          </w:tcPr>
          <w:p w14:paraId="58C7F7DF">
            <w:pPr>
              <w:spacing w:line="400" w:lineRule="exact"/>
              <w:ind w:firstLine="435"/>
              <w:jc w:val="center"/>
              <w:rPr>
                <w:rFonts w:asciiTheme="minorEastAsia" w:hAnsiTheme="minorEastAsia" w:eastAsiaTheme="minorEastAsia"/>
                <w:b/>
                <w:bCs/>
                <w:color w:val="auto"/>
                <w:sz w:val="24"/>
                <w:highlight w:val="none"/>
              </w:rPr>
            </w:pPr>
          </w:p>
        </w:tc>
        <w:tc>
          <w:tcPr>
            <w:tcW w:w="873" w:type="pct"/>
            <w:tcBorders>
              <w:left w:val="single" w:color="auto" w:sz="4" w:space="0"/>
              <w:bottom w:val="single" w:color="auto" w:sz="4" w:space="0"/>
              <w:right w:val="single" w:color="auto" w:sz="4" w:space="0"/>
            </w:tcBorders>
            <w:vAlign w:val="center"/>
          </w:tcPr>
          <w:p w14:paraId="387AA423">
            <w:pPr>
              <w:spacing w:line="360" w:lineRule="auto"/>
              <w:jc w:val="center"/>
              <w:rPr>
                <w:rFonts w:asciiTheme="minorEastAsia" w:hAnsiTheme="minorEastAsia" w:eastAsiaTheme="minorEastAsia"/>
                <w:color w:val="auto"/>
                <w:sz w:val="24"/>
                <w:highlight w:val="none"/>
              </w:rPr>
            </w:pPr>
            <w:r>
              <w:rPr>
                <w:rFonts w:hint="eastAsia" w:ascii="宋体" w:hAnsi="宋体" w:eastAsia="宋体" w:cs="宋体"/>
                <w:color w:val="auto"/>
                <w:spacing w:val="1"/>
                <w:kern w:val="0"/>
                <w:sz w:val="24"/>
                <w:szCs w:val="24"/>
                <w:highlight w:val="none"/>
                <w:lang w:val="en-US" w:eastAsia="zh-CN"/>
              </w:rPr>
              <w:t>7.售后服务方案</w:t>
            </w:r>
          </w:p>
        </w:tc>
        <w:tc>
          <w:tcPr>
            <w:tcW w:w="2566" w:type="pct"/>
            <w:tcBorders>
              <w:top w:val="single" w:color="auto" w:sz="4" w:space="0"/>
              <w:left w:val="single" w:color="auto" w:sz="4" w:space="0"/>
              <w:bottom w:val="single" w:color="auto" w:sz="4" w:space="0"/>
              <w:right w:val="single" w:color="auto" w:sz="4" w:space="0"/>
            </w:tcBorders>
            <w:vAlign w:val="center"/>
          </w:tcPr>
          <w:p w14:paraId="022336D8">
            <w:pPr>
              <w:widowControl/>
              <w:spacing w:line="400" w:lineRule="exact"/>
              <w:jc w:val="both"/>
              <w:rPr>
                <w:rFonts w:hint="eastAsia" w:ascii="宋体" w:hAnsi="宋体" w:eastAsia="宋体" w:cs="宋体"/>
                <w:color w:val="auto"/>
                <w:kern w:val="0"/>
                <w:sz w:val="24"/>
                <w:szCs w:val="24"/>
                <w:highlight w:val="none"/>
                <w:lang w:bidi="ar"/>
              </w:rPr>
            </w:pPr>
            <w:r>
              <w:rPr>
                <w:rFonts w:hint="eastAsia" w:asciiTheme="minorEastAsia" w:hAnsiTheme="minorEastAsia" w:eastAsiaTheme="minorEastAsia"/>
                <w:bCs/>
                <w:color w:val="auto"/>
                <w:sz w:val="24"/>
                <w:highlight w:val="none"/>
                <w:lang w:val="en-US" w:eastAsia="zh-CN"/>
              </w:rPr>
              <w:t>对供应商提供的售后服务方案进行评审，内容包括但不限于售后服务承诺、售后服务内容等，</w:t>
            </w:r>
            <w:r>
              <w:rPr>
                <w:rFonts w:hint="eastAsia" w:ascii="宋体" w:hAnsi="宋体" w:eastAsia="宋体" w:cs="宋体"/>
                <w:color w:val="auto"/>
                <w:kern w:val="0"/>
                <w:sz w:val="24"/>
                <w:szCs w:val="24"/>
                <w:highlight w:val="none"/>
                <w:lang w:bidi="ar"/>
              </w:rPr>
              <w:t>由磋商小组进行综合评审</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 xml:space="preserve"> </w:t>
            </w:r>
          </w:p>
          <w:p w14:paraId="75316370">
            <w:pPr>
              <w:spacing w:before="69"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方案切合实际情况，解决方案合理、有具体切实可行的保障措施，售后人员配备充足、售后</w:t>
            </w:r>
            <w:r>
              <w:rPr>
                <w:rFonts w:hint="eastAsia" w:ascii="宋体" w:hAnsi="宋体" w:eastAsia="宋体" w:cs="宋体"/>
                <w:color w:val="auto"/>
                <w:sz w:val="24"/>
                <w:szCs w:val="24"/>
                <w:highlight w:val="none"/>
                <w:lang w:val="en-US" w:eastAsia="zh-CN"/>
              </w:rPr>
              <w:t>服务内容</w:t>
            </w:r>
            <w:r>
              <w:rPr>
                <w:rFonts w:hint="eastAsia" w:ascii="宋体" w:hAnsi="宋体" w:eastAsia="宋体" w:cs="宋体"/>
                <w:color w:val="auto"/>
                <w:sz w:val="24"/>
                <w:szCs w:val="24"/>
                <w:highlight w:val="none"/>
              </w:rPr>
              <w:t>完整、安全、切实可行，措施得力的得5分；</w:t>
            </w:r>
          </w:p>
          <w:p w14:paraId="1DB16DF7">
            <w:pPr>
              <w:spacing w:before="69"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方案基本符合实际情况，内容完整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有保障措施，配备了售后服务人员，解决方案基本符合项目要求的得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56C71199">
            <w:pPr>
              <w:spacing w:before="69"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方案基本满足项目要求但有一定的矛盾点，对各个环节的保障措施、解决方案等缺项或关键点缺失的得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65770773">
            <w:pPr>
              <w:spacing w:line="360" w:lineRule="auto"/>
              <w:jc w:val="both"/>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未提供不得分。</w:t>
            </w:r>
          </w:p>
        </w:tc>
        <w:tc>
          <w:tcPr>
            <w:tcW w:w="695" w:type="pct"/>
            <w:tcBorders>
              <w:top w:val="single" w:color="auto" w:sz="4" w:space="0"/>
              <w:left w:val="single" w:color="auto" w:sz="4" w:space="0"/>
              <w:bottom w:val="single" w:color="auto" w:sz="4" w:space="0"/>
              <w:right w:val="single" w:color="auto" w:sz="4" w:space="0"/>
            </w:tcBorders>
            <w:vAlign w:val="center"/>
          </w:tcPr>
          <w:p w14:paraId="299154FC">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lang w:val="en-US" w:eastAsia="zh-CN"/>
              </w:rPr>
              <w:t>0-5分</w:t>
            </w:r>
          </w:p>
        </w:tc>
      </w:tr>
      <w:tr w14:paraId="0B30E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pct"/>
            <w:tcBorders>
              <w:left w:val="single" w:color="auto" w:sz="4" w:space="0"/>
              <w:right w:val="single" w:color="auto" w:sz="4" w:space="0"/>
            </w:tcBorders>
            <w:vAlign w:val="center"/>
          </w:tcPr>
          <w:p w14:paraId="1D49E7A0">
            <w:pPr>
              <w:spacing w:line="4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价格分</w:t>
            </w:r>
          </w:p>
          <w:p w14:paraId="0B5C9F0C">
            <w:pPr>
              <w:spacing w:line="400" w:lineRule="exact"/>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1</w:t>
            </w:r>
            <w:r>
              <w:rPr>
                <w:rFonts w:hint="eastAsia" w:asciiTheme="minorEastAsia" w:hAnsiTheme="minorEastAsia" w:eastAsiaTheme="minorEastAsia"/>
                <w:color w:val="auto"/>
                <w:sz w:val="24"/>
                <w:highlight w:val="none"/>
                <w:u w:val="single"/>
                <w:lang w:val="en-US" w:eastAsia="zh-CN"/>
              </w:rPr>
              <w:t>6</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分）</w:t>
            </w:r>
          </w:p>
        </w:tc>
        <w:tc>
          <w:tcPr>
            <w:tcW w:w="4135" w:type="pct"/>
            <w:gridSpan w:val="3"/>
            <w:tcBorders>
              <w:top w:val="single" w:color="auto" w:sz="4" w:space="0"/>
              <w:left w:val="single" w:color="auto" w:sz="4" w:space="0"/>
              <w:bottom w:val="single" w:color="auto" w:sz="4" w:space="0"/>
              <w:right w:val="single" w:color="auto" w:sz="4" w:space="0"/>
            </w:tcBorders>
            <w:vAlign w:val="center"/>
          </w:tcPr>
          <w:p w14:paraId="200D86FC">
            <w:pPr>
              <w:spacing w:line="4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价格分统一采用低价优先法，即满足磋商文件要求且最后报价最低的供应商的价格为磋商基准价，其价格分为满分</w:t>
            </w:r>
            <w:r>
              <w:rPr>
                <w:rFonts w:hint="eastAsia" w:asciiTheme="minorEastAsia" w:hAnsiTheme="minorEastAsia" w:eastAsiaTheme="minorEastAsia"/>
                <w:color w:val="auto"/>
                <w:sz w:val="24"/>
                <w:highlight w:val="none"/>
                <w:u w:val="single"/>
              </w:rPr>
              <w:t xml:space="preserve"> 1</w:t>
            </w:r>
            <w:r>
              <w:rPr>
                <w:rFonts w:hint="eastAsia" w:asciiTheme="minorEastAsia" w:hAnsiTheme="minorEastAsia" w:eastAsiaTheme="minorEastAsia"/>
                <w:color w:val="auto"/>
                <w:sz w:val="24"/>
                <w:highlight w:val="none"/>
                <w:u w:val="single"/>
                <w:lang w:val="en-US" w:eastAsia="zh-CN"/>
              </w:rPr>
              <w:t>6</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分。其他供应商的价格分统一按照下列公式计算：</w:t>
            </w:r>
          </w:p>
          <w:p w14:paraId="6549B959">
            <w:pPr>
              <w:spacing w:line="400" w:lineRule="exact"/>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磋商报价得分＝（磋商基准价/</w:t>
            </w:r>
            <w:r>
              <w:rPr>
                <w:rFonts w:hint="eastAsia" w:ascii="宋体" w:hAnsi="宋体" w:eastAsia="宋体"/>
                <w:color w:val="auto"/>
                <w:sz w:val="24"/>
                <w:highlight w:val="none"/>
              </w:rPr>
              <w:t>最后磋商</w:t>
            </w:r>
            <w:r>
              <w:rPr>
                <w:rFonts w:hint="eastAsia" w:asciiTheme="minorEastAsia" w:hAnsiTheme="minorEastAsia" w:eastAsiaTheme="minorEastAsia"/>
                <w:color w:val="auto"/>
                <w:sz w:val="24"/>
                <w:highlight w:val="none"/>
              </w:rPr>
              <w:t>报价）×</w:t>
            </w:r>
            <w:r>
              <w:rPr>
                <w:rFonts w:hint="eastAsia" w:asciiTheme="minorEastAsia" w:hAnsiTheme="minorEastAsia" w:eastAsiaTheme="minorEastAsia"/>
                <w:color w:val="auto"/>
                <w:sz w:val="24"/>
                <w:highlight w:val="none"/>
                <w:u w:val="single"/>
              </w:rPr>
              <w:t xml:space="preserve"> 1</w:t>
            </w:r>
            <w:r>
              <w:rPr>
                <w:rFonts w:hint="eastAsia" w:asciiTheme="minorEastAsia" w:hAnsiTheme="minorEastAsia" w:eastAsiaTheme="minorEastAsia"/>
                <w:color w:val="auto"/>
                <w:sz w:val="24"/>
                <w:highlight w:val="none"/>
                <w:u w:val="single"/>
                <w:lang w:val="en-US" w:eastAsia="zh-CN"/>
              </w:rPr>
              <w:t>6</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％×100</w:t>
            </w:r>
          </w:p>
        </w:tc>
      </w:tr>
    </w:tbl>
    <w:p w14:paraId="1B6EF4D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rPr>
        <w:t>本项目</w:t>
      </w:r>
      <w:r>
        <w:rPr>
          <w:rFonts w:hint="eastAsia" w:asciiTheme="minorEastAsia" w:hAnsiTheme="minorEastAsia" w:eastAsiaTheme="minorEastAsia"/>
          <w:color w:val="auto"/>
          <w:sz w:val="24"/>
          <w:highlight w:val="none"/>
          <w:lang w:val="en-US" w:eastAsia="zh-CN"/>
        </w:rPr>
        <w:t>第2包</w:t>
      </w:r>
      <w:r>
        <w:rPr>
          <w:rFonts w:hint="eastAsia" w:asciiTheme="minorEastAsia" w:hAnsiTheme="minorEastAsia" w:eastAsiaTheme="minorEastAsia"/>
          <w:color w:val="auto"/>
          <w:sz w:val="24"/>
          <w:highlight w:val="none"/>
        </w:rPr>
        <w:t>综合评分满分为1</w:t>
      </w:r>
      <w:r>
        <w:rPr>
          <w:rFonts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rPr>
        <w:t>分，其中：资信分值占总分值的权重为</w:t>
      </w:r>
      <w:r>
        <w:rPr>
          <w:rFonts w:hint="eastAsia" w:asciiTheme="minorEastAsia" w:hAnsiTheme="minorEastAsia" w:eastAsiaTheme="minorEastAsia"/>
          <w:color w:val="auto"/>
          <w:sz w:val="24"/>
          <w:highlight w:val="none"/>
          <w:u w:val="single"/>
          <w:lang w:val="en-US" w:eastAsia="zh-CN"/>
        </w:rPr>
        <w:t>32</w:t>
      </w: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，技术分值占总分值的权重为</w:t>
      </w:r>
      <w:r>
        <w:rPr>
          <w:rFonts w:hint="eastAsia" w:asciiTheme="minorEastAsia" w:hAnsiTheme="minorEastAsia" w:eastAsiaTheme="minorEastAsia"/>
          <w:color w:val="auto"/>
          <w:sz w:val="24"/>
          <w:highlight w:val="none"/>
          <w:u w:val="single"/>
          <w:lang w:val="en-US" w:eastAsia="zh-CN"/>
        </w:rPr>
        <w:t>52</w:t>
      </w: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，价格分值占总分值的权重为</w:t>
      </w:r>
      <w:r>
        <w:rPr>
          <w:rFonts w:hint="eastAsia" w:asciiTheme="minorEastAsia" w:hAnsiTheme="minorEastAsia" w:eastAsiaTheme="minorEastAsia"/>
          <w:color w:val="auto"/>
          <w:sz w:val="24"/>
          <w:highlight w:val="none"/>
          <w:u w:val="single"/>
          <w:lang w:val="en-US" w:eastAsia="zh-CN"/>
        </w:rPr>
        <w:t>16</w:t>
      </w: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。具体评分细则如下：</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1720"/>
        <w:gridCol w:w="4039"/>
        <w:gridCol w:w="1292"/>
      </w:tblGrid>
      <w:tr w14:paraId="633B3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3" w:type="pct"/>
            <w:tcBorders>
              <w:top w:val="single" w:color="auto" w:sz="4" w:space="0"/>
              <w:left w:val="single" w:color="auto" w:sz="4" w:space="0"/>
              <w:bottom w:val="single" w:color="auto" w:sz="4" w:space="0"/>
              <w:right w:val="single" w:color="auto" w:sz="4" w:space="0"/>
            </w:tcBorders>
            <w:vAlign w:val="center"/>
          </w:tcPr>
          <w:p w14:paraId="6C1D9352">
            <w:pPr>
              <w:spacing w:line="400" w:lineRule="exact"/>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类别</w:t>
            </w:r>
          </w:p>
        </w:tc>
        <w:tc>
          <w:tcPr>
            <w:tcW w:w="1009" w:type="pct"/>
            <w:tcBorders>
              <w:top w:val="single" w:color="auto" w:sz="4" w:space="0"/>
              <w:left w:val="single" w:color="auto" w:sz="4" w:space="0"/>
              <w:bottom w:val="single" w:color="auto" w:sz="4" w:space="0"/>
              <w:right w:val="single" w:color="auto" w:sz="4" w:space="0"/>
            </w:tcBorders>
            <w:vAlign w:val="center"/>
          </w:tcPr>
          <w:p w14:paraId="2C05DC40">
            <w:pPr>
              <w:spacing w:line="400" w:lineRule="exact"/>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评分内容</w:t>
            </w:r>
          </w:p>
        </w:tc>
        <w:tc>
          <w:tcPr>
            <w:tcW w:w="2369" w:type="pct"/>
            <w:tcBorders>
              <w:top w:val="single" w:color="auto" w:sz="4" w:space="0"/>
              <w:left w:val="single" w:color="auto" w:sz="4" w:space="0"/>
              <w:bottom w:val="single" w:color="auto" w:sz="4" w:space="0"/>
              <w:right w:val="single" w:color="auto" w:sz="4" w:space="0"/>
            </w:tcBorders>
            <w:vAlign w:val="center"/>
          </w:tcPr>
          <w:p w14:paraId="4DF323BA">
            <w:pPr>
              <w:spacing w:line="400" w:lineRule="exact"/>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评分标准</w:t>
            </w:r>
          </w:p>
        </w:tc>
        <w:tc>
          <w:tcPr>
            <w:tcW w:w="758" w:type="pct"/>
            <w:tcBorders>
              <w:top w:val="single" w:color="auto" w:sz="4" w:space="0"/>
              <w:left w:val="single" w:color="auto" w:sz="4" w:space="0"/>
              <w:bottom w:val="single" w:color="auto" w:sz="4" w:space="0"/>
              <w:right w:val="single" w:color="auto" w:sz="4" w:space="0"/>
            </w:tcBorders>
            <w:vAlign w:val="center"/>
          </w:tcPr>
          <w:p w14:paraId="792BC479">
            <w:pPr>
              <w:spacing w:line="400" w:lineRule="exact"/>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分值范围</w:t>
            </w:r>
          </w:p>
        </w:tc>
      </w:tr>
      <w:tr w14:paraId="00F5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restart"/>
            <w:tcBorders>
              <w:top w:val="single" w:color="auto" w:sz="4" w:space="0"/>
              <w:left w:val="single" w:color="auto" w:sz="4" w:space="0"/>
              <w:right w:val="single" w:color="auto" w:sz="4" w:space="0"/>
            </w:tcBorders>
            <w:vAlign w:val="center"/>
          </w:tcPr>
          <w:p w14:paraId="26A83131">
            <w:pPr>
              <w:spacing w:line="4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资信分</w:t>
            </w:r>
          </w:p>
          <w:p w14:paraId="4957E18B">
            <w:pPr>
              <w:spacing w:line="400" w:lineRule="exact"/>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32</w:t>
            </w:r>
            <w:r>
              <w:rPr>
                <w:rFonts w:hint="eastAsia" w:asciiTheme="minorEastAsia" w:hAnsiTheme="minorEastAsia" w:eastAsiaTheme="minorEastAsia"/>
                <w:color w:val="auto"/>
                <w:sz w:val="24"/>
                <w:highlight w:val="none"/>
              </w:rPr>
              <w:t>分）</w:t>
            </w:r>
          </w:p>
        </w:tc>
        <w:tc>
          <w:tcPr>
            <w:tcW w:w="1009" w:type="pct"/>
            <w:tcBorders>
              <w:top w:val="single" w:color="auto" w:sz="4" w:space="0"/>
              <w:left w:val="single" w:color="auto" w:sz="4" w:space="0"/>
              <w:right w:val="single" w:color="auto" w:sz="4" w:space="0"/>
            </w:tcBorders>
            <w:shd w:val="clear" w:color="auto" w:fill="auto"/>
            <w:vAlign w:val="center"/>
          </w:tcPr>
          <w:p w14:paraId="2092B670">
            <w:pPr>
              <w:spacing w:line="400" w:lineRule="exact"/>
              <w:jc w:val="center"/>
              <w:rPr>
                <w:rFonts w:hint="eastAsia" w:cs="@仿宋_GB2312"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color w:val="auto"/>
                <w:sz w:val="24"/>
                <w:szCs w:val="24"/>
                <w:highlight w:val="none"/>
              </w:rPr>
              <w:t>供应商业绩</w:t>
            </w:r>
          </w:p>
        </w:tc>
        <w:tc>
          <w:tcPr>
            <w:tcW w:w="2369" w:type="pct"/>
            <w:tcBorders>
              <w:top w:val="single" w:color="auto" w:sz="4" w:space="0"/>
              <w:left w:val="single" w:color="auto" w:sz="4" w:space="0"/>
              <w:bottom w:val="single" w:color="auto" w:sz="4" w:space="0"/>
              <w:right w:val="single" w:color="auto" w:sz="4" w:space="0"/>
            </w:tcBorders>
            <w:shd w:val="clear" w:color="auto" w:fill="auto"/>
            <w:vAlign w:val="center"/>
          </w:tcPr>
          <w:p w14:paraId="568F64EA">
            <w:pPr>
              <w:spacing w:line="400" w:lineRule="exact"/>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投标人</w:t>
            </w:r>
            <w:r>
              <w:rPr>
                <w:rFonts w:hint="eastAsia" w:ascii="宋体" w:hAnsi="宋体" w:eastAsia="宋体" w:cs="宋体"/>
                <w:color w:val="auto"/>
                <w:sz w:val="24"/>
                <w:szCs w:val="24"/>
                <w:highlight w:val="none"/>
                <w:lang w:val="en-US" w:eastAsia="zh-CN" w:bidi="ar"/>
              </w:rPr>
              <w:t>自2022年1月1日至投标截止时间，</w:t>
            </w:r>
            <w:r>
              <w:rPr>
                <w:rFonts w:hint="eastAsia" w:ascii="宋体" w:hAnsi="宋体" w:eastAsia="宋体" w:cs="宋体"/>
                <w:color w:val="auto"/>
                <w:sz w:val="24"/>
                <w:szCs w:val="24"/>
                <w:highlight w:val="none"/>
                <w:lang w:eastAsia="zh-CN" w:bidi="ar"/>
              </w:rPr>
              <w:t>具有高等职业教育在线精品课程</w:t>
            </w:r>
            <w:r>
              <w:rPr>
                <w:rFonts w:hint="eastAsia" w:ascii="宋体" w:hAnsi="宋体" w:eastAsia="宋体" w:cs="宋体"/>
                <w:color w:val="auto"/>
                <w:sz w:val="24"/>
                <w:szCs w:val="24"/>
                <w:highlight w:val="none"/>
                <w:lang w:val="en-US" w:eastAsia="zh-CN" w:bidi="ar"/>
              </w:rPr>
              <w:t>服务</w:t>
            </w:r>
            <w:r>
              <w:rPr>
                <w:rFonts w:hint="eastAsia" w:ascii="宋体" w:hAnsi="宋体" w:eastAsia="宋体" w:cs="宋体"/>
                <w:color w:val="auto"/>
                <w:sz w:val="24"/>
                <w:szCs w:val="24"/>
                <w:highlight w:val="none"/>
                <w:lang w:eastAsia="zh-CN" w:bidi="ar"/>
              </w:rPr>
              <w:t>业绩的</w:t>
            </w:r>
            <w:r>
              <w:rPr>
                <w:rFonts w:hint="eastAsia" w:ascii="宋体" w:hAnsi="宋体" w:eastAsia="宋体" w:cs="宋体"/>
                <w:color w:val="auto"/>
                <w:sz w:val="24"/>
                <w:szCs w:val="24"/>
                <w:highlight w:val="none"/>
                <w:lang w:bidi="ar"/>
              </w:rPr>
              <w:t>。每提供一个得</w:t>
            </w: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 xml:space="preserve">分，最高得 </w:t>
            </w:r>
            <w:r>
              <w:rPr>
                <w:rFonts w:hint="eastAsia" w:ascii="宋体" w:hAnsi="宋体" w:eastAsia="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分。</w:t>
            </w:r>
          </w:p>
          <w:p w14:paraId="3F600D50">
            <w:pPr>
              <w:spacing w:line="400" w:lineRule="exact"/>
              <w:jc w:val="left"/>
              <w:rPr>
                <w:rFonts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bidi="ar"/>
              </w:rPr>
              <w:t>注：①响应</w:t>
            </w:r>
            <w:r>
              <w:rPr>
                <w:rFonts w:hint="eastAsia" w:ascii="宋体" w:hAnsi="宋体" w:eastAsia="宋体" w:cs="宋体"/>
                <w:color w:val="auto"/>
                <w:sz w:val="24"/>
                <w:szCs w:val="24"/>
                <w:highlight w:val="none"/>
                <w:lang w:val="zh-CN" w:bidi="ar"/>
              </w:rPr>
              <w:t>文件中提供业绩合同扫描件，时间以合同签订时间为准；若合同材料中无法体现签订时间、供货内容等关键评审因素的，须另</w:t>
            </w:r>
            <w:r>
              <w:rPr>
                <w:rFonts w:hint="eastAsia" w:ascii="宋体" w:hAnsi="宋体" w:eastAsia="宋体" w:cs="宋体"/>
                <w:color w:val="auto"/>
                <w:sz w:val="24"/>
                <w:szCs w:val="24"/>
                <w:highlight w:val="none"/>
                <w:lang w:bidi="ar"/>
              </w:rPr>
              <w:t>外提供</w:t>
            </w:r>
            <w:r>
              <w:rPr>
                <w:rFonts w:hint="eastAsia" w:ascii="宋体" w:hAnsi="宋体" w:eastAsia="宋体" w:cs="宋体"/>
                <w:color w:val="auto"/>
                <w:sz w:val="24"/>
                <w:szCs w:val="24"/>
                <w:highlight w:val="none"/>
                <w:lang w:val="zh-CN" w:bidi="ar"/>
              </w:rPr>
              <w:t>业主（合同甲方）出具的证明材料。</w:t>
            </w:r>
          </w:p>
          <w:p w14:paraId="2395C4A4">
            <w:pPr>
              <w:spacing w:line="400" w:lineRule="exact"/>
              <w:jc w:val="left"/>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sz w:val="24"/>
                <w:highlight w:val="none"/>
              </w:rPr>
              <w:t>②提供的项目业绩只计算评审分值对应的项目数量，按照排列顺序从首个业绩开始评审至对应数量，超出部分不进行评审。对应数量内业绩不符合采购文件要求不得分的，不再补充评审超出部分业绩。如：提供2个业绩即得满分的，按照响应文件排序评审第一、第二项业绩，其余超出部分不再评审。</w:t>
            </w:r>
          </w:p>
        </w:tc>
        <w:tc>
          <w:tcPr>
            <w:tcW w:w="758" w:type="pct"/>
            <w:tcBorders>
              <w:top w:val="single" w:color="auto" w:sz="4" w:space="0"/>
              <w:left w:val="single" w:color="auto" w:sz="4" w:space="0"/>
              <w:bottom w:val="single" w:color="auto" w:sz="4" w:space="0"/>
              <w:right w:val="single" w:color="auto" w:sz="4" w:space="0"/>
            </w:tcBorders>
            <w:shd w:val="clear" w:color="auto" w:fill="auto"/>
            <w:vAlign w:val="center"/>
          </w:tcPr>
          <w:p w14:paraId="28B9AF3A">
            <w:pPr>
              <w:spacing w:line="400" w:lineRule="exact"/>
              <w:jc w:val="center"/>
              <w:rPr>
                <w:rFonts w:hint="eastAsia" w:cs="@仿宋_GB2312" w:asciiTheme="minorEastAsia" w:hAnsiTheme="minorEastAsia" w:eastAsiaTheme="minorEastAsia"/>
                <w:b/>
                <w:bCs/>
                <w:color w:val="auto"/>
                <w:kern w:val="2"/>
                <w:sz w:val="24"/>
                <w:highlight w:val="none"/>
                <w:lang w:val="en-US" w:eastAsia="zh-CN" w:bidi="ar-SA"/>
              </w:rPr>
            </w:pPr>
            <w:r>
              <w:rPr>
                <w:rFonts w:hint="eastAsia" w:asciiTheme="minorEastAsia" w:hAnsiTheme="minorEastAsia" w:eastAsiaTheme="minorEastAsia"/>
                <w:color w:val="auto"/>
                <w:sz w:val="24"/>
                <w:szCs w:val="24"/>
                <w:highlight w:val="none"/>
              </w:rPr>
              <w:t>0-4分</w:t>
            </w:r>
          </w:p>
        </w:tc>
      </w:tr>
      <w:tr w14:paraId="3F19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left w:val="single" w:color="auto" w:sz="4" w:space="0"/>
              <w:right w:val="single" w:color="auto" w:sz="4" w:space="0"/>
            </w:tcBorders>
            <w:vAlign w:val="center"/>
          </w:tcPr>
          <w:p w14:paraId="76A52F8C">
            <w:pPr>
              <w:spacing w:line="400" w:lineRule="exact"/>
              <w:jc w:val="center"/>
              <w:rPr>
                <w:rFonts w:hint="eastAsia" w:asciiTheme="minorEastAsia" w:hAnsiTheme="minorEastAsia" w:eastAsiaTheme="minorEastAsia"/>
                <w:color w:val="auto"/>
                <w:sz w:val="24"/>
                <w:highlight w:val="none"/>
              </w:rPr>
            </w:pPr>
          </w:p>
        </w:tc>
        <w:tc>
          <w:tcPr>
            <w:tcW w:w="1009" w:type="pct"/>
            <w:tcBorders>
              <w:top w:val="single" w:color="auto" w:sz="4" w:space="0"/>
              <w:left w:val="single" w:color="auto" w:sz="4" w:space="0"/>
              <w:right w:val="single" w:color="auto" w:sz="4" w:space="0"/>
            </w:tcBorders>
            <w:shd w:val="clear" w:color="auto" w:fill="auto"/>
            <w:vAlign w:val="center"/>
          </w:tcPr>
          <w:p w14:paraId="5335ADDE">
            <w:pPr>
              <w:spacing w:line="400" w:lineRule="exact"/>
              <w:jc w:val="center"/>
              <w:rPr>
                <w:rFonts w:hint="eastAsia" w:cs="@仿宋_GB2312" w:asciiTheme="minorEastAsia" w:hAnsiTheme="minorEastAsia" w:eastAsiaTheme="minorEastAsia"/>
                <w:color w:val="auto"/>
                <w:kern w:val="2"/>
                <w:sz w:val="24"/>
                <w:highlight w:val="none"/>
                <w:lang w:val="en-US" w:eastAsia="zh-CN" w:bidi="ar-SA"/>
              </w:rPr>
            </w:pPr>
            <w:r>
              <w:rPr>
                <w:rFonts w:hint="eastAsia" w:ascii="宋体" w:hAnsi="宋体" w:eastAsia="宋体" w:cs="宋体"/>
                <w:color w:val="auto"/>
                <w:sz w:val="24"/>
                <w:szCs w:val="24"/>
                <w:highlight w:val="none"/>
                <w:lang w:val="en-US" w:eastAsia="zh-CN" w:bidi="ar"/>
              </w:rPr>
              <w:t>企业资质</w:t>
            </w:r>
          </w:p>
        </w:tc>
        <w:tc>
          <w:tcPr>
            <w:tcW w:w="2369" w:type="pct"/>
            <w:tcBorders>
              <w:top w:val="single" w:color="auto" w:sz="4" w:space="0"/>
              <w:left w:val="single" w:color="auto" w:sz="4" w:space="0"/>
              <w:bottom w:val="single" w:color="auto" w:sz="4" w:space="0"/>
              <w:right w:val="single" w:color="auto" w:sz="4" w:space="0"/>
            </w:tcBorders>
            <w:shd w:val="clear" w:color="auto" w:fill="auto"/>
            <w:vAlign w:val="center"/>
          </w:tcPr>
          <w:p w14:paraId="4C5A3794">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供应商具有以下计算机软件著作权证书的，每提供一个得2分，未提供或不合格的不得分，本条满分18分。</w:t>
            </w:r>
          </w:p>
          <w:p w14:paraId="1AA6DAA4">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1.线上教学质量控制系统类；</w:t>
            </w:r>
          </w:p>
          <w:p w14:paraId="57FB509F">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2.在线开放课程资源管理平台类；</w:t>
            </w:r>
          </w:p>
          <w:p w14:paraId="47C97571">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3.基于云课堂的数据开放服务系统类；</w:t>
            </w:r>
          </w:p>
          <w:p w14:paraId="3B34F4C8">
            <w:pPr>
              <w:spacing w:line="400" w:lineRule="exact"/>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4.仿真动画课件开发系统类</w:t>
            </w:r>
            <w:r>
              <w:rPr>
                <w:rFonts w:hint="default" w:ascii="宋体" w:hAnsi="宋体" w:eastAsia="宋体" w:cs="宋体"/>
                <w:color w:val="auto"/>
                <w:sz w:val="24"/>
                <w:highlight w:val="none"/>
                <w:lang w:val="en-US" w:eastAsia="zh-CN"/>
              </w:rPr>
              <w:t>；</w:t>
            </w:r>
          </w:p>
          <w:p w14:paraId="58FD8043">
            <w:pPr>
              <w:spacing w:line="400" w:lineRule="exact"/>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5.课程自动编辑策略类</w:t>
            </w:r>
            <w:r>
              <w:rPr>
                <w:rFonts w:hint="default" w:ascii="宋体" w:hAnsi="宋体" w:eastAsia="宋体" w:cs="宋体"/>
                <w:color w:val="auto"/>
                <w:sz w:val="24"/>
                <w:highlight w:val="none"/>
                <w:lang w:val="en-US" w:eastAsia="zh-CN"/>
              </w:rPr>
              <w:t>；</w:t>
            </w:r>
          </w:p>
          <w:p w14:paraId="229817D3">
            <w:pPr>
              <w:spacing w:line="400" w:lineRule="exact"/>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6.提质培优课程平台类</w:t>
            </w:r>
            <w:r>
              <w:rPr>
                <w:rFonts w:hint="default" w:ascii="宋体" w:hAnsi="宋体" w:eastAsia="宋体" w:cs="宋体"/>
                <w:color w:val="auto"/>
                <w:sz w:val="24"/>
                <w:highlight w:val="none"/>
                <w:lang w:val="en-US" w:eastAsia="zh-CN"/>
              </w:rPr>
              <w:t>；</w:t>
            </w:r>
          </w:p>
          <w:p w14:paraId="768E7CBE">
            <w:pPr>
              <w:spacing w:line="400" w:lineRule="exact"/>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7.基于知识关联的资源检索系统类</w:t>
            </w:r>
            <w:r>
              <w:rPr>
                <w:rFonts w:hint="default" w:ascii="宋体" w:hAnsi="宋体" w:eastAsia="宋体" w:cs="宋体"/>
                <w:color w:val="auto"/>
                <w:sz w:val="24"/>
                <w:highlight w:val="none"/>
                <w:lang w:val="en-US" w:eastAsia="zh-CN"/>
              </w:rPr>
              <w:t>；</w:t>
            </w:r>
          </w:p>
          <w:p w14:paraId="2B4F62BC">
            <w:pPr>
              <w:spacing w:line="400" w:lineRule="exact"/>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8.知识产权管理体系认证类</w:t>
            </w:r>
            <w:r>
              <w:rPr>
                <w:rFonts w:hint="default" w:ascii="宋体" w:hAnsi="宋体" w:eastAsia="宋体" w:cs="宋体"/>
                <w:color w:val="auto"/>
                <w:sz w:val="24"/>
                <w:highlight w:val="none"/>
                <w:lang w:val="en-US" w:eastAsia="zh-CN"/>
              </w:rPr>
              <w:t>；</w:t>
            </w:r>
          </w:p>
          <w:p w14:paraId="69BFE5E3">
            <w:pPr>
              <w:spacing w:line="400" w:lineRule="exact"/>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9.课程资源信息安全管理平台类。</w:t>
            </w:r>
          </w:p>
          <w:p w14:paraId="11D3BC20">
            <w:pPr>
              <w:spacing w:line="400" w:lineRule="exact"/>
              <w:jc w:val="left"/>
              <w:rPr>
                <w:rFonts w:hint="eastAsia" w:cs="@仿宋_GB2312" w:asciiTheme="minorEastAsia" w:hAnsiTheme="minorEastAsia" w:eastAsiaTheme="minorEastAsia"/>
                <w:color w:val="auto"/>
                <w:kern w:val="2"/>
                <w:sz w:val="24"/>
                <w:highlight w:val="none"/>
                <w:lang w:val="en-US" w:eastAsia="zh-CN" w:bidi="ar-SA"/>
              </w:rPr>
            </w:pPr>
            <w:r>
              <w:rPr>
                <w:rFonts w:hint="eastAsia" w:ascii="宋体" w:hAnsi="宋体" w:eastAsia="宋体" w:cs="宋体"/>
                <w:color w:val="auto"/>
                <w:sz w:val="24"/>
                <w:highlight w:val="none"/>
                <w:lang w:val="en-US" w:eastAsia="zh-CN"/>
              </w:rPr>
              <w:t>注：投标文件中提供证书扫描件并加盖投标人公章，未提供不得分。</w:t>
            </w:r>
          </w:p>
        </w:tc>
        <w:tc>
          <w:tcPr>
            <w:tcW w:w="758" w:type="pct"/>
            <w:tcBorders>
              <w:top w:val="single" w:color="auto" w:sz="4" w:space="0"/>
              <w:left w:val="single" w:color="auto" w:sz="4" w:space="0"/>
              <w:bottom w:val="single" w:color="auto" w:sz="4" w:space="0"/>
              <w:right w:val="single" w:color="auto" w:sz="4" w:space="0"/>
            </w:tcBorders>
            <w:shd w:val="clear" w:color="auto" w:fill="auto"/>
            <w:vAlign w:val="center"/>
          </w:tcPr>
          <w:p w14:paraId="28C0C8DC">
            <w:pPr>
              <w:spacing w:line="400" w:lineRule="exact"/>
              <w:jc w:val="center"/>
              <w:rPr>
                <w:rFonts w:hint="eastAsia" w:cs="@仿宋_GB2312" w:asciiTheme="minorEastAsia" w:hAnsiTheme="minorEastAsia" w:eastAsiaTheme="minorEastAsia"/>
                <w:b/>
                <w:bCs/>
                <w:color w:val="auto"/>
                <w:kern w:val="2"/>
                <w:sz w:val="24"/>
                <w:highlight w:val="none"/>
                <w:lang w:val="en-US" w:eastAsia="zh-CN" w:bidi="ar-SA"/>
              </w:rPr>
            </w:pPr>
            <w:r>
              <w:rPr>
                <w:rFonts w:hint="eastAsia" w:asciiTheme="minorEastAsia" w:hAnsiTheme="minorEastAsia" w:eastAsiaTheme="minorEastAsia"/>
                <w:color w:val="auto"/>
                <w:sz w:val="24"/>
                <w:szCs w:val="24"/>
                <w:highlight w:val="none"/>
              </w:rPr>
              <w:t>0-</w:t>
            </w:r>
            <w:r>
              <w:rPr>
                <w:rFonts w:hint="eastAsia" w:asciiTheme="minorEastAsia" w:hAnsiTheme="minorEastAsia" w:eastAsiaTheme="minorEastAsia"/>
                <w:color w:val="auto"/>
                <w:sz w:val="24"/>
                <w:szCs w:val="24"/>
                <w:highlight w:val="none"/>
                <w:lang w:val="en-US" w:eastAsia="zh-CN"/>
              </w:rPr>
              <w:t>18</w:t>
            </w:r>
            <w:r>
              <w:rPr>
                <w:rFonts w:hint="eastAsia" w:asciiTheme="minorEastAsia" w:hAnsiTheme="minorEastAsia" w:eastAsiaTheme="minorEastAsia"/>
                <w:color w:val="auto"/>
                <w:sz w:val="24"/>
                <w:szCs w:val="24"/>
                <w:highlight w:val="none"/>
              </w:rPr>
              <w:t>分</w:t>
            </w:r>
          </w:p>
        </w:tc>
      </w:tr>
      <w:tr w14:paraId="6208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left w:val="single" w:color="auto" w:sz="4" w:space="0"/>
              <w:right w:val="single" w:color="auto" w:sz="4" w:space="0"/>
            </w:tcBorders>
            <w:vAlign w:val="center"/>
          </w:tcPr>
          <w:p w14:paraId="3087EDB4">
            <w:pPr>
              <w:spacing w:line="400" w:lineRule="exact"/>
              <w:jc w:val="center"/>
              <w:rPr>
                <w:rFonts w:hint="eastAsia" w:asciiTheme="minorEastAsia" w:hAnsiTheme="minorEastAsia" w:eastAsiaTheme="minorEastAsia"/>
                <w:color w:val="auto"/>
                <w:sz w:val="24"/>
                <w:highlight w:val="none"/>
              </w:rPr>
            </w:pPr>
          </w:p>
        </w:tc>
        <w:tc>
          <w:tcPr>
            <w:tcW w:w="1009" w:type="pct"/>
            <w:tcBorders>
              <w:top w:val="single" w:color="auto" w:sz="4" w:space="0"/>
              <w:left w:val="single" w:color="auto" w:sz="4" w:space="0"/>
              <w:right w:val="single" w:color="auto" w:sz="4" w:space="0"/>
            </w:tcBorders>
            <w:shd w:val="clear" w:color="auto" w:fill="auto"/>
            <w:vAlign w:val="center"/>
          </w:tcPr>
          <w:p w14:paraId="4A6F83EE">
            <w:pPr>
              <w:spacing w:line="400" w:lineRule="exact"/>
              <w:jc w:val="center"/>
              <w:rPr>
                <w:rFonts w:hint="eastAsia" w:cs="@仿宋_GB2312" w:asciiTheme="minorEastAsia" w:hAnsiTheme="minorEastAsia" w:eastAsiaTheme="minorEastAsia"/>
                <w:color w:val="auto"/>
                <w:kern w:val="2"/>
                <w:sz w:val="24"/>
                <w:highlight w:val="none"/>
                <w:lang w:val="en-US" w:eastAsia="zh-CN" w:bidi="ar-SA"/>
              </w:rPr>
            </w:pPr>
            <w:r>
              <w:rPr>
                <w:rFonts w:hint="eastAsia" w:ascii="宋体" w:hAnsi="宋体" w:eastAsia="宋体" w:cs="宋体"/>
                <w:color w:val="auto"/>
                <w:sz w:val="24"/>
                <w:szCs w:val="24"/>
                <w:highlight w:val="none"/>
                <w:lang w:val="en-US" w:eastAsia="zh-CN" w:bidi="ar"/>
              </w:rPr>
              <w:t>人员配置</w:t>
            </w:r>
          </w:p>
        </w:tc>
        <w:tc>
          <w:tcPr>
            <w:tcW w:w="2369" w:type="pct"/>
            <w:tcBorders>
              <w:top w:val="single" w:color="auto" w:sz="4" w:space="0"/>
              <w:left w:val="single" w:color="auto" w:sz="4" w:space="0"/>
              <w:bottom w:val="single" w:color="auto" w:sz="4" w:space="0"/>
              <w:right w:val="single" w:color="auto" w:sz="4" w:space="0"/>
            </w:tcBorders>
            <w:shd w:val="clear" w:color="auto" w:fill="auto"/>
            <w:vAlign w:val="center"/>
          </w:tcPr>
          <w:p w14:paraId="3377E2BB">
            <w:pPr>
              <w:pStyle w:val="70"/>
              <w:spacing w:line="360" w:lineRule="auto"/>
              <w:rPr>
                <w:rFonts w:hint="eastAsia" w:ascii="宋体" w:hAnsi="宋体" w:eastAsia="宋体" w:cs="宋体"/>
                <w:color w:val="auto"/>
                <w:kern w:val="2"/>
                <w:sz w:val="24"/>
                <w:szCs w:val="28"/>
                <w:highlight w:val="none"/>
                <w:u w:val="none" w:color="auto"/>
                <w:lang w:val="en-US" w:eastAsia="zh-CN" w:bidi="ar-SA"/>
              </w:rPr>
            </w:pPr>
            <w:r>
              <w:rPr>
                <w:rFonts w:hint="eastAsia" w:ascii="宋体" w:hAnsi="宋体" w:eastAsia="宋体" w:cs="宋体"/>
                <w:color w:val="auto"/>
                <w:kern w:val="2"/>
                <w:sz w:val="24"/>
                <w:szCs w:val="28"/>
                <w:highlight w:val="none"/>
                <w:u w:val="none" w:color="auto"/>
                <w:lang w:val="en-US" w:eastAsia="zh-CN" w:bidi="ar-SA"/>
              </w:rPr>
              <w:t>项目团队成员（10分）：</w:t>
            </w:r>
          </w:p>
          <w:p w14:paraId="28641D97">
            <w:pPr>
              <w:pStyle w:val="70"/>
              <w:spacing w:line="360" w:lineRule="auto"/>
              <w:rPr>
                <w:rFonts w:hint="eastAsia" w:ascii="宋体" w:hAnsi="宋体" w:eastAsia="宋体" w:cs="宋体"/>
                <w:color w:val="auto"/>
                <w:kern w:val="2"/>
                <w:sz w:val="24"/>
                <w:szCs w:val="28"/>
                <w:highlight w:val="none"/>
                <w:u w:val="none" w:color="auto"/>
                <w:lang w:val="en-US" w:eastAsia="zh-CN" w:bidi="ar-SA"/>
              </w:rPr>
            </w:pPr>
            <w:r>
              <w:rPr>
                <w:rFonts w:hint="eastAsia" w:ascii="宋体" w:hAnsi="宋体" w:eastAsia="宋体" w:cs="宋体"/>
                <w:color w:val="auto"/>
                <w:kern w:val="2"/>
                <w:sz w:val="24"/>
                <w:szCs w:val="28"/>
                <w:highlight w:val="none"/>
                <w:u w:val="none" w:color="auto"/>
                <w:lang w:val="en-US" w:eastAsia="zh-CN" w:bidi="ar-SA"/>
              </w:rPr>
              <w:t>具有以下证书的，每提供一个证书得1分，满分10分</w:t>
            </w:r>
            <w:r>
              <w:rPr>
                <w:rFonts w:hint="eastAsia" w:ascii="宋体" w:hAnsi="宋体" w:eastAsia="宋体" w:cs="宋体"/>
                <w:b/>
                <w:bCs/>
                <w:color w:val="auto"/>
                <w:kern w:val="2"/>
                <w:sz w:val="24"/>
                <w:szCs w:val="28"/>
                <w:highlight w:val="none"/>
                <w:u w:val="none" w:color="auto"/>
                <w:lang w:val="en-US" w:eastAsia="zh-CN" w:bidi="ar-SA"/>
              </w:rPr>
              <w:t>（一人多证或一证超过2人不重复计分）</w:t>
            </w:r>
            <w:r>
              <w:rPr>
                <w:rFonts w:hint="eastAsia" w:ascii="宋体" w:hAnsi="宋体" w:eastAsia="宋体" w:cs="宋体"/>
                <w:color w:val="auto"/>
                <w:kern w:val="2"/>
                <w:sz w:val="24"/>
                <w:szCs w:val="28"/>
                <w:highlight w:val="none"/>
                <w:u w:val="none" w:color="auto"/>
                <w:lang w:val="en-US" w:eastAsia="zh-CN" w:bidi="ar-SA"/>
              </w:rPr>
              <w:t xml:space="preserve">： </w:t>
            </w:r>
          </w:p>
          <w:p w14:paraId="09024556">
            <w:pPr>
              <w:pStyle w:val="70"/>
              <w:spacing w:line="360" w:lineRule="auto"/>
              <w:rPr>
                <w:rFonts w:hint="eastAsia" w:ascii="宋体" w:hAnsi="宋体" w:eastAsia="宋体" w:cs="宋体"/>
                <w:color w:val="auto"/>
                <w:kern w:val="2"/>
                <w:sz w:val="24"/>
                <w:szCs w:val="28"/>
                <w:highlight w:val="none"/>
                <w:u w:val="none" w:color="auto"/>
                <w:lang w:val="en-US" w:eastAsia="zh-CN" w:bidi="ar-SA"/>
              </w:rPr>
            </w:pPr>
            <w:r>
              <w:rPr>
                <w:rFonts w:hint="eastAsia" w:ascii="宋体" w:hAnsi="宋体" w:eastAsia="宋体" w:cs="宋体"/>
                <w:color w:val="auto"/>
                <w:kern w:val="2"/>
                <w:sz w:val="24"/>
                <w:szCs w:val="28"/>
                <w:highlight w:val="none"/>
                <w:u w:val="none" w:color="auto"/>
                <w:lang w:val="en-US" w:eastAsia="zh-CN" w:bidi="ar-SA"/>
              </w:rPr>
              <w:t>（1）摄像师</w:t>
            </w:r>
          </w:p>
          <w:p w14:paraId="4EF4F42D">
            <w:pPr>
              <w:pStyle w:val="70"/>
              <w:spacing w:line="360" w:lineRule="auto"/>
              <w:rPr>
                <w:rFonts w:hint="eastAsia" w:ascii="宋体" w:hAnsi="宋体" w:eastAsia="宋体" w:cs="宋体"/>
                <w:color w:val="auto"/>
                <w:kern w:val="2"/>
                <w:sz w:val="24"/>
                <w:szCs w:val="28"/>
                <w:highlight w:val="none"/>
                <w:u w:val="none" w:color="auto"/>
                <w:lang w:val="en-US" w:eastAsia="zh-CN" w:bidi="ar-SA"/>
              </w:rPr>
            </w:pPr>
            <w:r>
              <w:rPr>
                <w:rFonts w:hint="eastAsia" w:ascii="宋体" w:hAnsi="宋体" w:eastAsia="宋体" w:cs="宋体"/>
                <w:color w:val="auto"/>
                <w:kern w:val="2"/>
                <w:sz w:val="24"/>
                <w:szCs w:val="28"/>
                <w:highlight w:val="none"/>
                <w:u w:val="none" w:color="auto"/>
                <w:lang w:val="en-US" w:eastAsia="zh-CN" w:bidi="ar-SA"/>
              </w:rPr>
              <w:t>（2）动画设计师</w:t>
            </w:r>
          </w:p>
          <w:p w14:paraId="18D50B7E">
            <w:pPr>
              <w:pStyle w:val="70"/>
              <w:spacing w:line="360" w:lineRule="auto"/>
              <w:rPr>
                <w:rFonts w:hint="eastAsia" w:ascii="宋体" w:hAnsi="宋体" w:eastAsia="宋体" w:cs="宋体"/>
                <w:color w:val="auto"/>
                <w:kern w:val="2"/>
                <w:sz w:val="24"/>
                <w:szCs w:val="28"/>
                <w:highlight w:val="none"/>
                <w:u w:val="none" w:color="auto"/>
                <w:lang w:val="en-US" w:eastAsia="zh-CN" w:bidi="ar-SA"/>
              </w:rPr>
            </w:pPr>
            <w:r>
              <w:rPr>
                <w:rFonts w:hint="eastAsia" w:ascii="宋体" w:hAnsi="宋体" w:eastAsia="宋体" w:cs="宋体"/>
                <w:color w:val="auto"/>
                <w:kern w:val="2"/>
                <w:sz w:val="24"/>
                <w:szCs w:val="28"/>
                <w:highlight w:val="none"/>
                <w:u w:val="none" w:color="auto"/>
                <w:lang w:val="en-US" w:eastAsia="zh-CN" w:bidi="ar-SA"/>
              </w:rPr>
              <w:t>（3）平面设计师</w:t>
            </w:r>
          </w:p>
          <w:p w14:paraId="07726E07">
            <w:pPr>
              <w:pStyle w:val="70"/>
              <w:spacing w:line="360" w:lineRule="auto"/>
              <w:rPr>
                <w:rFonts w:hint="default" w:ascii="宋体" w:hAnsi="宋体" w:eastAsia="宋体" w:cs="宋体"/>
                <w:color w:val="auto"/>
                <w:kern w:val="2"/>
                <w:sz w:val="24"/>
                <w:szCs w:val="28"/>
                <w:highlight w:val="none"/>
                <w:u w:val="none" w:color="auto"/>
                <w:lang w:val="en-US" w:eastAsia="zh-CN" w:bidi="ar-SA"/>
              </w:rPr>
            </w:pPr>
            <w:r>
              <w:rPr>
                <w:rFonts w:hint="eastAsia" w:ascii="宋体" w:hAnsi="宋体" w:eastAsia="宋体" w:cs="宋体"/>
                <w:color w:val="auto"/>
                <w:kern w:val="2"/>
                <w:sz w:val="24"/>
                <w:szCs w:val="28"/>
                <w:highlight w:val="none"/>
                <w:u w:val="none" w:color="auto"/>
                <w:lang w:val="en-US" w:eastAsia="zh-CN" w:bidi="ar-SA"/>
              </w:rPr>
              <w:t>（4）高级UI设计师</w:t>
            </w:r>
          </w:p>
          <w:p w14:paraId="5A76EFCE">
            <w:pPr>
              <w:pStyle w:val="70"/>
              <w:spacing w:line="360" w:lineRule="auto"/>
              <w:rPr>
                <w:rFonts w:hint="eastAsia" w:ascii="宋体" w:hAnsi="宋体" w:eastAsia="宋体" w:cs="宋体"/>
                <w:color w:val="auto"/>
                <w:kern w:val="2"/>
                <w:sz w:val="24"/>
                <w:szCs w:val="28"/>
                <w:highlight w:val="none"/>
                <w:u w:val="none" w:color="auto"/>
                <w:lang w:val="en-US" w:eastAsia="zh-CN" w:bidi="ar-SA"/>
              </w:rPr>
            </w:pPr>
            <w:r>
              <w:rPr>
                <w:rFonts w:hint="eastAsia" w:ascii="宋体" w:hAnsi="宋体" w:eastAsia="宋体" w:cs="宋体"/>
                <w:color w:val="auto"/>
                <w:kern w:val="2"/>
                <w:sz w:val="24"/>
                <w:szCs w:val="28"/>
                <w:highlight w:val="none"/>
                <w:u w:val="none" w:color="auto"/>
                <w:lang w:val="en-US" w:eastAsia="zh-CN" w:bidi="ar-SA"/>
              </w:rPr>
              <w:t xml:space="preserve">（5）影视制作 </w:t>
            </w:r>
          </w:p>
          <w:p w14:paraId="15DFBF97">
            <w:pPr>
              <w:spacing w:line="400" w:lineRule="exact"/>
              <w:jc w:val="both"/>
              <w:rPr>
                <w:rFonts w:hint="eastAsia" w:cs="@仿宋_GB2312" w:asciiTheme="minorEastAsia" w:hAnsiTheme="minorEastAsia" w:eastAsiaTheme="minorEastAsia"/>
                <w:color w:val="auto"/>
                <w:kern w:val="2"/>
                <w:sz w:val="24"/>
                <w:highlight w:val="none"/>
                <w:lang w:val="en-US" w:eastAsia="zh-CN" w:bidi="ar-SA"/>
              </w:rPr>
            </w:pPr>
            <w:r>
              <w:rPr>
                <w:rFonts w:hint="eastAsia" w:ascii="宋体" w:hAnsi="宋体" w:eastAsia="宋体" w:cs="宋体"/>
                <w:color w:val="auto"/>
                <w:kern w:val="2"/>
                <w:sz w:val="24"/>
                <w:szCs w:val="28"/>
                <w:highlight w:val="none"/>
                <w:u w:val="none" w:color="auto"/>
                <w:lang w:val="en-US" w:eastAsia="zh-CN" w:bidi="ar-SA"/>
              </w:rPr>
              <w:t>备注： ①提供以上人员相关证书扫描件；②上述人员不得兼任；③持有上述人员社保部门出具的本单位为其缴纳的投标前近三个月内任意一月的社保证明或投标人提供承诺已为其缴纳社保的承诺书（格式自拟）。</w:t>
            </w:r>
          </w:p>
        </w:tc>
        <w:tc>
          <w:tcPr>
            <w:tcW w:w="758" w:type="pct"/>
            <w:tcBorders>
              <w:top w:val="single" w:color="auto" w:sz="4" w:space="0"/>
              <w:left w:val="single" w:color="auto" w:sz="4" w:space="0"/>
              <w:bottom w:val="single" w:color="auto" w:sz="4" w:space="0"/>
              <w:right w:val="single" w:color="auto" w:sz="4" w:space="0"/>
            </w:tcBorders>
            <w:shd w:val="clear" w:color="auto" w:fill="auto"/>
            <w:vAlign w:val="center"/>
          </w:tcPr>
          <w:p w14:paraId="18C70E8F">
            <w:pPr>
              <w:spacing w:line="400" w:lineRule="exact"/>
              <w:jc w:val="center"/>
              <w:rPr>
                <w:rFonts w:hint="eastAsia" w:cs="@仿宋_GB2312" w:asciiTheme="minorEastAsia" w:hAnsiTheme="minorEastAsia" w:eastAsiaTheme="minorEastAsia"/>
                <w:b/>
                <w:bCs/>
                <w:color w:val="auto"/>
                <w:kern w:val="2"/>
                <w:sz w:val="24"/>
                <w:highlight w:val="none"/>
                <w:lang w:val="en-US" w:eastAsia="zh-CN" w:bidi="ar-SA"/>
              </w:rPr>
            </w:pPr>
            <w:r>
              <w:rPr>
                <w:rFonts w:hint="eastAsia" w:asciiTheme="minorEastAsia" w:hAnsiTheme="minorEastAsia" w:eastAsiaTheme="minorEastAsia"/>
                <w:color w:val="auto"/>
                <w:sz w:val="24"/>
                <w:szCs w:val="24"/>
                <w:highlight w:val="none"/>
              </w:rPr>
              <w:t>0-</w:t>
            </w:r>
            <w:r>
              <w:rPr>
                <w:rFonts w:hint="eastAsia" w:asciiTheme="minorEastAsia" w:hAnsiTheme="minorEastAsia" w:eastAsiaTheme="minorEastAsia"/>
                <w:color w:val="auto"/>
                <w:sz w:val="24"/>
                <w:szCs w:val="24"/>
                <w:highlight w:val="none"/>
                <w:lang w:val="en-US" w:eastAsia="zh-CN"/>
              </w:rPr>
              <w:t>10</w:t>
            </w:r>
            <w:r>
              <w:rPr>
                <w:rFonts w:hint="eastAsia" w:asciiTheme="minorEastAsia" w:hAnsiTheme="minorEastAsia" w:eastAsiaTheme="minorEastAsia"/>
                <w:color w:val="auto"/>
                <w:sz w:val="24"/>
                <w:szCs w:val="24"/>
                <w:highlight w:val="none"/>
              </w:rPr>
              <w:t>分</w:t>
            </w:r>
          </w:p>
        </w:tc>
      </w:tr>
      <w:tr w14:paraId="11AC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restart"/>
            <w:tcBorders>
              <w:top w:val="single" w:color="auto" w:sz="4" w:space="0"/>
              <w:left w:val="single" w:color="auto" w:sz="4" w:space="0"/>
              <w:right w:val="single" w:color="auto" w:sz="4" w:space="0"/>
            </w:tcBorders>
            <w:vAlign w:val="center"/>
          </w:tcPr>
          <w:p w14:paraId="0F8B309C">
            <w:pPr>
              <w:spacing w:line="4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技术</w:t>
            </w:r>
            <w:r>
              <w:rPr>
                <w:rFonts w:hint="eastAsia" w:asciiTheme="minorEastAsia" w:hAnsiTheme="minorEastAsia" w:eastAsiaTheme="minorEastAsia"/>
                <w:color w:val="auto"/>
                <w:sz w:val="24"/>
                <w:highlight w:val="none"/>
              </w:rPr>
              <w:t>分</w:t>
            </w:r>
          </w:p>
          <w:p w14:paraId="26429213">
            <w:pPr>
              <w:spacing w:line="400" w:lineRule="exact"/>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52</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分）</w:t>
            </w:r>
          </w:p>
        </w:tc>
        <w:tc>
          <w:tcPr>
            <w:tcW w:w="1009" w:type="pct"/>
            <w:tcBorders>
              <w:top w:val="single" w:color="auto" w:sz="4" w:space="0"/>
              <w:left w:val="single" w:color="auto" w:sz="4" w:space="0"/>
              <w:right w:val="single" w:color="auto" w:sz="4" w:space="0"/>
            </w:tcBorders>
            <w:vAlign w:val="center"/>
          </w:tcPr>
          <w:p w14:paraId="6E778A0B">
            <w:pPr>
              <w:widowControl/>
              <w:spacing w:line="400" w:lineRule="exact"/>
              <w:jc w:val="left"/>
              <w:rPr>
                <w:rFonts w:asciiTheme="minorEastAsia" w:hAnsiTheme="minorEastAsia" w:eastAsiaTheme="minorEastAsia"/>
                <w:bCs/>
                <w:color w:val="auto"/>
                <w:sz w:val="24"/>
                <w:highlight w:val="none"/>
              </w:rPr>
            </w:pPr>
            <w:r>
              <w:rPr>
                <w:rFonts w:hint="eastAsia" w:ascii="宋体" w:hAnsi="宋体" w:eastAsia="宋体" w:cs="宋体"/>
                <w:color w:val="auto"/>
                <w:kern w:val="0"/>
                <w:sz w:val="24"/>
                <w:szCs w:val="24"/>
                <w:highlight w:val="none"/>
                <w:lang w:val="en-US" w:eastAsia="zh-CN" w:bidi="ar"/>
              </w:rPr>
              <w:t>1.技术参数响应</w:t>
            </w:r>
          </w:p>
        </w:tc>
        <w:tc>
          <w:tcPr>
            <w:tcW w:w="2369" w:type="pct"/>
            <w:tcBorders>
              <w:top w:val="single" w:color="auto" w:sz="4" w:space="0"/>
              <w:left w:val="single" w:color="auto" w:sz="4" w:space="0"/>
              <w:bottom w:val="single" w:color="auto" w:sz="4" w:space="0"/>
              <w:right w:val="single" w:color="auto" w:sz="4" w:space="0"/>
            </w:tcBorders>
            <w:vAlign w:val="center"/>
          </w:tcPr>
          <w:p w14:paraId="7AFFDFAC">
            <w:pPr>
              <w:spacing w:line="400" w:lineRule="exact"/>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所投产品完全满足或优于招标文件采购需求中“技术参数”要求的全部内容的得12分。其中：</w:t>
            </w:r>
          </w:p>
          <w:p w14:paraId="14398C46">
            <w:pPr>
              <w:spacing w:line="400" w:lineRule="exact"/>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（1）标注“★”的参数，每满足或优于一项指标的得3分，共4项，共计12分。</w:t>
            </w:r>
          </w:p>
          <w:p w14:paraId="5641BA80">
            <w:pPr>
              <w:spacing w:line="400" w:lineRule="exact"/>
              <w:jc w:val="both"/>
              <w:rPr>
                <w:rFonts w:hint="default" w:ascii="宋体" w:hAnsi="宋体" w:eastAsia="宋体" w:cs="宋体"/>
                <w:b/>
                <w:bCs/>
                <w:color w:val="auto"/>
                <w:sz w:val="24"/>
                <w:highlight w:val="none"/>
                <w:lang w:val="en-US" w:eastAsia="zh-CN"/>
              </w:rPr>
            </w:pPr>
            <w:r>
              <w:rPr>
                <w:rFonts w:hint="eastAsia" w:ascii="宋体" w:hAnsi="宋体" w:eastAsia="宋体" w:cs="宋体"/>
                <w:color w:val="auto"/>
                <w:sz w:val="24"/>
                <w:highlight w:val="none"/>
                <w:lang w:val="en-US" w:eastAsia="zh-CN"/>
              </w:rPr>
              <w:t>（2）未标符号的为一般参数，响应文件中无需列明，但在合同签订后将作为履约验收的依据，</w:t>
            </w:r>
            <w:r>
              <w:rPr>
                <w:rFonts w:hint="eastAsia" w:ascii="宋体" w:hAnsi="宋体" w:eastAsia="宋体" w:cs="宋体"/>
                <w:b/>
                <w:bCs/>
                <w:color w:val="auto"/>
                <w:sz w:val="24"/>
                <w:highlight w:val="none"/>
                <w:lang w:val="en-US" w:eastAsia="zh-CN"/>
              </w:rPr>
              <w:t>供应商在响应文件中提供相关承诺函，承诺函格式自拟，但须明确体现上述内容，否则投标无效。</w:t>
            </w:r>
          </w:p>
          <w:p w14:paraId="5BD267B6">
            <w:pPr>
              <w:spacing w:line="40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注：（1）如某项标识中包含多条技术参数或要求，则该项标识所含内容均需满足或优于招标文件要求，否则不予认可。</w:t>
            </w:r>
          </w:p>
          <w:p w14:paraId="7D9CEA65">
            <w:pPr>
              <w:spacing w:line="400" w:lineRule="exact"/>
              <w:jc w:val="both"/>
              <w:rPr>
                <w:rFonts w:asciiTheme="minorEastAsia" w:hAnsiTheme="minorEastAsia" w:eastAsiaTheme="minorEastAsia"/>
                <w:bCs/>
                <w:color w:val="auto"/>
                <w:sz w:val="24"/>
                <w:highlight w:val="none"/>
              </w:rPr>
            </w:pPr>
            <w:r>
              <w:rPr>
                <w:rFonts w:hint="eastAsia" w:ascii="宋体" w:hAnsi="宋体" w:eastAsia="宋体" w:cs="宋体"/>
                <w:color w:val="auto"/>
                <w:sz w:val="24"/>
                <w:highlight w:val="none"/>
                <w:lang w:val="en-US" w:eastAsia="zh-CN"/>
              </w:rPr>
              <w:t>（2）以采购需求及技术参数要求提供的证明材料作为评审依据。技术参数响应情况投标人须依据所投产品如实填写，若自填响应或正偏离，供货时实际产品不响应或负偏离，弄虚作假谋取中标资格的，采购人有权上报相关部门，按相关法律处理。</w:t>
            </w:r>
          </w:p>
        </w:tc>
        <w:tc>
          <w:tcPr>
            <w:tcW w:w="758" w:type="pct"/>
            <w:tcBorders>
              <w:top w:val="single" w:color="auto" w:sz="4" w:space="0"/>
              <w:left w:val="single" w:color="auto" w:sz="4" w:space="0"/>
              <w:bottom w:val="single" w:color="auto" w:sz="4" w:space="0"/>
              <w:right w:val="single" w:color="auto" w:sz="4" w:space="0"/>
            </w:tcBorders>
            <w:vAlign w:val="center"/>
          </w:tcPr>
          <w:p w14:paraId="3EDD26C4">
            <w:pPr>
              <w:spacing w:line="400" w:lineRule="exact"/>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0-</w:t>
            </w:r>
            <w:r>
              <w:rPr>
                <w:rFonts w:hint="eastAsia" w:asciiTheme="minorEastAsia" w:hAnsiTheme="minorEastAsia" w:eastAsiaTheme="minorEastAsia"/>
                <w:b/>
                <w:bCs/>
                <w:color w:val="auto"/>
                <w:sz w:val="24"/>
                <w:highlight w:val="none"/>
                <w:lang w:val="en-US" w:eastAsia="zh-CN"/>
              </w:rPr>
              <w:t>12</w:t>
            </w:r>
            <w:r>
              <w:rPr>
                <w:rFonts w:hint="eastAsia" w:asciiTheme="minorEastAsia" w:hAnsiTheme="minorEastAsia" w:eastAsiaTheme="minorEastAsia"/>
                <w:b/>
                <w:bCs/>
                <w:color w:val="auto"/>
                <w:sz w:val="24"/>
                <w:highlight w:val="none"/>
              </w:rPr>
              <w:t>分</w:t>
            </w:r>
          </w:p>
        </w:tc>
      </w:tr>
      <w:tr w14:paraId="26F7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left w:val="single" w:color="auto" w:sz="4" w:space="0"/>
              <w:right w:val="single" w:color="auto" w:sz="4" w:space="0"/>
            </w:tcBorders>
            <w:vAlign w:val="center"/>
          </w:tcPr>
          <w:p w14:paraId="42978635">
            <w:pPr>
              <w:spacing w:line="400" w:lineRule="exact"/>
              <w:ind w:firstLine="435"/>
              <w:jc w:val="center"/>
              <w:rPr>
                <w:rFonts w:asciiTheme="minorEastAsia" w:hAnsiTheme="minorEastAsia" w:eastAsiaTheme="minorEastAsia"/>
                <w:b/>
                <w:bCs/>
                <w:color w:val="auto"/>
                <w:sz w:val="24"/>
                <w:highlight w:val="none"/>
              </w:rPr>
            </w:pPr>
          </w:p>
        </w:tc>
        <w:tc>
          <w:tcPr>
            <w:tcW w:w="1009" w:type="pct"/>
            <w:tcBorders>
              <w:top w:val="single" w:color="auto" w:sz="4" w:space="0"/>
              <w:left w:val="single" w:color="auto" w:sz="4" w:space="0"/>
              <w:right w:val="single" w:color="auto" w:sz="4" w:space="0"/>
            </w:tcBorders>
            <w:shd w:val="clear" w:color="auto" w:fill="auto"/>
            <w:vAlign w:val="center"/>
          </w:tcPr>
          <w:p w14:paraId="276C6F03">
            <w:pPr>
              <w:widowControl/>
              <w:spacing w:line="400" w:lineRule="exact"/>
              <w:jc w:val="left"/>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2.课程制作质量管理系统论述</w:t>
            </w:r>
          </w:p>
        </w:tc>
        <w:tc>
          <w:tcPr>
            <w:tcW w:w="2369" w:type="pct"/>
            <w:tcBorders>
              <w:top w:val="single" w:color="auto" w:sz="4" w:space="0"/>
              <w:left w:val="single" w:color="auto" w:sz="4" w:space="0"/>
              <w:bottom w:val="single" w:color="auto" w:sz="4" w:space="0"/>
              <w:right w:val="single" w:color="auto" w:sz="4" w:space="0"/>
            </w:tcBorders>
            <w:shd w:val="clear" w:color="auto" w:fill="auto"/>
            <w:vAlign w:val="center"/>
          </w:tcPr>
          <w:p w14:paraId="1191783A">
            <w:pPr>
              <w:widowControl/>
              <w:spacing w:line="400" w:lineRule="exact"/>
              <w:jc w:val="both"/>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系统可以实现课程制作质量流程化管理，对以下内容进行逐项论述，每符合一项得0.5分，不符合不得分，满分5 分</w:t>
            </w:r>
            <w:r>
              <w:rPr>
                <w:rFonts w:hint="eastAsia" w:ascii="宋体" w:hAnsi="宋体" w:eastAsia="宋体" w:cs="宋体"/>
                <w:b/>
                <w:bCs/>
                <w:color w:val="auto"/>
                <w:sz w:val="24"/>
                <w:szCs w:val="24"/>
                <w:highlight w:val="none"/>
                <w:shd w:val="clear" w:color="auto" w:fill="FFFFFF"/>
                <w:lang w:val="en-US" w:eastAsia="zh-CN"/>
              </w:rPr>
              <w:t>（投标文件中需提供截图证明，无截图不得分）</w:t>
            </w:r>
            <w:r>
              <w:rPr>
                <w:rFonts w:hint="eastAsia" w:ascii="宋体" w:hAnsi="宋体" w:eastAsia="宋体" w:cs="宋体"/>
                <w:color w:val="auto"/>
                <w:sz w:val="24"/>
                <w:szCs w:val="24"/>
                <w:highlight w:val="none"/>
                <w:shd w:val="clear" w:color="auto" w:fill="FFFFFF"/>
                <w:lang w:val="en-US" w:eastAsia="zh-CN"/>
              </w:rPr>
              <w:t>：</w:t>
            </w:r>
          </w:p>
          <w:p w14:paraId="4956A505">
            <w:pPr>
              <w:widowControl/>
              <w:spacing w:line="400" w:lineRule="exact"/>
              <w:jc w:val="both"/>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1、系统包括数据统计、项目管理、课程管理、 任务管理、员工绩效、系统管理模块；</w:t>
            </w:r>
          </w:p>
          <w:p w14:paraId="2997D5F0">
            <w:pPr>
              <w:widowControl/>
              <w:spacing w:line="400" w:lineRule="exact"/>
              <w:jc w:val="both"/>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2、统计中可以展示课程完成总时长、完成总数  签约数、课程专业数、课程数、老师数等维度的数据趋势，以及工作排行、课程类型统计、团队人员数据统计等，能计算出每个参与人员的绩效分值，便于通过数据分析各课程的制作情况；</w:t>
            </w:r>
          </w:p>
          <w:p w14:paraId="5CEA212A">
            <w:pPr>
              <w:widowControl/>
              <w:spacing w:line="400" w:lineRule="exact"/>
              <w:jc w:val="both"/>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3、在项目审核中创建项目并由部门领导进行审核；</w:t>
            </w:r>
          </w:p>
          <w:p w14:paraId="65D84DFC">
            <w:pPr>
              <w:widowControl/>
              <w:spacing w:line="400" w:lineRule="exact"/>
              <w:jc w:val="both"/>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4、多个课程信息并立项；</w:t>
            </w:r>
          </w:p>
          <w:p w14:paraId="476F6B29">
            <w:pPr>
              <w:widowControl/>
              <w:spacing w:line="400" w:lineRule="exact"/>
              <w:jc w:val="both"/>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5、在项目进度中可查看立项课程的制作进度情况，并且相关角色能够收到业务流转的通知，便于掌握项目整体进度；</w:t>
            </w:r>
          </w:p>
          <w:p w14:paraId="55CD9EB8">
            <w:pPr>
              <w:widowControl/>
              <w:spacing w:line="400" w:lineRule="exact"/>
              <w:jc w:val="both"/>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6、立项的课程由部门负责人进行分配安排，课程编导会收到任务制作通知；</w:t>
            </w:r>
          </w:p>
          <w:p w14:paraId="62CB4E74">
            <w:pPr>
              <w:widowControl/>
              <w:spacing w:line="400" w:lineRule="exact"/>
              <w:jc w:val="both"/>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7、编导可在课程详情中完善课程相关信息并分配和跟进课程相关素材拍摄和课程制作的任务；</w:t>
            </w:r>
          </w:p>
          <w:p w14:paraId="1C53AB86">
            <w:pPr>
              <w:widowControl/>
              <w:spacing w:line="400" w:lineRule="exact"/>
              <w:jc w:val="both"/>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8、在任务管理中，制作人员查看对应拍摄任务和后期制作任务以及其他相关任务，并提交任务完成进度和制作情况，并由编导进行审核，确保质量和进度；</w:t>
            </w:r>
          </w:p>
          <w:p w14:paraId="03024980">
            <w:pPr>
              <w:widowControl/>
              <w:spacing w:line="400" w:lineRule="exact"/>
              <w:jc w:val="both"/>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9、系统中可以管理各个业务部门以及部门成员，并管理所有角色以及角色对应的权限；</w:t>
            </w:r>
          </w:p>
          <w:p w14:paraId="52233AE0">
            <w:pPr>
              <w:widowControl/>
              <w:spacing w:line="400" w:lineRule="exact"/>
              <w:jc w:val="both"/>
              <w:rPr>
                <w:rFonts w:hint="default" w:ascii="宋体" w:hAnsi="宋体" w:eastAsia="宋体" w:cs="宋体"/>
                <w:color w:val="auto"/>
                <w:sz w:val="24"/>
                <w:szCs w:val="24"/>
                <w:highlight w:val="none"/>
                <w:shd w:val="clear" w:color="auto" w:fill="FFFFFF"/>
                <w:lang w:val="en-US"/>
              </w:rPr>
            </w:pPr>
            <w:r>
              <w:rPr>
                <w:rFonts w:hint="eastAsia" w:ascii="宋体" w:hAnsi="宋体" w:eastAsia="宋体" w:cs="宋体"/>
                <w:color w:val="auto"/>
                <w:sz w:val="24"/>
                <w:szCs w:val="24"/>
                <w:highlight w:val="none"/>
                <w:shd w:val="clear" w:color="auto" w:fill="FFFFFF"/>
                <w:lang w:val="en-US" w:eastAsia="zh-CN"/>
              </w:rPr>
              <w:t>10、系统设置中可对学校、课程类型、课程制作难度系数、拍摄机位、老师、专业、任务类型等进行管理等。</w:t>
            </w:r>
          </w:p>
        </w:tc>
        <w:tc>
          <w:tcPr>
            <w:tcW w:w="758" w:type="pct"/>
            <w:tcBorders>
              <w:top w:val="single" w:color="auto" w:sz="4" w:space="0"/>
              <w:left w:val="single" w:color="auto" w:sz="4" w:space="0"/>
              <w:bottom w:val="single" w:color="auto" w:sz="4" w:space="0"/>
              <w:right w:val="single" w:color="auto" w:sz="4" w:space="0"/>
            </w:tcBorders>
            <w:shd w:val="clear" w:color="auto" w:fill="auto"/>
            <w:vAlign w:val="center"/>
          </w:tcPr>
          <w:p w14:paraId="6D00942B">
            <w:pPr>
              <w:spacing w:line="400" w:lineRule="exact"/>
              <w:jc w:val="center"/>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0-</w:t>
            </w:r>
            <w:r>
              <w:rPr>
                <w:rFonts w:hint="eastAsia" w:asciiTheme="minorEastAsia" w:hAnsiTheme="minorEastAsia" w:eastAsiaTheme="minorEastAsia"/>
                <w:b/>
                <w:bCs/>
                <w:color w:val="auto"/>
                <w:sz w:val="24"/>
                <w:highlight w:val="none"/>
                <w:lang w:val="en-US" w:eastAsia="zh-CN"/>
              </w:rPr>
              <w:t>5</w:t>
            </w:r>
            <w:r>
              <w:rPr>
                <w:rFonts w:hint="eastAsia" w:asciiTheme="minorEastAsia" w:hAnsiTheme="minorEastAsia" w:eastAsiaTheme="minorEastAsia"/>
                <w:b/>
                <w:bCs/>
                <w:color w:val="auto"/>
                <w:sz w:val="24"/>
                <w:highlight w:val="none"/>
              </w:rPr>
              <w:t>分</w:t>
            </w:r>
          </w:p>
        </w:tc>
      </w:tr>
      <w:tr w14:paraId="2E811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left w:val="single" w:color="auto" w:sz="4" w:space="0"/>
              <w:right w:val="single" w:color="auto" w:sz="4" w:space="0"/>
            </w:tcBorders>
            <w:vAlign w:val="center"/>
          </w:tcPr>
          <w:p w14:paraId="4D04BAF5">
            <w:pPr>
              <w:spacing w:line="400" w:lineRule="exact"/>
              <w:ind w:firstLine="435"/>
              <w:jc w:val="center"/>
              <w:rPr>
                <w:rFonts w:asciiTheme="minorEastAsia" w:hAnsiTheme="minorEastAsia" w:eastAsiaTheme="minorEastAsia"/>
                <w:b/>
                <w:bCs/>
                <w:color w:val="auto"/>
                <w:sz w:val="24"/>
                <w:highlight w:val="none"/>
              </w:rPr>
            </w:pPr>
          </w:p>
        </w:tc>
        <w:tc>
          <w:tcPr>
            <w:tcW w:w="1009" w:type="pct"/>
            <w:tcBorders>
              <w:top w:val="single" w:color="auto" w:sz="4" w:space="0"/>
              <w:left w:val="single" w:color="auto" w:sz="4" w:space="0"/>
              <w:right w:val="single" w:color="auto" w:sz="4" w:space="0"/>
            </w:tcBorders>
            <w:shd w:val="clear" w:color="auto" w:fill="auto"/>
            <w:vAlign w:val="center"/>
          </w:tcPr>
          <w:p w14:paraId="2D0373D1">
            <w:pPr>
              <w:widowControl/>
              <w:spacing w:line="400" w:lineRule="exact"/>
              <w:jc w:val="center"/>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3.课程实施方案</w:t>
            </w:r>
          </w:p>
        </w:tc>
        <w:tc>
          <w:tcPr>
            <w:tcW w:w="2369" w:type="pct"/>
            <w:tcBorders>
              <w:top w:val="single" w:color="auto" w:sz="4" w:space="0"/>
              <w:left w:val="single" w:color="auto" w:sz="4" w:space="0"/>
              <w:bottom w:val="single" w:color="auto" w:sz="4" w:space="0"/>
              <w:right w:val="single" w:color="auto" w:sz="4" w:space="0"/>
            </w:tcBorders>
            <w:shd w:val="clear" w:color="auto" w:fill="auto"/>
            <w:vAlign w:val="center"/>
          </w:tcPr>
          <w:p w14:paraId="40F23665">
            <w:pPr>
              <w:widowControl/>
              <w:spacing w:line="400" w:lineRule="exact"/>
              <w:jc w:val="both"/>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供应商针对本项目课程实施方案</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包括但不限于</w:t>
            </w:r>
            <w:r>
              <w:rPr>
                <w:rFonts w:hint="eastAsia" w:ascii="宋体" w:hAnsi="宋体" w:eastAsia="宋体" w:cs="宋体"/>
                <w:color w:val="auto"/>
                <w:sz w:val="24"/>
                <w:szCs w:val="24"/>
                <w:highlight w:val="none"/>
                <w:shd w:val="clear" w:color="auto" w:fill="FFFFFF"/>
              </w:rPr>
              <w:t>课程策划</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课程设计</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拍摄准备</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视频剪辑及包装</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课件交付</w:t>
            </w:r>
            <w:r>
              <w:rPr>
                <w:rFonts w:hint="eastAsia" w:ascii="宋体" w:hAnsi="宋体" w:eastAsia="宋体" w:cs="宋体"/>
                <w:color w:val="auto"/>
                <w:sz w:val="24"/>
                <w:szCs w:val="24"/>
                <w:highlight w:val="none"/>
                <w:shd w:val="clear" w:color="auto" w:fill="FFFFFF"/>
                <w:lang w:val="en-US" w:eastAsia="zh-CN"/>
              </w:rPr>
              <w:t>等内容</w:t>
            </w:r>
            <w:r>
              <w:rPr>
                <w:rFonts w:hint="eastAsia" w:ascii="宋体" w:hAnsi="宋体" w:eastAsia="宋体" w:cs="宋体"/>
                <w:color w:val="auto"/>
                <w:sz w:val="24"/>
                <w:szCs w:val="24"/>
                <w:highlight w:val="none"/>
                <w:shd w:val="clear" w:color="auto" w:fill="FFFFFF"/>
              </w:rPr>
              <w:t>阐述</w:t>
            </w:r>
            <w:r>
              <w:rPr>
                <w:rFonts w:hint="eastAsia" w:ascii="宋体" w:hAnsi="宋体" w:eastAsia="宋体" w:cs="宋体"/>
                <w:color w:val="auto"/>
                <w:sz w:val="24"/>
                <w:szCs w:val="24"/>
                <w:highlight w:val="none"/>
                <w:shd w:val="clear" w:color="auto" w:fill="FFFFFF"/>
                <w:lang w:val="en-US" w:eastAsia="zh-CN"/>
              </w:rPr>
              <w:t>分析</w:t>
            </w:r>
            <w:r>
              <w:rPr>
                <w:rFonts w:hint="eastAsia" w:ascii="宋体" w:hAnsi="宋体" w:eastAsia="宋体" w:cs="宋体"/>
                <w:color w:val="auto"/>
                <w:sz w:val="24"/>
                <w:szCs w:val="24"/>
                <w:highlight w:val="none"/>
                <w:shd w:val="clear" w:color="auto" w:fill="FFFFFF"/>
              </w:rPr>
              <w:t>，由磋商小组进行综合评审</w:t>
            </w:r>
            <w:r>
              <w:rPr>
                <w:rFonts w:hint="eastAsia" w:ascii="宋体" w:hAnsi="宋体" w:eastAsia="宋体" w:cs="宋体"/>
                <w:color w:val="auto"/>
                <w:sz w:val="24"/>
                <w:szCs w:val="24"/>
                <w:highlight w:val="none"/>
                <w:shd w:val="clear" w:color="auto" w:fill="FFFFFF"/>
                <w:lang w:eastAsia="zh-CN"/>
              </w:rPr>
              <w:t>：</w:t>
            </w:r>
          </w:p>
          <w:p w14:paraId="7208C5A7">
            <w:pPr>
              <w:widowControl/>
              <w:spacing w:line="400" w:lineRule="exact"/>
              <w:jc w:val="both"/>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（1）实施方案详尽，目标明确、工作方案部署合理</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 xml:space="preserve">利于项目实施的得5分； </w:t>
            </w:r>
          </w:p>
          <w:p w14:paraId="6F885662">
            <w:pPr>
              <w:widowControl/>
              <w:spacing w:line="400" w:lineRule="exact"/>
              <w:jc w:val="both"/>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（2）实施方案</w:t>
            </w:r>
            <w:r>
              <w:rPr>
                <w:rFonts w:hint="eastAsia" w:ascii="宋体" w:hAnsi="宋体" w:eastAsia="宋体" w:cs="宋体"/>
                <w:color w:val="auto"/>
                <w:sz w:val="24"/>
                <w:szCs w:val="24"/>
                <w:highlight w:val="none"/>
                <w:shd w:val="clear" w:color="auto" w:fill="FFFFFF"/>
                <w:lang w:val="en-US" w:eastAsia="zh-CN"/>
              </w:rPr>
              <w:t>完整</w:t>
            </w:r>
            <w:r>
              <w:rPr>
                <w:rFonts w:hint="eastAsia" w:ascii="宋体" w:hAnsi="宋体" w:eastAsia="宋体" w:cs="宋体"/>
                <w:color w:val="auto"/>
                <w:sz w:val="24"/>
                <w:szCs w:val="24"/>
                <w:highlight w:val="none"/>
                <w:shd w:val="clear" w:color="auto" w:fill="FFFFFF"/>
              </w:rPr>
              <w:t>，工作方案部署</w:t>
            </w:r>
            <w:r>
              <w:rPr>
                <w:rFonts w:hint="eastAsia" w:ascii="宋体" w:hAnsi="宋体" w:eastAsia="宋体" w:cs="宋体"/>
                <w:color w:val="auto"/>
                <w:sz w:val="24"/>
                <w:szCs w:val="24"/>
                <w:highlight w:val="none"/>
                <w:shd w:val="clear" w:color="auto" w:fill="FFFFFF"/>
                <w:lang w:val="en-US" w:eastAsia="zh-CN"/>
              </w:rPr>
              <w:t>得当</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各方面表述适当的</w:t>
            </w:r>
            <w:r>
              <w:rPr>
                <w:rFonts w:hint="eastAsia" w:ascii="宋体" w:hAnsi="宋体" w:eastAsia="宋体" w:cs="宋体"/>
                <w:color w:val="auto"/>
                <w:sz w:val="24"/>
                <w:szCs w:val="24"/>
                <w:highlight w:val="none"/>
                <w:shd w:val="clear" w:color="auto" w:fill="FFFFFF"/>
              </w:rPr>
              <w:t xml:space="preserve">得3分； </w:t>
            </w:r>
          </w:p>
          <w:p w14:paraId="4C34BE14">
            <w:pPr>
              <w:widowControl/>
              <w:spacing w:line="400" w:lineRule="exact"/>
              <w:jc w:val="both"/>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（3）实施方案</w:t>
            </w:r>
            <w:r>
              <w:rPr>
                <w:rFonts w:hint="eastAsia" w:ascii="宋体" w:hAnsi="宋体" w:eastAsia="宋体" w:cs="宋体"/>
                <w:color w:val="auto"/>
                <w:sz w:val="24"/>
                <w:szCs w:val="24"/>
                <w:highlight w:val="none"/>
                <w:shd w:val="clear" w:color="auto" w:fill="FFFFFF"/>
                <w:lang w:val="en-US" w:eastAsia="zh-CN"/>
              </w:rPr>
              <w:t>内容简单，工作方案部署及要求突出不够明显，</w:t>
            </w:r>
            <w:r>
              <w:rPr>
                <w:rFonts w:hint="eastAsia" w:ascii="宋体" w:hAnsi="宋体" w:eastAsia="宋体" w:cs="宋体"/>
                <w:color w:val="auto"/>
                <w:sz w:val="24"/>
                <w:szCs w:val="24"/>
                <w:highlight w:val="none"/>
                <w:shd w:val="clear" w:color="auto" w:fill="FFFFFF"/>
              </w:rPr>
              <w:t>有待完善</w:t>
            </w:r>
            <w:r>
              <w:rPr>
                <w:rFonts w:hint="eastAsia" w:ascii="宋体" w:hAnsi="宋体" w:eastAsia="宋体" w:cs="宋体"/>
                <w:color w:val="auto"/>
                <w:sz w:val="24"/>
                <w:szCs w:val="24"/>
                <w:highlight w:val="none"/>
                <w:shd w:val="clear" w:color="auto" w:fill="FFFFFF"/>
                <w:lang w:val="en-US" w:eastAsia="zh-CN"/>
              </w:rPr>
              <w:t>的</w:t>
            </w:r>
            <w:r>
              <w:rPr>
                <w:rFonts w:hint="eastAsia" w:ascii="宋体" w:hAnsi="宋体" w:eastAsia="宋体" w:cs="宋体"/>
                <w:color w:val="auto"/>
                <w:sz w:val="24"/>
                <w:szCs w:val="24"/>
                <w:highlight w:val="none"/>
                <w:shd w:val="clear" w:color="auto" w:fill="FFFFFF"/>
              </w:rPr>
              <w:t xml:space="preserve">得1分； </w:t>
            </w:r>
          </w:p>
          <w:p w14:paraId="475BD70B">
            <w:pPr>
              <w:widowControl/>
              <w:spacing w:line="400" w:lineRule="exact"/>
              <w:jc w:val="both"/>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（4）未提供的不得分。</w:t>
            </w:r>
          </w:p>
        </w:tc>
        <w:tc>
          <w:tcPr>
            <w:tcW w:w="758" w:type="pct"/>
            <w:tcBorders>
              <w:top w:val="single" w:color="auto" w:sz="4" w:space="0"/>
              <w:left w:val="single" w:color="auto" w:sz="4" w:space="0"/>
              <w:bottom w:val="single" w:color="auto" w:sz="4" w:space="0"/>
              <w:right w:val="single" w:color="auto" w:sz="4" w:space="0"/>
            </w:tcBorders>
            <w:shd w:val="clear" w:color="auto" w:fill="auto"/>
            <w:vAlign w:val="center"/>
          </w:tcPr>
          <w:p w14:paraId="6B3A6FF9">
            <w:pPr>
              <w:spacing w:line="400" w:lineRule="exact"/>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0-</w:t>
            </w:r>
            <w:r>
              <w:rPr>
                <w:rFonts w:hint="eastAsia" w:asciiTheme="minorEastAsia" w:hAnsiTheme="minorEastAsia" w:eastAsiaTheme="minorEastAsia"/>
                <w:b/>
                <w:bCs/>
                <w:color w:val="auto"/>
                <w:sz w:val="24"/>
                <w:highlight w:val="none"/>
                <w:lang w:val="en-US" w:eastAsia="zh-CN"/>
              </w:rPr>
              <w:t>5</w:t>
            </w:r>
            <w:r>
              <w:rPr>
                <w:rFonts w:hint="eastAsia" w:asciiTheme="minorEastAsia" w:hAnsiTheme="minorEastAsia" w:eastAsiaTheme="minorEastAsia"/>
                <w:b/>
                <w:bCs/>
                <w:color w:val="auto"/>
                <w:sz w:val="24"/>
                <w:highlight w:val="none"/>
              </w:rPr>
              <w:t>分</w:t>
            </w:r>
          </w:p>
        </w:tc>
      </w:tr>
      <w:tr w14:paraId="6F98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left w:val="single" w:color="auto" w:sz="4" w:space="0"/>
              <w:right w:val="single" w:color="auto" w:sz="4" w:space="0"/>
            </w:tcBorders>
            <w:vAlign w:val="center"/>
          </w:tcPr>
          <w:p w14:paraId="1B2644BC">
            <w:pPr>
              <w:spacing w:line="400" w:lineRule="exact"/>
              <w:ind w:firstLine="435"/>
              <w:jc w:val="center"/>
              <w:rPr>
                <w:rFonts w:asciiTheme="minorEastAsia" w:hAnsiTheme="minorEastAsia" w:eastAsiaTheme="minorEastAsia"/>
                <w:b/>
                <w:bCs/>
                <w:color w:val="auto"/>
                <w:sz w:val="24"/>
                <w:highlight w:val="none"/>
              </w:rPr>
            </w:pPr>
          </w:p>
        </w:tc>
        <w:tc>
          <w:tcPr>
            <w:tcW w:w="1009" w:type="pct"/>
            <w:tcBorders>
              <w:top w:val="single" w:color="auto" w:sz="4" w:space="0"/>
              <w:left w:val="single" w:color="auto" w:sz="4" w:space="0"/>
              <w:right w:val="single" w:color="auto" w:sz="4" w:space="0"/>
            </w:tcBorders>
            <w:shd w:val="clear" w:color="auto" w:fill="auto"/>
            <w:vAlign w:val="center"/>
          </w:tcPr>
          <w:p w14:paraId="4FD5172A">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rPr>
              <w:t>4.项目重难点分析方案</w:t>
            </w:r>
          </w:p>
        </w:tc>
        <w:tc>
          <w:tcPr>
            <w:tcW w:w="2369" w:type="pct"/>
            <w:tcBorders>
              <w:top w:val="single" w:color="auto" w:sz="4" w:space="0"/>
              <w:left w:val="single" w:color="auto" w:sz="4" w:space="0"/>
              <w:bottom w:val="single" w:color="auto" w:sz="4" w:space="0"/>
              <w:right w:val="single" w:color="auto" w:sz="4" w:space="0"/>
            </w:tcBorders>
            <w:shd w:val="clear" w:color="auto" w:fill="auto"/>
            <w:vAlign w:val="center"/>
          </w:tcPr>
          <w:p w14:paraId="336A7194">
            <w:pPr>
              <w:widowControl/>
              <w:spacing w:line="400" w:lineRule="exact"/>
              <w:jc w:val="both"/>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根据本项目特点，对供应商提供的</w:t>
            </w:r>
            <w:r>
              <w:rPr>
                <w:rFonts w:hint="eastAsia" w:ascii="宋体" w:hAnsi="宋体" w:eastAsia="宋体" w:cs="宋体"/>
                <w:color w:val="auto"/>
                <w:spacing w:val="1"/>
                <w:kern w:val="0"/>
                <w:sz w:val="24"/>
                <w:szCs w:val="24"/>
                <w:highlight w:val="none"/>
                <w:lang w:val="en-US" w:eastAsia="zh-CN"/>
              </w:rPr>
              <w:t>项目重难点分析方案</w:t>
            </w:r>
            <w:r>
              <w:rPr>
                <w:rFonts w:hint="eastAsia" w:asciiTheme="minorEastAsia" w:hAnsiTheme="minorEastAsia" w:eastAsiaTheme="minorEastAsia"/>
                <w:bCs/>
                <w:color w:val="auto"/>
                <w:sz w:val="24"/>
                <w:highlight w:val="none"/>
                <w:lang w:val="en-US" w:eastAsia="zh-CN"/>
              </w:rPr>
              <w:t>，</w:t>
            </w:r>
            <w:r>
              <w:rPr>
                <w:rFonts w:hint="eastAsia" w:ascii="宋体" w:hAnsi="宋体" w:eastAsia="宋体" w:cs="宋体"/>
                <w:color w:val="auto"/>
                <w:kern w:val="0"/>
                <w:sz w:val="24"/>
                <w:szCs w:val="24"/>
                <w:highlight w:val="none"/>
                <w:lang w:bidi="ar"/>
              </w:rPr>
              <w:t>由磋商小组进行综合评审</w:t>
            </w:r>
            <w:r>
              <w:rPr>
                <w:rFonts w:hint="eastAsia" w:asciiTheme="minorEastAsia" w:hAnsiTheme="minorEastAsia" w:eastAsiaTheme="minorEastAsia"/>
                <w:bCs/>
                <w:color w:val="auto"/>
                <w:sz w:val="24"/>
                <w:highlight w:val="none"/>
                <w:lang w:val="en-US" w:eastAsia="zh-CN"/>
              </w:rPr>
              <w:t>：</w:t>
            </w:r>
          </w:p>
          <w:p w14:paraId="1AF5CEF1">
            <w:pPr>
              <w:widowControl/>
              <w:spacing w:line="400" w:lineRule="exact"/>
              <w:jc w:val="both"/>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（1）对项目重难点把握到位、理解准确，方案分析透彻完整、思路清晰完全满足或优于项目采购需求的得 5 分；</w:t>
            </w:r>
          </w:p>
          <w:p w14:paraId="4C20EBB5">
            <w:pPr>
              <w:widowControl/>
              <w:spacing w:line="400" w:lineRule="exact"/>
              <w:jc w:val="both"/>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（2）对项目重难点有认识，分析方案完善、对策措施有保障的得 3分；</w:t>
            </w:r>
          </w:p>
          <w:p w14:paraId="377032F4">
            <w:pPr>
              <w:widowControl/>
              <w:spacing w:line="400" w:lineRule="exact"/>
              <w:jc w:val="both"/>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（3）对项目重难点认识不到位，方案分析内容简单、思路尚可实施但存在与项目要求不贴合或矛盾的地方的得1分；</w:t>
            </w:r>
          </w:p>
          <w:p w14:paraId="2B8B1415">
            <w:pPr>
              <w:spacing w:line="360" w:lineRule="auto"/>
              <w:jc w:val="both"/>
              <w:rPr>
                <w:rFonts w:hint="eastAsia" w:cs="@仿宋_GB2312" w:asciiTheme="minorEastAsia" w:hAnsiTheme="minorEastAsia" w:eastAsiaTheme="minorEastAsia"/>
                <w:bCs/>
                <w:color w:val="auto"/>
                <w:kern w:val="2"/>
                <w:sz w:val="24"/>
                <w:highlight w:val="none"/>
                <w:lang w:val="en-US" w:eastAsia="zh-CN" w:bidi="ar-SA"/>
              </w:rPr>
            </w:pPr>
            <w:r>
              <w:rPr>
                <w:rFonts w:hint="eastAsia" w:asciiTheme="minorEastAsia" w:hAnsiTheme="minorEastAsia" w:eastAsiaTheme="minorEastAsia"/>
                <w:bCs/>
                <w:color w:val="auto"/>
                <w:sz w:val="24"/>
                <w:highlight w:val="none"/>
                <w:lang w:val="en-US" w:eastAsia="zh-CN"/>
              </w:rPr>
              <w:t>（4）未提供相应内容的不得分。</w:t>
            </w:r>
          </w:p>
        </w:tc>
        <w:tc>
          <w:tcPr>
            <w:tcW w:w="758" w:type="pct"/>
            <w:tcBorders>
              <w:top w:val="single" w:color="auto" w:sz="4" w:space="0"/>
              <w:left w:val="single" w:color="auto" w:sz="4" w:space="0"/>
              <w:bottom w:val="single" w:color="auto" w:sz="4" w:space="0"/>
              <w:right w:val="single" w:color="auto" w:sz="4" w:space="0"/>
            </w:tcBorders>
            <w:shd w:val="clear" w:color="auto" w:fill="auto"/>
            <w:vAlign w:val="center"/>
          </w:tcPr>
          <w:p w14:paraId="43C29256">
            <w:pPr>
              <w:spacing w:line="360" w:lineRule="auto"/>
              <w:jc w:val="center"/>
              <w:rPr>
                <w:rFonts w:hint="eastAsia" w:cs="@仿宋_GB2312" w:asciiTheme="minorEastAsia" w:hAnsiTheme="minorEastAsia" w:eastAsiaTheme="minorEastAsia"/>
                <w:b/>
                <w:bCs/>
                <w:color w:val="auto"/>
                <w:kern w:val="2"/>
                <w:sz w:val="24"/>
                <w:highlight w:val="none"/>
                <w:lang w:val="en-US" w:eastAsia="zh-CN" w:bidi="ar-SA"/>
              </w:rPr>
            </w:pPr>
            <w:r>
              <w:rPr>
                <w:rFonts w:hint="eastAsia" w:asciiTheme="minorEastAsia" w:hAnsiTheme="minorEastAsia" w:eastAsiaTheme="minorEastAsia"/>
                <w:b/>
                <w:bCs/>
                <w:color w:val="auto"/>
                <w:sz w:val="24"/>
                <w:highlight w:val="none"/>
                <w:lang w:val="en-US" w:eastAsia="zh-CN"/>
              </w:rPr>
              <w:t>0-5分</w:t>
            </w:r>
          </w:p>
        </w:tc>
      </w:tr>
      <w:tr w14:paraId="1F69D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left w:val="single" w:color="auto" w:sz="4" w:space="0"/>
              <w:right w:val="single" w:color="auto" w:sz="4" w:space="0"/>
            </w:tcBorders>
            <w:vAlign w:val="center"/>
          </w:tcPr>
          <w:p w14:paraId="095E5FE0">
            <w:pPr>
              <w:spacing w:line="400" w:lineRule="exact"/>
              <w:ind w:firstLine="435"/>
              <w:jc w:val="center"/>
              <w:rPr>
                <w:rFonts w:asciiTheme="minorEastAsia" w:hAnsiTheme="minorEastAsia" w:eastAsiaTheme="minorEastAsia"/>
                <w:b/>
                <w:bCs/>
                <w:color w:val="auto"/>
                <w:sz w:val="24"/>
                <w:highlight w:val="none"/>
              </w:rPr>
            </w:pPr>
          </w:p>
        </w:tc>
        <w:tc>
          <w:tcPr>
            <w:tcW w:w="1009" w:type="pct"/>
            <w:tcBorders>
              <w:top w:val="single" w:color="auto" w:sz="4" w:space="0"/>
              <w:left w:val="single" w:color="auto" w:sz="4" w:space="0"/>
              <w:right w:val="single" w:color="auto" w:sz="4" w:space="0"/>
            </w:tcBorders>
            <w:vAlign w:val="center"/>
          </w:tcPr>
          <w:p w14:paraId="6B2AC711">
            <w:pPr>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Times New Roman"/>
                <w:color w:val="auto"/>
                <w:sz w:val="24"/>
                <w:szCs w:val="20"/>
                <w:highlight w:val="none"/>
                <w:lang w:val="en-US" w:eastAsia="zh-CN"/>
              </w:rPr>
              <w:t>5.质量控制方案</w:t>
            </w:r>
          </w:p>
        </w:tc>
        <w:tc>
          <w:tcPr>
            <w:tcW w:w="2369" w:type="pct"/>
            <w:tcBorders>
              <w:top w:val="single" w:color="auto" w:sz="4" w:space="0"/>
              <w:left w:val="single" w:color="auto" w:sz="4" w:space="0"/>
              <w:bottom w:val="single" w:color="auto" w:sz="4" w:space="0"/>
              <w:right w:val="single" w:color="auto" w:sz="4" w:space="0"/>
            </w:tcBorders>
            <w:vAlign w:val="top"/>
          </w:tcPr>
          <w:p w14:paraId="19F03881">
            <w:pPr>
              <w:widowControl/>
              <w:spacing w:line="400" w:lineRule="exact"/>
              <w:jc w:val="both"/>
              <w:rPr>
                <w:rFonts w:hint="eastAsia" w:ascii="宋体" w:hAnsi="宋体" w:eastAsia="宋体" w:cs="Times New Roman"/>
                <w:color w:val="auto"/>
                <w:sz w:val="24"/>
                <w:szCs w:val="20"/>
                <w:highlight w:val="none"/>
                <w:lang w:val="en-US" w:eastAsia="zh-CN"/>
              </w:rPr>
            </w:pPr>
            <w:r>
              <w:rPr>
                <w:rFonts w:hint="eastAsia" w:asciiTheme="minorEastAsia" w:hAnsiTheme="minorEastAsia" w:eastAsiaTheme="minorEastAsia"/>
                <w:bCs/>
                <w:color w:val="auto"/>
                <w:sz w:val="24"/>
                <w:highlight w:val="none"/>
                <w:lang w:val="en-US" w:eastAsia="zh-CN"/>
              </w:rPr>
              <w:t>根据</w:t>
            </w:r>
            <w:r>
              <w:rPr>
                <w:rFonts w:hint="eastAsia" w:ascii="宋体" w:hAnsi="宋体" w:eastAsia="宋体" w:cs="Times New Roman"/>
                <w:color w:val="auto"/>
                <w:sz w:val="24"/>
                <w:szCs w:val="20"/>
                <w:highlight w:val="none"/>
                <w:lang w:val="en-US" w:eastAsia="zh-CN"/>
              </w:rPr>
              <w:t>供应商对本项目质量控制计划方案等方面的描述，</w:t>
            </w:r>
            <w:r>
              <w:rPr>
                <w:rFonts w:hint="eastAsia" w:ascii="宋体" w:hAnsi="宋体" w:eastAsia="宋体" w:cs="宋体"/>
                <w:color w:val="auto"/>
                <w:kern w:val="0"/>
                <w:sz w:val="24"/>
                <w:szCs w:val="24"/>
                <w:highlight w:val="none"/>
                <w:lang w:bidi="ar"/>
              </w:rPr>
              <w:t>由磋商小组进行综合评审</w:t>
            </w:r>
            <w:r>
              <w:rPr>
                <w:rFonts w:hint="eastAsia" w:asciiTheme="minorEastAsia" w:hAnsiTheme="minorEastAsia" w:eastAsiaTheme="minorEastAsia"/>
                <w:bCs/>
                <w:color w:val="auto"/>
                <w:sz w:val="24"/>
                <w:highlight w:val="none"/>
                <w:lang w:val="en-US" w:eastAsia="zh-CN"/>
              </w:rPr>
              <w:t>：</w:t>
            </w:r>
          </w:p>
          <w:p w14:paraId="43091354">
            <w:pPr>
              <w:spacing w:before="0" w:beforeAutospacing="0" w:after="0" w:afterAutospacing="0" w:line="360" w:lineRule="auto"/>
              <w:ind w:left="0" w:right="0"/>
              <w:jc w:val="both"/>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（1）质量控制方案措施齐全，符合规范要求，措施完善可行的得5分；</w:t>
            </w:r>
          </w:p>
          <w:p w14:paraId="6578D91A">
            <w:pPr>
              <w:spacing w:before="0" w:beforeAutospacing="0" w:after="0" w:afterAutospacing="0" w:line="360" w:lineRule="auto"/>
              <w:ind w:left="0" w:right="0"/>
              <w:jc w:val="both"/>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（2）有一定的质量控制方案，满足规范要求，措施满足实际需求的得3分；</w:t>
            </w:r>
          </w:p>
          <w:p w14:paraId="461EF0A1">
            <w:pPr>
              <w:spacing w:before="0" w:beforeAutospacing="0" w:after="0" w:afterAutospacing="0" w:line="360" w:lineRule="auto"/>
              <w:ind w:left="0" w:right="0"/>
              <w:jc w:val="both"/>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（3）质量控制方案内容简单，需要进一步完善的1分；</w:t>
            </w:r>
          </w:p>
          <w:p w14:paraId="4005524B">
            <w:pPr>
              <w:spacing w:before="0" w:beforeAutospacing="0" w:after="0" w:afterAutospacing="0" w:line="360" w:lineRule="auto"/>
              <w:ind w:left="0" w:leftChars="0" w:right="0" w:rightChars="0"/>
              <w:jc w:val="both"/>
              <w:rPr>
                <w:rFonts w:hint="eastAsia" w:asciiTheme="minorEastAsia" w:hAnsiTheme="minorEastAsia" w:eastAsiaTheme="minorEastAsia"/>
                <w:bCs/>
                <w:color w:val="auto"/>
                <w:sz w:val="24"/>
                <w:highlight w:val="none"/>
                <w:lang w:val="en-US" w:eastAsia="zh-CN"/>
              </w:rPr>
            </w:pPr>
            <w:r>
              <w:rPr>
                <w:rFonts w:hint="eastAsia" w:ascii="宋体" w:hAnsi="宋体" w:eastAsia="宋体" w:cs="Times New Roman"/>
                <w:color w:val="auto"/>
                <w:sz w:val="24"/>
                <w:szCs w:val="20"/>
                <w:highlight w:val="none"/>
                <w:lang w:val="en-US" w:eastAsia="zh-CN"/>
              </w:rPr>
              <w:t>（4）无此项内容的，本项不得分。</w:t>
            </w:r>
          </w:p>
        </w:tc>
        <w:tc>
          <w:tcPr>
            <w:tcW w:w="758" w:type="pct"/>
            <w:tcBorders>
              <w:top w:val="single" w:color="auto" w:sz="4" w:space="0"/>
              <w:left w:val="single" w:color="auto" w:sz="4" w:space="0"/>
              <w:bottom w:val="single" w:color="auto" w:sz="4" w:space="0"/>
              <w:right w:val="single" w:color="auto" w:sz="4" w:space="0"/>
            </w:tcBorders>
            <w:vAlign w:val="center"/>
          </w:tcPr>
          <w:p w14:paraId="23721099">
            <w:pPr>
              <w:spacing w:before="0" w:beforeAutospacing="0" w:after="0" w:afterAutospacing="0" w:line="360" w:lineRule="auto"/>
              <w:ind w:left="0" w:leftChars="0" w:right="0" w:rightChars="0"/>
              <w:jc w:val="center"/>
              <w:rPr>
                <w:rFonts w:hint="eastAsia" w:asciiTheme="minorEastAsia" w:hAnsiTheme="minorEastAsia" w:eastAsiaTheme="minorEastAsia"/>
                <w:b/>
                <w:bCs/>
                <w:color w:val="auto"/>
                <w:sz w:val="24"/>
                <w:highlight w:val="none"/>
              </w:rPr>
            </w:pPr>
            <w:r>
              <w:rPr>
                <w:rFonts w:hint="eastAsia" w:ascii="宋体" w:hAnsi="宋体" w:eastAsia="宋体" w:cs="Times New Roman"/>
                <w:b/>
                <w:bCs/>
                <w:color w:val="auto"/>
                <w:sz w:val="24"/>
                <w:szCs w:val="20"/>
                <w:highlight w:val="none"/>
                <w:lang w:val="en-US" w:eastAsia="zh-CN"/>
              </w:rPr>
              <w:t>0-5分</w:t>
            </w:r>
          </w:p>
        </w:tc>
      </w:tr>
      <w:tr w14:paraId="1D00D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left w:val="single" w:color="auto" w:sz="4" w:space="0"/>
              <w:right w:val="single" w:color="auto" w:sz="4" w:space="0"/>
            </w:tcBorders>
            <w:vAlign w:val="center"/>
          </w:tcPr>
          <w:p w14:paraId="78C13A5B">
            <w:pPr>
              <w:spacing w:line="400" w:lineRule="exact"/>
              <w:ind w:firstLine="435"/>
              <w:jc w:val="center"/>
              <w:rPr>
                <w:rFonts w:asciiTheme="minorEastAsia" w:hAnsiTheme="minorEastAsia" w:eastAsiaTheme="minorEastAsia"/>
                <w:b/>
                <w:bCs/>
                <w:color w:val="auto"/>
                <w:sz w:val="24"/>
                <w:highlight w:val="none"/>
              </w:rPr>
            </w:pPr>
          </w:p>
        </w:tc>
        <w:tc>
          <w:tcPr>
            <w:tcW w:w="1009" w:type="pct"/>
            <w:tcBorders>
              <w:top w:val="single" w:color="auto" w:sz="4" w:space="0"/>
              <w:left w:val="single" w:color="auto" w:sz="4" w:space="0"/>
              <w:right w:val="single" w:color="auto" w:sz="4" w:space="0"/>
            </w:tcBorders>
            <w:vAlign w:val="center"/>
          </w:tcPr>
          <w:p w14:paraId="67070DF8">
            <w:pPr>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Times New Roman"/>
                <w:color w:val="auto"/>
                <w:sz w:val="24"/>
                <w:szCs w:val="20"/>
                <w:highlight w:val="none"/>
                <w:lang w:val="en-US" w:eastAsia="zh-CN"/>
              </w:rPr>
              <w:t>6.进度控制方案</w:t>
            </w:r>
          </w:p>
        </w:tc>
        <w:tc>
          <w:tcPr>
            <w:tcW w:w="2369" w:type="pct"/>
            <w:tcBorders>
              <w:top w:val="single" w:color="auto" w:sz="4" w:space="0"/>
              <w:left w:val="single" w:color="auto" w:sz="4" w:space="0"/>
              <w:bottom w:val="single" w:color="auto" w:sz="4" w:space="0"/>
              <w:right w:val="single" w:color="auto" w:sz="4" w:space="0"/>
            </w:tcBorders>
            <w:vAlign w:val="center"/>
          </w:tcPr>
          <w:p w14:paraId="484007F4">
            <w:pPr>
              <w:widowControl/>
              <w:spacing w:line="400" w:lineRule="exact"/>
              <w:jc w:val="both"/>
              <w:rPr>
                <w:rFonts w:hint="eastAsia" w:ascii="宋体" w:hAnsi="宋体" w:eastAsia="宋体" w:cs="Times New Roman"/>
                <w:color w:val="auto"/>
                <w:sz w:val="24"/>
                <w:szCs w:val="20"/>
                <w:highlight w:val="none"/>
                <w:lang w:val="en-US" w:eastAsia="zh-CN"/>
              </w:rPr>
            </w:pPr>
            <w:r>
              <w:rPr>
                <w:rFonts w:hint="eastAsia" w:asciiTheme="minorEastAsia" w:hAnsiTheme="minorEastAsia" w:eastAsiaTheme="minorEastAsia"/>
                <w:bCs/>
                <w:color w:val="auto"/>
                <w:sz w:val="24"/>
                <w:highlight w:val="none"/>
                <w:lang w:val="en-US" w:eastAsia="zh-CN"/>
              </w:rPr>
              <w:t>根据</w:t>
            </w:r>
            <w:r>
              <w:rPr>
                <w:rFonts w:hint="eastAsia" w:ascii="宋体" w:hAnsi="宋体" w:eastAsia="宋体" w:cs="Times New Roman"/>
                <w:color w:val="auto"/>
                <w:sz w:val="24"/>
                <w:szCs w:val="20"/>
                <w:highlight w:val="none"/>
                <w:lang w:val="en-US" w:eastAsia="zh-CN"/>
              </w:rPr>
              <w:t>供应商提供的进度控制方案内容，</w:t>
            </w:r>
            <w:r>
              <w:rPr>
                <w:rFonts w:hint="eastAsia" w:ascii="宋体" w:hAnsi="宋体" w:eastAsia="宋体" w:cs="宋体"/>
                <w:color w:val="auto"/>
                <w:kern w:val="0"/>
                <w:sz w:val="24"/>
                <w:szCs w:val="24"/>
                <w:highlight w:val="none"/>
                <w:lang w:bidi="ar"/>
              </w:rPr>
              <w:t>由磋商小组进行综合评审</w:t>
            </w:r>
            <w:r>
              <w:rPr>
                <w:rFonts w:hint="eastAsia" w:asciiTheme="minorEastAsia" w:hAnsiTheme="minorEastAsia" w:eastAsiaTheme="minorEastAsia"/>
                <w:bCs/>
                <w:color w:val="auto"/>
                <w:sz w:val="24"/>
                <w:highlight w:val="none"/>
                <w:lang w:val="en-US" w:eastAsia="zh-CN"/>
              </w:rPr>
              <w:t>：</w:t>
            </w:r>
          </w:p>
          <w:p w14:paraId="71563E00">
            <w:pPr>
              <w:spacing w:before="0" w:beforeAutospacing="0" w:after="0" w:afterAutospacing="0" w:line="360" w:lineRule="auto"/>
              <w:ind w:left="0" w:right="0"/>
              <w:jc w:val="both"/>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（1）方案考虑充分，符合实际情况，结合项目采购内容及实施时间等，贴合项目需求设置进度保障措施，方案内容完整、表述合理且清晰，有充足的保障措施，确保项目能保质保量按时完成的得5分；</w:t>
            </w:r>
          </w:p>
          <w:p w14:paraId="7E238009">
            <w:pPr>
              <w:spacing w:before="0" w:beforeAutospacing="0" w:after="0" w:afterAutospacing="0" w:line="360" w:lineRule="auto"/>
              <w:ind w:left="0" w:right="0"/>
              <w:jc w:val="both"/>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（2）方案基本符合实际情况，内容完整，满足实际需求的进度保障措施，方案基本满足项目需求及进度的得3分；</w:t>
            </w:r>
          </w:p>
          <w:p w14:paraId="5913B168">
            <w:pPr>
              <w:spacing w:before="0" w:beforeAutospacing="0" w:after="0" w:afterAutospacing="0" w:line="360" w:lineRule="auto"/>
              <w:ind w:left="0" w:right="0"/>
              <w:jc w:val="both"/>
              <w:rPr>
                <w:rFonts w:hint="default"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（3）方案未结合项目需求，虽有内容但实施方案空洞，不能满足项目或关键点缺失的得1分；</w:t>
            </w:r>
          </w:p>
          <w:p w14:paraId="7F0A693F">
            <w:pPr>
              <w:spacing w:before="0" w:beforeAutospacing="0" w:after="0" w:afterAutospacing="0" w:line="360" w:lineRule="auto"/>
              <w:ind w:left="0" w:leftChars="0" w:right="0" w:rightChars="0"/>
              <w:jc w:val="both"/>
              <w:rPr>
                <w:rFonts w:hint="eastAsia" w:asciiTheme="minorEastAsia" w:hAnsiTheme="minorEastAsia" w:eastAsiaTheme="minorEastAsia"/>
                <w:bCs/>
                <w:color w:val="auto"/>
                <w:sz w:val="24"/>
                <w:highlight w:val="none"/>
                <w:lang w:val="en-US" w:eastAsia="zh-CN"/>
              </w:rPr>
            </w:pPr>
            <w:r>
              <w:rPr>
                <w:rFonts w:hint="eastAsia" w:ascii="宋体" w:hAnsi="宋体" w:eastAsia="宋体" w:cs="Times New Roman"/>
                <w:color w:val="auto"/>
                <w:sz w:val="24"/>
                <w:szCs w:val="20"/>
                <w:highlight w:val="none"/>
                <w:lang w:val="en-US" w:eastAsia="zh-CN"/>
              </w:rPr>
              <w:t>（4）未提供不得分。</w:t>
            </w:r>
          </w:p>
        </w:tc>
        <w:tc>
          <w:tcPr>
            <w:tcW w:w="758" w:type="pct"/>
            <w:tcBorders>
              <w:top w:val="single" w:color="auto" w:sz="4" w:space="0"/>
              <w:left w:val="single" w:color="auto" w:sz="4" w:space="0"/>
              <w:bottom w:val="single" w:color="auto" w:sz="4" w:space="0"/>
              <w:right w:val="single" w:color="auto" w:sz="4" w:space="0"/>
            </w:tcBorders>
            <w:vAlign w:val="center"/>
          </w:tcPr>
          <w:p w14:paraId="03EB6C1C">
            <w:pPr>
              <w:spacing w:before="0" w:beforeAutospacing="0" w:after="0" w:afterAutospacing="0" w:line="360" w:lineRule="auto"/>
              <w:ind w:left="0" w:leftChars="0" w:right="0" w:rightChars="0"/>
              <w:jc w:val="center"/>
              <w:rPr>
                <w:rFonts w:hint="eastAsia" w:asciiTheme="minorEastAsia" w:hAnsiTheme="minorEastAsia" w:eastAsiaTheme="minorEastAsia"/>
                <w:b/>
                <w:bCs/>
                <w:color w:val="auto"/>
                <w:sz w:val="24"/>
                <w:highlight w:val="none"/>
              </w:rPr>
            </w:pPr>
            <w:r>
              <w:rPr>
                <w:rFonts w:hint="eastAsia" w:ascii="宋体" w:hAnsi="宋体" w:eastAsia="宋体" w:cs="Times New Roman"/>
                <w:b/>
                <w:bCs/>
                <w:color w:val="auto"/>
                <w:sz w:val="24"/>
                <w:szCs w:val="20"/>
                <w:highlight w:val="none"/>
                <w:lang w:val="en-US" w:eastAsia="zh-CN"/>
              </w:rPr>
              <w:t>0-5分</w:t>
            </w:r>
          </w:p>
        </w:tc>
      </w:tr>
      <w:tr w14:paraId="693E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left w:val="single" w:color="auto" w:sz="4" w:space="0"/>
              <w:right w:val="single" w:color="auto" w:sz="4" w:space="0"/>
            </w:tcBorders>
            <w:vAlign w:val="center"/>
          </w:tcPr>
          <w:p w14:paraId="244E3F0C">
            <w:pPr>
              <w:spacing w:line="400" w:lineRule="exact"/>
              <w:ind w:firstLine="435"/>
              <w:jc w:val="center"/>
              <w:rPr>
                <w:rFonts w:asciiTheme="minorEastAsia" w:hAnsiTheme="minorEastAsia" w:eastAsiaTheme="minorEastAsia"/>
                <w:b/>
                <w:bCs/>
                <w:color w:val="auto"/>
                <w:sz w:val="24"/>
                <w:highlight w:val="none"/>
              </w:rPr>
            </w:pPr>
          </w:p>
        </w:tc>
        <w:tc>
          <w:tcPr>
            <w:tcW w:w="1009" w:type="pct"/>
            <w:tcBorders>
              <w:left w:val="single" w:color="auto" w:sz="4" w:space="0"/>
              <w:bottom w:val="single" w:color="auto" w:sz="4" w:space="0"/>
              <w:right w:val="single" w:color="auto" w:sz="4" w:space="0"/>
            </w:tcBorders>
            <w:shd w:val="clear" w:color="auto" w:fill="auto"/>
            <w:vAlign w:val="center"/>
          </w:tcPr>
          <w:p w14:paraId="481C6AF2">
            <w:pPr>
              <w:spacing w:before="0" w:beforeAutospacing="0" w:after="0" w:afterAutospacing="0" w:line="360" w:lineRule="auto"/>
              <w:ind w:left="0" w:right="0"/>
              <w:jc w:val="both"/>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7.信息化培训方案</w:t>
            </w:r>
          </w:p>
        </w:tc>
        <w:tc>
          <w:tcPr>
            <w:tcW w:w="2369" w:type="pct"/>
            <w:tcBorders>
              <w:top w:val="single" w:color="auto" w:sz="4" w:space="0"/>
              <w:left w:val="single" w:color="auto" w:sz="4" w:space="0"/>
              <w:bottom w:val="single" w:color="auto" w:sz="4" w:space="0"/>
              <w:right w:val="single" w:color="auto" w:sz="4" w:space="0"/>
            </w:tcBorders>
            <w:shd w:val="clear" w:color="auto" w:fill="auto"/>
            <w:vAlign w:val="center"/>
          </w:tcPr>
          <w:p w14:paraId="62AEFF34">
            <w:pPr>
              <w:widowControl/>
              <w:spacing w:line="400" w:lineRule="exact"/>
              <w:jc w:val="both"/>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投标人根据项目需求，提供配套的教师教学能力专家培训、课程制作培训、教学设计优化培训、比赛及申报培训组织方案，需包括建设内容、运行方式等，</w:t>
            </w:r>
            <w:r>
              <w:rPr>
                <w:rFonts w:hint="eastAsia" w:ascii="宋体" w:hAnsi="宋体" w:eastAsia="宋体" w:cs="宋体"/>
                <w:color w:val="auto"/>
                <w:kern w:val="0"/>
                <w:sz w:val="24"/>
                <w:szCs w:val="24"/>
                <w:highlight w:val="none"/>
                <w:lang w:bidi="ar"/>
              </w:rPr>
              <w:t>由磋商小组进行综合评审</w:t>
            </w:r>
            <w:r>
              <w:rPr>
                <w:rFonts w:hint="eastAsia" w:asciiTheme="minorEastAsia" w:hAnsiTheme="minorEastAsia" w:eastAsiaTheme="minorEastAsia"/>
                <w:bCs/>
                <w:color w:val="auto"/>
                <w:sz w:val="24"/>
                <w:highlight w:val="none"/>
                <w:lang w:val="en-US" w:eastAsia="zh-CN"/>
              </w:rPr>
              <w:t>：</w:t>
            </w:r>
          </w:p>
          <w:p w14:paraId="3B69DC6C">
            <w:pPr>
              <w:spacing w:before="0" w:beforeAutospacing="0" w:after="0" w:afterAutospacing="0" w:line="360" w:lineRule="auto"/>
              <w:ind w:left="0" w:right="0"/>
              <w:jc w:val="both"/>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（1)培训方案内容详细、设计合理、满足采购需求实际，能够提供完善的运行解决方案，符合本项目所有要求得5分；</w:t>
            </w:r>
          </w:p>
          <w:p w14:paraId="17C48887">
            <w:pPr>
              <w:spacing w:before="0" w:beforeAutospacing="0" w:after="0" w:afterAutospacing="0" w:line="360" w:lineRule="auto"/>
              <w:ind w:left="0" w:right="0"/>
              <w:jc w:val="both"/>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（2）培训方案内容齐全，满足本项目的要求的得3分；</w:t>
            </w:r>
          </w:p>
          <w:p w14:paraId="4E3A6AC7">
            <w:pPr>
              <w:spacing w:before="0" w:beforeAutospacing="0" w:after="0" w:afterAutospacing="0" w:line="360" w:lineRule="auto"/>
              <w:ind w:left="0" w:right="0"/>
              <w:jc w:val="both"/>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（3）培训方案内容简单，关键内容确实或仅部分符合项目要求的得1分；</w:t>
            </w:r>
          </w:p>
          <w:p w14:paraId="2F0B4ABE">
            <w:pPr>
              <w:spacing w:before="0" w:beforeAutospacing="0" w:after="0" w:afterAutospacing="0" w:line="360" w:lineRule="auto"/>
              <w:ind w:left="0" w:right="0"/>
              <w:jc w:val="both"/>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（4）未提供或与本项目明显不符的不得分。</w:t>
            </w:r>
          </w:p>
        </w:tc>
        <w:tc>
          <w:tcPr>
            <w:tcW w:w="758" w:type="pct"/>
            <w:tcBorders>
              <w:top w:val="single" w:color="auto" w:sz="4" w:space="0"/>
              <w:left w:val="single" w:color="auto" w:sz="4" w:space="0"/>
              <w:bottom w:val="single" w:color="auto" w:sz="4" w:space="0"/>
              <w:right w:val="single" w:color="auto" w:sz="4" w:space="0"/>
            </w:tcBorders>
            <w:shd w:val="clear" w:color="auto" w:fill="auto"/>
            <w:vAlign w:val="center"/>
          </w:tcPr>
          <w:p w14:paraId="0582F33E">
            <w:pPr>
              <w:spacing w:line="360" w:lineRule="auto"/>
              <w:jc w:val="center"/>
              <w:rPr>
                <w:rFonts w:hint="eastAsia" w:asciiTheme="minorEastAsia" w:hAnsiTheme="minorEastAsia" w:eastAsiaTheme="minorEastAsia"/>
                <w:b/>
                <w:bCs/>
                <w:color w:val="auto"/>
                <w:sz w:val="24"/>
                <w:highlight w:val="none"/>
                <w:lang w:val="en-US" w:eastAsia="zh-CN"/>
              </w:rPr>
            </w:pPr>
            <w:r>
              <w:rPr>
                <w:rFonts w:hint="eastAsia" w:ascii="宋体" w:hAnsi="宋体" w:eastAsia="宋体" w:cs="Times New Roman"/>
                <w:b/>
                <w:bCs/>
                <w:color w:val="auto"/>
                <w:sz w:val="24"/>
                <w:szCs w:val="20"/>
                <w:highlight w:val="none"/>
                <w:lang w:val="en-US" w:eastAsia="zh-CN"/>
              </w:rPr>
              <w:t>0-5分</w:t>
            </w:r>
          </w:p>
        </w:tc>
      </w:tr>
      <w:tr w14:paraId="0859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left w:val="single" w:color="auto" w:sz="4" w:space="0"/>
              <w:right w:val="single" w:color="auto" w:sz="4" w:space="0"/>
            </w:tcBorders>
            <w:vAlign w:val="center"/>
          </w:tcPr>
          <w:p w14:paraId="1F3A7900">
            <w:pPr>
              <w:spacing w:line="400" w:lineRule="exact"/>
              <w:ind w:firstLine="435"/>
              <w:jc w:val="center"/>
              <w:rPr>
                <w:rFonts w:asciiTheme="minorEastAsia" w:hAnsiTheme="minorEastAsia" w:eastAsiaTheme="minorEastAsia"/>
                <w:b/>
                <w:bCs/>
                <w:color w:val="auto"/>
                <w:sz w:val="24"/>
                <w:highlight w:val="none"/>
              </w:rPr>
            </w:pPr>
          </w:p>
        </w:tc>
        <w:tc>
          <w:tcPr>
            <w:tcW w:w="1009" w:type="pct"/>
            <w:tcBorders>
              <w:left w:val="single" w:color="auto" w:sz="4" w:space="0"/>
              <w:bottom w:val="single" w:color="auto" w:sz="4" w:space="0"/>
              <w:right w:val="single" w:color="auto" w:sz="4" w:space="0"/>
            </w:tcBorders>
            <w:shd w:val="clear" w:color="auto" w:fill="auto"/>
            <w:vAlign w:val="center"/>
          </w:tcPr>
          <w:p w14:paraId="63C10E0D">
            <w:pPr>
              <w:spacing w:line="360" w:lineRule="auto"/>
              <w:jc w:val="center"/>
              <w:rPr>
                <w:rFonts w:hint="eastAsia" w:cs="@仿宋_GB2312" w:asciiTheme="minorEastAsia" w:hAnsiTheme="minorEastAsia" w:eastAsiaTheme="minorEastAsia"/>
                <w:color w:val="auto"/>
                <w:kern w:val="2"/>
                <w:sz w:val="24"/>
                <w:highlight w:val="none"/>
                <w:lang w:val="en-US" w:eastAsia="zh-CN" w:bidi="ar-SA"/>
              </w:rPr>
            </w:pPr>
            <w:r>
              <w:rPr>
                <w:rFonts w:hint="eastAsia" w:ascii="宋体" w:hAnsi="宋体" w:eastAsia="宋体" w:cs="宋体"/>
                <w:color w:val="auto"/>
                <w:spacing w:val="1"/>
                <w:kern w:val="0"/>
                <w:sz w:val="24"/>
                <w:szCs w:val="24"/>
                <w:highlight w:val="none"/>
                <w:lang w:val="en-US" w:eastAsia="zh-CN"/>
              </w:rPr>
              <w:t>8.售后服务方案</w:t>
            </w:r>
          </w:p>
        </w:tc>
        <w:tc>
          <w:tcPr>
            <w:tcW w:w="2369" w:type="pct"/>
            <w:tcBorders>
              <w:top w:val="single" w:color="auto" w:sz="4" w:space="0"/>
              <w:left w:val="single" w:color="auto" w:sz="4" w:space="0"/>
              <w:bottom w:val="single" w:color="auto" w:sz="4" w:space="0"/>
              <w:right w:val="single" w:color="auto" w:sz="4" w:space="0"/>
            </w:tcBorders>
            <w:shd w:val="clear" w:color="auto" w:fill="auto"/>
            <w:vAlign w:val="center"/>
          </w:tcPr>
          <w:p w14:paraId="219792AB">
            <w:pPr>
              <w:widowControl/>
              <w:spacing w:line="400" w:lineRule="exact"/>
              <w:jc w:val="both"/>
              <w:rPr>
                <w:rFonts w:hint="eastAsia" w:ascii="宋体" w:hAnsi="宋体" w:eastAsia="宋体" w:cs="宋体"/>
                <w:color w:val="auto"/>
                <w:kern w:val="0"/>
                <w:sz w:val="24"/>
                <w:szCs w:val="24"/>
                <w:highlight w:val="none"/>
                <w:lang w:bidi="ar"/>
              </w:rPr>
            </w:pPr>
            <w:r>
              <w:rPr>
                <w:rFonts w:hint="eastAsia" w:asciiTheme="minorEastAsia" w:hAnsiTheme="minorEastAsia" w:eastAsiaTheme="minorEastAsia"/>
                <w:bCs/>
                <w:color w:val="auto"/>
                <w:sz w:val="24"/>
                <w:highlight w:val="none"/>
                <w:lang w:val="en-US" w:eastAsia="zh-CN"/>
              </w:rPr>
              <w:t>对供应商提供的售后服务方案进行评审，内容包括但不限于售后服务承诺、售后服务内容、售后服务人员配备、故障响应及排除时间等，</w:t>
            </w:r>
            <w:r>
              <w:rPr>
                <w:rFonts w:hint="eastAsia" w:ascii="宋体" w:hAnsi="宋体" w:eastAsia="宋体" w:cs="宋体"/>
                <w:color w:val="auto"/>
                <w:kern w:val="0"/>
                <w:sz w:val="24"/>
                <w:szCs w:val="24"/>
                <w:highlight w:val="none"/>
                <w:lang w:bidi="ar"/>
              </w:rPr>
              <w:t>由磋商小组进行综合评审</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 xml:space="preserve"> </w:t>
            </w:r>
          </w:p>
          <w:p w14:paraId="00D07781">
            <w:pPr>
              <w:spacing w:before="69"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方案切合实际情况，解决方案合理、有具体切实可行的保障措施，售后人员配备充足、售后</w:t>
            </w:r>
            <w:r>
              <w:rPr>
                <w:rFonts w:hint="eastAsia" w:ascii="宋体" w:hAnsi="宋体" w:eastAsia="宋体" w:cs="宋体"/>
                <w:color w:val="auto"/>
                <w:sz w:val="24"/>
                <w:szCs w:val="24"/>
                <w:highlight w:val="none"/>
                <w:lang w:val="en-US" w:eastAsia="zh-CN"/>
              </w:rPr>
              <w:t>服务内容</w:t>
            </w:r>
            <w:r>
              <w:rPr>
                <w:rFonts w:hint="eastAsia" w:ascii="宋体" w:hAnsi="宋体" w:eastAsia="宋体" w:cs="宋体"/>
                <w:color w:val="auto"/>
                <w:sz w:val="24"/>
                <w:szCs w:val="24"/>
                <w:highlight w:val="none"/>
              </w:rPr>
              <w:t>完整、安全、切实可行，措施得力的得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7E740A0E">
            <w:pPr>
              <w:spacing w:before="69"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方案基本符合实际情况，内容完整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有保障措施，配备了售后服务人员，解决方案基本符合项目要求的得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69F4BDE8">
            <w:pPr>
              <w:spacing w:before="69"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方案基本满足项目要求但有一定的矛盾点，对各个环节的保障措施、解决方案等缺项或关键点缺失的得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72EF4763">
            <w:pPr>
              <w:spacing w:line="360" w:lineRule="auto"/>
              <w:jc w:val="both"/>
              <w:rPr>
                <w:rFonts w:hint="eastAsia" w:cs="@仿宋_GB2312" w:asciiTheme="minorEastAsia" w:hAnsiTheme="minorEastAsia" w:eastAsiaTheme="minorEastAsia"/>
                <w:color w:val="auto"/>
                <w:kern w:val="2"/>
                <w:sz w:val="24"/>
                <w:highlight w:val="none"/>
                <w:lang w:val="en-US" w:eastAsia="zh-CN" w:bidi="ar-SA"/>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未提供不得分。</w:t>
            </w:r>
          </w:p>
        </w:tc>
        <w:tc>
          <w:tcPr>
            <w:tcW w:w="758" w:type="pct"/>
            <w:tcBorders>
              <w:top w:val="single" w:color="auto" w:sz="4" w:space="0"/>
              <w:left w:val="single" w:color="auto" w:sz="4" w:space="0"/>
              <w:bottom w:val="single" w:color="auto" w:sz="4" w:space="0"/>
              <w:right w:val="single" w:color="auto" w:sz="4" w:space="0"/>
            </w:tcBorders>
            <w:shd w:val="clear" w:color="auto" w:fill="auto"/>
            <w:vAlign w:val="center"/>
          </w:tcPr>
          <w:p w14:paraId="7F8B33C0">
            <w:pPr>
              <w:spacing w:line="360" w:lineRule="auto"/>
              <w:jc w:val="center"/>
              <w:rPr>
                <w:rFonts w:hint="eastAsia" w:cs="@仿宋_GB2312" w:asciiTheme="minorEastAsia" w:hAnsiTheme="minorEastAsia" w:eastAsiaTheme="minorEastAsia"/>
                <w:b/>
                <w:bCs/>
                <w:color w:val="auto"/>
                <w:kern w:val="2"/>
                <w:sz w:val="24"/>
                <w:highlight w:val="none"/>
                <w:lang w:val="en-US" w:eastAsia="zh-CN" w:bidi="ar-SA"/>
              </w:rPr>
            </w:pPr>
            <w:r>
              <w:rPr>
                <w:rFonts w:hint="eastAsia" w:asciiTheme="minorEastAsia" w:hAnsiTheme="minorEastAsia" w:eastAsiaTheme="minorEastAsia"/>
                <w:b/>
                <w:bCs/>
                <w:color w:val="auto"/>
                <w:sz w:val="24"/>
                <w:highlight w:val="none"/>
                <w:lang w:val="en-US" w:eastAsia="zh-CN"/>
              </w:rPr>
              <w:t>0-5分</w:t>
            </w:r>
          </w:p>
        </w:tc>
      </w:tr>
      <w:tr w14:paraId="39814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left w:val="single" w:color="auto" w:sz="4" w:space="0"/>
              <w:right w:val="single" w:color="auto" w:sz="4" w:space="0"/>
            </w:tcBorders>
            <w:vAlign w:val="center"/>
          </w:tcPr>
          <w:p w14:paraId="78A2BCED">
            <w:pPr>
              <w:spacing w:line="400" w:lineRule="exact"/>
              <w:ind w:firstLine="435"/>
              <w:jc w:val="center"/>
              <w:rPr>
                <w:rFonts w:asciiTheme="minorEastAsia" w:hAnsiTheme="minorEastAsia" w:eastAsiaTheme="minorEastAsia"/>
                <w:b/>
                <w:bCs/>
                <w:color w:val="auto"/>
                <w:sz w:val="24"/>
                <w:highlight w:val="none"/>
              </w:rPr>
            </w:pPr>
          </w:p>
        </w:tc>
        <w:tc>
          <w:tcPr>
            <w:tcW w:w="1009" w:type="pct"/>
            <w:tcBorders>
              <w:left w:val="single" w:color="auto" w:sz="4" w:space="0"/>
              <w:bottom w:val="single" w:color="auto" w:sz="4" w:space="0"/>
              <w:right w:val="single" w:color="auto" w:sz="4" w:space="0"/>
            </w:tcBorders>
            <w:vAlign w:val="center"/>
          </w:tcPr>
          <w:p w14:paraId="52269D04">
            <w:pPr>
              <w:spacing w:line="360" w:lineRule="auto"/>
              <w:jc w:val="center"/>
              <w:rPr>
                <w:rFonts w:hint="eastAsia" w:ascii="宋体" w:hAnsi="宋体" w:eastAsia="宋体" w:cs="宋体"/>
                <w:color w:val="auto"/>
                <w:spacing w:val="1"/>
                <w:kern w:val="0"/>
                <w:sz w:val="24"/>
                <w:szCs w:val="24"/>
                <w:highlight w:val="none"/>
                <w:lang w:val="en-US" w:eastAsia="zh-CN"/>
              </w:rPr>
            </w:pPr>
            <w:r>
              <w:rPr>
                <w:rFonts w:hint="eastAsia" w:ascii="宋体" w:hAnsi="宋体" w:eastAsia="宋体" w:cs="宋体"/>
                <w:color w:val="auto"/>
                <w:spacing w:val="1"/>
                <w:kern w:val="0"/>
                <w:sz w:val="24"/>
                <w:szCs w:val="24"/>
                <w:highlight w:val="none"/>
                <w:lang w:val="en-US" w:eastAsia="zh-CN"/>
              </w:rPr>
              <w:t>9.验收方案</w:t>
            </w:r>
          </w:p>
        </w:tc>
        <w:tc>
          <w:tcPr>
            <w:tcW w:w="2369" w:type="pct"/>
            <w:tcBorders>
              <w:top w:val="single" w:color="auto" w:sz="4" w:space="0"/>
              <w:left w:val="single" w:color="auto" w:sz="4" w:space="0"/>
              <w:bottom w:val="single" w:color="auto" w:sz="4" w:space="0"/>
              <w:right w:val="single" w:color="auto" w:sz="4" w:space="0"/>
            </w:tcBorders>
            <w:vAlign w:val="center"/>
          </w:tcPr>
          <w:p w14:paraId="082AF318">
            <w:pPr>
              <w:spacing w:line="360" w:lineRule="auto"/>
              <w:jc w:val="both"/>
              <w:rPr>
                <w:rFonts w:hint="eastAsia" w:ascii="宋体" w:hAnsi="宋体" w:eastAsia="宋体" w:cs="宋体"/>
                <w:color w:val="auto"/>
                <w:spacing w:val="1"/>
                <w:kern w:val="0"/>
                <w:sz w:val="24"/>
                <w:szCs w:val="24"/>
                <w:highlight w:val="none"/>
                <w:lang w:val="en-US" w:eastAsia="zh-CN"/>
              </w:rPr>
            </w:pPr>
            <w:r>
              <w:rPr>
                <w:rFonts w:hint="eastAsia" w:ascii="宋体" w:hAnsi="宋体" w:eastAsia="宋体" w:cs="宋体"/>
                <w:color w:val="auto"/>
                <w:spacing w:val="1"/>
                <w:kern w:val="0"/>
                <w:sz w:val="24"/>
                <w:szCs w:val="24"/>
                <w:highlight w:val="none"/>
                <w:lang w:val="en-US" w:eastAsia="zh-CN"/>
              </w:rPr>
              <w:t>根据供应商提供的项目整体完成度及验收方案，由磋商小组进行综合评审：</w:t>
            </w:r>
          </w:p>
          <w:p w14:paraId="2C58F602">
            <w:pPr>
              <w:spacing w:line="360" w:lineRule="auto"/>
              <w:jc w:val="both"/>
              <w:rPr>
                <w:rFonts w:hint="eastAsia" w:ascii="宋体" w:hAnsi="宋体" w:eastAsia="宋体" w:cs="宋体"/>
                <w:color w:val="auto"/>
                <w:spacing w:val="1"/>
                <w:kern w:val="0"/>
                <w:sz w:val="24"/>
                <w:szCs w:val="24"/>
                <w:highlight w:val="none"/>
                <w:lang w:val="en-US" w:eastAsia="zh-CN"/>
              </w:rPr>
            </w:pPr>
            <w:r>
              <w:rPr>
                <w:rFonts w:hint="eastAsia" w:ascii="宋体" w:hAnsi="宋体" w:eastAsia="宋体" w:cs="宋体"/>
                <w:color w:val="auto"/>
                <w:spacing w:val="1"/>
                <w:kern w:val="0"/>
                <w:sz w:val="24"/>
                <w:szCs w:val="24"/>
                <w:highlight w:val="none"/>
                <w:lang w:val="en-US" w:eastAsia="zh-CN"/>
              </w:rPr>
              <w:t>（</w:t>
            </w:r>
            <w:r>
              <w:rPr>
                <w:rFonts w:hint="default" w:ascii="宋体" w:hAnsi="宋体" w:eastAsia="宋体" w:cs="宋体"/>
                <w:color w:val="auto"/>
                <w:spacing w:val="1"/>
                <w:kern w:val="0"/>
                <w:sz w:val="24"/>
                <w:szCs w:val="24"/>
                <w:highlight w:val="none"/>
                <w:lang w:val="en-US" w:eastAsia="zh-CN"/>
              </w:rPr>
              <w:t>1</w:t>
            </w:r>
            <w:r>
              <w:rPr>
                <w:rFonts w:hint="eastAsia" w:ascii="宋体" w:hAnsi="宋体" w:eastAsia="宋体" w:cs="宋体"/>
                <w:color w:val="auto"/>
                <w:spacing w:val="1"/>
                <w:kern w:val="0"/>
                <w:sz w:val="24"/>
                <w:szCs w:val="24"/>
                <w:highlight w:val="none"/>
                <w:lang w:val="en-US" w:eastAsia="zh-CN"/>
              </w:rPr>
              <w:t xml:space="preserve">）方案内容完整、详尽细致紧，密结合实际，符合或优于采购需求的得5分； </w:t>
            </w:r>
          </w:p>
          <w:p w14:paraId="1EC8B1B0">
            <w:pPr>
              <w:spacing w:line="360" w:lineRule="auto"/>
              <w:jc w:val="both"/>
              <w:rPr>
                <w:rFonts w:hint="eastAsia" w:ascii="宋体" w:hAnsi="宋体" w:eastAsia="宋体" w:cs="宋体"/>
                <w:color w:val="auto"/>
                <w:spacing w:val="1"/>
                <w:kern w:val="0"/>
                <w:sz w:val="24"/>
                <w:szCs w:val="24"/>
                <w:highlight w:val="none"/>
                <w:lang w:val="en-US" w:eastAsia="zh-CN"/>
              </w:rPr>
            </w:pPr>
            <w:r>
              <w:rPr>
                <w:rFonts w:hint="eastAsia" w:ascii="宋体" w:hAnsi="宋体" w:eastAsia="宋体" w:cs="宋体"/>
                <w:color w:val="auto"/>
                <w:spacing w:val="1"/>
                <w:kern w:val="0"/>
                <w:sz w:val="24"/>
                <w:szCs w:val="24"/>
                <w:highlight w:val="none"/>
                <w:lang w:val="en-US" w:eastAsia="zh-CN"/>
              </w:rPr>
              <w:t>（</w:t>
            </w:r>
            <w:r>
              <w:rPr>
                <w:rFonts w:hint="default" w:ascii="宋体" w:hAnsi="宋体" w:eastAsia="宋体" w:cs="宋体"/>
                <w:color w:val="auto"/>
                <w:spacing w:val="1"/>
                <w:kern w:val="0"/>
                <w:sz w:val="24"/>
                <w:szCs w:val="24"/>
                <w:highlight w:val="none"/>
                <w:lang w:val="en-US" w:eastAsia="zh-CN"/>
              </w:rPr>
              <w:t>2</w:t>
            </w:r>
            <w:r>
              <w:rPr>
                <w:rFonts w:hint="eastAsia" w:ascii="宋体" w:hAnsi="宋体" w:eastAsia="宋体" w:cs="宋体"/>
                <w:color w:val="auto"/>
                <w:spacing w:val="1"/>
                <w:kern w:val="0"/>
                <w:sz w:val="24"/>
                <w:szCs w:val="24"/>
                <w:highlight w:val="none"/>
                <w:lang w:val="en-US" w:eastAsia="zh-CN"/>
              </w:rPr>
              <w:t>）方案内容完整、结合实际，满足采购需求的得</w:t>
            </w:r>
            <w:r>
              <w:rPr>
                <w:rFonts w:hint="default" w:ascii="宋体" w:hAnsi="宋体" w:eastAsia="宋体" w:cs="宋体"/>
                <w:color w:val="auto"/>
                <w:spacing w:val="1"/>
                <w:kern w:val="0"/>
                <w:sz w:val="24"/>
                <w:szCs w:val="24"/>
                <w:highlight w:val="none"/>
                <w:lang w:val="en-US" w:eastAsia="zh-CN"/>
              </w:rPr>
              <w:t>3</w:t>
            </w:r>
            <w:r>
              <w:rPr>
                <w:rFonts w:hint="eastAsia" w:ascii="宋体" w:hAnsi="宋体" w:eastAsia="宋体" w:cs="宋体"/>
                <w:color w:val="auto"/>
                <w:spacing w:val="1"/>
                <w:kern w:val="0"/>
                <w:sz w:val="24"/>
                <w:szCs w:val="24"/>
                <w:highlight w:val="none"/>
                <w:lang w:val="en-US" w:eastAsia="zh-CN"/>
              </w:rPr>
              <w:t xml:space="preserve">分； </w:t>
            </w:r>
          </w:p>
          <w:p w14:paraId="474DF05C">
            <w:pPr>
              <w:spacing w:line="360" w:lineRule="auto"/>
              <w:jc w:val="both"/>
              <w:rPr>
                <w:rFonts w:hint="eastAsia" w:ascii="宋体" w:hAnsi="宋体" w:eastAsia="宋体" w:cs="宋体"/>
                <w:color w:val="auto"/>
                <w:spacing w:val="1"/>
                <w:kern w:val="0"/>
                <w:sz w:val="24"/>
                <w:szCs w:val="24"/>
                <w:highlight w:val="none"/>
                <w:lang w:val="en-US" w:eastAsia="zh-CN"/>
              </w:rPr>
            </w:pPr>
            <w:r>
              <w:rPr>
                <w:rFonts w:hint="eastAsia" w:ascii="宋体" w:hAnsi="宋体" w:eastAsia="宋体" w:cs="宋体"/>
                <w:color w:val="auto"/>
                <w:spacing w:val="1"/>
                <w:kern w:val="0"/>
                <w:sz w:val="24"/>
                <w:szCs w:val="24"/>
                <w:highlight w:val="none"/>
                <w:lang w:val="en-US" w:eastAsia="zh-CN"/>
              </w:rPr>
              <w:t>（</w:t>
            </w:r>
            <w:r>
              <w:rPr>
                <w:rFonts w:hint="default" w:ascii="宋体" w:hAnsi="宋体" w:eastAsia="宋体" w:cs="宋体"/>
                <w:color w:val="auto"/>
                <w:spacing w:val="1"/>
                <w:kern w:val="0"/>
                <w:sz w:val="24"/>
                <w:szCs w:val="24"/>
                <w:highlight w:val="none"/>
                <w:lang w:val="en-US" w:eastAsia="zh-CN"/>
              </w:rPr>
              <w:t>3</w:t>
            </w:r>
            <w:r>
              <w:rPr>
                <w:rFonts w:hint="eastAsia" w:ascii="宋体" w:hAnsi="宋体" w:eastAsia="宋体" w:cs="宋体"/>
                <w:color w:val="auto"/>
                <w:spacing w:val="1"/>
                <w:kern w:val="0"/>
                <w:sz w:val="24"/>
                <w:szCs w:val="24"/>
                <w:highlight w:val="none"/>
                <w:lang w:val="en-US" w:eastAsia="zh-CN"/>
              </w:rPr>
              <w:t xml:space="preserve">）方案内容简单，出现非专门针对本项目或整体有待完善的得1分； </w:t>
            </w:r>
          </w:p>
          <w:p w14:paraId="0CC3EDE6">
            <w:pPr>
              <w:spacing w:line="360" w:lineRule="auto"/>
              <w:jc w:val="both"/>
              <w:rPr>
                <w:rFonts w:hint="eastAsia" w:ascii="宋体" w:hAnsi="宋体" w:eastAsia="宋体" w:cs="宋体"/>
                <w:color w:val="auto"/>
                <w:spacing w:val="1"/>
                <w:kern w:val="0"/>
                <w:sz w:val="24"/>
                <w:szCs w:val="24"/>
                <w:highlight w:val="none"/>
                <w:lang w:val="en-US" w:eastAsia="zh-CN"/>
              </w:rPr>
            </w:pPr>
            <w:r>
              <w:rPr>
                <w:rFonts w:hint="eastAsia" w:ascii="宋体" w:hAnsi="宋体" w:eastAsia="宋体" w:cs="宋体"/>
                <w:color w:val="auto"/>
                <w:spacing w:val="1"/>
                <w:kern w:val="0"/>
                <w:sz w:val="24"/>
                <w:szCs w:val="24"/>
                <w:highlight w:val="none"/>
                <w:lang w:val="en-US" w:eastAsia="zh-CN"/>
              </w:rPr>
              <w:t>（</w:t>
            </w:r>
            <w:r>
              <w:rPr>
                <w:rFonts w:hint="default" w:ascii="宋体" w:hAnsi="宋体" w:eastAsia="宋体" w:cs="宋体"/>
                <w:color w:val="auto"/>
                <w:spacing w:val="1"/>
                <w:kern w:val="0"/>
                <w:sz w:val="24"/>
                <w:szCs w:val="24"/>
                <w:highlight w:val="none"/>
                <w:lang w:val="en-US" w:eastAsia="zh-CN"/>
              </w:rPr>
              <w:t>4</w:t>
            </w:r>
            <w:r>
              <w:rPr>
                <w:rFonts w:hint="eastAsia" w:ascii="宋体" w:hAnsi="宋体" w:eastAsia="宋体" w:cs="宋体"/>
                <w:color w:val="auto"/>
                <w:spacing w:val="1"/>
                <w:kern w:val="0"/>
                <w:sz w:val="24"/>
                <w:szCs w:val="24"/>
                <w:highlight w:val="none"/>
                <w:lang w:val="en-US" w:eastAsia="zh-CN"/>
              </w:rPr>
              <w:t>）未提供或内容存在明显缺陷的不得分。</w:t>
            </w:r>
          </w:p>
        </w:tc>
        <w:tc>
          <w:tcPr>
            <w:tcW w:w="758" w:type="pct"/>
            <w:tcBorders>
              <w:top w:val="single" w:color="auto" w:sz="4" w:space="0"/>
              <w:left w:val="single" w:color="auto" w:sz="4" w:space="0"/>
              <w:bottom w:val="single" w:color="auto" w:sz="4" w:space="0"/>
              <w:right w:val="single" w:color="auto" w:sz="4" w:space="0"/>
            </w:tcBorders>
            <w:vAlign w:val="center"/>
          </w:tcPr>
          <w:p w14:paraId="45BFFEC2">
            <w:pPr>
              <w:spacing w:line="360" w:lineRule="auto"/>
              <w:jc w:val="center"/>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lang w:val="en-US" w:eastAsia="zh-CN"/>
              </w:rPr>
              <w:t>0-5分</w:t>
            </w:r>
          </w:p>
        </w:tc>
      </w:tr>
      <w:tr w14:paraId="398AD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tcBorders>
              <w:left w:val="single" w:color="auto" w:sz="4" w:space="0"/>
              <w:right w:val="single" w:color="auto" w:sz="4" w:space="0"/>
            </w:tcBorders>
            <w:vAlign w:val="center"/>
          </w:tcPr>
          <w:p w14:paraId="31B0F747">
            <w:pPr>
              <w:spacing w:line="4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价格分</w:t>
            </w:r>
          </w:p>
          <w:p w14:paraId="3ADBEDC2">
            <w:pPr>
              <w:spacing w:line="400" w:lineRule="exact"/>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16</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分）</w:t>
            </w:r>
          </w:p>
        </w:tc>
        <w:tc>
          <w:tcPr>
            <w:tcW w:w="4136" w:type="pct"/>
            <w:gridSpan w:val="3"/>
            <w:tcBorders>
              <w:top w:val="single" w:color="auto" w:sz="4" w:space="0"/>
              <w:left w:val="single" w:color="auto" w:sz="4" w:space="0"/>
              <w:bottom w:val="single" w:color="auto" w:sz="4" w:space="0"/>
              <w:right w:val="single" w:color="auto" w:sz="4" w:space="0"/>
            </w:tcBorders>
            <w:vAlign w:val="center"/>
          </w:tcPr>
          <w:p w14:paraId="14E1DA0C">
            <w:pPr>
              <w:spacing w:line="4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价格分统一采用低价优先法，即满足磋商文件要求且最后报价最低的供应商的价格为磋商基准价，其价格分为满分</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16</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分。其他供应商的价格分统一按照下列公式计算：</w:t>
            </w:r>
          </w:p>
          <w:p w14:paraId="64B36E89">
            <w:pPr>
              <w:spacing w:line="400" w:lineRule="exact"/>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磋商报价得分＝（磋商基准价/</w:t>
            </w:r>
            <w:r>
              <w:rPr>
                <w:rFonts w:hint="eastAsia" w:ascii="宋体" w:hAnsi="宋体" w:eastAsia="宋体"/>
                <w:color w:val="auto"/>
                <w:sz w:val="24"/>
                <w:highlight w:val="none"/>
              </w:rPr>
              <w:t>最后磋商</w:t>
            </w:r>
            <w:r>
              <w:rPr>
                <w:rFonts w:hint="eastAsia" w:asciiTheme="minorEastAsia" w:hAnsiTheme="minorEastAsia" w:eastAsiaTheme="minorEastAsia"/>
                <w:color w:val="auto"/>
                <w:sz w:val="24"/>
                <w:highlight w:val="none"/>
              </w:rPr>
              <w:t>报价）×</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16</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％×100</w:t>
            </w:r>
          </w:p>
        </w:tc>
      </w:tr>
    </w:tbl>
    <w:p w14:paraId="04BC5FEF">
      <w:pPr>
        <w:spacing w:line="44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分值汇总</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第1-2包）</w:t>
      </w:r>
    </w:p>
    <w:p w14:paraId="7F34589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1）磋商小组各成员应当独立对每个有效响应的文件进行评价、打分，然后汇总每个供应商每项评分因素的得分，再取各位评委评分之平均值，四舍五入保留至小数点后两位数，得到该供应商的技术资信分。</w:t>
      </w:r>
    </w:p>
    <w:p w14:paraId="29A7761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2）将每个供应商的技术资信分加上根据上述标准计算出的价格分，即为该供应商的综合总得分</w:t>
      </w:r>
      <w:r>
        <w:rPr>
          <w:rFonts w:hint="eastAsia" w:asciiTheme="minorEastAsia" w:hAnsiTheme="minorEastAsia" w:eastAsiaTheme="minorEastAsia"/>
          <w:color w:val="auto"/>
          <w:sz w:val="24"/>
          <w:highlight w:val="none"/>
        </w:rPr>
        <w:t>。</w:t>
      </w:r>
    </w:p>
    <w:p w14:paraId="756F11E5">
      <w:pPr>
        <w:spacing w:line="360" w:lineRule="auto"/>
        <w:ind w:firstLine="435"/>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三、无效条款</w:t>
      </w:r>
    </w:p>
    <w:p w14:paraId="294B5AB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3.1响应文件有下列情形之一的,其响应文件拒收:</w:t>
      </w:r>
    </w:p>
    <w:p w14:paraId="065FED8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（1）未在提交首次响应文件截止时间前通过网上招标投标系统递交有效电子响应文件的，网上开标系统不予接收。出现上述情况的，响应将被拒绝。</w:t>
      </w:r>
    </w:p>
    <w:p w14:paraId="09D2D84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接到远程解密指令后，须在规定时间内解密。因供应商自身原因导致响应文件在规定时间内未能解密、解密失败或解密超时，响应文件无效；解密时间：从本项目响应文件提交截止时间开始计时，至完成响应文件解密时间，不得超过60分钟，否则响应文件将被拒绝。</w:t>
      </w:r>
    </w:p>
    <w:p w14:paraId="265D03C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8.2供应商有下列情形之一的,资格审查后其投标作无效响应处理：</w:t>
      </w:r>
    </w:p>
    <w:p w14:paraId="0978683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（1）为本项目提供采购代理服务的；</w:t>
      </w:r>
    </w:p>
    <w:p w14:paraId="7E53F8E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（2）供应商与在本项目代理机构存在相互任职或工作的；</w:t>
      </w:r>
    </w:p>
    <w:p w14:paraId="3897761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（3）与采购人存在利害关系可能影响采购公正性的法人、其他组织或者个人；</w:t>
      </w:r>
    </w:p>
    <w:p w14:paraId="0295E05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（4）磋商公告写明专门面向中小企业采购，供应商提供的服务非中小企业承接的；</w:t>
      </w:r>
    </w:p>
    <w:p w14:paraId="393DCFF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（5）要求供应商以联合体形式参加采购活动，供应商非联合体或者联合协议中中小企业合同金额未达到应当达到的比例；</w:t>
      </w:r>
    </w:p>
    <w:p w14:paraId="39370D1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（6）要求获得采购合同的供应商向中小企业分包，供应商未提供分包意向协议或者分包意向协议中中小企业合同金额未达到应当达到的比例；</w:t>
      </w:r>
    </w:p>
    <w:p w14:paraId="77C4622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（7）评标专家无法查看并检验电子响应文件中相关资料的；</w:t>
      </w:r>
    </w:p>
    <w:p w14:paraId="4017AF1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（8）联合体投标未提交联合体协议的；</w:t>
      </w:r>
    </w:p>
    <w:p w14:paraId="7EBDFBF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（9）责令停产停业的；</w:t>
      </w:r>
    </w:p>
    <w:p w14:paraId="0A43B7B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（10）暂停或取消参与政府采购项目资格的；</w:t>
      </w:r>
    </w:p>
    <w:p w14:paraId="7966427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（11）供应商单位负责人为同一人或者存在直接控股、管理关系的不同单位的；</w:t>
      </w:r>
    </w:p>
    <w:p w14:paraId="276214F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（12）供应商基本资格条件和特定资格条件中有一项及以上不符合要求的；</w:t>
      </w:r>
    </w:p>
    <w:p w14:paraId="3C1F22F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13）评审时查询响应文件制作机器码、文件创建标识码及造价软件加密锁号。若存在响应文件制作机器码或创建标识码或造价软件加密锁号信息与其他供应商雷同的，响应无效、进行信用信息披露，行政监管部门将依据线索依法查处； </w:t>
      </w:r>
    </w:p>
    <w:p w14:paraId="4DF1B47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（14）供应商投标MAC地址或供应商联系人或联系电话相同的，由磋商小组否决其响应，并报告监管部门作不良行为处理和进一步调查； </w:t>
      </w:r>
    </w:p>
    <w:p w14:paraId="196E19A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（15）供应商单方面出现其他供应商材料的； </w:t>
      </w:r>
    </w:p>
    <w:p w14:paraId="70F24E2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（16）其它情形，经磋商小组提出按无效响应处理，并经公共资源交易监督部门核准的；</w:t>
      </w:r>
    </w:p>
    <w:p w14:paraId="10AEF83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（17）磋商文件规定的其它无效响应情形。</w:t>
      </w:r>
    </w:p>
    <w:p w14:paraId="6CDF54F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8.3 供应商有下列情形之一的,符合性审查后其投标按无效响应处理：</w:t>
      </w:r>
    </w:p>
    <w:p w14:paraId="4A2A3AF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（1）响应文件签章不全，经磋商小组一致认定对开评标内容有实质性影响并经公共资源交易监督部门核准的；</w:t>
      </w:r>
    </w:p>
    <w:p w14:paraId="01E7117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（2）未按规定的格式填写导致实质性内容不全以及实质上不响应，或者关键字迹模糊、无法辨认； 经公共资源交易监督部门核准的；</w:t>
      </w:r>
    </w:p>
    <w:p w14:paraId="35CFEE4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（3）同一供应商提交两个以上不同的响应文件或者响应报价，但磋商文件规定提交备选方案的除外；</w:t>
      </w:r>
    </w:p>
    <w:p w14:paraId="5BE046A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（4）响应文件没有对磋商文件的实质性要求和条件作出响应；</w:t>
      </w:r>
    </w:p>
    <w:p w14:paraId="4D61F8F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（5）报价超出规定的最高限价或公布的采购预算的或供应商的报价各项单价高于磋商文件给定的单价最高限价；</w:t>
      </w:r>
    </w:p>
    <w:p w14:paraId="28578F4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（6）不按磋商小组要求澄清、说明或补正的，或者措施小组根据磋商文件的规定对响应文件的计算错误进行修正后，供应商不接受修正的报价的。</w:t>
      </w:r>
    </w:p>
    <w:p w14:paraId="19B557F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（7）其它情形，经磋商小组委提出按无效响应处理，并经公共资源交易监督部门核准的；</w:t>
      </w:r>
    </w:p>
    <w:p w14:paraId="6BCC262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（8）响应文件含有采购人不能接受的附加条件的；</w:t>
      </w:r>
    </w:p>
    <w:p w14:paraId="4E5D03F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（9）磋商文件规定的其它无效响应情形。</w:t>
      </w:r>
    </w:p>
    <w:p w14:paraId="311031E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8.4 供应商有下列情形之一的, 详细评审后其投标按无效响应处理：</w:t>
      </w:r>
    </w:p>
    <w:p w14:paraId="2020E92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（1）产品不符合必须强制执行的国家标准的；</w:t>
      </w:r>
    </w:p>
    <w:p w14:paraId="5323C65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（2）供应商有串通投标、弄虚作假、行贿等违法行为；</w:t>
      </w:r>
    </w:p>
    <w:p w14:paraId="42F3CCD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（3）响应文件含有违反国家法律、法规的内容，或附有采购人不能接受的条件的；</w:t>
      </w:r>
    </w:p>
    <w:p w14:paraId="0A56C14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（4）报价明显低于其他供应商，且不能证明报价合理性的响应无效；</w:t>
      </w:r>
    </w:p>
    <w:p w14:paraId="580AAFF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（5）拒不确认磋商小组评审修正的响应无效；</w:t>
      </w:r>
    </w:p>
    <w:p w14:paraId="4FF1B7D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（6）其它情形，经磋商小组提出按无效响应处理，并经公共资源交易监督部门核准的；</w:t>
      </w:r>
    </w:p>
    <w:p w14:paraId="623475B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（7）磋商文件规定的其它无效响应情形。</w:t>
      </w:r>
    </w:p>
    <w:p w14:paraId="59C44ABD">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7CED81E5">
      <w:pPr>
        <w:spacing w:line="360" w:lineRule="auto"/>
        <w:jc w:val="center"/>
        <w:outlineLvl w:val="0"/>
        <w:rPr>
          <w:rFonts w:asciiTheme="minorEastAsia" w:hAnsiTheme="minorEastAsia" w:eastAsiaTheme="minorEastAsia"/>
          <w:b/>
          <w:color w:val="auto"/>
          <w:sz w:val="28"/>
          <w:highlight w:val="none"/>
        </w:rPr>
      </w:pPr>
      <w:bookmarkStart w:id="32" w:name="_Toc17167"/>
      <w:bookmarkStart w:id="33" w:name="_Toc63440929"/>
      <w:bookmarkStart w:id="34" w:name="_Toc6037"/>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政府采购合同</w:t>
      </w:r>
      <w:bookmarkEnd w:id="32"/>
      <w:bookmarkEnd w:id="33"/>
      <w:bookmarkEnd w:id="34"/>
    </w:p>
    <w:p w14:paraId="2C34C8FF">
      <w:pPr>
        <w:spacing w:line="480" w:lineRule="auto"/>
        <w:jc w:val="center"/>
        <w:rPr>
          <w:rFonts w:asciiTheme="minorEastAsia" w:hAnsiTheme="minorEastAsia" w:eastAsiaTheme="minorEastAsia"/>
          <w:b/>
          <w:color w:val="auto"/>
          <w:sz w:val="24"/>
          <w:highlight w:val="none"/>
        </w:rPr>
      </w:pPr>
    </w:p>
    <w:p w14:paraId="20AE8A23">
      <w:pPr>
        <w:spacing w:line="480" w:lineRule="auto"/>
        <w:jc w:val="center"/>
        <w:rPr>
          <w:rFonts w:asciiTheme="minorEastAsia" w:hAnsiTheme="minorEastAsia" w:eastAsiaTheme="minorEastAsia"/>
          <w:b/>
          <w:color w:val="auto"/>
          <w:sz w:val="24"/>
          <w:highlight w:val="none"/>
        </w:rPr>
      </w:pPr>
    </w:p>
    <w:p w14:paraId="27789E42">
      <w:pPr>
        <w:spacing w:line="480" w:lineRule="auto"/>
        <w:jc w:val="center"/>
        <w:rPr>
          <w:rFonts w:asciiTheme="minorEastAsia" w:hAnsiTheme="minorEastAsia" w:eastAsiaTheme="minorEastAsia"/>
          <w:b/>
          <w:color w:val="auto"/>
          <w:sz w:val="24"/>
          <w:highlight w:val="none"/>
        </w:rPr>
      </w:pPr>
    </w:p>
    <w:p w14:paraId="0A32ADA2">
      <w:pPr>
        <w:spacing w:line="480" w:lineRule="auto"/>
        <w:jc w:val="center"/>
        <w:outlineLvl w:val="1"/>
        <w:rPr>
          <w:rFonts w:asciiTheme="minorEastAsia" w:hAnsiTheme="minorEastAsia" w:eastAsiaTheme="minorEastAsia"/>
          <w:b/>
          <w:color w:val="auto"/>
          <w:sz w:val="32"/>
          <w:szCs w:val="32"/>
          <w:highlight w:val="none"/>
        </w:rPr>
      </w:pPr>
      <w:bookmarkStart w:id="35" w:name="_Toc9456"/>
      <w:r>
        <w:rPr>
          <w:rFonts w:asciiTheme="minorEastAsia" w:hAnsiTheme="minorEastAsia" w:eastAsiaTheme="minorEastAsia"/>
          <w:b/>
          <w:color w:val="auto"/>
          <w:sz w:val="32"/>
          <w:szCs w:val="32"/>
          <w:highlight w:val="none"/>
        </w:rPr>
        <w:t>政府采购合同</w:t>
      </w:r>
      <w:r>
        <w:rPr>
          <w:rFonts w:hint="eastAsia" w:asciiTheme="minorEastAsia" w:hAnsiTheme="minorEastAsia" w:eastAsiaTheme="minorEastAsia"/>
          <w:b/>
          <w:color w:val="auto"/>
          <w:sz w:val="32"/>
          <w:szCs w:val="32"/>
          <w:highlight w:val="none"/>
        </w:rPr>
        <w:t>参考范本</w:t>
      </w:r>
      <w:bookmarkEnd w:id="35"/>
    </w:p>
    <w:p w14:paraId="29B9205A">
      <w:pPr>
        <w:spacing w:line="480" w:lineRule="auto"/>
        <w:jc w:val="center"/>
        <w:outlineLvl w:val="1"/>
        <w:rPr>
          <w:rFonts w:asciiTheme="minorEastAsia" w:hAnsiTheme="minorEastAsia" w:eastAsiaTheme="minorEastAsia"/>
          <w:b/>
          <w:color w:val="auto"/>
          <w:sz w:val="32"/>
          <w:szCs w:val="32"/>
          <w:highlight w:val="none"/>
        </w:rPr>
      </w:pPr>
      <w:bookmarkStart w:id="36" w:name="_Toc26618"/>
      <w:r>
        <w:rPr>
          <w:rFonts w:hint="eastAsia" w:asciiTheme="minorEastAsia" w:hAnsiTheme="minorEastAsia" w:eastAsiaTheme="minorEastAsia"/>
          <w:b/>
          <w:color w:val="auto"/>
          <w:sz w:val="32"/>
          <w:szCs w:val="32"/>
          <w:highlight w:val="none"/>
        </w:rPr>
        <w:t>（服务类）</w:t>
      </w:r>
      <w:bookmarkEnd w:id="36"/>
    </w:p>
    <w:p w14:paraId="3CFCC212">
      <w:pPr>
        <w:spacing w:line="480" w:lineRule="auto"/>
        <w:jc w:val="center"/>
        <w:rPr>
          <w:rFonts w:asciiTheme="minorEastAsia" w:hAnsiTheme="minorEastAsia" w:eastAsiaTheme="minorEastAsia"/>
          <w:b/>
          <w:color w:val="auto"/>
          <w:sz w:val="24"/>
          <w:highlight w:val="none"/>
        </w:rPr>
      </w:pPr>
    </w:p>
    <w:p w14:paraId="46D6AD18">
      <w:pPr>
        <w:spacing w:line="480" w:lineRule="auto"/>
        <w:jc w:val="center"/>
        <w:rPr>
          <w:rFonts w:asciiTheme="minorEastAsia" w:hAnsiTheme="minorEastAsia" w:eastAsiaTheme="minorEastAsia"/>
          <w:b/>
          <w:color w:val="auto"/>
          <w:sz w:val="24"/>
          <w:highlight w:val="none"/>
        </w:rPr>
      </w:pPr>
    </w:p>
    <w:p w14:paraId="59BFDCC0">
      <w:pPr>
        <w:spacing w:line="480" w:lineRule="auto"/>
        <w:jc w:val="center"/>
        <w:rPr>
          <w:rFonts w:asciiTheme="minorEastAsia" w:hAnsiTheme="minorEastAsia" w:eastAsiaTheme="minorEastAsia"/>
          <w:b/>
          <w:color w:val="auto"/>
          <w:sz w:val="24"/>
          <w:highlight w:val="none"/>
        </w:rPr>
      </w:pPr>
    </w:p>
    <w:p w14:paraId="5EFB24F7">
      <w:pPr>
        <w:spacing w:line="360" w:lineRule="auto"/>
        <w:jc w:val="center"/>
        <w:outlineLvl w:val="1"/>
        <w:rPr>
          <w:rFonts w:asciiTheme="minorEastAsia" w:hAnsiTheme="minorEastAsia" w:eastAsiaTheme="minorEastAsia"/>
          <w:b/>
          <w:color w:val="auto"/>
          <w:sz w:val="24"/>
          <w:highlight w:val="none"/>
        </w:rPr>
      </w:pPr>
      <w:bookmarkStart w:id="37" w:name="_Toc18055"/>
      <w:r>
        <w:rPr>
          <w:rFonts w:hint="eastAsia" w:asciiTheme="minorEastAsia" w:hAnsiTheme="minorEastAsia" w:eastAsiaTheme="minorEastAsia"/>
          <w:b/>
          <w:color w:val="auto"/>
          <w:sz w:val="24"/>
          <w:highlight w:val="none"/>
        </w:rPr>
        <w:t>第一部分 合同书</w:t>
      </w:r>
      <w:bookmarkEnd w:id="37"/>
    </w:p>
    <w:p w14:paraId="0A1C25B7">
      <w:pPr>
        <w:spacing w:line="480" w:lineRule="auto"/>
        <w:jc w:val="center"/>
        <w:rPr>
          <w:rFonts w:asciiTheme="minorEastAsia" w:hAnsiTheme="minorEastAsia" w:eastAsiaTheme="minorEastAsia"/>
          <w:b/>
          <w:color w:val="auto"/>
          <w:sz w:val="24"/>
          <w:highlight w:val="none"/>
        </w:rPr>
      </w:pPr>
    </w:p>
    <w:p w14:paraId="1BC9BA3A">
      <w:pPr>
        <w:spacing w:line="480" w:lineRule="auto"/>
        <w:jc w:val="center"/>
        <w:rPr>
          <w:rFonts w:asciiTheme="minorEastAsia" w:hAnsiTheme="minorEastAsia" w:eastAsiaTheme="minorEastAsia"/>
          <w:b/>
          <w:color w:val="auto"/>
          <w:sz w:val="24"/>
          <w:highlight w:val="none"/>
        </w:rPr>
      </w:pPr>
    </w:p>
    <w:p w14:paraId="7E57A857">
      <w:pPr>
        <w:spacing w:line="480" w:lineRule="auto"/>
        <w:jc w:val="center"/>
        <w:rPr>
          <w:rFonts w:asciiTheme="minorEastAsia" w:hAnsiTheme="minorEastAsia" w:eastAsiaTheme="minorEastAsia"/>
          <w:b/>
          <w:color w:val="auto"/>
          <w:sz w:val="24"/>
          <w:highlight w:val="none"/>
        </w:rPr>
      </w:pPr>
    </w:p>
    <w:p w14:paraId="3EDF06CB">
      <w:pPr>
        <w:spacing w:before="120" w:line="480" w:lineRule="auto"/>
        <w:ind w:left="96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项目名称：</w:t>
      </w:r>
      <w:r>
        <w:rPr>
          <w:rFonts w:hint="eastAsia" w:cs="Times New Roman" w:asciiTheme="minorEastAsia" w:hAnsiTheme="minorEastAsia" w:eastAsiaTheme="minorEastAsia"/>
          <w:color w:val="auto"/>
          <w:sz w:val="24"/>
          <w:szCs w:val="24"/>
          <w:highlight w:val="none"/>
          <w:u w:val="single"/>
          <w:lang w:eastAsia="zh-CN"/>
        </w:rPr>
        <w:t>滁州职业技术学院国家职业教育精品在线课程培育建设服务项目（</w:t>
      </w:r>
      <w:r>
        <w:rPr>
          <w:rFonts w:hint="eastAsia" w:cs="Times New Roman" w:asciiTheme="minorEastAsia" w:hAnsiTheme="minorEastAsia" w:eastAsiaTheme="minorEastAsia"/>
          <w:color w:val="auto"/>
          <w:sz w:val="24"/>
          <w:szCs w:val="24"/>
          <w:highlight w:val="none"/>
          <w:u w:val="single"/>
          <w:lang w:val="en-US" w:eastAsia="zh-CN"/>
        </w:rPr>
        <w:t>第1/2包）</w:t>
      </w:r>
    </w:p>
    <w:p w14:paraId="57FC52EC">
      <w:pPr>
        <w:spacing w:before="120" w:line="480" w:lineRule="auto"/>
        <w:ind w:left="960"/>
        <w:rPr>
          <w:rFonts w:hint="default" w:cs="Times New Roman" w:asciiTheme="minorEastAsia" w:hAnsiTheme="minorEastAsia" w:eastAsiaTheme="minorEastAsia"/>
          <w:color w:val="auto"/>
          <w:sz w:val="24"/>
          <w:szCs w:val="24"/>
          <w:highlight w:val="none"/>
          <w:u w:val="single"/>
          <w:lang w:val="en-US" w:eastAsia="zh-CN"/>
        </w:rPr>
      </w:pPr>
      <w:r>
        <w:rPr>
          <w:rFonts w:hint="eastAsia" w:asciiTheme="minorEastAsia" w:hAnsiTheme="minorEastAsia" w:eastAsiaTheme="minorEastAsia"/>
          <w:color w:val="auto"/>
          <w:sz w:val="24"/>
          <w:highlight w:val="none"/>
        </w:rPr>
        <w:t>项目编号：</w:t>
      </w:r>
      <w:r>
        <w:rPr>
          <w:rFonts w:hint="eastAsia" w:asciiTheme="minorEastAsia" w:hAnsiTheme="minorEastAsia" w:eastAsiaTheme="minorEastAsia"/>
          <w:color w:val="auto"/>
          <w:sz w:val="24"/>
          <w:highlight w:val="none"/>
          <w:u w:val="single"/>
          <w:lang w:val="en-US" w:eastAsia="zh-CN"/>
        </w:rPr>
        <w:t xml:space="preserve">                   </w:t>
      </w:r>
    </w:p>
    <w:p w14:paraId="714C46FB">
      <w:pPr>
        <w:spacing w:before="120" w:line="480" w:lineRule="auto"/>
        <w:ind w:left="960"/>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color w:val="auto"/>
          <w:sz w:val="24"/>
          <w:highlight w:val="none"/>
        </w:rPr>
        <w:t>甲方（采购人）：</w:t>
      </w:r>
      <w:r>
        <w:rPr>
          <w:rFonts w:hint="eastAsia" w:cs="Times New Roman" w:asciiTheme="minorEastAsia" w:hAnsiTheme="minorEastAsia" w:eastAsiaTheme="minorEastAsia"/>
          <w:color w:val="auto"/>
          <w:sz w:val="24"/>
          <w:szCs w:val="24"/>
          <w:highlight w:val="none"/>
          <w:u w:val="single"/>
          <w:lang w:eastAsia="zh-CN"/>
        </w:rPr>
        <w:t>滁州职业技术学院</w:t>
      </w:r>
    </w:p>
    <w:p w14:paraId="7A85F6AB">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乙方（成交供应商）：</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1921E923">
      <w:pPr>
        <w:spacing w:before="120" w:line="480" w:lineRule="auto"/>
        <w:ind w:firstLine="960" w:firstLineChars="400"/>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color w:val="auto"/>
          <w:sz w:val="24"/>
          <w:highlight w:val="none"/>
        </w:rPr>
        <w:t>签订地：</w:t>
      </w:r>
      <w:r>
        <w:rPr>
          <w:rFonts w:hint="eastAsia" w:cs="Times New Roman" w:asciiTheme="minorEastAsia" w:hAnsiTheme="minorEastAsia" w:eastAsiaTheme="minorEastAsia"/>
          <w:color w:val="auto"/>
          <w:sz w:val="24"/>
          <w:szCs w:val="24"/>
          <w:highlight w:val="none"/>
          <w:u w:val="single"/>
          <w:lang w:eastAsia="zh-CN"/>
        </w:rPr>
        <w:t>滁州职业技术学院</w:t>
      </w:r>
    </w:p>
    <w:p w14:paraId="7AEBD7B2">
      <w:pPr>
        <w:spacing w:before="120" w:line="480" w:lineRule="auto"/>
        <w:ind w:firstLine="960" w:firstLineChars="4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003A5BD4">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22A6145F">
      <w:pPr>
        <w:spacing w:line="360" w:lineRule="auto"/>
        <w:ind w:firstLine="435"/>
        <w:rPr>
          <w:rFonts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szCs w:val="24"/>
          <w:highlight w:val="none"/>
          <w:u w:val="single"/>
          <w:lang w:eastAsia="zh-CN"/>
        </w:rPr>
        <w:t>滁州职业技术学院</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zh-CN"/>
        </w:rPr>
        <w:t>以下简称：甲方</w:t>
      </w:r>
      <w:r>
        <w:rPr>
          <w:rFonts w:hint="eastAsia" w:asciiTheme="minorEastAsia" w:hAnsiTheme="minorEastAsia" w:eastAsiaTheme="minorEastAsia"/>
          <w:color w:val="auto"/>
          <w:sz w:val="24"/>
          <w:highlight w:val="none"/>
        </w:rPr>
        <w:t xml:space="preserve">）通过 </w:t>
      </w:r>
      <w:r>
        <w:rPr>
          <w:rFonts w:hint="eastAsia" w:asciiTheme="minorEastAsia" w:hAnsiTheme="minorEastAsia" w:eastAsiaTheme="minorEastAsia"/>
          <w:color w:val="auto"/>
          <w:sz w:val="24"/>
          <w:highlight w:val="none"/>
          <w:u w:val="single"/>
        </w:rPr>
        <w:t>滁州市城投工程咨询管理有限公司</w:t>
      </w:r>
      <w:r>
        <w:rPr>
          <w:rFonts w:hint="eastAsia" w:asciiTheme="minorEastAsia" w:hAnsiTheme="minorEastAsia" w:eastAsiaTheme="minorEastAsia"/>
          <w:color w:val="auto"/>
          <w:sz w:val="24"/>
          <w:highlight w:val="none"/>
        </w:rPr>
        <w:t>组织的竞争性磋商方式采购活动，经磋商小组评定，</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zh-CN"/>
        </w:rPr>
        <w:t>以下简称：乙方</w:t>
      </w:r>
      <w:r>
        <w:rPr>
          <w:rFonts w:hint="eastAsia" w:asciiTheme="minorEastAsia" w:hAnsiTheme="minorEastAsia" w:eastAsiaTheme="minorEastAsia"/>
          <w:color w:val="auto"/>
          <w:sz w:val="24"/>
          <w:highlight w:val="none"/>
        </w:rPr>
        <w:t>）为本项目成交供应商，现按照采购文件确定的事项签订本合同。</w:t>
      </w:r>
    </w:p>
    <w:p w14:paraId="61435A96">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根据《中华人民共和国民法典》、《中华人民共和国政府采购法》等相关法律法规之规定，按照平等、自愿、公平和诚实信用的原则，经甲方和乙方协商一致，约定以下合同条款，以兹共同遵守、全面履行。</w:t>
      </w:r>
    </w:p>
    <w:p w14:paraId="0493086F">
      <w:pPr>
        <w:spacing w:line="360" w:lineRule="auto"/>
        <w:ind w:firstLine="437"/>
        <w:outlineLvl w:val="2"/>
        <w:rPr>
          <w:rFonts w:asciiTheme="minorEastAsia" w:hAnsiTheme="minorEastAsia" w:eastAsiaTheme="minorEastAsia"/>
          <w:b/>
          <w:bCs/>
          <w:color w:val="auto"/>
          <w:sz w:val="24"/>
          <w:highlight w:val="none"/>
          <w:lang w:val="zh-CN"/>
        </w:rPr>
      </w:pPr>
      <w:bookmarkStart w:id="38" w:name="_Toc2232"/>
      <w:bookmarkStart w:id="39" w:name="_Toc3029"/>
      <w:bookmarkStart w:id="40" w:name="_Toc24059"/>
      <w:r>
        <w:rPr>
          <w:rFonts w:hint="eastAsia" w:asciiTheme="minorEastAsia" w:hAnsiTheme="minorEastAsia" w:eastAsiaTheme="minorEastAsia"/>
          <w:b/>
          <w:bCs/>
          <w:color w:val="auto"/>
          <w:sz w:val="24"/>
          <w:highlight w:val="none"/>
          <w:lang w:val="zh-CN"/>
        </w:rPr>
        <w:t>1.1</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合同组成部分</w:t>
      </w:r>
      <w:bookmarkEnd w:id="38"/>
      <w:bookmarkEnd w:id="39"/>
      <w:bookmarkEnd w:id="40"/>
    </w:p>
    <w:p w14:paraId="60D53714">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618AB9FB">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1.1.1本合同及其补充合同、变更协议；</w:t>
      </w:r>
    </w:p>
    <w:p w14:paraId="0FED8811">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1.1.2成交通知书；</w:t>
      </w:r>
    </w:p>
    <w:p w14:paraId="502775C0">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1.1.3响应文件（含澄清或者说明文件）；</w:t>
      </w:r>
    </w:p>
    <w:p w14:paraId="17B4D1F9">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1.1.4磋商文件（含澄清或者修改文件）；</w:t>
      </w:r>
    </w:p>
    <w:p w14:paraId="104BDE59">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1.1.5其他相关采购文件。</w:t>
      </w:r>
    </w:p>
    <w:p w14:paraId="0C9993B9">
      <w:pPr>
        <w:spacing w:line="360" w:lineRule="auto"/>
        <w:ind w:firstLine="437"/>
        <w:outlineLvl w:val="2"/>
        <w:rPr>
          <w:rFonts w:asciiTheme="minorEastAsia" w:hAnsiTheme="minorEastAsia" w:eastAsiaTheme="minorEastAsia"/>
          <w:b/>
          <w:bCs/>
          <w:color w:val="auto"/>
          <w:sz w:val="24"/>
          <w:highlight w:val="none"/>
          <w:lang w:val="zh-CN"/>
        </w:rPr>
      </w:pPr>
      <w:bookmarkStart w:id="41" w:name="_Toc24300"/>
      <w:bookmarkStart w:id="42" w:name="_Toc27126"/>
      <w:bookmarkStart w:id="43" w:name="_Toc21295"/>
      <w:r>
        <w:rPr>
          <w:rFonts w:hint="eastAsia" w:asciiTheme="minorEastAsia" w:hAnsiTheme="minorEastAsia" w:eastAsiaTheme="minorEastAsia"/>
          <w:b/>
          <w:bCs/>
          <w:color w:val="auto"/>
          <w:sz w:val="24"/>
          <w:highlight w:val="none"/>
          <w:lang w:val="zh-CN"/>
        </w:rPr>
        <w:t>1.2</w:t>
      </w:r>
      <w:r>
        <w:rPr>
          <w:rFonts w:asciiTheme="minorEastAsia" w:hAnsiTheme="minorEastAsia" w:eastAsiaTheme="minorEastAsia"/>
          <w:b/>
          <w:bCs/>
          <w:color w:val="auto"/>
          <w:sz w:val="24"/>
          <w:highlight w:val="none"/>
          <w:lang w:val="zh-CN"/>
        </w:rPr>
        <w:t xml:space="preserve"> </w:t>
      </w:r>
      <w:bookmarkEnd w:id="41"/>
      <w:bookmarkEnd w:id="42"/>
      <w:bookmarkEnd w:id="43"/>
      <w:r>
        <w:rPr>
          <w:rFonts w:hint="eastAsia" w:asciiTheme="minorEastAsia" w:hAnsiTheme="minorEastAsia" w:eastAsiaTheme="minorEastAsia"/>
          <w:b/>
          <w:bCs/>
          <w:color w:val="auto"/>
          <w:sz w:val="24"/>
          <w:highlight w:val="none"/>
          <w:lang w:val="zh-CN"/>
        </w:rPr>
        <w:t>服务</w:t>
      </w:r>
    </w:p>
    <w:p w14:paraId="58833FA7">
      <w:pPr>
        <w:spacing w:line="360" w:lineRule="auto"/>
        <w:ind w:firstLine="435"/>
        <w:rPr>
          <w:rFonts w:ascii="宋体" w:hAnsi="宋体" w:eastAsia="宋体" w:cs="Times New Roman"/>
          <w:color w:val="auto"/>
          <w:sz w:val="24"/>
          <w:szCs w:val="24"/>
          <w:highlight w:val="none"/>
          <w:u w:val="single"/>
        </w:rPr>
      </w:pPr>
      <w:bookmarkStart w:id="44" w:name="_Toc23292"/>
      <w:bookmarkStart w:id="45" w:name="_Toc21551"/>
      <w:bookmarkStart w:id="46" w:name="_Toc21631"/>
      <w:r>
        <w:rPr>
          <w:rFonts w:hint="eastAsia" w:ascii="宋体" w:hAnsi="宋体" w:eastAsia="宋体" w:cs="宋体"/>
          <w:color w:val="auto"/>
          <w:sz w:val="24"/>
          <w:szCs w:val="24"/>
          <w:highlight w:val="none"/>
          <w:lang w:bidi="ar"/>
        </w:rPr>
        <w:t>1.2.1服务名称：</w:t>
      </w:r>
      <w:r>
        <w:rPr>
          <w:rFonts w:hint="eastAsia" w:cs="Times New Roman" w:asciiTheme="minorEastAsia" w:hAnsiTheme="minorEastAsia" w:eastAsiaTheme="minorEastAsia"/>
          <w:color w:val="auto"/>
          <w:sz w:val="24"/>
          <w:szCs w:val="24"/>
          <w:highlight w:val="none"/>
          <w:u w:val="single"/>
          <w:lang w:eastAsia="zh-CN"/>
        </w:rPr>
        <w:t>滁州职业技术学院国家职业教育精品在线课程培育建设服务项目（第1/2包）</w:t>
      </w:r>
      <w:r>
        <w:rPr>
          <w:rFonts w:hint="eastAsia" w:ascii="宋体" w:hAnsi="宋体" w:eastAsia="宋体" w:cs="宋体"/>
          <w:color w:val="auto"/>
          <w:sz w:val="24"/>
          <w:szCs w:val="24"/>
          <w:highlight w:val="none"/>
          <w:lang w:bidi="ar"/>
        </w:rPr>
        <w:t>；</w:t>
      </w:r>
    </w:p>
    <w:p w14:paraId="3EB43107">
      <w:pPr>
        <w:spacing w:line="360" w:lineRule="auto"/>
        <w:ind w:firstLine="435"/>
        <w:rPr>
          <w:rFonts w:ascii="宋体" w:hAnsi="宋体" w:eastAsia="宋体" w:cs="Times New Roman"/>
          <w:color w:val="auto"/>
          <w:sz w:val="24"/>
          <w:szCs w:val="24"/>
          <w:highlight w:val="none"/>
          <w:u w:val="single"/>
        </w:rPr>
      </w:pPr>
      <w:r>
        <w:rPr>
          <w:rFonts w:hint="eastAsia" w:ascii="宋体" w:hAnsi="宋体" w:eastAsia="宋体" w:cs="宋体"/>
          <w:color w:val="auto"/>
          <w:sz w:val="24"/>
          <w:szCs w:val="24"/>
          <w:highlight w:val="none"/>
          <w:lang w:bidi="ar"/>
        </w:rPr>
        <w:t>1.2.2服务内容：</w:t>
      </w:r>
      <w:r>
        <w:rPr>
          <w:rFonts w:hint="eastAsia" w:ascii="宋体" w:hAnsi="宋体" w:eastAsia="宋体" w:cs="宋体"/>
          <w:color w:val="auto"/>
          <w:sz w:val="24"/>
          <w:highlight w:val="none"/>
          <w:u w:val="single"/>
          <w:lang w:val="zh-CN"/>
        </w:rPr>
        <w:t>磋商文件</w:t>
      </w:r>
      <w:r>
        <w:rPr>
          <w:rFonts w:hint="eastAsia" w:ascii="宋体" w:hAnsi="宋体" w:eastAsia="宋体" w:cs="宋体"/>
          <w:color w:val="auto"/>
          <w:sz w:val="24"/>
          <w:highlight w:val="none"/>
          <w:u w:val="single"/>
        </w:rPr>
        <w:t>第三章采购需求全部内容（第1/2包）</w:t>
      </w:r>
      <w:r>
        <w:rPr>
          <w:rFonts w:hint="eastAsia" w:ascii="宋体" w:hAnsi="宋体" w:eastAsia="宋体" w:cs="宋体"/>
          <w:color w:val="auto"/>
          <w:sz w:val="24"/>
          <w:szCs w:val="24"/>
          <w:highlight w:val="none"/>
          <w:lang w:bidi="ar"/>
        </w:rPr>
        <w:t>；</w:t>
      </w:r>
    </w:p>
    <w:p w14:paraId="102FC616">
      <w:pPr>
        <w:spacing w:line="360" w:lineRule="auto"/>
        <w:ind w:firstLine="435"/>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1.2.3服务质量：</w:t>
      </w:r>
      <w:r>
        <w:rPr>
          <w:rFonts w:hint="eastAsia" w:cs="Times New Roman" w:asciiTheme="minorEastAsia" w:hAnsiTheme="minorEastAsia" w:eastAsiaTheme="minorEastAsia"/>
          <w:color w:val="auto"/>
          <w:sz w:val="24"/>
          <w:szCs w:val="24"/>
          <w:highlight w:val="none"/>
          <w:u w:val="single"/>
        </w:rPr>
        <w:t>满足</w:t>
      </w:r>
      <w:r>
        <w:rPr>
          <w:rFonts w:hint="eastAsia" w:cs="Times New Roman" w:asciiTheme="minorEastAsia" w:hAnsiTheme="minorEastAsia" w:eastAsiaTheme="minorEastAsia"/>
          <w:color w:val="auto"/>
          <w:sz w:val="24"/>
          <w:szCs w:val="24"/>
          <w:highlight w:val="none"/>
          <w:u w:val="single"/>
          <w:lang w:val="zh-CN"/>
        </w:rPr>
        <w:t>磋商文件</w:t>
      </w:r>
      <w:r>
        <w:rPr>
          <w:rFonts w:hint="eastAsia" w:cs="Times New Roman" w:asciiTheme="minorEastAsia" w:hAnsiTheme="minorEastAsia" w:eastAsiaTheme="minorEastAsia"/>
          <w:color w:val="auto"/>
          <w:sz w:val="24"/>
          <w:szCs w:val="24"/>
          <w:highlight w:val="none"/>
          <w:u w:val="single"/>
        </w:rPr>
        <w:t>要求及采购人</w:t>
      </w:r>
      <w:r>
        <w:rPr>
          <w:rFonts w:hint="eastAsia" w:ascii="宋体" w:hAnsi="宋体" w:eastAsia="宋体" w:cs="宋体"/>
          <w:color w:val="auto"/>
          <w:sz w:val="24"/>
          <w:szCs w:val="24"/>
          <w:highlight w:val="none"/>
          <w:u w:val="single"/>
        </w:rPr>
        <w:t>相关要求</w:t>
      </w:r>
      <w:r>
        <w:rPr>
          <w:rFonts w:hint="eastAsia" w:ascii="宋体" w:hAnsi="宋体" w:eastAsia="宋体" w:cs="宋体"/>
          <w:color w:val="auto"/>
          <w:sz w:val="24"/>
          <w:szCs w:val="24"/>
          <w:highlight w:val="none"/>
          <w:lang w:bidi="ar"/>
        </w:rPr>
        <w:t>。</w:t>
      </w:r>
    </w:p>
    <w:p w14:paraId="700EFFEB">
      <w:pPr>
        <w:spacing w:line="360" w:lineRule="auto"/>
        <w:ind w:firstLine="437"/>
        <w:outlineLvl w:val="2"/>
        <w:rPr>
          <w:rFonts w:asciiTheme="minorEastAsia" w:hAnsiTheme="minorEastAsia" w:eastAsiaTheme="minorEastAsia"/>
          <w:b/>
          <w:bCs/>
          <w:color w:val="auto"/>
          <w:sz w:val="24"/>
          <w:highlight w:val="none"/>
          <w:lang w:val="zh-CN"/>
        </w:rPr>
      </w:pPr>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 xml:space="preserve">3 </w:t>
      </w:r>
      <w:r>
        <w:rPr>
          <w:rFonts w:hint="eastAsia" w:asciiTheme="minorEastAsia" w:hAnsiTheme="minorEastAsia" w:eastAsiaTheme="minorEastAsia"/>
          <w:b/>
          <w:bCs/>
          <w:color w:val="auto"/>
          <w:sz w:val="24"/>
          <w:highlight w:val="none"/>
          <w:lang w:val="zh-CN"/>
        </w:rPr>
        <w:t>价款</w:t>
      </w:r>
      <w:bookmarkEnd w:id="44"/>
      <w:bookmarkEnd w:id="45"/>
      <w:bookmarkEnd w:id="46"/>
    </w:p>
    <w:p w14:paraId="68A660E9">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本合同总价为</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元</w:t>
      </w:r>
      <w:r>
        <w:rPr>
          <w:rFonts w:hint="eastAsia" w:asciiTheme="minorEastAsia" w:hAnsiTheme="minorEastAsia" w:eastAsiaTheme="minorEastAsia"/>
          <w:color w:val="auto"/>
          <w:sz w:val="24"/>
          <w:highlight w:val="none"/>
        </w:rPr>
        <w:t>（大写：人民币</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w:t>
      </w:r>
      <w:r>
        <w:rPr>
          <w:rFonts w:asciiTheme="minorEastAsia" w:hAnsiTheme="minorEastAsia" w:eastAsiaTheme="minorEastAsia"/>
          <w:color w:val="auto"/>
          <w:sz w:val="24"/>
          <w:highlight w:val="none"/>
        </w:rPr>
        <w:t>。</w:t>
      </w:r>
    </w:p>
    <w:p w14:paraId="3E23E4A6">
      <w:pPr>
        <w:spacing w:line="360" w:lineRule="auto"/>
        <w:ind w:firstLine="437"/>
        <w:outlineLvl w:val="2"/>
        <w:rPr>
          <w:rFonts w:asciiTheme="minorEastAsia" w:hAnsiTheme="minorEastAsia" w:eastAsiaTheme="minorEastAsia"/>
          <w:b/>
          <w:bCs/>
          <w:color w:val="auto"/>
          <w:sz w:val="24"/>
          <w:highlight w:val="none"/>
          <w:lang w:val="zh-CN"/>
        </w:rPr>
      </w:pPr>
      <w:bookmarkStart w:id="47" w:name="_Toc1814"/>
      <w:bookmarkStart w:id="48" w:name="_Toc22618"/>
      <w:bookmarkStart w:id="49" w:name="_Toc10340"/>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4 付款方式和发票开具方式</w:t>
      </w:r>
      <w:bookmarkEnd w:id="47"/>
      <w:bookmarkEnd w:id="48"/>
      <w:bookmarkEnd w:id="49"/>
    </w:p>
    <w:p w14:paraId="033822B4">
      <w:pPr>
        <w:spacing w:line="360" w:lineRule="auto"/>
        <w:ind w:firstLine="435"/>
        <w:rPr>
          <w:rFonts w:ascii="宋体" w:hAnsi="宋体" w:eastAsia="宋体"/>
          <w:color w:val="auto"/>
          <w:sz w:val="24"/>
          <w:highlight w:val="none"/>
          <w:u w:val="single"/>
        </w:rPr>
      </w:pPr>
      <w:r>
        <w:rPr>
          <w:rFonts w:hint="eastAsia" w:asciiTheme="minorEastAsia" w:hAnsiTheme="minorEastAsia" w:eastAsiaTheme="minorEastAsia"/>
          <w:color w:val="auto"/>
          <w:sz w:val="24"/>
          <w:highlight w:val="none"/>
        </w:rPr>
        <w:t>1.4.1</w:t>
      </w:r>
      <w:r>
        <w:rPr>
          <w:rFonts w:asciiTheme="minorEastAsia" w:hAnsiTheme="minorEastAsia" w:eastAsiaTheme="minorEastAsia"/>
          <w:color w:val="auto"/>
          <w:sz w:val="24"/>
          <w:highlight w:val="none"/>
        </w:rPr>
        <w:t>付款方式：</w:t>
      </w:r>
      <w:r>
        <w:rPr>
          <w:rFonts w:hint="eastAsia" w:asciiTheme="minorEastAsia" w:hAnsiTheme="minorEastAsia" w:eastAsiaTheme="minorEastAsia"/>
          <w:color w:val="auto"/>
          <w:sz w:val="24"/>
          <w:highlight w:val="none"/>
          <w:u w:val="single"/>
          <w:lang w:val="en-US" w:eastAsia="zh-CN"/>
        </w:rPr>
        <w:t xml:space="preserve">               </w:t>
      </w:r>
      <w:r>
        <w:rPr>
          <w:rFonts w:hint="eastAsia" w:ascii="宋体" w:hAnsi="宋体" w:eastAsia="宋体"/>
          <w:color w:val="auto"/>
          <w:sz w:val="24"/>
          <w:highlight w:val="none"/>
          <w:u w:val="single"/>
        </w:rPr>
        <w:t>。</w:t>
      </w:r>
    </w:p>
    <w:p w14:paraId="53C8D3D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1.4.2发票开具方式：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32419090">
      <w:pPr>
        <w:spacing w:line="360" w:lineRule="auto"/>
        <w:ind w:firstLine="437"/>
        <w:outlineLvl w:val="2"/>
        <w:rPr>
          <w:rFonts w:asciiTheme="minorEastAsia" w:hAnsiTheme="minorEastAsia" w:eastAsiaTheme="minorEastAsia"/>
          <w:b/>
          <w:bCs/>
          <w:color w:val="auto"/>
          <w:sz w:val="24"/>
          <w:highlight w:val="none"/>
          <w:lang w:val="zh-CN"/>
        </w:rPr>
      </w:pPr>
      <w:bookmarkStart w:id="50" w:name="_Toc32071"/>
      <w:bookmarkStart w:id="51" w:name="_Toc19304"/>
      <w:bookmarkStart w:id="52" w:name="_Toc2846"/>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 xml:space="preserve">5 </w:t>
      </w:r>
      <w:bookmarkEnd w:id="50"/>
      <w:bookmarkEnd w:id="51"/>
      <w:bookmarkEnd w:id="52"/>
      <w:r>
        <w:rPr>
          <w:rFonts w:hint="eastAsia" w:asciiTheme="minorEastAsia" w:hAnsiTheme="minorEastAsia" w:eastAsiaTheme="minorEastAsia"/>
          <w:b/>
          <w:bCs/>
          <w:color w:val="auto"/>
          <w:sz w:val="24"/>
          <w:highlight w:val="none"/>
          <w:lang w:val="zh-CN"/>
        </w:rPr>
        <w:t>服务期限、地点和方式</w:t>
      </w:r>
    </w:p>
    <w:p w14:paraId="155E17AC">
      <w:pPr>
        <w:autoSpaceDE w:val="0"/>
        <w:autoSpaceDN w:val="0"/>
        <w:adjustRightInd w:val="0"/>
        <w:spacing w:line="480" w:lineRule="exact"/>
        <w:ind w:firstLine="436" w:firstLineChars="182"/>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1.5.1服务期限：</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rPr>
        <w:t>；</w:t>
      </w:r>
    </w:p>
    <w:p w14:paraId="7846B23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1.5.2服务地点：</w:t>
      </w:r>
      <w:r>
        <w:rPr>
          <w:rFonts w:hint="eastAsia" w:cs="Times New Roman" w:asciiTheme="minorEastAsia" w:hAnsiTheme="minorEastAsia" w:eastAsiaTheme="minorEastAsia"/>
          <w:color w:val="auto"/>
          <w:sz w:val="24"/>
          <w:szCs w:val="24"/>
          <w:highlight w:val="none"/>
          <w:u w:val="single"/>
        </w:rPr>
        <w:t>甲方指定地点</w:t>
      </w:r>
      <w:r>
        <w:rPr>
          <w:rFonts w:hint="eastAsia" w:asciiTheme="minorEastAsia" w:hAnsiTheme="minorEastAsia" w:eastAsiaTheme="minorEastAsia"/>
          <w:color w:val="auto"/>
          <w:sz w:val="24"/>
          <w:highlight w:val="none"/>
        </w:rPr>
        <w:t>；</w:t>
      </w:r>
    </w:p>
    <w:p w14:paraId="6380239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1.5.3服务方式：</w:t>
      </w:r>
      <w:r>
        <w:rPr>
          <w:rFonts w:hint="eastAsia" w:cs="Times New Roman" w:asciiTheme="minorEastAsia" w:hAnsiTheme="minorEastAsia" w:eastAsiaTheme="minorEastAsia"/>
          <w:color w:val="auto"/>
          <w:sz w:val="24"/>
          <w:szCs w:val="24"/>
          <w:highlight w:val="none"/>
          <w:u w:val="single"/>
        </w:rPr>
        <w:t>甲方指定方式</w:t>
      </w:r>
      <w:r>
        <w:rPr>
          <w:rFonts w:hint="eastAsia" w:asciiTheme="minorEastAsia" w:hAnsiTheme="minorEastAsia" w:eastAsiaTheme="minorEastAsia"/>
          <w:color w:val="auto"/>
          <w:sz w:val="24"/>
          <w:highlight w:val="none"/>
        </w:rPr>
        <w:t>。</w:t>
      </w:r>
    </w:p>
    <w:p w14:paraId="06509CEA">
      <w:pPr>
        <w:spacing w:line="360" w:lineRule="auto"/>
        <w:ind w:firstLine="437"/>
        <w:outlineLvl w:val="2"/>
        <w:rPr>
          <w:rFonts w:asciiTheme="minorEastAsia" w:hAnsiTheme="minorEastAsia" w:eastAsiaTheme="minorEastAsia"/>
          <w:b/>
          <w:bCs/>
          <w:color w:val="auto"/>
          <w:sz w:val="24"/>
          <w:highlight w:val="none"/>
          <w:lang w:val="zh-CN"/>
        </w:rPr>
      </w:pPr>
      <w:bookmarkStart w:id="53" w:name="_Toc21423"/>
      <w:bookmarkStart w:id="54" w:name="_Toc27250"/>
      <w:bookmarkStart w:id="55" w:name="_Toc19554"/>
      <w:r>
        <w:rPr>
          <w:rFonts w:hint="eastAsia" w:asciiTheme="minorEastAsia" w:hAnsiTheme="minorEastAsia" w:eastAsiaTheme="minorEastAsia"/>
          <w:b/>
          <w:bCs/>
          <w:color w:val="auto"/>
          <w:sz w:val="24"/>
          <w:highlight w:val="none"/>
          <w:lang w:val="zh-CN"/>
        </w:rPr>
        <w:t>1.6 违约责任</w:t>
      </w:r>
      <w:bookmarkEnd w:id="53"/>
      <w:bookmarkEnd w:id="54"/>
      <w:bookmarkEnd w:id="55"/>
    </w:p>
    <w:p w14:paraId="2ABD73F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1.6.1除不可抗力外，如果乙方没有按照本合同约定的期限、地点和方式履行，那么甲方可要求乙方支付违约金，违约金按每迟延履行一日的应提供而未提供服务价格的</w:t>
      </w:r>
      <w:r>
        <w:rPr>
          <w:rFonts w:hint="eastAsia" w:asciiTheme="minorEastAsia" w:hAnsiTheme="minorEastAsia" w:eastAsiaTheme="minorEastAsia"/>
          <w:color w:val="auto"/>
          <w:sz w:val="24"/>
          <w:highlight w:val="none"/>
          <w:u w:val="single"/>
        </w:rPr>
        <w:t xml:space="preserve"> 0.1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10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；迟延履行的违约金计算数额达到前述最高限额之日起，甲方有权在要求乙方支付违约金的同时，书面通知乙方解除本合同；</w:t>
      </w:r>
    </w:p>
    <w:p w14:paraId="30755E9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1.6.2除不可抗力外，如果甲方没有按照本合同约定的付款方式付款，那么乙方可要求甲方支付违约金，违约金按每迟延付款一日的应付而未付款</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u w:val="single"/>
        </w:rPr>
        <w:t xml:space="preserve"> 0.1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10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；迟延付款的违约金计算数额达到前述最高限额之日起，乙方有权在要求甲方支付违约金的同时，书面通知甲方解除本合同；</w:t>
      </w:r>
    </w:p>
    <w:p w14:paraId="6762FAC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1F3A8D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34BF20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E5F7EB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1.6.6如果出现政府采购监督管理部门在处理投诉事项期间，书面通知甲方暂停采购活动的情形，或者询问或质疑事项可能影响中标结果的，导致甲方中止履行合同的情形，均不视为甲方违约。</w:t>
      </w:r>
    </w:p>
    <w:p w14:paraId="254C89F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1.6.7因甲方未按合同约定支付价款、未按合同约定受领标的物、擅自解除合同、逾期退还履约保证金导致乙方遭受的直接损失，乙方可向甲方申请赔偿，赔偿金额由双方协商一致；针对因政策变化等原因不能签订合同或解除合同时，造成乙方合法利益受损的情形，可以给予乙方合理补偿，补偿金额不得超过乙方的直接损失</w:t>
      </w:r>
      <w:r>
        <w:rPr>
          <w:rFonts w:hint="eastAsia" w:cs="Times New Roman" w:asciiTheme="minorEastAsia" w:hAnsiTheme="minorEastAsia" w:eastAsiaTheme="minorEastAsia"/>
          <w:color w:val="auto"/>
          <w:sz w:val="24"/>
          <w:szCs w:val="24"/>
          <w:highlight w:val="none"/>
        </w:rPr>
        <w:t>。</w:t>
      </w:r>
    </w:p>
    <w:p w14:paraId="118682E7">
      <w:pPr>
        <w:spacing w:line="360" w:lineRule="auto"/>
        <w:ind w:firstLine="437"/>
        <w:outlineLvl w:val="2"/>
        <w:rPr>
          <w:rFonts w:asciiTheme="minorEastAsia" w:hAnsiTheme="minorEastAsia" w:eastAsiaTheme="minorEastAsia"/>
          <w:b/>
          <w:bCs/>
          <w:color w:val="auto"/>
          <w:sz w:val="24"/>
          <w:highlight w:val="none"/>
          <w:lang w:val="zh-CN"/>
        </w:rPr>
      </w:pPr>
      <w:bookmarkStart w:id="56" w:name="_Toc15583"/>
      <w:bookmarkStart w:id="57" w:name="_Toc16021"/>
      <w:bookmarkStart w:id="58" w:name="_Toc28375"/>
      <w:r>
        <w:rPr>
          <w:rFonts w:hint="eastAsia" w:asciiTheme="minorEastAsia" w:hAnsiTheme="minorEastAsia" w:eastAsiaTheme="minorEastAsia"/>
          <w:b/>
          <w:bCs/>
          <w:color w:val="auto"/>
          <w:sz w:val="24"/>
          <w:highlight w:val="none"/>
          <w:lang w:val="zh-CN"/>
        </w:rPr>
        <w:t>1.7</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w:t>
      </w:r>
      <w:r>
        <w:rPr>
          <w:rFonts w:asciiTheme="minorEastAsia" w:hAnsiTheme="minorEastAsia" w:eastAsiaTheme="minorEastAsia"/>
          <w:b/>
          <w:bCs/>
          <w:color w:val="auto"/>
          <w:sz w:val="24"/>
          <w:highlight w:val="none"/>
          <w:lang w:val="zh-CN"/>
        </w:rPr>
        <w:t>争议的解决</w:t>
      </w:r>
      <w:bookmarkEnd w:id="56"/>
      <w:bookmarkEnd w:id="57"/>
      <w:bookmarkEnd w:id="58"/>
    </w:p>
    <w:p w14:paraId="52ECBD9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w:t>
      </w:r>
      <w:r>
        <w:rPr>
          <w:rFonts w:asciiTheme="minorEastAsia" w:hAnsiTheme="minorEastAsia" w:eastAsiaTheme="minorEastAsia"/>
          <w:color w:val="auto"/>
          <w:sz w:val="24"/>
          <w:highlight w:val="none"/>
        </w:rPr>
        <w:t>同履行过程中发生的任何争议，双方当事人均可</w:t>
      </w:r>
      <w:r>
        <w:rPr>
          <w:rFonts w:hint="eastAsia" w:asciiTheme="minorEastAsia" w:hAnsiTheme="minorEastAsia" w:eastAsiaTheme="minorEastAsia"/>
          <w:color w:val="auto"/>
          <w:sz w:val="24"/>
          <w:highlight w:val="none"/>
        </w:rPr>
        <w:t>通过和解或者调解解决；不愿和解、调解或者和解、调解不成的，可以选择下列第</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种方式解决：</w:t>
      </w:r>
    </w:p>
    <w:p w14:paraId="0A4B842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1.7.1将争议提交</w:t>
      </w:r>
      <w:r>
        <w:rPr>
          <w:rFonts w:hint="eastAsia" w:asciiTheme="minorEastAsia" w:hAnsiTheme="minorEastAsia" w:eastAsiaTheme="minorEastAsia"/>
          <w:color w:val="auto"/>
          <w:sz w:val="24"/>
          <w:highlight w:val="none"/>
          <w:u w:val="single"/>
        </w:rPr>
        <w:t xml:space="preserve">  滁州 </w:t>
      </w:r>
      <w:r>
        <w:rPr>
          <w:rFonts w:hint="eastAsia" w:asciiTheme="minorEastAsia" w:hAnsiTheme="minorEastAsia" w:eastAsiaTheme="minorEastAsia"/>
          <w:color w:val="auto"/>
          <w:sz w:val="24"/>
          <w:highlight w:val="none"/>
        </w:rPr>
        <w:t>仲裁委员会依申请仲裁时其现行有效的仲裁规则裁决；</w:t>
      </w:r>
    </w:p>
    <w:p w14:paraId="3803865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1.7.2向</w:t>
      </w:r>
      <w:r>
        <w:rPr>
          <w:rFonts w:hint="eastAsia" w:asciiTheme="minorEastAsia" w:hAnsiTheme="minorEastAsia" w:eastAsiaTheme="minorEastAsia"/>
          <w:color w:val="auto"/>
          <w:sz w:val="24"/>
          <w:highlight w:val="none"/>
          <w:u w:val="single"/>
        </w:rPr>
        <w:t xml:space="preserve">  甲方（采购人）所在地</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人民法院起诉。</w:t>
      </w:r>
    </w:p>
    <w:p w14:paraId="0A01F40B">
      <w:pPr>
        <w:spacing w:line="360" w:lineRule="auto"/>
        <w:ind w:firstLine="437"/>
        <w:outlineLvl w:val="2"/>
        <w:rPr>
          <w:rFonts w:asciiTheme="minorEastAsia" w:hAnsiTheme="minorEastAsia" w:eastAsiaTheme="minorEastAsia"/>
          <w:b/>
          <w:bCs/>
          <w:color w:val="auto"/>
          <w:sz w:val="24"/>
          <w:highlight w:val="none"/>
          <w:lang w:val="zh-CN"/>
        </w:rPr>
      </w:pPr>
      <w:bookmarkStart w:id="59" w:name="_Toc7245"/>
      <w:bookmarkStart w:id="60" w:name="_Toc15322"/>
      <w:bookmarkStart w:id="61" w:name="_Toc11173"/>
      <w:r>
        <w:rPr>
          <w:rFonts w:hint="eastAsia" w:asciiTheme="minorEastAsia" w:hAnsiTheme="minorEastAsia" w:eastAsiaTheme="minorEastAsia"/>
          <w:b/>
          <w:bCs/>
          <w:color w:val="auto"/>
          <w:sz w:val="24"/>
          <w:highlight w:val="none"/>
          <w:lang w:val="zh-CN"/>
        </w:rPr>
        <w:t>1.8</w:t>
      </w:r>
      <w:r>
        <w:rPr>
          <w:rFonts w:asciiTheme="minorEastAsia" w:hAnsiTheme="minorEastAsia" w:eastAsiaTheme="minorEastAsia"/>
          <w:b/>
          <w:bCs/>
          <w:color w:val="auto"/>
          <w:sz w:val="24"/>
          <w:highlight w:val="none"/>
          <w:lang w:val="zh-CN"/>
        </w:rPr>
        <w:t xml:space="preserve"> 合同生效</w:t>
      </w:r>
      <w:bookmarkEnd w:id="59"/>
      <w:bookmarkEnd w:id="60"/>
      <w:bookmarkEnd w:id="61"/>
    </w:p>
    <w:p w14:paraId="77CED59F">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本合同自</w:t>
      </w:r>
      <w:r>
        <w:rPr>
          <w:rFonts w:hint="eastAsia" w:asciiTheme="minorEastAsia" w:hAnsiTheme="minorEastAsia" w:eastAsiaTheme="minorEastAsia"/>
          <w:color w:val="auto"/>
          <w:sz w:val="24"/>
          <w:highlight w:val="none"/>
        </w:rPr>
        <w:t>双方当事人盖章时</w:t>
      </w:r>
      <w:r>
        <w:rPr>
          <w:rFonts w:asciiTheme="minorEastAsia" w:hAnsiTheme="minorEastAsia" w:eastAsiaTheme="minorEastAsia"/>
          <w:color w:val="auto"/>
          <w:sz w:val="24"/>
          <w:highlight w:val="none"/>
        </w:rPr>
        <w:t>生效。</w:t>
      </w:r>
    </w:p>
    <w:p w14:paraId="4E129BF3">
      <w:pPr>
        <w:autoSpaceDE w:val="0"/>
        <w:autoSpaceDN w:val="0"/>
        <w:adjustRightInd w:val="0"/>
        <w:spacing w:line="560" w:lineRule="exact"/>
        <w:rPr>
          <w:rFonts w:asciiTheme="minorEastAsia" w:hAnsiTheme="minorEastAsia" w:eastAsiaTheme="minorEastAsia"/>
          <w:color w:val="auto"/>
          <w:sz w:val="24"/>
          <w:highlight w:val="none"/>
          <w:lang w:val="zh-CN"/>
        </w:rPr>
      </w:pPr>
    </w:p>
    <w:p w14:paraId="59B06956">
      <w:pPr>
        <w:autoSpaceDE w:val="0"/>
        <w:autoSpaceDN w:val="0"/>
        <w:adjustRightInd w:val="0"/>
        <w:spacing w:line="560" w:lineRule="exact"/>
        <w:rPr>
          <w:rFonts w:cs="Times New Roman" w:asciiTheme="minorEastAsia" w:hAnsiTheme="minorEastAsia" w:eastAsiaTheme="minorEastAsia"/>
          <w:bCs/>
          <w:color w:val="auto"/>
          <w:sz w:val="24"/>
          <w:szCs w:val="24"/>
          <w:highlight w:val="none"/>
          <w:lang w:val="zh-CN"/>
        </w:rPr>
      </w:pPr>
      <w:bookmarkStart w:id="62" w:name="_Toc331685783"/>
      <w:r>
        <w:rPr>
          <w:rFonts w:hint="eastAsia" w:cs="Times New Roman" w:asciiTheme="minorEastAsia" w:hAnsiTheme="minorEastAsia" w:eastAsiaTheme="minorEastAsia"/>
          <w:bCs/>
          <w:color w:val="auto"/>
          <w:sz w:val="24"/>
          <w:szCs w:val="24"/>
          <w:highlight w:val="none"/>
          <w:lang w:val="zh-CN"/>
        </w:rPr>
        <w:t xml:space="preserve">甲 </w:t>
      </w:r>
      <w:r>
        <w:rPr>
          <w:rFonts w:cs="Times New Roman" w:asciiTheme="minorEastAsia" w:hAnsiTheme="minorEastAsia" w:eastAsiaTheme="minorEastAsia"/>
          <w:bCs/>
          <w:color w:val="auto"/>
          <w:sz w:val="24"/>
          <w:szCs w:val="24"/>
          <w:highlight w:val="none"/>
          <w:lang w:val="zh-CN"/>
        </w:rPr>
        <w:t xml:space="preserve">   </w:t>
      </w:r>
      <w:r>
        <w:rPr>
          <w:rFonts w:hint="eastAsia" w:cs="Times New Roman" w:asciiTheme="minorEastAsia" w:hAnsiTheme="minorEastAsia" w:eastAsiaTheme="minorEastAsia"/>
          <w:bCs/>
          <w:color w:val="auto"/>
          <w:sz w:val="24"/>
          <w:szCs w:val="24"/>
          <w:highlight w:val="none"/>
          <w:lang w:val="zh-CN"/>
        </w:rPr>
        <w:t>方：</w:t>
      </w:r>
      <w:r>
        <w:rPr>
          <w:rFonts w:hint="eastAsia" w:cs="Times New Roman" w:asciiTheme="minorEastAsia" w:hAnsiTheme="minorEastAsia" w:eastAsiaTheme="minorEastAsia"/>
          <w:bCs/>
          <w:color w:val="auto"/>
          <w:sz w:val="24"/>
          <w:szCs w:val="24"/>
          <w:highlight w:val="none"/>
          <w:u w:val="single"/>
          <w:lang w:val="zh-CN"/>
        </w:rPr>
        <w:t xml:space="preserve">    （单位盖章）     </w:t>
      </w:r>
      <w:r>
        <w:rPr>
          <w:rFonts w:hint="eastAsia" w:cs="Times New Roman" w:asciiTheme="minorEastAsia" w:hAnsiTheme="minorEastAsia" w:eastAsiaTheme="minorEastAsia"/>
          <w:bCs/>
          <w:color w:val="auto"/>
          <w:sz w:val="24"/>
          <w:szCs w:val="24"/>
          <w:highlight w:val="none"/>
          <w:lang w:val="zh-CN"/>
        </w:rPr>
        <w:t xml:space="preserve">          乙方：</w:t>
      </w:r>
      <w:r>
        <w:rPr>
          <w:rFonts w:hint="eastAsia" w:cs="Times New Roman" w:asciiTheme="minorEastAsia" w:hAnsiTheme="minorEastAsia" w:eastAsiaTheme="minorEastAsia"/>
          <w:bCs/>
          <w:color w:val="auto"/>
          <w:sz w:val="24"/>
          <w:szCs w:val="24"/>
          <w:highlight w:val="none"/>
          <w:u w:val="single"/>
          <w:lang w:val="zh-CN"/>
        </w:rPr>
        <w:t xml:space="preserve">    （单位盖章）     </w:t>
      </w:r>
    </w:p>
    <w:p w14:paraId="1F3F0B0A">
      <w:pPr>
        <w:autoSpaceDE w:val="0"/>
        <w:autoSpaceDN w:val="0"/>
        <w:adjustRightInd w:val="0"/>
        <w:spacing w:line="560" w:lineRule="exact"/>
        <w:rPr>
          <w:rFonts w:cs="Times New Roman" w:asciiTheme="minorEastAsia" w:hAnsiTheme="minorEastAsia" w:eastAsiaTheme="minorEastAsia"/>
          <w:color w:val="auto"/>
          <w:sz w:val="24"/>
          <w:szCs w:val="24"/>
          <w:highlight w:val="none"/>
          <w:lang w:val="zh-CN"/>
        </w:rPr>
      </w:pPr>
      <w:r>
        <w:rPr>
          <w:rFonts w:hint="eastAsia" w:cs="Times New Roman" w:asciiTheme="minorEastAsia" w:hAnsiTheme="minorEastAsia" w:eastAsiaTheme="minorEastAsia"/>
          <w:color w:val="auto"/>
          <w:sz w:val="24"/>
          <w:szCs w:val="24"/>
          <w:highlight w:val="none"/>
          <w:lang w:val="zh-CN"/>
        </w:rPr>
        <w:t xml:space="preserve">法定代表人                             </w:t>
      </w:r>
      <w:r>
        <w:rPr>
          <w:rFonts w:cs="Times New Roman" w:asciiTheme="minorEastAsia" w:hAnsiTheme="minorEastAsia" w:eastAsiaTheme="minorEastAsia"/>
          <w:color w:val="auto"/>
          <w:sz w:val="24"/>
          <w:szCs w:val="24"/>
          <w:highlight w:val="none"/>
          <w:lang w:val="zh-CN"/>
        </w:rPr>
        <w:t xml:space="preserve">  </w:t>
      </w:r>
      <w:r>
        <w:rPr>
          <w:rFonts w:hint="eastAsia" w:cs="Times New Roman" w:asciiTheme="minorEastAsia" w:hAnsiTheme="minorEastAsia" w:eastAsiaTheme="minorEastAsia"/>
          <w:color w:val="auto"/>
          <w:sz w:val="24"/>
          <w:szCs w:val="24"/>
          <w:highlight w:val="none"/>
          <w:lang w:val="zh-CN"/>
        </w:rPr>
        <w:t>法定代表人</w:t>
      </w:r>
    </w:p>
    <w:p w14:paraId="7A5CA16B">
      <w:pPr>
        <w:autoSpaceDE w:val="0"/>
        <w:autoSpaceDN w:val="0"/>
        <w:adjustRightInd w:val="0"/>
        <w:spacing w:line="560" w:lineRule="exact"/>
        <w:rPr>
          <w:rFonts w:cs="Times New Roman" w:asciiTheme="minorEastAsia" w:hAnsiTheme="minorEastAsia" w:eastAsiaTheme="minorEastAsia"/>
          <w:color w:val="auto"/>
          <w:sz w:val="24"/>
          <w:szCs w:val="24"/>
          <w:highlight w:val="none"/>
          <w:lang w:val="zh-CN"/>
        </w:rPr>
      </w:pPr>
      <w:r>
        <w:rPr>
          <w:rFonts w:hint="eastAsia" w:cs="Times New Roman" w:asciiTheme="minorEastAsia" w:hAnsiTheme="minorEastAsia" w:eastAsiaTheme="minorEastAsia"/>
          <w:color w:val="auto"/>
          <w:sz w:val="24"/>
          <w:szCs w:val="24"/>
          <w:highlight w:val="none"/>
          <w:lang w:val="zh-CN"/>
        </w:rPr>
        <w:t>或授权代表（签字）：                      或授权代表（签字）：</w:t>
      </w:r>
    </w:p>
    <w:p w14:paraId="4FD31134">
      <w:pPr>
        <w:widowControl/>
        <w:spacing w:line="560" w:lineRule="exact"/>
        <w:jc w:val="left"/>
        <w:rPr>
          <w:rFonts w:cs="Times New Roman" w:asciiTheme="minorEastAsia" w:hAnsiTheme="minorEastAsia" w:eastAsiaTheme="minorEastAsia"/>
          <w:bCs/>
          <w:color w:val="auto"/>
          <w:sz w:val="24"/>
          <w:szCs w:val="24"/>
          <w:highlight w:val="none"/>
        </w:rPr>
      </w:pPr>
      <w:r>
        <w:rPr>
          <w:rFonts w:hint="eastAsia" w:cs="Times New Roman" w:asciiTheme="minorEastAsia" w:hAnsiTheme="minorEastAsia" w:eastAsiaTheme="minorEastAsia"/>
          <w:bCs/>
          <w:color w:val="auto"/>
          <w:sz w:val="24"/>
          <w:szCs w:val="24"/>
          <w:highlight w:val="none"/>
        </w:rPr>
        <w:t>时间：</w:t>
      </w:r>
      <w:r>
        <w:rPr>
          <w:rFonts w:hint="eastAsia" w:cs="Times New Roman" w:asciiTheme="minorEastAsia" w:hAnsiTheme="minorEastAsia" w:eastAsiaTheme="minorEastAsia"/>
          <w:bCs/>
          <w:color w:val="auto"/>
          <w:sz w:val="24"/>
          <w:szCs w:val="24"/>
          <w:highlight w:val="none"/>
          <w:u w:val="single"/>
        </w:rPr>
        <w:t xml:space="preserve">  </w:t>
      </w:r>
      <w:r>
        <w:rPr>
          <w:rFonts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rPr>
        <w:t>年</w:t>
      </w:r>
      <w:r>
        <w:rPr>
          <w:rFonts w:hint="eastAsia" w:cs="Times New Roman" w:asciiTheme="minorEastAsia" w:hAnsiTheme="minorEastAsia" w:eastAsiaTheme="minorEastAsia"/>
          <w:bCs/>
          <w:color w:val="auto"/>
          <w:sz w:val="24"/>
          <w:szCs w:val="24"/>
          <w:highlight w:val="none"/>
          <w:u w:val="single"/>
        </w:rPr>
        <w:t xml:space="preserve">  </w:t>
      </w:r>
      <w:r>
        <w:rPr>
          <w:rFonts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rPr>
        <w:t>月</w:t>
      </w:r>
      <w:r>
        <w:rPr>
          <w:rFonts w:hint="eastAsia" w:cs="Times New Roman" w:asciiTheme="minorEastAsia" w:hAnsiTheme="minorEastAsia" w:eastAsiaTheme="minorEastAsia"/>
          <w:bCs/>
          <w:color w:val="auto"/>
          <w:sz w:val="24"/>
          <w:szCs w:val="24"/>
          <w:highlight w:val="none"/>
          <w:u w:val="single"/>
        </w:rPr>
        <w:t xml:space="preserve">  </w:t>
      </w:r>
      <w:r>
        <w:rPr>
          <w:rFonts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rPr>
        <w:t>日               时间：</w:t>
      </w:r>
      <w:r>
        <w:rPr>
          <w:rFonts w:hint="eastAsia" w:cs="Times New Roman" w:asciiTheme="minorEastAsia" w:hAnsiTheme="minorEastAsia" w:eastAsiaTheme="minorEastAsia"/>
          <w:bCs/>
          <w:color w:val="auto"/>
          <w:sz w:val="24"/>
          <w:szCs w:val="24"/>
          <w:highlight w:val="none"/>
          <w:u w:val="single"/>
        </w:rPr>
        <w:t xml:space="preserve">  </w:t>
      </w:r>
      <w:r>
        <w:rPr>
          <w:rFonts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rPr>
        <w:t>年</w:t>
      </w:r>
      <w:r>
        <w:rPr>
          <w:rFonts w:hint="eastAsia" w:cs="Times New Roman" w:asciiTheme="minorEastAsia" w:hAnsiTheme="minorEastAsia" w:eastAsiaTheme="minorEastAsia"/>
          <w:bCs/>
          <w:color w:val="auto"/>
          <w:sz w:val="24"/>
          <w:szCs w:val="24"/>
          <w:highlight w:val="none"/>
          <w:u w:val="single"/>
        </w:rPr>
        <w:t xml:space="preserve">  </w:t>
      </w:r>
      <w:r>
        <w:rPr>
          <w:rFonts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rPr>
        <w:t>月</w:t>
      </w:r>
      <w:r>
        <w:rPr>
          <w:rFonts w:hint="eastAsia" w:cs="Times New Roman" w:asciiTheme="minorEastAsia" w:hAnsiTheme="minorEastAsia" w:eastAsiaTheme="minorEastAsia"/>
          <w:bCs/>
          <w:color w:val="auto"/>
          <w:sz w:val="24"/>
          <w:szCs w:val="24"/>
          <w:highlight w:val="none"/>
          <w:u w:val="single"/>
        </w:rPr>
        <w:t xml:space="preserve"> </w:t>
      </w:r>
      <w:r>
        <w:rPr>
          <w:rFonts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rPr>
        <w:t>日</w:t>
      </w:r>
    </w:p>
    <w:p w14:paraId="1B29AB23">
      <w:pPr>
        <w:widowControl/>
        <w:spacing w:line="560" w:lineRule="exact"/>
        <w:jc w:val="left"/>
        <w:rPr>
          <w:rFonts w:cs="Times New Roman" w:asciiTheme="minorEastAsia" w:hAnsiTheme="minorEastAsia" w:eastAsiaTheme="minorEastAsia"/>
          <w:bCs/>
          <w:color w:val="auto"/>
          <w:sz w:val="24"/>
          <w:szCs w:val="24"/>
          <w:highlight w:val="none"/>
        </w:rPr>
      </w:pPr>
      <w:r>
        <w:rPr>
          <w:rFonts w:hint="eastAsia" w:cs="Times New Roman" w:asciiTheme="minorEastAsia" w:hAnsiTheme="minorEastAsia" w:eastAsiaTheme="minorEastAsia"/>
          <w:bCs/>
          <w:color w:val="auto"/>
          <w:sz w:val="24"/>
          <w:szCs w:val="24"/>
          <w:highlight w:val="none"/>
        </w:rPr>
        <w:t xml:space="preserve">                                        乙方账户信息</w:t>
      </w:r>
    </w:p>
    <w:p w14:paraId="0A9B87FA">
      <w:pPr>
        <w:widowControl/>
        <w:spacing w:line="560" w:lineRule="exact"/>
        <w:jc w:val="left"/>
        <w:rPr>
          <w:rFonts w:cs="Times New Roman" w:asciiTheme="minorEastAsia" w:hAnsiTheme="minorEastAsia" w:eastAsiaTheme="minorEastAsia"/>
          <w:bCs/>
          <w:color w:val="auto"/>
          <w:sz w:val="24"/>
          <w:szCs w:val="24"/>
          <w:highlight w:val="none"/>
          <w:u w:val="single"/>
        </w:rPr>
      </w:pPr>
      <w:r>
        <w:rPr>
          <w:rFonts w:hint="eastAsia" w:cs="Times New Roman" w:asciiTheme="minorEastAsia" w:hAnsiTheme="minorEastAsia" w:eastAsiaTheme="minorEastAsia"/>
          <w:bCs/>
          <w:color w:val="auto"/>
          <w:sz w:val="24"/>
          <w:szCs w:val="24"/>
          <w:highlight w:val="none"/>
        </w:rPr>
        <w:t xml:space="preserve">                                        户名：</w:t>
      </w:r>
      <w:r>
        <w:rPr>
          <w:rFonts w:hint="eastAsia" w:cs="Times New Roman" w:asciiTheme="minorEastAsia" w:hAnsiTheme="minorEastAsia" w:eastAsiaTheme="minorEastAsia"/>
          <w:bCs/>
          <w:color w:val="auto"/>
          <w:sz w:val="24"/>
          <w:szCs w:val="24"/>
          <w:highlight w:val="none"/>
          <w:u w:val="single"/>
        </w:rPr>
        <w:t xml:space="preserve">                    </w:t>
      </w:r>
    </w:p>
    <w:p w14:paraId="65FC18EC">
      <w:pPr>
        <w:widowControl/>
        <w:spacing w:line="560" w:lineRule="exact"/>
        <w:jc w:val="left"/>
        <w:rPr>
          <w:rFonts w:cs="Times New Roman" w:asciiTheme="minorEastAsia" w:hAnsiTheme="minorEastAsia" w:eastAsiaTheme="minorEastAsia"/>
          <w:bCs/>
          <w:color w:val="auto"/>
          <w:sz w:val="24"/>
          <w:szCs w:val="24"/>
          <w:highlight w:val="none"/>
          <w:u w:val="single"/>
        </w:rPr>
      </w:pPr>
      <w:r>
        <w:rPr>
          <w:rFonts w:hint="eastAsia" w:cs="Times New Roman" w:asciiTheme="minorEastAsia" w:hAnsiTheme="minorEastAsia" w:eastAsiaTheme="minorEastAsia"/>
          <w:bCs/>
          <w:color w:val="auto"/>
          <w:sz w:val="24"/>
          <w:szCs w:val="24"/>
          <w:highlight w:val="none"/>
        </w:rPr>
        <w:t xml:space="preserve">                                        账号：</w:t>
      </w:r>
      <w:r>
        <w:rPr>
          <w:rFonts w:hint="eastAsia" w:cs="Times New Roman" w:asciiTheme="minorEastAsia" w:hAnsiTheme="minorEastAsia" w:eastAsiaTheme="minorEastAsia"/>
          <w:bCs/>
          <w:color w:val="auto"/>
          <w:sz w:val="24"/>
          <w:szCs w:val="24"/>
          <w:highlight w:val="none"/>
          <w:u w:val="single"/>
        </w:rPr>
        <w:t xml:space="preserve">                    </w:t>
      </w:r>
    </w:p>
    <w:p w14:paraId="5A4411DF">
      <w:pPr>
        <w:widowControl/>
        <w:spacing w:line="560" w:lineRule="exact"/>
        <w:jc w:val="left"/>
        <w:rPr>
          <w:rFonts w:cs="Times New Roman" w:asciiTheme="minorEastAsia" w:hAnsiTheme="minorEastAsia" w:eastAsiaTheme="minorEastAsia"/>
          <w:bCs/>
          <w:color w:val="auto"/>
          <w:sz w:val="24"/>
          <w:szCs w:val="24"/>
          <w:highlight w:val="none"/>
          <w:u w:val="single"/>
        </w:rPr>
      </w:pPr>
      <w:r>
        <w:rPr>
          <w:rFonts w:hint="eastAsia" w:cs="Times New Roman" w:asciiTheme="minorEastAsia" w:hAnsiTheme="minorEastAsia" w:eastAsiaTheme="minorEastAsia"/>
          <w:bCs/>
          <w:color w:val="auto"/>
          <w:sz w:val="24"/>
          <w:szCs w:val="24"/>
          <w:highlight w:val="none"/>
        </w:rPr>
        <w:t xml:space="preserve">                                        开户银行：</w:t>
      </w:r>
      <w:r>
        <w:rPr>
          <w:rFonts w:hint="eastAsia" w:cs="Times New Roman" w:asciiTheme="minorEastAsia" w:hAnsiTheme="minorEastAsia" w:eastAsiaTheme="minorEastAsia"/>
          <w:bCs/>
          <w:color w:val="auto"/>
          <w:sz w:val="24"/>
          <w:szCs w:val="24"/>
          <w:highlight w:val="none"/>
          <w:u w:val="single"/>
        </w:rPr>
        <w:t xml:space="preserve">                </w:t>
      </w:r>
    </w:p>
    <w:p w14:paraId="04F7AEFE">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69E5E349">
      <w:pPr>
        <w:spacing w:line="360" w:lineRule="auto"/>
        <w:jc w:val="center"/>
        <w:outlineLvl w:val="1"/>
        <w:rPr>
          <w:rFonts w:asciiTheme="minorEastAsia" w:hAnsiTheme="minorEastAsia" w:eastAsiaTheme="minorEastAsia"/>
          <w:b/>
          <w:color w:val="auto"/>
          <w:sz w:val="24"/>
          <w:highlight w:val="none"/>
        </w:rPr>
      </w:pPr>
      <w:bookmarkStart w:id="63" w:name="_Toc20177"/>
      <w:r>
        <w:rPr>
          <w:rFonts w:hint="eastAsia" w:asciiTheme="minorEastAsia" w:hAnsiTheme="minorEastAsia" w:eastAsiaTheme="minorEastAsia"/>
          <w:b/>
          <w:color w:val="auto"/>
          <w:sz w:val="24"/>
          <w:highlight w:val="none"/>
        </w:rPr>
        <w:t>第二部分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合同一般条款</w:t>
      </w:r>
      <w:bookmarkEnd w:id="62"/>
      <w:bookmarkEnd w:id="63"/>
    </w:p>
    <w:p w14:paraId="6D748253">
      <w:pPr>
        <w:spacing w:line="360" w:lineRule="auto"/>
        <w:ind w:firstLine="437"/>
        <w:outlineLvl w:val="2"/>
        <w:rPr>
          <w:rFonts w:asciiTheme="minorEastAsia" w:hAnsiTheme="minorEastAsia" w:eastAsiaTheme="minorEastAsia"/>
          <w:b/>
          <w:bCs/>
          <w:color w:val="auto"/>
          <w:sz w:val="24"/>
          <w:highlight w:val="none"/>
          <w:lang w:val="zh-CN"/>
        </w:rPr>
      </w:pPr>
      <w:bookmarkStart w:id="64" w:name="_Ref467378404"/>
      <w:bookmarkStart w:id="65" w:name="_Ref467379094"/>
      <w:bookmarkStart w:id="66" w:name="_Ref467379109"/>
      <w:bookmarkStart w:id="67" w:name="_Toc19614"/>
      <w:bookmarkStart w:id="68" w:name="_Toc487900349"/>
      <w:bookmarkStart w:id="69" w:name="_Ref467378499"/>
      <w:bookmarkStart w:id="70" w:name="_Ref467379225"/>
      <w:bookmarkStart w:id="71" w:name="_Ref467379205"/>
      <w:bookmarkStart w:id="72" w:name="_Toc28763"/>
      <w:bookmarkStart w:id="73" w:name="_Ref467379101"/>
      <w:bookmarkStart w:id="74" w:name="_Ref467379195"/>
      <w:bookmarkStart w:id="75" w:name="_Toc279701240"/>
      <w:bookmarkStart w:id="76" w:name="_Toc259093669"/>
      <w:bookmarkStart w:id="77" w:name="_Ref467378463"/>
      <w:bookmarkStart w:id="78" w:name="_Toc16917"/>
      <w:bookmarkStart w:id="79" w:name="_Ref467379214"/>
      <w:r>
        <w:rPr>
          <w:rFonts w:hint="eastAsia" w:asciiTheme="minorEastAsia" w:hAnsiTheme="minorEastAsia" w:eastAsiaTheme="minorEastAsia"/>
          <w:b/>
          <w:bCs/>
          <w:color w:val="auto"/>
          <w:sz w:val="24"/>
          <w:highlight w:val="none"/>
          <w:lang w:val="zh-CN"/>
        </w:rPr>
        <w:t>2.1</w:t>
      </w:r>
      <w:r>
        <w:rPr>
          <w:rFonts w:asciiTheme="minorEastAsia" w:hAnsiTheme="minorEastAsia" w:eastAsiaTheme="minorEastAsia"/>
          <w:b/>
          <w:bCs/>
          <w:color w:val="auto"/>
          <w:sz w:val="24"/>
          <w:highlight w:val="none"/>
          <w:lang w:val="zh-CN"/>
        </w:rPr>
        <w:t xml:space="preserve"> 定义</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7E547E5D">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w:t>
      </w:r>
      <w:bookmarkStart w:id="80" w:name="_Ref467379436"/>
      <w:r>
        <w:rPr>
          <w:rFonts w:hint="eastAsia" w:asciiTheme="minorEastAsia" w:hAnsiTheme="minorEastAsia" w:eastAsiaTheme="minorEastAsia"/>
          <w:color w:val="auto"/>
          <w:sz w:val="24"/>
          <w:highlight w:val="none"/>
        </w:rPr>
        <w:t>合同中的下列词语应按以下内容进行解释：</w:t>
      </w:r>
    </w:p>
    <w:p w14:paraId="58BC087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2.1.1“合同”系指采购人和中标人签订的载明双方当事人所达成的协议，并包括所有的附件、附录和构成合同的其他文件。</w:t>
      </w:r>
    </w:p>
    <w:p w14:paraId="6755D59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2.1.2“合同价”系指根据合同约定，中标人在完全履行合同义务后，采购人应支付给中标人的价格。</w:t>
      </w:r>
    </w:p>
    <w:p w14:paraId="0E94B3D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2.1.3“服务”系指中标人根据合同约定应向采购人履行的除货物和工程以外的其他政府采购对象，包括采购人自身需要的服务和向社会公众提供的公共服务。</w:t>
      </w:r>
    </w:p>
    <w:p w14:paraId="1587623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2.1.4“甲方”系指与中标人签署合同的采购人；采购人委托采购代理机构代表其与乙方签订合同的，采购人的授权委托书作为合同附件。</w:t>
      </w:r>
    </w:p>
    <w:p w14:paraId="451B8AB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2.1.5“乙方”系指根据合同约定提供服务的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114197F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2.1.6“现场”系指合同约定提供服务的地点</w:t>
      </w:r>
      <w:r>
        <w:rPr>
          <w:rFonts w:asciiTheme="minorEastAsia" w:hAnsiTheme="minorEastAsia" w:eastAsiaTheme="minorEastAsia"/>
          <w:color w:val="auto"/>
          <w:sz w:val="24"/>
          <w:highlight w:val="none"/>
        </w:rPr>
        <w:t>。</w:t>
      </w:r>
      <w:bookmarkEnd w:id="80"/>
    </w:p>
    <w:p w14:paraId="18EF1E39">
      <w:pPr>
        <w:spacing w:line="360" w:lineRule="auto"/>
        <w:ind w:firstLine="437"/>
        <w:outlineLvl w:val="2"/>
        <w:rPr>
          <w:rFonts w:asciiTheme="minorEastAsia" w:hAnsiTheme="minorEastAsia" w:eastAsiaTheme="minorEastAsia"/>
          <w:b/>
          <w:bCs/>
          <w:color w:val="auto"/>
          <w:sz w:val="24"/>
          <w:highlight w:val="none"/>
          <w:lang w:val="zh-CN"/>
        </w:rPr>
      </w:pPr>
      <w:bookmarkStart w:id="81" w:name="_Toc32504"/>
      <w:bookmarkStart w:id="82" w:name="_Toc27635"/>
      <w:bookmarkStart w:id="83" w:name="_Toc259093670"/>
      <w:bookmarkStart w:id="84" w:name="_Toc13336"/>
      <w:bookmarkStart w:id="85" w:name="_Toc279701241"/>
      <w:bookmarkStart w:id="86" w:name="_Toc487900350"/>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2 技术规范</w:t>
      </w:r>
      <w:bookmarkEnd w:id="81"/>
      <w:bookmarkEnd w:id="82"/>
      <w:bookmarkEnd w:id="83"/>
      <w:bookmarkEnd w:id="84"/>
      <w:bookmarkEnd w:id="85"/>
      <w:bookmarkEnd w:id="86"/>
    </w:p>
    <w:p w14:paraId="269C460C">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货</w:t>
      </w:r>
      <w:r>
        <w:rPr>
          <w:rFonts w:hint="eastAsia" w:asciiTheme="minorEastAsia" w:hAnsiTheme="minorEastAsia" w:eastAsiaTheme="minorEastAsia"/>
          <w:color w:val="auto"/>
          <w:sz w:val="24"/>
          <w:highlight w:val="none"/>
        </w:rPr>
        <w:t>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r>
        <w:rPr>
          <w:rFonts w:asciiTheme="minorEastAsia" w:hAnsiTheme="minorEastAsia" w:eastAsiaTheme="minorEastAsia"/>
          <w:color w:val="auto"/>
          <w:sz w:val="24"/>
          <w:highlight w:val="none"/>
        </w:rPr>
        <w:t>。</w:t>
      </w:r>
    </w:p>
    <w:p w14:paraId="0A72DE15">
      <w:pPr>
        <w:spacing w:line="360" w:lineRule="auto"/>
        <w:ind w:firstLine="437"/>
        <w:outlineLvl w:val="2"/>
        <w:rPr>
          <w:rFonts w:asciiTheme="minorEastAsia" w:hAnsiTheme="minorEastAsia" w:eastAsiaTheme="minorEastAsia"/>
          <w:b/>
          <w:bCs/>
          <w:color w:val="auto"/>
          <w:sz w:val="24"/>
          <w:highlight w:val="none"/>
          <w:lang w:val="zh-CN"/>
        </w:rPr>
      </w:pPr>
      <w:bookmarkStart w:id="87" w:name="_Toc487900351"/>
      <w:bookmarkStart w:id="88" w:name="_Toc27853"/>
      <w:bookmarkStart w:id="89" w:name="_Toc31634"/>
      <w:bookmarkStart w:id="90" w:name="_Toc279701242"/>
      <w:bookmarkStart w:id="91" w:name="_Toc259093671"/>
      <w:bookmarkStart w:id="92" w:name="_Toc9829"/>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3 知识产权</w:t>
      </w:r>
      <w:bookmarkEnd w:id="87"/>
      <w:bookmarkEnd w:id="88"/>
      <w:bookmarkEnd w:id="89"/>
      <w:bookmarkEnd w:id="90"/>
      <w:bookmarkEnd w:id="91"/>
      <w:bookmarkEnd w:id="92"/>
    </w:p>
    <w:p w14:paraId="262BB4E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34A7E80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2.3.2具有知识产权的计算机软件等货物的知识产权归属，详</w:t>
      </w:r>
      <w:r>
        <w:rPr>
          <w:rFonts w:asciiTheme="minorEastAsia" w:hAnsiTheme="minorEastAsia" w:eastAsiaTheme="minorEastAsia"/>
          <w:color w:val="auto"/>
          <w:sz w:val="24"/>
          <w:highlight w:val="none"/>
        </w:rPr>
        <w:t>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074B7CD8">
      <w:pPr>
        <w:spacing w:line="360" w:lineRule="auto"/>
        <w:ind w:firstLine="437"/>
        <w:outlineLvl w:val="2"/>
        <w:rPr>
          <w:rFonts w:asciiTheme="minorEastAsia" w:hAnsiTheme="minorEastAsia" w:eastAsiaTheme="minorEastAsia"/>
          <w:b/>
          <w:color w:val="auto"/>
          <w:sz w:val="24"/>
          <w:highlight w:val="none"/>
        </w:rPr>
      </w:pPr>
      <w:bookmarkStart w:id="93" w:name="_Toc4194"/>
      <w:bookmarkStart w:id="94" w:name="_Toc29149"/>
      <w:bookmarkStart w:id="95" w:name="_Toc11932"/>
      <w:r>
        <w:rPr>
          <w:rFonts w:hint="eastAsia" w:asciiTheme="minorEastAsia" w:hAnsiTheme="minorEastAsia" w:eastAsiaTheme="minorEastAsia"/>
          <w:b/>
          <w:bCs/>
          <w:color w:val="auto"/>
          <w:sz w:val="24"/>
          <w:highlight w:val="none"/>
          <w:lang w:val="zh-CN"/>
        </w:rPr>
        <w:t>2.4</w:t>
      </w:r>
      <w:r>
        <w:rPr>
          <w:rFonts w:asciiTheme="minorEastAsia" w:hAnsiTheme="minorEastAsia" w:eastAsiaTheme="minorEastAsia"/>
          <w:b/>
          <w:bCs/>
          <w:color w:val="auto"/>
          <w:sz w:val="24"/>
          <w:highlight w:val="none"/>
          <w:lang w:val="zh-CN"/>
        </w:rPr>
        <w:t xml:space="preserve"> </w:t>
      </w:r>
      <w:bookmarkEnd w:id="93"/>
      <w:bookmarkEnd w:id="94"/>
      <w:bookmarkEnd w:id="95"/>
      <w:r>
        <w:rPr>
          <w:rFonts w:hint="eastAsia" w:asciiTheme="minorEastAsia" w:hAnsiTheme="minorEastAsia" w:eastAsiaTheme="minorEastAsia"/>
          <w:b/>
          <w:bCs/>
          <w:color w:val="auto"/>
          <w:sz w:val="24"/>
          <w:highlight w:val="none"/>
          <w:lang w:val="zh-CN"/>
        </w:rPr>
        <w:t>履约检查和问题反馈</w:t>
      </w:r>
    </w:p>
    <w:p w14:paraId="20C9265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2.4.1甲方有权在其认为必要时，对乙方是否能够按照合同约定提供服务进行履约检查，以确保乙方所提供的服务能够依约满足甲方项目需求，但不得因履约检查妨碍乙方的正常工作，乙方应予积极配合；</w:t>
      </w:r>
    </w:p>
    <w:p w14:paraId="027E400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2.4.2合同履行期间，甲方有权将履行过程中出现的问题反馈给乙方，双方当事人应以书面形式约定需要完善和改进的内容。</w:t>
      </w:r>
    </w:p>
    <w:p w14:paraId="61618111">
      <w:pPr>
        <w:spacing w:line="360" w:lineRule="auto"/>
        <w:ind w:firstLine="437"/>
        <w:outlineLvl w:val="2"/>
        <w:rPr>
          <w:rFonts w:asciiTheme="minorEastAsia" w:hAnsiTheme="minorEastAsia" w:eastAsiaTheme="minorEastAsia"/>
          <w:b/>
          <w:bCs/>
          <w:color w:val="auto"/>
          <w:sz w:val="24"/>
          <w:highlight w:val="none"/>
          <w:lang w:val="zh-CN"/>
        </w:rPr>
      </w:pPr>
      <w:bookmarkStart w:id="96" w:name="_Ref467379542"/>
      <w:bookmarkStart w:id="97" w:name="_Ref467379527"/>
      <w:bookmarkStart w:id="98" w:name="_Ref467378591"/>
      <w:bookmarkStart w:id="99" w:name="_Ref467378541"/>
      <w:bookmarkStart w:id="100" w:name="_Toc487900354"/>
      <w:bookmarkStart w:id="101" w:name="_Toc259093674"/>
      <w:bookmarkStart w:id="102" w:name="_Toc279701245"/>
      <w:bookmarkStart w:id="103" w:name="_Ref467379536"/>
      <w:bookmarkStart w:id="104" w:name="_Toc30272"/>
      <w:bookmarkStart w:id="105" w:name="_Toc19074"/>
      <w:bookmarkStart w:id="106" w:name="_Toc26182"/>
      <w:r>
        <w:rPr>
          <w:rFonts w:hint="eastAsia" w:asciiTheme="minorEastAsia" w:hAnsiTheme="minorEastAsia" w:eastAsiaTheme="minorEastAsia"/>
          <w:b/>
          <w:bCs/>
          <w:color w:val="auto"/>
          <w:sz w:val="24"/>
          <w:highlight w:val="none"/>
          <w:lang w:val="zh-CN"/>
        </w:rPr>
        <w:t>2.</w:t>
      </w:r>
      <w:bookmarkEnd w:id="96"/>
      <w:bookmarkEnd w:id="97"/>
      <w:bookmarkEnd w:id="98"/>
      <w:bookmarkEnd w:id="99"/>
      <w:bookmarkEnd w:id="100"/>
      <w:bookmarkEnd w:id="101"/>
      <w:bookmarkEnd w:id="102"/>
      <w:bookmarkEnd w:id="103"/>
      <w:r>
        <w:rPr>
          <w:rFonts w:hint="eastAsia" w:asciiTheme="minorEastAsia" w:hAnsiTheme="minorEastAsia" w:eastAsiaTheme="minorEastAsia"/>
          <w:b/>
          <w:bCs/>
          <w:color w:val="auto"/>
          <w:sz w:val="24"/>
          <w:highlight w:val="none"/>
          <w:lang w:val="zh-CN"/>
        </w:rPr>
        <w:t>5</w:t>
      </w:r>
      <w:r>
        <w:rPr>
          <w:rFonts w:asciiTheme="minorEastAsia" w:hAnsiTheme="minorEastAsia" w:eastAsiaTheme="minorEastAsia"/>
          <w:b/>
          <w:bCs/>
          <w:color w:val="auto"/>
          <w:sz w:val="24"/>
          <w:highlight w:val="none"/>
          <w:lang w:val="zh-CN"/>
        </w:rPr>
        <w:t xml:space="preserve"> </w:t>
      </w:r>
      <w:bookmarkEnd w:id="104"/>
      <w:bookmarkEnd w:id="105"/>
      <w:bookmarkEnd w:id="106"/>
      <w:bookmarkStart w:id="107" w:name="_Toc19219"/>
      <w:bookmarkStart w:id="108" w:name="_Ref467379807"/>
      <w:bookmarkStart w:id="109" w:name="_Toc7836"/>
      <w:bookmarkStart w:id="110" w:name="_Toc259093676"/>
      <w:bookmarkStart w:id="111" w:name="_Toc28451"/>
      <w:bookmarkStart w:id="112" w:name="_Ref467379793"/>
      <w:bookmarkStart w:id="113" w:name="_Toc279701247"/>
      <w:bookmarkStart w:id="114" w:name="_Toc487900357"/>
      <w:r>
        <w:rPr>
          <w:rFonts w:asciiTheme="minorEastAsia" w:hAnsiTheme="minorEastAsia" w:eastAsiaTheme="minorEastAsia"/>
          <w:b/>
          <w:bCs/>
          <w:color w:val="auto"/>
          <w:sz w:val="24"/>
          <w:highlight w:val="none"/>
          <w:lang w:val="zh-CN"/>
        </w:rPr>
        <w:t>结算方式和付款条件</w:t>
      </w:r>
      <w:bookmarkEnd w:id="107"/>
      <w:bookmarkEnd w:id="108"/>
      <w:bookmarkEnd w:id="109"/>
      <w:bookmarkEnd w:id="110"/>
      <w:bookmarkEnd w:id="111"/>
      <w:bookmarkEnd w:id="112"/>
      <w:bookmarkEnd w:id="113"/>
      <w:bookmarkEnd w:id="114"/>
    </w:p>
    <w:p w14:paraId="75096261">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662250CD">
      <w:pPr>
        <w:spacing w:line="360" w:lineRule="auto"/>
        <w:ind w:firstLine="437"/>
        <w:outlineLvl w:val="2"/>
        <w:rPr>
          <w:rFonts w:asciiTheme="minorEastAsia" w:hAnsiTheme="minorEastAsia" w:eastAsiaTheme="minorEastAsia"/>
          <w:b/>
          <w:bCs/>
          <w:color w:val="auto"/>
          <w:sz w:val="24"/>
          <w:highlight w:val="none"/>
          <w:lang w:val="zh-CN"/>
        </w:rPr>
      </w:pPr>
      <w:bookmarkStart w:id="115" w:name="_Toc487900358"/>
      <w:bookmarkStart w:id="116" w:name="_Ref467379863"/>
      <w:bookmarkStart w:id="117" w:name="_Toc259093677"/>
      <w:bookmarkStart w:id="118" w:name="_Ref467379852"/>
      <w:bookmarkStart w:id="119" w:name="_Ref467379923"/>
      <w:bookmarkStart w:id="120" w:name="_Toc279701248"/>
      <w:bookmarkStart w:id="121" w:name="_Toc3225"/>
      <w:bookmarkStart w:id="122" w:name="_Toc774"/>
      <w:bookmarkStart w:id="123" w:name="_Toc16110"/>
      <w:r>
        <w:rPr>
          <w:rFonts w:hint="eastAsia"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rPr>
        <w:t>6</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技术资料</w:t>
      </w:r>
      <w:bookmarkEnd w:id="115"/>
      <w:bookmarkEnd w:id="116"/>
      <w:bookmarkEnd w:id="117"/>
      <w:bookmarkEnd w:id="118"/>
      <w:bookmarkEnd w:id="119"/>
      <w:bookmarkEnd w:id="120"/>
      <w:r>
        <w:rPr>
          <w:rFonts w:asciiTheme="minorEastAsia" w:hAnsiTheme="minorEastAsia" w:eastAsiaTheme="minorEastAsia"/>
          <w:b/>
          <w:bCs/>
          <w:color w:val="auto"/>
          <w:sz w:val="24"/>
          <w:highlight w:val="none"/>
          <w:lang w:val="zh-CN"/>
        </w:rPr>
        <w:t>和保密义务</w:t>
      </w:r>
      <w:bookmarkEnd w:id="121"/>
      <w:bookmarkEnd w:id="122"/>
      <w:bookmarkEnd w:id="123"/>
    </w:p>
    <w:p w14:paraId="4FDF263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2.6.1乙方有权依据合同约定和项目需要，向甲方了解有关情况，调阅有关资料等，甲方应予积极配合；</w:t>
      </w:r>
    </w:p>
    <w:p w14:paraId="19E6E69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2.6.2乙方有义务妥善保管和保护由甲方提供的前款信息和资料等；</w:t>
      </w:r>
    </w:p>
    <w:p w14:paraId="3B626CC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D1146A1">
      <w:pPr>
        <w:spacing w:line="360" w:lineRule="auto"/>
        <w:ind w:firstLine="437"/>
        <w:outlineLvl w:val="2"/>
        <w:rPr>
          <w:rFonts w:asciiTheme="minorEastAsia" w:hAnsiTheme="minorEastAsia" w:eastAsiaTheme="minorEastAsia"/>
          <w:b/>
          <w:bCs/>
          <w:color w:val="auto"/>
          <w:sz w:val="24"/>
          <w:highlight w:val="none"/>
          <w:lang w:val="zh-CN"/>
        </w:rPr>
      </w:pPr>
      <w:bookmarkStart w:id="124" w:name="_Toc7860"/>
      <w:r>
        <w:rPr>
          <w:rFonts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rPr>
        <w:t>7</w:t>
      </w:r>
      <w:r>
        <w:rPr>
          <w:rFonts w:asciiTheme="minorEastAsia" w:hAnsiTheme="minorEastAsia" w:eastAsiaTheme="minorEastAsia"/>
          <w:b/>
          <w:bCs/>
          <w:color w:val="auto"/>
          <w:sz w:val="24"/>
          <w:highlight w:val="none"/>
          <w:lang w:val="zh-CN"/>
        </w:rPr>
        <w:t xml:space="preserve"> 质量保证</w:t>
      </w:r>
      <w:bookmarkEnd w:id="124"/>
    </w:p>
    <w:p w14:paraId="7F8E275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2.7.1乙方应建立和完善履行合同的内部质量保证体系，并提供相关内部规章制度给甲方，以便甲方进行监督检查；</w:t>
      </w:r>
    </w:p>
    <w:p w14:paraId="7071D5F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2.7.2乙方应保证履行合同的人员数量和素质、软件和硬件设备的配置、场地、环境和设施等满足全面履行合同的要求，并应接受甲方的监督检查。</w:t>
      </w:r>
    </w:p>
    <w:p w14:paraId="43323A5B">
      <w:pPr>
        <w:spacing w:line="360" w:lineRule="auto"/>
        <w:ind w:firstLine="437"/>
        <w:outlineLvl w:val="2"/>
        <w:rPr>
          <w:rFonts w:asciiTheme="minorEastAsia" w:hAnsiTheme="minorEastAsia" w:eastAsiaTheme="minorEastAsia"/>
          <w:b/>
          <w:bCs/>
          <w:color w:val="auto"/>
          <w:sz w:val="24"/>
          <w:highlight w:val="none"/>
          <w:lang w:val="zh-CN"/>
        </w:rPr>
      </w:pPr>
      <w:bookmarkStart w:id="125" w:name="_Toc17244"/>
      <w:bookmarkStart w:id="126" w:name="_Toc279701252"/>
      <w:bookmarkStart w:id="127" w:name="_Toc259093681"/>
      <w:bookmarkStart w:id="128" w:name="_Toc487900362"/>
      <w:r>
        <w:rPr>
          <w:rFonts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rPr>
        <w:t>8</w:t>
      </w:r>
      <w:r>
        <w:rPr>
          <w:rFonts w:asciiTheme="minorEastAsia" w:hAnsiTheme="minorEastAsia" w:eastAsiaTheme="minorEastAsia"/>
          <w:b/>
          <w:bCs/>
          <w:color w:val="auto"/>
          <w:sz w:val="24"/>
          <w:highlight w:val="none"/>
          <w:lang w:val="zh-CN"/>
        </w:rPr>
        <w:t xml:space="preserve"> </w:t>
      </w:r>
      <w:bookmarkEnd w:id="125"/>
      <w:bookmarkEnd w:id="126"/>
      <w:bookmarkEnd w:id="127"/>
      <w:bookmarkEnd w:id="128"/>
      <w:r>
        <w:rPr>
          <w:rFonts w:hint="eastAsia" w:asciiTheme="minorEastAsia" w:hAnsiTheme="minorEastAsia" w:eastAsiaTheme="minorEastAsia"/>
          <w:b/>
          <w:bCs/>
          <w:color w:val="auto"/>
          <w:sz w:val="24"/>
          <w:highlight w:val="none"/>
          <w:lang w:val="zh-CN"/>
        </w:rPr>
        <w:t>延迟履行</w:t>
      </w:r>
    </w:p>
    <w:p w14:paraId="372A52A7">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在</w:t>
      </w:r>
      <w:r>
        <w:rPr>
          <w:rFonts w:hint="eastAsia" w:asciiTheme="minorEastAsia" w:hAnsiTheme="minorEastAsia" w:eastAsiaTheme="minorEastAsia"/>
          <w:color w:val="auto"/>
          <w:sz w:val="24"/>
          <w:highlight w:val="none"/>
        </w:rPr>
        <w:t>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r>
        <w:rPr>
          <w:rFonts w:asciiTheme="minorEastAsia" w:hAnsiTheme="minorEastAsia" w:eastAsiaTheme="minorEastAsia"/>
          <w:color w:val="auto"/>
          <w:sz w:val="24"/>
          <w:highlight w:val="none"/>
        </w:rPr>
        <w:t>。</w:t>
      </w:r>
    </w:p>
    <w:p w14:paraId="0DEF25B9">
      <w:pPr>
        <w:spacing w:line="360" w:lineRule="auto"/>
        <w:ind w:firstLine="437"/>
        <w:outlineLvl w:val="2"/>
        <w:rPr>
          <w:rFonts w:asciiTheme="minorEastAsia" w:hAnsiTheme="minorEastAsia" w:eastAsiaTheme="minorEastAsia"/>
          <w:b/>
          <w:bCs/>
          <w:color w:val="auto"/>
          <w:sz w:val="24"/>
          <w:highlight w:val="none"/>
          <w:lang w:val="zh-CN"/>
        </w:rPr>
      </w:pPr>
      <w:bookmarkStart w:id="129" w:name="_Toc7502"/>
      <w:bookmarkStart w:id="130" w:name="_Toc279701254"/>
      <w:bookmarkStart w:id="131" w:name="_Toc487900364"/>
      <w:bookmarkStart w:id="132" w:name="_Ref467378121"/>
      <w:bookmarkStart w:id="133" w:name="_Toc259093683"/>
      <w:r>
        <w:rPr>
          <w:rFonts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rPr>
        <w:t>9</w:t>
      </w:r>
      <w:r>
        <w:rPr>
          <w:rFonts w:asciiTheme="minorEastAsia" w:hAnsiTheme="minorEastAsia" w:eastAsiaTheme="minorEastAsia"/>
          <w:b/>
          <w:bCs/>
          <w:color w:val="auto"/>
          <w:sz w:val="24"/>
          <w:highlight w:val="none"/>
          <w:lang w:val="zh-CN"/>
        </w:rPr>
        <w:t xml:space="preserve"> 合同变更</w:t>
      </w:r>
      <w:bookmarkEnd w:id="129"/>
    </w:p>
    <w:p w14:paraId="43445E2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2.9.1双方当事人协商一致，可以签订书面补充合同的形式变更合同，但不得违背采购文件确定的事项；</w:t>
      </w:r>
    </w:p>
    <w:p w14:paraId="5774C11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2.9.2合同继续履行将损害国家利益和社会公共利益的，双方当事人应当以书面形式变更合同。有过错的一方应当承担赔偿责任，双方当事人都有过错的，各自承担相应的责任。</w:t>
      </w:r>
      <w:bookmarkStart w:id="134" w:name="_Toc279701259"/>
      <w:bookmarkStart w:id="135" w:name="_Toc259093688"/>
      <w:bookmarkStart w:id="136" w:name="_Toc487900369"/>
    </w:p>
    <w:p w14:paraId="3D340AEA">
      <w:pPr>
        <w:spacing w:line="360" w:lineRule="auto"/>
        <w:ind w:firstLine="437"/>
        <w:outlineLvl w:val="2"/>
        <w:rPr>
          <w:rFonts w:asciiTheme="minorEastAsia" w:hAnsiTheme="minorEastAsia" w:eastAsiaTheme="minorEastAsia"/>
          <w:b/>
          <w:bCs/>
          <w:color w:val="auto"/>
          <w:sz w:val="24"/>
          <w:highlight w:val="none"/>
          <w:lang w:val="zh-CN"/>
        </w:rPr>
      </w:pPr>
      <w:bookmarkStart w:id="137" w:name="_Toc10366"/>
      <w:bookmarkStart w:id="138" w:name="_Toc15237"/>
      <w:bookmarkStart w:id="139" w:name="_Toc22955"/>
      <w:r>
        <w:rPr>
          <w:rFonts w:hint="eastAsia" w:asciiTheme="minorEastAsia" w:hAnsiTheme="minorEastAsia" w:eastAsiaTheme="minorEastAsia"/>
          <w:b/>
          <w:bCs/>
          <w:color w:val="auto"/>
          <w:sz w:val="24"/>
          <w:highlight w:val="none"/>
          <w:lang w:val="zh-CN"/>
        </w:rPr>
        <w:t>2.1</w:t>
      </w:r>
      <w:r>
        <w:rPr>
          <w:rFonts w:hint="eastAsia" w:asciiTheme="minorEastAsia" w:hAnsiTheme="minorEastAsia" w:eastAsiaTheme="minorEastAsia"/>
          <w:b/>
          <w:bCs/>
          <w:color w:val="auto"/>
          <w:sz w:val="24"/>
          <w:highlight w:val="none"/>
        </w:rPr>
        <w:t>0</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合同转让</w:t>
      </w:r>
      <w:bookmarkEnd w:id="134"/>
      <w:bookmarkEnd w:id="135"/>
      <w:bookmarkEnd w:id="136"/>
      <w:r>
        <w:rPr>
          <w:rFonts w:asciiTheme="minorEastAsia" w:hAnsiTheme="minorEastAsia" w:eastAsiaTheme="minorEastAsia"/>
          <w:b/>
          <w:bCs/>
          <w:color w:val="auto"/>
          <w:sz w:val="24"/>
          <w:highlight w:val="none"/>
          <w:lang w:val="zh-CN"/>
        </w:rPr>
        <w:t>和分包</w:t>
      </w:r>
      <w:bookmarkEnd w:id="137"/>
      <w:bookmarkEnd w:id="138"/>
      <w:bookmarkEnd w:id="139"/>
    </w:p>
    <w:p w14:paraId="30CE21CF">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w:t>
      </w:r>
      <w:r>
        <w:rPr>
          <w:rFonts w:hint="eastAsia" w:asciiTheme="minorEastAsia" w:hAnsiTheme="minorEastAsia" w:eastAsiaTheme="minorEastAsia"/>
          <w:color w:val="auto"/>
          <w:sz w:val="24"/>
          <w:highlight w:val="none"/>
        </w:rPr>
        <w:t>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5372010">
      <w:pPr>
        <w:spacing w:line="360" w:lineRule="auto"/>
        <w:ind w:firstLine="437"/>
        <w:outlineLvl w:val="2"/>
        <w:rPr>
          <w:rFonts w:asciiTheme="minorEastAsia" w:hAnsiTheme="minorEastAsia" w:eastAsiaTheme="minorEastAsia"/>
          <w:b/>
          <w:bCs/>
          <w:color w:val="auto"/>
          <w:sz w:val="24"/>
          <w:highlight w:val="none"/>
          <w:lang w:val="zh-CN"/>
        </w:rPr>
      </w:pPr>
      <w:bookmarkStart w:id="140" w:name="_Toc13566"/>
      <w:bookmarkStart w:id="141" w:name="_Toc16508"/>
      <w:bookmarkStart w:id="142" w:name="_Toc14066"/>
      <w:r>
        <w:rPr>
          <w:rFonts w:hint="eastAsia" w:asciiTheme="minorEastAsia" w:hAnsiTheme="minorEastAsia" w:eastAsiaTheme="minorEastAsia"/>
          <w:b/>
          <w:bCs/>
          <w:color w:val="auto"/>
          <w:sz w:val="24"/>
          <w:highlight w:val="none"/>
          <w:lang w:val="zh-CN"/>
        </w:rPr>
        <w:t>2.1</w:t>
      </w:r>
      <w:r>
        <w:rPr>
          <w:rFonts w:hint="eastAsia" w:asciiTheme="minorEastAsia" w:hAnsiTheme="minorEastAsia" w:eastAsiaTheme="minorEastAsia"/>
          <w:b/>
          <w:bCs/>
          <w:color w:val="auto"/>
          <w:sz w:val="24"/>
          <w:highlight w:val="none"/>
        </w:rPr>
        <w:t>1</w:t>
      </w:r>
      <w:r>
        <w:rPr>
          <w:rFonts w:asciiTheme="minorEastAsia" w:hAnsiTheme="minorEastAsia" w:eastAsiaTheme="minorEastAsia"/>
          <w:b/>
          <w:bCs/>
          <w:color w:val="auto"/>
          <w:sz w:val="24"/>
          <w:highlight w:val="none"/>
          <w:lang w:val="zh-CN"/>
        </w:rPr>
        <w:t xml:space="preserve"> 不可抗力</w:t>
      </w:r>
      <w:bookmarkEnd w:id="140"/>
      <w:bookmarkEnd w:id="141"/>
      <w:bookmarkEnd w:id="142"/>
    </w:p>
    <w:p w14:paraId="2B22B4A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2.11.1如果任何一方遭遇法律规定的不可抗力，致使合同履行受阻时，履行合同的期限应予延长，延长的期限应相当于不可抗力所影响的时间；</w:t>
      </w:r>
    </w:p>
    <w:p w14:paraId="43FC8E5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2.11.2因不可抗力致使不能实现合同目的的，当事人可以解除合同；</w:t>
      </w:r>
    </w:p>
    <w:p w14:paraId="38D289A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2.11.3因</w:t>
      </w:r>
      <w:r>
        <w:rPr>
          <w:rFonts w:asciiTheme="minorEastAsia" w:hAnsiTheme="minorEastAsia" w:eastAsiaTheme="minorEastAsia"/>
          <w:color w:val="auto"/>
          <w:sz w:val="24"/>
          <w:highlight w:val="none"/>
        </w:rPr>
        <w:t>不可抗力致使合同有变更必要的，双方当事人应在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约定时间内以书面形式变更合同</w:t>
      </w:r>
      <w:r>
        <w:rPr>
          <w:rFonts w:hint="eastAsia" w:asciiTheme="minorEastAsia" w:hAnsiTheme="minorEastAsia" w:eastAsiaTheme="minorEastAsia"/>
          <w:color w:val="auto"/>
          <w:sz w:val="24"/>
          <w:highlight w:val="none"/>
        </w:rPr>
        <w:t>；</w:t>
      </w:r>
    </w:p>
    <w:p w14:paraId="03F1274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受</w:t>
      </w:r>
      <w:r>
        <w:rPr>
          <w:rFonts w:hint="eastAsia" w:asciiTheme="minorEastAsia" w:hAnsiTheme="minorEastAsia" w:eastAsiaTheme="minorEastAsia"/>
          <w:color w:val="auto"/>
          <w:sz w:val="24"/>
          <w:highlight w:val="none"/>
        </w:rPr>
        <w:t>不可抗力</w:t>
      </w:r>
      <w:r>
        <w:rPr>
          <w:rFonts w:asciiTheme="minorEastAsia" w:hAnsiTheme="minorEastAsia" w:eastAsiaTheme="minorEastAsia"/>
          <w:color w:val="auto"/>
          <w:sz w:val="24"/>
          <w:highlight w:val="none"/>
        </w:rPr>
        <w:t>影响的一方在不可抗力发生后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约定时间内以书面形式通知</w:t>
      </w:r>
      <w:r>
        <w:rPr>
          <w:rFonts w:hint="eastAsia" w:asciiTheme="minorEastAsia" w:hAnsiTheme="minorEastAsia" w:eastAsiaTheme="minorEastAsia"/>
          <w:color w:val="auto"/>
          <w:sz w:val="24"/>
          <w:highlight w:val="none"/>
        </w:rPr>
        <w:t>对</w:t>
      </w:r>
      <w:r>
        <w:rPr>
          <w:rFonts w:asciiTheme="minorEastAsia" w:hAnsiTheme="minorEastAsia" w:eastAsiaTheme="minorEastAsia"/>
          <w:color w:val="auto"/>
          <w:sz w:val="24"/>
          <w:highlight w:val="none"/>
        </w:rPr>
        <w:t>方当事人，并在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约定时间内，将有关部门出具的证明文件送达</w:t>
      </w:r>
      <w:r>
        <w:rPr>
          <w:rFonts w:hint="eastAsia" w:asciiTheme="minorEastAsia" w:hAnsiTheme="minorEastAsia" w:eastAsiaTheme="minorEastAsia"/>
          <w:color w:val="auto"/>
          <w:sz w:val="24"/>
          <w:highlight w:val="none"/>
        </w:rPr>
        <w:t>对方当事人</w:t>
      </w:r>
      <w:r>
        <w:rPr>
          <w:rFonts w:asciiTheme="minorEastAsia" w:hAnsiTheme="minorEastAsia" w:eastAsiaTheme="minorEastAsia"/>
          <w:color w:val="auto"/>
          <w:sz w:val="24"/>
          <w:highlight w:val="none"/>
        </w:rPr>
        <w:t>。</w:t>
      </w:r>
    </w:p>
    <w:p w14:paraId="3D1C87A8">
      <w:pPr>
        <w:spacing w:line="360" w:lineRule="auto"/>
        <w:ind w:firstLine="437"/>
        <w:outlineLvl w:val="2"/>
        <w:rPr>
          <w:rFonts w:asciiTheme="minorEastAsia" w:hAnsiTheme="minorEastAsia" w:eastAsiaTheme="minorEastAsia"/>
          <w:b/>
          <w:bCs/>
          <w:color w:val="auto"/>
          <w:sz w:val="24"/>
          <w:highlight w:val="none"/>
          <w:lang w:val="zh-CN"/>
        </w:rPr>
      </w:pPr>
      <w:bookmarkStart w:id="143" w:name="_Toc30676"/>
      <w:bookmarkStart w:id="144" w:name="_Toc259093684"/>
      <w:bookmarkStart w:id="145" w:name="_Toc279701255"/>
      <w:bookmarkStart w:id="146" w:name="_Toc689"/>
      <w:bookmarkStart w:id="147" w:name="_Toc6969"/>
      <w:bookmarkStart w:id="148" w:name="_Toc487900365"/>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rPr>
        <w:t>2</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税费</w:t>
      </w:r>
      <w:bookmarkEnd w:id="143"/>
      <w:bookmarkEnd w:id="144"/>
      <w:bookmarkEnd w:id="145"/>
      <w:bookmarkEnd w:id="146"/>
      <w:bookmarkEnd w:id="147"/>
      <w:bookmarkEnd w:id="148"/>
    </w:p>
    <w:p w14:paraId="16ACA012">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与</w:t>
      </w:r>
      <w:r>
        <w:rPr>
          <w:rFonts w:hint="eastAsia" w:asciiTheme="minorEastAsia" w:hAnsiTheme="minorEastAsia" w:eastAsiaTheme="minorEastAsia"/>
          <w:color w:val="auto"/>
          <w:sz w:val="24"/>
          <w:highlight w:val="none"/>
        </w:rPr>
        <w:t>合同有关的一切税费，均按照中华人民共和国法律的相关规定缴纳</w:t>
      </w:r>
      <w:r>
        <w:rPr>
          <w:rFonts w:asciiTheme="minorEastAsia" w:hAnsiTheme="minorEastAsia" w:eastAsiaTheme="minorEastAsia"/>
          <w:color w:val="auto"/>
          <w:sz w:val="24"/>
          <w:highlight w:val="none"/>
        </w:rPr>
        <w:t>。</w:t>
      </w:r>
    </w:p>
    <w:p w14:paraId="16131705">
      <w:pPr>
        <w:spacing w:line="360" w:lineRule="auto"/>
        <w:ind w:firstLine="437"/>
        <w:outlineLvl w:val="2"/>
        <w:rPr>
          <w:rFonts w:asciiTheme="minorEastAsia" w:hAnsiTheme="minorEastAsia" w:eastAsiaTheme="minorEastAsia"/>
          <w:b/>
          <w:bCs/>
          <w:color w:val="auto"/>
          <w:sz w:val="24"/>
          <w:highlight w:val="none"/>
          <w:lang w:val="zh-CN"/>
        </w:rPr>
      </w:pPr>
      <w:bookmarkStart w:id="149" w:name="_Toc8298"/>
      <w:bookmarkStart w:id="150" w:name="_Toc279701258"/>
      <w:bookmarkStart w:id="151" w:name="_Toc259093687"/>
      <w:bookmarkStart w:id="152" w:name="_Toc7102"/>
      <w:bookmarkStart w:id="153" w:name="_Toc16959"/>
      <w:bookmarkStart w:id="154" w:name="_Toc487900368"/>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rPr>
        <w:t>3</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乙方破产</w:t>
      </w:r>
      <w:bookmarkEnd w:id="149"/>
      <w:bookmarkEnd w:id="150"/>
      <w:bookmarkEnd w:id="151"/>
      <w:bookmarkEnd w:id="152"/>
      <w:bookmarkEnd w:id="153"/>
      <w:bookmarkEnd w:id="154"/>
    </w:p>
    <w:p w14:paraId="57D0B191">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w:t>
      </w:r>
      <w:r>
        <w:rPr>
          <w:rFonts w:hint="eastAsia" w:asciiTheme="minorEastAsia" w:hAnsiTheme="minorEastAsia" w:eastAsiaTheme="minorEastAsia"/>
          <w:color w:val="auto"/>
          <w:sz w:val="24"/>
          <w:highlight w:val="none"/>
        </w:rPr>
        <w:t>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3EE74EB">
      <w:pPr>
        <w:spacing w:line="360" w:lineRule="auto"/>
        <w:ind w:firstLine="437"/>
        <w:outlineLvl w:val="2"/>
        <w:rPr>
          <w:rFonts w:asciiTheme="minorEastAsia" w:hAnsiTheme="minorEastAsia" w:eastAsiaTheme="minorEastAsia"/>
          <w:b/>
          <w:color w:val="auto"/>
          <w:sz w:val="24"/>
          <w:highlight w:val="none"/>
        </w:rPr>
      </w:pPr>
      <w:bookmarkStart w:id="155" w:name="_Toc29333"/>
      <w:bookmarkStart w:id="156" w:name="_Toc15387"/>
      <w:bookmarkStart w:id="157" w:name="_Toc6134"/>
      <w:r>
        <w:rPr>
          <w:rFonts w:hint="eastAsia" w:asciiTheme="minorEastAsia" w:hAnsiTheme="minorEastAsia" w:eastAsiaTheme="minorEastAsia"/>
          <w:b/>
          <w:bCs/>
          <w:color w:val="auto"/>
          <w:sz w:val="24"/>
          <w:highlight w:val="none"/>
          <w:lang w:val="zh-CN"/>
        </w:rPr>
        <w:t>2.1</w:t>
      </w:r>
      <w:r>
        <w:rPr>
          <w:rFonts w:hint="eastAsia" w:asciiTheme="minorEastAsia" w:hAnsiTheme="minorEastAsia" w:eastAsiaTheme="minorEastAsia"/>
          <w:b/>
          <w:bCs/>
          <w:color w:val="auto"/>
          <w:sz w:val="24"/>
          <w:highlight w:val="none"/>
        </w:rPr>
        <w:t>4</w:t>
      </w:r>
      <w:r>
        <w:rPr>
          <w:rFonts w:hint="eastAsia" w:asciiTheme="minorEastAsia" w:hAnsiTheme="minorEastAsia" w:eastAsiaTheme="minorEastAsia"/>
          <w:b/>
          <w:bCs/>
          <w:color w:val="auto"/>
          <w:sz w:val="24"/>
          <w:highlight w:val="none"/>
          <w:lang w:val="zh-CN"/>
        </w:rPr>
        <w:t xml:space="preserve"> 合同中止、终止</w:t>
      </w:r>
      <w:bookmarkEnd w:id="155"/>
      <w:bookmarkEnd w:id="156"/>
      <w:bookmarkEnd w:id="157"/>
    </w:p>
    <w:p w14:paraId="45983CF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2.14.1双方当事人不得擅自中止或者终止合同；</w:t>
      </w:r>
    </w:p>
    <w:p w14:paraId="4A46B08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15380C9">
      <w:pPr>
        <w:spacing w:line="360" w:lineRule="auto"/>
        <w:ind w:firstLine="437"/>
        <w:outlineLvl w:val="2"/>
        <w:rPr>
          <w:rFonts w:asciiTheme="minorEastAsia" w:hAnsiTheme="minorEastAsia" w:eastAsiaTheme="minorEastAsia"/>
          <w:b/>
          <w:bCs/>
          <w:color w:val="auto"/>
          <w:sz w:val="24"/>
          <w:highlight w:val="none"/>
          <w:lang w:val="zh-CN"/>
        </w:rPr>
      </w:pPr>
      <w:bookmarkStart w:id="158" w:name="_Toc14563"/>
      <w:bookmarkStart w:id="159" w:name="_Toc6596"/>
      <w:bookmarkStart w:id="160" w:name="_Toc1125"/>
      <w:r>
        <w:rPr>
          <w:rFonts w:hint="eastAsia" w:asciiTheme="minorEastAsia" w:hAnsiTheme="minorEastAsia" w:eastAsiaTheme="minorEastAsia"/>
          <w:b/>
          <w:bCs/>
          <w:color w:val="auto"/>
          <w:sz w:val="24"/>
          <w:highlight w:val="none"/>
          <w:lang w:val="zh-CN"/>
        </w:rPr>
        <w:t>2.1</w:t>
      </w:r>
      <w:r>
        <w:rPr>
          <w:rFonts w:hint="eastAsia" w:asciiTheme="minorEastAsia" w:hAnsiTheme="minorEastAsia" w:eastAsiaTheme="minorEastAsia"/>
          <w:b/>
          <w:bCs/>
          <w:color w:val="auto"/>
          <w:sz w:val="24"/>
          <w:highlight w:val="none"/>
        </w:rPr>
        <w:t>5</w:t>
      </w:r>
      <w:r>
        <w:rPr>
          <w:rFonts w:hint="eastAsia" w:asciiTheme="minorEastAsia" w:hAnsiTheme="minorEastAsia" w:eastAsiaTheme="minorEastAsia"/>
          <w:b/>
          <w:bCs/>
          <w:color w:val="auto"/>
          <w:sz w:val="24"/>
          <w:highlight w:val="none"/>
          <w:lang w:val="zh-CN"/>
        </w:rPr>
        <w:t xml:space="preserve"> 检验和验收</w:t>
      </w:r>
      <w:bookmarkEnd w:id="158"/>
      <w:bookmarkEnd w:id="159"/>
      <w:bookmarkEnd w:id="160"/>
    </w:p>
    <w:p w14:paraId="7BB3DE1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1乙方按照</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的约定，定期提交服务报告，甲方按照</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的约定进行定期验收；</w:t>
      </w:r>
    </w:p>
    <w:p w14:paraId="56541FF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394A01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2.15.3检验和验收标准、程序等具体内容以及前述验收书的效力详见</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i/>
          <w:color w:val="auto"/>
          <w:sz w:val="24"/>
          <w:highlight w:val="none"/>
        </w:rPr>
        <w:t>。</w:t>
      </w:r>
    </w:p>
    <w:bookmarkEnd w:id="130"/>
    <w:bookmarkEnd w:id="131"/>
    <w:bookmarkEnd w:id="132"/>
    <w:bookmarkEnd w:id="133"/>
    <w:p w14:paraId="65EBD324">
      <w:pPr>
        <w:spacing w:line="360" w:lineRule="auto"/>
        <w:ind w:firstLine="437"/>
        <w:outlineLvl w:val="2"/>
        <w:rPr>
          <w:rFonts w:asciiTheme="minorEastAsia" w:hAnsiTheme="minorEastAsia" w:eastAsiaTheme="minorEastAsia"/>
          <w:b/>
          <w:bCs/>
          <w:color w:val="auto"/>
          <w:sz w:val="24"/>
          <w:highlight w:val="none"/>
        </w:rPr>
      </w:pPr>
      <w:bookmarkStart w:id="161" w:name="_Toc18540"/>
      <w:bookmarkStart w:id="162" w:name="_Toc259093691"/>
      <w:bookmarkStart w:id="163" w:name="_Toc279701262"/>
      <w:bookmarkStart w:id="164" w:name="_Toc487900372"/>
      <w:bookmarkStart w:id="165" w:name="_Toc30599"/>
      <w:bookmarkStart w:id="166" w:name="_Toc4355"/>
      <w:r>
        <w:rPr>
          <w:rFonts w:hint="eastAsia" w:asciiTheme="minorEastAsia" w:hAnsiTheme="minorEastAsia" w:eastAsiaTheme="minorEastAsia"/>
          <w:b/>
          <w:bCs/>
          <w:color w:val="auto"/>
          <w:sz w:val="24"/>
          <w:highlight w:val="none"/>
        </w:rPr>
        <w:t>2.1</w:t>
      </w:r>
      <w:bookmarkEnd w:id="161"/>
      <w:bookmarkEnd w:id="162"/>
      <w:bookmarkEnd w:id="163"/>
      <w:bookmarkEnd w:id="164"/>
      <w:bookmarkEnd w:id="165"/>
      <w:bookmarkEnd w:id="166"/>
      <w:bookmarkStart w:id="167" w:name="_Toc18567"/>
      <w:bookmarkStart w:id="168" w:name="_Toc12773"/>
      <w:bookmarkStart w:id="169" w:name="_Toc279701263"/>
      <w:bookmarkStart w:id="170" w:name="_Toc487900373"/>
      <w:bookmarkStart w:id="171" w:name="_Toc259093692"/>
      <w:bookmarkStart w:id="172" w:name="_Toc10330"/>
      <w:r>
        <w:rPr>
          <w:rFonts w:hint="eastAsia" w:asciiTheme="minorEastAsia" w:hAnsiTheme="minorEastAsia" w:eastAsiaTheme="minorEastAsia"/>
          <w:b/>
          <w:bCs/>
          <w:color w:val="auto"/>
          <w:sz w:val="24"/>
          <w:highlight w:val="none"/>
        </w:rPr>
        <w:t xml:space="preserve">6 </w:t>
      </w:r>
      <w:r>
        <w:rPr>
          <w:rFonts w:hint="eastAsia" w:asciiTheme="minorEastAsia" w:hAnsiTheme="minorEastAsia" w:eastAsiaTheme="minorEastAsia"/>
          <w:b/>
          <w:bCs/>
          <w:color w:val="auto"/>
          <w:sz w:val="24"/>
          <w:highlight w:val="none"/>
          <w:lang w:val="zh-CN"/>
        </w:rPr>
        <w:t>合同使用的文字和</w:t>
      </w:r>
      <w:r>
        <w:rPr>
          <w:rFonts w:asciiTheme="minorEastAsia" w:hAnsiTheme="minorEastAsia" w:eastAsiaTheme="minorEastAsia"/>
          <w:b/>
          <w:bCs/>
          <w:color w:val="auto"/>
          <w:sz w:val="24"/>
          <w:highlight w:val="none"/>
          <w:lang w:val="zh-CN"/>
        </w:rPr>
        <w:t>适用的法律</w:t>
      </w:r>
      <w:bookmarkEnd w:id="167"/>
      <w:bookmarkEnd w:id="168"/>
      <w:bookmarkEnd w:id="169"/>
      <w:bookmarkEnd w:id="170"/>
      <w:bookmarkEnd w:id="171"/>
      <w:bookmarkEnd w:id="172"/>
    </w:p>
    <w:p w14:paraId="20E9F33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2.16.1合同使用汉语书就、变更和解释；</w:t>
      </w:r>
    </w:p>
    <w:p w14:paraId="6A2D77B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2.16.2合同适用中华人民共和国法律</w:t>
      </w:r>
      <w:r>
        <w:rPr>
          <w:rFonts w:asciiTheme="minorEastAsia" w:hAnsiTheme="minorEastAsia" w:eastAsiaTheme="minorEastAsia"/>
          <w:color w:val="auto"/>
          <w:sz w:val="24"/>
          <w:highlight w:val="none"/>
        </w:rPr>
        <w:t>。</w:t>
      </w:r>
    </w:p>
    <w:p w14:paraId="559C1741">
      <w:pPr>
        <w:spacing w:line="360" w:lineRule="auto"/>
        <w:ind w:firstLine="437"/>
        <w:outlineLvl w:val="2"/>
        <w:rPr>
          <w:rFonts w:asciiTheme="minorEastAsia" w:hAnsiTheme="minorEastAsia" w:eastAsiaTheme="minorEastAsia"/>
          <w:b/>
          <w:color w:val="auto"/>
          <w:sz w:val="24"/>
          <w:highlight w:val="none"/>
        </w:rPr>
      </w:pPr>
      <w:bookmarkStart w:id="173" w:name="_Toc3148"/>
      <w:bookmarkStart w:id="174" w:name="_Toc16673"/>
      <w:bookmarkStart w:id="175" w:name="_Toc12004"/>
      <w:bookmarkStart w:id="176" w:name="_Toc279701264"/>
      <w:bookmarkStart w:id="177" w:name="_Toc259093693"/>
      <w:bookmarkStart w:id="178" w:name="_Toc487900374"/>
      <w:r>
        <w:rPr>
          <w:rFonts w:hint="eastAsia"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rPr>
        <w:t>17</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履约保证金</w:t>
      </w:r>
      <w:bookmarkEnd w:id="173"/>
      <w:bookmarkEnd w:id="174"/>
      <w:bookmarkEnd w:id="175"/>
      <w:bookmarkEnd w:id="176"/>
      <w:bookmarkEnd w:id="177"/>
    </w:p>
    <w:p w14:paraId="70FF906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2.17.1采购文件要求乙方提交履约保证金的，乙方</w:t>
      </w:r>
      <w:r>
        <w:rPr>
          <w:rFonts w:asciiTheme="minorEastAsia" w:hAnsiTheme="minorEastAsia" w:eastAsiaTheme="minorEastAsia"/>
          <w:color w:val="auto"/>
          <w:sz w:val="24"/>
          <w:highlight w:val="none"/>
        </w:rPr>
        <w:t>应按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约定的方式</w:t>
      </w:r>
      <w:r>
        <w:rPr>
          <w:rFonts w:hint="eastAsia" w:asciiTheme="minorEastAsia" w:hAnsiTheme="minorEastAsia" w:eastAsiaTheme="minorEastAsia"/>
          <w:color w:val="auto"/>
          <w:sz w:val="24"/>
          <w:highlight w:val="none"/>
        </w:rPr>
        <w:t>，以支票、汇票、本票或者金融机构、担保机构出具的保函等非现金形式提交；</w:t>
      </w:r>
    </w:p>
    <w:p w14:paraId="509240B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w:t>
      </w:r>
      <w:r>
        <w:rPr>
          <w:rFonts w:asciiTheme="minorEastAsia" w:hAnsiTheme="minorEastAsia" w:eastAsiaTheme="minorEastAsia"/>
          <w:color w:val="auto"/>
          <w:sz w:val="24"/>
          <w:highlight w:val="none"/>
        </w:rPr>
        <w:t>.2</w:t>
      </w:r>
      <w:r>
        <w:rPr>
          <w:rFonts w:cs="Times New Roman" w:asciiTheme="minorEastAsia" w:hAnsiTheme="minorEastAsia" w:eastAsiaTheme="minorEastAsia"/>
          <w:color w:val="auto"/>
          <w:sz w:val="24"/>
          <w:szCs w:val="24"/>
          <w:highlight w:val="none"/>
        </w:rPr>
        <w:t>履约保证金在</w:t>
      </w:r>
      <w:r>
        <w:rPr>
          <w:rFonts w:cs="Times New Roman" w:asciiTheme="minorEastAsia" w:hAnsiTheme="minorEastAsia" w:eastAsiaTheme="minorEastAsia"/>
          <w:b/>
          <w:i/>
          <w:color w:val="auto"/>
          <w:sz w:val="24"/>
          <w:szCs w:val="24"/>
          <w:highlight w:val="none"/>
          <w:u w:val="single"/>
        </w:rPr>
        <w:t>合同专用条款</w:t>
      </w:r>
      <w:r>
        <w:rPr>
          <w:rFonts w:cs="Times New Roman" w:asciiTheme="minorEastAsia" w:hAnsiTheme="minorEastAsia" w:eastAsiaTheme="minorEastAsia"/>
          <w:color w:val="auto"/>
          <w:sz w:val="24"/>
          <w:szCs w:val="24"/>
          <w:highlight w:val="none"/>
        </w:rPr>
        <w:t>约定期间内不予退还或者应完全有效</w:t>
      </w:r>
      <w:r>
        <w:rPr>
          <w:rFonts w:hint="eastAsia" w:cs="Times New Roman" w:asciiTheme="minorEastAsia" w:hAnsiTheme="minorEastAsia" w:eastAsiaTheme="minorEastAsia"/>
          <w:color w:val="auto"/>
          <w:sz w:val="24"/>
          <w:szCs w:val="24"/>
          <w:highlight w:val="none"/>
        </w:rPr>
        <w:t>，前述约定期间届满</w:t>
      </w:r>
      <w:r>
        <w:rPr>
          <w:rFonts w:cs="Times New Roman" w:asciiTheme="minorEastAsia" w:hAnsiTheme="minorEastAsia" w:eastAsiaTheme="minorEastAsia"/>
          <w:color w:val="auto"/>
          <w:sz w:val="24"/>
          <w:szCs w:val="24"/>
          <w:highlight w:val="none"/>
        </w:rPr>
        <w:t>之日起</w:t>
      </w:r>
      <w:r>
        <w:rPr>
          <w:rFonts w:hint="eastAsia" w:cs="Times New Roman" w:asciiTheme="minorEastAsia" w:hAnsiTheme="minorEastAsia" w:eastAsiaTheme="minorEastAsia"/>
          <w:color w:val="auto"/>
          <w:sz w:val="24"/>
          <w:szCs w:val="24"/>
          <w:highlight w:val="none"/>
          <w:u w:val="single"/>
        </w:rPr>
        <w:t xml:space="preserve">  </w:t>
      </w:r>
      <w:r>
        <w:rPr>
          <w:rFonts w:hint="eastAsia" w:cs="Times New Roman" w:asciiTheme="minorEastAsia" w:hAnsiTheme="minorEastAsia" w:eastAsiaTheme="minorEastAsia"/>
          <w:color w:val="auto"/>
          <w:sz w:val="24"/>
          <w:szCs w:val="24"/>
          <w:highlight w:val="none"/>
        </w:rPr>
        <w:t>个</w:t>
      </w:r>
      <w:r>
        <w:rPr>
          <w:rFonts w:cs="Times New Roman" w:asciiTheme="minorEastAsia" w:hAnsiTheme="minorEastAsia" w:eastAsiaTheme="minorEastAsia"/>
          <w:color w:val="auto"/>
          <w:sz w:val="24"/>
          <w:szCs w:val="24"/>
          <w:highlight w:val="none"/>
        </w:rPr>
        <w:t>工作日内，甲方应将履约保证金退还乙方</w:t>
      </w:r>
      <w:r>
        <w:rPr>
          <w:rFonts w:hint="eastAsia" w:cs="Times New Roman" w:asciiTheme="minorEastAsia" w:hAnsiTheme="minorEastAsia" w:eastAsiaTheme="minorEastAsia"/>
          <w:color w:val="auto"/>
          <w:sz w:val="24"/>
          <w:szCs w:val="24"/>
          <w:highlight w:val="none"/>
        </w:rPr>
        <w:t>，甲方逾期退还履约保证金应承担违约责任。</w:t>
      </w:r>
    </w:p>
    <w:p w14:paraId="2939546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78"/>
    <w:p w14:paraId="5DD154DF">
      <w:pPr>
        <w:spacing w:line="360" w:lineRule="auto"/>
        <w:ind w:firstLine="437"/>
        <w:outlineLvl w:val="2"/>
        <w:rPr>
          <w:rFonts w:asciiTheme="minorEastAsia" w:hAnsiTheme="minorEastAsia" w:eastAsiaTheme="minorEastAsia"/>
          <w:b/>
          <w:color w:val="auto"/>
          <w:sz w:val="24"/>
          <w:highlight w:val="none"/>
        </w:rPr>
      </w:pPr>
      <w:bookmarkStart w:id="179" w:name="_Toc6885"/>
      <w:bookmarkStart w:id="180" w:name="_Toc19890"/>
      <w:bookmarkStart w:id="181" w:name="_Toc14001"/>
      <w:r>
        <w:rPr>
          <w:rFonts w:hint="eastAsia"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rPr>
        <w:t>18</w:t>
      </w:r>
      <w:r>
        <w:rPr>
          <w:rFonts w:hint="eastAsia" w:asciiTheme="minorEastAsia" w:hAnsiTheme="minorEastAsia" w:eastAsiaTheme="minorEastAsia"/>
          <w:b/>
          <w:bCs/>
          <w:color w:val="auto"/>
          <w:sz w:val="24"/>
          <w:highlight w:val="none"/>
          <w:lang w:val="zh-CN"/>
        </w:rPr>
        <w:t xml:space="preserve"> 合同份数</w:t>
      </w:r>
      <w:bookmarkEnd w:id="179"/>
      <w:bookmarkEnd w:id="180"/>
      <w:bookmarkEnd w:id="181"/>
    </w:p>
    <w:p w14:paraId="3ACE9771">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合同份数按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规定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每份均具有同等法律效力</w:t>
      </w:r>
      <w:r>
        <w:rPr>
          <w:rFonts w:hint="eastAsia" w:asciiTheme="minorEastAsia" w:hAnsiTheme="minorEastAsia" w:eastAsiaTheme="minorEastAsia"/>
          <w:color w:val="auto"/>
          <w:sz w:val="24"/>
          <w:highlight w:val="none"/>
        </w:rPr>
        <w:t>。</w:t>
      </w:r>
    </w:p>
    <w:p w14:paraId="7B2FC605">
      <w:pPr>
        <w:spacing w:line="360" w:lineRule="auto"/>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br w:type="page"/>
      </w:r>
      <w:bookmarkStart w:id="182" w:name="_Toc331685784"/>
      <w:bookmarkStart w:id="183" w:name="_Toc14669"/>
      <w:r>
        <w:rPr>
          <w:rFonts w:hint="eastAsia" w:asciiTheme="minorEastAsia" w:hAnsiTheme="minorEastAsia" w:eastAsiaTheme="minorEastAsia"/>
          <w:b/>
          <w:color w:val="auto"/>
          <w:sz w:val="24"/>
          <w:highlight w:val="none"/>
        </w:rPr>
        <w:t>第三部分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合同专用条款</w:t>
      </w:r>
      <w:bookmarkEnd w:id="182"/>
      <w:bookmarkEnd w:id="183"/>
    </w:p>
    <w:p w14:paraId="0F5E6C3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本部分</w:t>
      </w:r>
      <w:r>
        <w:rPr>
          <w:rFonts w:asciiTheme="minorEastAsia" w:hAnsiTheme="minorEastAsia" w:eastAsiaTheme="minorEastAsia"/>
          <w:color w:val="auto"/>
          <w:sz w:val="24"/>
          <w:highlight w:val="none"/>
        </w:rPr>
        <w:t>是对</w:t>
      </w:r>
      <w:r>
        <w:rPr>
          <w:rFonts w:hint="eastAsia" w:asciiTheme="minorEastAsia" w:hAnsiTheme="minorEastAsia" w:eastAsiaTheme="minorEastAsia"/>
          <w:color w:val="auto"/>
          <w:sz w:val="24"/>
          <w:highlight w:val="none"/>
        </w:rPr>
        <w:t>前两</w:t>
      </w:r>
      <w:r>
        <w:rPr>
          <w:rFonts w:asciiTheme="minorEastAsia" w:hAnsiTheme="minorEastAsia" w:eastAsiaTheme="minorEastAsia"/>
          <w:color w:val="auto"/>
          <w:sz w:val="24"/>
          <w:highlight w:val="none"/>
        </w:rPr>
        <w:t>部分的补充和修改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w:t>
      </w:r>
      <w:r>
        <w:rPr>
          <w:rFonts w:hint="eastAsia" w:asciiTheme="minorEastAsia" w:hAnsiTheme="minorEastAsia" w:eastAsiaTheme="minorEastAsia"/>
          <w:color w:val="auto"/>
          <w:sz w:val="24"/>
          <w:highlight w:val="none"/>
        </w:rPr>
        <w:t>前两</w:t>
      </w:r>
      <w:r>
        <w:rPr>
          <w:rFonts w:asciiTheme="minorEastAsia" w:hAnsiTheme="minorEastAsia" w:eastAsiaTheme="minorEastAsia"/>
          <w:color w:val="auto"/>
          <w:sz w:val="24"/>
          <w:highlight w:val="none"/>
        </w:rPr>
        <w:t>部分和本部分的约定不一致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应以本部分的约定为准</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本部分的条款号应与</w:t>
      </w:r>
      <w:r>
        <w:rPr>
          <w:rFonts w:hint="eastAsia" w:asciiTheme="minorEastAsia" w:hAnsiTheme="minorEastAsia" w:eastAsiaTheme="minorEastAsia"/>
          <w:color w:val="auto"/>
          <w:sz w:val="24"/>
          <w:highlight w:val="none"/>
        </w:rPr>
        <w:t>前两部分</w:t>
      </w:r>
      <w:r>
        <w:rPr>
          <w:rFonts w:asciiTheme="minorEastAsia" w:hAnsiTheme="minorEastAsia" w:eastAsiaTheme="minorEastAsia"/>
          <w:color w:val="auto"/>
          <w:sz w:val="24"/>
          <w:highlight w:val="none"/>
        </w:rPr>
        <w:t>的条款号保持对应</w:t>
      </w:r>
      <w:r>
        <w:rPr>
          <w:rFonts w:hint="eastAsia" w:asciiTheme="minorEastAsia" w:hAnsiTheme="minorEastAsia" w:eastAsiaTheme="minorEastAsia"/>
          <w:color w:val="auto"/>
          <w:sz w:val="24"/>
          <w:highlight w:val="none"/>
        </w:rPr>
        <w:t>；与前两部分</w:t>
      </w:r>
      <w:r>
        <w:rPr>
          <w:rFonts w:asciiTheme="minorEastAsia" w:hAnsiTheme="minorEastAsia" w:eastAsiaTheme="minorEastAsia"/>
          <w:color w:val="auto"/>
          <w:sz w:val="24"/>
          <w:highlight w:val="none"/>
        </w:rPr>
        <w:t>无对应关系的内容可另行编制条款号</w:t>
      </w:r>
      <w:r>
        <w:rPr>
          <w:rFonts w:hint="eastAsia" w:asciiTheme="minorEastAsia" w:hAnsiTheme="minorEastAsia" w:eastAsiaTheme="minorEastAsia"/>
          <w:color w:val="auto"/>
          <w:sz w:val="24"/>
          <w:highlight w:val="none"/>
        </w:rPr>
        <w:t>。</w:t>
      </w:r>
    </w:p>
    <w:tbl>
      <w:tblPr>
        <w:tblStyle w:val="2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93"/>
        <w:gridCol w:w="7569"/>
      </w:tblGrid>
      <w:tr w14:paraId="39AA9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74" w:type="pct"/>
            <w:tcBorders>
              <w:left w:val="single" w:color="auto" w:sz="4" w:space="0"/>
            </w:tcBorders>
            <w:vAlign w:val="center"/>
          </w:tcPr>
          <w:p w14:paraId="219FDC57">
            <w:pPr>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条款号</w:t>
            </w:r>
          </w:p>
        </w:tc>
        <w:tc>
          <w:tcPr>
            <w:tcW w:w="4525" w:type="pct"/>
            <w:vAlign w:val="center"/>
          </w:tcPr>
          <w:p w14:paraId="688AEDFB">
            <w:pPr>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约定内容</w:t>
            </w:r>
          </w:p>
        </w:tc>
      </w:tr>
      <w:tr w14:paraId="56B3D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4" w:type="pct"/>
            <w:tcBorders>
              <w:left w:val="single" w:color="auto" w:sz="4" w:space="0"/>
            </w:tcBorders>
            <w:vAlign w:val="center"/>
          </w:tcPr>
          <w:p w14:paraId="63E3BE9F">
            <w:pPr>
              <w:spacing w:line="440" w:lineRule="exact"/>
              <w:jc w:val="center"/>
              <w:rPr>
                <w:rFonts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szCs w:val="24"/>
                <w:highlight w:val="none"/>
              </w:rPr>
              <w:t>2.5</w:t>
            </w:r>
          </w:p>
        </w:tc>
        <w:tc>
          <w:tcPr>
            <w:tcW w:w="4525" w:type="pct"/>
            <w:vAlign w:val="center"/>
          </w:tcPr>
          <w:p w14:paraId="49394AFD">
            <w:pPr>
              <w:pStyle w:val="43"/>
              <w:widowControl w:val="0"/>
              <w:spacing w:before="0" w:beforeAutospacing="0" w:after="0" w:afterAutospacing="0" w:line="360" w:lineRule="auto"/>
              <w:jc w:val="both"/>
              <w:rPr>
                <w:rFonts w:hint="eastAsia" w:eastAsia="@仿宋_GB2312"/>
                <w:color w:val="auto"/>
                <w:highlight w:val="none"/>
                <w:lang w:eastAsia="zh-CN"/>
              </w:rPr>
            </w:pPr>
            <w:r>
              <w:rPr>
                <w:rFonts w:hint="eastAsia" w:ascii="宋体" w:hAnsi="宋体" w:eastAsia="宋体"/>
                <w:b w:val="0"/>
                <w:color w:val="auto"/>
                <w:sz w:val="24"/>
                <w:highlight w:val="none"/>
                <w:u w:val="single"/>
                <w:lang w:eastAsia="zh-CN"/>
              </w:rPr>
              <w:t>合同签订生效并具备实施条件后支付合同金额的40%预付款（预付款支付前，中标人须提供等额的见索即付预付款保函），完成</w:t>
            </w:r>
            <w:r>
              <w:rPr>
                <w:rFonts w:hint="eastAsia" w:ascii="宋体" w:hAnsi="宋体" w:eastAsia="宋体"/>
                <w:b w:val="0"/>
                <w:color w:val="auto"/>
                <w:sz w:val="24"/>
                <w:highlight w:val="none"/>
                <w:u w:val="single"/>
                <w:lang w:val="en-US" w:eastAsia="zh-CN"/>
              </w:rPr>
              <w:t>课程建设并经采购人确认后支付至合同金额85%，申报完成后支付合同剩余金额的15%</w:t>
            </w:r>
            <w:r>
              <w:rPr>
                <w:rFonts w:hint="eastAsia" w:ascii="宋体" w:hAnsi="宋体" w:eastAsia="宋体"/>
                <w:b w:val="0"/>
                <w:color w:val="auto"/>
                <w:sz w:val="24"/>
                <w:highlight w:val="none"/>
                <w:u w:val="single"/>
                <w:lang w:eastAsia="zh-CN"/>
              </w:rPr>
              <w:t>。</w:t>
            </w:r>
          </w:p>
        </w:tc>
      </w:tr>
      <w:tr w14:paraId="7B22D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4" w:type="pct"/>
            <w:tcBorders>
              <w:left w:val="single" w:color="auto" w:sz="4" w:space="0"/>
            </w:tcBorders>
            <w:vAlign w:val="center"/>
          </w:tcPr>
          <w:p w14:paraId="6ADAD7A6">
            <w:pPr>
              <w:spacing w:line="440" w:lineRule="exact"/>
              <w:jc w:val="center"/>
              <w:rPr>
                <w:rFonts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szCs w:val="24"/>
                <w:highlight w:val="none"/>
              </w:rPr>
              <w:t>2.11.3</w:t>
            </w:r>
          </w:p>
        </w:tc>
        <w:tc>
          <w:tcPr>
            <w:tcW w:w="4525" w:type="pct"/>
            <w:vAlign w:val="center"/>
          </w:tcPr>
          <w:p w14:paraId="6BE71D5F">
            <w:pPr>
              <w:spacing w:line="440" w:lineRule="exact"/>
              <w:rPr>
                <w:rFonts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szCs w:val="24"/>
                <w:highlight w:val="none"/>
              </w:rPr>
              <w:t>因不可抗力致使合同有变更必要的，双方当事人应在不可抗力发生的3个工作日内以书面形式变更合同</w:t>
            </w:r>
          </w:p>
        </w:tc>
      </w:tr>
      <w:tr w14:paraId="552AE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4" w:type="pct"/>
            <w:tcBorders>
              <w:left w:val="single" w:color="auto" w:sz="4" w:space="0"/>
            </w:tcBorders>
            <w:vAlign w:val="center"/>
          </w:tcPr>
          <w:p w14:paraId="5BB0B9E5">
            <w:pPr>
              <w:spacing w:line="440" w:lineRule="exact"/>
              <w:jc w:val="center"/>
              <w:rPr>
                <w:rFonts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szCs w:val="24"/>
                <w:highlight w:val="none"/>
              </w:rPr>
              <w:t>2.11.4</w:t>
            </w:r>
          </w:p>
        </w:tc>
        <w:tc>
          <w:tcPr>
            <w:tcW w:w="4525" w:type="pct"/>
            <w:vAlign w:val="center"/>
          </w:tcPr>
          <w:p w14:paraId="46A4FEED">
            <w:pPr>
              <w:spacing w:line="440" w:lineRule="exact"/>
              <w:rPr>
                <w:rFonts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szCs w:val="24"/>
                <w:highlight w:val="none"/>
              </w:rPr>
              <w:t>受不可抗力影响的一方在不可抗力发生后，应在不可抗力发生的1个工作日内以书面形式通知对方当事人，并在1个工作日内，将有关部门出具的证明文件送达对方当事人</w:t>
            </w:r>
          </w:p>
        </w:tc>
      </w:tr>
      <w:tr w14:paraId="198D0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4" w:type="pct"/>
            <w:tcBorders>
              <w:left w:val="single" w:color="auto" w:sz="4" w:space="0"/>
            </w:tcBorders>
            <w:vAlign w:val="center"/>
          </w:tcPr>
          <w:p w14:paraId="1B12A66D">
            <w:pPr>
              <w:spacing w:line="440" w:lineRule="exact"/>
              <w:jc w:val="center"/>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2.15</w:t>
            </w:r>
          </w:p>
        </w:tc>
        <w:tc>
          <w:tcPr>
            <w:tcW w:w="4525" w:type="pct"/>
            <w:vAlign w:val="center"/>
          </w:tcPr>
          <w:p w14:paraId="6299B862">
            <w:pPr>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2.15.1乙方须接受甲方对项目执行情况、服务质量等的监督、检查和验收，甲方有权查看与项目直接相关的凭证和资料，乙方应予以配合。</w:t>
            </w:r>
          </w:p>
          <w:p w14:paraId="20000E07">
            <w:pPr>
              <w:spacing w:line="440" w:lineRule="exact"/>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2.15.3验收书的内容以检验和验收标准、程序结合项目具体内容出具，以验收书作为结算依据。</w:t>
            </w:r>
          </w:p>
        </w:tc>
      </w:tr>
      <w:tr w14:paraId="304E0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4" w:type="pct"/>
            <w:tcBorders>
              <w:left w:val="single" w:color="auto" w:sz="4" w:space="0"/>
            </w:tcBorders>
            <w:vAlign w:val="center"/>
          </w:tcPr>
          <w:p w14:paraId="31763DEE">
            <w:pPr>
              <w:spacing w:line="560" w:lineRule="exact"/>
              <w:jc w:val="center"/>
              <w:rPr>
                <w:rFonts w:asciiTheme="minorEastAsia" w:hAnsiTheme="minorEastAsia" w:eastAsiaTheme="minorEastAsia"/>
                <w:color w:val="auto"/>
                <w:sz w:val="24"/>
                <w:highlight w:val="none"/>
              </w:rPr>
            </w:pPr>
            <w:r>
              <w:rPr>
                <w:rFonts w:hint="eastAsia" w:ascii="宋体" w:hAnsi="宋体" w:eastAsia="宋体"/>
                <w:color w:val="auto"/>
                <w:sz w:val="24"/>
                <w:highlight w:val="none"/>
              </w:rPr>
              <w:t>2.17</w:t>
            </w:r>
          </w:p>
        </w:tc>
        <w:tc>
          <w:tcPr>
            <w:tcW w:w="4525" w:type="pct"/>
            <w:vAlign w:val="center"/>
          </w:tcPr>
          <w:p w14:paraId="75F66517">
            <w:pPr>
              <w:spacing w:line="440" w:lineRule="exact"/>
              <w:rPr>
                <w:rFonts w:asciiTheme="minorEastAsia" w:hAnsiTheme="minorEastAsia" w:eastAsiaTheme="minorEastAsia"/>
                <w:color w:val="auto"/>
                <w:sz w:val="24"/>
                <w:highlight w:val="none"/>
                <w:u w:val="single"/>
              </w:rPr>
            </w:pPr>
            <w:r>
              <w:rPr>
                <w:rFonts w:hint="eastAsia" w:cs="Times New Roman" w:asciiTheme="minorEastAsia" w:hAnsiTheme="minorEastAsia" w:eastAsiaTheme="minorEastAsia"/>
                <w:color w:val="auto"/>
                <w:sz w:val="24"/>
                <w:szCs w:val="24"/>
                <w:highlight w:val="none"/>
              </w:rPr>
              <w:t>本项目免收</w:t>
            </w:r>
            <w:r>
              <w:rPr>
                <w:rFonts w:hint="eastAsia" w:cs="Times New Roman" w:asciiTheme="minorEastAsia" w:hAnsiTheme="minorEastAsia" w:eastAsiaTheme="minorEastAsia"/>
                <w:color w:val="auto"/>
                <w:sz w:val="24"/>
                <w:szCs w:val="24"/>
                <w:highlight w:val="none"/>
                <w:lang w:val="zh-CN"/>
              </w:rPr>
              <w:t>履约保证金</w:t>
            </w:r>
          </w:p>
        </w:tc>
      </w:tr>
      <w:tr w14:paraId="489F1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4" w:type="pct"/>
            <w:tcBorders>
              <w:left w:val="single" w:color="auto" w:sz="4" w:space="0"/>
            </w:tcBorders>
            <w:vAlign w:val="center"/>
          </w:tcPr>
          <w:p w14:paraId="184E6A04">
            <w:pPr>
              <w:spacing w:line="440" w:lineRule="exact"/>
              <w:jc w:val="center"/>
              <w:rPr>
                <w:rFonts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szCs w:val="24"/>
                <w:highlight w:val="none"/>
              </w:rPr>
              <w:t>2.18</w:t>
            </w:r>
          </w:p>
        </w:tc>
        <w:tc>
          <w:tcPr>
            <w:tcW w:w="4525" w:type="pct"/>
            <w:vAlign w:val="center"/>
          </w:tcPr>
          <w:p w14:paraId="24161575">
            <w:pPr>
              <w:spacing w:line="440" w:lineRule="exact"/>
              <w:rPr>
                <w:rFonts w:asciiTheme="minorEastAsia" w:hAnsiTheme="minorEastAsia" w:eastAsiaTheme="minorEastAsia"/>
                <w:color w:val="auto"/>
                <w:sz w:val="24"/>
                <w:highlight w:val="none"/>
              </w:rPr>
            </w:pPr>
            <w:r>
              <w:rPr>
                <w:rFonts w:hint="eastAsia" w:ascii="宋体" w:hAnsi="宋体" w:eastAsia="宋体" w:cs="宋体"/>
                <w:color w:val="auto"/>
                <w:sz w:val="24"/>
                <w:highlight w:val="none"/>
              </w:rPr>
              <w:t>合同一式陆份，甲乙双方各执叁份。</w:t>
            </w:r>
          </w:p>
        </w:tc>
      </w:tr>
      <w:tr w14:paraId="2E2B7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4" w:type="pct"/>
            <w:tcBorders>
              <w:left w:val="single" w:color="auto" w:sz="4" w:space="0"/>
            </w:tcBorders>
            <w:vAlign w:val="center"/>
          </w:tcPr>
          <w:p w14:paraId="6421A383">
            <w:pPr>
              <w:spacing w:line="440" w:lineRule="exact"/>
              <w:rPr>
                <w:rFonts w:asciiTheme="minorEastAsia" w:hAnsiTheme="minorEastAsia" w:eastAsiaTheme="minorEastAsia"/>
                <w:color w:val="auto"/>
                <w:sz w:val="24"/>
                <w:highlight w:val="none"/>
              </w:rPr>
            </w:pPr>
          </w:p>
        </w:tc>
        <w:tc>
          <w:tcPr>
            <w:tcW w:w="4525" w:type="pct"/>
            <w:vAlign w:val="center"/>
          </w:tcPr>
          <w:p w14:paraId="494294B6">
            <w:pPr>
              <w:spacing w:line="440" w:lineRule="exact"/>
              <w:rPr>
                <w:rFonts w:asciiTheme="minorEastAsia" w:hAnsiTheme="minorEastAsia" w:eastAsiaTheme="minorEastAsia"/>
                <w:color w:val="auto"/>
                <w:sz w:val="24"/>
                <w:highlight w:val="none"/>
                <w:u w:val="single"/>
              </w:rPr>
            </w:pPr>
            <w:r>
              <w:rPr>
                <w:rFonts w:hint="eastAsia" w:cs="Times New Roman" w:asciiTheme="minorEastAsia" w:hAnsiTheme="minorEastAsia" w:eastAsiaTheme="minorEastAsia"/>
                <w:color w:val="auto"/>
                <w:sz w:val="24"/>
                <w:szCs w:val="24"/>
                <w:highlight w:val="none"/>
              </w:rPr>
              <w:t>（签订合同时可补充）</w:t>
            </w:r>
          </w:p>
        </w:tc>
      </w:tr>
      <w:tr w14:paraId="5890F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4" w:type="pct"/>
            <w:tcBorders>
              <w:left w:val="single" w:color="auto" w:sz="4" w:space="0"/>
            </w:tcBorders>
            <w:vAlign w:val="center"/>
          </w:tcPr>
          <w:p w14:paraId="7CC7C498">
            <w:pPr>
              <w:spacing w:line="560" w:lineRule="exact"/>
              <w:rPr>
                <w:rFonts w:asciiTheme="minorEastAsia" w:hAnsiTheme="minorEastAsia" w:eastAsiaTheme="minorEastAsia"/>
                <w:color w:val="auto"/>
                <w:sz w:val="24"/>
                <w:highlight w:val="none"/>
              </w:rPr>
            </w:pPr>
          </w:p>
        </w:tc>
        <w:tc>
          <w:tcPr>
            <w:tcW w:w="4525" w:type="pct"/>
            <w:vAlign w:val="center"/>
          </w:tcPr>
          <w:p w14:paraId="485DD148">
            <w:pPr>
              <w:spacing w:line="560" w:lineRule="exact"/>
              <w:rPr>
                <w:rFonts w:asciiTheme="minorEastAsia" w:hAnsiTheme="minorEastAsia" w:eastAsiaTheme="minorEastAsia"/>
                <w:color w:val="auto"/>
                <w:sz w:val="24"/>
                <w:highlight w:val="none"/>
              </w:rPr>
            </w:pPr>
          </w:p>
        </w:tc>
      </w:tr>
      <w:tr w14:paraId="665B7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4" w:type="pct"/>
            <w:tcBorders>
              <w:left w:val="single" w:color="auto" w:sz="4" w:space="0"/>
            </w:tcBorders>
            <w:vAlign w:val="center"/>
          </w:tcPr>
          <w:p w14:paraId="1C7DBA33">
            <w:pPr>
              <w:spacing w:line="560" w:lineRule="exact"/>
              <w:rPr>
                <w:rFonts w:asciiTheme="minorEastAsia" w:hAnsiTheme="minorEastAsia" w:eastAsiaTheme="minorEastAsia"/>
                <w:color w:val="auto"/>
                <w:sz w:val="24"/>
                <w:highlight w:val="none"/>
              </w:rPr>
            </w:pPr>
          </w:p>
        </w:tc>
        <w:tc>
          <w:tcPr>
            <w:tcW w:w="4525" w:type="pct"/>
            <w:vAlign w:val="center"/>
          </w:tcPr>
          <w:p w14:paraId="519F82AF">
            <w:pPr>
              <w:spacing w:line="560" w:lineRule="exact"/>
              <w:rPr>
                <w:rFonts w:asciiTheme="minorEastAsia" w:hAnsiTheme="minorEastAsia" w:eastAsiaTheme="minorEastAsia"/>
                <w:color w:val="auto"/>
                <w:sz w:val="24"/>
                <w:highlight w:val="none"/>
              </w:rPr>
            </w:pPr>
          </w:p>
        </w:tc>
      </w:tr>
      <w:tr w14:paraId="2CE08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4" w:type="pct"/>
            <w:tcBorders>
              <w:left w:val="single" w:color="auto" w:sz="4" w:space="0"/>
            </w:tcBorders>
            <w:vAlign w:val="center"/>
          </w:tcPr>
          <w:p w14:paraId="1DD794C4">
            <w:pPr>
              <w:spacing w:line="560" w:lineRule="exact"/>
              <w:rPr>
                <w:rFonts w:asciiTheme="minorEastAsia" w:hAnsiTheme="minorEastAsia" w:eastAsiaTheme="minorEastAsia"/>
                <w:color w:val="auto"/>
                <w:sz w:val="24"/>
                <w:highlight w:val="none"/>
              </w:rPr>
            </w:pPr>
          </w:p>
        </w:tc>
        <w:tc>
          <w:tcPr>
            <w:tcW w:w="4525" w:type="pct"/>
            <w:vAlign w:val="center"/>
          </w:tcPr>
          <w:p w14:paraId="3A134DBC">
            <w:pPr>
              <w:spacing w:line="560" w:lineRule="exact"/>
              <w:rPr>
                <w:rFonts w:asciiTheme="minorEastAsia" w:hAnsiTheme="minorEastAsia" w:eastAsiaTheme="minorEastAsia"/>
                <w:color w:val="auto"/>
                <w:sz w:val="24"/>
                <w:highlight w:val="none"/>
              </w:rPr>
            </w:pPr>
          </w:p>
        </w:tc>
      </w:tr>
      <w:tr w14:paraId="4D363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4" w:type="pct"/>
            <w:tcBorders>
              <w:top w:val="single" w:color="auto" w:sz="6" w:space="0"/>
              <w:left w:val="single" w:color="auto" w:sz="4" w:space="0"/>
              <w:bottom w:val="single" w:color="auto" w:sz="6" w:space="0"/>
              <w:right w:val="single" w:color="auto" w:sz="6" w:space="0"/>
            </w:tcBorders>
            <w:vAlign w:val="center"/>
          </w:tcPr>
          <w:p w14:paraId="5D9C1A5A">
            <w:pPr>
              <w:spacing w:line="560" w:lineRule="exact"/>
              <w:rPr>
                <w:rFonts w:asciiTheme="minorEastAsia" w:hAnsiTheme="minorEastAsia" w:eastAsiaTheme="minorEastAsia"/>
                <w:color w:val="auto"/>
                <w:sz w:val="24"/>
                <w:highlight w:val="none"/>
              </w:rPr>
            </w:pPr>
          </w:p>
        </w:tc>
        <w:tc>
          <w:tcPr>
            <w:tcW w:w="4525" w:type="pct"/>
            <w:tcBorders>
              <w:top w:val="single" w:color="auto" w:sz="6" w:space="0"/>
              <w:left w:val="single" w:color="auto" w:sz="6" w:space="0"/>
              <w:bottom w:val="single" w:color="auto" w:sz="6" w:space="0"/>
              <w:right w:val="single" w:color="auto" w:sz="6" w:space="0"/>
            </w:tcBorders>
            <w:vAlign w:val="center"/>
          </w:tcPr>
          <w:p w14:paraId="127C7B19">
            <w:pPr>
              <w:spacing w:line="560" w:lineRule="exact"/>
              <w:rPr>
                <w:rFonts w:asciiTheme="minorEastAsia" w:hAnsiTheme="minorEastAsia" w:eastAsiaTheme="minorEastAsia"/>
                <w:color w:val="auto"/>
                <w:sz w:val="24"/>
                <w:highlight w:val="none"/>
              </w:rPr>
            </w:pPr>
          </w:p>
        </w:tc>
      </w:tr>
    </w:tbl>
    <w:p w14:paraId="2312F043">
      <w:pPr>
        <w:spacing w:line="360" w:lineRule="auto"/>
        <w:rPr>
          <w:rFonts w:asciiTheme="minorEastAsia" w:hAnsiTheme="minorEastAsia" w:eastAsiaTheme="minorEastAsia" w:cstheme="minorEastAsia"/>
          <w:color w:val="auto"/>
          <w:sz w:val="28"/>
          <w:szCs w:val="27"/>
          <w:highlight w:val="none"/>
        </w:rPr>
      </w:pPr>
      <w:r>
        <w:rPr>
          <w:rFonts w:hint="eastAsia" w:asciiTheme="minorEastAsia" w:hAnsiTheme="minorEastAsia" w:eastAsiaTheme="minorEastAsia" w:cstheme="minorEastAsia"/>
          <w:color w:val="auto"/>
          <w:sz w:val="28"/>
          <w:szCs w:val="27"/>
          <w:highlight w:val="none"/>
        </w:rPr>
        <w:br w:type="page"/>
      </w:r>
    </w:p>
    <w:p w14:paraId="1BEA3CC4">
      <w:pPr>
        <w:spacing w:line="360" w:lineRule="auto"/>
        <w:jc w:val="center"/>
        <w:outlineLvl w:val="0"/>
        <w:rPr>
          <w:rFonts w:asciiTheme="minorEastAsia" w:hAnsiTheme="minorEastAsia" w:eastAsiaTheme="minorEastAsia"/>
          <w:b/>
          <w:color w:val="auto"/>
          <w:sz w:val="28"/>
          <w:highlight w:val="none"/>
        </w:rPr>
      </w:pPr>
      <w:bookmarkStart w:id="184" w:name="_Toc16475"/>
      <w:bookmarkStart w:id="185" w:name="_Toc25148"/>
      <w:bookmarkStart w:id="186" w:name="_Toc2430"/>
      <w:r>
        <w:rPr>
          <w:rFonts w:hint="eastAsia" w:asciiTheme="minorEastAsia" w:hAnsiTheme="minorEastAsia" w:eastAsiaTheme="minorEastAsia"/>
          <w:b/>
          <w:color w:val="auto"/>
          <w:sz w:val="28"/>
          <w:highlight w:val="none"/>
        </w:rPr>
        <w:t>第六章  响应文件格式</w:t>
      </w:r>
      <w:bookmarkEnd w:id="184"/>
      <w:bookmarkEnd w:id="185"/>
      <w:bookmarkEnd w:id="186"/>
    </w:p>
    <w:p w14:paraId="5035E31A">
      <w:pPr>
        <w:spacing w:line="900" w:lineRule="exact"/>
        <w:jc w:val="center"/>
        <w:rPr>
          <w:rFonts w:asciiTheme="minorEastAsia" w:hAnsiTheme="minorEastAsia" w:eastAsiaTheme="minorEastAsia"/>
          <w:b/>
          <w:color w:val="auto"/>
          <w:sz w:val="72"/>
          <w:highlight w:val="none"/>
        </w:rPr>
      </w:pPr>
    </w:p>
    <w:p w14:paraId="2AAEE3A4">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响</w:t>
      </w:r>
    </w:p>
    <w:p w14:paraId="7A1C7B84">
      <w:pPr>
        <w:spacing w:line="900" w:lineRule="exact"/>
        <w:jc w:val="center"/>
        <w:rPr>
          <w:rFonts w:asciiTheme="minorEastAsia" w:hAnsiTheme="minorEastAsia" w:eastAsiaTheme="minorEastAsia"/>
          <w:b/>
          <w:color w:val="auto"/>
          <w:sz w:val="72"/>
          <w:highlight w:val="none"/>
        </w:rPr>
      </w:pPr>
    </w:p>
    <w:p w14:paraId="0E17A7E2">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应</w:t>
      </w:r>
    </w:p>
    <w:p w14:paraId="4A7C1BC3">
      <w:pPr>
        <w:spacing w:line="900" w:lineRule="exact"/>
        <w:jc w:val="center"/>
        <w:rPr>
          <w:rFonts w:asciiTheme="minorEastAsia" w:hAnsiTheme="minorEastAsia" w:eastAsiaTheme="minorEastAsia"/>
          <w:b/>
          <w:color w:val="auto"/>
          <w:sz w:val="72"/>
          <w:highlight w:val="none"/>
        </w:rPr>
      </w:pPr>
    </w:p>
    <w:p w14:paraId="6429FCA1">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文</w:t>
      </w:r>
    </w:p>
    <w:p w14:paraId="0FB4D24F">
      <w:pPr>
        <w:spacing w:line="900" w:lineRule="exact"/>
        <w:jc w:val="center"/>
        <w:rPr>
          <w:rFonts w:asciiTheme="minorEastAsia" w:hAnsiTheme="minorEastAsia" w:eastAsiaTheme="minorEastAsia"/>
          <w:b/>
          <w:color w:val="auto"/>
          <w:sz w:val="72"/>
          <w:highlight w:val="none"/>
        </w:rPr>
      </w:pPr>
    </w:p>
    <w:p w14:paraId="59D57E84">
      <w:pPr>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件</w:t>
      </w:r>
    </w:p>
    <w:p w14:paraId="1B02D042">
      <w:pPr>
        <w:spacing w:after="156" w:afterLines="50"/>
        <w:jc w:val="center"/>
        <w:rPr>
          <w:rFonts w:hint="eastAsia" w:asciiTheme="minorEastAsia" w:hAnsiTheme="minorEastAsia" w:eastAsiaTheme="minorEastAsia"/>
          <w:b/>
          <w:color w:val="auto"/>
          <w:sz w:val="32"/>
          <w:szCs w:val="32"/>
          <w:highlight w:val="none"/>
        </w:rPr>
      </w:pPr>
    </w:p>
    <w:p w14:paraId="2679941E">
      <w:pPr>
        <w:spacing w:after="156" w:afterLines="50"/>
        <w:jc w:val="center"/>
        <w:rPr>
          <w:rFonts w:hint="eastAsia" w:asciiTheme="minorEastAsia" w:hAnsiTheme="minorEastAsia" w:eastAsiaTheme="minorEastAsia"/>
          <w:b/>
          <w:color w:val="auto"/>
          <w:sz w:val="72"/>
          <w:highlight w:val="none"/>
        </w:rPr>
      </w:pPr>
      <w:r>
        <w:rPr>
          <w:rFonts w:hint="eastAsia" w:asciiTheme="minorEastAsia" w:hAnsiTheme="minorEastAsia" w:eastAsiaTheme="minorEastAsia"/>
          <w:b/>
          <w:color w:val="auto"/>
          <w:sz w:val="32"/>
          <w:szCs w:val="32"/>
          <w:highlight w:val="none"/>
        </w:rPr>
        <w:t>【第</w:t>
      </w:r>
      <w:r>
        <w:rPr>
          <w:rFonts w:hint="eastAsia" w:asciiTheme="minorEastAsia" w:hAnsiTheme="minorEastAsia" w:eastAsiaTheme="minorEastAsia"/>
          <w:b/>
          <w:color w:val="auto"/>
          <w:sz w:val="32"/>
          <w:szCs w:val="32"/>
          <w:highlight w:val="none"/>
          <w:u w:val="single"/>
        </w:rPr>
        <w:t xml:space="preserve">   </w:t>
      </w:r>
      <w:r>
        <w:rPr>
          <w:rFonts w:hint="eastAsia" w:asciiTheme="minorEastAsia" w:hAnsiTheme="minorEastAsia" w:eastAsiaTheme="minorEastAsia"/>
          <w:b/>
          <w:color w:val="auto"/>
          <w:sz w:val="32"/>
          <w:szCs w:val="32"/>
          <w:highlight w:val="none"/>
        </w:rPr>
        <w:t>包】</w:t>
      </w:r>
    </w:p>
    <w:p w14:paraId="7EA07A3B">
      <w:pPr>
        <w:spacing w:after="156" w:afterLines="50" w:line="500" w:lineRule="exact"/>
        <w:rPr>
          <w:rFonts w:asciiTheme="minorEastAsia" w:hAnsiTheme="minorEastAsia" w:eastAsiaTheme="minorEastAsia"/>
          <w:b/>
          <w:color w:val="auto"/>
          <w:sz w:val="72"/>
          <w:highlight w:val="none"/>
        </w:rPr>
      </w:pPr>
    </w:p>
    <w:p w14:paraId="2F0BD41E">
      <w:pPr>
        <w:spacing w:after="156" w:afterLines="50" w:line="500" w:lineRule="exact"/>
        <w:jc w:val="center"/>
        <w:rPr>
          <w:rFonts w:asciiTheme="minorEastAsia" w:hAnsiTheme="minorEastAsia" w:eastAsiaTheme="minorEastAsia"/>
          <w:b/>
          <w:color w:val="auto"/>
          <w:sz w:val="28"/>
          <w:szCs w:val="28"/>
          <w:highlight w:val="none"/>
        </w:rPr>
      </w:pPr>
    </w:p>
    <w:p w14:paraId="29A092C6">
      <w:pPr>
        <w:tabs>
          <w:tab w:val="left" w:pos="2410"/>
        </w:tabs>
        <w:autoSpaceDE w:val="0"/>
        <w:autoSpaceDN w:val="0"/>
        <w:adjustRightInd w:val="0"/>
        <w:snapToGrid w:val="0"/>
        <w:spacing w:line="360" w:lineRule="auto"/>
        <w:ind w:firstLine="643" w:firstLineChars="200"/>
        <w:rPr>
          <w:rFonts w:ascii="宋体" w:hAnsi="宋体" w:eastAsia="宋体"/>
          <w:b/>
          <w:color w:val="auto"/>
          <w:spacing w:val="20"/>
          <w:kern w:val="0"/>
          <w:sz w:val="32"/>
          <w:szCs w:val="32"/>
          <w:highlight w:val="none"/>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rPr>
        <w:t xml:space="preserve">                  </w:t>
      </w:r>
    </w:p>
    <w:p w14:paraId="6A17E4CD">
      <w:pPr>
        <w:tabs>
          <w:tab w:val="left" w:pos="2410"/>
        </w:tabs>
        <w:autoSpaceDE w:val="0"/>
        <w:autoSpaceDN w:val="0"/>
        <w:adjustRightInd w:val="0"/>
        <w:snapToGrid w:val="0"/>
        <w:spacing w:line="360" w:lineRule="auto"/>
        <w:ind w:firstLine="643" w:firstLineChars="200"/>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项目编号：</w:t>
      </w:r>
      <w:r>
        <w:rPr>
          <w:rFonts w:hint="eastAsia" w:asciiTheme="minorEastAsia" w:hAnsiTheme="minorEastAsia" w:eastAsiaTheme="minorEastAsia"/>
          <w:b/>
          <w:color w:val="auto"/>
          <w:sz w:val="32"/>
          <w:highlight w:val="none"/>
          <w:u w:val="single"/>
        </w:rPr>
        <w:t xml:space="preserve">                  </w:t>
      </w:r>
    </w:p>
    <w:p w14:paraId="34172C27">
      <w:pPr>
        <w:tabs>
          <w:tab w:val="left" w:pos="2410"/>
        </w:tabs>
        <w:autoSpaceDE w:val="0"/>
        <w:autoSpaceDN w:val="0"/>
        <w:adjustRightInd w:val="0"/>
        <w:snapToGrid w:val="0"/>
        <w:spacing w:line="360" w:lineRule="auto"/>
        <w:ind w:firstLine="643" w:firstLineChars="200"/>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供 应 商：</w:t>
      </w:r>
      <w:r>
        <w:rPr>
          <w:rFonts w:hint="eastAsia" w:asciiTheme="minorEastAsia" w:hAnsiTheme="minorEastAsia" w:eastAsiaTheme="minorEastAsia"/>
          <w:b/>
          <w:color w:val="auto"/>
          <w:sz w:val="32"/>
          <w:highlight w:val="none"/>
          <w:u w:val="single"/>
        </w:rPr>
        <w:t xml:space="preserve">                  </w:t>
      </w:r>
    </w:p>
    <w:p w14:paraId="6EE298F3">
      <w:pPr>
        <w:spacing w:after="156" w:afterLines="50" w:line="500" w:lineRule="exact"/>
        <w:jc w:val="center"/>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187" w:name="_Toc8037"/>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187"/>
    </w:p>
    <w:p w14:paraId="774028B3">
      <w:pPr>
        <w:widowControl/>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37F674AD">
      <w:pPr>
        <w:spacing w:line="360" w:lineRule="auto"/>
        <w:jc w:val="center"/>
        <w:outlineLvl w:val="1"/>
        <w:rPr>
          <w:rFonts w:asciiTheme="minorEastAsia" w:hAnsiTheme="minorEastAsia" w:eastAsiaTheme="minorEastAsia"/>
          <w:b/>
          <w:color w:val="auto"/>
          <w:sz w:val="24"/>
          <w:highlight w:val="none"/>
        </w:rPr>
      </w:pPr>
      <w:bookmarkStart w:id="188" w:name="_Toc461053086"/>
      <w:bookmarkStart w:id="189" w:name="_Toc461056631"/>
      <w:bookmarkStart w:id="190" w:name="_Toc26791"/>
      <w:bookmarkStart w:id="191" w:name="_Toc5881"/>
      <w:bookmarkStart w:id="192" w:name="_Toc520983587"/>
      <w:r>
        <w:rPr>
          <w:rFonts w:hint="eastAsia" w:asciiTheme="minorEastAsia" w:hAnsiTheme="minorEastAsia" w:eastAsiaTheme="minorEastAsia"/>
          <w:b/>
          <w:color w:val="auto"/>
          <w:sz w:val="24"/>
          <w:highlight w:val="none"/>
        </w:rPr>
        <w:t>一</w:t>
      </w:r>
      <w:bookmarkEnd w:id="188"/>
      <w:bookmarkEnd w:id="189"/>
      <w:r>
        <w:rPr>
          <w:rFonts w:hint="eastAsia" w:asciiTheme="minorEastAsia" w:hAnsiTheme="minorEastAsia" w:eastAsiaTheme="minorEastAsia"/>
          <w:b/>
          <w:color w:val="auto"/>
          <w:sz w:val="24"/>
          <w:highlight w:val="none"/>
        </w:rPr>
        <w:t>、报价表格式</w:t>
      </w:r>
      <w:bookmarkEnd w:id="190"/>
      <w:bookmarkEnd w:id="191"/>
      <w:bookmarkEnd w:id="192"/>
    </w:p>
    <w:p w14:paraId="4641DC7C">
      <w:pPr>
        <w:spacing w:before="156" w:beforeLines="50" w:after="156" w:afterLines="50" w:line="360" w:lineRule="auto"/>
        <w:jc w:val="left"/>
        <w:outlineLvl w:val="2"/>
        <w:rPr>
          <w:rFonts w:ascii="宋体" w:hAnsi="宋体" w:eastAsia="宋体"/>
          <w:b/>
          <w:color w:val="auto"/>
          <w:sz w:val="24"/>
          <w:szCs w:val="28"/>
          <w:highlight w:val="none"/>
        </w:rPr>
      </w:pPr>
      <w:r>
        <w:rPr>
          <w:rFonts w:hint="eastAsia" w:ascii="宋体" w:hAnsi="宋体" w:eastAsia="宋体"/>
          <w:b/>
          <w:color w:val="auto"/>
          <w:sz w:val="24"/>
          <w:szCs w:val="28"/>
          <w:highlight w:val="none"/>
        </w:rPr>
        <w:t>1-1 报价表</w:t>
      </w:r>
    </w:p>
    <w:p w14:paraId="2009E263">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p>
    <w:p w14:paraId="515991EF">
      <w:pPr>
        <w:snapToGrid w:val="0"/>
        <w:spacing w:after="156" w:afterLines="50" w:line="360" w:lineRule="auto"/>
        <w:jc w:val="left"/>
        <w:rPr>
          <w:rFonts w:ascii="宋体" w:hAnsi="宋体" w:eastAsia="宋体"/>
          <w:b/>
          <w:bCs/>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1FFB5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728FE6C3">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供应商名称</w:t>
            </w:r>
          </w:p>
        </w:tc>
        <w:tc>
          <w:tcPr>
            <w:tcW w:w="3557" w:type="pct"/>
            <w:tcBorders>
              <w:left w:val="single" w:color="auto" w:sz="4" w:space="0"/>
            </w:tcBorders>
          </w:tcPr>
          <w:p w14:paraId="58797D8D">
            <w:pPr>
              <w:spacing w:line="360" w:lineRule="auto"/>
              <w:rPr>
                <w:rFonts w:ascii="宋体" w:hAnsi="宋体" w:eastAsia="宋体"/>
                <w:b/>
                <w:color w:val="auto"/>
                <w:sz w:val="24"/>
                <w:highlight w:val="none"/>
              </w:rPr>
            </w:pPr>
          </w:p>
        </w:tc>
      </w:tr>
      <w:tr w14:paraId="01A6F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2B350461">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磋商范围</w:t>
            </w:r>
          </w:p>
        </w:tc>
        <w:tc>
          <w:tcPr>
            <w:tcW w:w="3557" w:type="pct"/>
            <w:tcBorders>
              <w:left w:val="single" w:color="auto" w:sz="4" w:space="0"/>
            </w:tcBorders>
            <w:vAlign w:val="center"/>
          </w:tcPr>
          <w:p w14:paraId="3E885722">
            <w:pPr>
              <w:widowControl/>
              <w:spacing w:line="360" w:lineRule="exact"/>
              <w:rPr>
                <w:rFonts w:ascii="宋体" w:hAnsi="宋体" w:eastAsia="宋体"/>
                <w:b/>
                <w:color w:val="auto"/>
                <w:sz w:val="24"/>
                <w:highlight w:val="none"/>
              </w:rPr>
            </w:pPr>
            <w:r>
              <w:rPr>
                <w:rFonts w:hint="eastAsia" w:asciiTheme="minorEastAsia" w:hAnsiTheme="minorEastAsia" w:eastAsiaTheme="minorEastAsia"/>
                <w:color w:val="auto"/>
                <w:sz w:val="24"/>
                <w:szCs w:val="28"/>
                <w:highlight w:val="none"/>
              </w:rPr>
              <w:t>第</w:t>
            </w:r>
            <w:r>
              <w:rPr>
                <w:rFonts w:hint="eastAsia" w:asciiTheme="minorEastAsia" w:hAnsiTheme="minorEastAsia" w:eastAsiaTheme="minorEastAsia"/>
                <w:color w:val="auto"/>
                <w:sz w:val="24"/>
                <w:szCs w:val="28"/>
                <w:highlight w:val="none"/>
                <w:u w:val="single"/>
              </w:rPr>
              <w:t xml:space="preserve">   </w:t>
            </w:r>
            <w:r>
              <w:rPr>
                <w:rFonts w:hint="eastAsia" w:asciiTheme="minorEastAsia" w:hAnsiTheme="minorEastAsia" w:eastAsiaTheme="minorEastAsia"/>
                <w:color w:val="auto"/>
                <w:sz w:val="24"/>
                <w:szCs w:val="28"/>
                <w:highlight w:val="none"/>
              </w:rPr>
              <w:t>包</w:t>
            </w:r>
          </w:p>
        </w:tc>
      </w:tr>
      <w:tr w14:paraId="77F44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3AB50777">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报价</w:t>
            </w:r>
          </w:p>
          <w:p w14:paraId="12F95963">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7" w:type="pct"/>
            <w:vAlign w:val="center"/>
          </w:tcPr>
          <w:p w14:paraId="4D1AA12E">
            <w:pPr>
              <w:snapToGrid w:val="0"/>
              <w:spacing w:line="360" w:lineRule="auto"/>
              <w:rPr>
                <w:rFonts w:ascii="宋体" w:hAnsi="宋体" w:eastAsia="宋体"/>
                <w:color w:val="auto"/>
                <w:sz w:val="24"/>
                <w:szCs w:val="28"/>
                <w:highlight w:val="none"/>
              </w:rPr>
            </w:pPr>
          </w:p>
          <w:p w14:paraId="0808F873">
            <w:pPr>
              <w:snapToGrid w:val="0"/>
              <w:spacing w:line="360" w:lineRule="auto"/>
              <w:jc w:val="left"/>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0DF3DA68">
            <w:pPr>
              <w:spacing w:line="360" w:lineRule="auto"/>
              <w:ind w:right="-670"/>
              <w:rPr>
                <w:rFonts w:asciiTheme="minorEastAsia" w:hAnsiTheme="minorEastAsia" w:eastAsiaTheme="minorEastAsia"/>
                <w:color w:val="auto"/>
                <w:sz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p w14:paraId="157CCF7C">
            <w:pPr>
              <w:snapToGrid w:val="0"/>
              <w:spacing w:line="360" w:lineRule="auto"/>
              <w:rPr>
                <w:rFonts w:ascii="宋体" w:hAnsi="宋体" w:eastAsia="宋体"/>
                <w:b/>
                <w:color w:val="auto"/>
                <w:sz w:val="24"/>
                <w:highlight w:val="none"/>
              </w:rPr>
            </w:pPr>
          </w:p>
        </w:tc>
      </w:tr>
      <w:tr w14:paraId="2F709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vAlign w:val="center"/>
          </w:tcPr>
          <w:p w14:paraId="6B5013E6">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备注说明</w:t>
            </w:r>
          </w:p>
        </w:tc>
        <w:tc>
          <w:tcPr>
            <w:tcW w:w="3557" w:type="pct"/>
          </w:tcPr>
          <w:p w14:paraId="0F557F52">
            <w:pPr>
              <w:spacing w:line="360" w:lineRule="auto"/>
              <w:rPr>
                <w:rFonts w:ascii="宋体" w:hAnsi="宋体" w:eastAsia="宋体"/>
                <w:b/>
                <w:color w:val="auto"/>
                <w:sz w:val="24"/>
                <w:highlight w:val="none"/>
              </w:rPr>
            </w:pPr>
          </w:p>
        </w:tc>
      </w:tr>
    </w:tbl>
    <w:p w14:paraId="517CC3E0">
      <w:pPr>
        <w:spacing w:line="360" w:lineRule="auto"/>
        <w:ind w:firstLine="4800" w:firstLineChars="2000"/>
        <w:rPr>
          <w:rFonts w:ascii="宋体" w:hAnsi="宋体" w:eastAsia="宋体"/>
          <w:color w:val="auto"/>
          <w:sz w:val="24"/>
          <w:highlight w:val="none"/>
        </w:rPr>
      </w:pPr>
      <w:r>
        <w:rPr>
          <w:rFonts w:hint="eastAsia" w:ascii="宋体" w:hAnsi="宋体" w:eastAsia="宋体"/>
          <w:color w:val="auto"/>
          <w:sz w:val="24"/>
          <w:highlight w:val="none"/>
        </w:rPr>
        <w:t>供应商电子签章：</w:t>
      </w:r>
      <w:r>
        <w:rPr>
          <w:rFonts w:hint="eastAsia" w:ascii="宋体" w:hAnsi="宋体" w:eastAsia="宋体"/>
          <w:color w:val="auto"/>
          <w:sz w:val="24"/>
          <w:highlight w:val="none"/>
          <w:u w:val="single"/>
        </w:rPr>
        <w:t xml:space="preserve">             </w:t>
      </w:r>
    </w:p>
    <w:p w14:paraId="29BE42F7">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3B1110A4">
      <w:pPr>
        <w:adjustRightInd w:val="0"/>
        <w:snapToGrid w:val="0"/>
        <w:spacing w:line="360" w:lineRule="auto"/>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注：</w:t>
      </w:r>
    </w:p>
    <w:p w14:paraId="0F2A16D9">
      <w:pPr>
        <w:adjustRightInd w:val="0"/>
        <w:snapToGrid w:val="0"/>
        <w:spacing w:line="360" w:lineRule="auto"/>
        <w:ind w:firstLine="482" w:firstLineChars="200"/>
        <w:rPr>
          <w:rFonts w:ascii="宋体" w:hAnsi="宋体" w:eastAsia="宋体"/>
          <w:color w:val="auto"/>
          <w:sz w:val="24"/>
          <w:highlight w:val="none"/>
        </w:rPr>
      </w:pPr>
      <w:r>
        <w:rPr>
          <w:rFonts w:hint="eastAsia" w:ascii="宋体" w:hAnsi="宋体" w:eastAsia="宋体"/>
          <w:b/>
          <w:bCs/>
          <w:color w:val="auto"/>
          <w:sz w:val="24"/>
          <w:szCs w:val="28"/>
          <w:highlight w:val="none"/>
        </w:rPr>
        <w:t>1.本表内容根据磋商文件要求包括了服务及其配套的设计、采购、制造、检测、试验、运输、保险、仓储、税费以及现场落地、安装及安装耗损、调试、培训、技术服务（包括技术资料、图纸的提供）质保期内的售后服务保障等所有费用。</w:t>
      </w:r>
    </w:p>
    <w:p w14:paraId="1E3A2B7D">
      <w:pPr>
        <w:adjustRightInd w:val="0"/>
        <w:snapToGrid w:val="0"/>
        <w:spacing w:line="360" w:lineRule="auto"/>
        <w:ind w:firstLine="482" w:firstLineChars="200"/>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2.特殊事项在备注中注明。</w:t>
      </w:r>
    </w:p>
    <w:p w14:paraId="1EE8D2A9">
      <w:pPr>
        <w:adjustRightInd w:val="0"/>
        <w:snapToGrid w:val="0"/>
        <w:spacing w:line="360" w:lineRule="auto"/>
        <w:ind w:firstLine="482" w:firstLineChars="200"/>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3.表中大写金额与小写金额不一致的，以大写金额为准。</w:t>
      </w:r>
    </w:p>
    <w:p w14:paraId="70E41B19">
      <w:pPr>
        <w:widowControl/>
        <w:jc w:val="left"/>
        <w:rPr>
          <w:rFonts w:ascii="宋体" w:hAnsi="宋体" w:eastAsia="宋体"/>
          <w:b/>
          <w:bCs/>
          <w:color w:val="auto"/>
          <w:sz w:val="24"/>
          <w:szCs w:val="28"/>
          <w:highlight w:val="none"/>
        </w:rPr>
      </w:pPr>
      <w:r>
        <w:rPr>
          <w:rFonts w:ascii="宋体" w:hAnsi="宋体" w:eastAsia="宋体"/>
          <w:b/>
          <w:bCs/>
          <w:color w:val="auto"/>
          <w:sz w:val="24"/>
          <w:szCs w:val="28"/>
          <w:highlight w:val="none"/>
        </w:rPr>
        <w:br w:type="page"/>
      </w:r>
    </w:p>
    <w:p w14:paraId="5DC16F36">
      <w:pPr>
        <w:spacing w:before="156" w:beforeLines="50" w:after="156" w:afterLines="50" w:line="360" w:lineRule="auto"/>
        <w:jc w:val="left"/>
        <w:outlineLvl w:val="2"/>
        <w:rPr>
          <w:rFonts w:ascii="宋体" w:hAnsi="宋体" w:eastAsia="宋体"/>
          <w:b/>
          <w:color w:val="auto"/>
          <w:sz w:val="24"/>
          <w:szCs w:val="28"/>
          <w:highlight w:val="none"/>
        </w:rPr>
      </w:pPr>
      <w:r>
        <w:rPr>
          <w:rFonts w:hint="eastAsia" w:ascii="宋体" w:hAnsi="宋体" w:eastAsia="宋体"/>
          <w:b/>
          <w:color w:val="auto"/>
          <w:sz w:val="24"/>
          <w:szCs w:val="28"/>
          <w:highlight w:val="none"/>
        </w:rPr>
        <w:t>1-2 分项报价明细表</w:t>
      </w:r>
    </w:p>
    <w:p w14:paraId="38EB2632">
      <w:pPr>
        <w:spacing w:line="360" w:lineRule="auto"/>
        <w:ind w:firstLine="435"/>
        <w:jc w:val="center"/>
        <w:rPr>
          <w:rFonts w:asciiTheme="minorEastAsia" w:hAnsiTheme="minorEastAsia" w:eastAsiaTheme="minorEastAsia"/>
          <w:b/>
          <w:color w:val="auto"/>
          <w:sz w:val="24"/>
          <w:highlight w:val="none"/>
        </w:rPr>
      </w:pPr>
      <w:r>
        <w:rPr>
          <w:rFonts w:hint="eastAsia" w:asciiTheme="minorEastAsia" w:hAnsiTheme="minorEastAsia" w:eastAsiaTheme="minorEastAsia"/>
          <w:i/>
          <w:color w:val="auto"/>
          <w:sz w:val="24"/>
          <w:highlight w:val="none"/>
        </w:rPr>
        <w:t>（仅供参考，供应商可自行制作格式）</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3109"/>
        <w:gridCol w:w="1357"/>
        <w:gridCol w:w="1698"/>
        <w:gridCol w:w="1568"/>
      </w:tblGrid>
      <w:tr w14:paraId="7CF3A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64" w:type="pct"/>
            <w:vAlign w:val="center"/>
          </w:tcPr>
          <w:p w14:paraId="7B1E4066">
            <w:pPr>
              <w:jc w:val="center"/>
              <w:rPr>
                <w:rFonts w:ascii="宋体" w:hAnsi="宋体" w:eastAsia="宋体"/>
                <w:b/>
                <w:color w:val="auto"/>
                <w:sz w:val="24"/>
                <w:highlight w:val="none"/>
              </w:rPr>
            </w:pPr>
            <w:r>
              <w:rPr>
                <w:rFonts w:hint="eastAsia" w:ascii="宋体" w:hAnsi="宋体" w:eastAsia="宋体"/>
                <w:b/>
                <w:color w:val="auto"/>
                <w:sz w:val="24"/>
                <w:highlight w:val="none"/>
              </w:rPr>
              <w:t>序号</w:t>
            </w:r>
          </w:p>
        </w:tc>
        <w:tc>
          <w:tcPr>
            <w:tcW w:w="1824" w:type="pct"/>
            <w:vAlign w:val="center"/>
          </w:tcPr>
          <w:p w14:paraId="795A6BDB">
            <w:pPr>
              <w:jc w:val="center"/>
              <w:rPr>
                <w:rFonts w:ascii="宋体" w:hAnsi="宋体" w:eastAsia="宋体"/>
                <w:b/>
                <w:color w:val="auto"/>
                <w:sz w:val="24"/>
                <w:highlight w:val="none"/>
              </w:rPr>
            </w:pPr>
            <w:r>
              <w:rPr>
                <w:rFonts w:hint="eastAsia" w:ascii="宋体" w:hAnsi="宋体" w:eastAsia="宋体"/>
                <w:b/>
                <w:color w:val="auto"/>
                <w:sz w:val="24"/>
                <w:highlight w:val="none"/>
              </w:rPr>
              <w:t>服务内容</w:t>
            </w:r>
          </w:p>
        </w:tc>
        <w:tc>
          <w:tcPr>
            <w:tcW w:w="796" w:type="pct"/>
            <w:vAlign w:val="center"/>
          </w:tcPr>
          <w:p w14:paraId="66B055DA">
            <w:pPr>
              <w:jc w:val="center"/>
              <w:rPr>
                <w:rFonts w:ascii="宋体" w:hAnsi="宋体" w:eastAsia="宋体"/>
                <w:b/>
                <w:color w:val="auto"/>
                <w:sz w:val="24"/>
                <w:highlight w:val="none"/>
              </w:rPr>
            </w:pPr>
            <w:r>
              <w:rPr>
                <w:rFonts w:hint="eastAsia" w:ascii="宋体" w:hAnsi="宋体" w:eastAsia="宋体"/>
                <w:b/>
                <w:color w:val="auto"/>
                <w:sz w:val="24"/>
                <w:highlight w:val="none"/>
              </w:rPr>
              <w:t>项</w:t>
            </w:r>
          </w:p>
        </w:tc>
        <w:tc>
          <w:tcPr>
            <w:tcW w:w="996" w:type="pct"/>
            <w:vAlign w:val="center"/>
          </w:tcPr>
          <w:p w14:paraId="06784AA2">
            <w:pPr>
              <w:jc w:val="center"/>
              <w:rPr>
                <w:rFonts w:ascii="宋体" w:hAnsi="宋体" w:eastAsia="宋体"/>
                <w:b/>
                <w:color w:val="auto"/>
                <w:sz w:val="24"/>
                <w:highlight w:val="none"/>
              </w:rPr>
            </w:pPr>
            <w:r>
              <w:rPr>
                <w:rFonts w:hint="eastAsia" w:ascii="宋体" w:hAnsi="宋体" w:eastAsia="宋体"/>
                <w:b/>
                <w:color w:val="auto"/>
                <w:sz w:val="24"/>
                <w:highlight w:val="none"/>
              </w:rPr>
              <w:t>单价</w:t>
            </w:r>
          </w:p>
        </w:tc>
        <w:tc>
          <w:tcPr>
            <w:tcW w:w="920" w:type="pct"/>
            <w:vAlign w:val="center"/>
          </w:tcPr>
          <w:p w14:paraId="585C33A5">
            <w:pPr>
              <w:jc w:val="center"/>
              <w:rPr>
                <w:rFonts w:ascii="宋体" w:hAnsi="宋体" w:eastAsia="宋体"/>
                <w:b/>
                <w:color w:val="auto"/>
                <w:sz w:val="24"/>
                <w:highlight w:val="none"/>
              </w:rPr>
            </w:pPr>
            <w:r>
              <w:rPr>
                <w:rFonts w:hint="eastAsia" w:ascii="宋体" w:hAnsi="宋体" w:eastAsia="宋体"/>
                <w:b/>
                <w:color w:val="auto"/>
                <w:sz w:val="24"/>
                <w:highlight w:val="none"/>
              </w:rPr>
              <w:t>小计金额（元）</w:t>
            </w:r>
          </w:p>
        </w:tc>
      </w:tr>
      <w:tr w14:paraId="25652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tcBorders>
              <w:bottom w:val="single" w:color="auto" w:sz="4" w:space="0"/>
            </w:tcBorders>
            <w:vAlign w:val="center"/>
          </w:tcPr>
          <w:p w14:paraId="46BF3530">
            <w:pPr>
              <w:jc w:val="center"/>
              <w:rPr>
                <w:rFonts w:ascii="宋体" w:hAnsi="宋体" w:eastAsia="宋体"/>
                <w:color w:val="auto"/>
                <w:sz w:val="24"/>
                <w:highlight w:val="none"/>
              </w:rPr>
            </w:pPr>
            <w:r>
              <w:rPr>
                <w:rFonts w:hint="eastAsia" w:ascii="宋体" w:hAnsi="宋体" w:eastAsia="宋体"/>
                <w:color w:val="auto"/>
                <w:sz w:val="24"/>
                <w:highlight w:val="none"/>
              </w:rPr>
              <w:t>1</w:t>
            </w:r>
          </w:p>
        </w:tc>
        <w:tc>
          <w:tcPr>
            <w:tcW w:w="1824" w:type="pct"/>
            <w:vAlign w:val="center"/>
          </w:tcPr>
          <w:p w14:paraId="3C8D56A3">
            <w:pPr>
              <w:jc w:val="center"/>
              <w:rPr>
                <w:rFonts w:ascii="宋体" w:hAnsi="宋体" w:eastAsia="宋体"/>
                <w:color w:val="auto"/>
                <w:sz w:val="24"/>
                <w:highlight w:val="none"/>
              </w:rPr>
            </w:pPr>
          </w:p>
        </w:tc>
        <w:tc>
          <w:tcPr>
            <w:tcW w:w="796" w:type="pct"/>
            <w:vAlign w:val="center"/>
          </w:tcPr>
          <w:p w14:paraId="4BE89854">
            <w:pPr>
              <w:jc w:val="center"/>
              <w:rPr>
                <w:rFonts w:ascii="宋体" w:hAnsi="宋体" w:eastAsia="宋体"/>
                <w:color w:val="auto"/>
                <w:sz w:val="24"/>
                <w:highlight w:val="none"/>
              </w:rPr>
            </w:pPr>
          </w:p>
        </w:tc>
        <w:tc>
          <w:tcPr>
            <w:tcW w:w="996" w:type="pct"/>
            <w:vAlign w:val="center"/>
          </w:tcPr>
          <w:p w14:paraId="18447429">
            <w:pPr>
              <w:jc w:val="center"/>
              <w:rPr>
                <w:rFonts w:ascii="宋体" w:hAnsi="宋体" w:eastAsia="宋体"/>
                <w:color w:val="auto"/>
                <w:sz w:val="24"/>
                <w:highlight w:val="none"/>
              </w:rPr>
            </w:pPr>
          </w:p>
        </w:tc>
        <w:tc>
          <w:tcPr>
            <w:tcW w:w="920" w:type="pct"/>
            <w:vAlign w:val="center"/>
          </w:tcPr>
          <w:p w14:paraId="02F46E15">
            <w:pPr>
              <w:jc w:val="center"/>
              <w:rPr>
                <w:rFonts w:ascii="宋体" w:hAnsi="宋体" w:eastAsia="宋体"/>
                <w:color w:val="auto"/>
                <w:sz w:val="24"/>
                <w:highlight w:val="none"/>
              </w:rPr>
            </w:pPr>
          </w:p>
        </w:tc>
      </w:tr>
      <w:tr w14:paraId="114C8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0CB4F2BB">
            <w:pPr>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1824" w:type="pct"/>
            <w:vAlign w:val="center"/>
          </w:tcPr>
          <w:p w14:paraId="0BC0AC09">
            <w:pPr>
              <w:jc w:val="center"/>
              <w:rPr>
                <w:rFonts w:ascii="宋体" w:hAnsi="宋体" w:eastAsia="宋体"/>
                <w:color w:val="auto"/>
                <w:sz w:val="24"/>
                <w:highlight w:val="none"/>
              </w:rPr>
            </w:pPr>
          </w:p>
        </w:tc>
        <w:tc>
          <w:tcPr>
            <w:tcW w:w="796" w:type="pct"/>
            <w:vAlign w:val="center"/>
          </w:tcPr>
          <w:p w14:paraId="7F78C8D0">
            <w:pPr>
              <w:jc w:val="center"/>
              <w:rPr>
                <w:rFonts w:ascii="宋体" w:hAnsi="宋体" w:eastAsia="宋体"/>
                <w:color w:val="auto"/>
                <w:sz w:val="24"/>
                <w:highlight w:val="none"/>
              </w:rPr>
            </w:pPr>
          </w:p>
        </w:tc>
        <w:tc>
          <w:tcPr>
            <w:tcW w:w="996" w:type="pct"/>
            <w:vAlign w:val="center"/>
          </w:tcPr>
          <w:p w14:paraId="681B7705">
            <w:pPr>
              <w:jc w:val="center"/>
              <w:rPr>
                <w:rFonts w:ascii="宋体" w:hAnsi="宋体" w:eastAsia="宋体"/>
                <w:color w:val="auto"/>
                <w:sz w:val="24"/>
                <w:highlight w:val="none"/>
              </w:rPr>
            </w:pPr>
          </w:p>
        </w:tc>
        <w:tc>
          <w:tcPr>
            <w:tcW w:w="920" w:type="pct"/>
            <w:vAlign w:val="center"/>
          </w:tcPr>
          <w:p w14:paraId="07790F4B">
            <w:pPr>
              <w:jc w:val="center"/>
              <w:rPr>
                <w:rFonts w:ascii="宋体" w:hAnsi="宋体" w:eastAsia="宋体"/>
                <w:color w:val="auto"/>
                <w:sz w:val="24"/>
                <w:highlight w:val="none"/>
              </w:rPr>
            </w:pPr>
          </w:p>
        </w:tc>
      </w:tr>
      <w:tr w14:paraId="6135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791E8E2F">
            <w:pPr>
              <w:jc w:val="center"/>
              <w:rPr>
                <w:rFonts w:ascii="宋体" w:hAnsi="宋体" w:eastAsia="宋体"/>
                <w:color w:val="auto"/>
                <w:sz w:val="24"/>
                <w:highlight w:val="none"/>
              </w:rPr>
            </w:pPr>
            <w:r>
              <w:rPr>
                <w:rFonts w:hint="eastAsia" w:ascii="宋体" w:hAnsi="宋体" w:eastAsia="宋体"/>
                <w:color w:val="auto"/>
                <w:sz w:val="24"/>
                <w:highlight w:val="none"/>
              </w:rPr>
              <w:t>3</w:t>
            </w:r>
          </w:p>
        </w:tc>
        <w:tc>
          <w:tcPr>
            <w:tcW w:w="1824" w:type="pct"/>
            <w:vAlign w:val="center"/>
          </w:tcPr>
          <w:p w14:paraId="5FE664AB">
            <w:pPr>
              <w:jc w:val="center"/>
              <w:rPr>
                <w:rFonts w:ascii="宋体" w:hAnsi="宋体" w:eastAsia="宋体"/>
                <w:color w:val="auto"/>
                <w:sz w:val="24"/>
                <w:highlight w:val="none"/>
              </w:rPr>
            </w:pPr>
          </w:p>
        </w:tc>
        <w:tc>
          <w:tcPr>
            <w:tcW w:w="796" w:type="pct"/>
            <w:vAlign w:val="center"/>
          </w:tcPr>
          <w:p w14:paraId="7ADADC88">
            <w:pPr>
              <w:jc w:val="center"/>
              <w:rPr>
                <w:rFonts w:ascii="宋体" w:hAnsi="宋体" w:eastAsia="宋体"/>
                <w:color w:val="auto"/>
                <w:sz w:val="24"/>
                <w:highlight w:val="none"/>
              </w:rPr>
            </w:pPr>
          </w:p>
        </w:tc>
        <w:tc>
          <w:tcPr>
            <w:tcW w:w="996" w:type="pct"/>
            <w:vAlign w:val="center"/>
          </w:tcPr>
          <w:p w14:paraId="62937E8C">
            <w:pPr>
              <w:jc w:val="center"/>
              <w:rPr>
                <w:rFonts w:ascii="宋体" w:hAnsi="宋体" w:eastAsia="宋体"/>
                <w:color w:val="auto"/>
                <w:sz w:val="24"/>
                <w:highlight w:val="none"/>
              </w:rPr>
            </w:pPr>
          </w:p>
        </w:tc>
        <w:tc>
          <w:tcPr>
            <w:tcW w:w="920" w:type="pct"/>
            <w:vAlign w:val="center"/>
          </w:tcPr>
          <w:p w14:paraId="6BF4E2DA">
            <w:pPr>
              <w:jc w:val="center"/>
              <w:rPr>
                <w:rFonts w:ascii="宋体" w:hAnsi="宋体" w:eastAsia="宋体"/>
                <w:color w:val="auto"/>
                <w:sz w:val="24"/>
                <w:highlight w:val="none"/>
              </w:rPr>
            </w:pPr>
          </w:p>
        </w:tc>
      </w:tr>
      <w:tr w14:paraId="395F9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29B44B52">
            <w:pPr>
              <w:jc w:val="center"/>
              <w:rPr>
                <w:rFonts w:ascii="宋体" w:hAnsi="宋体" w:eastAsia="宋体"/>
                <w:color w:val="auto"/>
                <w:sz w:val="24"/>
                <w:highlight w:val="none"/>
              </w:rPr>
            </w:pPr>
            <w:r>
              <w:rPr>
                <w:rFonts w:ascii="宋体" w:hAnsi="宋体" w:eastAsia="宋体"/>
                <w:color w:val="auto"/>
                <w:sz w:val="24"/>
                <w:highlight w:val="none"/>
              </w:rPr>
              <w:t>…</w:t>
            </w:r>
          </w:p>
        </w:tc>
        <w:tc>
          <w:tcPr>
            <w:tcW w:w="1824" w:type="pct"/>
            <w:vAlign w:val="center"/>
          </w:tcPr>
          <w:p w14:paraId="23CE8C21">
            <w:pPr>
              <w:jc w:val="center"/>
              <w:rPr>
                <w:rFonts w:ascii="宋体" w:hAnsi="宋体" w:eastAsia="宋体"/>
                <w:color w:val="auto"/>
                <w:sz w:val="24"/>
                <w:highlight w:val="none"/>
              </w:rPr>
            </w:pPr>
          </w:p>
        </w:tc>
        <w:tc>
          <w:tcPr>
            <w:tcW w:w="796" w:type="pct"/>
            <w:vAlign w:val="center"/>
          </w:tcPr>
          <w:p w14:paraId="18D3D663">
            <w:pPr>
              <w:jc w:val="center"/>
              <w:rPr>
                <w:rFonts w:ascii="宋体" w:hAnsi="宋体" w:eastAsia="宋体"/>
                <w:color w:val="auto"/>
                <w:sz w:val="24"/>
                <w:highlight w:val="none"/>
              </w:rPr>
            </w:pPr>
          </w:p>
        </w:tc>
        <w:tc>
          <w:tcPr>
            <w:tcW w:w="996" w:type="pct"/>
            <w:vAlign w:val="center"/>
          </w:tcPr>
          <w:p w14:paraId="0ACDED8B">
            <w:pPr>
              <w:jc w:val="center"/>
              <w:rPr>
                <w:rFonts w:ascii="宋体" w:hAnsi="宋体" w:eastAsia="宋体"/>
                <w:color w:val="auto"/>
                <w:sz w:val="24"/>
                <w:highlight w:val="none"/>
              </w:rPr>
            </w:pPr>
          </w:p>
        </w:tc>
        <w:tc>
          <w:tcPr>
            <w:tcW w:w="920" w:type="pct"/>
            <w:vAlign w:val="center"/>
          </w:tcPr>
          <w:p w14:paraId="25D6F013">
            <w:pPr>
              <w:jc w:val="center"/>
              <w:rPr>
                <w:rFonts w:ascii="宋体" w:hAnsi="宋体" w:eastAsia="宋体"/>
                <w:color w:val="auto"/>
                <w:sz w:val="24"/>
                <w:highlight w:val="none"/>
              </w:rPr>
            </w:pPr>
          </w:p>
        </w:tc>
      </w:tr>
      <w:tr w14:paraId="3FADC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21BC0CC9">
            <w:pPr>
              <w:jc w:val="center"/>
              <w:rPr>
                <w:rFonts w:ascii="宋体" w:hAnsi="宋体" w:eastAsia="宋体"/>
                <w:color w:val="auto"/>
                <w:sz w:val="24"/>
                <w:highlight w:val="none"/>
              </w:rPr>
            </w:pPr>
          </w:p>
        </w:tc>
        <w:tc>
          <w:tcPr>
            <w:tcW w:w="1824" w:type="pct"/>
            <w:vAlign w:val="center"/>
          </w:tcPr>
          <w:p w14:paraId="17E370F9">
            <w:pPr>
              <w:pStyle w:val="51"/>
              <w:ind w:left="-108"/>
              <w:jc w:val="center"/>
              <w:rPr>
                <w:rFonts w:ascii="宋体" w:hAnsi="宋体"/>
                <w:color w:val="auto"/>
                <w:highlight w:val="none"/>
              </w:rPr>
            </w:pPr>
            <w:r>
              <w:rPr>
                <w:rFonts w:hint="eastAsia" w:ascii="宋体" w:hAnsi="宋体"/>
                <w:color w:val="auto"/>
                <w:highlight w:val="none"/>
              </w:rPr>
              <w:t>其他费用</w:t>
            </w:r>
          </w:p>
        </w:tc>
        <w:tc>
          <w:tcPr>
            <w:tcW w:w="796" w:type="pct"/>
            <w:vAlign w:val="center"/>
          </w:tcPr>
          <w:p w14:paraId="715E7F33">
            <w:pPr>
              <w:jc w:val="center"/>
              <w:rPr>
                <w:rFonts w:ascii="宋体" w:hAnsi="宋体" w:eastAsia="宋体"/>
                <w:color w:val="auto"/>
                <w:sz w:val="24"/>
                <w:highlight w:val="none"/>
              </w:rPr>
            </w:pPr>
          </w:p>
        </w:tc>
        <w:tc>
          <w:tcPr>
            <w:tcW w:w="996" w:type="pct"/>
            <w:vAlign w:val="center"/>
          </w:tcPr>
          <w:p w14:paraId="6EA6AF08">
            <w:pPr>
              <w:jc w:val="center"/>
              <w:rPr>
                <w:rFonts w:ascii="宋体" w:hAnsi="宋体" w:eastAsia="宋体"/>
                <w:color w:val="auto"/>
                <w:sz w:val="24"/>
                <w:highlight w:val="none"/>
              </w:rPr>
            </w:pPr>
          </w:p>
        </w:tc>
        <w:tc>
          <w:tcPr>
            <w:tcW w:w="920" w:type="pct"/>
            <w:vAlign w:val="center"/>
          </w:tcPr>
          <w:p w14:paraId="7231B33D">
            <w:pPr>
              <w:jc w:val="center"/>
              <w:rPr>
                <w:rFonts w:ascii="宋体" w:hAnsi="宋体" w:eastAsia="宋体"/>
                <w:color w:val="auto"/>
                <w:sz w:val="24"/>
                <w:highlight w:val="none"/>
              </w:rPr>
            </w:pPr>
          </w:p>
        </w:tc>
      </w:tr>
      <w:tr w14:paraId="58248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05DB36AD">
            <w:pPr>
              <w:jc w:val="center"/>
              <w:rPr>
                <w:rFonts w:ascii="宋体" w:hAnsi="宋体" w:eastAsia="宋体"/>
                <w:color w:val="auto"/>
                <w:sz w:val="24"/>
                <w:highlight w:val="none"/>
              </w:rPr>
            </w:pPr>
          </w:p>
        </w:tc>
        <w:tc>
          <w:tcPr>
            <w:tcW w:w="1824" w:type="pct"/>
            <w:vAlign w:val="center"/>
          </w:tcPr>
          <w:p w14:paraId="33A2066C">
            <w:pPr>
              <w:jc w:val="center"/>
              <w:rPr>
                <w:rFonts w:ascii="宋体" w:hAnsi="宋体" w:eastAsia="宋体"/>
                <w:color w:val="auto"/>
                <w:sz w:val="24"/>
                <w:highlight w:val="none"/>
              </w:rPr>
            </w:pPr>
            <w:r>
              <w:rPr>
                <w:rFonts w:ascii="宋体" w:hAnsi="宋体" w:eastAsia="宋体"/>
                <w:color w:val="auto"/>
                <w:sz w:val="24"/>
                <w:highlight w:val="none"/>
              </w:rPr>
              <w:t>……</w:t>
            </w:r>
          </w:p>
        </w:tc>
        <w:tc>
          <w:tcPr>
            <w:tcW w:w="796" w:type="pct"/>
            <w:vAlign w:val="center"/>
          </w:tcPr>
          <w:p w14:paraId="3252BC79">
            <w:pPr>
              <w:jc w:val="center"/>
              <w:rPr>
                <w:rFonts w:ascii="宋体" w:hAnsi="宋体" w:eastAsia="宋体"/>
                <w:color w:val="auto"/>
                <w:sz w:val="24"/>
                <w:highlight w:val="none"/>
              </w:rPr>
            </w:pPr>
          </w:p>
        </w:tc>
        <w:tc>
          <w:tcPr>
            <w:tcW w:w="996" w:type="pct"/>
            <w:vAlign w:val="center"/>
          </w:tcPr>
          <w:p w14:paraId="336565F6">
            <w:pPr>
              <w:jc w:val="center"/>
              <w:rPr>
                <w:rFonts w:ascii="宋体" w:hAnsi="宋体" w:eastAsia="宋体"/>
                <w:color w:val="auto"/>
                <w:sz w:val="24"/>
                <w:highlight w:val="none"/>
              </w:rPr>
            </w:pPr>
          </w:p>
        </w:tc>
        <w:tc>
          <w:tcPr>
            <w:tcW w:w="920" w:type="pct"/>
            <w:vAlign w:val="center"/>
          </w:tcPr>
          <w:p w14:paraId="6CE2B70B">
            <w:pPr>
              <w:jc w:val="center"/>
              <w:rPr>
                <w:rFonts w:ascii="宋体" w:hAnsi="宋体" w:eastAsia="宋体"/>
                <w:color w:val="auto"/>
                <w:sz w:val="24"/>
                <w:highlight w:val="none"/>
              </w:rPr>
            </w:pPr>
          </w:p>
        </w:tc>
      </w:tr>
      <w:tr w14:paraId="52205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80" w:type="pct"/>
            <w:gridSpan w:val="4"/>
            <w:vAlign w:val="center"/>
          </w:tcPr>
          <w:p w14:paraId="64537FF6">
            <w:pPr>
              <w:jc w:val="center"/>
              <w:rPr>
                <w:rFonts w:ascii="宋体" w:hAnsi="宋体" w:eastAsia="宋体"/>
                <w:color w:val="auto"/>
                <w:sz w:val="24"/>
                <w:highlight w:val="none"/>
              </w:rPr>
            </w:pPr>
            <w:r>
              <w:rPr>
                <w:rFonts w:hint="eastAsia" w:ascii="宋体" w:hAnsi="宋体" w:eastAsia="宋体"/>
                <w:b/>
                <w:color w:val="auto"/>
                <w:sz w:val="24"/>
                <w:highlight w:val="none"/>
              </w:rPr>
              <w:t>合计金额（元）</w:t>
            </w:r>
          </w:p>
        </w:tc>
        <w:tc>
          <w:tcPr>
            <w:tcW w:w="920" w:type="pct"/>
            <w:vAlign w:val="center"/>
          </w:tcPr>
          <w:p w14:paraId="28F53D57">
            <w:pPr>
              <w:jc w:val="center"/>
              <w:rPr>
                <w:rFonts w:ascii="宋体" w:hAnsi="宋体" w:eastAsia="宋体"/>
                <w:color w:val="auto"/>
                <w:sz w:val="24"/>
                <w:highlight w:val="none"/>
              </w:rPr>
            </w:pPr>
          </w:p>
        </w:tc>
      </w:tr>
    </w:tbl>
    <w:p w14:paraId="6942705C">
      <w:pPr>
        <w:spacing w:line="360" w:lineRule="auto"/>
        <w:ind w:firstLine="4800" w:firstLineChars="2000"/>
        <w:rPr>
          <w:rFonts w:ascii="宋体" w:hAnsi="宋体" w:eastAsia="宋体"/>
          <w:color w:val="auto"/>
          <w:sz w:val="24"/>
          <w:highlight w:val="none"/>
        </w:rPr>
      </w:pPr>
      <w:r>
        <w:rPr>
          <w:rFonts w:hint="eastAsia" w:ascii="宋体" w:hAnsi="宋体" w:eastAsia="宋体"/>
          <w:color w:val="auto"/>
          <w:sz w:val="24"/>
          <w:highlight w:val="none"/>
        </w:rPr>
        <w:t>供应商电子签章：</w:t>
      </w:r>
      <w:r>
        <w:rPr>
          <w:rFonts w:hint="eastAsia" w:ascii="宋体" w:hAnsi="宋体" w:eastAsia="宋体"/>
          <w:color w:val="auto"/>
          <w:sz w:val="24"/>
          <w:highlight w:val="none"/>
          <w:u w:val="single"/>
        </w:rPr>
        <w:t xml:space="preserve">             </w:t>
      </w:r>
    </w:p>
    <w:p w14:paraId="1C9D23AE">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5BFB29F7">
      <w:pPr>
        <w:adjustRightInd w:val="0"/>
        <w:snapToGrid w:val="0"/>
        <w:spacing w:line="360" w:lineRule="auto"/>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注：</w:t>
      </w:r>
    </w:p>
    <w:p w14:paraId="7639DE09">
      <w:pPr>
        <w:adjustRightInd w:val="0"/>
        <w:snapToGrid w:val="0"/>
        <w:spacing w:line="360" w:lineRule="auto"/>
        <w:ind w:firstLine="482" w:firstLineChars="200"/>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表中所列服务为对应本项目需求的全部服务内容。如有漏项或缺项，供应商承担全部责任。</w:t>
      </w:r>
    </w:p>
    <w:p w14:paraId="4826300E">
      <w:pPr>
        <w:widowControl/>
        <w:jc w:val="left"/>
        <w:rPr>
          <w:rFonts w:ascii="宋体" w:hAnsi="宋体" w:eastAsia="宋体"/>
          <w:b/>
          <w:bCs/>
          <w:color w:val="auto"/>
          <w:sz w:val="24"/>
          <w:szCs w:val="28"/>
          <w:highlight w:val="none"/>
        </w:rPr>
      </w:pPr>
      <w:r>
        <w:rPr>
          <w:rFonts w:ascii="宋体" w:hAnsi="宋体" w:eastAsia="宋体"/>
          <w:b/>
          <w:bCs/>
          <w:color w:val="auto"/>
          <w:sz w:val="24"/>
          <w:szCs w:val="28"/>
          <w:highlight w:val="none"/>
        </w:rPr>
        <w:br w:type="page"/>
      </w:r>
    </w:p>
    <w:p w14:paraId="6834DAA3">
      <w:pPr>
        <w:spacing w:line="360" w:lineRule="auto"/>
        <w:jc w:val="center"/>
        <w:outlineLvl w:val="1"/>
        <w:rPr>
          <w:rFonts w:asciiTheme="minorEastAsia" w:hAnsiTheme="minorEastAsia" w:eastAsiaTheme="minorEastAsia"/>
          <w:b/>
          <w:color w:val="auto"/>
          <w:sz w:val="24"/>
          <w:highlight w:val="none"/>
        </w:rPr>
      </w:pPr>
      <w:bookmarkStart w:id="193" w:name="_Toc461056632"/>
      <w:bookmarkStart w:id="194" w:name="_Toc461053087"/>
      <w:bookmarkStart w:id="195" w:name="_Toc520983588"/>
      <w:bookmarkStart w:id="196" w:name="_Toc32436"/>
      <w:bookmarkStart w:id="197" w:name="_Toc28695"/>
      <w:r>
        <w:rPr>
          <w:rFonts w:hint="eastAsia" w:asciiTheme="minorEastAsia" w:hAnsiTheme="minorEastAsia" w:eastAsiaTheme="minorEastAsia"/>
          <w:b/>
          <w:color w:val="auto"/>
          <w:sz w:val="24"/>
          <w:highlight w:val="none"/>
        </w:rPr>
        <w:t>二</w:t>
      </w:r>
      <w:bookmarkEnd w:id="193"/>
      <w:bookmarkEnd w:id="194"/>
      <w:r>
        <w:rPr>
          <w:rFonts w:hint="eastAsia" w:asciiTheme="minorEastAsia" w:hAnsiTheme="minorEastAsia" w:eastAsiaTheme="minorEastAsia"/>
          <w:b/>
          <w:color w:val="auto"/>
          <w:sz w:val="24"/>
          <w:highlight w:val="none"/>
        </w:rPr>
        <w:t>、最后承诺报价表</w:t>
      </w:r>
      <w:bookmarkEnd w:id="195"/>
      <w:bookmarkEnd w:id="196"/>
      <w:bookmarkEnd w:id="197"/>
    </w:p>
    <w:p w14:paraId="6E5B736F">
      <w:pPr>
        <w:spacing w:before="156" w:beforeLines="50" w:after="156" w:afterLines="50" w:line="360" w:lineRule="auto"/>
        <w:ind w:firstLine="236" w:firstLineChars="98"/>
        <w:jc w:val="center"/>
        <w:rPr>
          <w:rFonts w:ascii="宋体" w:hAnsi="宋体" w:eastAsia="宋体"/>
          <w:b/>
          <w:color w:val="auto"/>
          <w:sz w:val="24"/>
          <w:szCs w:val="28"/>
          <w:highlight w:val="none"/>
        </w:rPr>
      </w:pPr>
      <w:r>
        <w:rPr>
          <w:rFonts w:hint="eastAsia" w:ascii="宋体" w:hAnsi="宋体" w:eastAsia="宋体"/>
          <w:b/>
          <w:color w:val="auto"/>
          <w:sz w:val="24"/>
          <w:szCs w:val="28"/>
          <w:highlight w:val="none"/>
        </w:rPr>
        <w:t>（第</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rPr>
        <w:t>次报价书）</w:t>
      </w:r>
    </w:p>
    <w:p w14:paraId="442F6540">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p>
    <w:p w14:paraId="751B6889">
      <w:pPr>
        <w:snapToGrid w:val="0"/>
        <w:spacing w:after="156" w:afterLines="50" w:line="360" w:lineRule="auto"/>
        <w:jc w:val="left"/>
        <w:rPr>
          <w:rFonts w:ascii="宋体" w:hAnsi="宋体" w:eastAsia="宋体"/>
          <w:b/>
          <w:bCs/>
          <w:color w:val="auto"/>
          <w:sz w:val="24"/>
          <w:szCs w:val="28"/>
          <w:highlight w:val="non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7C37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35B1ED71">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供应商名称</w:t>
            </w:r>
          </w:p>
        </w:tc>
        <w:tc>
          <w:tcPr>
            <w:tcW w:w="3557" w:type="pct"/>
            <w:tcBorders>
              <w:left w:val="single" w:color="auto" w:sz="4" w:space="0"/>
            </w:tcBorders>
          </w:tcPr>
          <w:p w14:paraId="222D111B">
            <w:pPr>
              <w:spacing w:line="360" w:lineRule="auto"/>
              <w:rPr>
                <w:rFonts w:ascii="宋体" w:hAnsi="宋体" w:eastAsia="宋体"/>
                <w:b/>
                <w:color w:val="auto"/>
                <w:sz w:val="24"/>
                <w:highlight w:val="none"/>
              </w:rPr>
            </w:pPr>
          </w:p>
        </w:tc>
      </w:tr>
      <w:tr w14:paraId="1EAE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4A645452">
            <w:pPr>
              <w:spacing w:line="360" w:lineRule="exact"/>
              <w:jc w:val="center"/>
              <w:rPr>
                <w:rFonts w:ascii="宋体" w:hAnsi="宋体" w:eastAsia="宋体"/>
                <w:b/>
                <w:color w:val="auto"/>
                <w:sz w:val="24"/>
                <w:highlight w:val="none"/>
              </w:rPr>
            </w:pPr>
            <w:r>
              <w:rPr>
                <w:rFonts w:hint="eastAsia" w:ascii="宋体" w:hAnsi="宋体" w:eastAsia="宋体"/>
                <w:b/>
                <w:bCs/>
                <w:color w:val="auto"/>
                <w:sz w:val="24"/>
                <w:szCs w:val="28"/>
                <w:highlight w:val="none"/>
              </w:rPr>
              <w:t>磋商</w:t>
            </w:r>
            <w:r>
              <w:rPr>
                <w:rFonts w:hint="eastAsia" w:ascii="宋体" w:hAnsi="宋体" w:eastAsia="宋体"/>
                <w:b/>
                <w:color w:val="auto"/>
                <w:sz w:val="24"/>
                <w:highlight w:val="none"/>
              </w:rPr>
              <w:t>范围</w:t>
            </w:r>
          </w:p>
        </w:tc>
        <w:tc>
          <w:tcPr>
            <w:tcW w:w="3557" w:type="pct"/>
            <w:tcBorders>
              <w:left w:val="single" w:color="auto" w:sz="4" w:space="0"/>
            </w:tcBorders>
            <w:vAlign w:val="center"/>
          </w:tcPr>
          <w:p w14:paraId="2D9FBE55">
            <w:pPr>
              <w:widowControl/>
              <w:spacing w:line="360" w:lineRule="exact"/>
              <w:rPr>
                <w:rFonts w:ascii="宋体" w:hAnsi="宋体" w:eastAsia="宋体"/>
                <w:b/>
                <w:color w:val="auto"/>
                <w:sz w:val="24"/>
                <w:highlight w:val="none"/>
              </w:rPr>
            </w:pPr>
            <w:r>
              <w:rPr>
                <w:rFonts w:hint="eastAsia" w:asciiTheme="minorEastAsia" w:hAnsiTheme="minorEastAsia" w:eastAsiaTheme="minorEastAsia"/>
                <w:color w:val="auto"/>
                <w:sz w:val="24"/>
                <w:szCs w:val="28"/>
                <w:highlight w:val="none"/>
              </w:rPr>
              <w:t>第</w:t>
            </w:r>
            <w:r>
              <w:rPr>
                <w:rFonts w:hint="eastAsia" w:asciiTheme="minorEastAsia" w:hAnsiTheme="minorEastAsia" w:eastAsiaTheme="minorEastAsia"/>
                <w:color w:val="auto"/>
                <w:sz w:val="24"/>
                <w:szCs w:val="28"/>
                <w:highlight w:val="none"/>
                <w:u w:val="single"/>
              </w:rPr>
              <w:t xml:space="preserve">   </w:t>
            </w:r>
            <w:r>
              <w:rPr>
                <w:rFonts w:hint="eastAsia" w:asciiTheme="minorEastAsia" w:hAnsiTheme="minorEastAsia" w:eastAsiaTheme="minorEastAsia"/>
                <w:color w:val="auto"/>
                <w:sz w:val="24"/>
                <w:szCs w:val="28"/>
                <w:highlight w:val="none"/>
              </w:rPr>
              <w:t>包</w:t>
            </w:r>
          </w:p>
        </w:tc>
      </w:tr>
      <w:tr w14:paraId="26F2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74559C69">
            <w:pPr>
              <w:spacing w:line="360" w:lineRule="auto"/>
              <w:jc w:val="center"/>
              <w:rPr>
                <w:rFonts w:ascii="宋体" w:hAnsi="宋体" w:eastAsia="宋体"/>
                <w:b/>
                <w:color w:val="auto"/>
                <w:sz w:val="24"/>
                <w:highlight w:val="none"/>
              </w:rPr>
            </w:pPr>
            <w:r>
              <w:rPr>
                <w:rFonts w:hint="eastAsia" w:ascii="宋体" w:hAnsi="宋体" w:eastAsia="宋体"/>
                <w:b/>
                <w:bCs/>
                <w:color w:val="auto"/>
                <w:sz w:val="24"/>
                <w:szCs w:val="28"/>
                <w:highlight w:val="none"/>
              </w:rPr>
              <w:t>最后报价</w:t>
            </w:r>
          </w:p>
          <w:p w14:paraId="07D5B143">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7" w:type="pct"/>
            <w:vAlign w:val="center"/>
          </w:tcPr>
          <w:p w14:paraId="71833B03">
            <w:pPr>
              <w:snapToGrid w:val="0"/>
              <w:spacing w:line="360" w:lineRule="auto"/>
              <w:rPr>
                <w:rFonts w:ascii="宋体" w:hAnsi="宋体" w:eastAsia="宋体"/>
                <w:color w:val="auto"/>
                <w:sz w:val="24"/>
                <w:szCs w:val="28"/>
                <w:highlight w:val="none"/>
              </w:rPr>
            </w:pPr>
          </w:p>
          <w:p w14:paraId="6851859B">
            <w:pPr>
              <w:snapToGrid w:val="0"/>
              <w:spacing w:line="360" w:lineRule="auto"/>
              <w:jc w:val="left"/>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人民币大写：</w:t>
            </w:r>
            <w:r>
              <w:rPr>
                <w:rFonts w:hint="eastAsia" w:ascii="宋体" w:hAnsi="宋体" w:eastAsia="宋体" w:cs="宋体"/>
                <w:bCs/>
                <w:color w:val="auto"/>
                <w:sz w:val="24"/>
                <w:szCs w:val="24"/>
                <w:highlight w:val="none"/>
                <w:u w:val="single"/>
              </w:rPr>
              <w:t xml:space="preserve">                     </w:t>
            </w:r>
          </w:p>
          <w:p w14:paraId="4E8FD047">
            <w:pPr>
              <w:spacing w:line="360" w:lineRule="auto"/>
              <w:ind w:right="-670"/>
              <w:rPr>
                <w:rFonts w:ascii="宋体" w:hAnsi="宋体" w:eastAsia="宋体"/>
                <w:b/>
                <w:color w:val="auto"/>
                <w:sz w:val="24"/>
                <w:highlight w:val="none"/>
              </w:rPr>
            </w:pPr>
            <w:r>
              <w:rPr>
                <w:rFonts w:hint="eastAsia" w:ascii="宋体" w:hAnsi="宋体" w:eastAsia="宋体" w:cs="宋体"/>
                <w:bCs/>
                <w:color w:val="auto"/>
                <w:sz w:val="24"/>
                <w:szCs w:val="24"/>
                <w:highlight w:val="none"/>
              </w:rPr>
              <w:t>人民币小写：</w:t>
            </w:r>
            <w:r>
              <w:rPr>
                <w:rFonts w:hint="eastAsia" w:ascii="宋体" w:hAnsi="宋体" w:eastAsia="宋体" w:cs="宋体"/>
                <w:bCs/>
                <w:color w:val="auto"/>
                <w:sz w:val="24"/>
                <w:szCs w:val="24"/>
                <w:highlight w:val="none"/>
                <w:u w:val="single"/>
              </w:rPr>
              <w:t xml:space="preserve">                     </w:t>
            </w:r>
          </w:p>
        </w:tc>
      </w:tr>
      <w:tr w14:paraId="38CC6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1443" w:type="pct"/>
            <w:vAlign w:val="center"/>
          </w:tcPr>
          <w:p w14:paraId="1D12351D">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备注说明</w:t>
            </w:r>
          </w:p>
        </w:tc>
        <w:tc>
          <w:tcPr>
            <w:tcW w:w="3557" w:type="pct"/>
          </w:tcPr>
          <w:p w14:paraId="53C6D983">
            <w:pPr>
              <w:spacing w:line="360" w:lineRule="auto"/>
              <w:rPr>
                <w:rFonts w:ascii="宋体" w:hAnsi="宋体" w:eastAsia="宋体"/>
                <w:b/>
                <w:color w:val="auto"/>
                <w:sz w:val="24"/>
                <w:highlight w:val="none"/>
              </w:rPr>
            </w:pPr>
            <w:r>
              <w:rPr>
                <w:rFonts w:hint="eastAsia" w:ascii="宋体" w:hAnsi="宋体" w:eastAsia="宋体"/>
                <w:b/>
                <w:i/>
                <w:color w:val="auto"/>
                <w:sz w:val="24"/>
                <w:highlight w:val="none"/>
              </w:rPr>
              <w:t>（此处可补充磋商小组根据与供应商磋商情况变动的磋商文件的内容，包括采购需求中的技术、服务要求以及合同草案条款。）</w:t>
            </w:r>
          </w:p>
        </w:tc>
      </w:tr>
      <w:tr w14:paraId="33107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43" w:type="pct"/>
            <w:vAlign w:val="center"/>
          </w:tcPr>
          <w:p w14:paraId="5C2407A2">
            <w:pPr>
              <w:spacing w:line="360" w:lineRule="auto"/>
              <w:jc w:val="center"/>
              <w:rPr>
                <w:rFonts w:ascii="宋体" w:hAnsi="宋体" w:eastAsia="宋体"/>
                <w:b/>
                <w:color w:val="auto"/>
                <w:sz w:val="24"/>
                <w:highlight w:val="none"/>
              </w:rPr>
            </w:pPr>
            <w:r>
              <w:rPr>
                <w:rFonts w:hint="eastAsia" w:ascii="宋体" w:hAnsi="宋体" w:eastAsia="宋体"/>
                <w:b/>
                <w:bCs/>
                <w:color w:val="auto"/>
                <w:sz w:val="24"/>
                <w:szCs w:val="28"/>
                <w:highlight w:val="none"/>
              </w:rPr>
              <w:t>磋商小组</w:t>
            </w:r>
            <w:r>
              <w:rPr>
                <w:rFonts w:ascii="宋体" w:hAnsi="宋体" w:eastAsia="宋体"/>
                <w:b/>
                <w:bCs/>
                <w:color w:val="auto"/>
                <w:sz w:val="24"/>
                <w:szCs w:val="28"/>
                <w:highlight w:val="none"/>
              </w:rPr>
              <w:t>签字</w:t>
            </w:r>
          </w:p>
        </w:tc>
        <w:tc>
          <w:tcPr>
            <w:tcW w:w="3557" w:type="pct"/>
          </w:tcPr>
          <w:p w14:paraId="2A774E09">
            <w:pPr>
              <w:spacing w:line="360" w:lineRule="auto"/>
              <w:rPr>
                <w:rFonts w:ascii="宋体" w:hAnsi="宋体" w:eastAsia="宋体"/>
                <w:b/>
                <w:color w:val="auto"/>
                <w:sz w:val="24"/>
                <w:highlight w:val="none"/>
              </w:rPr>
            </w:pPr>
          </w:p>
        </w:tc>
      </w:tr>
    </w:tbl>
    <w:p w14:paraId="756D7CF7">
      <w:pPr>
        <w:spacing w:line="360" w:lineRule="auto"/>
        <w:ind w:firstLine="3600" w:firstLineChars="1500"/>
        <w:jc w:val="left"/>
        <w:rPr>
          <w:rFonts w:ascii="宋体" w:hAnsi="宋体" w:eastAsia="宋体"/>
          <w:color w:val="auto"/>
          <w:sz w:val="24"/>
          <w:highlight w:val="none"/>
        </w:rPr>
      </w:pPr>
      <w:r>
        <w:rPr>
          <w:rFonts w:hint="eastAsia" w:ascii="宋体" w:hAnsi="宋体" w:eastAsia="宋体"/>
          <w:color w:val="auto"/>
          <w:sz w:val="24"/>
          <w:highlight w:val="none"/>
        </w:rPr>
        <w:t>供应商公章或授权代表签字：</w:t>
      </w:r>
      <w:r>
        <w:rPr>
          <w:rFonts w:hint="eastAsia" w:ascii="宋体" w:hAnsi="宋体" w:eastAsia="宋体"/>
          <w:color w:val="auto"/>
          <w:sz w:val="24"/>
          <w:highlight w:val="none"/>
          <w:u w:val="single"/>
        </w:rPr>
        <w:t xml:space="preserve">             </w:t>
      </w:r>
    </w:p>
    <w:p w14:paraId="4AE62776">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127CE8E5">
      <w:pPr>
        <w:spacing w:line="360" w:lineRule="auto"/>
        <w:jc w:val="left"/>
        <w:rPr>
          <w:rFonts w:ascii="宋体" w:hAnsi="宋体" w:eastAsia="宋体"/>
          <w:b/>
          <w:bCs/>
          <w:color w:val="auto"/>
          <w:sz w:val="24"/>
          <w:highlight w:val="none"/>
        </w:rPr>
      </w:pPr>
      <w:r>
        <w:rPr>
          <w:rFonts w:hint="eastAsia" w:ascii="宋体" w:hAnsi="宋体" w:eastAsia="宋体"/>
          <w:b/>
          <w:bCs/>
          <w:color w:val="auto"/>
          <w:sz w:val="24"/>
          <w:highlight w:val="none"/>
        </w:rPr>
        <w:t>注：</w:t>
      </w:r>
    </w:p>
    <w:p w14:paraId="2C70EB4E">
      <w:pPr>
        <w:spacing w:line="360" w:lineRule="auto"/>
        <w:ind w:firstLine="482" w:firstLineChars="200"/>
        <w:jc w:val="left"/>
        <w:rPr>
          <w:rFonts w:ascii="宋体" w:hAnsi="宋体" w:eastAsia="宋体"/>
          <w:bCs/>
          <w:color w:val="auto"/>
          <w:sz w:val="24"/>
          <w:highlight w:val="none"/>
        </w:rPr>
      </w:pPr>
      <w:r>
        <w:rPr>
          <w:rFonts w:hint="eastAsia" w:ascii="宋体" w:hAnsi="宋体" w:eastAsia="宋体"/>
          <w:b/>
          <w:bCs/>
          <w:color w:val="auto"/>
          <w:sz w:val="24"/>
          <w:highlight w:val="none"/>
        </w:rPr>
        <w:t>1.本页《报价表》由供应商在接到报价通知后依据磋商情况填写,并在规定时间内提交。</w:t>
      </w:r>
      <w:r>
        <w:rPr>
          <w:rFonts w:hint="eastAsia" w:ascii="宋体" w:hAnsi="宋体" w:eastAsia="宋体"/>
          <w:color w:val="auto"/>
          <w:sz w:val="24"/>
          <w:highlight w:val="none"/>
        </w:rPr>
        <w:t>考虑磋商报价的方便，供应商在填写最后承诺报价后，（第一次报价-最后承诺报价）除以第一次报价后得出的优惠率视同为需求表中全部分项设备、工程量或服务的优惠浮动值（特定分项优惠除外），而不考虑措施项目清单和规费税金清单的金额改变。</w:t>
      </w:r>
      <w:r>
        <w:rPr>
          <w:rFonts w:hint="eastAsia" w:ascii="宋体" w:hAnsi="宋体" w:eastAsia="宋体"/>
          <w:bCs/>
          <w:color w:val="auto"/>
          <w:sz w:val="24"/>
          <w:highlight w:val="none"/>
        </w:rPr>
        <w:t>此优惠率调整原则适用于合同内价格的计算及项目增减、变更时价格的计算。</w:t>
      </w:r>
    </w:p>
    <w:p w14:paraId="7BDE1392">
      <w:pPr>
        <w:adjustRightInd w:val="0"/>
        <w:snapToGrid w:val="0"/>
        <w:spacing w:line="360" w:lineRule="auto"/>
        <w:ind w:firstLine="482" w:firstLineChars="200"/>
        <w:rPr>
          <w:rFonts w:ascii="宋体" w:hAnsi="宋体" w:eastAsia="宋体"/>
          <w:bCs/>
          <w:color w:val="auto"/>
          <w:sz w:val="24"/>
          <w:highlight w:val="none"/>
        </w:rPr>
      </w:pPr>
      <w:r>
        <w:rPr>
          <w:rFonts w:hint="eastAsia" w:ascii="宋体" w:hAnsi="宋体" w:eastAsia="宋体"/>
          <w:b/>
          <w:bCs/>
          <w:color w:val="auto"/>
          <w:sz w:val="24"/>
          <w:szCs w:val="28"/>
          <w:highlight w:val="none"/>
        </w:rPr>
        <w:t>2.表中大写金额与小写金额不一致的，以大写金额为准。</w:t>
      </w:r>
    </w:p>
    <w:p w14:paraId="5C675E81">
      <w:pPr>
        <w:widowControl/>
        <w:jc w:val="left"/>
        <w:rPr>
          <w:rFonts w:ascii="宋体" w:hAnsi="宋体" w:eastAsia="宋体"/>
          <w:bCs/>
          <w:color w:val="auto"/>
          <w:sz w:val="24"/>
          <w:highlight w:val="none"/>
        </w:rPr>
      </w:pPr>
      <w:r>
        <w:rPr>
          <w:rFonts w:ascii="宋体" w:hAnsi="宋体" w:eastAsia="宋体"/>
          <w:bCs/>
          <w:color w:val="auto"/>
          <w:sz w:val="24"/>
          <w:highlight w:val="none"/>
        </w:rPr>
        <w:br w:type="page"/>
      </w:r>
    </w:p>
    <w:p w14:paraId="638B7A8D">
      <w:pPr>
        <w:spacing w:line="360" w:lineRule="auto"/>
        <w:jc w:val="center"/>
        <w:outlineLvl w:val="1"/>
        <w:rPr>
          <w:rFonts w:asciiTheme="minorEastAsia" w:hAnsiTheme="minorEastAsia" w:eastAsiaTheme="minorEastAsia"/>
          <w:b/>
          <w:color w:val="auto"/>
          <w:sz w:val="24"/>
          <w:highlight w:val="none"/>
        </w:rPr>
      </w:pPr>
      <w:bookmarkStart w:id="198" w:name="_Toc11500"/>
      <w:bookmarkStart w:id="199" w:name="_Toc520983591"/>
      <w:bookmarkStart w:id="200" w:name="_Toc32385"/>
      <w:r>
        <w:rPr>
          <w:rFonts w:hint="eastAsia" w:asciiTheme="minorEastAsia" w:hAnsiTheme="minorEastAsia" w:eastAsiaTheme="minorEastAsia"/>
          <w:b/>
          <w:color w:val="auto"/>
          <w:sz w:val="24"/>
          <w:highlight w:val="none"/>
        </w:rPr>
        <w:t>三、磋商响应函</w:t>
      </w:r>
      <w:bookmarkEnd w:id="198"/>
      <w:bookmarkEnd w:id="199"/>
      <w:bookmarkEnd w:id="200"/>
    </w:p>
    <w:p w14:paraId="1544763F">
      <w:pPr>
        <w:pStyle w:val="13"/>
        <w:spacing w:line="360" w:lineRule="auto"/>
        <w:rPr>
          <w:rFonts w:ascii="宋体" w:hAnsi="宋体"/>
          <w:color w:val="auto"/>
          <w:sz w:val="24"/>
          <w:highlight w:val="none"/>
        </w:rPr>
      </w:pPr>
      <w:r>
        <w:rPr>
          <w:rFonts w:hint="eastAsia" w:ascii="宋体" w:hAnsi="宋体"/>
          <w:color w:val="auto"/>
          <w:sz w:val="24"/>
          <w:highlight w:val="none"/>
        </w:rPr>
        <w:t>致：采购人</w:t>
      </w:r>
    </w:p>
    <w:p w14:paraId="7B6E1CEE">
      <w:pPr>
        <w:spacing w:line="360" w:lineRule="auto"/>
        <w:ind w:firstLine="480" w:firstLineChars="200"/>
        <w:rPr>
          <w:rFonts w:ascii="宋体" w:hAnsi="宋体" w:eastAsia="宋体"/>
          <w:dstrike/>
          <w:color w:val="auto"/>
          <w:sz w:val="24"/>
          <w:highlight w:val="none"/>
        </w:rPr>
      </w:pPr>
      <w:r>
        <w:rPr>
          <w:rFonts w:hint="eastAsia" w:ascii="宋体" w:hAnsi="宋体" w:eastAsia="宋体"/>
          <w:color w:val="auto"/>
          <w:sz w:val="24"/>
          <w:highlight w:val="none"/>
        </w:rPr>
        <w:t>根据贵方的</w:t>
      </w:r>
      <w:bookmarkStart w:id="201" w:name="_Hlk44287543"/>
      <w:r>
        <w:rPr>
          <w:rFonts w:hint="eastAsia" w:ascii="宋体" w:hAnsi="宋体" w:eastAsia="宋体"/>
          <w:color w:val="auto"/>
          <w:sz w:val="24"/>
          <w:highlight w:val="none"/>
        </w:rPr>
        <w:t>竞争性磋商公告和磋商邀请</w:t>
      </w:r>
      <w:bookmarkEnd w:id="201"/>
      <w:r>
        <w:rPr>
          <w:rFonts w:hint="eastAsia" w:ascii="宋体" w:hAnsi="宋体" w:eastAsia="宋体"/>
          <w:color w:val="auto"/>
          <w:sz w:val="24"/>
          <w:highlight w:val="none"/>
        </w:rPr>
        <w:t>，我方兹宣布同意如下：</w:t>
      </w:r>
    </w:p>
    <w:p w14:paraId="78882FD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宋体" w:hAnsi="宋体" w:eastAsia="宋体" w:cs="宋体"/>
          <w:color w:val="auto"/>
          <w:sz w:val="24"/>
          <w:szCs w:val="24"/>
          <w:highlight w:val="none"/>
        </w:rPr>
        <w:t>我方根据磋商文件的规定，严格履行合同的责任和义务,并保证于买方要求的日期内完成，并通过买方验收。</w:t>
      </w:r>
    </w:p>
    <w:p w14:paraId="4E995D7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2.我方已详细审核全部磋商文件，包括磋商文件附件及更正公告（如有），我方正式认可并遵守本次磋商文件，并对磋商文件各项条款、规定及要求均无异议。</w:t>
      </w:r>
    </w:p>
    <w:p w14:paraId="1653737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3.我方同意从磋商文件规定的磋商日期起遵循本磋商文件，并在磋商文件规定的磋商有效期之前均具有约束力。</w:t>
      </w:r>
    </w:p>
    <w:p w14:paraId="5804231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我方声明响应文件所提供的一切资料均真实无误、及时、有效，企业运营正常。由于我方提供资料不实而造成的责任和后果由我方承担。我方同意按照贵方提出的要求，提供与磋商有关的任何证据、数据或资料。</w:t>
      </w:r>
    </w:p>
    <w:p w14:paraId="20EB68CA">
      <w:pPr>
        <w:spacing w:line="360" w:lineRule="auto"/>
        <w:ind w:firstLine="480" w:firstLineChars="200"/>
        <w:rPr>
          <w:rFonts w:ascii="宋体" w:hAnsi="宋体" w:eastAsia="宋体"/>
          <w:color w:val="auto"/>
          <w:sz w:val="24"/>
          <w:highlight w:val="none"/>
        </w:rPr>
      </w:pPr>
    </w:p>
    <w:p w14:paraId="028AAF0D">
      <w:pPr>
        <w:spacing w:line="360" w:lineRule="auto"/>
        <w:ind w:firstLine="4800" w:firstLineChars="2000"/>
        <w:rPr>
          <w:rFonts w:ascii="宋体" w:hAnsi="宋体" w:eastAsia="宋体"/>
          <w:color w:val="auto"/>
          <w:sz w:val="24"/>
          <w:highlight w:val="none"/>
        </w:rPr>
      </w:pPr>
      <w:r>
        <w:rPr>
          <w:rFonts w:hint="eastAsia" w:ascii="宋体" w:hAnsi="宋体" w:eastAsia="宋体"/>
          <w:color w:val="auto"/>
          <w:sz w:val="24"/>
          <w:highlight w:val="none"/>
        </w:rPr>
        <w:t>供应商电子签章：</w:t>
      </w:r>
      <w:r>
        <w:rPr>
          <w:rFonts w:hint="eastAsia" w:ascii="宋体" w:hAnsi="宋体" w:eastAsia="宋体"/>
          <w:color w:val="auto"/>
          <w:sz w:val="24"/>
          <w:highlight w:val="none"/>
          <w:u w:val="single"/>
        </w:rPr>
        <w:t xml:space="preserve">             </w:t>
      </w:r>
    </w:p>
    <w:p w14:paraId="09A11571">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7612F837">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22F48409">
      <w:pPr>
        <w:spacing w:line="360" w:lineRule="auto"/>
        <w:jc w:val="center"/>
        <w:outlineLvl w:val="1"/>
        <w:rPr>
          <w:rFonts w:asciiTheme="minorEastAsia" w:hAnsiTheme="minorEastAsia" w:eastAsiaTheme="minorEastAsia"/>
          <w:b/>
          <w:color w:val="auto"/>
          <w:sz w:val="24"/>
          <w:highlight w:val="none"/>
        </w:rPr>
      </w:pPr>
      <w:bookmarkStart w:id="202" w:name="_Toc21328"/>
      <w:r>
        <w:rPr>
          <w:rFonts w:hint="eastAsia" w:asciiTheme="minorEastAsia" w:hAnsiTheme="minorEastAsia" w:eastAsiaTheme="minorEastAsia"/>
          <w:b/>
          <w:color w:val="auto"/>
          <w:sz w:val="24"/>
          <w:highlight w:val="none"/>
        </w:rPr>
        <w:t>四、供应商资格声明书</w:t>
      </w:r>
      <w:bookmarkEnd w:id="202"/>
    </w:p>
    <w:p w14:paraId="47EF5992">
      <w:pPr>
        <w:pStyle w:val="13"/>
        <w:spacing w:line="360" w:lineRule="auto"/>
        <w:rPr>
          <w:rFonts w:asciiTheme="minorEastAsia" w:hAnsiTheme="minorEastAsia" w:cstheme="minorEastAsia"/>
          <w:color w:val="auto"/>
          <w:sz w:val="24"/>
          <w:szCs w:val="24"/>
          <w:highlight w:val="none"/>
        </w:rPr>
      </w:pPr>
      <w:r>
        <w:rPr>
          <w:rFonts w:hint="eastAsia" w:ascii="宋体" w:hAnsi="宋体"/>
          <w:color w:val="auto"/>
          <w:sz w:val="24"/>
          <w:highlight w:val="none"/>
        </w:rPr>
        <w:t>致：采购人</w:t>
      </w:r>
    </w:p>
    <w:p w14:paraId="1D6EC97A">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在参与本次项目磋商中，我单位承诺：</w:t>
      </w:r>
    </w:p>
    <w:p w14:paraId="7F31E4F8">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（一）具有良好的商业信誉和健全的财务会计制度；</w:t>
      </w:r>
    </w:p>
    <w:p w14:paraId="6260DBF1">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（二）具有履行合同所必需的设备和专业技术能力；</w:t>
      </w:r>
    </w:p>
    <w:p w14:paraId="632972F1">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（三）有依法缴纳税收和社会保障资金的良好记录；</w:t>
      </w:r>
    </w:p>
    <w:p w14:paraId="37189C66">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51B97B3">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（五）我单位不存在为采购项目提供整体设计、规范编制或者项目管理、监理、检测等服务后，再参加该采购项目的其他采购活动的情形（单一来源采购项目除外）；</w:t>
      </w:r>
    </w:p>
    <w:p w14:paraId="0C1D68A1">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（六）与我单位存在单位负责人为同一人或者存在直接控股、管理关系的其他法人单位信息如下（如有，不论其是否参加同一合同项下的政府采购活动均须填写）：</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1"/>
        <w:gridCol w:w="4191"/>
        <w:gridCol w:w="2510"/>
      </w:tblGrid>
      <w:tr w14:paraId="7D70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2BCB16FC">
            <w:pPr>
              <w:widowControl/>
              <w:spacing w:line="360" w:lineRule="auto"/>
              <w:jc w:val="center"/>
              <w:rPr>
                <w:rFonts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序号</w:t>
            </w:r>
          </w:p>
        </w:tc>
        <w:tc>
          <w:tcPr>
            <w:tcW w:w="4501" w:type="dxa"/>
          </w:tcPr>
          <w:p w14:paraId="02C1DE0C">
            <w:pPr>
              <w:pStyle w:val="9"/>
              <w:jc w:val="center"/>
              <w:rPr>
                <w:rFonts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单位名称</w:t>
            </w:r>
          </w:p>
        </w:tc>
        <w:tc>
          <w:tcPr>
            <w:tcW w:w="2681" w:type="dxa"/>
          </w:tcPr>
          <w:p w14:paraId="029BDFF8">
            <w:pPr>
              <w:pStyle w:val="9"/>
              <w:jc w:val="center"/>
              <w:rPr>
                <w:rFonts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相互关系</w:t>
            </w:r>
          </w:p>
        </w:tc>
      </w:tr>
      <w:tr w14:paraId="59880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24923E9B">
            <w:pPr>
              <w:pStyle w:val="9"/>
              <w:jc w:val="center"/>
              <w:rPr>
                <w:rFonts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1</w:t>
            </w:r>
          </w:p>
        </w:tc>
        <w:tc>
          <w:tcPr>
            <w:tcW w:w="4501" w:type="dxa"/>
          </w:tcPr>
          <w:p w14:paraId="6D1E563C">
            <w:pPr>
              <w:pStyle w:val="9"/>
              <w:jc w:val="center"/>
              <w:rPr>
                <w:rFonts w:asciiTheme="minorEastAsia" w:hAnsiTheme="minorEastAsia" w:eastAsiaTheme="minorEastAsia" w:cstheme="minorEastAsia"/>
                <w:color w:val="auto"/>
                <w:kern w:val="0"/>
                <w:sz w:val="24"/>
                <w:highlight w:val="none"/>
                <w:lang w:val="en-US" w:bidi="ar"/>
              </w:rPr>
            </w:pPr>
          </w:p>
        </w:tc>
        <w:tc>
          <w:tcPr>
            <w:tcW w:w="2681" w:type="dxa"/>
          </w:tcPr>
          <w:p w14:paraId="45144024">
            <w:pPr>
              <w:pStyle w:val="9"/>
              <w:jc w:val="center"/>
              <w:rPr>
                <w:rFonts w:asciiTheme="minorEastAsia" w:hAnsiTheme="minorEastAsia" w:eastAsiaTheme="minorEastAsia" w:cstheme="minorEastAsia"/>
                <w:color w:val="auto"/>
                <w:kern w:val="0"/>
                <w:sz w:val="24"/>
                <w:highlight w:val="none"/>
                <w:lang w:val="en-US" w:bidi="ar"/>
              </w:rPr>
            </w:pPr>
          </w:p>
        </w:tc>
      </w:tr>
      <w:tr w14:paraId="34C5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4265E36F">
            <w:pPr>
              <w:pStyle w:val="9"/>
              <w:jc w:val="center"/>
              <w:rPr>
                <w:rFonts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2</w:t>
            </w:r>
          </w:p>
        </w:tc>
        <w:tc>
          <w:tcPr>
            <w:tcW w:w="4501" w:type="dxa"/>
          </w:tcPr>
          <w:p w14:paraId="60A239F4">
            <w:pPr>
              <w:pStyle w:val="9"/>
              <w:jc w:val="center"/>
              <w:rPr>
                <w:rFonts w:asciiTheme="minorEastAsia" w:hAnsiTheme="minorEastAsia" w:eastAsiaTheme="minorEastAsia" w:cstheme="minorEastAsia"/>
                <w:color w:val="auto"/>
                <w:kern w:val="0"/>
                <w:sz w:val="24"/>
                <w:highlight w:val="none"/>
                <w:lang w:val="en-US" w:bidi="ar"/>
              </w:rPr>
            </w:pPr>
          </w:p>
        </w:tc>
        <w:tc>
          <w:tcPr>
            <w:tcW w:w="2681" w:type="dxa"/>
          </w:tcPr>
          <w:p w14:paraId="2F45D7B5">
            <w:pPr>
              <w:pStyle w:val="9"/>
              <w:jc w:val="center"/>
              <w:rPr>
                <w:rFonts w:asciiTheme="minorEastAsia" w:hAnsiTheme="minorEastAsia" w:eastAsiaTheme="minorEastAsia" w:cstheme="minorEastAsia"/>
                <w:color w:val="auto"/>
                <w:kern w:val="0"/>
                <w:sz w:val="24"/>
                <w:highlight w:val="none"/>
                <w:lang w:val="en-US" w:bidi="ar"/>
              </w:rPr>
            </w:pPr>
          </w:p>
        </w:tc>
      </w:tr>
    </w:tbl>
    <w:p w14:paraId="25A854A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69B37F37">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供应商电子签章：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4EA4664F">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7C4B9445">
      <w:pPr>
        <w:spacing w:line="440" w:lineRule="exact"/>
        <w:ind w:firstLine="4800" w:firstLineChars="2000"/>
        <w:rPr>
          <w:rFonts w:ascii="宋体" w:hAnsi="宋体" w:eastAsia="宋体"/>
          <w:color w:val="auto"/>
          <w:sz w:val="24"/>
          <w:szCs w:val="24"/>
          <w:highlight w:val="none"/>
          <w:u w:val="single"/>
        </w:rPr>
      </w:pPr>
    </w:p>
    <w:p w14:paraId="05234155">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708795A8">
      <w:pPr>
        <w:spacing w:line="360" w:lineRule="auto"/>
        <w:jc w:val="center"/>
        <w:outlineLvl w:val="1"/>
        <w:rPr>
          <w:rFonts w:asciiTheme="minorEastAsia" w:hAnsiTheme="minorEastAsia" w:eastAsiaTheme="minorEastAsia"/>
          <w:b/>
          <w:color w:val="auto"/>
          <w:sz w:val="24"/>
          <w:highlight w:val="none"/>
        </w:rPr>
      </w:pPr>
      <w:bookmarkStart w:id="203" w:name="_Toc516969106"/>
      <w:bookmarkStart w:id="204" w:name="_Toc31518"/>
      <w:bookmarkStart w:id="205" w:name="_Toc26922"/>
      <w:bookmarkStart w:id="206" w:name="_Toc121626298"/>
      <w:bookmarkStart w:id="207" w:name="_Toc520983594"/>
      <w:bookmarkStart w:id="208" w:name="_Toc204594911"/>
      <w:r>
        <w:rPr>
          <w:rFonts w:hint="eastAsia" w:asciiTheme="minorEastAsia" w:hAnsiTheme="minorEastAsia" w:eastAsiaTheme="minorEastAsia"/>
          <w:b/>
          <w:color w:val="auto"/>
          <w:sz w:val="24"/>
          <w:highlight w:val="none"/>
        </w:rPr>
        <w:t>五、授权书</w:t>
      </w:r>
      <w:bookmarkEnd w:id="203"/>
      <w:bookmarkEnd w:id="204"/>
      <w:bookmarkEnd w:id="205"/>
      <w:bookmarkEnd w:id="206"/>
      <w:bookmarkEnd w:id="207"/>
      <w:bookmarkEnd w:id="208"/>
    </w:p>
    <w:p w14:paraId="28458858">
      <w:pPr>
        <w:spacing w:line="360" w:lineRule="auto"/>
        <w:jc w:val="center"/>
        <w:rPr>
          <w:rFonts w:asciiTheme="minorEastAsia" w:hAnsiTheme="minorEastAsia" w:eastAsiaTheme="minorEastAsia"/>
          <w:b/>
          <w:color w:val="auto"/>
          <w:sz w:val="24"/>
          <w:highlight w:val="none"/>
        </w:rPr>
      </w:pPr>
    </w:p>
    <w:p w14:paraId="0E528280">
      <w:pPr>
        <w:pStyle w:val="12"/>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388FE66E">
      <w:pPr>
        <w:pStyle w:val="12"/>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44FC27E9">
      <w:pPr>
        <w:pStyle w:val="12"/>
        <w:snapToGrid w:val="0"/>
        <w:spacing w:line="360" w:lineRule="auto"/>
        <w:ind w:firstLine="480" w:firstLineChars="200"/>
        <w:jc w:val="left"/>
        <w:rPr>
          <w:rFonts w:hAnsi="宋体" w:eastAsia="宋体"/>
          <w:color w:val="auto"/>
          <w:sz w:val="24"/>
          <w:highlight w:val="none"/>
        </w:rPr>
      </w:pPr>
      <w:r>
        <w:rPr>
          <w:rFonts w:hint="eastAsia" w:hAnsi="宋体" w:eastAsia="宋体"/>
          <w:color w:val="auto"/>
          <w:sz w:val="24"/>
          <w:szCs w:val="28"/>
          <w:highlight w:val="none"/>
        </w:rPr>
        <w:t>授权代表</w:t>
      </w:r>
      <w:r>
        <w:rPr>
          <w:rFonts w:hint="eastAsia" w:hAnsi="宋体" w:eastAsia="宋体"/>
          <w:color w:val="auto"/>
          <w:sz w:val="24"/>
          <w:highlight w:val="none"/>
        </w:rPr>
        <w:t>身份证明扫描件：</w:t>
      </w:r>
    </w:p>
    <w:p w14:paraId="3BA310DA">
      <w:pPr>
        <w:pStyle w:val="12"/>
        <w:snapToGrid w:val="0"/>
        <w:spacing w:line="360" w:lineRule="auto"/>
        <w:ind w:firstLine="480" w:firstLineChars="200"/>
        <w:jc w:val="left"/>
        <w:rPr>
          <w:rFonts w:hAnsi="宋体" w:eastAsia="宋体"/>
          <w:color w:val="auto"/>
          <w:sz w:val="24"/>
          <w:highlight w:val="none"/>
        </w:rPr>
      </w:pPr>
    </w:p>
    <w:p w14:paraId="6BABEC32">
      <w:pPr>
        <w:pStyle w:val="12"/>
        <w:snapToGrid w:val="0"/>
        <w:spacing w:line="360" w:lineRule="auto"/>
        <w:ind w:firstLine="480" w:firstLineChars="200"/>
        <w:jc w:val="left"/>
        <w:rPr>
          <w:rFonts w:hAnsi="宋体" w:eastAsia="宋体"/>
          <w:color w:val="auto"/>
          <w:sz w:val="24"/>
          <w:highlight w:val="none"/>
        </w:rPr>
      </w:pPr>
    </w:p>
    <w:p w14:paraId="4CA7B159">
      <w:pPr>
        <w:pStyle w:val="12"/>
        <w:snapToGrid w:val="0"/>
        <w:spacing w:line="360" w:lineRule="auto"/>
        <w:ind w:firstLine="480" w:firstLineChars="200"/>
        <w:jc w:val="left"/>
        <w:rPr>
          <w:rFonts w:hAnsi="宋体" w:eastAsia="宋体"/>
          <w:color w:val="auto"/>
          <w:sz w:val="24"/>
          <w:highlight w:val="none"/>
        </w:rPr>
      </w:pPr>
    </w:p>
    <w:p w14:paraId="15674D63">
      <w:pPr>
        <w:pStyle w:val="12"/>
        <w:snapToGrid w:val="0"/>
        <w:spacing w:line="360" w:lineRule="auto"/>
        <w:ind w:firstLine="480" w:firstLineChars="200"/>
        <w:jc w:val="left"/>
        <w:rPr>
          <w:rFonts w:hAnsi="宋体" w:eastAsia="宋体"/>
          <w:color w:val="auto"/>
          <w:sz w:val="24"/>
          <w:highlight w:val="none"/>
        </w:rPr>
      </w:pPr>
    </w:p>
    <w:p w14:paraId="10FB95A4">
      <w:pPr>
        <w:pStyle w:val="12"/>
        <w:snapToGrid w:val="0"/>
        <w:spacing w:line="360" w:lineRule="auto"/>
        <w:ind w:firstLine="480" w:firstLineChars="200"/>
        <w:jc w:val="left"/>
        <w:rPr>
          <w:rFonts w:hAnsi="宋体" w:eastAsia="宋体"/>
          <w:color w:val="auto"/>
          <w:sz w:val="24"/>
          <w:szCs w:val="28"/>
          <w:highlight w:val="none"/>
          <w:u w:val="single"/>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1EFA6788">
      <w:pPr>
        <w:pStyle w:val="12"/>
        <w:snapToGrid w:val="0"/>
        <w:spacing w:line="360" w:lineRule="auto"/>
        <w:ind w:firstLine="480" w:firstLineChars="200"/>
        <w:jc w:val="left"/>
        <w:rPr>
          <w:rFonts w:hAnsi="宋体" w:eastAsia="宋体"/>
          <w:color w:val="auto"/>
          <w:sz w:val="24"/>
          <w:szCs w:val="28"/>
          <w:highlight w:val="none"/>
        </w:rPr>
      </w:pPr>
    </w:p>
    <w:p w14:paraId="05851A72">
      <w:pPr>
        <w:spacing w:line="360" w:lineRule="auto"/>
        <w:ind w:firstLine="360" w:firstLineChars="150"/>
        <w:rPr>
          <w:rFonts w:ascii="宋体" w:hAnsi="宋体" w:eastAsia="宋体"/>
          <w:color w:val="auto"/>
          <w:sz w:val="24"/>
          <w:szCs w:val="28"/>
          <w:highlight w:val="none"/>
        </w:rPr>
      </w:pPr>
      <w:r>
        <w:rPr>
          <w:rFonts w:hint="eastAsia" w:ascii="宋体" w:hAnsi="宋体" w:eastAsia="宋体"/>
          <w:color w:val="auto"/>
          <w:sz w:val="24"/>
          <w:szCs w:val="28"/>
          <w:highlight w:val="none"/>
        </w:rPr>
        <w:t>特此声明。</w:t>
      </w:r>
    </w:p>
    <w:p w14:paraId="555FE8DE">
      <w:pPr>
        <w:spacing w:line="360" w:lineRule="auto"/>
        <w:rPr>
          <w:rFonts w:ascii="宋体" w:hAnsi="宋体" w:eastAsia="宋体"/>
          <w:color w:val="auto"/>
          <w:sz w:val="24"/>
          <w:szCs w:val="28"/>
          <w:highlight w:val="none"/>
        </w:rPr>
      </w:pPr>
    </w:p>
    <w:p w14:paraId="4C046A54">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供应商电子签章：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4D9EF423">
      <w:pPr>
        <w:tabs>
          <w:tab w:val="left" w:pos="630"/>
        </w:tabs>
        <w:spacing w:line="360" w:lineRule="auto"/>
        <w:ind w:firstLine="4800" w:firstLineChars="2000"/>
        <w:rPr>
          <w:rFonts w:ascii="宋体" w:hAnsi="宋体" w:eastAsia="宋体"/>
          <w:color w:val="auto"/>
          <w:sz w:val="24"/>
          <w:szCs w:val="28"/>
          <w:highlight w:val="non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5BF3334B">
      <w:pPr>
        <w:spacing w:line="360" w:lineRule="auto"/>
        <w:rPr>
          <w:rFonts w:ascii="宋体" w:hAnsi="宋体" w:eastAsia="宋体"/>
          <w:color w:val="auto"/>
          <w:sz w:val="24"/>
          <w:szCs w:val="28"/>
          <w:highlight w:val="none"/>
        </w:rPr>
      </w:pPr>
    </w:p>
    <w:p w14:paraId="4F261D68">
      <w:pPr>
        <w:spacing w:line="360" w:lineRule="auto"/>
        <w:rPr>
          <w:rFonts w:ascii="宋体" w:hAnsi="宋体" w:eastAsia="宋体"/>
          <w:color w:val="auto"/>
          <w:sz w:val="24"/>
          <w:szCs w:val="28"/>
          <w:highlight w:val="none"/>
        </w:rPr>
      </w:pPr>
    </w:p>
    <w:p w14:paraId="521A3AC7">
      <w:pPr>
        <w:pStyle w:val="12"/>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注：</w:t>
      </w:r>
    </w:p>
    <w:p w14:paraId="78862118">
      <w:pPr>
        <w:pStyle w:val="12"/>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1.本项目只允许有唯一的供应商授权代表，提供身份证明扫描件；</w:t>
      </w:r>
    </w:p>
    <w:p w14:paraId="439CE05A">
      <w:pPr>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2.法定代表人参加磋商的无需提供授权书，仅提供身份证明扫描件。</w:t>
      </w:r>
    </w:p>
    <w:p w14:paraId="16EE55C9">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0AA7AF6B">
      <w:pPr>
        <w:spacing w:line="360" w:lineRule="auto"/>
        <w:jc w:val="center"/>
        <w:outlineLvl w:val="1"/>
        <w:rPr>
          <w:rFonts w:asciiTheme="minorEastAsia" w:hAnsiTheme="minorEastAsia" w:eastAsiaTheme="minorEastAsia"/>
          <w:b/>
          <w:color w:val="auto"/>
          <w:sz w:val="24"/>
          <w:highlight w:val="none"/>
        </w:rPr>
      </w:pPr>
      <w:bookmarkStart w:id="209" w:name="_Toc28033"/>
      <w:bookmarkStart w:id="210" w:name="_Toc22233"/>
      <w:r>
        <w:rPr>
          <w:rFonts w:hint="eastAsia" w:asciiTheme="minorEastAsia" w:hAnsiTheme="minorEastAsia" w:eastAsiaTheme="minorEastAsia"/>
          <w:b/>
          <w:color w:val="auto"/>
          <w:sz w:val="24"/>
          <w:highlight w:val="none"/>
        </w:rPr>
        <w:t>六、磋商响应表</w:t>
      </w:r>
      <w:bookmarkEnd w:id="209"/>
      <w:bookmarkEnd w:id="210"/>
    </w:p>
    <w:p w14:paraId="37122B16">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商务响应表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57149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7485D538">
            <w:pPr>
              <w:pStyle w:val="1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124" w:type="pct"/>
            <w:vAlign w:val="center"/>
          </w:tcPr>
          <w:p w14:paraId="587BBCE0">
            <w:pPr>
              <w:pStyle w:val="12"/>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1465" w:type="pct"/>
            <w:vAlign w:val="center"/>
          </w:tcPr>
          <w:p w14:paraId="1AE22AA0">
            <w:pPr>
              <w:pStyle w:val="1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磋商文件要求</w:t>
            </w:r>
          </w:p>
        </w:tc>
        <w:tc>
          <w:tcPr>
            <w:tcW w:w="1510" w:type="pct"/>
            <w:vAlign w:val="center"/>
          </w:tcPr>
          <w:p w14:paraId="18F80A3D">
            <w:pPr>
              <w:pStyle w:val="1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供应商承诺</w:t>
            </w:r>
          </w:p>
        </w:tc>
        <w:tc>
          <w:tcPr>
            <w:tcW w:w="475" w:type="pct"/>
            <w:vAlign w:val="center"/>
          </w:tcPr>
          <w:p w14:paraId="1C3FE4C1">
            <w:pPr>
              <w:pStyle w:val="1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5278A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7373F8D8">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124" w:type="pct"/>
            <w:vAlign w:val="center"/>
          </w:tcPr>
          <w:p w14:paraId="29E85546">
            <w:pPr>
              <w:jc w:val="center"/>
              <w:rPr>
                <w:rFonts w:ascii="宋体" w:hAnsi="宋体" w:eastAsia="宋体"/>
                <w:color w:val="auto"/>
                <w:sz w:val="24"/>
                <w:highlight w:val="none"/>
              </w:rPr>
            </w:pPr>
            <w:r>
              <w:rPr>
                <w:rFonts w:asciiTheme="minorEastAsia" w:hAnsiTheme="minorEastAsia" w:eastAsiaTheme="minorEastAsia"/>
                <w:color w:val="auto"/>
                <w:sz w:val="24"/>
                <w:highlight w:val="none"/>
              </w:rPr>
              <w:t>付款方式</w:t>
            </w:r>
          </w:p>
        </w:tc>
        <w:tc>
          <w:tcPr>
            <w:tcW w:w="1465" w:type="pct"/>
            <w:vAlign w:val="center"/>
          </w:tcPr>
          <w:p w14:paraId="5FDE5068">
            <w:pPr>
              <w:jc w:val="center"/>
              <w:rPr>
                <w:rFonts w:asciiTheme="minorEastAsia" w:hAnsiTheme="minorEastAsia" w:eastAsiaTheme="minorEastAsia"/>
                <w:color w:val="auto"/>
                <w:sz w:val="24"/>
                <w:highlight w:val="none"/>
              </w:rPr>
            </w:pPr>
          </w:p>
        </w:tc>
        <w:tc>
          <w:tcPr>
            <w:tcW w:w="1510" w:type="pct"/>
            <w:vAlign w:val="center"/>
          </w:tcPr>
          <w:p w14:paraId="533C568B">
            <w:pPr>
              <w:jc w:val="center"/>
              <w:rPr>
                <w:rFonts w:asciiTheme="minorEastAsia" w:hAnsiTheme="minorEastAsia" w:eastAsiaTheme="minorEastAsia"/>
                <w:color w:val="auto"/>
                <w:sz w:val="24"/>
                <w:highlight w:val="none"/>
              </w:rPr>
            </w:pPr>
          </w:p>
        </w:tc>
        <w:tc>
          <w:tcPr>
            <w:tcW w:w="475" w:type="pct"/>
            <w:vAlign w:val="center"/>
          </w:tcPr>
          <w:p w14:paraId="336ACB76">
            <w:pPr>
              <w:jc w:val="center"/>
              <w:rPr>
                <w:rFonts w:asciiTheme="minorEastAsia" w:hAnsiTheme="minorEastAsia" w:eastAsiaTheme="minorEastAsia"/>
                <w:color w:val="auto"/>
                <w:sz w:val="24"/>
                <w:highlight w:val="none"/>
              </w:rPr>
            </w:pPr>
          </w:p>
        </w:tc>
      </w:tr>
      <w:tr w14:paraId="4BE31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52B0B31B">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124" w:type="pct"/>
            <w:vAlign w:val="center"/>
          </w:tcPr>
          <w:p w14:paraId="48192501">
            <w:pPr>
              <w:jc w:val="center"/>
              <w:rPr>
                <w:rFonts w:ascii="宋体" w:hAnsi="宋体" w:eastAsia="宋体"/>
                <w:color w:val="auto"/>
                <w:sz w:val="24"/>
                <w:highlight w:val="none"/>
              </w:rPr>
            </w:pPr>
            <w:r>
              <w:rPr>
                <w:rFonts w:hint="eastAsia" w:ascii="宋体" w:hAnsi="宋体" w:eastAsia="宋体"/>
                <w:color w:val="auto"/>
                <w:sz w:val="24"/>
                <w:highlight w:val="none"/>
              </w:rPr>
              <w:t>服务地点</w:t>
            </w:r>
          </w:p>
        </w:tc>
        <w:tc>
          <w:tcPr>
            <w:tcW w:w="1465" w:type="pct"/>
            <w:vAlign w:val="center"/>
          </w:tcPr>
          <w:p w14:paraId="567722A4">
            <w:pPr>
              <w:jc w:val="center"/>
              <w:rPr>
                <w:rFonts w:asciiTheme="minorEastAsia" w:hAnsiTheme="minorEastAsia" w:eastAsiaTheme="minorEastAsia"/>
                <w:color w:val="auto"/>
                <w:sz w:val="24"/>
                <w:highlight w:val="none"/>
              </w:rPr>
            </w:pPr>
          </w:p>
        </w:tc>
        <w:tc>
          <w:tcPr>
            <w:tcW w:w="1510" w:type="pct"/>
            <w:vAlign w:val="center"/>
          </w:tcPr>
          <w:p w14:paraId="52BD1C72">
            <w:pPr>
              <w:jc w:val="center"/>
              <w:rPr>
                <w:rFonts w:asciiTheme="minorEastAsia" w:hAnsiTheme="minorEastAsia" w:eastAsiaTheme="minorEastAsia"/>
                <w:color w:val="auto"/>
                <w:sz w:val="24"/>
                <w:highlight w:val="none"/>
              </w:rPr>
            </w:pPr>
          </w:p>
        </w:tc>
        <w:tc>
          <w:tcPr>
            <w:tcW w:w="475" w:type="pct"/>
            <w:vAlign w:val="center"/>
          </w:tcPr>
          <w:p w14:paraId="3CAD06CA">
            <w:pPr>
              <w:jc w:val="center"/>
              <w:rPr>
                <w:rFonts w:asciiTheme="minorEastAsia" w:hAnsiTheme="minorEastAsia" w:eastAsiaTheme="minorEastAsia"/>
                <w:color w:val="auto"/>
                <w:sz w:val="24"/>
                <w:highlight w:val="none"/>
              </w:rPr>
            </w:pPr>
          </w:p>
        </w:tc>
      </w:tr>
      <w:tr w14:paraId="49370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19F7B8A6">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124" w:type="pct"/>
            <w:vAlign w:val="center"/>
          </w:tcPr>
          <w:p w14:paraId="5A0A65E9">
            <w:pPr>
              <w:jc w:val="center"/>
              <w:rPr>
                <w:rFonts w:ascii="宋体" w:hAnsi="宋体" w:eastAsia="宋体"/>
                <w:color w:val="auto"/>
                <w:sz w:val="24"/>
                <w:highlight w:val="none"/>
              </w:rPr>
            </w:pPr>
            <w:r>
              <w:rPr>
                <w:rFonts w:hint="eastAsia" w:ascii="宋体" w:hAnsi="宋体" w:eastAsia="宋体"/>
                <w:color w:val="auto"/>
                <w:sz w:val="24"/>
                <w:highlight w:val="none"/>
              </w:rPr>
              <w:t>服务期限</w:t>
            </w:r>
          </w:p>
        </w:tc>
        <w:tc>
          <w:tcPr>
            <w:tcW w:w="1465" w:type="pct"/>
            <w:vAlign w:val="center"/>
          </w:tcPr>
          <w:p w14:paraId="56EC35F1">
            <w:pPr>
              <w:jc w:val="center"/>
              <w:rPr>
                <w:rFonts w:asciiTheme="minorEastAsia" w:hAnsiTheme="minorEastAsia" w:eastAsiaTheme="minorEastAsia"/>
                <w:color w:val="auto"/>
                <w:sz w:val="24"/>
                <w:highlight w:val="none"/>
              </w:rPr>
            </w:pPr>
          </w:p>
        </w:tc>
        <w:tc>
          <w:tcPr>
            <w:tcW w:w="1510" w:type="pct"/>
            <w:vAlign w:val="center"/>
          </w:tcPr>
          <w:p w14:paraId="0E7F71F3">
            <w:pPr>
              <w:pStyle w:val="51"/>
              <w:jc w:val="center"/>
              <w:rPr>
                <w:rFonts w:asciiTheme="minorEastAsia" w:hAnsiTheme="minorEastAsia" w:eastAsiaTheme="minorEastAsia"/>
                <w:color w:val="auto"/>
                <w:highlight w:val="none"/>
              </w:rPr>
            </w:pPr>
          </w:p>
        </w:tc>
        <w:tc>
          <w:tcPr>
            <w:tcW w:w="475" w:type="pct"/>
            <w:vAlign w:val="center"/>
          </w:tcPr>
          <w:p w14:paraId="53B8ACD2">
            <w:pPr>
              <w:jc w:val="center"/>
              <w:rPr>
                <w:rFonts w:asciiTheme="minorEastAsia" w:hAnsiTheme="minorEastAsia" w:eastAsiaTheme="minorEastAsia"/>
                <w:color w:val="auto"/>
                <w:sz w:val="24"/>
                <w:highlight w:val="none"/>
              </w:rPr>
            </w:pPr>
          </w:p>
        </w:tc>
      </w:tr>
      <w:tr w14:paraId="4FC1D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9A547E1">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1124" w:type="pct"/>
            <w:vAlign w:val="center"/>
          </w:tcPr>
          <w:p w14:paraId="0C864EA4">
            <w:pPr>
              <w:jc w:val="center"/>
              <w:rPr>
                <w:rFonts w:ascii="宋体" w:hAnsi="宋体" w:eastAsia="宋体"/>
                <w:color w:val="auto"/>
                <w:sz w:val="24"/>
                <w:highlight w:val="none"/>
              </w:rPr>
            </w:pPr>
            <w:r>
              <w:rPr>
                <w:rFonts w:hint="eastAsia" w:ascii="宋体" w:hAnsi="宋体" w:eastAsia="宋体"/>
                <w:color w:val="auto"/>
                <w:sz w:val="24"/>
                <w:highlight w:val="none"/>
              </w:rPr>
              <w:t>“采购需求”所列的所有内容</w:t>
            </w:r>
          </w:p>
        </w:tc>
        <w:tc>
          <w:tcPr>
            <w:tcW w:w="1465" w:type="pct"/>
            <w:vAlign w:val="center"/>
          </w:tcPr>
          <w:p w14:paraId="1B8C7FA8">
            <w:pPr>
              <w:jc w:val="center"/>
              <w:rPr>
                <w:rFonts w:asciiTheme="minorEastAsia" w:hAnsiTheme="minorEastAsia" w:eastAsiaTheme="minorEastAsia"/>
                <w:color w:val="auto"/>
                <w:sz w:val="24"/>
                <w:highlight w:val="none"/>
              </w:rPr>
            </w:pPr>
          </w:p>
        </w:tc>
        <w:tc>
          <w:tcPr>
            <w:tcW w:w="1510" w:type="pct"/>
            <w:vAlign w:val="center"/>
          </w:tcPr>
          <w:p w14:paraId="71F451EF">
            <w:pPr>
              <w:jc w:val="center"/>
              <w:rPr>
                <w:rFonts w:asciiTheme="minorEastAsia" w:hAnsiTheme="minorEastAsia" w:eastAsiaTheme="minorEastAsia"/>
                <w:color w:val="auto"/>
                <w:sz w:val="24"/>
                <w:highlight w:val="none"/>
              </w:rPr>
            </w:pPr>
          </w:p>
        </w:tc>
        <w:tc>
          <w:tcPr>
            <w:tcW w:w="475" w:type="pct"/>
            <w:vAlign w:val="center"/>
          </w:tcPr>
          <w:p w14:paraId="18A771CD">
            <w:pPr>
              <w:jc w:val="center"/>
              <w:rPr>
                <w:rFonts w:asciiTheme="minorEastAsia" w:hAnsiTheme="minorEastAsia" w:eastAsiaTheme="minorEastAsia"/>
                <w:color w:val="auto"/>
                <w:sz w:val="24"/>
                <w:highlight w:val="none"/>
              </w:rPr>
            </w:pPr>
          </w:p>
        </w:tc>
      </w:tr>
    </w:tbl>
    <w:p w14:paraId="5B020531">
      <w:pPr>
        <w:spacing w:line="360" w:lineRule="auto"/>
        <w:ind w:firstLine="4800" w:firstLineChars="2000"/>
        <w:rPr>
          <w:rFonts w:ascii="宋体" w:hAnsi="宋体" w:eastAsia="宋体"/>
          <w:color w:val="auto"/>
          <w:sz w:val="24"/>
          <w:highlight w:val="none"/>
        </w:rPr>
      </w:pPr>
    </w:p>
    <w:p w14:paraId="5580A43C">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供应商电子签章：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3DCA4D3F">
      <w:pPr>
        <w:tabs>
          <w:tab w:val="left" w:pos="630"/>
        </w:tabs>
        <w:spacing w:line="360" w:lineRule="auto"/>
        <w:ind w:firstLine="4800" w:firstLineChars="2000"/>
        <w:rPr>
          <w:rFonts w:asciiTheme="minorEastAsia" w:hAnsiTheme="minorEastAsia" w:eastAsiaTheme="minorEastAsia"/>
          <w:color w:val="auto"/>
          <w:sz w:val="24"/>
          <w:highlight w:val="non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617700FD">
      <w:pPr>
        <w:pStyle w:val="13"/>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40F23481">
      <w:pPr>
        <w:spacing w:line="360" w:lineRule="auto"/>
        <w:jc w:val="center"/>
        <w:outlineLvl w:val="1"/>
        <w:rPr>
          <w:rFonts w:asciiTheme="minorEastAsia" w:hAnsiTheme="minorEastAsia" w:eastAsiaTheme="minorEastAsia"/>
          <w:b/>
          <w:color w:val="auto"/>
          <w:sz w:val="24"/>
          <w:highlight w:val="none"/>
        </w:rPr>
      </w:pPr>
      <w:bookmarkStart w:id="211" w:name="_Toc11260"/>
      <w:bookmarkStart w:id="212" w:name="_Toc29455"/>
      <w:r>
        <w:rPr>
          <w:rFonts w:hint="eastAsia" w:asciiTheme="minorEastAsia" w:hAnsiTheme="minorEastAsia" w:eastAsiaTheme="minorEastAsia"/>
          <w:b/>
          <w:color w:val="auto"/>
          <w:sz w:val="24"/>
          <w:highlight w:val="none"/>
          <w:lang w:val="en-US" w:eastAsia="zh-CN"/>
        </w:rPr>
        <w:t>七</w:t>
      </w:r>
      <w:r>
        <w:rPr>
          <w:rFonts w:hint="eastAsia" w:asciiTheme="minorEastAsia" w:hAnsiTheme="minorEastAsia" w:eastAsiaTheme="minorEastAsia"/>
          <w:b/>
          <w:color w:val="auto"/>
          <w:sz w:val="24"/>
          <w:highlight w:val="none"/>
        </w:rPr>
        <w:t>、</w:t>
      </w:r>
      <w:bookmarkEnd w:id="211"/>
      <w:bookmarkEnd w:id="212"/>
      <w:bookmarkStart w:id="213" w:name="_Toc17888"/>
      <w:bookmarkStart w:id="214" w:name="_Toc6445"/>
      <w:bookmarkStart w:id="215" w:name="_Hlk60608597"/>
      <w:r>
        <w:rPr>
          <w:rFonts w:hint="eastAsia" w:asciiTheme="minorEastAsia" w:hAnsiTheme="minorEastAsia" w:eastAsiaTheme="minorEastAsia"/>
          <w:b/>
          <w:color w:val="auto"/>
          <w:sz w:val="24"/>
          <w:highlight w:val="none"/>
        </w:rPr>
        <w:t>中小企业声明函</w:t>
      </w:r>
      <w:bookmarkEnd w:id="213"/>
      <w:bookmarkEnd w:id="214"/>
    </w:p>
    <w:p w14:paraId="6DFD5DDD">
      <w:pPr>
        <w:pStyle w:val="9"/>
        <w:jc w:val="center"/>
        <w:rPr>
          <w:rFonts w:ascii="宋体" w:hAnsi="宋体" w:eastAsia="宋体"/>
          <w:i/>
          <w:color w:val="auto"/>
          <w:sz w:val="24"/>
          <w:highlight w:val="none"/>
          <w:lang w:val="en-US"/>
        </w:rPr>
      </w:pPr>
      <w:r>
        <w:rPr>
          <w:rFonts w:hint="eastAsia" w:ascii="宋体" w:hAnsi="宋体" w:eastAsia="宋体"/>
          <w:i/>
          <w:color w:val="auto"/>
          <w:sz w:val="24"/>
          <w:highlight w:val="none"/>
          <w:lang w:val="en-US"/>
        </w:rPr>
        <w:t>（</w:t>
      </w:r>
      <w:r>
        <w:rPr>
          <w:rFonts w:hint="eastAsia" w:ascii="宋体" w:hAnsi="宋体" w:eastAsia="宋体"/>
          <w:i/>
          <w:color w:val="auto"/>
          <w:sz w:val="24"/>
          <w:highlight w:val="none"/>
        </w:rPr>
        <w:t>非中小企业</w:t>
      </w:r>
      <w:r>
        <w:rPr>
          <w:rFonts w:hint="eastAsia" w:ascii="宋体" w:hAnsi="宋体" w:eastAsia="宋体"/>
          <w:i/>
          <w:color w:val="auto"/>
          <w:sz w:val="24"/>
          <w:highlight w:val="none"/>
          <w:lang w:val="en-US"/>
        </w:rPr>
        <w:t>磋商，不需此件，请删去“中小企业声明函”）</w:t>
      </w:r>
    </w:p>
    <w:p w14:paraId="240E44B9">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（单位</w:t>
      </w:r>
      <w:r>
        <w:rPr>
          <w:rFonts w:hint="eastAsia" w:ascii="宋体" w:hAnsi="宋体" w:eastAsia="宋体"/>
          <w:color w:val="auto"/>
          <w:sz w:val="24"/>
          <w:szCs w:val="24"/>
          <w:highlight w:val="none"/>
          <w:u w:val="single"/>
        </w:rPr>
        <w:t>名称</w:t>
      </w:r>
      <w:r>
        <w:rPr>
          <w:rFonts w:hint="eastAsia" w:ascii="宋体" w:hAnsi="宋体" w:eastAsia="宋体"/>
          <w:color w:val="auto"/>
          <w:sz w:val="24"/>
          <w:szCs w:val="24"/>
          <w:highlight w:val="none"/>
          <w:u w:val="single"/>
          <w:lang w:val="zh-CN"/>
        </w:rPr>
        <w:t>）</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（项目</w:t>
      </w:r>
      <w:r>
        <w:rPr>
          <w:rFonts w:hint="eastAsia" w:ascii="宋体" w:hAnsi="宋体" w:eastAsia="宋体"/>
          <w:color w:val="auto"/>
          <w:sz w:val="24"/>
          <w:szCs w:val="24"/>
          <w:highlight w:val="none"/>
          <w:u w:val="single"/>
        </w:rPr>
        <w:t>名称</w:t>
      </w:r>
      <w:r>
        <w:rPr>
          <w:rFonts w:hint="eastAsia" w:ascii="宋体" w:hAnsi="宋体" w:eastAsia="宋体"/>
          <w:color w:val="auto"/>
          <w:sz w:val="24"/>
          <w:szCs w:val="24"/>
          <w:highlight w:val="none"/>
          <w:u w:val="single"/>
          <w:lang w:val="zh-CN"/>
        </w:rPr>
        <w:t>）</w:t>
      </w:r>
      <w:r>
        <w:rPr>
          <w:rFonts w:hint="eastAsia" w:ascii="宋体" w:hAnsi="宋体" w:eastAsia="宋体"/>
          <w:color w:val="auto"/>
          <w:sz w:val="24"/>
          <w:szCs w:val="24"/>
          <w:highlight w:val="none"/>
          <w:lang w:val="zh-CN"/>
        </w:rPr>
        <w:t xml:space="preserve">采购活动，服务全部由符合政策要求的中小企业承接。相关企业（含联合体中的中小企业、签订分包意向协议的中小企业）的具体情况如下： </w:t>
      </w:r>
    </w:p>
    <w:p w14:paraId="45A1005C">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3628E7D5">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08F5E1CB">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w:t>
      </w:r>
    </w:p>
    <w:p w14:paraId="299048DC">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6B102ED9">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7B29C1E7">
      <w:pPr>
        <w:spacing w:line="360" w:lineRule="auto"/>
        <w:ind w:firstLine="4228" w:firstLineChars="1762"/>
        <w:rPr>
          <w:rFonts w:asciiTheme="minorEastAsia" w:hAnsiTheme="minorEastAsia" w:eastAsiaTheme="minorEastAsia"/>
          <w:color w:val="auto"/>
          <w:sz w:val="24"/>
          <w:szCs w:val="24"/>
          <w:highlight w:val="none"/>
        </w:rPr>
      </w:pPr>
    </w:p>
    <w:p w14:paraId="0C2EA860">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供应商</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162BBDE3">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bookmarkEnd w:id="215"/>
    <w:p w14:paraId="00C32753">
      <w:pPr>
        <w:tabs>
          <w:tab w:val="left" w:pos="4620"/>
        </w:tabs>
        <w:jc w:val="left"/>
        <w:rPr>
          <w:rFonts w:asciiTheme="minorEastAsia" w:hAnsiTheme="minorEastAsia" w:eastAsiaTheme="minorEastAsia"/>
          <w:b/>
          <w:color w:val="auto"/>
          <w:szCs w:val="24"/>
          <w:highlight w:val="none"/>
        </w:rPr>
      </w:pPr>
    </w:p>
    <w:p w14:paraId="234F7AD7">
      <w:pPr>
        <w:tabs>
          <w:tab w:val="left" w:pos="4620"/>
        </w:tabs>
        <w:jc w:val="left"/>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注：</w:t>
      </w:r>
    </w:p>
    <w:p w14:paraId="5B3076C9">
      <w:pPr>
        <w:tabs>
          <w:tab w:val="left" w:pos="4620"/>
        </w:tabs>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10151AA9">
      <w:pPr>
        <w:tabs>
          <w:tab w:val="left" w:pos="4620"/>
        </w:tabs>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2.供应商应根据《政府采购促进中小企业发展管理办法》（财库﹝2020﹞46号）和《关于印发中小企业划型标准规定的通知》(工信部联企业〔2011〕300号)相关规定，如实填写中小企业声明函。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szCs w:val="21"/>
          <w:highlight w:val="none"/>
          <w:lang w:val="zh-CN"/>
        </w:rPr>
        <w:t>如有虚假，将依法承担相应责任。</w:t>
      </w:r>
      <w:r>
        <w:rPr>
          <w:rFonts w:hint="eastAsia" w:ascii="宋体" w:hAnsi="宋体" w:eastAsia="宋体" w:cs="宋体"/>
          <w:b/>
          <w:bCs/>
          <w:color w:val="auto"/>
          <w:szCs w:val="21"/>
          <w:highlight w:val="none"/>
        </w:rPr>
        <w:t>供应商自行登录工业和信息化部官网进行中小企业规模类型自测（查询网址https://www.miit.gov.cn/）。</w:t>
      </w:r>
    </w:p>
    <w:p w14:paraId="316FFDC1">
      <w:pPr>
        <w:tabs>
          <w:tab w:val="left" w:pos="4620"/>
        </w:tabs>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3.上述“</w:t>
      </w:r>
      <w:r>
        <w:rPr>
          <w:rFonts w:hint="eastAsia" w:ascii="宋体" w:hAnsi="宋体" w:eastAsia="宋体" w:cs="宋体"/>
          <w:b/>
          <w:bCs/>
          <w:color w:val="auto"/>
          <w:szCs w:val="21"/>
          <w:highlight w:val="none"/>
          <w:u w:val="single"/>
          <w:lang w:val="zh-CN"/>
        </w:rPr>
        <w:t>标的名称</w:t>
      </w:r>
      <w:r>
        <w:rPr>
          <w:rFonts w:hint="eastAsia" w:ascii="宋体" w:hAnsi="宋体" w:eastAsia="宋体" w:cs="宋体"/>
          <w:b/>
          <w:bCs/>
          <w:color w:val="auto"/>
          <w:szCs w:val="21"/>
          <w:highlight w:val="none"/>
        </w:rPr>
        <w:t>”，详见第三章采购需求前附表中明确的“标的名称”。</w:t>
      </w:r>
    </w:p>
    <w:p w14:paraId="23406890">
      <w:pPr>
        <w:tabs>
          <w:tab w:val="left" w:pos="4620"/>
        </w:tabs>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4.上述“</w:t>
      </w:r>
      <w:r>
        <w:rPr>
          <w:rFonts w:hint="eastAsia" w:ascii="宋体" w:hAnsi="宋体" w:eastAsia="宋体" w:cs="宋体"/>
          <w:b/>
          <w:bCs/>
          <w:color w:val="auto"/>
          <w:szCs w:val="21"/>
          <w:highlight w:val="none"/>
          <w:u w:val="single"/>
        </w:rPr>
        <w:t>采购文件中明确的所属行业</w:t>
      </w:r>
      <w:r>
        <w:rPr>
          <w:rFonts w:hint="eastAsia" w:ascii="宋体" w:hAnsi="宋体" w:eastAsia="宋体" w:cs="宋体"/>
          <w:b/>
          <w:bCs/>
          <w:color w:val="auto"/>
          <w:szCs w:val="21"/>
          <w:highlight w:val="none"/>
        </w:rPr>
        <w:t>”，详见第三章采购需求前附表中明确的“所属行业”。</w:t>
      </w:r>
    </w:p>
    <w:p w14:paraId="5706DB08">
      <w:pPr>
        <w:tabs>
          <w:tab w:val="left" w:pos="4620"/>
        </w:tabs>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5．填写示例：</w:t>
      </w:r>
      <w:r>
        <w:rPr>
          <w:rFonts w:hint="eastAsia" w:ascii="宋体" w:hAnsi="宋体" w:eastAsia="宋体" w:cs="宋体"/>
          <w:b/>
          <w:bCs/>
          <w:color w:val="auto"/>
          <w:szCs w:val="21"/>
          <w:highlight w:val="none"/>
          <w:u w:val="single"/>
        </w:rPr>
        <w:t>某标的名称</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u w:val="single"/>
        </w:rPr>
        <w:t>填写第三章采购需求前附表中明确的“标的名称”</w:t>
      </w:r>
      <w:r>
        <w:rPr>
          <w:rFonts w:hint="eastAsia" w:ascii="宋体" w:hAnsi="宋体" w:eastAsia="宋体" w:cs="宋体"/>
          <w:b/>
          <w:bCs/>
          <w:color w:val="auto"/>
          <w:szCs w:val="21"/>
          <w:highlight w:val="none"/>
        </w:rPr>
        <w:t>），属于</w:t>
      </w:r>
      <w:r>
        <w:rPr>
          <w:rFonts w:hint="eastAsia" w:ascii="宋体" w:hAnsi="宋体" w:eastAsia="宋体" w:cs="宋体"/>
          <w:b/>
          <w:bCs/>
          <w:color w:val="auto"/>
          <w:szCs w:val="21"/>
          <w:highlight w:val="none"/>
          <w:u w:val="single"/>
        </w:rPr>
        <w:t>（填写第三章采购需求前附表中明确的“所属行业”，如软件和信息技术服务业）</w:t>
      </w:r>
      <w:r>
        <w:rPr>
          <w:rFonts w:hint="eastAsia" w:ascii="宋体" w:hAnsi="宋体" w:eastAsia="宋体" w:cs="宋体"/>
          <w:b/>
          <w:bCs/>
          <w:color w:val="auto"/>
          <w:szCs w:val="21"/>
          <w:highlight w:val="none"/>
        </w:rPr>
        <w:t>行业；承接企业为</w:t>
      </w:r>
      <w:r>
        <w:rPr>
          <w:rFonts w:hint="eastAsia" w:ascii="宋体" w:hAnsi="宋体" w:eastAsia="宋体" w:cs="宋体"/>
          <w:b/>
          <w:bCs/>
          <w:color w:val="auto"/>
          <w:szCs w:val="21"/>
          <w:highlight w:val="none"/>
          <w:u w:val="single"/>
          <w:lang w:val="zh-CN"/>
        </w:rPr>
        <w:t>某</w:t>
      </w:r>
      <w:r>
        <w:rPr>
          <w:rFonts w:hint="eastAsia" w:ascii="宋体" w:hAnsi="宋体" w:eastAsia="宋体" w:cs="宋体"/>
          <w:b/>
          <w:bCs/>
          <w:color w:val="auto"/>
          <w:szCs w:val="21"/>
          <w:highlight w:val="none"/>
          <w:u w:val="single"/>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从业人员</w:t>
      </w:r>
      <w:r>
        <w:rPr>
          <w:rFonts w:hint="eastAsia" w:ascii="宋体" w:hAnsi="宋体" w:eastAsia="宋体" w:cs="宋体"/>
          <w:b/>
          <w:bCs/>
          <w:color w:val="auto"/>
          <w:szCs w:val="21"/>
          <w:highlight w:val="none"/>
          <w:u w:val="single"/>
        </w:rPr>
        <w:t>100</w:t>
      </w:r>
      <w:r>
        <w:rPr>
          <w:rFonts w:hint="eastAsia" w:ascii="宋体" w:hAnsi="宋体" w:eastAsia="宋体" w:cs="宋体"/>
          <w:b/>
          <w:bCs/>
          <w:color w:val="auto"/>
          <w:szCs w:val="21"/>
          <w:highlight w:val="none"/>
          <w:lang w:val="zh-CN"/>
        </w:rPr>
        <w:t>人</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营业收入为</w:t>
      </w:r>
      <w:r>
        <w:rPr>
          <w:rFonts w:hint="eastAsia" w:ascii="宋体" w:hAnsi="宋体" w:eastAsia="宋体" w:cs="宋体"/>
          <w:b/>
          <w:bCs/>
          <w:color w:val="auto"/>
          <w:szCs w:val="21"/>
          <w:highlight w:val="none"/>
          <w:u w:val="single"/>
        </w:rPr>
        <w:t>10000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资产总额为</w:t>
      </w:r>
      <w:r>
        <w:rPr>
          <w:rFonts w:hint="eastAsia" w:ascii="宋体" w:hAnsi="宋体" w:eastAsia="宋体" w:cs="宋体"/>
          <w:b/>
          <w:bCs/>
          <w:color w:val="auto"/>
          <w:szCs w:val="21"/>
          <w:highlight w:val="none"/>
          <w:u w:val="single"/>
        </w:rPr>
        <w:t>5000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rPr>
        <w:t>中</w:t>
      </w:r>
      <w:r>
        <w:rPr>
          <w:rFonts w:hint="eastAsia" w:ascii="宋体" w:hAnsi="宋体" w:eastAsia="宋体" w:cs="宋体"/>
          <w:b/>
          <w:bCs/>
          <w:color w:val="auto"/>
          <w:szCs w:val="21"/>
          <w:highlight w:val="none"/>
          <w:u w:val="single"/>
          <w:lang w:val="zh-CN"/>
        </w:rPr>
        <w:t>型</w:t>
      </w:r>
      <w:r>
        <w:rPr>
          <w:rFonts w:hint="eastAsia" w:ascii="宋体" w:hAnsi="宋体" w:eastAsia="宋体" w:cs="宋体"/>
          <w:b/>
          <w:bCs/>
          <w:color w:val="auto"/>
          <w:szCs w:val="21"/>
          <w:highlight w:val="none"/>
          <w:lang w:val="zh-CN"/>
        </w:rPr>
        <w:t>企业</w:t>
      </w:r>
      <w:r>
        <w:rPr>
          <w:rFonts w:hint="eastAsia" w:ascii="宋体" w:hAnsi="宋体" w:eastAsia="宋体" w:cs="宋体"/>
          <w:b/>
          <w:bCs/>
          <w:color w:val="auto"/>
          <w:szCs w:val="21"/>
          <w:highlight w:val="none"/>
        </w:rPr>
        <w:t>[供应商自行登录工业和信息化部官网进行中小企业规模类型自测（查询网址https://www.miit.gov.cn/）]</w:t>
      </w:r>
      <w:r>
        <w:rPr>
          <w:rFonts w:hint="eastAsia" w:ascii="宋体" w:hAnsi="宋体" w:eastAsia="宋体" w:cs="宋体"/>
          <w:b/>
          <w:bCs/>
          <w:color w:val="auto"/>
          <w:szCs w:val="21"/>
          <w:highlight w:val="none"/>
          <w:lang w:val="zh-CN"/>
        </w:rPr>
        <w:t>。</w:t>
      </w:r>
    </w:p>
    <w:p w14:paraId="344EF991">
      <w:pPr>
        <w:tabs>
          <w:tab w:val="left" w:pos="4620"/>
        </w:tabs>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2897C9B7">
      <w:pPr>
        <w:spacing w:line="360" w:lineRule="auto"/>
        <w:jc w:val="center"/>
        <w:outlineLvl w:val="1"/>
        <w:rPr>
          <w:rFonts w:asciiTheme="minorEastAsia" w:hAnsiTheme="minorEastAsia" w:eastAsiaTheme="minorEastAsia"/>
          <w:b/>
          <w:color w:val="auto"/>
          <w:sz w:val="24"/>
          <w:highlight w:val="none"/>
        </w:rPr>
      </w:pPr>
      <w:bookmarkStart w:id="216" w:name="_Toc17713"/>
      <w:bookmarkStart w:id="217" w:name="_Toc5908"/>
      <w:bookmarkStart w:id="218" w:name="_Hlk60608725"/>
      <w:r>
        <w:rPr>
          <w:rFonts w:hint="eastAsia" w:asciiTheme="minorEastAsia" w:hAnsiTheme="minorEastAsia" w:eastAsiaTheme="minorEastAsia"/>
          <w:b/>
          <w:color w:val="auto"/>
          <w:sz w:val="24"/>
          <w:highlight w:val="none"/>
          <w:lang w:val="en-US" w:eastAsia="zh-CN"/>
        </w:rPr>
        <w:t>八</w:t>
      </w:r>
      <w:r>
        <w:rPr>
          <w:rFonts w:hint="eastAsia" w:asciiTheme="minorEastAsia" w:hAnsiTheme="minorEastAsia" w:eastAsiaTheme="minorEastAsia"/>
          <w:b/>
          <w:color w:val="auto"/>
          <w:sz w:val="24"/>
          <w:highlight w:val="none"/>
        </w:rPr>
        <w:t>、残疾人福利性单位声明函</w:t>
      </w:r>
      <w:bookmarkEnd w:id="216"/>
      <w:bookmarkEnd w:id="217"/>
    </w:p>
    <w:p w14:paraId="45000126">
      <w:pPr>
        <w:pStyle w:val="9"/>
        <w:jc w:val="center"/>
        <w:rPr>
          <w:rFonts w:asciiTheme="minorEastAsia" w:hAnsiTheme="minorEastAsia" w:eastAsiaTheme="minorEastAsia"/>
          <w:color w:val="auto"/>
          <w:spacing w:val="6"/>
          <w:sz w:val="24"/>
          <w:highlight w:val="none"/>
        </w:rPr>
      </w:pPr>
      <w:r>
        <w:rPr>
          <w:rFonts w:hint="eastAsia" w:ascii="宋体" w:hAnsi="宋体" w:eastAsia="宋体"/>
          <w:i/>
          <w:color w:val="auto"/>
          <w:sz w:val="24"/>
          <w:highlight w:val="none"/>
          <w:lang w:val="en-US"/>
        </w:rPr>
        <w:t>（非残疾人福利性单位磋商，请删去“残疾人福利性单位声明函”）</w:t>
      </w:r>
    </w:p>
    <w:p w14:paraId="0E654EB1">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w:t>
      </w:r>
      <w:r>
        <w:rPr>
          <w:rFonts w:hint="eastAsia" w:asciiTheme="minorEastAsia" w:hAnsiTheme="minorEastAsia" w:eastAsiaTheme="minorEastAsia"/>
          <w:color w:val="auto"/>
          <w:sz w:val="24"/>
          <w:highlight w:val="none"/>
        </w:rPr>
        <w:t>郑重</w:t>
      </w:r>
      <w:r>
        <w:rPr>
          <w:rFonts w:hint="eastAsia" w:asciiTheme="minorEastAsia" w:hAnsiTheme="minorEastAsia" w:eastAsiaTheme="minorEastAsia"/>
          <w:color w:val="auto"/>
          <w:spacing w:val="6"/>
          <w:sz w:val="24"/>
          <w:szCs w:val="24"/>
          <w:highlight w:val="none"/>
        </w:rPr>
        <w:t>声明，根据《财政部 民政部 中国残疾人联合会关于促进残疾人就业政府采购政策的通知》（财库</w:t>
      </w:r>
      <w:r>
        <w:rPr>
          <w:rFonts w:hint="eastAsia" w:asciiTheme="minorEastAsia" w:hAnsiTheme="minorEastAsia" w:eastAsiaTheme="minorEastAsia"/>
          <w:color w:val="auto"/>
          <w:sz w:val="24"/>
          <w:szCs w:val="24"/>
          <w:highlight w:val="none"/>
        </w:rPr>
        <w:t>〔2017〕141</w:t>
      </w:r>
      <w:r>
        <w:rPr>
          <w:rFonts w:hint="eastAsia" w:asciiTheme="minorEastAsia" w:hAnsiTheme="minorEastAsia" w:eastAsiaTheme="minorEastAsia"/>
          <w:color w:val="auto"/>
          <w:spacing w:val="6"/>
          <w:sz w:val="24"/>
          <w:szCs w:val="24"/>
          <w:highlight w:val="none"/>
        </w:rPr>
        <w:t>号）的规定，本单位为</w:t>
      </w:r>
      <w:r>
        <w:rPr>
          <w:rFonts w:hint="eastAsia" w:asciiTheme="minorEastAsia" w:hAnsiTheme="minorEastAsia" w:eastAsiaTheme="minorEastAsia"/>
          <w:bCs/>
          <w:color w:val="auto"/>
          <w:sz w:val="24"/>
          <w:szCs w:val="24"/>
          <w:highlight w:val="none"/>
        </w:rPr>
        <w:t>符合</w:t>
      </w:r>
      <w:r>
        <w:rPr>
          <w:rFonts w:hint="eastAsia" w:asciiTheme="minorEastAsia" w:hAnsiTheme="minorEastAsia" w:eastAsiaTheme="minorEastAsia"/>
          <w:color w:val="auto"/>
          <w:spacing w:val="6"/>
          <w:sz w:val="24"/>
          <w:szCs w:val="24"/>
          <w:highlight w:val="none"/>
        </w:rPr>
        <w:t>条件的残疾人福利性单位，且本单位参加</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单位的</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275A140D">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本单位对上述声明的真实性负责。如有虚假，将依法承担相应责任。</w:t>
      </w:r>
    </w:p>
    <w:p w14:paraId="280BC240">
      <w:pPr>
        <w:spacing w:line="360" w:lineRule="auto"/>
        <w:ind w:firstLine="4228" w:firstLineChars="1762"/>
        <w:rPr>
          <w:rFonts w:asciiTheme="minorEastAsia" w:hAnsiTheme="minorEastAsia" w:eastAsiaTheme="minorEastAsia"/>
          <w:color w:val="auto"/>
          <w:sz w:val="24"/>
          <w:szCs w:val="24"/>
          <w:highlight w:val="none"/>
        </w:rPr>
      </w:pPr>
    </w:p>
    <w:p w14:paraId="59FA5EAE">
      <w:pPr>
        <w:spacing w:line="360" w:lineRule="auto"/>
        <w:ind w:firstLine="4228" w:firstLineChars="1762"/>
        <w:rPr>
          <w:rFonts w:asciiTheme="minorEastAsia" w:hAnsiTheme="minorEastAsia" w:eastAsiaTheme="minorEastAsia"/>
          <w:color w:val="auto"/>
          <w:sz w:val="24"/>
          <w:szCs w:val="24"/>
          <w:highlight w:val="none"/>
        </w:rPr>
      </w:pPr>
    </w:p>
    <w:p w14:paraId="4D88B452">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供应商</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454624CF">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bookmarkEnd w:id="218"/>
    <w:p w14:paraId="78C03312">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6E8C324E">
      <w:pPr>
        <w:spacing w:line="360" w:lineRule="auto"/>
        <w:jc w:val="center"/>
        <w:outlineLvl w:val="1"/>
        <w:rPr>
          <w:rFonts w:asciiTheme="minorEastAsia" w:hAnsiTheme="minorEastAsia" w:eastAsiaTheme="minorEastAsia"/>
          <w:b/>
          <w:color w:val="auto"/>
          <w:sz w:val="24"/>
          <w:highlight w:val="none"/>
        </w:rPr>
      </w:pPr>
      <w:bookmarkStart w:id="219" w:name="_Toc2278"/>
      <w:bookmarkStart w:id="220" w:name="_Toc20592"/>
      <w:bookmarkStart w:id="221" w:name="_Hlk44283088"/>
      <w:r>
        <w:rPr>
          <w:rFonts w:hint="eastAsia" w:asciiTheme="minorEastAsia" w:hAnsiTheme="minorEastAsia" w:eastAsiaTheme="minorEastAsia"/>
          <w:b/>
          <w:color w:val="auto"/>
          <w:sz w:val="24"/>
          <w:highlight w:val="none"/>
          <w:lang w:val="en-US" w:eastAsia="zh-CN"/>
        </w:rPr>
        <w:t>九</w:t>
      </w:r>
      <w:r>
        <w:rPr>
          <w:rFonts w:hint="eastAsia" w:asciiTheme="minorEastAsia" w:hAnsiTheme="minorEastAsia" w:eastAsiaTheme="minorEastAsia"/>
          <w:b/>
          <w:color w:val="auto"/>
          <w:sz w:val="24"/>
          <w:highlight w:val="none"/>
        </w:rPr>
        <w:t>、诚信履约承诺函</w:t>
      </w:r>
      <w:bookmarkEnd w:id="219"/>
      <w:bookmarkEnd w:id="220"/>
    </w:p>
    <w:p w14:paraId="166B6849">
      <w:pPr>
        <w:spacing w:line="360" w:lineRule="auto"/>
        <w:rPr>
          <w:rFonts w:asciiTheme="minorEastAsia" w:hAnsiTheme="minorEastAsia" w:eastAsiaTheme="minorEastAsia"/>
          <w:b/>
          <w:bCs/>
          <w:color w:val="auto"/>
          <w:sz w:val="24"/>
          <w:highlight w:val="none"/>
        </w:rPr>
      </w:pPr>
    </w:p>
    <w:p w14:paraId="7A863ECE">
      <w:pPr>
        <w:spacing w:line="360" w:lineRule="auto"/>
        <w:rPr>
          <w:rFonts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rPr>
        <w:t>致：采购人</w:t>
      </w:r>
    </w:p>
    <w:p w14:paraId="2119828B">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5E857B19">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（1）中标或者成交后无正当理由拒不与采购人签订政府采购合同；</w:t>
      </w:r>
    </w:p>
    <w:p w14:paraId="54E96C81">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（2）未按照采购文件确定的事项签订政府采购合同；</w:t>
      </w:r>
    </w:p>
    <w:p w14:paraId="33F3A6CD">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（3）将政府采购合同转包；</w:t>
      </w:r>
    </w:p>
    <w:p w14:paraId="19A06B49">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（4）提供假冒伪劣产品；</w:t>
      </w:r>
    </w:p>
    <w:p w14:paraId="2C0EE9A8">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（5）擅自变更、中止或者终止政府采购合同。</w:t>
      </w:r>
    </w:p>
    <w:p w14:paraId="64EDD57D">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EBF7617">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本承诺声明：</w:t>
      </w:r>
      <w:r>
        <w:rPr>
          <w:rFonts w:hint="eastAsia" w:asciiTheme="minorEastAsia" w:hAnsiTheme="minorEastAsia" w:eastAsiaTheme="minorEastAsia"/>
          <w:bCs/>
          <w:color w:val="auto"/>
          <w:sz w:val="24"/>
          <w:highlight w:val="none"/>
          <w:u w:val="single"/>
        </w:rPr>
        <w:t xml:space="preserve">                   （供应商名称）</w:t>
      </w:r>
      <w:r>
        <w:rPr>
          <w:rFonts w:hint="eastAsia" w:asciiTheme="minorEastAsia" w:hAnsiTheme="minorEastAsia" w:eastAsiaTheme="minorEastAsia"/>
          <w:bCs/>
          <w:color w:val="auto"/>
          <w:sz w:val="24"/>
          <w:highlight w:val="none"/>
        </w:rPr>
        <w:t>对本</w:t>
      </w:r>
      <w:r>
        <w:rPr>
          <w:rFonts w:hint="eastAsia" w:asciiTheme="minorEastAsia" w:hAnsiTheme="minorEastAsia" w:eastAsiaTheme="minorEastAsia"/>
          <w:color w:val="auto"/>
          <w:sz w:val="24"/>
          <w:highlight w:val="none"/>
          <w:lang w:val="zh-CN"/>
        </w:rPr>
        <w:t>磋商文件</w:t>
      </w:r>
      <w:r>
        <w:rPr>
          <w:rFonts w:hint="eastAsia" w:asciiTheme="minorEastAsia" w:hAnsiTheme="minorEastAsia" w:eastAsiaTheme="minorEastAsia"/>
          <w:bCs/>
          <w:color w:val="auto"/>
          <w:sz w:val="24"/>
          <w:highlight w:val="none"/>
        </w:rPr>
        <w:t>的相关要求完全响应。若有幸成交将严格按照以上承诺进行服务。</w:t>
      </w:r>
    </w:p>
    <w:p w14:paraId="1E6F3876">
      <w:pPr>
        <w:spacing w:line="360" w:lineRule="auto"/>
        <w:rPr>
          <w:rFonts w:asciiTheme="minorEastAsia" w:hAnsiTheme="minorEastAsia" w:eastAsiaTheme="minorEastAsia"/>
          <w:bCs/>
          <w:color w:val="auto"/>
          <w:sz w:val="24"/>
          <w:highlight w:val="none"/>
        </w:rPr>
      </w:pPr>
    </w:p>
    <w:p w14:paraId="3A840C92">
      <w:pPr>
        <w:spacing w:line="360" w:lineRule="auto"/>
        <w:ind w:firstLine="4320" w:firstLineChars="18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供应商电子签章：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2CD798B8">
      <w:pPr>
        <w:spacing w:line="360" w:lineRule="auto"/>
        <w:ind w:firstLine="4320" w:firstLineChars="18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p w14:paraId="00A826FA">
      <w:pPr>
        <w:widowControl/>
        <w:jc w:val="left"/>
        <w:rPr>
          <w:rFonts w:ascii="宋体" w:hAnsi="宋体" w:eastAsia="宋体" w:cs="宋体"/>
          <w:color w:val="auto"/>
          <w:sz w:val="24"/>
          <w:szCs w:val="24"/>
          <w:highlight w:val="none"/>
        </w:rPr>
      </w:pPr>
      <w:r>
        <w:rPr>
          <w:rFonts w:asciiTheme="minorEastAsia" w:hAnsiTheme="minorEastAsia" w:eastAsiaTheme="minorEastAsia"/>
          <w:b/>
          <w:color w:val="auto"/>
          <w:sz w:val="24"/>
          <w:highlight w:val="none"/>
        </w:rPr>
        <w:br w:type="page"/>
      </w:r>
      <w:bookmarkEnd w:id="221"/>
      <w:bookmarkStart w:id="222" w:name="_Toc7807"/>
      <w:bookmarkStart w:id="223" w:name="_Toc3826"/>
    </w:p>
    <w:p w14:paraId="1BD5B3C1">
      <w:pPr>
        <w:jc w:val="center"/>
        <w:rPr>
          <w:rFonts w:asciiTheme="minorEastAsia" w:hAnsiTheme="minorEastAsia" w:eastAsiaTheme="minorEastAsia"/>
          <w:b/>
          <w:color w:val="auto"/>
          <w:sz w:val="24"/>
          <w:highlight w:val="none"/>
        </w:rPr>
      </w:pPr>
    </w:p>
    <w:p w14:paraId="5853DCDE">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十、其他相关证明材料</w:t>
      </w:r>
      <w:bookmarkEnd w:id="222"/>
      <w:bookmarkEnd w:id="223"/>
    </w:p>
    <w:p w14:paraId="2329ECFD">
      <w:pPr>
        <w:tabs>
          <w:tab w:val="left" w:pos="4620"/>
        </w:tabs>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提供符合磋商邀请、采购需求及评审方法和标准规定的相关证明文件。</w:t>
      </w:r>
    </w:p>
    <w:p w14:paraId="19915EBE">
      <w:pPr>
        <w:spacing w:line="360" w:lineRule="auto"/>
        <w:ind w:firstLine="435"/>
        <w:rPr>
          <w:rFonts w:asciiTheme="minorEastAsia" w:hAnsiTheme="minorEastAsia" w:eastAsiaTheme="minorEastAsia"/>
          <w:color w:val="auto"/>
          <w:sz w:val="24"/>
          <w:highlight w:val="none"/>
        </w:rPr>
      </w:pPr>
    </w:p>
    <w:p w14:paraId="45814DC6">
      <w:pPr>
        <w:spacing w:line="360" w:lineRule="auto"/>
        <w:ind w:firstLine="480" w:firstLineChars="200"/>
        <w:rPr>
          <w:rFonts w:asciiTheme="minorEastAsia" w:hAnsiTheme="minorEastAsia" w:eastAsiaTheme="minorEastAsia"/>
          <w:color w:val="auto"/>
          <w:sz w:val="24"/>
          <w:highlight w:val="none"/>
        </w:rPr>
      </w:pPr>
    </w:p>
    <w:p w14:paraId="03672CC8">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40D46346">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供应商在响应文件制作时可在此栏内上传磋商文件要求上传的证明资料，如营业执照、证书等，应将上述证明材料制作成扫描件上传。</w:t>
      </w:r>
    </w:p>
    <w:p w14:paraId="015AE4DE">
      <w:pPr>
        <w:spacing w:line="360" w:lineRule="auto"/>
        <w:jc w:val="center"/>
        <w:rPr>
          <w:rFonts w:asciiTheme="minorEastAsia" w:hAnsiTheme="minorEastAsia" w:eastAsiaTheme="minorEastAsia"/>
          <w:b/>
          <w:color w:val="auto"/>
          <w:sz w:val="24"/>
          <w:highlight w:val="none"/>
        </w:rPr>
      </w:pPr>
    </w:p>
    <w:p w14:paraId="0340D37E">
      <w:pPr>
        <w:widowControl/>
        <w:jc w:val="left"/>
        <w:rPr>
          <w:rFonts w:ascii="宋体" w:hAnsi="宋体" w:eastAsia="宋体"/>
          <w:bCs/>
          <w:color w:val="auto"/>
          <w:sz w:val="24"/>
          <w:highlight w:val="none"/>
        </w:rPr>
      </w:pPr>
      <w:r>
        <w:rPr>
          <w:rFonts w:asciiTheme="minorEastAsia" w:hAnsiTheme="minorEastAsia" w:eastAsiaTheme="minorEastAsia"/>
          <w:color w:val="auto"/>
          <w:sz w:val="24"/>
          <w:highlight w:val="none"/>
        </w:rPr>
        <w:br w:type="page"/>
      </w:r>
    </w:p>
    <w:p w14:paraId="1EB91F96">
      <w:pPr>
        <w:spacing w:line="360" w:lineRule="auto"/>
        <w:jc w:val="center"/>
        <w:outlineLvl w:val="0"/>
        <w:rPr>
          <w:rFonts w:ascii="宋体" w:hAnsi="宋体" w:eastAsia="宋体"/>
          <w:b/>
          <w:bCs/>
          <w:color w:val="auto"/>
          <w:sz w:val="28"/>
          <w:highlight w:val="none"/>
        </w:rPr>
      </w:pPr>
      <w:bookmarkStart w:id="224" w:name="_Toc63440924"/>
      <w:bookmarkStart w:id="225" w:name="_Toc19418"/>
      <w:bookmarkStart w:id="226" w:name="_Toc7345"/>
      <w:r>
        <w:rPr>
          <w:rFonts w:hint="eastAsia" w:ascii="宋体" w:hAnsi="宋体" w:eastAsia="宋体"/>
          <w:b/>
          <w:bCs/>
          <w:color w:val="auto"/>
          <w:sz w:val="28"/>
          <w:highlight w:val="none"/>
        </w:rPr>
        <w:t>第七章  政府采购</w:t>
      </w:r>
      <w:bookmarkEnd w:id="224"/>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bookmarkEnd w:id="225"/>
      <w:bookmarkEnd w:id="226"/>
    </w:p>
    <w:p w14:paraId="04459556">
      <w:pPr>
        <w:spacing w:line="360" w:lineRule="auto"/>
        <w:jc w:val="center"/>
        <w:outlineLvl w:val="1"/>
        <w:rPr>
          <w:rFonts w:ascii="仿宋" w:hAnsi="仿宋" w:eastAsia="仿宋" w:cs="仿宋"/>
          <w:b/>
          <w:bCs/>
          <w:color w:val="auto"/>
          <w:sz w:val="32"/>
          <w:szCs w:val="44"/>
          <w:highlight w:val="none"/>
        </w:rPr>
      </w:pPr>
      <w:bookmarkStart w:id="227" w:name="_Toc8735"/>
      <w:bookmarkStart w:id="228" w:name="_Toc2142"/>
      <w:r>
        <w:rPr>
          <w:rFonts w:hint="eastAsia" w:ascii="仿宋" w:hAnsi="仿宋" w:eastAsia="仿宋" w:cs="仿宋"/>
          <w:b/>
          <w:bCs/>
          <w:color w:val="auto"/>
          <w:sz w:val="32"/>
          <w:szCs w:val="44"/>
          <w:highlight w:val="none"/>
        </w:rPr>
        <w:t>询问函范本</w:t>
      </w:r>
      <w:bookmarkEnd w:id="227"/>
      <w:bookmarkEnd w:id="228"/>
    </w:p>
    <w:p w14:paraId="1BDACC44">
      <w:pPr>
        <w:adjustRightInd w:val="0"/>
        <w:snapToGrid w:val="0"/>
        <w:spacing w:line="360" w:lineRule="auto"/>
        <w:ind w:firstLine="480" w:firstLineChars="200"/>
        <w:jc w:val="center"/>
        <w:rPr>
          <w:rFonts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（如为对采购文件或采购程序的询问或疑问，请按询问函范本或电子交易系统中网上询问格式附件进行提交）</w:t>
      </w:r>
    </w:p>
    <w:p w14:paraId="2EA677EC">
      <w:pPr>
        <w:adjustRightInd w:val="0"/>
        <w:snapToGrid w:val="0"/>
        <w:spacing w:line="360" w:lineRule="auto"/>
        <w:rPr>
          <w:rFonts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致：采购人</w:t>
      </w:r>
    </w:p>
    <w:p w14:paraId="25183492">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highlight w:val="none"/>
          <w:u w:val="single"/>
        </w:rPr>
        <w:t xml:space="preserve">             </w:t>
      </w:r>
      <w:r>
        <w:rPr>
          <w:rFonts w:hint="eastAsia" w:cs="仿宋" w:asciiTheme="minorEastAsia" w:hAnsiTheme="minorEastAsia" w:eastAsiaTheme="minorEastAsia"/>
          <w:i/>
          <w:iCs/>
          <w:color w:val="auto"/>
          <w:sz w:val="24"/>
          <w:szCs w:val="24"/>
          <w:highlight w:val="none"/>
        </w:rPr>
        <w:t>（项目名称、编号)</w:t>
      </w:r>
      <w:r>
        <w:rPr>
          <w:rFonts w:hint="eastAsia" w:cs="仿宋" w:asciiTheme="minorEastAsia" w:hAnsiTheme="minorEastAsia" w:eastAsiaTheme="minorEastAsia"/>
          <w:color w:val="auto"/>
          <w:sz w:val="24"/>
          <w:szCs w:val="24"/>
          <w:highlight w:val="none"/>
        </w:rPr>
        <w:t>的采购活动，现有以下内容(或条款)存在疑问(或无法理解)，特提出询问。</w:t>
      </w:r>
    </w:p>
    <w:p w14:paraId="0530D615">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229" w:name="_Toc26386"/>
      <w:bookmarkStart w:id="230" w:name="_Toc9092"/>
      <w:r>
        <w:rPr>
          <w:rFonts w:hint="eastAsia" w:cs="仿宋" w:asciiTheme="minorEastAsia" w:hAnsiTheme="minorEastAsia" w:eastAsiaTheme="minorEastAsia"/>
          <w:color w:val="auto"/>
          <w:sz w:val="24"/>
          <w:szCs w:val="24"/>
          <w:highlight w:val="none"/>
        </w:rPr>
        <w:t>一、(事项一)</w:t>
      </w:r>
      <w:bookmarkEnd w:id="229"/>
      <w:bookmarkEnd w:id="230"/>
    </w:p>
    <w:p w14:paraId="5C8A8D33">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0277C016">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2A8E6F4F">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0C666957">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231" w:name="_Toc9273"/>
      <w:bookmarkStart w:id="232" w:name="_Toc17582"/>
      <w:r>
        <w:rPr>
          <w:rFonts w:hint="eastAsia" w:cs="仿宋" w:asciiTheme="minorEastAsia" w:hAnsiTheme="minorEastAsia" w:eastAsiaTheme="minorEastAsia"/>
          <w:color w:val="auto"/>
          <w:sz w:val="24"/>
          <w:szCs w:val="24"/>
          <w:highlight w:val="none"/>
        </w:rPr>
        <w:t>二、(事项二)</w:t>
      </w:r>
      <w:bookmarkEnd w:id="231"/>
      <w:bookmarkEnd w:id="232"/>
    </w:p>
    <w:p w14:paraId="7BD9494A">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75760BF9">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053843CB">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1E48EC11">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1EF63744">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3266C8B0">
      <w:pPr>
        <w:rPr>
          <w:rFonts w:asciiTheme="minorEastAsia" w:hAnsiTheme="minorEastAsia" w:eastAsiaTheme="minorEastAsia"/>
          <w:b/>
          <w:color w:val="auto"/>
          <w:sz w:val="52"/>
          <w:highlight w:val="none"/>
        </w:rPr>
      </w:pPr>
      <w:r>
        <w:rPr>
          <w:rFonts w:hint="eastAsia" w:ascii="仿宋" w:hAnsi="仿宋" w:eastAsia="仿宋" w:cs="仿宋"/>
          <w:b/>
          <w:bCs/>
          <w:color w:val="auto"/>
          <w:sz w:val="32"/>
          <w:szCs w:val="44"/>
          <w:highlight w:val="none"/>
        </w:rPr>
        <w:br w:type="page"/>
      </w:r>
    </w:p>
    <w:p w14:paraId="3CA34FF5">
      <w:pPr>
        <w:jc w:val="center"/>
        <w:outlineLvl w:val="1"/>
        <w:rPr>
          <w:rFonts w:ascii="仿宋" w:hAnsi="仿宋" w:eastAsia="仿宋" w:cs="仿宋"/>
          <w:b/>
          <w:bCs/>
          <w:color w:val="auto"/>
          <w:sz w:val="32"/>
          <w:szCs w:val="44"/>
          <w:highlight w:val="none"/>
        </w:rPr>
      </w:pPr>
      <w:bookmarkStart w:id="233" w:name="_Toc6990"/>
      <w:bookmarkStart w:id="234" w:name="_Toc26673"/>
      <w:r>
        <w:rPr>
          <w:rFonts w:hint="eastAsia" w:ascii="仿宋" w:hAnsi="仿宋" w:eastAsia="仿宋" w:cs="仿宋"/>
          <w:b/>
          <w:bCs/>
          <w:color w:val="auto"/>
          <w:sz w:val="32"/>
          <w:szCs w:val="44"/>
          <w:highlight w:val="none"/>
        </w:rPr>
        <w:t>质疑函范本</w:t>
      </w:r>
      <w:bookmarkEnd w:id="233"/>
      <w:bookmarkEnd w:id="234"/>
    </w:p>
    <w:p w14:paraId="5A0F4092">
      <w:pPr>
        <w:adjustRightInd w:val="0"/>
        <w:snapToGrid w:val="0"/>
        <w:spacing w:before="312" w:beforeLines="100" w:line="360" w:lineRule="auto"/>
        <w:outlineLvl w:val="1"/>
        <w:rPr>
          <w:rFonts w:cs="仿宋" w:asciiTheme="minorEastAsia" w:hAnsiTheme="minorEastAsia" w:eastAsiaTheme="minorEastAsia"/>
          <w:b/>
          <w:bCs/>
          <w:color w:val="auto"/>
          <w:sz w:val="24"/>
          <w:szCs w:val="24"/>
          <w:highlight w:val="none"/>
        </w:rPr>
      </w:pPr>
      <w:bookmarkStart w:id="235" w:name="_Toc2994"/>
      <w:bookmarkStart w:id="236" w:name="_Toc29510"/>
      <w:r>
        <w:rPr>
          <w:rFonts w:hint="eastAsia" w:cs="仿宋" w:asciiTheme="minorEastAsia" w:hAnsiTheme="minorEastAsia" w:eastAsiaTheme="minorEastAsia"/>
          <w:b/>
          <w:bCs/>
          <w:color w:val="auto"/>
          <w:sz w:val="24"/>
          <w:szCs w:val="24"/>
          <w:highlight w:val="none"/>
        </w:rPr>
        <w:t>一、质疑供应商基本信息</w:t>
      </w:r>
      <w:bookmarkEnd w:id="235"/>
      <w:bookmarkEnd w:id="236"/>
    </w:p>
    <w:p w14:paraId="33A789A1">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5D65DD2C">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31A30856">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76CFEFBD">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41FBFAD6">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2E90272A">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5904690F">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237" w:name="_Toc28130"/>
      <w:bookmarkStart w:id="238" w:name="_Toc31042"/>
      <w:r>
        <w:rPr>
          <w:rFonts w:hint="eastAsia" w:cs="仿宋" w:asciiTheme="minorEastAsia" w:hAnsiTheme="minorEastAsia" w:eastAsiaTheme="minorEastAsia"/>
          <w:b/>
          <w:bCs/>
          <w:color w:val="auto"/>
          <w:sz w:val="24"/>
          <w:szCs w:val="24"/>
          <w:highlight w:val="none"/>
        </w:rPr>
        <w:t>二、质疑项目基本情况</w:t>
      </w:r>
      <w:bookmarkEnd w:id="237"/>
      <w:bookmarkEnd w:id="238"/>
    </w:p>
    <w:p w14:paraId="5A8F9EA0">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05CF16B6">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6AB5E466">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2D6FDEFF">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029A0B71">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239" w:name="_Toc6486"/>
      <w:bookmarkStart w:id="240" w:name="_Toc20587"/>
      <w:r>
        <w:rPr>
          <w:rFonts w:hint="eastAsia" w:cs="仿宋" w:asciiTheme="minorEastAsia" w:hAnsiTheme="minorEastAsia" w:eastAsiaTheme="minorEastAsia"/>
          <w:b/>
          <w:bCs/>
          <w:color w:val="auto"/>
          <w:sz w:val="24"/>
          <w:szCs w:val="24"/>
          <w:highlight w:val="none"/>
        </w:rPr>
        <w:t>三、质疑事项具体内容</w:t>
      </w:r>
      <w:bookmarkEnd w:id="239"/>
      <w:bookmarkEnd w:id="240"/>
    </w:p>
    <w:p w14:paraId="3BCDF816">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20C16E4F">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0642AA3D">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06C384BD">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3BB78283">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257771D0">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6BA6046D">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7DDAF1C5">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241" w:name="_Toc20470"/>
      <w:bookmarkStart w:id="242" w:name="_Toc32755"/>
      <w:r>
        <w:rPr>
          <w:rFonts w:hint="eastAsia" w:cs="仿宋" w:asciiTheme="minorEastAsia" w:hAnsiTheme="minorEastAsia" w:eastAsiaTheme="minorEastAsia"/>
          <w:b/>
          <w:bCs/>
          <w:color w:val="auto"/>
          <w:sz w:val="24"/>
          <w:szCs w:val="24"/>
          <w:highlight w:val="none"/>
        </w:rPr>
        <w:t>四、与质疑事项相关的质疑请求</w:t>
      </w:r>
      <w:bookmarkEnd w:id="241"/>
      <w:bookmarkEnd w:id="242"/>
    </w:p>
    <w:p w14:paraId="56934D0B">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67C74EA7">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34210262">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08B72109">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1084FCC2">
      <w:pPr>
        <w:outlineLvl w:val="0"/>
        <w:rPr>
          <w:rFonts w:asciiTheme="minorEastAsia" w:hAnsiTheme="minorEastAsia" w:eastAsiaTheme="minorEastAsia"/>
          <w:b/>
          <w:color w:val="auto"/>
          <w:sz w:val="28"/>
          <w:szCs w:val="32"/>
          <w:highlight w:val="none"/>
        </w:rPr>
      </w:pPr>
      <w:bookmarkStart w:id="243" w:name="_Toc8368"/>
      <w:bookmarkStart w:id="244" w:name="_Toc20635"/>
      <w:bookmarkStart w:id="245" w:name="_Toc21667"/>
      <w:r>
        <w:rPr>
          <w:rFonts w:hint="eastAsia" w:asciiTheme="minorEastAsia" w:hAnsiTheme="minorEastAsia" w:eastAsiaTheme="minorEastAsia"/>
          <w:b/>
          <w:color w:val="auto"/>
          <w:sz w:val="28"/>
          <w:szCs w:val="32"/>
          <w:highlight w:val="none"/>
        </w:rPr>
        <w:t>质疑函制作说明：</w:t>
      </w:r>
      <w:bookmarkEnd w:id="243"/>
      <w:bookmarkEnd w:id="244"/>
      <w:bookmarkEnd w:id="245"/>
    </w:p>
    <w:p w14:paraId="0FA54DA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582BC8E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6AAC76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671BE69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798142D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5C2E5BC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57BFB327">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br w:type="page"/>
      </w:r>
    </w:p>
    <w:p w14:paraId="26E55105">
      <w:pPr>
        <w:rPr>
          <w:rFonts w:ascii="宋体" w:hAnsi="宋体" w:eastAsia="宋体" w:cs="宋体"/>
          <w:color w:val="auto"/>
          <w:sz w:val="28"/>
          <w:szCs w:val="28"/>
          <w:highlight w:val="none"/>
        </w:rPr>
      </w:pPr>
      <w:r>
        <w:rPr>
          <w:rFonts w:hint="eastAsia" w:ascii="宋体" w:hAnsi="宋体" w:eastAsia="宋体" w:cs="宋体"/>
          <w:b/>
          <w:color w:val="auto"/>
          <w:sz w:val="28"/>
          <w:szCs w:val="28"/>
          <w:highlight w:val="none"/>
          <w:lang w:bidi="ar"/>
        </w:rPr>
        <w:t>附件</w:t>
      </w:r>
      <w:r>
        <w:rPr>
          <w:rFonts w:ascii="Times New Roman" w:hAnsi="Times New Roman" w:eastAsia="宋体" w:cs="Times New Roman"/>
          <w:b/>
          <w:color w:val="auto"/>
          <w:sz w:val="28"/>
          <w:szCs w:val="28"/>
          <w:highlight w:val="none"/>
          <w:lang w:bidi="ar"/>
        </w:rPr>
        <w:t>1</w:t>
      </w:r>
    </w:p>
    <w:p w14:paraId="2B32A5C3">
      <w:pPr>
        <w:spacing w:line="440" w:lineRule="exact"/>
        <w:jc w:val="center"/>
        <w:rPr>
          <w:rFonts w:ascii="黑体" w:hAnsi="宋体" w:eastAsia="黑体" w:cs="黑体"/>
          <w:b/>
          <w:color w:val="auto"/>
          <w:sz w:val="30"/>
          <w:szCs w:val="30"/>
          <w:highlight w:val="none"/>
        </w:rPr>
      </w:pPr>
      <w:r>
        <w:rPr>
          <w:rFonts w:hint="eastAsia" w:ascii="黑体" w:hAnsi="宋体" w:eastAsia="黑体" w:cs="黑体"/>
          <w:b/>
          <w:color w:val="auto"/>
          <w:sz w:val="30"/>
          <w:szCs w:val="30"/>
          <w:highlight w:val="none"/>
          <w:lang w:bidi="ar"/>
        </w:rPr>
        <w:t>关于联合惩戒失信行为 加强信用查询管理的通知</w:t>
      </w:r>
    </w:p>
    <w:p w14:paraId="7BA237B9">
      <w:pPr>
        <w:spacing w:line="44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一、失信行为联合惩戒的范围和查询渠道</w:t>
      </w:r>
    </w:p>
    <w:p w14:paraId="50CA73C0">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在我市公共资源交易活动中对存在下列失信行为的投标人、法定代表人及其项目经理（建造师）实施联合惩戒，禁止参与我市公共资源交易活动。</w:t>
      </w:r>
    </w:p>
    <w:p w14:paraId="53FB63FF">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（一）工程建设项目</w:t>
      </w:r>
    </w:p>
    <w:p w14:paraId="7E78EC01">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1、“信用中国”网站（www.creditchina.gov.cn）查询以下失信行为：</w:t>
      </w:r>
    </w:p>
    <w:p w14:paraId="771C6567">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①投标人被人民法院列入失信被执行人的；</w:t>
      </w:r>
    </w:p>
    <w:p w14:paraId="0359B8C1">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②投标人被税务部门列入重大税收违法案件当事人的；</w:t>
      </w:r>
    </w:p>
    <w:p w14:paraId="357A9C23">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③投标人被人力资源社会保障主管部门列入拖欠农民工工资“黑名单”的；</w:t>
      </w:r>
    </w:p>
    <w:p w14:paraId="69A5FF2C">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④在“信用中国”网站上披露的仍在公示期的严重失信行为的。</w:t>
      </w:r>
    </w:p>
    <w:p w14:paraId="345D22A2">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2、国家企业信用信息公示系统网站（www.gsxt.gov.cn）查询以下失信行为：</w:t>
      </w:r>
    </w:p>
    <w:p w14:paraId="0CEE2550">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①被市场监督管理部门列入经营异常名录或者严重违法企业名单的。</w:t>
      </w:r>
    </w:p>
    <w:p w14:paraId="520C8F67">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3、滁州市公共资源交易中心网站（http://ggzy.chuzhou.gov.cn/）查询以下失信行为：</w:t>
      </w:r>
    </w:p>
    <w:p w14:paraId="31F4705D">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①被滁州市县两级公管部门取消在一定期限内的投标资格且在取消期限内的；</w:t>
      </w:r>
    </w:p>
    <w:p w14:paraId="0CC12843">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②被滁州市县两级公管部门记入不良行为记录或者信用信息记录，且在披露期内的。</w:t>
      </w:r>
    </w:p>
    <w:p w14:paraId="190FFC1F">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4、由竞争主体进行承诺，不进行现场网上信用查询的失信行为：</w:t>
      </w:r>
    </w:p>
    <w:p w14:paraId="6414546C">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①前三年有行贿犯罪行为的单位和个人；</w:t>
      </w:r>
    </w:p>
    <w:p w14:paraId="5726F069">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②被滁州市县两级各行业主管部门取消在一定期限内的投标资格且在取消期限内的；</w:t>
      </w:r>
    </w:p>
    <w:p w14:paraId="390A0CDA">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③因拖欠农民工工资被县级及以上有关行政主管部门限制投标资格且在限制期限内的；</w:t>
      </w:r>
    </w:p>
    <w:p w14:paraId="502828E7">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④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21D4E88C">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（二）政府采购项目</w:t>
      </w:r>
    </w:p>
    <w:p w14:paraId="1799043C">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1、“信用中国”网站（www.creditchina.gov.cn）查询以下失信行为：</w:t>
      </w:r>
    </w:p>
    <w:p w14:paraId="49922EE6">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①投标人被人民法院列入失信被执行人的；</w:t>
      </w:r>
    </w:p>
    <w:p w14:paraId="7E8048B6">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②投标人被税务部门列入重大税收违法案件当事人的；</w:t>
      </w:r>
    </w:p>
    <w:p w14:paraId="08B03DFC">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③在“信用中国”网站上披露的仍在公示期的严重失信行为的。</w:t>
      </w:r>
    </w:p>
    <w:p w14:paraId="73B368BB">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2、国家企业信用信息公示系统网站（www.gsxt.gov.cn）查询以下失信行为：</w:t>
      </w:r>
    </w:p>
    <w:p w14:paraId="0669EB97">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①被市场监督管理部门列入经营异常名录或者严重违法企业名单的。</w:t>
      </w:r>
    </w:p>
    <w:p w14:paraId="2F02CD63">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3、中国政府采购网站（www.ccgp.gov.cn）查询以下失信行为：</w:t>
      </w:r>
    </w:p>
    <w:p w14:paraId="1EE5D1DB">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①政府采购严重违法失信行为</w:t>
      </w:r>
    </w:p>
    <w:p w14:paraId="7E3B3563">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4、由竞争主体进行承诺，不进行现场网上信用查询的失信行为：</w:t>
      </w:r>
    </w:p>
    <w:p w14:paraId="18A9D650">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①前三年有行贿犯罪行为的单位和个人。</w:t>
      </w:r>
    </w:p>
    <w:p w14:paraId="04258743">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二、在开评标活动中的查询程序</w:t>
      </w:r>
    </w:p>
    <w:p w14:paraId="7C872388">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值。</w:t>
      </w:r>
    </w:p>
    <w:p w14:paraId="1511B3E2">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值。</w:t>
      </w:r>
    </w:p>
    <w:p w14:paraId="53962C52">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3、项目单位及其委托的代理机构应当做好信用查询结果截图和记录留存。</w:t>
      </w:r>
    </w:p>
    <w:p w14:paraId="0DB8AF9A">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三、相关要求</w:t>
      </w:r>
    </w:p>
    <w:p w14:paraId="4E48D40C">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1、参与公共资源交易活动的竞争主体根据上述范围查询的内容进行自查并承诺，出具《诚信投标承诺书》（诚信投标承诺书包括但不限于上述自查并承诺内容）并注明承诺日期（投标截止时间前5日内）。</w:t>
      </w:r>
    </w:p>
    <w:p w14:paraId="08267A9A">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37977ED5">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https://credit.ah.gov.cn/xinyong-fuwu/xvbahv/index.html)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6700F453">
      <w:pPr>
        <w:widowControl/>
        <w:autoSpaceDE w:val="0"/>
        <w:spacing w:line="520" w:lineRule="exact"/>
        <w:ind w:firstLine="482" w:firstLineChars="200"/>
        <w:textAlignment w:val="baseline"/>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2、“信用中国”查询的严重失信行为判定依据为各行业主管部门下发的联合惩戒文件中规定的行为（按附件2执行）。</w:t>
      </w:r>
    </w:p>
    <w:p w14:paraId="1FBF058B">
      <w:pPr>
        <w:widowControl/>
        <w:autoSpaceDE w:val="0"/>
        <w:spacing w:line="520" w:lineRule="exact"/>
        <w:ind w:firstLine="480" w:firstLineChars="200"/>
        <w:textAlignment w:val="baseline"/>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bidi="ar"/>
        </w:rPr>
        <w:t>3、资格预审的项目以递交资格预审申请文件截止时间查询为准；资格后审的项目以递交投标文件截止时间查询为准。</w:t>
      </w:r>
    </w:p>
    <w:p w14:paraId="72948349">
      <w:pPr>
        <w:spacing w:line="44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14157E45">
      <w:pPr>
        <w:pStyle w:val="24"/>
        <w:ind w:firstLine="420"/>
        <w:rPr>
          <w:color w:val="auto"/>
          <w:highlight w:val="none"/>
        </w:rPr>
      </w:pPr>
      <w:r>
        <w:rPr>
          <w:rFonts w:hint="eastAsia"/>
          <w:color w:val="auto"/>
          <w:highlight w:val="none"/>
        </w:rPr>
        <w:t xml:space="preserve"> </w:t>
      </w:r>
    </w:p>
    <w:p w14:paraId="02CCF17F">
      <w:pPr>
        <w:spacing w:line="44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br w:type="page"/>
      </w:r>
      <w:r>
        <w:rPr>
          <w:rFonts w:hint="eastAsia" w:ascii="宋体" w:hAnsi="宋体" w:eastAsia="宋体" w:cs="宋体"/>
          <w:b/>
          <w:color w:val="auto"/>
          <w:sz w:val="24"/>
          <w:szCs w:val="24"/>
          <w:highlight w:val="none"/>
          <w:lang w:bidi="ar"/>
        </w:rPr>
        <w:t>附件</w:t>
      </w:r>
      <w:r>
        <w:rPr>
          <w:rFonts w:ascii="Times New Roman" w:hAnsi="Times New Roman" w:eastAsia="宋体" w:cs="Times New Roman"/>
          <w:b/>
          <w:color w:val="auto"/>
          <w:sz w:val="24"/>
          <w:szCs w:val="24"/>
          <w:highlight w:val="none"/>
          <w:lang w:bidi="ar"/>
        </w:rPr>
        <w:t>2</w:t>
      </w:r>
    </w:p>
    <w:p w14:paraId="3F4D5FC8">
      <w:pPr>
        <w:spacing w:line="44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“信用中国”查询的严重失信行为类别及判定依据</w:t>
      </w:r>
    </w:p>
    <w:p w14:paraId="7366A01E">
      <w:pPr>
        <w:spacing w:line="44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0F88CF79">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“信用中国”查询的严重失信行为判定依据为各行业主管部门下发的联合惩戒文件中规定的行为。下面将部分类别的严重失信行为列举如下：</w:t>
      </w:r>
    </w:p>
    <w:p w14:paraId="50CF92B8">
      <w:pPr>
        <w:widowControl/>
        <w:autoSpaceDE w:val="0"/>
        <w:spacing w:line="480" w:lineRule="exact"/>
        <w:ind w:firstLine="482" w:firstLineChars="200"/>
        <w:jc w:val="left"/>
        <w:textAlignment w:val="baseline"/>
        <w:rPr>
          <w:rFonts w:ascii="宋体" w:hAnsi="宋体" w:eastAsia="宋体" w:cs="Times New Roman"/>
          <w:b/>
          <w:bCs/>
          <w:color w:val="auto"/>
          <w:sz w:val="24"/>
          <w:szCs w:val="24"/>
          <w:highlight w:val="none"/>
        </w:rPr>
      </w:pPr>
      <w:r>
        <w:rPr>
          <w:rFonts w:hint="eastAsia" w:ascii="宋体" w:hAnsi="宋体" w:eastAsia="宋体" w:cs="Times New Roman"/>
          <w:b/>
          <w:bCs/>
          <w:color w:val="auto"/>
          <w:kern w:val="0"/>
          <w:sz w:val="24"/>
          <w:szCs w:val="24"/>
          <w:highlight w:val="none"/>
          <w:lang w:bidi="ar"/>
        </w:rPr>
        <w:t xml:space="preserve"> </w:t>
      </w:r>
    </w:p>
    <w:p w14:paraId="60690A44">
      <w:pPr>
        <w:widowControl/>
        <w:autoSpaceDE w:val="0"/>
        <w:spacing w:line="480" w:lineRule="exact"/>
        <w:ind w:firstLine="482" w:firstLineChars="200"/>
        <w:jc w:val="left"/>
        <w:textAlignment w:val="baseline"/>
        <w:rPr>
          <w:rFonts w:ascii="宋体" w:hAnsi="宋体" w:eastAsia="宋体" w:cs="Times New Roman"/>
          <w:b/>
          <w:bCs/>
          <w:color w:val="auto"/>
          <w:sz w:val="24"/>
          <w:szCs w:val="24"/>
          <w:highlight w:val="none"/>
        </w:rPr>
      </w:pPr>
      <w:r>
        <w:rPr>
          <w:rFonts w:hint="eastAsia" w:ascii="宋体" w:hAnsi="宋体" w:eastAsia="宋体" w:cs="宋体"/>
          <w:b/>
          <w:bCs/>
          <w:color w:val="auto"/>
          <w:kern w:val="0"/>
          <w:sz w:val="24"/>
          <w:szCs w:val="24"/>
          <w:highlight w:val="none"/>
          <w:lang w:bidi="ar"/>
        </w:rPr>
        <w:t>一、安全生产领域严重失信行为：</w:t>
      </w:r>
    </w:p>
    <w:p w14:paraId="0A1CABEE">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（一）发生较大及以上生产安全责任事故，或1年内累计发生3起及以上造成人员死亡的一般生产安全责任事故的；</w:t>
      </w:r>
    </w:p>
    <w:p w14:paraId="0076FAF0">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（二）未按规定取得安全生产许可，擅自开展生产经营建设活动的；</w:t>
      </w:r>
    </w:p>
    <w:p w14:paraId="06D6E469">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（三）发现重大生产安全事故隐患，或职业病危害严重超标，不及时整改，仍组织从业人员冒险作业的；</w:t>
      </w:r>
    </w:p>
    <w:p w14:paraId="63FF83B3">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（四）采取隐蔽、欺骗或阻碍等方式逃避、对抗安全监管监察的;</w:t>
      </w:r>
    </w:p>
    <w:p w14:paraId="2F47130A">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（五）被责令停产停业整顿，仍然从事生产经营建设活动的；</w:t>
      </w:r>
    </w:p>
    <w:p w14:paraId="34883790">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（六）瞒报、谎报、迟报生产安全事故的；</w:t>
      </w:r>
    </w:p>
    <w:p w14:paraId="43A8B0A5">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（七）矿山、危险化学品、金属冶炼等高危行业建设项目安全设施未经验收合格即投入生产和使用的；</w:t>
      </w:r>
    </w:p>
    <w:p w14:paraId="23B139C5">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（八）矿山生产经营单位存在超层越界开采、以探代采行为的；</w:t>
      </w:r>
    </w:p>
    <w:p w14:paraId="3079C4B2">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（九）发生事故后，故意破坏事故现场，伪造有关证据资料，妨碍、对抗事故调查，或主要负责人逃逸的；</w:t>
      </w:r>
    </w:p>
    <w:p w14:paraId="05997303">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（十）安全生产和职业健康技术服务机构出具虚假报告或证明，违规转让或出借资质的。</w:t>
      </w:r>
    </w:p>
    <w:p w14:paraId="0A4D2467">
      <w:pPr>
        <w:widowControl/>
        <w:autoSpaceDE w:val="0"/>
        <w:spacing w:line="480" w:lineRule="exact"/>
        <w:ind w:firstLine="482" w:firstLineChars="200"/>
        <w:jc w:val="left"/>
        <w:textAlignment w:val="baseline"/>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依据：《对安全生产领域失信行为开展联合惩戒的实施办法》（安监总办〔2017〕49号）第二条</w:t>
      </w:r>
    </w:p>
    <w:p w14:paraId="7BFB0C0E">
      <w:pPr>
        <w:widowControl/>
        <w:autoSpaceDE w:val="0"/>
        <w:spacing w:line="480" w:lineRule="exact"/>
        <w:ind w:firstLine="482" w:firstLineChars="200"/>
        <w:jc w:val="left"/>
        <w:textAlignment w:val="baseline"/>
        <w:rPr>
          <w:rFonts w:ascii="宋体" w:hAnsi="宋体" w:eastAsia="宋体" w:cs="Times New Roman"/>
          <w:b/>
          <w:bCs/>
          <w:color w:val="auto"/>
          <w:sz w:val="24"/>
          <w:szCs w:val="24"/>
          <w:highlight w:val="none"/>
        </w:rPr>
      </w:pPr>
      <w:r>
        <w:rPr>
          <w:rFonts w:hint="eastAsia" w:ascii="宋体" w:hAnsi="宋体" w:eastAsia="宋体" w:cs="Times New Roman"/>
          <w:b/>
          <w:bCs/>
          <w:color w:val="auto"/>
          <w:kern w:val="0"/>
          <w:sz w:val="24"/>
          <w:szCs w:val="24"/>
          <w:highlight w:val="none"/>
          <w:lang w:bidi="ar"/>
        </w:rPr>
        <w:t xml:space="preserve"> </w:t>
      </w:r>
    </w:p>
    <w:p w14:paraId="597B7222">
      <w:pPr>
        <w:widowControl/>
        <w:autoSpaceDE w:val="0"/>
        <w:spacing w:line="480" w:lineRule="exact"/>
        <w:ind w:firstLine="482" w:firstLineChars="200"/>
        <w:jc w:val="left"/>
        <w:textAlignment w:val="baseline"/>
        <w:rPr>
          <w:rFonts w:ascii="宋体" w:hAnsi="宋体" w:eastAsia="宋体" w:cs="Times New Roman"/>
          <w:b/>
          <w:bCs/>
          <w:color w:val="auto"/>
          <w:sz w:val="24"/>
          <w:szCs w:val="24"/>
          <w:highlight w:val="none"/>
        </w:rPr>
      </w:pPr>
      <w:r>
        <w:rPr>
          <w:rFonts w:hint="eastAsia" w:ascii="宋体" w:hAnsi="宋体" w:eastAsia="宋体" w:cs="宋体"/>
          <w:b/>
          <w:bCs/>
          <w:color w:val="auto"/>
          <w:kern w:val="0"/>
          <w:sz w:val="24"/>
          <w:szCs w:val="24"/>
          <w:highlight w:val="none"/>
          <w:lang w:bidi="ar"/>
        </w:rPr>
        <w:t>二、环境保护领域严重失信行为：</w:t>
      </w:r>
    </w:p>
    <w:p w14:paraId="7710F0AE">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（一）因为环境违法构成环境犯罪的；</w:t>
      </w:r>
    </w:p>
    <w:p w14:paraId="10253F1E">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（二）建设项目环境影响评价文件未按规定通过审批，擅自开工建设的；</w:t>
      </w:r>
    </w:p>
    <w:p w14:paraId="36A7DAAD">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（三）建设项目环保设施未建成、环保措施未落实、未通过竣工环保验收或者验收不合格，主体工程正式投入生产或者使用的；</w:t>
      </w:r>
    </w:p>
    <w:p w14:paraId="29E591FD">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（四）建设项目性质、规模、地点、采用的生产工艺或者防治污染、防止生态破坏的措施发生重大变动，未重新报批环境影响评价文件，擅自投入生产或者使用的；</w:t>
      </w:r>
    </w:p>
    <w:p w14:paraId="29846EB7">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（五）主要污染物排放总量超过控制指标的；</w:t>
      </w:r>
    </w:p>
    <w:p w14:paraId="5AFF60AA">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（六）私设暗管或者利用渗井、渗坑、裂隙、溶洞等排放、倾倒、处置水污染物，或者通过私设旁路排放大气污染物的；</w:t>
      </w:r>
    </w:p>
    <w:p w14:paraId="145C9F60">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（七）非法排放、倾倒、处置危险废物，或者向无经营许可证或者超出经营许可范围的单位或个人提供或者委托其收集、贮存、利用、处置危险废物的；</w:t>
      </w:r>
    </w:p>
    <w:p w14:paraId="7CAC717B">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（八）环境违法行为造成集中式生活饮用水水源取水中断的；</w:t>
      </w:r>
    </w:p>
    <w:p w14:paraId="4721BB6A">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（九）环境违法行为对生活饮用水水源保护区、自然保护区、国家重点生态功能区、风景名胜区、居住功能区、基本农田保护区等环境敏感区造成重大不利影响的；</w:t>
      </w:r>
    </w:p>
    <w:p w14:paraId="3E7CCB71">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（十）违法从事自然资源开发、交通基础设施建设，以及其他开发建设活动，造成严重生态破坏的；</w:t>
      </w:r>
    </w:p>
    <w:p w14:paraId="1859ADF8">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（十一）发生较大及以上突发环境事件的；</w:t>
      </w:r>
    </w:p>
    <w:p w14:paraId="2F78FA80">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（十二）被环保部门挂牌督办，整改逾期未完成的；</w:t>
      </w:r>
    </w:p>
    <w:p w14:paraId="1C9E4A11">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（十三）以暴力、威胁等方式拒绝、阻挠环保部门工作人员现场检查的；</w:t>
      </w:r>
    </w:p>
    <w:p w14:paraId="632CA605">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（十四）违反重污染天气应急预案有关规定，对重污染天气响应不力的。</w:t>
      </w:r>
    </w:p>
    <w:p w14:paraId="56F45E7A">
      <w:pPr>
        <w:widowControl/>
        <w:autoSpaceDE w:val="0"/>
        <w:spacing w:line="480" w:lineRule="exact"/>
        <w:ind w:firstLine="482" w:firstLineChars="200"/>
        <w:jc w:val="left"/>
        <w:textAlignment w:val="baseline"/>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依据：《关于对环境保护领域失信生产经营单位及其有关人员开展联合惩戒的合作备忘录》、《企业环境信用评价办法（试行）》（环发〔2013〕150号）</w:t>
      </w:r>
    </w:p>
    <w:p w14:paraId="06D39494">
      <w:pPr>
        <w:widowControl/>
        <w:autoSpaceDE w:val="0"/>
        <w:spacing w:line="480" w:lineRule="exact"/>
        <w:ind w:firstLine="482" w:firstLineChars="200"/>
        <w:jc w:val="left"/>
        <w:textAlignment w:val="baseline"/>
        <w:rPr>
          <w:rFonts w:ascii="宋体" w:hAnsi="宋体" w:eastAsia="宋体" w:cs="Times New Roman"/>
          <w:b/>
          <w:bCs/>
          <w:color w:val="auto"/>
          <w:sz w:val="24"/>
          <w:szCs w:val="24"/>
          <w:highlight w:val="none"/>
        </w:rPr>
      </w:pPr>
      <w:r>
        <w:rPr>
          <w:rFonts w:hint="eastAsia" w:ascii="宋体" w:hAnsi="宋体" w:eastAsia="宋体" w:cs="Times New Roman"/>
          <w:b/>
          <w:bCs/>
          <w:color w:val="auto"/>
          <w:kern w:val="0"/>
          <w:sz w:val="24"/>
          <w:szCs w:val="24"/>
          <w:highlight w:val="none"/>
          <w:lang w:bidi="ar"/>
        </w:rPr>
        <w:t xml:space="preserve"> </w:t>
      </w:r>
    </w:p>
    <w:p w14:paraId="2E9A90AF">
      <w:pPr>
        <w:widowControl/>
        <w:autoSpaceDE w:val="0"/>
        <w:spacing w:line="480" w:lineRule="exact"/>
        <w:ind w:firstLine="482" w:firstLineChars="200"/>
        <w:jc w:val="left"/>
        <w:textAlignment w:val="baseline"/>
        <w:rPr>
          <w:rFonts w:ascii="宋体" w:hAnsi="宋体" w:eastAsia="宋体" w:cs="Times New Roman"/>
          <w:b/>
          <w:bCs/>
          <w:color w:val="auto"/>
          <w:sz w:val="24"/>
          <w:szCs w:val="24"/>
          <w:highlight w:val="none"/>
        </w:rPr>
      </w:pPr>
      <w:r>
        <w:rPr>
          <w:rFonts w:hint="eastAsia" w:ascii="宋体" w:hAnsi="宋体" w:eastAsia="宋体" w:cs="宋体"/>
          <w:b/>
          <w:bCs/>
          <w:color w:val="auto"/>
          <w:kern w:val="0"/>
          <w:sz w:val="24"/>
          <w:szCs w:val="24"/>
          <w:highlight w:val="none"/>
          <w:lang w:bidi="ar"/>
        </w:rPr>
        <w:t>三、公共资源交易领域严重失信行为</w:t>
      </w:r>
    </w:p>
    <w:p w14:paraId="310E35A2">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（一）违反法律规定，必须进行招标的项目而不招标的，将必须进行招标的项目化整为零或者以其他任何方式规避招标的；</w:t>
      </w:r>
      <w:r>
        <w:rPr>
          <w:rFonts w:hint="eastAsia" w:ascii="宋体" w:hAnsi="宋体" w:eastAsia="宋体" w:cs="Times New Roman"/>
          <w:color w:val="auto"/>
          <w:kern w:val="0"/>
          <w:sz w:val="24"/>
          <w:szCs w:val="24"/>
          <w:highlight w:val="none"/>
          <w:lang w:bidi="ar"/>
        </w:rPr>
        <w:t xml:space="preserve"> </w:t>
      </w:r>
    </w:p>
    <w:p w14:paraId="22AD5149">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（二）招标代理机构违反法律规定，泄露应当保密的与招标投标活动有关的情况和资料的，或者与招标人、投标人串通损害国家利益、社会公共利益或者他人合法权益的；</w:t>
      </w:r>
    </w:p>
    <w:p w14:paraId="7985548C">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（三）招标人以不合理的条件限制或者排斥潜在投标人的，对潜在投标人实行歧视待遇的，强制要求投标人组成联合体共同</w:t>
      </w:r>
      <w:r>
        <w:rPr>
          <w:rFonts w:hint="eastAsia" w:ascii="宋体" w:hAnsi="宋体" w:eastAsia="宋体" w:cs="Times New Roman"/>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t>投标的，或者限制投标人之间竞争的；</w:t>
      </w:r>
    </w:p>
    <w:p w14:paraId="3143F65A">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（四）依法必须进行招标的项目的招标人向他人透露已获取招标文件的潜在投标人的名称、数量或者可能影响公平竞争的有</w:t>
      </w:r>
      <w:r>
        <w:rPr>
          <w:rFonts w:hint="eastAsia" w:ascii="宋体" w:hAnsi="宋体" w:eastAsia="宋体" w:cs="Times New Roman"/>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t>关招标投标的其他情况的，或者泄露标底的；</w:t>
      </w:r>
    </w:p>
    <w:p w14:paraId="03D3ECDC">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（五）投标人相互串通投标或者与招标人串通投标的，投标人以向招标人或者评标委员会成员行贿的手段谋取中标的；</w:t>
      </w:r>
      <w:r>
        <w:rPr>
          <w:rFonts w:hint="eastAsia" w:ascii="宋体" w:hAnsi="宋体" w:eastAsia="宋体" w:cs="Times New Roman"/>
          <w:color w:val="auto"/>
          <w:kern w:val="0"/>
          <w:sz w:val="24"/>
          <w:szCs w:val="24"/>
          <w:highlight w:val="none"/>
          <w:lang w:bidi="ar"/>
        </w:rPr>
        <w:t xml:space="preserve"> </w:t>
      </w:r>
    </w:p>
    <w:p w14:paraId="1D491FD2">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（六）投标人以他人名义投标或者以其他方式弄虚作假，骗取中标的；</w:t>
      </w:r>
    </w:p>
    <w:p w14:paraId="5A5FC198">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（七）依法必须进行招标的项目，招标人违反法律规定，与投标人就投标价格、投标方案等实质性内容进行谈判的；</w:t>
      </w:r>
    </w:p>
    <w:p w14:paraId="4579AED9">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（八）评标委员会成员收受投标人的财物或者其他好处的，评标委员会成员或者参加评标的有关工作人员向他人透露对投</w:t>
      </w:r>
      <w:r>
        <w:rPr>
          <w:rFonts w:hint="eastAsia" w:ascii="宋体" w:hAnsi="宋体" w:eastAsia="宋体" w:cs="Times New Roman"/>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t>标文件的评审和比较、中标候选人的推荐以及与评标有关的其他</w:t>
      </w:r>
      <w:r>
        <w:rPr>
          <w:rFonts w:hint="eastAsia" w:ascii="宋体" w:hAnsi="宋体" w:eastAsia="宋体" w:cs="Times New Roman"/>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t>情况的；</w:t>
      </w:r>
      <w:r>
        <w:rPr>
          <w:rFonts w:hint="eastAsia" w:ascii="宋体" w:hAnsi="宋体" w:eastAsia="宋体" w:cs="Times New Roman"/>
          <w:color w:val="auto"/>
          <w:kern w:val="0"/>
          <w:sz w:val="24"/>
          <w:szCs w:val="24"/>
          <w:highlight w:val="none"/>
          <w:lang w:bidi="ar"/>
        </w:rPr>
        <w:t xml:space="preserve"> </w:t>
      </w:r>
    </w:p>
    <w:p w14:paraId="795996A6">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（九）招标人在评标委员会依法推荐的中标候选人以外确定中标人的，依法必须进行招标的项目在所有投标被评标委员会否</w:t>
      </w:r>
      <w:r>
        <w:rPr>
          <w:rFonts w:hint="eastAsia" w:ascii="宋体" w:hAnsi="宋体" w:eastAsia="宋体" w:cs="Times New Roman"/>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t>决后自行确定中标人的；</w:t>
      </w:r>
      <w:r>
        <w:rPr>
          <w:rFonts w:hint="eastAsia" w:ascii="宋体" w:hAnsi="宋体" w:eastAsia="宋体" w:cs="Times New Roman"/>
          <w:color w:val="auto"/>
          <w:kern w:val="0"/>
          <w:sz w:val="24"/>
          <w:szCs w:val="24"/>
          <w:highlight w:val="none"/>
          <w:lang w:bidi="ar"/>
        </w:rPr>
        <w:t xml:space="preserve"> </w:t>
      </w:r>
    </w:p>
    <w:p w14:paraId="447C11C3">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（十）中标人将中标项目转让给他人的，将中标项目肢解后分别转让给他人的，违反法律规定将中标项目的部分主体、关键</w:t>
      </w:r>
      <w:r>
        <w:rPr>
          <w:rFonts w:hint="eastAsia" w:ascii="宋体" w:hAnsi="宋体" w:eastAsia="宋体" w:cs="Times New Roman"/>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t>性工作分包给他人的，或者分包人再次分包的；</w:t>
      </w:r>
      <w:r>
        <w:rPr>
          <w:rFonts w:hint="eastAsia" w:ascii="宋体" w:hAnsi="宋体" w:eastAsia="宋体" w:cs="Times New Roman"/>
          <w:color w:val="auto"/>
          <w:kern w:val="0"/>
          <w:sz w:val="24"/>
          <w:szCs w:val="24"/>
          <w:highlight w:val="none"/>
          <w:lang w:bidi="ar"/>
        </w:rPr>
        <w:t xml:space="preserve"> </w:t>
      </w:r>
    </w:p>
    <w:p w14:paraId="46E1EF63">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（十一）招标人与中标人不按照招标文件和中标人的投标文件订立合同的，或者招标人、中标人订立背离合同实质性内容的</w:t>
      </w:r>
      <w:r>
        <w:rPr>
          <w:rFonts w:hint="eastAsia" w:ascii="宋体" w:hAnsi="宋体" w:eastAsia="宋体" w:cs="Times New Roman"/>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t>协议的；</w:t>
      </w:r>
      <w:r>
        <w:rPr>
          <w:rFonts w:hint="eastAsia" w:ascii="宋体" w:hAnsi="宋体" w:eastAsia="宋体" w:cs="Times New Roman"/>
          <w:color w:val="auto"/>
          <w:kern w:val="0"/>
          <w:sz w:val="24"/>
          <w:szCs w:val="24"/>
          <w:highlight w:val="none"/>
          <w:lang w:bidi="ar"/>
        </w:rPr>
        <w:t xml:space="preserve"> </w:t>
      </w:r>
    </w:p>
    <w:p w14:paraId="407040F8">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（十二）中标人不按照与招标人订立的合同履行义务，情节严重的；</w:t>
      </w:r>
      <w:r>
        <w:rPr>
          <w:rFonts w:hint="eastAsia" w:ascii="宋体" w:hAnsi="宋体" w:eastAsia="宋体" w:cs="Times New Roman"/>
          <w:color w:val="auto"/>
          <w:kern w:val="0"/>
          <w:sz w:val="24"/>
          <w:szCs w:val="24"/>
          <w:highlight w:val="none"/>
          <w:lang w:bidi="ar"/>
        </w:rPr>
        <w:t xml:space="preserve"> </w:t>
      </w:r>
    </w:p>
    <w:p w14:paraId="0DA28D50">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（十三）采购人、采购代理机构存在应当采用公开招标方式而擅自采用其他方式采购，擅自提高采购标准，以不合理的条件</w:t>
      </w:r>
      <w:r>
        <w:rPr>
          <w:rFonts w:hint="eastAsia" w:ascii="宋体" w:hAnsi="宋体" w:eastAsia="宋体" w:cs="Times New Roman"/>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t>对供应商实行差别待遇或者歧视待遇，在招标采购过程中与投标</w:t>
      </w:r>
      <w:r>
        <w:rPr>
          <w:rFonts w:hint="eastAsia" w:ascii="宋体" w:hAnsi="宋体" w:eastAsia="宋体" w:cs="Times New Roman"/>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t>人进行协商谈判，中标、成交通知书发出后不与中标、成交供应商签订采购合同，或者拒绝有关部门依法实施监督检查等情形的；</w:t>
      </w:r>
    </w:p>
    <w:p w14:paraId="5D88C12D">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t>（十四）采购人、采购代理机构及其工作人员存在与供应商</w:t>
      </w:r>
      <w:r>
        <w:rPr>
          <w:rFonts w:hint="eastAsia" w:ascii="宋体" w:hAnsi="宋体" w:eastAsia="宋体" w:cs="Times New Roman"/>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t>或者采购代理机构恶意串通，在采购过程中接受贿赂或者获取其</w:t>
      </w:r>
      <w:r>
        <w:rPr>
          <w:rFonts w:hint="eastAsia" w:ascii="宋体" w:hAnsi="宋体" w:eastAsia="宋体" w:cs="Times New Roman"/>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t>他不正当利益，在有关部门依法实施的监督检查中提供虚假情况，</w:t>
      </w:r>
      <w:r>
        <w:rPr>
          <w:rFonts w:hint="eastAsia" w:ascii="宋体" w:hAnsi="宋体" w:eastAsia="宋体" w:cs="Times New Roman"/>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t>或者开标前泄露标底等情形的；</w:t>
      </w:r>
    </w:p>
    <w:p w14:paraId="232D90B7">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t>（十五）采购人对应当实行集中采购的政府采购项目，不委托集中采购机构实行集中采购的；</w:t>
      </w:r>
      <w:r>
        <w:rPr>
          <w:rFonts w:hint="eastAsia" w:ascii="宋体" w:hAnsi="宋体" w:eastAsia="宋体" w:cs="Times New Roman"/>
          <w:color w:val="auto"/>
          <w:kern w:val="0"/>
          <w:sz w:val="24"/>
          <w:szCs w:val="24"/>
          <w:highlight w:val="none"/>
          <w:lang w:bidi="ar"/>
        </w:rPr>
        <w:t xml:space="preserve"> </w:t>
      </w:r>
    </w:p>
    <w:p w14:paraId="7789F84B">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（十六）采购人、采购代理机构违反法律规定隐匿、销毁应当保存的采购文件或者伪造、变造采购文件的；</w:t>
      </w:r>
      <w:r>
        <w:rPr>
          <w:rFonts w:hint="eastAsia" w:ascii="宋体" w:hAnsi="宋体" w:eastAsia="宋体" w:cs="Times New Roman"/>
          <w:color w:val="auto"/>
          <w:kern w:val="0"/>
          <w:sz w:val="24"/>
          <w:szCs w:val="24"/>
          <w:highlight w:val="none"/>
          <w:lang w:bidi="ar"/>
        </w:rPr>
        <w:t xml:space="preserve"> </w:t>
      </w:r>
    </w:p>
    <w:p w14:paraId="11581712">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（十七）供应商存在提供虚假材料谋取中标、成交，采取不正当手段诋毁、排挤其他供应商，与采购人、其他供应商或者采</w:t>
      </w:r>
      <w:r>
        <w:rPr>
          <w:rFonts w:hint="eastAsia" w:ascii="宋体" w:hAnsi="宋体" w:eastAsia="宋体" w:cs="Times New Roman"/>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t>购代理机构恶意串通，向采购人、采购代理机构行贿或者提供其</w:t>
      </w:r>
      <w:r>
        <w:rPr>
          <w:rFonts w:hint="eastAsia" w:ascii="宋体" w:hAnsi="宋体" w:eastAsia="宋体" w:cs="Times New Roman"/>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t>他不正当利益，在招标采购过程中与采购人进行协商谈判，或拒</w:t>
      </w:r>
      <w:r>
        <w:rPr>
          <w:rFonts w:hint="eastAsia" w:ascii="宋体" w:hAnsi="宋体" w:eastAsia="宋体" w:cs="Times New Roman"/>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t>绝有关部门监督检查或者提供虚假情况等情形的；</w:t>
      </w:r>
      <w:r>
        <w:rPr>
          <w:rFonts w:hint="eastAsia" w:ascii="宋体" w:hAnsi="宋体" w:eastAsia="宋体" w:cs="Times New Roman"/>
          <w:color w:val="auto"/>
          <w:kern w:val="0"/>
          <w:sz w:val="24"/>
          <w:szCs w:val="24"/>
          <w:highlight w:val="none"/>
          <w:lang w:bidi="ar"/>
        </w:rPr>
        <w:t xml:space="preserve"> </w:t>
      </w:r>
    </w:p>
    <w:p w14:paraId="3C5EDDF7">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（十八）疫苗生产企业向县级疾病预防控制机构以外的单位或者个人销售第二类疫苗的；</w:t>
      </w:r>
      <w:r>
        <w:rPr>
          <w:rFonts w:hint="eastAsia" w:ascii="宋体" w:hAnsi="宋体" w:eastAsia="宋体" w:cs="Times New Roman"/>
          <w:color w:val="auto"/>
          <w:kern w:val="0"/>
          <w:sz w:val="24"/>
          <w:szCs w:val="24"/>
          <w:highlight w:val="none"/>
          <w:lang w:bidi="ar"/>
        </w:rPr>
        <w:t xml:space="preserve"> </w:t>
      </w:r>
    </w:p>
    <w:p w14:paraId="78A0E58D">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（十九）存在其他违反公共资源交易法律法规行为的。</w:t>
      </w:r>
    </w:p>
    <w:p w14:paraId="47E7F53A">
      <w:pPr>
        <w:widowControl/>
        <w:autoSpaceDE w:val="0"/>
        <w:spacing w:line="480" w:lineRule="exact"/>
        <w:ind w:firstLine="482" w:firstLineChars="200"/>
        <w:jc w:val="left"/>
        <w:textAlignment w:val="baseline"/>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依据：《关于对公共资源交易领域严重失信主体开展联合惩戒的备忘录》（发改法规〔2018〕457号）</w:t>
      </w:r>
    </w:p>
    <w:p w14:paraId="75583E2F">
      <w:pPr>
        <w:widowControl/>
        <w:autoSpaceDE w:val="0"/>
        <w:spacing w:line="480" w:lineRule="exact"/>
        <w:ind w:firstLine="482" w:firstLineChars="200"/>
        <w:jc w:val="left"/>
        <w:textAlignment w:val="baseline"/>
        <w:rPr>
          <w:rFonts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5373FAF1">
      <w:pPr>
        <w:widowControl/>
        <w:autoSpaceDE w:val="0"/>
        <w:spacing w:line="480" w:lineRule="exact"/>
        <w:ind w:firstLine="482" w:firstLineChars="200"/>
        <w:jc w:val="left"/>
        <w:textAlignment w:val="baseline"/>
        <w:rPr>
          <w:rFonts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四、社会保险领域严重失信行为</w:t>
      </w:r>
    </w:p>
    <w:p w14:paraId="42B21B5A">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（一）用人单位未按相关规定参加社会保险且拒不整改的； </w:t>
      </w:r>
    </w:p>
    <w:p w14:paraId="4B6A9D08">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（二）用人单位未如实申报社会保险缴费基数且拒不整改的； </w:t>
      </w:r>
    </w:p>
    <w:p w14:paraId="271122C3">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（三）应缴纳社会保险费却拒不缴纳的； </w:t>
      </w:r>
    </w:p>
    <w:p w14:paraId="2D0A058B">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（四）隐匿、转移、侵占、挪用社会保险费款、基金或者违规投资运营的；</w:t>
      </w:r>
    </w:p>
    <w:p w14:paraId="231A04E9">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（五）以欺诈、伪造证明材料或者其他手段参加、申报社会保险和骗取社会保险基金支出或社会保险待遇的； </w:t>
      </w:r>
    </w:p>
    <w:p w14:paraId="7ADA6CE1">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（六）非法获取、出售或变相交易社会保险个人权益数据的； </w:t>
      </w:r>
    </w:p>
    <w:p w14:paraId="524E6A2C">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（七）社会保险服务机构违反服务协议或相关规定的； </w:t>
      </w:r>
    </w:p>
    <w:p w14:paraId="1C28E5E8">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（八）拒绝协助社会保险行政部门、经办机构对事故和问题进 行调查核实的；拒绝接受或协助税务部门对社会保险实施监督检查， 不如实提供与社会保险相关各项资料的； </w:t>
      </w:r>
    </w:p>
    <w:p w14:paraId="3CA242DA">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（九）其他违反法律法规规定的。</w:t>
      </w:r>
    </w:p>
    <w:p w14:paraId="0F5102BE">
      <w:pPr>
        <w:widowControl/>
        <w:autoSpaceDE w:val="0"/>
        <w:spacing w:line="480" w:lineRule="exact"/>
        <w:ind w:firstLine="482" w:firstLineChars="200"/>
        <w:jc w:val="left"/>
        <w:textAlignment w:val="baseline"/>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依据：《关于对社会保险领域严重失信企业及其有关人员实施联合惩戒的合作备忘录》（发改财金〔2018〕1704号）</w:t>
      </w:r>
    </w:p>
    <w:p w14:paraId="72B5023A">
      <w:pPr>
        <w:widowControl/>
        <w:autoSpaceDE w:val="0"/>
        <w:spacing w:line="480" w:lineRule="exact"/>
        <w:ind w:firstLine="482" w:firstLineChars="200"/>
        <w:jc w:val="left"/>
        <w:textAlignment w:val="baseline"/>
        <w:rPr>
          <w:rFonts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412F22F3">
      <w:pPr>
        <w:widowControl/>
        <w:autoSpaceDE w:val="0"/>
        <w:spacing w:line="480" w:lineRule="exact"/>
        <w:ind w:firstLine="482" w:firstLineChars="200"/>
        <w:jc w:val="left"/>
        <w:textAlignment w:val="baseline"/>
        <w:rPr>
          <w:rFonts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五、建筑市场领域严重失信行为</w:t>
      </w:r>
    </w:p>
    <w:p w14:paraId="5B51D663">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（一）利用虚假材料、以欺骗手段取得企业资质的；</w:t>
      </w:r>
    </w:p>
    <w:p w14:paraId="231FEC99">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（二）发生转包、出借资质，受到行政处罚的；</w:t>
      </w:r>
    </w:p>
    <w:p w14:paraId="54E43CC6">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（三）发生重大及以上工程质量安全事故，或1年内累计发生2次及以上较大工程质量安全事故，或发生性质恶劣、危害性严重、社会影响大的较大工程质量安全事故，受到行政处罚的；</w:t>
      </w:r>
    </w:p>
    <w:p w14:paraId="24C9F99A">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（四）经法院判决或仲裁机构裁决，认定为拖欠工程款,且拒不履行生效法律文书确定的义务的。</w:t>
      </w:r>
    </w:p>
    <w:p w14:paraId="70998E9C">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各级住房城乡建设主管部门应当参照建筑市场主体“黑名单”，对被人力资源社会保障行政部门列入拖欠农民工工资“黑名单”的建筑市场各方主体加强监管。</w:t>
      </w:r>
    </w:p>
    <w:p w14:paraId="5FFE2494">
      <w:pPr>
        <w:widowControl/>
        <w:autoSpaceDE w:val="0"/>
        <w:spacing w:line="480" w:lineRule="exact"/>
        <w:ind w:firstLine="482" w:firstLineChars="200"/>
        <w:jc w:val="left"/>
        <w:textAlignment w:val="baseline"/>
        <w:rPr>
          <w:rFonts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bidi="ar"/>
        </w:rPr>
        <w:t>依据：《建筑市场信用管理暂行办法》（建市〔2017〕241号）</w:t>
      </w:r>
    </w:p>
    <w:p w14:paraId="17D41A42">
      <w:pPr>
        <w:widowControl/>
        <w:autoSpaceDE w:val="0"/>
        <w:spacing w:line="480" w:lineRule="exact"/>
        <w:ind w:firstLine="482" w:firstLineChars="200"/>
        <w:jc w:val="left"/>
        <w:textAlignment w:val="baseline"/>
        <w:rPr>
          <w:rFonts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669E798E">
      <w:pPr>
        <w:widowControl/>
        <w:autoSpaceDE w:val="0"/>
        <w:spacing w:line="480" w:lineRule="exact"/>
        <w:ind w:firstLine="482" w:firstLineChars="200"/>
        <w:jc w:val="left"/>
        <w:textAlignment w:val="baseline"/>
        <w:rPr>
          <w:rFonts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六、政府采购严重失信行为</w:t>
      </w:r>
    </w:p>
    <w:p w14:paraId="46285865">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供应商、采购代理机构在三年内受到财政部门作出下列情形之一的行政处罚，列入政府采购严重违法失信行为记录名单。</w:t>
      </w:r>
    </w:p>
    <w:p w14:paraId="00EBE42F">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（一）三万元以上罚款；</w:t>
      </w:r>
    </w:p>
    <w:p w14:paraId="5B28B463">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（二）在一至三年内禁止参加政府采购活动（处罚期限届满的除外）；</w:t>
      </w:r>
    </w:p>
    <w:p w14:paraId="7E6B7ADF">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（三）在一至三年内禁止代理政府采购业务（处罚期限届满的除外）；</w:t>
      </w:r>
    </w:p>
    <w:p w14:paraId="1A07CCBF">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（四）撤销政府采购代理机构资格（仅针对《政府采购法》第78条修改前作出的处罚决定）。。</w:t>
      </w:r>
    </w:p>
    <w:p w14:paraId="7FE57F58">
      <w:pPr>
        <w:widowControl/>
        <w:autoSpaceDE w:val="0"/>
        <w:spacing w:line="480" w:lineRule="exact"/>
        <w:ind w:firstLine="482" w:firstLineChars="200"/>
        <w:jc w:val="left"/>
        <w:textAlignment w:val="baseline"/>
        <w:rPr>
          <w:rFonts w:ascii="宋体" w:hAnsi="宋体" w:eastAsia="宋体" w:cs="Times New Roman"/>
          <w:b/>
          <w:color w:val="auto"/>
          <w:sz w:val="24"/>
          <w:szCs w:val="24"/>
          <w:highlight w:val="none"/>
        </w:rPr>
      </w:pPr>
      <w:r>
        <w:rPr>
          <w:rFonts w:hint="eastAsia" w:ascii="宋体" w:hAnsi="宋体" w:eastAsia="宋体" w:cs="宋体"/>
          <w:b/>
          <w:color w:val="auto"/>
          <w:kern w:val="0"/>
          <w:sz w:val="24"/>
          <w:szCs w:val="24"/>
          <w:highlight w:val="none"/>
          <w:lang w:bidi="ar"/>
        </w:rPr>
        <w:t>依据：《关于报送政府采购严重违法失信行为信息记录的通知》（财办库〔2014〕526号）</w:t>
      </w:r>
    </w:p>
    <w:p w14:paraId="23143CB0">
      <w:pPr>
        <w:widowControl/>
        <w:autoSpaceDE w:val="0"/>
        <w:spacing w:line="480" w:lineRule="exact"/>
        <w:ind w:firstLine="482" w:firstLineChars="200"/>
        <w:jc w:val="left"/>
        <w:textAlignment w:val="baseline"/>
        <w:rPr>
          <w:rFonts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07A25E84">
      <w:pPr>
        <w:widowControl/>
        <w:autoSpaceDE w:val="0"/>
        <w:spacing w:line="480" w:lineRule="exact"/>
        <w:ind w:firstLine="482" w:firstLineChars="200"/>
        <w:jc w:val="left"/>
        <w:textAlignment w:val="baseline"/>
        <w:rPr>
          <w:rFonts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七、水利建设领域严重失信行为</w:t>
      </w:r>
    </w:p>
    <w:p w14:paraId="0C83295A">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（一）1年内不良行为记录累计扣分达到20分的；</w:t>
      </w:r>
    </w:p>
    <w:p w14:paraId="17F98F50">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（二）"重点关注名单"公开期满后仍不整改的；</w:t>
      </w:r>
    </w:p>
    <w:p w14:paraId="6FE62369">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（三）存在以下严重危害人民群众身体健康、生命安全和工程质量，以及特别严重违规行为之一的：</w:t>
      </w:r>
    </w:p>
    <w:p w14:paraId="5B15188A">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1.发生重大、特大质量或安全事故，并负有直接责任的；</w:t>
      </w:r>
    </w:p>
    <w:p w14:paraId="1155F444">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2.在单位公开信息、工程相关技术成果和工程建设过程中隐瞒真实情况、弄虚作假，提供虚假材料，谋取不正当利益的；</w:t>
      </w:r>
    </w:p>
    <w:p w14:paraId="2BDA1319">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3.违反有关法律、法规、规章、政策、技术标准、设计文件、合同等有关规定开展工作造成的工程质量问题，经处理后仍影响工程正常使用或减少工程使用寿命的；</w:t>
      </w:r>
    </w:p>
    <w:p w14:paraId="639F3629">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4.违反规定施工，造成生态环境严重破坏且拒不修复的；</w:t>
      </w:r>
    </w:p>
    <w:p w14:paraId="2EA1272E">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5.被证实恶意制造工程质量缺陷或质量隐患的；</w:t>
      </w:r>
    </w:p>
    <w:p w14:paraId="6590E7D5">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6.其他违反法律法规，造成严重后果或社会危害较大的。</w:t>
      </w:r>
    </w:p>
    <w:p w14:paraId="6CCA81A6">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（四）存在以下严重破坏市场公平竞争秩序和社会正常秩序行为之一的：</w:t>
      </w:r>
    </w:p>
    <w:p w14:paraId="4D129AC5">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1.不按合同约定，恶意拖欠承包人项目款的；</w:t>
      </w:r>
    </w:p>
    <w:p w14:paraId="659BCB21">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2.隐瞒有关情况或者提供虚假材料申请资质的，在全国水利建设市场监管服务平台公开虚假信息的，以欺骗、贿赂等不正当手段取得资质等级证书的；</w:t>
      </w:r>
    </w:p>
    <w:p w14:paraId="3663EE2E">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3.出借、借用资质证书,允许他人以本单位名义或借用他人名义等弄虚作假方式承揽业务的；</w:t>
      </w:r>
    </w:p>
    <w:p w14:paraId="1705B74F">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4.未取得相应资质或超越资质证书核定范围、营业范围承揽业务的；</w:t>
      </w:r>
    </w:p>
    <w:p w14:paraId="3AE9F486">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5.操纵招标过程，谋取不正当利益的；</w:t>
      </w:r>
    </w:p>
    <w:p w14:paraId="133A70DF">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6.与招标人或投标人串通投标的；</w:t>
      </w:r>
    </w:p>
    <w:p w14:paraId="417B3A09">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7.以向招标人或评标委员会成员行贿的手段谋取中标的；</w:t>
      </w:r>
    </w:p>
    <w:p w14:paraId="07D074A4">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8.中标后，无正当理由不签订合同的；</w:t>
      </w:r>
    </w:p>
    <w:p w14:paraId="496A1C31">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9.转包或违法分包所承揽业务的；</w:t>
      </w:r>
    </w:p>
    <w:p w14:paraId="5A1FD511">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10.弄虚作假，以欺诈手段降低工程或设备质量的；</w:t>
      </w:r>
    </w:p>
    <w:p w14:paraId="2E5FCE36">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11.单位行贿、受贿，受到刑事处罚的；</w:t>
      </w:r>
    </w:p>
    <w:p w14:paraId="2FEC64CA">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12.逃税骗税、恶意逃废债务的；</w:t>
      </w:r>
    </w:p>
    <w:p w14:paraId="6C6DDAB2">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13.参与非法集资，受到刑事处罚的；</w:t>
      </w:r>
    </w:p>
    <w:p w14:paraId="11523E77">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14.在签订、履行合同过程中，存在合同欺诈行为，受到刑事处罚的；</w:t>
      </w:r>
    </w:p>
    <w:p w14:paraId="1519C0F0">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15.虚构工程项目，套取资金的；</w:t>
      </w:r>
    </w:p>
    <w:p w14:paraId="399231B5">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16.克扣、无故拖欠农民工工资报酬，数额达到认定拒不支付劳动报酬罪数额标准的；</w:t>
      </w:r>
    </w:p>
    <w:p w14:paraId="45C4B790">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17.发生社会公共事件，影响较大，并负有直接责任的。</w:t>
      </w:r>
    </w:p>
    <w:p w14:paraId="6B649FA2">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（五）存在以下拒不履行法定义务，严重影响司法机关、行政机关公信力行为之一的：</w:t>
      </w:r>
    </w:p>
    <w:p w14:paraId="6463E660">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1.发生事故拒绝接受调查或拒绝提供有关资料的；</w:t>
      </w:r>
    </w:p>
    <w:p w14:paraId="0D1E0633">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2.拒不执行生效的行政处罚决定的；</w:t>
      </w:r>
    </w:p>
    <w:p w14:paraId="6D5AE07A">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3.拒不执行仲裁、法院判决结果的。</w:t>
      </w:r>
    </w:p>
    <w:p w14:paraId="28C375C9">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（六）被相关联合惩戒部门列入"黑名单"，符合联合惩戒措施的。</w:t>
      </w:r>
    </w:p>
    <w:p w14:paraId="5ED2C972">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生产建设项目水土保持市场主体"黑名单"列入标准见《水利建设市场主体信用信息管理办法》附件。</w:t>
      </w:r>
    </w:p>
    <w:p w14:paraId="0B222194">
      <w:pPr>
        <w:widowControl/>
        <w:autoSpaceDE w:val="0"/>
        <w:spacing w:line="480" w:lineRule="exact"/>
        <w:ind w:firstLine="482" w:firstLineChars="200"/>
        <w:jc w:val="left"/>
        <w:textAlignment w:val="baseline"/>
        <w:rPr>
          <w:rFonts w:ascii="宋体" w:hAnsi="宋体" w:eastAsia="宋体" w:cs="Times New Roman"/>
          <w:b/>
          <w:color w:val="auto"/>
          <w:sz w:val="24"/>
          <w:szCs w:val="24"/>
          <w:highlight w:val="none"/>
        </w:rPr>
      </w:pPr>
      <w:r>
        <w:rPr>
          <w:rFonts w:hint="eastAsia" w:ascii="宋体" w:hAnsi="宋体" w:eastAsia="宋体" w:cs="宋体"/>
          <w:b/>
          <w:color w:val="auto"/>
          <w:kern w:val="0"/>
          <w:sz w:val="24"/>
          <w:szCs w:val="24"/>
          <w:highlight w:val="none"/>
          <w:lang w:bidi="ar"/>
        </w:rPr>
        <w:t>依据：《水利建设市场主体信用评价管理办法》水建设〔2019〕307号、《水利建设市场主体信用信息管理办法》水建设〔2019〕306号</w:t>
      </w:r>
    </w:p>
    <w:p w14:paraId="60FB544B">
      <w:pPr>
        <w:widowControl/>
        <w:autoSpaceDE w:val="0"/>
        <w:spacing w:line="48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p w14:paraId="24222223">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b/>
          <w:bCs/>
          <w:color w:val="auto"/>
          <w:kern w:val="0"/>
          <w:sz w:val="24"/>
          <w:szCs w:val="24"/>
          <w:highlight w:val="none"/>
          <w:lang w:bidi="ar"/>
        </w:rPr>
        <w:t>未列出的其他类别严重失信行为，由招标人（代理机构）根据各类别行业主管部门下发的联合惩戒文件进行判断。</w:t>
      </w:r>
    </w:p>
    <w:p w14:paraId="57334F9F">
      <w:pPr>
        <w:pStyle w:val="24"/>
        <w:ind w:left="0" w:leftChars="0" w:firstLine="0" w:firstLineChars="0"/>
        <w:rPr>
          <w:color w:val="auto"/>
          <w:highlight w:val="none"/>
        </w:rPr>
      </w:pPr>
    </w:p>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C12AD">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DD9FD">
    <w:pPr>
      <w:pStyle w:val="15"/>
      <w:rPr>
        <w:rFonts w:asciiTheme="minorEastAsia" w:hAnsiTheme="minorEastAsia" w:eastAsiaTheme="minor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A0DAFD2">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A0DAFD2">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7F3FD">
    <w:pPr>
      <w:pStyle w:val="17"/>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A509D">
    <w:pPr>
      <w:pStyle w:val="17"/>
      <w:pBdr>
        <w:bottom w:val="none" w:color="auto" w:sz="0" w:space="1"/>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4MTBmMTYwZTc0Zjg5OGIzYTc1NmUyYzVjNTZjOWMifQ=="/>
  </w:docVars>
  <w:rsids>
    <w:rsidRoot w:val="00276BA1"/>
    <w:rsid w:val="0000043F"/>
    <w:rsid w:val="000037F9"/>
    <w:rsid w:val="000049DA"/>
    <w:rsid w:val="00005403"/>
    <w:rsid w:val="000056B7"/>
    <w:rsid w:val="00007D87"/>
    <w:rsid w:val="000131F7"/>
    <w:rsid w:val="00014039"/>
    <w:rsid w:val="00016B6C"/>
    <w:rsid w:val="00020B57"/>
    <w:rsid w:val="00020B6D"/>
    <w:rsid w:val="000323E2"/>
    <w:rsid w:val="00040C25"/>
    <w:rsid w:val="00042139"/>
    <w:rsid w:val="00042B14"/>
    <w:rsid w:val="00044F49"/>
    <w:rsid w:val="000450C3"/>
    <w:rsid w:val="00050A3F"/>
    <w:rsid w:val="00052F95"/>
    <w:rsid w:val="00054AA3"/>
    <w:rsid w:val="00056ECB"/>
    <w:rsid w:val="00057B40"/>
    <w:rsid w:val="000648D2"/>
    <w:rsid w:val="00070E0E"/>
    <w:rsid w:val="0007146E"/>
    <w:rsid w:val="00076DB7"/>
    <w:rsid w:val="00080FEB"/>
    <w:rsid w:val="00094D41"/>
    <w:rsid w:val="00097CB9"/>
    <w:rsid w:val="000A0161"/>
    <w:rsid w:val="000A10A9"/>
    <w:rsid w:val="000A6693"/>
    <w:rsid w:val="000A7970"/>
    <w:rsid w:val="000A7D94"/>
    <w:rsid w:val="000B1511"/>
    <w:rsid w:val="000B6249"/>
    <w:rsid w:val="000C1DB1"/>
    <w:rsid w:val="000D19EC"/>
    <w:rsid w:val="000D3F37"/>
    <w:rsid w:val="000E3C74"/>
    <w:rsid w:val="000E3F9B"/>
    <w:rsid w:val="000E478E"/>
    <w:rsid w:val="000E668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30601"/>
    <w:rsid w:val="00132F4D"/>
    <w:rsid w:val="00133EA0"/>
    <w:rsid w:val="00137249"/>
    <w:rsid w:val="00140687"/>
    <w:rsid w:val="00146421"/>
    <w:rsid w:val="00153B20"/>
    <w:rsid w:val="00155F64"/>
    <w:rsid w:val="00157856"/>
    <w:rsid w:val="00160729"/>
    <w:rsid w:val="0016455F"/>
    <w:rsid w:val="00165398"/>
    <w:rsid w:val="00166794"/>
    <w:rsid w:val="00166ED8"/>
    <w:rsid w:val="001714C9"/>
    <w:rsid w:val="00171515"/>
    <w:rsid w:val="00172B93"/>
    <w:rsid w:val="001768BC"/>
    <w:rsid w:val="0018119B"/>
    <w:rsid w:val="001844AB"/>
    <w:rsid w:val="001853C7"/>
    <w:rsid w:val="00192879"/>
    <w:rsid w:val="001944B8"/>
    <w:rsid w:val="001967D2"/>
    <w:rsid w:val="00196DA3"/>
    <w:rsid w:val="001970C3"/>
    <w:rsid w:val="001971E5"/>
    <w:rsid w:val="001A0C0F"/>
    <w:rsid w:val="001A68E5"/>
    <w:rsid w:val="001B2A54"/>
    <w:rsid w:val="001B2BA4"/>
    <w:rsid w:val="001B5014"/>
    <w:rsid w:val="001B7327"/>
    <w:rsid w:val="001C2A15"/>
    <w:rsid w:val="001D22EA"/>
    <w:rsid w:val="001D53B4"/>
    <w:rsid w:val="001E1835"/>
    <w:rsid w:val="001F28D2"/>
    <w:rsid w:val="001F2F45"/>
    <w:rsid w:val="001F3023"/>
    <w:rsid w:val="001F35F6"/>
    <w:rsid w:val="001F4AAF"/>
    <w:rsid w:val="001F74CA"/>
    <w:rsid w:val="001F7590"/>
    <w:rsid w:val="002003B6"/>
    <w:rsid w:val="0020244A"/>
    <w:rsid w:val="002049B4"/>
    <w:rsid w:val="0020520B"/>
    <w:rsid w:val="002076AD"/>
    <w:rsid w:val="00213C55"/>
    <w:rsid w:val="00223CF4"/>
    <w:rsid w:val="00224B69"/>
    <w:rsid w:val="00224C4A"/>
    <w:rsid w:val="00231187"/>
    <w:rsid w:val="0023407E"/>
    <w:rsid w:val="00240B40"/>
    <w:rsid w:val="00244182"/>
    <w:rsid w:val="002544A1"/>
    <w:rsid w:val="00257ECE"/>
    <w:rsid w:val="00260382"/>
    <w:rsid w:val="00260B94"/>
    <w:rsid w:val="00264F2E"/>
    <w:rsid w:val="00271245"/>
    <w:rsid w:val="00272BD6"/>
    <w:rsid w:val="00273F66"/>
    <w:rsid w:val="00274A9E"/>
    <w:rsid w:val="00276BA1"/>
    <w:rsid w:val="00280984"/>
    <w:rsid w:val="002832CF"/>
    <w:rsid w:val="00283599"/>
    <w:rsid w:val="002835E3"/>
    <w:rsid w:val="00284542"/>
    <w:rsid w:val="002A14D1"/>
    <w:rsid w:val="002A1A1D"/>
    <w:rsid w:val="002A28AD"/>
    <w:rsid w:val="002B04FD"/>
    <w:rsid w:val="002B5318"/>
    <w:rsid w:val="002B6D27"/>
    <w:rsid w:val="002B7A09"/>
    <w:rsid w:val="002C060C"/>
    <w:rsid w:val="002C078A"/>
    <w:rsid w:val="002D05DD"/>
    <w:rsid w:val="002D0E4D"/>
    <w:rsid w:val="002D2965"/>
    <w:rsid w:val="002D3D02"/>
    <w:rsid w:val="002D4CB5"/>
    <w:rsid w:val="002D5900"/>
    <w:rsid w:val="002D684B"/>
    <w:rsid w:val="002E2D3A"/>
    <w:rsid w:val="002E3B26"/>
    <w:rsid w:val="002E4AB8"/>
    <w:rsid w:val="002E7FC4"/>
    <w:rsid w:val="00310070"/>
    <w:rsid w:val="0031081B"/>
    <w:rsid w:val="003110EC"/>
    <w:rsid w:val="00314289"/>
    <w:rsid w:val="003206A6"/>
    <w:rsid w:val="0032560D"/>
    <w:rsid w:val="00327C92"/>
    <w:rsid w:val="00333292"/>
    <w:rsid w:val="003344E7"/>
    <w:rsid w:val="0033580B"/>
    <w:rsid w:val="003365E7"/>
    <w:rsid w:val="003378D5"/>
    <w:rsid w:val="003473D7"/>
    <w:rsid w:val="00351995"/>
    <w:rsid w:val="00351AC8"/>
    <w:rsid w:val="00353075"/>
    <w:rsid w:val="003547EE"/>
    <w:rsid w:val="00363E02"/>
    <w:rsid w:val="00373A96"/>
    <w:rsid w:val="003826C2"/>
    <w:rsid w:val="00383728"/>
    <w:rsid w:val="00384E57"/>
    <w:rsid w:val="003903BB"/>
    <w:rsid w:val="0039195E"/>
    <w:rsid w:val="00392627"/>
    <w:rsid w:val="00393A9A"/>
    <w:rsid w:val="00394128"/>
    <w:rsid w:val="00394ADC"/>
    <w:rsid w:val="00395235"/>
    <w:rsid w:val="0039561A"/>
    <w:rsid w:val="00397C7D"/>
    <w:rsid w:val="003A004F"/>
    <w:rsid w:val="003A2158"/>
    <w:rsid w:val="003A3AC4"/>
    <w:rsid w:val="003B25A5"/>
    <w:rsid w:val="003B4130"/>
    <w:rsid w:val="003B6FA1"/>
    <w:rsid w:val="003B715B"/>
    <w:rsid w:val="003C2C62"/>
    <w:rsid w:val="003C5566"/>
    <w:rsid w:val="003C577A"/>
    <w:rsid w:val="003C7C74"/>
    <w:rsid w:val="003D1D14"/>
    <w:rsid w:val="003D6C7C"/>
    <w:rsid w:val="003D6EFB"/>
    <w:rsid w:val="003D7E52"/>
    <w:rsid w:val="003E25C6"/>
    <w:rsid w:val="003F7528"/>
    <w:rsid w:val="004011AA"/>
    <w:rsid w:val="0040202C"/>
    <w:rsid w:val="00404A8F"/>
    <w:rsid w:val="00406508"/>
    <w:rsid w:val="004110F6"/>
    <w:rsid w:val="004134F8"/>
    <w:rsid w:val="0041456E"/>
    <w:rsid w:val="004148E3"/>
    <w:rsid w:val="00414F7E"/>
    <w:rsid w:val="004164F8"/>
    <w:rsid w:val="00422224"/>
    <w:rsid w:val="00426F05"/>
    <w:rsid w:val="004328E1"/>
    <w:rsid w:val="004427B7"/>
    <w:rsid w:val="0044349F"/>
    <w:rsid w:val="00445F1F"/>
    <w:rsid w:val="00447862"/>
    <w:rsid w:val="00451F60"/>
    <w:rsid w:val="00452BB2"/>
    <w:rsid w:val="00456054"/>
    <w:rsid w:val="0045656D"/>
    <w:rsid w:val="00462D98"/>
    <w:rsid w:val="00463E7D"/>
    <w:rsid w:val="00472A44"/>
    <w:rsid w:val="00473A89"/>
    <w:rsid w:val="00475899"/>
    <w:rsid w:val="00482C78"/>
    <w:rsid w:val="00483ABC"/>
    <w:rsid w:val="0048634A"/>
    <w:rsid w:val="004874AE"/>
    <w:rsid w:val="0049056F"/>
    <w:rsid w:val="00492217"/>
    <w:rsid w:val="00494D24"/>
    <w:rsid w:val="004951D1"/>
    <w:rsid w:val="004960BB"/>
    <w:rsid w:val="004A1BA3"/>
    <w:rsid w:val="004A27D0"/>
    <w:rsid w:val="004A4D67"/>
    <w:rsid w:val="004B7E79"/>
    <w:rsid w:val="004C13CB"/>
    <w:rsid w:val="004C1AAB"/>
    <w:rsid w:val="004C5B90"/>
    <w:rsid w:val="004D3D4B"/>
    <w:rsid w:val="004D5498"/>
    <w:rsid w:val="004D66A5"/>
    <w:rsid w:val="004D6B00"/>
    <w:rsid w:val="004E1D50"/>
    <w:rsid w:val="004E3266"/>
    <w:rsid w:val="004E38BA"/>
    <w:rsid w:val="004E50CA"/>
    <w:rsid w:val="004F27A0"/>
    <w:rsid w:val="0050027D"/>
    <w:rsid w:val="00501382"/>
    <w:rsid w:val="005048FB"/>
    <w:rsid w:val="00510563"/>
    <w:rsid w:val="00510798"/>
    <w:rsid w:val="005119B5"/>
    <w:rsid w:val="005125F1"/>
    <w:rsid w:val="00524A11"/>
    <w:rsid w:val="00527768"/>
    <w:rsid w:val="00530EA4"/>
    <w:rsid w:val="005327FB"/>
    <w:rsid w:val="00533251"/>
    <w:rsid w:val="00533FCA"/>
    <w:rsid w:val="005346EF"/>
    <w:rsid w:val="00542F0C"/>
    <w:rsid w:val="005470D4"/>
    <w:rsid w:val="0055705E"/>
    <w:rsid w:val="005616B5"/>
    <w:rsid w:val="00566690"/>
    <w:rsid w:val="005679A4"/>
    <w:rsid w:val="00574CE6"/>
    <w:rsid w:val="0059223D"/>
    <w:rsid w:val="0059365B"/>
    <w:rsid w:val="00593ABC"/>
    <w:rsid w:val="00597B15"/>
    <w:rsid w:val="005A044C"/>
    <w:rsid w:val="005A149F"/>
    <w:rsid w:val="005A3A32"/>
    <w:rsid w:val="005B2C9F"/>
    <w:rsid w:val="005B34C9"/>
    <w:rsid w:val="005B571E"/>
    <w:rsid w:val="005C1D52"/>
    <w:rsid w:val="005C46AC"/>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3DE2"/>
    <w:rsid w:val="00627601"/>
    <w:rsid w:val="006300D0"/>
    <w:rsid w:val="00632012"/>
    <w:rsid w:val="00634694"/>
    <w:rsid w:val="00636517"/>
    <w:rsid w:val="00636EE7"/>
    <w:rsid w:val="00637690"/>
    <w:rsid w:val="00640E1E"/>
    <w:rsid w:val="0064389A"/>
    <w:rsid w:val="00645442"/>
    <w:rsid w:val="00650C27"/>
    <w:rsid w:val="006525CD"/>
    <w:rsid w:val="00653F7F"/>
    <w:rsid w:val="00662DCD"/>
    <w:rsid w:val="00662EE8"/>
    <w:rsid w:val="00663813"/>
    <w:rsid w:val="00664AFD"/>
    <w:rsid w:val="00667567"/>
    <w:rsid w:val="0067391A"/>
    <w:rsid w:val="00674173"/>
    <w:rsid w:val="0067534F"/>
    <w:rsid w:val="00677D87"/>
    <w:rsid w:val="006834FA"/>
    <w:rsid w:val="00690DB1"/>
    <w:rsid w:val="00693404"/>
    <w:rsid w:val="006953D9"/>
    <w:rsid w:val="006A1269"/>
    <w:rsid w:val="006A5803"/>
    <w:rsid w:val="006A69C3"/>
    <w:rsid w:val="006A7C15"/>
    <w:rsid w:val="006B1242"/>
    <w:rsid w:val="006B1DBC"/>
    <w:rsid w:val="006B3712"/>
    <w:rsid w:val="006B7D9A"/>
    <w:rsid w:val="006C06D9"/>
    <w:rsid w:val="006C3E22"/>
    <w:rsid w:val="006C5716"/>
    <w:rsid w:val="006C64B2"/>
    <w:rsid w:val="006C74A9"/>
    <w:rsid w:val="006D07DE"/>
    <w:rsid w:val="006D361A"/>
    <w:rsid w:val="006D6A81"/>
    <w:rsid w:val="006E06D9"/>
    <w:rsid w:val="006E1D40"/>
    <w:rsid w:val="006E2E1F"/>
    <w:rsid w:val="006E5059"/>
    <w:rsid w:val="006F5F03"/>
    <w:rsid w:val="006F5FFF"/>
    <w:rsid w:val="00710804"/>
    <w:rsid w:val="00711FC6"/>
    <w:rsid w:val="00712952"/>
    <w:rsid w:val="007130B1"/>
    <w:rsid w:val="00713487"/>
    <w:rsid w:val="00715071"/>
    <w:rsid w:val="007231E9"/>
    <w:rsid w:val="00724F0E"/>
    <w:rsid w:val="007270A6"/>
    <w:rsid w:val="00727C59"/>
    <w:rsid w:val="00733730"/>
    <w:rsid w:val="00734E5D"/>
    <w:rsid w:val="00736013"/>
    <w:rsid w:val="00737BF8"/>
    <w:rsid w:val="0074339B"/>
    <w:rsid w:val="0074478E"/>
    <w:rsid w:val="00750B60"/>
    <w:rsid w:val="00756245"/>
    <w:rsid w:val="00761662"/>
    <w:rsid w:val="00764043"/>
    <w:rsid w:val="00766A36"/>
    <w:rsid w:val="007757CF"/>
    <w:rsid w:val="007769F6"/>
    <w:rsid w:val="00780F9D"/>
    <w:rsid w:val="0078128F"/>
    <w:rsid w:val="0078143C"/>
    <w:rsid w:val="007819D9"/>
    <w:rsid w:val="0078683C"/>
    <w:rsid w:val="00790EDB"/>
    <w:rsid w:val="00791538"/>
    <w:rsid w:val="0079326E"/>
    <w:rsid w:val="00796EDE"/>
    <w:rsid w:val="007A5A58"/>
    <w:rsid w:val="007B1C56"/>
    <w:rsid w:val="007B2EDC"/>
    <w:rsid w:val="007C1DD7"/>
    <w:rsid w:val="007C3CD5"/>
    <w:rsid w:val="007C4756"/>
    <w:rsid w:val="007C5E88"/>
    <w:rsid w:val="007C61EF"/>
    <w:rsid w:val="007C6783"/>
    <w:rsid w:val="007D03DE"/>
    <w:rsid w:val="007D1C0D"/>
    <w:rsid w:val="007D2D23"/>
    <w:rsid w:val="007E1AE9"/>
    <w:rsid w:val="007E27D6"/>
    <w:rsid w:val="007E3921"/>
    <w:rsid w:val="00801028"/>
    <w:rsid w:val="00803793"/>
    <w:rsid w:val="00804000"/>
    <w:rsid w:val="008101A2"/>
    <w:rsid w:val="00817A01"/>
    <w:rsid w:val="00820937"/>
    <w:rsid w:val="00825E35"/>
    <w:rsid w:val="0083033F"/>
    <w:rsid w:val="00830A4E"/>
    <w:rsid w:val="008334F8"/>
    <w:rsid w:val="00835FFD"/>
    <w:rsid w:val="0084381F"/>
    <w:rsid w:val="00843E35"/>
    <w:rsid w:val="008524CE"/>
    <w:rsid w:val="00857633"/>
    <w:rsid w:val="0086440C"/>
    <w:rsid w:val="008674ED"/>
    <w:rsid w:val="00874EE6"/>
    <w:rsid w:val="00876659"/>
    <w:rsid w:val="0087734C"/>
    <w:rsid w:val="00882141"/>
    <w:rsid w:val="00886BD4"/>
    <w:rsid w:val="008876EC"/>
    <w:rsid w:val="008922A8"/>
    <w:rsid w:val="00895BD5"/>
    <w:rsid w:val="008A16C4"/>
    <w:rsid w:val="008A4A27"/>
    <w:rsid w:val="008A5F6D"/>
    <w:rsid w:val="008A649F"/>
    <w:rsid w:val="008A6FED"/>
    <w:rsid w:val="008B39C5"/>
    <w:rsid w:val="008B51AA"/>
    <w:rsid w:val="008C67F2"/>
    <w:rsid w:val="008D064A"/>
    <w:rsid w:val="008D2537"/>
    <w:rsid w:val="008D2B0F"/>
    <w:rsid w:val="008D633C"/>
    <w:rsid w:val="008E449E"/>
    <w:rsid w:val="008E4BDD"/>
    <w:rsid w:val="008E770C"/>
    <w:rsid w:val="008F187F"/>
    <w:rsid w:val="008F402F"/>
    <w:rsid w:val="008F76E8"/>
    <w:rsid w:val="00904508"/>
    <w:rsid w:val="009078A1"/>
    <w:rsid w:val="00911E9C"/>
    <w:rsid w:val="00917405"/>
    <w:rsid w:val="00920C1F"/>
    <w:rsid w:val="00920F7C"/>
    <w:rsid w:val="00922718"/>
    <w:rsid w:val="00924743"/>
    <w:rsid w:val="00932A87"/>
    <w:rsid w:val="00934CAE"/>
    <w:rsid w:val="0093560E"/>
    <w:rsid w:val="0094257D"/>
    <w:rsid w:val="009443B6"/>
    <w:rsid w:val="00946F68"/>
    <w:rsid w:val="0095356F"/>
    <w:rsid w:val="0095467C"/>
    <w:rsid w:val="00954A61"/>
    <w:rsid w:val="00955C6F"/>
    <w:rsid w:val="00966C7B"/>
    <w:rsid w:val="009701DC"/>
    <w:rsid w:val="009715D8"/>
    <w:rsid w:val="009811A8"/>
    <w:rsid w:val="00991460"/>
    <w:rsid w:val="00995BF9"/>
    <w:rsid w:val="009975CC"/>
    <w:rsid w:val="009A0CAF"/>
    <w:rsid w:val="009A2207"/>
    <w:rsid w:val="009A2D34"/>
    <w:rsid w:val="009A6565"/>
    <w:rsid w:val="009B0BF2"/>
    <w:rsid w:val="009B0EDA"/>
    <w:rsid w:val="009B6C42"/>
    <w:rsid w:val="009D2998"/>
    <w:rsid w:val="009D31F7"/>
    <w:rsid w:val="009D32C2"/>
    <w:rsid w:val="009D50DB"/>
    <w:rsid w:val="009E2932"/>
    <w:rsid w:val="009E3A0A"/>
    <w:rsid w:val="009F1936"/>
    <w:rsid w:val="009F3E91"/>
    <w:rsid w:val="00A008DA"/>
    <w:rsid w:val="00A00C93"/>
    <w:rsid w:val="00A0571E"/>
    <w:rsid w:val="00A13A27"/>
    <w:rsid w:val="00A1499B"/>
    <w:rsid w:val="00A170D8"/>
    <w:rsid w:val="00A30A1B"/>
    <w:rsid w:val="00A311AD"/>
    <w:rsid w:val="00A314C2"/>
    <w:rsid w:val="00A501BF"/>
    <w:rsid w:val="00A519A0"/>
    <w:rsid w:val="00A5274A"/>
    <w:rsid w:val="00A62A2E"/>
    <w:rsid w:val="00A63A4D"/>
    <w:rsid w:val="00A63E86"/>
    <w:rsid w:val="00A67AF7"/>
    <w:rsid w:val="00A75185"/>
    <w:rsid w:val="00A754A0"/>
    <w:rsid w:val="00A757C3"/>
    <w:rsid w:val="00A75E5B"/>
    <w:rsid w:val="00A75F4B"/>
    <w:rsid w:val="00A7684A"/>
    <w:rsid w:val="00A83B69"/>
    <w:rsid w:val="00A86533"/>
    <w:rsid w:val="00A91CA2"/>
    <w:rsid w:val="00A92FB8"/>
    <w:rsid w:val="00A948F1"/>
    <w:rsid w:val="00AA0BE3"/>
    <w:rsid w:val="00AA18F9"/>
    <w:rsid w:val="00AA1D7D"/>
    <w:rsid w:val="00AA2790"/>
    <w:rsid w:val="00AA3806"/>
    <w:rsid w:val="00AB139D"/>
    <w:rsid w:val="00AB2A35"/>
    <w:rsid w:val="00AB2D05"/>
    <w:rsid w:val="00AB3EFB"/>
    <w:rsid w:val="00AC0B05"/>
    <w:rsid w:val="00AC1962"/>
    <w:rsid w:val="00AC7F9D"/>
    <w:rsid w:val="00AD079A"/>
    <w:rsid w:val="00AD1890"/>
    <w:rsid w:val="00AE2149"/>
    <w:rsid w:val="00AE2BF3"/>
    <w:rsid w:val="00AE33AE"/>
    <w:rsid w:val="00AE3986"/>
    <w:rsid w:val="00AE3F91"/>
    <w:rsid w:val="00AF5B63"/>
    <w:rsid w:val="00B0053D"/>
    <w:rsid w:val="00B01176"/>
    <w:rsid w:val="00B039E3"/>
    <w:rsid w:val="00B06D36"/>
    <w:rsid w:val="00B12BC4"/>
    <w:rsid w:val="00B22838"/>
    <w:rsid w:val="00B33E8F"/>
    <w:rsid w:val="00B33E95"/>
    <w:rsid w:val="00B3720B"/>
    <w:rsid w:val="00B40731"/>
    <w:rsid w:val="00B45D0B"/>
    <w:rsid w:val="00B52FA0"/>
    <w:rsid w:val="00B5558A"/>
    <w:rsid w:val="00B56513"/>
    <w:rsid w:val="00B61B64"/>
    <w:rsid w:val="00B631E4"/>
    <w:rsid w:val="00B64376"/>
    <w:rsid w:val="00B6570C"/>
    <w:rsid w:val="00B6790B"/>
    <w:rsid w:val="00B7401F"/>
    <w:rsid w:val="00B769CF"/>
    <w:rsid w:val="00B806C3"/>
    <w:rsid w:val="00B80D6F"/>
    <w:rsid w:val="00B84FCA"/>
    <w:rsid w:val="00B9089F"/>
    <w:rsid w:val="00B91826"/>
    <w:rsid w:val="00B91AEE"/>
    <w:rsid w:val="00B95F5A"/>
    <w:rsid w:val="00B96EAD"/>
    <w:rsid w:val="00BA4962"/>
    <w:rsid w:val="00BA4B7C"/>
    <w:rsid w:val="00BA79F5"/>
    <w:rsid w:val="00BA7EA7"/>
    <w:rsid w:val="00BB2E28"/>
    <w:rsid w:val="00BB3AB6"/>
    <w:rsid w:val="00BB766D"/>
    <w:rsid w:val="00BC007B"/>
    <w:rsid w:val="00BC1715"/>
    <w:rsid w:val="00BC26BA"/>
    <w:rsid w:val="00BC35F8"/>
    <w:rsid w:val="00BC481B"/>
    <w:rsid w:val="00BD08DF"/>
    <w:rsid w:val="00BD2D29"/>
    <w:rsid w:val="00BD617C"/>
    <w:rsid w:val="00BE782C"/>
    <w:rsid w:val="00BF376F"/>
    <w:rsid w:val="00BF46A6"/>
    <w:rsid w:val="00BF6CAD"/>
    <w:rsid w:val="00BF71FB"/>
    <w:rsid w:val="00C04DBF"/>
    <w:rsid w:val="00C05E4C"/>
    <w:rsid w:val="00C06545"/>
    <w:rsid w:val="00C134AF"/>
    <w:rsid w:val="00C220FC"/>
    <w:rsid w:val="00C24DFA"/>
    <w:rsid w:val="00C24F9D"/>
    <w:rsid w:val="00C30182"/>
    <w:rsid w:val="00C31FC9"/>
    <w:rsid w:val="00C37A63"/>
    <w:rsid w:val="00C42248"/>
    <w:rsid w:val="00C46A36"/>
    <w:rsid w:val="00C47037"/>
    <w:rsid w:val="00C50235"/>
    <w:rsid w:val="00C509E3"/>
    <w:rsid w:val="00C53625"/>
    <w:rsid w:val="00C548BA"/>
    <w:rsid w:val="00C5679D"/>
    <w:rsid w:val="00C57784"/>
    <w:rsid w:val="00C602C1"/>
    <w:rsid w:val="00C63FC0"/>
    <w:rsid w:val="00C66392"/>
    <w:rsid w:val="00C7075D"/>
    <w:rsid w:val="00C73D09"/>
    <w:rsid w:val="00C74895"/>
    <w:rsid w:val="00C74C5E"/>
    <w:rsid w:val="00C82558"/>
    <w:rsid w:val="00C827A2"/>
    <w:rsid w:val="00C82B69"/>
    <w:rsid w:val="00C82C8E"/>
    <w:rsid w:val="00C82CB3"/>
    <w:rsid w:val="00C91B28"/>
    <w:rsid w:val="00C91F3A"/>
    <w:rsid w:val="00C93590"/>
    <w:rsid w:val="00CA31EA"/>
    <w:rsid w:val="00CA5446"/>
    <w:rsid w:val="00CB14E5"/>
    <w:rsid w:val="00CB218D"/>
    <w:rsid w:val="00CB5625"/>
    <w:rsid w:val="00CB5797"/>
    <w:rsid w:val="00CC1C17"/>
    <w:rsid w:val="00CC4F7F"/>
    <w:rsid w:val="00CC5D70"/>
    <w:rsid w:val="00CD09E1"/>
    <w:rsid w:val="00CE1780"/>
    <w:rsid w:val="00CE4913"/>
    <w:rsid w:val="00CE66BD"/>
    <w:rsid w:val="00CF0671"/>
    <w:rsid w:val="00CF247A"/>
    <w:rsid w:val="00CF44AD"/>
    <w:rsid w:val="00CF4D7C"/>
    <w:rsid w:val="00CF4FC0"/>
    <w:rsid w:val="00CF7486"/>
    <w:rsid w:val="00D00637"/>
    <w:rsid w:val="00D1072F"/>
    <w:rsid w:val="00D108A5"/>
    <w:rsid w:val="00D14585"/>
    <w:rsid w:val="00D153C8"/>
    <w:rsid w:val="00D1654E"/>
    <w:rsid w:val="00D17F98"/>
    <w:rsid w:val="00D20EFF"/>
    <w:rsid w:val="00D215B9"/>
    <w:rsid w:val="00D31324"/>
    <w:rsid w:val="00D4386E"/>
    <w:rsid w:val="00D51432"/>
    <w:rsid w:val="00D53ED8"/>
    <w:rsid w:val="00D541A0"/>
    <w:rsid w:val="00D64857"/>
    <w:rsid w:val="00D6493A"/>
    <w:rsid w:val="00D649A5"/>
    <w:rsid w:val="00D66833"/>
    <w:rsid w:val="00D67875"/>
    <w:rsid w:val="00D71E86"/>
    <w:rsid w:val="00D731C6"/>
    <w:rsid w:val="00D745C5"/>
    <w:rsid w:val="00D75327"/>
    <w:rsid w:val="00D77D6B"/>
    <w:rsid w:val="00D80C36"/>
    <w:rsid w:val="00D81A32"/>
    <w:rsid w:val="00D86EE1"/>
    <w:rsid w:val="00D95E90"/>
    <w:rsid w:val="00D96126"/>
    <w:rsid w:val="00DA2FD5"/>
    <w:rsid w:val="00DB4B1C"/>
    <w:rsid w:val="00DB5085"/>
    <w:rsid w:val="00DB619F"/>
    <w:rsid w:val="00DB7211"/>
    <w:rsid w:val="00DC1062"/>
    <w:rsid w:val="00DC132C"/>
    <w:rsid w:val="00DC181A"/>
    <w:rsid w:val="00DC5727"/>
    <w:rsid w:val="00DD43F0"/>
    <w:rsid w:val="00DD44DE"/>
    <w:rsid w:val="00DE09AB"/>
    <w:rsid w:val="00DE1DCC"/>
    <w:rsid w:val="00DE352F"/>
    <w:rsid w:val="00DE4A3F"/>
    <w:rsid w:val="00DE5A99"/>
    <w:rsid w:val="00DF4367"/>
    <w:rsid w:val="00DF7291"/>
    <w:rsid w:val="00E0574A"/>
    <w:rsid w:val="00E1243D"/>
    <w:rsid w:val="00E12742"/>
    <w:rsid w:val="00E146D4"/>
    <w:rsid w:val="00E14815"/>
    <w:rsid w:val="00E21D37"/>
    <w:rsid w:val="00E220ED"/>
    <w:rsid w:val="00E22B44"/>
    <w:rsid w:val="00E306A7"/>
    <w:rsid w:val="00E30ACD"/>
    <w:rsid w:val="00E32735"/>
    <w:rsid w:val="00E34236"/>
    <w:rsid w:val="00E44B88"/>
    <w:rsid w:val="00E60DDB"/>
    <w:rsid w:val="00E65AD9"/>
    <w:rsid w:val="00E66E36"/>
    <w:rsid w:val="00E67F21"/>
    <w:rsid w:val="00E702ED"/>
    <w:rsid w:val="00E709A4"/>
    <w:rsid w:val="00E75917"/>
    <w:rsid w:val="00E772DB"/>
    <w:rsid w:val="00E86012"/>
    <w:rsid w:val="00E860CA"/>
    <w:rsid w:val="00E86BAB"/>
    <w:rsid w:val="00E92962"/>
    <w:rsid w:val="00E94E10"/>
    <w:rsid w:val="00E96743"/>
    <w:rsid w:val="00E96A42"/>
    <w:rsid w:val="00E97497"/>
    <w:rsid w:val="00EA16D5"/>
    <w:rsid w:val="00EA49C5"/>
    <w:rsid w:val="00EA6279"/>
    <w:rsid w:val="00EB5027"/>
    <w:rsid w:val="00EB6C87"/>
    <w:rsid w:val="00EC1836"/>
    <w:rsid w:val="00EC2F6E"/>
    <w:rsid w:val="00EC3990"/>
    <w:rsid w:val="00EC484B"/>
    <w:rsid w:val="00EC7E58"/>
    <w:rsid w:val="00ED15FA"/>
    <w:rsid w:val="00ED5C9F"/>
    <w:rsid w:val="00EE050C"/>
    <w:rsid w:val="00EE2113"/>
    <w:rsid w:val="00EE5730"/>
    <w:rsid w:val="00EE6E9A"/>
    <w:rsid w:val="00EF2AC4"/>
    <w:rsid w:val="00EF397E"/>
    <w:rsid w:val="00F0340C"/>
    <w:rsid w:val="00F06F68"/>
    <w:rsid w:val="00F11241"/>
    <w:rsid w:val="00F15E9D"/>
    <w:rsid w:val="00F23FA7"/>
    <w:rsid w:val="00F24C2D"/>
    <w:rsid w:val="00F27BEC"/>
    <w:rsid w:val="00F27D59"/>
    <w:rsid w:val="00F316E1"/>
    <w:rsid w:val="00F32155"/>
    <w:rsid w:val="00F32A81"/>
    <w:rsid w:val="00F40C82"/>
    <w:rsid w:val="00F4197F"/>
    <w:rsid w:val="00F46998"/>
    <w:rsid w:val="00F5382D"/>
    <w:rsid w:val="00F53D9C"/>
    <w:rsid w:val="00F54195"/>
    <w:rsid w:val="00F5462B"/>
    <w:rsid w:val="00F54653"/>
    <w:rsid w:val="00F54FAC"/>
    <w:rsid w:val="00F569DE"/>
    <w:rsid w:val="00F57205"/>
    <w:rsid w:val="00F634AD"/>
    <w:rsid w:val="00F63677"/>
    <w:rsid w:val="00F70658"/>
    <w:rsid w:val="00F7417E"/>
    <w:rsid w:val="00F75B81"/>
    <w:rsid w:val="00F761CA"/>
    <w:rsid w:val="00F804C4"/>
    <w:rsid w:val="00F80C7E"/>
    <w:rsid w:val="00F82F83"/>
    <w:rsid w:val="00F86097"/>
    <w:rsid w:val="00F90C64"/>
    <w:rsid w:val="00F9210C"/>
    <w:rsid w:val="00F92B30"/>
    <w:rsid w:val="00F933B9"/>
    <w:rsid w:val="00F94674"/>
    <w:rsid w:val="00F94919"/>
    <w:rsid w:val="00F94A59"/>
    <w:rsid w:val="00FA25B6"/>
    <w:rsid w:val="00FA2FAF"/>
    <w:rsid w:val="00FA54F6"/>
    <w:rsid w:val="00FA64B1"/>
    <w:rsid w:val="00FA70F3"/>
    <w:rsid w:val="00FA71CD"/>
    <w:rsid w:val="00FB0453"/>
    <w:rsid w:val="00FB0C07"/>
    <w:rsid w:val="00FB205F"/>
    <w:rsid w:val="00FB298D"/>
    <w:rsid w:val="00FB3171"/>
    <w:rsid w:val="00FB444E"/>
    <w:rsid w:val="00FC1439"/>
    <w:rsid w:val="00FC3F65"/>
    <w:rsid w:val="00FC5007"/>
    <w:rsid w:val="00FC70AD"/>
    <w:rsid w:val="00FC724B"/>
    <w:rsid w:val="00FC7910"/>
    <w:rsid w:val="00FD01E0"/>
    <w:rsid w:val="00FD50FC"/>
    <w:rsid w:val="00FE1627"/>
    <w:rsid w:val="00FE2D4E"/>
    <w:rsid w:val="00FE3F22"/>
    <w:rsid w:val="00FF092F"/>
    <w:rsid w:val="00FF0DA7"/>
    <w:rsid w:val="00FF2B09"/>
    <w:rsid w:val="00FF44E0"/>
    <w:rsid w:val="00FF6C72"/>
    <w:rsid w:val="01057174"/>
    <w:rsid w:val="015873C5"/>
    <w:rsid w:val="015C4E83"/>
    <w:rsid w:val="01722E9F"/>
    <w:rsid w:val="017600E6"/>
    <w:rsid w:val="017F5898"/>
    <w:rsid w:val="018336E2"/>
    <w:rsid w:val="0185764C"/>
    <w:rsid w:val="01915CC2"/>
    <w:rsid w:val="019F4757"/>
    <w:rsid w:val="01C0309B"/>
    <w:rsid w:val="02443CCC"/>
    <w:rsid w:val="02880C6E"/>
    <w:rsid w:val="028F4055"/>
    <w:rsid w:val="02B63CEC"/>
    <w:rsid w:val="02EB0203"/>
    <w:rsid w:val="02EF2692"/>
    <w:rsid w:val="0305345B"/>
    <w:rsid w:val="034445B5"/>
    <w:rsid w:val="03C43552"/>
    <w:rsid w:val="04F80D9E"/>
    <w:rsid w:val="05C313AC"/>
    <w:rsid w:val="05D15877"/>
    <w:rsid w:val="060A4B96"/>
    <w:rsid w:val="064A0C38"/>
    <w:rsid w:val="067E27BC"/>
    <w:rsid w:val="068F0ACF"/>
    <w:rsid w:val="06954AF6"/>
    <w:rsid w:val="069637C4"/>
    <w:rsid w:val="06AE129F"/>
    <w:rsid w:val="070B6B66"/>
    <w:rsid w:val="072D20A4"/>
    <w:rsid w:val="073B420D"/>
    <w:rsid w:val="07D71DC7"/>
    <w:rsid w:val="08397703"/>
    <w:rsid w:val="08564BF9"/>
    <w:rsid w:val="08B5322E"/>
    <w:rsid w:val="08BA0E0D"/>
    <w:rsid w:val="08CA47FF"/>
    <w:rsid w:val="0937357F"/>
    <w:rsid w:val="097C1F9D"/>
    <w:rsid w:val="098D7D07"/>
    <w:rsid w:val="09A909AA"/>
    <w:rsid w:val="09BE25B6"/>
    <w:rsid w:val="0A052B89"/>
    <w:rsid w:val="0A3D35AB"/>
    <w:rsid w:val="0A410AF1"/>
    <w:rsid w:val="0A542106"/>
    <w:rsid w:val="0A6C4667"/>
    <w:rsid w:val="0AC43BFC"/>
    <w:rsid w:val="0AC534D0"/>
    <w:rsid w:val="0AC97464"/>
    <w:rsid w:val="0ACB4F8A"/>
    <w:rsid w:val="0AF049F1"/>
    <w:rsid w:val="0B2360D1"/>
    <w:rsid w:val="0B2C7DE0"/>
    <w:rsid w:val="0B566286"/>
    <w:rsid w:val="0B6158EF"/>
    <w:rsid w:val="0B9C06D5"/>
    <w:rsid w:val="0BBE711B"/>
    <w:rsid w:val="0BD47173"/>
    <w:rsid w:val="0C1B47F2"/>
    <w:rsid w:val="0C4264AA"/>
    <w:rsid w:val="0C6157E5"/>
    <w:rsid w:val="0CC43DFB"/>
    <w:rsid w:val="0CCA74C4"/>
    <w:rsid w:val="0D224C0A"/>
    <w:rsid w:val="0D366907"/>
    <w:rsid w:val="0D466B4A"/>
    <w:rsid w:val="0D474670"/>
    <w:rsid w:val="0D8458C4"/>
    <w:rsid w:val="0DB63633"/>
    <w:rsid w:val="0E667E21"/>
    <w:rsid w:val="0E6A2D0C"/>
    <w:rsid w:val="0E812471"/>
    <w:rsid w:val="0EFE3455"/>
    <w:rsid w:val="0F1B7B63"/>
    <w:rsid w:val="0F403A6D"/>
    <w:rsid w:val="10090F42"/>
    <w:rsid w:val="104906FF"/>
    <w:rsid w:val="10607C4F"/>
    <w:rsid w:val="10625C40"/>
    <w:rsid w:val="106E6418"/>
    <w:rsid w:val="10D40911"/>
    <w:rsid w:val="11323C4E"/>
    <w:rsid w:val="11E45716"/>
    <w:rsid w:val="12067AF4"/>
    <w:rsid w:val="12865C3B"/>
    <w:rsid w:val="1299596E"/>
    <w:rsid w:val="12BC1F8B"/>
    <w:rsid w:val="12D71D5F"/>
    <w:rsid w:val="13147343"/>
    <w:rsid w:val="13622204"/>
    <w:rsid w:val="14887A48"/>
    <w:rsid w:val="14910533"/>
    <w:rsid w:val="151B7FB7"/>
    <w:rsid w:val="153C0833"/>
    <w:rsid w:val="15A9236C"/>
    <w:rsid w:val="15AA36D0"/>
    <w:rsid w:val="15AF54A9"/>
    <w:rsid w:val="15CC7E09"/>
    <w:rsid w:val="15D8055B"/>
    <w:rsid w:val="16300397"/>
    <w:rsid w:val="16473933"/>
    <w:rsid w:val="167B6427"/>
    <w:rsid w:val="16B27D38"/>
    <w:rsid w:val="16DC22CD"/>
    <w:rsid w:val="17D77080"/>
    <w:rsid w:val="17DE3E23"/>
    <w:rsid w:val="17F97D1D"/>
    <w:rsid w:val="19033B41"/>
    <w:rsid w:val="1930691F"/>
    <w:rsid w:val="19594E1E"/>
    <w:rsid w:val="195A572B"/>
    <w:rsid w:val="197131A1"/>
    <w:rsid w:val="19E100CF"/>
    <w:rsid w:val="1A197394"/>
    <w:rsid w:val="1A352420"/>
    <w:rsid w:val="1A3F6DFB"/>
    <w:rsid w:val="1A6528FE"/>
    <w:rsid w:val="1A835004"/>
    <w:rsid w:val="1AC217DA"/>
    <w:rsid w:val="1AD339E7"/>
    <w:rsid w:val="1B4B17D0"/>
    <w:rsid w:val="1B542D7A"/>
    <w:rsid w:val="1BA02D05"/>
    <w:rsid w:val="1BA61F6F"/>
    <w:rsid w:val="1BE94919"/>
    <w:rsid w:val="1C093B64"/>
    <w:rsid w:val="1C0E2F29"/>
    <w:rsid w:val="1C142509"/>
    <w:rsid w:val="1C63029E"/>
    <w:rsid w:val="1C6B037B"/>
    <w:rsid w:val="1C715A71"/>
    <w:rsid w:val="1CA52637"/>
    <w:rsid w:val="1CC921E7"/>
    <w:rsid w:val="1D0E0D07"/>
    <w:rsid w:val="1D1C4205"/>
    <w:rsid w:val="1D444EB6"/>
    <w:rsid w:val="1DA840EB"/>
    <w:rsid w:val="1DB47B00"/>
    <w:rsid w:val="1DC53ABB"/>
    <w:rsid w:val="1DF83E22"/>
    <w:rsid w:val="1E197963"/>
    <w:rsid w:val="1E1D46AD"/>
    <w:rsid w:val="1E2564DE"/>
    <w:rsid w:val="1E360515"/>
    <w:rsid w:val="1E4531C0"/>
    <w:rsid w:val="1F29350C"/>
    <w:rsid w:val="1FB5190D"/>
    <w:rsid w:val="1FCB2EDF"/>
    <w:rsid w:val="201A2AFF"/>
    <w:rsid w:val="203A2CE5"/>
    <w:rsid w:val="208539D6"/>
    <w:rsid w:val="20C16461"/>
    <w:rsid w:val="20ED2E58"/>
    <w:rsid w:val="20FF5536"/>
    <w:rsid w:val="21367194"/>
    <w:rsid w:val="21E5472C"/>
    <w:rsid w:val="226F2197"/>
    <w:rsid w:val="22E91FFA"/>
    <w:rsid w:val="22FD5AA5"/>
    <w:rsid w:val="23146520"/>
    <w:rsid w:val="23205778"/>
    <w:rsid w:val="23585502"/>
    <w:rsid w:val="23596C26"/>
    <w:rsid w:val="239767DA"/>
    <w:rsid w:val="23DB14C5"/>
    <w:rsid w:val="23F52362"/>
    <w:rsid w:val="24042E63"/>
    <w:rsid w:val="24456480"/>
    <w:rsid w:val="24577437"/>
    <w:rsid w:val="24584540"/>
    <w:rsid w:val="24635A04"/>
    <w:rsid w:val="246851A0"/>
    <w:rsid w:val="24E0567E"/>
    <w:rsid w:val="25256AF7"/>
    <w:rsid w:val="253F4153"/>
    <w:rsid w:val="255D409B"/>
    <w:rsid w:val="2561056D"/>
    <w:rsid w:val="25652EDE"/>
    <w:rsid w:val="25981AB5"/>
    <w:rsid w:val="25D56865"/>
    <w:rsid w:val="262D78EB"/>
    <w:rsid w:val="263F3C7D"/>
    <w:rsid w:val="265D18B9"/>
    <w:rsid w:val="26A04F4F"/>
    <w:rsid w:val="26AB783A"/>
    <w:rsid w:val="26BC17D3"/>
    <w:rsid w:val="26EB3CAB"/>
    <w:rsid w:val="26F079BE"/>
    <w:rsid w:val="27CA60F4"/>
    <w:rsid w:val="27E234BC"/>
    <w:rsid w:val="27E85AF1"/>
    <w:rsid w:val="28BF1224"/>
    <w:rsid w:val="28C929C1"/>
    <w:rsid w:val="29332221"/>
    <w:rsid w:val="295220BC"/>
    <w:rsid w:val="29934A6D"/>
    <w:rsid w:val="299A1C85"/>
    <w:rsid w:val="29DA6B0B"/>
    <w:rsid w:val="2A093B18"/>
    <w:rsid w:val="2A1C2D12"/>
    <w:rsid w:val="2A8D7B4E"/>
    <w:rsid w:val="2ABD245A"/>
    <w:rsid w:val="2AD104E2"/>
    <w:rsid w:val="2B412386"/>
    <w:rsid w:val="2B5B780D"/>
    <w:rsid w:val="2B876854"/>
    <w:rsid w:val="2BB34FD2"/>
    <w:rsid w:val="2BD15D21"/>
    <w:rsid w:val="2BFD6B16"/>
    <w:rsid w:val="2C6E3570"/>
    <w:rsid w:val="2CCE400E"/>
    <w:rsid w:val="2CE10D2D"/>
    <w:rsid w:val="2CEA687B"/>
    <w:rsid w:val="2D1633EB"/>
    <w:rsid w:val="2D345514"/>
    <w:rsid w:val="2D5819A5"/>
    <w:rsid w:val="2DCA3B5A"/>
    <w:rsid w:val="2DDE64D3"/>
    <w:rsid w:val="2DE16C1F"/>
    <w:rsid w:val="2DE33AEA"/>
    <w:rsid w:val="2E027D31"/>
    <w:rsid w:val="2E1B2EA1"/>
    <w:rsid w:val="2E395380"/>
    <w:rsid w:val="2E63511A"/>
    <w:rsid w:val="2E636360"/>
    <w:rsid w:val="2EB35320"/>
    <w:rsid w:val="2EE6563F"/>
    <w:rsid w:val="2EF830D5"/>
    <w:rsid w:val="2F111D48"/>
    <w:rsid w:val="2F283EAA"/>
    <w:rsid w:val="2F317872"/>
    <w:rsid w:val="2F3F0C54"/>
    <w:rsid w:val="2F4615DA"/>
    <w:rsid w:val="2F810850"/>
    <w:rsid w:val="2FB40713"/>
    <w:rsid w:val="2FC260AC"/>
    <w:rsid w:val="2FC35981"/>
    <w:rsid w:val="30444D13"/>
    <w:rsid w:val="30766E97"/>
    <w:rsid w:val="30C916BD"/>
    <w:rsid w:val="30ED2B9B"/>
    <w:rsid w:val="310821E5"/>
    <w:rsid w:val="31197749"/>
    <w:rsid w:val="315E1E05"/>
    <w:rsid w:val="323B0398"/>
    <w:rsid w:val="324A2389"/>
    <w:rsid w:val="32543208"/>
    <w:rsid w:val="32691053"/>
    <w:rsid w:val="32A538A5"/>
    <w:rsid w:val="32B85545"/>
    <w:rsid w:val="32CF509C"/>
    <w:rsid w:val="330E360D"/>
    <w:rsid w:val="333A23FE"/>
    <w:rsid w:val="33492641"/>
    <w:rsid w:val="335747AC"/>
    <w:rsid w:val="33B37D2E"/>
    <w:rsid w:val="33C06BFF"/>
    <w:rsid w:val="348F2D94"/>
    <w:rsid w:val="34F051F3"/>
    <w:rsid w:val="352620DC"/>
    <w:rsid w:val="35CC5E7F"/>
    <w:rsid w:val="35E054DE"/>
    <w:rsid w:val="35E5310F"/>
    <w:rsid w:val="36097A13"/>
    <w:rsid w:val="36581519"/>
    <w:rsid w:val="3661430F"/>
    <w:rsid w:val="369D587E"/>
    <w:rsid w:val="36CF1D5D"/>
    <w:rsid w:val="36CF7301"/>
    <w:rsid w:val="370F3BF6"/>
    <w:rsid w:val="371D28E3"/>
    <w:rsid w:val="37421881"/>
    <w:rsid w:val="375D1E78"/>
    <w:rsid w:val="37E47653"/>
    <w:rsid w:val="382947EF"/>
    <w:rsid w:val="3885411B"/>
    <w:rsid w:val="388D1222"/>
    <w:rsid w:val="38E52E0C"/>
    <w:rsid w:val="38F01E0F"/>
    <w:rsid w:val="39293004"/>
    <w:rsid w:val="393336C0"/>
    <w:rsid w:val="39820C37"/>
    <w:rsid w:val="39882115"/>
    <w:rsid w:val="39D8471E"/>
    <w:rsid w:val="39E10D60"/>
    <w:rsid w:val="3A203377"/>
    <w:rsid w:val="3A502507"/>
    <w:rsid w:val="3A8C79E3"/>
    <w:rsid w:val="3A960861"/>
    <w:rsid w:val="3AA0017A"/>
    <w:rsid w:val="3ADC54E1"/>
    <w:rsid w:val="3B11613A"/>
    <w:rsid w:val="3BFC5E74"/>
    <w:rsid w:val="3C0059BB"/>
    <w:rsid w:val="3C0E2679"/>
    <w:rsid w:val="3C5A58BF"/>
    <w:rsid w:val="3C5F3E33"/>
    <w:rsid w:val="3C8D0477"/>
    <w:rsid w:val="3D502D9B"/>
    <w:rsid w:val="3D9077EA"/>
    <w:rsid w:val="3DFD7F8F"/>
    <w:rsid w:val="3E587BDC"/>
    <w:rsid w:val="3E7F33BB"/>
    <w:rsid w:val="3F041198"/>
    <w:rsid w:val="3F5E4365"/>
    <w:rsid w:val="3F604F9A"/>
    <w:rsid w:val="3F80563C"/>
    <w:rsid w:val="3F8769CB"/>
    <w:rsid w:val="3FBE7F13"/>
    <w:rsid w:val="41214BFD"/>
    <w:rsid w:val="4136041A"/>
    <w:rsid w:val="415470E2"/>
    <w:rsid w:val="41596343"/>
    <w:rsid w:val="416E38FB"/>
    <w:rsid w:val="41AF5742"/>
    <w:rsid w:val="41BB759E"/>
    <w:rsid w:val="42435353"/>
    <w:rsid w:val="425608D6"/>
    <w:rsid w:val="42664FBD"/>
    <w:rsid w:val="42740598"/>
    <w:rsid w:val="42B21049"/>
    <w:rsid w:val="42B740A7"/>
    <w:rsid w:val="42C41CE4"/>
    <w:rsid w:val="42CD2946"/>
    <w:rsid w:val="42FC216C"/>
    <w:rsid w:val="42FF3315"/>
    <w:rsid w:val="4353477A"/>
    <w:rsid w:val="437A5885"/>
    <w:rsid w:val="43C05511"/>
    <w:rsid w:val="441445A5"/>
    <w:rsid w:val="446B6021"/>
    <w:rsid w:val="447A6BAC"/>
    <w:rsid w:val="447B63D2"/>
    <w:rsid w:val="449F0313"/>
    <w:rsid w:val="45576E3F"/>
    <w:rsid w:val="4595695A"/>
    <w:rsid w:val="45EC782A"/>
    <w:rsid w:val="45FC7108"/>
    <w:rsid w:val="463F1DAD"/>
    <w:rsid w:val="46B53E1D"/>
    <w:rsid w:val="46BD7ED2"/>
    <w:rsid w:val="46C91E71"/>
    <w:rsid w:val="473A7BED"/>
    <w:rsid w:val="47863A67"/>
    <w:rsid w:val="478F71C4"/>
    <w:rsid w:val="47D34348"/>
    <w:rsid w:val="4821786A"/>
    <w:rsid w:val="4825146D"/>
    <w:rsid w:val="48253225"/>
    <w:rsid w:val="48D04F3E"/>
    <w:rsid w:val="48FD5F50"/>
    <w:rsid w:val="49407CA0"/>
    <w:rsid w:val="498126DD"/>
    <w:rsid w:val="49BC54C3"/>
    <w:rsid w:val="49F11610"/>
    <w:rsid w:val="4A6169D0"/>
    <w:rsid w:val="4A965D14"/>
    <w:rsid w:val="4B014864"/>
    <w:rsid w:val="4B071F90"/>
    <w:rsid w:val="4B125CE2"/>
    <w:rsid w:val="4B2C48CA"/>
    <w:rsid w:val="4B835265"/>
    <w:rsid w:val="4B954E7C"/>
    <w:rsid w:val="4C055307"/>
    <w:rsid w:val="4C2537F3"/>
    <w:rsid w:val="4C312198"/>
    <w:rsid w:val="4C3D5B39"/>
    <w:rsid w:val="4D3E64AE"/>
    <w:rsid w:val="4D785BA5"/>
    <w:rsid w:val="4DC4528E"/>
    <w:rsid w:val="4DC8085E"/>
    <w:rsid w:val="4E013DEC"/>
    <w:rsid w:val="4E2C0965"/>
    <w:rsid w:val="4E3841C6"/>
    <w:rsid w:val="4E3D7F6A"/>
    <w:rsid w:val="4E6B046C"/>
    <w:rsid w:val="4E6C5709"/>
    <w:rsid w:val="4E707289"/>
    <w:rsid w:val="4E9764FE"/>
    <w:rsid w:val="4E9E4717"/>
    <w:rsid w:val="4EEA3D40"/>
    <w:rsid w:val="4EFD6CDC"/>
    <w:rsid w:val="4F00728A"/>
    <w:rsid w:val="4F3016F5"/>
    <w:rsid w:val="4F3F6AB1"/>
    <w:rsid w:val="4F5D071B"/>
    <w:rsid w:val="4F6E54B1"/>
    <w:rsid w:val="4F7A3E56"/>
    <w:rsid w:val="4F8151E4"/>
    <w:rsid w:val="4F9B688F"/>
    <w:rsid w:val="50067073"/>
    <w:rsid w:val="50C36BA5"/>
    <w:rsid w:val="511D0F3D"/>
    <w:rsid w:val="517D5E7F"/>
    <w:rsid w:val="51F64E25"/>
    <w:rsid w:val="52067C23"/>
    <w:rsid w:val="52550769"/>
    <w:rsid w:val="52752746"/>
    <w:rsid w:val="527B72D6"/>
    <w:rsid w:val="527D5F08"/>
    <w:rsid w:val="52DD09D8"/>
    <w:rsid w:val="5379560D"/>
    <w:rsid w:val="53C438F2"/>
    <w:rsid w:val="53DF072C"/>
    <w:rsid w:val="54087D99"/>
    <w:rsid w:val="543A1E06"/>
    <w:rsid w:val="543A3BB4"/>
    <w:rsid w:val="545D5AF4"/>
    <w:rsid w:val="548A4B3B"/>
    <w:rsid w:val="54A72003"/>
    <w:rsid w:val="54B576DE"/>
    <w:rsid w:val="54F55D2D"/>
    <w:rsid w:val="556D1D67"/>
    <w:rsid w:val="55723669"/>
    <w:rsid w:val="558D05EC"/>
    <w:rsid w:val="55C0633B"/>
    <w:rsid w:val="55C645F4"/>
    <w:rsid w:val="55F36710"/>
    <w:rsid w:val="56023921"/>
    <w:rsid w:val="56151261"/>
    <w:rsid w:val="56550D6B"/>
    <w:rsid w:val="567710EF"/>
    <w:rsid w:val="56E46059"/>
    <w:rsid w:val="5712706A"/>
    <w:rsid w:val="571A0F26"/>
    <w:rsid w:val="571C1C97"/>
    <w:rsid w:val="57305E0A"/>
    <w:rsid w:val="57325016"/>
    <w:rsid w:val="57763155"/>
    <w:rsid w:val="57803BF0"/>
    <w:rsid w:val="57BC2B32"/>
    <w:rsid w:val="57DA1D5C"/>
    <w:rsid w:val="57E97DCB"/>
    <w:rsid w:val="5809250B"/>
    <w:rsid w:val="580E15DF"/>
    <w:rsid w:val="580F01B2"/>
    <w:rsid w:val="588B0E82"/>
    <w:rsid w:val="58B73A25"/>
    <w:rsid w:val="58E80082"/>
    <w:rsid w:val="58E953B0"/>
    <w:rsid w:val="59011BEE"/>
    <w:rsid w:val="59034EBC"/>
    <w:rsid w:val="59BE0FF0"/>
    <w:rsid w:val="59C01C6B"/>
    <w:rsid w:val="59C363FA"/>
    <w:rsid w:val="59D92725"/>
    <w:rsid w:val="5A3617D9"/>
    <w:rsid w:val="5A366BCB"/>
    <w:rsid w:val="5A513A05"/>
    <w:rsid w:val="5A737E20"/>
    <w:rsid w:val="5A7F6B6C"/>
    <w:rsid w:val="5AF745AD"/>
    <w:rsid w:val="5AFB613D"/>
    <w:rsid w:val="5B080567"/>
    <w:rsid w:val="5B884B20"/>
    <w:rsid w:val="5B971658"/>
    <w:rsid w:val="5BC0556E"/>
    <w:rsid w:val="5BC81C40"/>
    <w:rsid w:val="5BE9731F"/>
    <w:rsid w:val="5BF353EE"/>
    <w:rsid w:val="5C15773A"/>
    <w:rsid w:val="5C3F26AF"/>
    <w:rsid w:val="5C9A78E6"/>
    <w:rsid w:val="5CE609DA"/>
    <w:rsid w:val="5D2A3E88"/>
    <w:rsid w:val="5D3309DE"/>
    <w:rsid w:val="5D8B01B4"/>
    <w:rsid w:val="5D9562FF"/>
    <w:rsid w:val="5DA327CA"/>
    <w:rsid w:val="5DAF73C1"/>
    <w:rsid w:val="5DE60909"/>
    <w:rsid w:val="5DE762FC"/>
    <w:rsid w:val="5DEB0B1F"/>
    <w:rsid w:val="5DEC23C3"/>
    <w:rsid w:val="5E714AFD"/>
    <w:rsid w:val="5EA22A81"/>
    <w:rsid w:val="5ED300C5"/>
    <w:rsid w:val="5F5A335C"/>
    <w:rsid w:val="5F993E84"/>
    <w:rsid w:val="5FBF7663"/>
    <w:rsid w:val="5FC5111D"/>
    <w:rsid w:val="5FCD244A"/>
    <w:rsid w:val="5FD41360"/>
    <w:rsid w:val="5FD74633"/>
    <w:rsid w:val="6009191A"/>
    <w:rsid w:val="605828E7"/>
    <w:rsid w:val="607246D5"/>
    <w:rsid w:val="60885CA7"/>
    <w:rsid w:val="60E412C0"/>
    <w:rsid w:val="612B4FB0"/>
    <w:rsid w:val="61AD1DFA"/>
    <w:rsid w:val="61E323AE"/>
    <w:rsid w:val="622639C9"/>
    <w:rsid w:val="623331AC"/>
    <w:rsid w:val="6247406C"/>
    <w:rsid w:val="625772C4"/>
    <w:rsid w:val="631E3286"/>
    <w:rsid w:val="633839B4"/>
    <w:rsid w:val="63442359"/>
    <w:rsid w:val="636F3034"/>
    <w:rsid w:val="63A064A2"/>
    <w:rsid w:val="63CD15D5"/>
    <w:rsid w:val="64124205"/>
    <w:rsid w:val="64B1428F"/>
    <w:rsid w:val="64E41ED7"/>
    <w:rsid w:val="64E831B8"/>
    <w:rsid w:val="650516A8"/>
    <w:rsid w:val="65297A59"/>
    <w:rsid w:val="65330581"/>
    <w:rsid w:val="653A4CD8"/>
    <w:rsid w:val="65830E72"/>
    <w:rsid w:val="6587291F"/>
    <w:rsid w:val="65E25E59"/>
    <w:rsid w:val="66434B4A"/>
    <w:rsid w:val="66550C7C"/>
    <w:rsid w:val="665A63A4"/>
    <w:rsid w:val="669F36BE"/>
    <w:rsid w:val="66D53FCB"/>
    <w:rsid w:val="66D823BF"/>
    <w:rsid w:val="66E81280"/>
    <w:rsid w:val="66F607A6"/>
    <w:rsid w:val="670A1B0C"/>
    <w:rsid w:val="67303132"/>
    <w:rsid w:val="673A4BA5"/>
    <w:rsid w:val="67BF46A4"/>
    <w:rsid w:val="67E900A7"/>
    <w:rsid w:val="68172908"/>
    <w:rsid w:val="689866A0"/>
    <w:rsid w:val="68C36416"/>
    <w:rsid w:val="69043521"/>
    <w:rsid w:val="69110DD3"/>
    <w:rsid w:val="691427CE"/>
    <w:rsid w:val="691D526F"/>
    <w:rsid w:val="69676D3F"/>
    <w:rsid w:val="69C26016"/>
    <w:rsid w:val="6A2E3597"/>
    <w:rsid w:val="6A894DD0"/>
    <w:rsid w:val="6AD20B92"/>
    <w:rsid w:val="6AFB3119"/>
    <w:rsid w:val="6B2D47E7"/>
    <w:rsid w:val="6B3D5CA9"/>
    <w:rsid w:val="6B8E2CAD"/>
    <w:rsid w:val="6B8F438D"/>
    <w:rsid w:val="6BB81B36"/>
    <w:rsid w:val="6BC32289"/>
    <w:rsid w:val="6BD46905"/>
    <w:rsid w:val="6C2E7D60"/>
    <w:rsid w:val="6C3118E9"/>
    <w:rsid w:val="6C8D150C"/>
    <w:rsid w:val="6C964502"/>
    <w:rsid w:val="6CE35249"/>
    <w:rsid w:val="6D3527BF"/>
    <w:rsid w:val="6D6C08BF"/>
    <w:rsid w:val="6D9E6B0A"/>
    <w:rsid w:val="6DA73C10"/>
    <w:rsid w:val="6DC37FC8"/>
    <w:rsid w:val="6DFD5F26"/>
    <w:rsid w:val="6E3336F6"/>
    <w:rsid w:val="6E39711A"/>
    <w:rsid w:val="6E997D6C"/>
    <w:rsid w:val="6EF616F6"/>
    <w:rsid w:val="6F5D575B"/>
    <w:rsid w:val="6F653D83"/>
    <w:rsid w:val="6FC21A38"/>
    <w:rsid w:val="7040034C"/>
    <w:rsid w:val="70951A45"/>
    <w:rsid w:val="70BB1D85"/>
    <w:rsid w:val="70CD22D0"/>
    <w:rsid w:val="70CD7E32"/>
    <w:rsid w:val="71467526"/>
    <w:rsid w:val="71902C0D"/>
    <w:rsid w:val="71BB412E"/>
    <w:rsid w:val="71F25676"/>
    <w:rsid w:val="723E4876"/>
    <w:rsid w:val="72824C4C"/>
    <w:rsid w:val="72834520"/>
    <w:rsid w:val="72D354A8"/>
    <w:rsid w:val="733E11E5"/>
    <w:rsid w:val="737722D7"/>
    <w:rsid w:val="73E01C2A"/>
    <w:rsid w:val="74785E04"/>
    <w:rsid w:val="749649DF"/>
    <w:rsid w:val="74CB28DA"/>
    <w:rsid w:val="74FC2405"/>
    <w:rsid w:val="752C4F4C"/>
    <w:rsid w:val="753019CD"/>
    <w:rsid w:val="754058DD"/>
    <w:rsid w:val="759B1215"/>
    <w:rsid w:val="76595CC4"/>
    <w:rsid w:val="76621D63"/>
    <w:rsid w:val="76976BFF"/>
    <w:rsid w:val="76A471D2"/>
    <w:rsid w:val="76ED1F8F"/>
    <w:rsid w:val="76F06195"/>
    <w:rsid w:val="771A04F8"/>
    <w:rsid w:val="77446974"/>
    <w:rsid w:val="77AC54F3"/>
    <w:rsid w:val="77EB75FD"/>
    <w:rsid w:val="77F30411"/>
    <w:rsid w:val="780F0D30"/>
    <w:rsid w:val="78105AA2"/>
    <w:rsid w:val="782D15D9"/>
    <w:rsid w:val="783C764B"/>
    <w:rsid w:val="784A4B73"/>
    <w:rsid w:val="78544995"/>
    <w:rsid w:val="78617423"/>
    <w:rsid w:val="786924FD"/>
    <w:rsid w:val="7894419D"/>
    <w:rsid w:val="78A3591C"/>
    <w:rsid w:val="78A91184"/>
    <w:rsid w:val="79022643"/>
    <w:rsid w:val="7950018C"/>
    <w:rsid w:val="7995454B"/>
    <w:rsid w:val="799B26EC"/>
    <w:rsid w:val="79B0209F"/>
    <w:rsid w:val="7A302433"/>
    <w:rsid w:val="7A5B3FA8"/>
    <w:rsid w:val="7A7632E8"/>
    <w:rsid w:val="7AE863F2"/>
    <w:rsid w:val="7AE91FA6"/>
    <w:rsid w:val="7B42141C"/>
    <w:rsid w:val="7BA174E1"/>
    <w:rsid w:val="7BC04FC3"/>
    <w:rsid w:val="7C740087"/>
    <w:rsid w:val="7CA72746"/>
    <w:rsid w:val="7CD97B5E"/>
    <w:rsid w:val="7D230DDA"/>
    <w:rsid w:val="7D7B5250"/>
    <w:rsid w:val="7D87580C"/>
    <w:rsid w:val="7DC33C3F"/>
    <w:rsid w:val="7DD00A7F"/>
    <w:rsid w:val="7E835FD4"/>
    <w:rsid w:val="7E877EF0"/>
    <w:rsid w:val="7EA0293B"/>
    <w:rsid w:val="7EA81A90"/>
    <w:rsid w:val="7F2B14FE"/>
    <w:rsid w:val="7F3802B9"/>
    <w:rsid w:val="7F80192B"/>
    <w:rsid w:val="7FBB354B"/>
    <w:rsid w:val="7FCA3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nhideWhenUsed="0"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59"/>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6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6"/>
    <w:qFormat/>
    <w:uiPriority w:val="0"/>
    <w:pPr>
      <w:keepNext/>
      <w:keepLines/>
      <w:spacing w:before="280" w:after="290" w:line="376" w:lineRule="auto"/>
      <w:outlineLvl w:val="3"/>
    </w:pPr>
    <w:rPr>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39"/>
    <w:pPr>
      <w:ind w:left="1260"/>
      <w:jc w:val="left"/>
    </w:pPr>
    <w:rPr>
      <w:sz w:val="18"/>
      <w:szCs w:val="18"/>
    </w:rPr>
  </w:style>
  <w:style w:type="paragraph" w:styleId="7">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58"/>
    <w:qFormat/>
    <w:uiPriority w:val="0"/>
    <w:pPr>
      <w:jc w:val="left"/>
    </w:pPr>
    <w:rPr>
      <w:rFonts w:ascii="Arial" w:hAnsi="Arial" w:eastAsia="黑体" w:cs="Arial"/>
    </w:rPr>
  </w:style>
  <w:style w:type="paragraph" w:styleId="9">
    <w:name w:val="Body Text"/>
    <w:basedOn w:val="1"/>
    <w:link w:val="67"/>
    <w:qFormat/>
    <w:uiPriority w:val="0"/>
    <w:pPr>
      <w:spacing w:after="120"/>
    </w:pPr>
    <w:rPr>
      <w:rFonts w:ascii="@微软简标宋" w:hAnsi="@微软简标宋" w:eastAsia="@微软简标宋" w:cs="@微软简标宋"/>
      <w:szCs w:val="24"/>
      <w:lang w:val="zh-CN"/>
    </w:rPr>
  </w:style>
  <w:style w:type="paragraph" w:styleId="10">
    <w:name w:val="Body Text Indent"/>
    <w:basedOn w:val="1"/>
    <w:qFormat/>
    <w:uiPriority w:val="0"/>
    <w:pPr>
      <w:spacing w:after="120"/>
      <w:ind w:left="420" w:leftChars="200"/>
    </w:pPr>
    <w:rPr>
      <w:rFonts w:ascii="Times New Roman" w:hAnsi="Times New Roman" w:eastAsia="宋体"/>
      <w:szCs w:val="24"/>
    </w:rPr>
  </w:style>
  <w:style w:type="paragraph" w:styleId="11">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2">
    <w:name w:val="Plain Text"/>
    <w:basedOn w:val="1"/>
    <w:link w:val="47"/>
    <w:qFormat/>
    <w:uiPriority w:val="99"/>
    <w:rPr>
      <w:rFonts w:ascii="宋体" w:hAnsi="Courier New" w:eastAsiaTheme="minorEastAsia" w:cstheme="minorBidi"/>
      <w:szCs w:val="22"/>
    </w:rPr>
  </w:style>
  <w:style w:type="paragraph" w:styleId="13">
    <w:name w:val="Date"/>
    <w:basedOn w:val="1"/>
    <w:next w:val="1"/>
    <w:link w:val="54"/>
    <w:qFormat/>
    <w:uiPriority w:val="0"/>
    <w:rPr>
      <w:rFonts w:ascii="Arial" w:hAnsi="Arial" w:eastAsia="宋体" w:cs="Arial"/>
      <w:b/>
      <w:sz w:val="28"/>
    </w:rPr>
  </w:style>
  <w:style w:type="paragraph" w:styleId="14">
    <w:name w:val="Balloon Text"/>
    <w:basedOn w:val="1"/>
    <w:link w:val="41"/>
    <w:semiHidden/>
    <w:unhideWhenUsed/>
    <w:qFormat/>
    <w:uiPriority w:val="99"/>
    <w:rPr>
      <w:sz w:val="18"/>
      <w:szCs w:val="18"/>
    </w:rPr>
  </w:style>
  <w:style w:type="paragraph" w:styleId="15">
    <w:name w:val="footer"/>
    <w:basedOn w:val="1"/>
    <w:link w:val="46"/>
    <w:unhideWhenUsed/>
    <w:qFormat/>
    <w:uiPriority w:val="99"/>
    <w:pPr>
      <w:tabs>
        <w:tab w:val="center" w:pos="4153"/>
        <w:tab w:val="right" w:pos="8306"/>
      </w:tabs>
      <w:snapToGrid w:val="0"/>
      <w:jc w:val="left"/>
    </w:pPr>
    <w:rPr>
      <w:sz w:val="18"/>
      <w:szCs w:val="18"/>
    </w:rPr>
  </w:style>
  <w:style w:type="paragraph" w:styleId="16">
    <w:name w:val="envelope return"/>
    <w:basedOn w:val="1"/>
    <w:qFormat/>
    <w:uiPriority w:val="0"/>
    <w:pPr>
      <w:snapToGrid w:val="0"/>
    </w:pPr>
    <w:rPr>
      <w:rFonts w:ascii="Arial" w:hAnsi="Arial"/>
    </w:rPr>
  </w:style>
  <w:style w:type="paragraph" w:styleId="17">
    <w:name w:val="header"/>
    <w:basedOn w:val="1"/>
    <w:link w:val="45"/>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9">
    <w:name w:val="List"/>
    <w:basedOn w:val="1"/>
    <w:next w:val="1"/>
    <w:qFormat/>
    <w:uiPriority w:val="0"/>
    <w:pPr>
      <w:widowControl w:val="0"/>
      <w:spacing w:line="240" w:lineRule="auto"/>
      <w:ind w:left="420" w:hanging="420"/>
      <w:textAlignment w:val="auto"/>
    </w:pPr>
    <w:rPr>
      <w:rFonts w:ascii="Arial" w:hAnsi="Arial" w:eastAsia="楷体_GB2312"/>
      <w:color w:val="auto"/>
      <w:kern w:val="2"/>
      <w:sz w:val="28"/>
      <w:u w:val="none" w:color="auto"/>
    </w:rPr>
  </w:style>
  <w:style w:type="paragraph" w:styleId="20">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1">
    <w:name w:val="Normal (Web)"/>
    <w:basedOn w:val="1"/>
    <w:qFormat/>
    <w:uiPriority w:val="0"/>
    <w:pPr>
      <w:spacing w:before="100" w:beforeAutospacing="1" w:after="100" w:afterAutospacing="1"/>
      <w:jc w:val="left"/>
    </w:pPr>
    <w:rPr>
      <w:rFonts w:cs="Times New Roman"/>
      <w:kern w:val="0"/>
      <w:sz w:val="24"/>
    </w:rPr>
  </w:style>
  <w:style w:type="paragraph" w:styleId="22">
    <w:name w:val="index 1"/>
    <w:basedOn w:val="1"/>
    <w:next w:val="1"/>
    <w:qFormat/>
    <w:uiPriority w:val="0"/>
    <w:pPr>
      <w:jc w:val="center"/>
    </w:pPr>
    <w:rPr>
      <w:rFonts w:ascii="Arial" w:hAnsi="Arial" w:eastAsia="Arial" w:cs="Arial"/>
      <w:b/>
      <w:bCs/>
      <w:sz w:val="28"/>
    </w:rPr>
  </w:style>
  <w:style w:type="paragraph" w:styleId="23">
    <w:name w:val="Body Text First Indent"/>
    <w:basedOn w:val="9"/>
    <w:unhideWhenUsed/>
    <w:qFormat/>
    <w:uiPriority w:val="99"/>
    <w:pPr>
      <w:ind w:firstLine="420" w:firstLineChars="100"/>
    </w:pPr>
  </w:style>
  <w:style w:type="paragraph" w:styleId="24">
    <w:name w:val="Body Text First Indent 2"/>
    <w:basedOn w:val="10"/>
    <w:qFormat/>
    <w:uiPriority w:val="0"/>
    <w:pPr>
      <w:spacing w:line="360" w:lineRule="auto"/>
      <w:ind w:firstLine="200" w:firstLineChars="200"/>
    </w:pPr>
    <w:rPr>
      <w:rFonts w:ascii="宋体"/>
      <w:szCs w:val="20"/>
    </w:rPr>
  </w:style>
  <w:style w:type="table" w:styleId="26">
    <w:name w:val="Table Grid"/>
    <w:basedOn w:val="25"/>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FollowedHyperlink"/>
    <w:basedOn w:val="27"/>
    <w:semiHidden/>
    <w:unhideWhenUsed/>
    <w:qFormat/>
    <w:uiPriority w:val="99"/>
    <w:rPr>
      <w:color w:val="800080"/>
      <w:u w:val="none"/>
    </w:rPr>
  </w:style>
  <w:style w:type="character" w:styleId="30">
    <w:name w:val="Emphasis"/>
    <w:basedOn w:val="27"/>
    <w:qFormat/>
    <w:uiPriority w:val="20"/>
    <w:rPr>
      <w:b/>
      <w:bCs/>
    </w:rPr>
  </w:style>
  <w:style w:type="character" w:styleId="31">
    <w:name w:val="HTML Definition"/>
    <w:basedOn w:val="27"/>
    <w:semiHidden/>
    <w:unhideWhenUsed/>
    <w:qFormat/>
    <w:uiPriority w:val="99"/>
  </w:style>
  <w:style w:type="character" w:styleId="32">
    <w:name w:val="HTML Typewriter"/>
    <w:basedOn w:val="27"/>
    <w:semiHidden/>
    <w:unhideWhenUsed/>
    <w:qFormat/>
    <w:uiPriority w:val="99"/>
    <w:rPr>
      <w:rFonts w:hint="default" w:ascii="monospace" w:hAnsi="monospace" w:eastAsia="monospace" w:cs="monospace"/>
      <w:sz w:val="20"/>
    </w:rPr>
  </w:style>
  <w:style w:type="character" w:styleId="33">
    <w:name w:val="HTML Acronym"/>
    <w:basedOn w:val="27"/>
    <w:semiHidden/>
    <w:unhideWhenUsed/>
    <w:qFormat/>
    <w:uiPriority w:val="99"/>
  </w:style>
  <w:style w:type="character" w:styleId="34">
    <w:name w:val="HTML Variable"/>
    <w:basedOn w:val="27"/>
    <w:semiHidden/>
    <w:unhideWhenUsed/>
    <w:qFormat/>
    <w:uiPriority w:val="99"/>
  </w:style>
  <w:style w:type="character" w:styleId="35">
    <w:name w:val="Hyperlink"/>
    <w:basedOn w:val="27"/>
    <w:unhideWhenUsed/>
    <w:qFormat/>
    <w:uiPriority w:val="99"/>
    <w:rPr>
      <w:color w:val="0000FF" w:themeColor="hyperlink"/>
      <w:u w:val="single"/>
      <w14:textFill>
        <w14:solidFill>
          <w14:schemeClr w14:val="hlink"/>
        </w14:solidFill>
      </w14:textFill>
    </w:rPr>
  </w:style>
  <w:style w:type="character" w:styleId="36">
    <w:name w:val="HTML Code"/>
    <w:basedOn w:val="27"/>
    <w:semiHidden/>
    <w:unhideWhenUsed/>
    <w:qFormat/>
    <w:uiPriority w:val="99"/>
    <w:rPr>
      <w:rFonts w:ascii="monospace" w:hAnsi="monospace" w:eastAsia="monospace" w:cs="monospace"/>
      <w:sz w:val="20"/>
    </w:rPr>
  </w:style>
  <w:style w:type="character" w:styleId="37">
    <w:name w:val="HTML Cite"/>
    <w:basedOn w:val="27"/>
    <w:semiHidden/>
    <w:unhideWhenUsed/>
    <w:qFormat/>
    <w:uiPriority w:val="99"/>
  </w:style>
  <w:style w:type="character" w:styleId="38">
    <w:name w:val="HTML Keyboard"/>
    <w:basedOn w:val="27"/>
    <w:semiHidden/>
    <w:unhideWhenUsed/>
    <w:qFormat/>
    <w:uiPriority w:val="99"/>
    <w:rPr>
      <w:rFonts w:hint="default" w:ascii="monospace" w:hAnsi="monospace" w:eastAsia="monospace" w:cs="monospace"/>
      <w:sz w:val="20"/>
    </w:rPr>
  </w:style>
  <w:style w:type="character" w:styleId="39">
    <w:name w:val="HTML Sample"/>
    <w:basedOn w:val="27"/>
    <w:semiHidden/>
    <w:unhideWhenUsed/>
    <w:qFormat/>
    <w:uiPriority w:val="99"/>
    <w:rPr>
      <w:rFonts w:hint="default" w:ascii="monospace" w:hAnsi="monospace" w:eastAsia="monospace" w:cs="monospace"/>
    </w:rPr>
  </w:style>
  <w:style w:type="paragraph" w:customStyle="1" w:styleId="40">
    <w:name w:val="正文 New"/>
    <w:qFormat/>
    <w:uiPriority w:val="0"/>
    <w:pPr>
      <w:widowControl w:val="0"/>
      <w:spacing w:line="440" w:lineRule="exact"/>
      <w:ind w:left="357" w:hanging="357"/>
      <w:jc w:val="both"/>
    </w:pPr>
    <w:rPr>
      <w:rFonts w:ascii="Times New Roman" w:hAnsi="Times New Roman" w:eastAsia="宋体" w:cs="Times New Roman"/>
      <w:kern w:val="2"/>
      <w:sz w:val="21"/>
      <w:szCs w:val="22"/>
      <w:lang w:val="en-US" w:eastAsia="zh-CN" w:bidi="ar-SA"/>
    </w:rPr>
  </w:style>
  <w:style w:type="character" w:customStyle="1" w:styleId="41">
    <w:name w:val="批注框文本 字符"/>
    <w:basedOn w:val="27"/>
    <w:link w:val="14"/>
    <w:semiHidden/>
    <w:qFormat/>
    <w:uiPriority w:val="99"/>
    <w:rPr>
      <w:rFonts w:ascii="@仿宋_GB2312" w:hAnsi="@仿宋_GB2312" w:eastAsia="@仿宋_GB2312" w:cs="@仿宋_GB2312"/>
      <w:sz w:val="18"/>
      <w:szCs w:val="18"/>
    </w:rPr>
  </w:style>
  <w:style w:type="paragraph" w:customStyle="1" w:styleId="42">
    <w:name w:val="正文（缩进）"/>
    <w:basedOn w:val="1"/>
    <w:qFormat/>
    <w:uiPriority w:val="0"/>
    <w:pPr>
      <w:widowControl/>
      <w:spacing w:before="156" w:after="156"/>
      <w:ind w:firstLine="480" w:firstLineChars="200"/>
      <w:jc w:val="left"/>
    </w:pPr>
    <w:rPr>
      <w:kern w:val="0"/>
      <w:sz w:val="24"/>
      <w:szCs w:val="24"/>
    </w:rPr>
  </w:style>
  <w:style w:type="paragraph" w:customStyle="1" w:styleId="43">
    <w:name w:val="xl31"/>
    <w:basedOn w:val="1"/>
    <w:qFormat/>
    <w:uiPriority w:val="0"/>
    <w:pPr>
      <w:widowControl/>
      <w:spacing w:before="100" w:beforeAutospacing="1" w:after="100" w:afterAutospacing="1"/>
      <w:jc w:val="center"/>
    </w:pPr>
    <w:rPr>
      <w:b/>
      <w:bCs/>
      <w:kern w:val="0"/>
      <w:sz w:val="28"/>
      <w:szCs w:val="28"/>
    </w:rPr>
  </w:style>
  <w:style w:type="paragraph" w:customStyle="1" w:styleId="44">
    <w:name w:val="D&amp;L"/>
    <w:basedOn w:val="17"/>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5">
    <w:name w:val="页眉 字符"/>
    <w:basedOn w:val="27"/>
    <w:link w:val="17"/>
    <w:qFormat/>
    <w:uiPriority w:val="0"/>
    <w:rPr>
      <w:rFonts w:ascii="@仿宋_GB2312" w:hAnsi="@仿宋_GB2312" w:eastAsia="@仿宋_GB2312" w:cs="@仿宋_GB2312"/>
      <w:sz w:val="18"/>
      <w:szCs w:val="18"/>
    </w:rPr>
  </w:style>
  <w:style w:type="character" w:customStyle="1" w:styleId="46">
    <w:name w:val="页脚 字符"/>
    <w:basedOn w:val="27"/>
    <w:link w:val="15"/>
    <w:qFormat/>
    <w:uiPriority w:val="99"/>
    <w:rPr>
      <w:rFonts w:ascii="@仿宋_GB2312" w:hAnsi="@仿宋_GB2312" w:eastAsia="@仿宋_GB2312" w:cs="@仿宋_GB2312"/>
      <w:sz w:val="18"/>
      <w:szCs w:val="18"/>
    </w:rPr>
  </w:style>
  <w:style w:type="character" w:customStyle="1" w:styleId="47">
    <w:name w:val="纯文本 字符"/>
    <w:link w:val="12"/>
    <w:qFormat/>
    <w:uiPriority w:val="0"/>
    <w:rPr>
      <w:rFonts w:ascii="宋体" w:hAnsi="Courier New"/>
    </w:rPr>
  </w:style>
  <w:style w:type="character" w:customStyle="1" w:styleId="48">
    <w:name w:val="纯文本 字符1"/>
    <w:basedOn w:val="27"/>
    <w:semiHidden/>
    <w:qFormat/>
    <w:uiPriority w:val="99"/>
    <w:rPr>
      <w:rFonts w:hAnsi="Courier New" w:cs="Courier New" w:asciiTheme="minorEastAsia"/>
      <w:szCs w:val="20"/>
    </w:rPr>
  </w:style>
  <w:style w:type="character" w:customStyle="1" w:styleId="49">
    <w:name w:val="未处理的提及1"/>
    <w:basedOn w:val="27"/>
    <w:semiHidden/>
    <w:unhideWhenUsed/>
    <w:qFormat/>
    <w:uiPriority w:val="99"/>
    <w:rPr>
      <w:color w:val="605E5C"/>
      <w:shd w:val="clear" w:color="auto" w:fill="E1DFDD"/>
    </w:rPr>
  </w:style>
  <w:style w:type="paragraph" w:styleId="50">
    <w:name w:val="List Paragraph"/>
    <w:basedOn w:val="1"/>
    <w:qFormat/>
    <w:uiPriority w:val="34"/>
    <w:pPr>
      <w:ind w:firstLine="420" w:firstLineChars="200"/>
    </w:pPr>
  </w:style>
  <w:style w:type="paragraph" w:customStyle="1" w:styleId="51">
    <w:name w:val="Char Char Char Char Char Char Char1 Char"/>
    <w:basedOn w:val="1"/>
    <w:qFormat/>
    <w:uiPriority w:val="0"/>
    <w:rPr>
      <w:rFonts w:ascii="Arial" w:hAnsi="Arial" w:eastAsia="宋体" w:cs="Arial"/>
      <w:sz w:val="24"/>
    </w:rPr>
  </w:style>
  <w:style w:type="table" w:customStyle="1" w:styleId="52">
    <w:name w:val="网格表 1 浅色1"/>
    <w:basedOn w:val="25"/>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3">
    <w:name w:val="日期 字符"/>
    <w:basedOn w:val="27"/>
    <w:semiHidden/>
    <w:qFormat/>
    <w:uiPriority w:val="99"/>
    <w:rPr>
      <w:rFonts w:ascii="@仿宋_GB2312" w:hAnsi="@仿宋_GB2312" w:eastAsia="@仿宋_GB2312" w:cs="@仿宋_GB2312"/>
      <w:szCs w:val="20"/>
    </w:rPr>
  </w:style>
  <w:style w:type="character" w:customStyle="1" w:styleId="54">
    <w:name w:val="日期 字符1"/>
    <w:link w:val="13"/>
    <w:qFormat/>
    <w:uiPriority w:val="0"/>
    <w:rPr>
      <w:rFonts w:ascii="Arial" w:hAnsi="Arial" w:eastAsia="宋体" w:cs="Arial"/>
      <w:b/>
      <w:sz w:val="28"/>
      <w:szCs w:val="20"/>
    </w:rPr>
  </w:style>
  <w:style w:type="character" w:customStyle="1" w:styleId="55">
    <w:name w:val="纯文本 Char1"/>
    <w:link w:val="56"/>
    <w:qFormat/>
    <w:locked/>
    <w:uiPriority w:val="0"/>
    <w:rPr>
      <w:rFonts w:ascii="Arial" w:hAnsi="Arial" w:eastAsia="Arial"/>
      <w:kern w:val="2"/>
      <w:sz w:val="21"/>
      <w:lang w:val="en-US" w:eastAsia="zh-CN" w:bidi="ar-SA"/>
    </w:rPr>
  </w:style>
  <w:style w:type="paragraph" w:customStyle="1" w:styleId="56">
    <w:name w:val="纯文本1"/>
    <w:basedOn w:val="1"/>
    <w:link w:val="55"/>
    <w:qFormat/>
    <w:uiPriority w:val="0"/>
    <w:rPr>
      <w:rFonts w:ascii="Arial" w:hAnsi="Arial" w:eastAsia="Arial" w:cstheme="minorBidi"/>
    </w:rPr>
  </w:style>
  <w:style w:type="character" w:customStyle="1" w:styleId="57">
    <w:name w:val="批注文字 Char"/>
    <w:basedOn w:val="27"/>
    <w:semiHidden/>
    <w:qFormat/>
    <w:uiPriority w:val="99"/>
    <w:rPr>
      <w:rFonts w:ascii="@仿宋_GB2312" w:hAnsi="@仿宋_GB2312" w:eastAsia="@仿宋_GB2312" w:cs="@仿宋_GB2312"/>
      <w:szCs w:val="20"/>
    </w:rPr>
  </w:style>
  <w:style w:type="character" w:customStyle="1" w:styleId="58">
    <w:name w:val="批注文字 字符"/>
    <w:link w:val="8"/>
    <w:qFormat/>
    <w:uiPriority w:val="0"/>
    <w:rPr>
      <w:rFonts w:ascii="Arial" w:hAnsi="Arial" w:eastAsia="黑体" w:cs="Arial"/>
      <w:szCs w:val="20"/>
    </w:rPr>
  </w:style>
  <w:style w:type="character" w:customStyle="1" w:styleId="59">
    <w:name w:val="标题 1 字符"/>
    <w:basedOn w:val="27"/>
    <w:link w:val="2"/>
    <w:qFormat/>
    <w:uiPriority w:val="9"/>
    <w:rPr>
      <w:rFonts w:ascii="@仿宋_GB2312" w:hAnsi="@仿宋_GB2312" w:eastAsia="@仿宋_GB2312" w:cs="@仿宋_GB2312"/>
      <w:b/>
      <w:bCs/>
      <w:kern w:val="44"/>
      <w:sz w:val="44"/>
      <w:szCs w:val="44"/>
    </w:rPr>
  </w:style>
  <w:style w:type="paragraph" w:customStyle="1" w:styleId="60">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1">
    <w:name w:val="标题 3 字符"/>
    <w:basedOn w:val="27"/>
    <w:link w:val="4"/>
    <w:semiHidden/>
    <w:qFormat/>
    <w:uiPriority w:val="9"/>
    <w:rPr>
      <w:rFonts w:ascii="@仿宋_GB2312" w:hAnsi="@仿宋_GB2312" w:eastAsia="@仿宋_GB2312" w:cs="@仿宋_GB2312"/>
      <w:b/>
      <w:bCs/>
      <w:sz w:val="32"/>
      <w:szCs w:val="32"/>
    </w:rPr>
  </w:style>
  <w:style w:type="character" w:customStyle="1" w:styleId="62">
    <w:name w:val="fontstyle01"/>
    <w:basedOn w:val="27"/>
    <w:qFormat/>
    <w:uiPriority w:val="0"/>
    <w:rPr>
      <w:rFonts w:hint="eastAsia" w:ascii="宋体" w:hAnsi="宋体" w:eastAsia="宋体"/>
      <w:color w:val="000000"/>
      <w:sz w:val="22"/>
      <w:szCs w:val="22"/>
    </w:rPr>
  </w:style>
  <w:style w:type="character" w:customStyle="1" w:styleId="63">
    <w:name w:val="fontstyle21"/>
    <w:basedOn w:val="27"/>
    <w:qFormat/>
    <w:uiPriority w:val="0"/>
    <w:rPr>
      <w:rFonts w:hint="default" w:ascii="TimesNewRomanPSMT" w:hAnsi="TimesNewRomanPSMT"/>
      <w:color w:val="000000"/>
      <w:sz w:val="22"/>
      <w:szCs w:val="22"/>
    </w:rPr>
  </w:style>
  <w:style w:type="character" w:customStyle="1" w:styleId="64">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65">
    <w:name w:val="标题 4 字符"/>
    <w:basedOn w:val="27"/>
    <w:semiHidden/>
    <w:qFormat/>
    <w:uiPriority w:val="9"/>
    <w:rPr>
      <w:rFonts w:asciiTheme="majorHAnsi" w:hAnsiTheme="majorHAnsi" w:eastAsiaTheme="majorEastAsia" w:cstheme="majorBidi"/>
      <w:b/>
      <w:bCs/>
      <w:sz w:val="28"/>
      <w:szCs w:val="28"/>
    </w:rPr>
  </w:style>
  <w:style w:type="character" w:customStyle="1" w:styleId="66">
    <w:name w:val="标题 4 字符1"/>
    <w:link w:val="5"/>
    <w:qFormat/>
    <w:uiPriority w:val="0"/>
    <w:rPr>
      <w:rFonts w:ascii="@仿宋_GB2312" w:hAnsi="@仿宋_GB2312" w:eastAsia="@仿宋_GB2312" w:cs="@仿宋_GB2312"/>
      <w:b/>
      <w:bCs/>
      <w:sz w:val="28"/>
      <w:szCs w:val="28"/>
    </w:rPr>
  </w:style>
  <w:style w:type="character" w:customStyle="1" w:styleId="67">
    <w:name w:val="正文文本 字符"/>
    <w:basedOn w:val="27"/>
    <w:link w:val="9"/>
    <w:qFormat/>
    <w:uiPriority w:val="0"/>
    <w:rPr>
      <w:rFonts w:ascii="@微软简标宋" w:hAnsi="@微软简标宋" w:eastAsia="@微软简标宋" w:cs="@微软简标宋"/>
      <w:szCs w:val="24"/>
      <w:lang w:val="zh-CN" w:eastAsia="zh-CN"/>
    </w:rPr>
  </w:style>
  <w:style w:type="table" w:customStyle="1" w:styleId="68">
    <w:name w:val="网格型1"/>
    <w:basedOn w:val="2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
    <w:name w:val="Table Normal"/>
    <w:semiHidden/>
    <w:unhideWhenUsed/>
    <w:qFormat/>
    <w:uiPriority w:val="0"/>
    <w:tblPr>
      <w:tblCellMar>
        <w:top w:w="0" w:type="dxa"/>
        <w:left w:w="0" w:type="dxa"/>
        <w:bottom w:w="0" w:type="dxa"/>
        <w:right w:w="0" w:type="dxa"/>
      </w:tblCellMar>
    </w:tblPr>
  </w:style>
  <w:style w:type="paragraph" w:customStyle="1" w:styleId="70">
    <w:name w:val="Table Text"/>
    <w:basedOn w:val="1"/>
    <w:semiHidden/>
    <w:qFormat/>
    <w:uiPriority w:val="0"/>
    <w:rPr>
      <w:rFonts w:ascii="Arial" w:hAnsi="Arial" w:eastAsia="Arial" w:cs="Arial"/>
      <w:szCs w:val="21"/>
      <w:lang w:eastAsia="en-US"/>
    </w:rPr>
  </w:style>
  <w:style w:type="character" w:customStyle="1" w:styleId="71">
    <w:name w:val="hover"/>
    <w:basedOn w:val="27"/>
    <w:qFormat/>
    <w:uiPriority w:val="0"/>
    <w:rPr>
      <w:color w:val="2590EB"/>
      <w:shd w:val="clear" w:color="auto" w:fill="E9F4FD"/>
    </w:rPr>
  </w:style>
  <w:style w:type="character" w:customStyle="1" w:styleId="72">
    <w:name w:val="hover1"/>
    <w:basedOn w:val="27"/>
    <w:qFormat/>
    <w:uiPriority w:val="0"/>
  </w:style>
  <w:style w:type="character" w:customStyle="1" w:styleId="73">
    <w:name w:val="hover2"/>
    <w:basedOn w:val="27"/>
    <w:qFormat/>
    <w:uiPriority w:val="0"/>
    <w:rPr>
      <w:color w:val="2590EB"/>
    </w:rPr>
  </w:style>
  <w:style w:type="character" w:customStyle="1" w:styleId="74">
    <w:name w:val="hover3"/>
    <w:basedOn w:val="27"/>
    <w:qFormat/>
    <w:uiPriority w:val="0"/>
    <w:rPr>
      <w:color w:val="2590EB"/>
    </w:rPr>
  </w:style>
  <w:style w:type="character" w:customStyle="1" w:styleId="75">
    <w:name w:val="hover4"/>
    <w:basedOn w:val="27"/>
    <w:qFormat/>
    <w:uiPriority w:val="0"/>
    <w:rPr>
      <w:color w:val="2590EB"/>
      <w:shd w:val="clear" w:color="auto" w:fill="E9F4FD"/>
    </w:rPr>
  </w:style>
  <w:style w:type="paragraph" w:customStyle="1" w:styleId="76">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94</Pages>
  <Words>52949</Words>
  <Characters>55760</Characters>
  <Lines>326</Lines>
  <Paragraphs>92</Paragraphs>
  <TotalTime>46</TotalTime>
  <ScaleCrop>false</ScaleCrop>
  <LinksUpToDate>false</LinksUpToDate>
  <CharactersWithSpaces>58315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Pim Pom丶</cp:lastModifiedBy>
  <cp:lastPrinted>2025-07-28T04:01:00Z</cp:lastPrinted>
  <dcterms:modified xsi:type="dcterms:W3CDTF">2025-07-31T03:43:01Z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598D2D4A0D294C29B7A7C861A8572123_13</vt:lpwstr>
  </property>
  <property fmtid="{D5CDD505-2E9C-101B-9397-08002B2CF9AE}" pid="4" name="KSOTemplateDocerSaveRecord">
    <vt:lpwstr>eyJoZGlkIjoiMDk2MmQyNTdjMmYyM2I4Njk3YjVkOTliYjhhNDZiYTEiLCJ1c2VySWQiOiI0MDkyMjI1MTkifQ==</vt:lpwstr>
  </property>
</Properties>
</file>