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7A6C">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1538F16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3267C77D">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65636D5F">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06A0A094">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2C300FAA">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6E91684">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1257904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F6759FC">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9B254B9">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1F3A1505">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滁州市第二人民医院物业管理服务项目</w:t>
      </w:r>
    </w:p>
    <w:p w14:paraId="40D7939B">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val="en-US" w:eastAsia="zh-CN"/>
        </w:rPr>
        <w:t>czsjcg202505-018</w:t>
      </w:r>
    </w:p>
    <w:p w14:paraId="2C915654">
      <w:pPr>
        <w:tabs>
          <w:tab w:val="left" w:pos="2410"/>
        </w:tabs>
        <w:autoSpaceDE w:val="0"/>
        <w:autoSpaceDN w:val="0"/>
        <w:adjustRightInd w:val="0"/>
        <w:snapToGrid w:val="0"/>
        <w:spacing w:line="360" w:lineRule="auto"/>
        <w:ind w:left="1806" w:hanging="1806" w:hangingChars="5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滁州市第二人民医院（市传染病医院、市精神病医院）</w:t>
      </w:r>
    </w:p>
    <w:p w14:paraId="44D567C9">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滁州市政府采购中心</w:t>
      </w:r>
    </w:p>
    <w:p w14:paraId="65649581">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881F17E">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5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BACBB8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E02B119">
      <w:pPr>
        <w:pStyle w:val="23"/>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rFonts w:hint="eastAsia"/>
          <w:color w:val="auto"/>
          <w:highlight w:val="none"/>
          <w:lang w:val="en-US" w:eastAsia="zh-CN"/>
        </w:rPr>
        <w:t>1</w:t>
      </w:r>
      <w:r>
        <w:rPr>
          <w:color w:val="auto"/>
          <w:highlight w:val="none"/>
        </w:rPr>
        <w:fldChar w:fldCharType="end"/>
      </w:r>
    </w:p>
    <w:p w14:paraId="46FF3104">
      <w:pPr>
        <w:pStyle w:val="23"/>
        <w:tabs>
          <w:tab w:val="right" w:leader="dot" w:pos="8306"/>
        </w:tabs>
        <w:rPr>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w:t>
      </w:r>
      <w:r>
        <w:rPr>
          <w:rFonts w:asciiTheme="minorEastAsia" w:hAnsiTheme="minorEastAsia"/>
          <w:color w:val="auto"/>
          <w:highlight w:val="none"/>
        </w:rPr>
        <w:t>投标人须知</w:t>
      </w:r>
      <w:r>
        <w:rPr>
          <w:color w:val="auto"/>
          <w:highlight w:val="none"/>
        </w:rPr>
        <w:tab/>
      </w:r>
      <w:r>
        <w:rPr>
          <w:rFonts w:hint="eastAsia"/>
          <w:color w:val="auto"/>
          <w:highlight w:val="none"/>
          <w:lang w:val="en-US" w:eastAsia="zh-CN"/>
        </w:rPr>
        <w:t>6</w:t>
      </w:r>
      <w:r>
        <w:rPr>
          <w:rFonts w:hint="eastAsia"/>
          <w:color w:val="auto"/>
          <w:highlight w:val="none"/>
        </w:rPr>
        <w:fldChar w:fldCharType="end"/>
      </w:r>
    </w:p>
    <w:p w14:paraId="1C38B328">
      <w:pPr>
        <w:pStyle w:val="23"/>
        <w:tabs>
          <w:tab w:val="right" w:leader="dot" w:pos="8306"/>
        </w:tabs>
        <w:rPr>
          <w:rFonts w:hint="eastAsia"/>
          <w:color w:val="auto"/>
          <w:highlight w:val="none"/>
          <w:lang w:eastAsia="zh-CN"/>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lang w:val="en-US" w:eastAsia="zh-CN"/>
        </w:rPr>
        <w:t>4</w:t>
      </w:r>
    </w:p>
    <w:p w14:paraId="1FD7ADD8">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8</w:t>
      </w:r>
    </w:p>
    <w:p w14:paraId="1ABA665A">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lang w:val="en-US" w:eastAsia="zh-CN"/>
        </w:rPr>
        <w:t>6</w:t>
      </w:r>
      <w:r>
        <w:rPr>
          <w:rFonts w:hint="eastAsia"/>
          <w:color w:val="auto"/>
          <w:highlight w:val="none"/>
        </w:rPr>
        <w:fldChar w:fldCharType="end"/>
      </w:r>
      <w:r>
        <w:rPr>
          <w:rFonts w:hint="eastAsia"/>
          <w:color w:val="auto"/>
          <w:highlight w:val="none"/>
          <w:lang w:val="en-US" w:eastAsia="zh-CN"/>
        </w:rPr>
        <w:t>1</w:t>
      </w:r>
    </w:p>
    <w:p w14:paraId="441F4A6B">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lang w:val="en-US" w:eastAsia="zh-CN"/>
        </w:rPr>
        <w:t>7</w:t>
      </w:r>
      <w:r>
        <w:rPr>
          <w:rFonts w:hint="eastAsia"/>
          <w:color w:val="auto"/>
          <w:highlight w:val="none"/>
        </w:rPr>
        <w:fldChar w:fldCharType="end"/>
      </w:r>
      <w:r>
        <w:rPr>
          <w:rFonts w:hint="eastAsia"/>
          <w:color w:val="auto"/>
          <w:highlight w:val="none"/>
          <w:lang w:val="en-US" w:eastAsia="zh-CN"/>
        </w:rPr>
        <w:t>2</w:t>
      </w:r>
    </w:p>
    <w:p w14:paraId="08124293">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8</w:t>
      </w:r>
      <w:r>
        <w:rPr>
          <w:rFonts w:hint="eastAsia"/>
          <w:color w:val="auto"/>
          <w:highlight w:val="none"/>
        </w:rPr>
        <w:fldChar w:fldCharType="end"/>
      </w:r>
      <w:r>
        <w:rPr>
          <w:rFonts w:hint="eastAsia"/>
          <w:color w:val="auto"/>
          <w:highlight w:val="none"/>
          <w:lang w:val="en-US" w:eastAsia="zh-CN"/>
        </w:rPr>
        <w:t>9</w:t>
      </w:r>
    </w:p>
    <w:p w14:paraId="1A00588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0CFB4F12">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E2B429F">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C86D967">
      <w:pPr>
        <w:keepNext/>
        <w:keepLines/>
        <w:ind w:firstLine="560" w:firstLineChars="200"/>
        <w:rPr>
          <w:rFonts w:ascii="仿宋" w:hAnsi="仿宋" w:eastAsia="仿宋" w:cs="仿宋"/>
          <w:color w:val="auto"/>
          <w:sz w:val="28"/>
          <w:szCs w:val="28"/>
          <w:highlight w:val="none"/>
        </w:rPr>
      </w:pPr>
      <w:bookmarkStart w:id="2" w:name="_Toc35393621"/>
      <w:bookmarkEnd w:id="2"/>
      <w:bookmarkStart w:id="3" w:name="_Toc28359002"/>
      <w:bookmarkEnd w:id="3"/>
      <w:bookmarkStart w:id="4" w:name="_Toc58430305"/>
      <w:bookmarkEnd w:id="4"/>
      <w:bookmarkStart w:id="5" w:name="_Toc28359079"/>
      <w:bookmarkEnd w:id="5"/>
      <w:bookmarkStart w:id="6" w:name="_Toc35393790"/>
      <w:bookmarkEnd w:id="6"/>
      <w:bookmarkStart w:id="7" w:name="_Hlk24379207"/>
      <w:bookmarkStart w:id="8" w:name="_Toc1215"/>
      <w:r>
        <w:rPr>
          <w:rFonts w:hint="eastAsia" w:ascii="仿宋" w:hAnsi="仿宋" w:eastAsia="仿宋" w:cs="仿宋"/>
          <w:color w:val="auto"/>
          <w:sz w:val="28"/>
          <w:szCs w:val="28"/>
          <w:highlight w:val="none"/>
        </w:rPr>
        <w:t>项目概况</w:t>
      </w:r>
    </w:p>
    <w:p w14:paraId="4964BCDC">
      <w:pPr>
        <w:wordWrap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滁州市第二人民医院物业管理服务项目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日08点00分</w:t>
      </w:r>
      <w:r>
        <w:rPr>
          <w:rFonts w:hint="eastAsia" w:ascii="仿宋" w:hAnsi="仿宋" w:eastAsia="仿宋" w:cs="仿宋"/>
          <w:color w:val="auto"/>
          <w:sz w:val="28"/>
          <w:szCs w:val="28"/>
          <w:highlight w:val="none"/>
        </w:rPr>
        <w:t>（北京时间）前递交投标文件。</w:t>
      </w:r>
    </w:p>
    <w:bookmarkEnd w:id="7"/>
    <w:p w14:paraId="7DF3D58A">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D58430B">
      <w:pPr>
        <w:ind w:firstLine="560" w:firstLineChars="200"/>
        <w:jc w:val="left"/>
        <w:rPr>
          <w:rFonts w:hint="default" w:ascii="仿宋" w:hAnsi="仿宋" w:eastAsia="仿宋" w:cs="Times New Roman"/>
          <w:color w:val="auto"/>
          <w:sz w:val="28"/>
          <w:szCs w:val="28"/>
          <w:highlight w:val="none"/>
          <w:lang w:val="en-US" w:eastAsia="zh-CN"/>
        </w:rPr>
      </w:pPr>
      <w:bookmarkStart w:id="9" w:name="_Toc35393791"/>
      <w:bookmarkEnd w:id="9"/>
      <w:bookmarkStart w:id="10" w:name="_Toc28359003"/>
      <w:bookmarkEnd w:id="10"/>
      <w:bookmarkStart w:id="11" w:name="_Toc35393622"/>
      <w:bookmarkEnd w:id="11"/>
      <w:bookmarkStart w:id="12" w:name="_Toc58430306"/>
      <w:bookmarkEnd w:id="12"/>
      <w:bookmarkStart w:id="13" w:name="_Toc28359080"/>
      <w:r>
        <w:rPr>
          <w:rFonts w:hint="eastAsia" w:ascii="仿宋" w:hAnsi="仿宋" w:eastAsia="仿宋" w:cs="Times New Roman"/>
          <w:color w:val="auto"/>
          <w:sz w:val="28"/>
          <w:szCs w:val="28"/>
          <w:highlight w:val="none"/>
        </w:rPr>
        <w:t>项目编号：</w:t>
      </w:r>
      <w:r>
        <w:rPr>
          <w:rFonts w:hint="default" w:ascii="仿宋" w:hAnsi="仿宋" w:eastAsia="仿宋" w:cs="Times New Roman"/>
          <w:color w:val="auto"/>
          <w:sz w:val="28"/>
          <w:szCs w:val="28"/>
          <w:highlight w:val="none"/>
        </w:rPr>
        <w:t>czsjcg202505-018</w:t>
      </w:r>
    </w:p>
    <w:p w14:paraId="5AF2B42D">
      <w:pPr>
        <w:ind w:right="-420" w:rightChars="-200"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项目名称：</w:t>
      </w:r>
      <w:r>
        <w:rPr>
          <w:rFonts w:hint="eastAsia" w:ascii="仿宋" w:hAnsi="仿宋" w:eastAsia="仿宋" w:cs="Times New Roman"/>
          <w:color w:val="auto"/>
          <w:sz w:val="28"/>
          <w:szCs w:val="28"/>
          <w:highlight w:val="none"/>
          <w:lang w:eastAsia="zh-CN"/>
        </w:rPr>
        <w:t>滁州市第二人民医院物业管理服务项目</w:t>
      </w:r>
      <w:r>
        <w:rPr>
          <w:rFonts w:hint="eastAsia" w:ascii="仿宋" w:hAnsi="仿宋" w:eastAsia="仿宋" w:cs="Times New Roman"/>
          <w:color w:val="auto"/>
          <w:sz w:val="28"/>
          <w:szCs w:val="28"/>
          <w:highlight w:val="none"/>
        </w:rPr>
        <w:t xml:space="preserve"> </w:t>
      </w:r>
    </w:p>
    <w:p w14:paraId="676FA13F">
      <w:pPr>
        <w:ind w:firstLine="560" w:firstLineChars="200"/>
        <w:jc w:val="left"/>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rPr>
        <w:t>预算</w:t>
      </w:r>
      <w:r>
        <w:rPr>
          <w:rFonts w:hint="eastAsia" w:ascii="仿宋" w:hAnsi="仿宋" w:eastAsia="仿宋"/>
          <w:color w:val="auto"/>
          <w:sz w:val="28"/>
          <w:szCs w:val="28"/>
          <w:highlight w:val="none"/>
          <w:lang w:val="en-US" w:eastAsia="zh-CN"/>
        </w:rPr>
        <w:t>金额：一年3800000元；三年11400000元</w:t>
      </w:r>
    </w:p>
    <w:p w14:paraId="78B2295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Times New Roman"/>
          <w:color w:val="000000"/>
          <w:sz w:val="28"/>
          <w:szCs w:val="28"/>
          <w:highlight w:val="none"/>
          <w:lang w:eastAsia="zh-CN"/>
        </w:rPr>
      </w:pPr>
      <w:r>
        <w:rPr>
          <w:rFonts w:hint="eastAsia" w:ascii="仿宋" w:hAnsi="仿宋" w:eastAsia="仿宋"/>
          <w:color w:val="auto"/>
          <w:sz w:val="28"/>
          <w:szCs w:val="28"/>
          <w:highlight w:val="none"/>
          <w:lang w:val="en-US" w:eastAsia="zh-CN"/>
        </w:rPr>
        <w:t>最高限价：一年3800000元；三年11400000元；</w:t>
      </w:r>
      <w:r>
        <w:rPr>
          <w:rFonts w:hint="eastAsia" w:ascii="仿宋" w:hAnsi="仿宋" w:eastAsia="仿宋" w:cs="Times New Roman"/>
          <w:color w:val="000000"/>
          <w:sz w:val="28"/>
          <w:szCs w:val="28"/>
          <w:highlight w:val="none"/>
          <w:lang w:eastAsia="zh-CN"/>
        </w:rPr>
        <w:t>投标报价不得高于最高限价，否则按无效投标处理。</w:t>
      </w:r>
    </w:p>
    <w:p w14:paraId="7ABC5B38">
      <w:pPr>
        <w:ind w:firstLine="560" w:firstLineChars="200"/>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w:t>
      </w:r>
      <w:r>
        <w:rPr>
          <w:rFonts w:hint="eastAsia" w:ascii="仿宋" w:hAnsi="仿宋" w:eastAsia="仿宋" w:cs="Times New Roman"/>
          <w:color w:val="auto"/>
          <w:sz w:val="28"/>
          <w:szCs w:val="28"/>
          <w:highlight w:val="none"/>
          <w:lang w:eastAsia="zh-CN"/>
        </w:rPr>
        <w:t>滁州市第二</w:t>
      </w:r>
      <w:r>
        <w:rPr>
          <w:rFonts w:hint="eastAsia" w:ascii="仿宋" w:hAnsi="仿宋" w:eastAsia="仿宋"/>
          <w:color w:val="auto"/>
          <w:sz w:val="28"/>
          <w:szCs w:val="28"/>
          <w:highlight w:val="none"/>
          <w:lang w:val="en-US" w:eastAsia="zh-CN"/>
        </w:rPr>
        <w:t>人民医院东区和西区的后勤全方位一体化服务，含卫生保洁（主要包括：室内外所有部位、门前广场、清除杂草、垃圾等）、垃圾清运等）、安保及秩序维护（主要包括：停车场车辆秩序管理，室内、外秩序维护管理，夜间值班巡逻，消防、监控、安全等）、设备设施保洁维护（主要包括：标的物内外所有设备设施及建筑物日常维护、巡查、值守等）、会议服务（主要包括：会议室的日常保洁、会议服务、音响调试等）、医疗辅助(导医、预约、陪检、运送等)、停车管理、陪护工管理、设立保洁用品消洗中心等。</w:t>
      </w:r>
    </w:p>
    <w:p w14:paraId="274EE8E0">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合同履行期限</w:t>
      </w:r>
      <w:r>
        <w:rPr>
          <w:rFonts w:hint="eastAsia" w:ascii="仿宋" w:hAnsi="仿宋" w:eastAsia="仿宋"/>
          <w:color w:val="auto"/>
          <w:sz w:val="28"/>
          <w:szCs w:val="28"/>
          <w:highlight w:val="none"/>
          <w:lang w:val="en-US" w:eastAsia="zh-CN"/>
        </w:rPr>
        <w:t>：</w:t>
      </w:r>
      <w:r>
        <w:rPr>
          <w:rFonts w:hint="eastAsia" w:ascii="仿宋" w:hAnsi="仿宋" w:eastAsia="仿宋" w:cs="Times New Roman"/>
          <w:color w:val="auto"/>
          <w:sz w:val="28"/>
          <w:szCs w:val="28"/>
          <w:highlight w:val="none"/>
          <w:lang w:val="en-US" w:eastAsia="zh-CN"/>
        </w:rPr>
        <w:t>服务期三年，合同一年一签。</w:t>
      </w:r>
    </w:p>
    <w:p w14:paraId="2F46153A">
      <w:pPr>
        <w:ind w:firstLine="437"/>
        <w:jc w:val="left"/>
        <w:outlineLvl w:val="1"/>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本项目不接受联合体投标。</w:t>
      </w:r>
    </w:p>
    <w:bookmarkEnd w:id="13"/>
    <w:p w14:paraId="6E0188BE">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1180408A">
      <w:pPr>
        <w:ind w:firstLine="560" w:firstLineChars="200"/>
        <w:rPr>
          <w:rFonts w:ascii="仿宋" w:hAnsi="仿宋" w:eastAsia="仿宋" w:cs="Times New Roman"/>
          <w:color w:val="auto"/>
          <w:sz w:val="28"/>
          <w:szCs w:val="28"/>
          <w:highlight w:val="none"/>
        </w:rPr>
      </w:pPr>
      <w:bookmarkStart w:id="14" w:name="_Toc35393792"/>
      <w:bookmarkEnd w:id="14"/>
      <w:bookmarkStart w:id="15" w:name="_Toc35393623"/>
      <w:bookmarkEnd w:id="15"/>
      <w:bookmarkStart w:id="16" w:name="_Toc58430307"/>
      <w:r>
        <w:rPr>
          <w:rFonts w:hint="eastAsia" w:ascii="仿宋" w:hAnsi="仿宋" w:eastAsia="仿宋" w:cs="Times New Roman"/>
          <w:color w:val="auto"/>
          <w:sz w:val="28"/>
          <w:szCs w:val="28"/>
          <w:highlight w:val="none"/>
        </w:rPr>
        <w:t>1.满足《中华人民共和国政府采购法》第二十二条规定；</w:t>
      </w:r>
    </w:p>
    <w:p w14:paraId="37CE35D3">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s="Times New Roman"/>
          <w:color w:val="auto"/>
          <w:sz w:val="28"/>
          <w:szCs w:val="28"/>
          <w:highlight w:val="none"/>
          <w:lang w:val="en-US" w:eastAsia="zh-CN"/>
        </w:rPr>
        <w:t>;</w:t>
      </w:r>
    </w:p>
    <w:p w14:paraId="262DC38F">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3.本项目的特定资格要求：</w:t>
      </w:r>
      <w:r>
        <w:rPr>
          <w:rFonts w:hint="eastAsia" w:ascii="仿宋" w:hAnsi="仿宋" w:eastAsia="仿宋" w:cs="Times New Roman"/>
          <w:color w:val="auto"/>
          <w:sz w:val="28"/>
          <w:szCs w:val="28"/>
          <w:highlight w:val="none"/>
          <w:lang w:val="en-US" w:eastAsia="zh-CN"/>
        </w:rPr>
        <w:t>/;</w:t>
      </w:r>
    </w:p>
    <w:p w14:paraId="6B6DB3DD">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4.信誉要求：投标人不得存在以下情形：</w:t>
      </w:r>
    </w:p>
    <w:p w14:paraId="0695C32F">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①被列入“信用中国”网站“失信被执行人”的</w:t>
      </w:r>
      <w:r>
        <w:rPr>
          <w:rFonts w:hint="eastAsia" w:ascii="仿宋" w:hAnsi="仿宋" w:eastAsia="仿宋" w:cs="Times New Roman"/>
          <w:color w:val="auto"/>
          <w:sz w:val="28"/>
          <w:szCs w:val="28"/>
          <w:highlight w:val="none"/>
          <w:lang w:eastAsia="zh-CN"/>
        </w:rPr>
        <w:t>；</w:t>
      </w:r>
    </w:p>
    <w:p w14:paraId="4C1060A4">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37EB4840">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 “严重失信主体名单”的；</w:t>
      </w:r>
    </w:p>
    <w:p w14:paraId="69DD93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④在</w:t>
      </w:r>
      <w:bookmarkStart w:id="17" w:name="OLE_LINK127"/>
      <w:bookmarkStart w:id="18" w:name="OLE_LINK128"/>
      <w:bookmarkStart w:id="19" w:name="OLE_LINK129"/>
      <w:r>
        <w:rPr>
          <w:rFonts w:hint="eastAsia" w:ascii="仿宋" w:hAnsi="仿宋" w:eastAsia="仿宋" w:cs="Times New Roman"/>
          <w:color w:val="auto"/>
          <w:sz w:val="28"/>
          <w:szCs w:val="28"/>
          <w:highlight w:val="none"/>
        </w:rPr>
        <w:t>“信用中国”网站</w:t>
      </w:r>
      <w:bookmarkEnd w:id="17"/>
      <w:bookmarkEnd w:id="18"/>
      <w:bookmarkEnd w:id="19"/>
      <w:r>
        <w:rPr>
          <w:rFonts w:hint="eastAsia" w:ascii="仿宋" w:hAnsi="仿宋" w:eastAsia="仿宋" w:cs="Times New Roman"/>
          <w:color w:val="auto"/>
          <w:sz w:val="28"/>
          <w:szCs w:val="28"/>
          <w:highlight w:val="none"/>
        </w:rPr>
        <w:t>上披露的仍在公示期的严重失信行为(具体行为类别及判定依据见“信用中国”查询的严重失信行为类别及判定依据)的。</w:t>
      </w:r>
    </w:p>
    <w:p w14:paraId="35F6EEF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⑤被列入国家企业信用信息公示系统网站“经营异常名录”或者“严重违法失信名单”的。</w:t>
      </w:r>
    </w:p>
    <w:p w14:paraId="51D72DFF">
      <w:pPr>
        <w:ind w:firstLine="560" w:firstLineChars="200"/>
        <w:rPr>
          <w:rFonts w:hint="eastAsia" w:ascii="仿宋" w:hAnsi="仿宋" w:eastAsia="仿宋" w:cs="Times New Roman"/>
          <w:color w:val="auto"/>
          <w:sz w:val="28"/>
          <w:szCs w:val="28"/>
          <w:highlight w:val="none"/>
        </w:rPr>
      </w:pPr>
      <w:bookmarkStart w:id="20" w:name="OLE_LINK114"/>
      <w:bookmarkStart w:id="21" w:name="OLE_LINK113"/>
      <w:r>
        <w:rPr>
          <w:rFonts w:hint="eastAsia" w:ascii="仿宋" w:hAnsi="仿宋" w:eastAsia="仿宋" w:cs="Times New Roman"/>
          <w:color w:val="auto"/>
          <w:sz w:val="28"/>
          <w:szCs w:val="28"/>
          <w:highlight w:val="none"/>
        </w:rPr>
        <w:t>⑥</w:t>
      </w:r>
      <w:bookmarkEnd w:id="20"/>
      <w:bookmarkEnd w:id="21"/>
      <w:r>
        <w:rPr>
          <w:rFonts w:hint="eastAsia" w:ascii="仿宋" w:hAnsi="仿宋" w:eastAsia="仿宋" w:cs="Times New Roman"/>
          <w:color w:val="auto"/>
          <w:sz w:val="28"/>
          <w:szCs w:val="28"/>
          <w:highlight w:val="none"/>
        </w:rPr>
        <w:t>被列入中国政府采购网站“政府采购严重违法失信行为信息记录”的</w:t>
      </w:r>
      <w:r>
        <w:rPr>
          <w:rFonts w:hint="eastAsia" w:ascii="仿宋" w:hAnsi="仿宋" w:eastAsia="仿宋" w:cs="Times New Roman"/>
          <w:color w:val="auto"/>
          <w:sz w:val="28"/>
          <w:szCs w:val="28"/>
          <w:highlight w:val="none"/>
          <w:lang w:eastAsia="zh-CN"/>
        </w:rPr>
        <w:t>。</w:t>
      </w:r>
    </w:p>
    <w:p w14:paraId="7746F923">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r>
        <w:rPr>
          <w:rFonts w:hint="eastAsia" w:ascii="仿宋" w:hAnsi="仿宋" w:eastAsia="仿宋" w:cs="Times New Roman"/>
          <w:color w:val="auto"/>
          <w:sz w:val="28"/>
          <w:szCs w:val="28"/>
          <w:highlight w:val="none"/>
          <w:lang w:eastAsia="zh-CN"/>
        </w:rPr>
        <w:t>。</w:t>
      </w:r>
    </w:p>
    <w:p w14:paraId="496101ED">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5.投标人所属分公司、办事处等分支机构存在第4款信誉要求①-⑦项情形之一的，接受</w:t>
      </w:r>
      <w:r>
        <w:rPr>
          <w:rFonts w:hint="eastAsia" w:ascii="仿宋" w:hAnsi="仿宋" w:eastAsia="仿宋" w:cs="Times New Roman"/>
          <w:color w:val="auto"/>
          <w:sz w:val="28"/>
          <w:szCs w:val="28"/>
          <w:highlight w:val="none"/>
          <w:lang w:val="en-US" w:eastAsia="zh-CN"/>
        </w:rPr>
        <w:t>其</w:t>
      </w:r>
      <w:r>
        <w:rPr>
          <w:rFonts w:hint="eastAsia" w:ascii="仿宋" w:hAnsi="仿宋" w:eastAsia="仿宋" w:cs="Times New Roman"/>
          <w:color w:val="auto"/>
          <w:sz w:val="28"/>
          <w:szCs w:val="28"/>
          <w:highlight w:val="none"/>
        </w:rPr>
        <w:t>投标人参加本项目。</w:t>
      </w:r>
    </w:p>
    <w:p w14:paraId="65A389A4">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备注：第4、5条按照“关于联合惩戒失信行为加强信用查询管理的通知”查询或承诺。</w:t>
      </w:r>
    </w:p>
    <w:bookmarkEnd w:id="16"/>
    <w:p w14:paraId="03C038BC">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p>
    <w:p w14:paraId="4F564A0C">
      <w:pPr>
        <w:ind w:firstLine="560" w:firstLineChars="200"/>
        <w:rPr>
          <w:rFonts w:ascii="仿宋" w:hAnsi="仿宋" w:eastAsia="仿宋" w:cs="Times New Roman"/>
          <w:color w:val="auto"/>
          <w:sz w:val="28"/>
          <w:szCs w:val="28"/>
          <w:highlight w:val="none"/>
          <w:u w:val="single"/>
        </w:rPr>
      </w:pPr>
      <w:bookmarkStart w:id="22" w:name="_Toc35393624"/>
      <w:bookmarkEnd w:id="22"/>
      <w:bookmarkStart w:id="23" w:name="_Toc28359082"/>
      <w:bookmarkEnd w:id="23"/>
      <w:bookmarkStart w:id="24" w:name="_Toc35393793"/>
      <w:bookmarkEnd w:id="24"/>
      <w:bookmarkStart w:id="25" w:name="_Toc28359005"/>
      <w:bookmarkEnd w:id="25"/>
      <w:bookmarkStart w:id="26" w:name="_Toc58430308"/>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14</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rPr>
        <w:t>至</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4</w:t>
      </w:r>
      <w:r>
        <w:rPr>
          <w:rFonts w:hint="eastAsia" w:ascii="仿宋" w:hAnsi="仿宋" w:eastAsia="仿宋" w:cs="Times New Roman"/>
          <w:color w:val="auto"/>
          <w:sz w:val="28"/>
          <w:szCs w:val="28"/>
          <w:highlight w:val="none"/>
          <w:u w:val="single"/>
        </w:rPr>
        <w:t>日</w:t>
      </w:r>
    </w:p>
    <w:p w14:paraId="4D0D5D28">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地点：滁州市公共资源交易中心网</w:t>
      </w:r>
    </w:p>
    <w:p w14:paraId="1E223860">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10D71AD5">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bookmarkEnd w:id="26"/>
    <w:p w14:paraId="63B5E2C1">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14:paraId="49301864">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4</w:t>
      </w:r>
      <w:r>
        <w:rPr>
          <w:rFonts w:hint="eastAsia" w:ascii="仿宋" w:hAnsi="仿宋" w:eastAsia="仿宋" w:cs="Times New Roman"/>
          <w:color w:val="auto"/>
          <w:sz w:val="28"/>
          <w:szCs w:val="28"/>
          <w:highlight w:val="none"/>
          <w:u w:val="single"/>
        </w:rPr>
        <w:t>日8点00分</w:t>
      </w:r>
      <w:r>
        <w:rPr>
          <w:rFonts w:hint="eastAsia" w:ascii="仿宋" w:hAnsi="仿宋" w:eastAsia="仿宋" w:cs="Times New Roman"/>
          <w:color w:val="auto"/>
          <w:sz w:val="28"/>
          <w:szCs w:val="28"/>
          <w:highlight w:val="none"/>
        </w:rPr>
        <w:t>（北京时间）</w:t>
      </w:r>
    </w:p>
    <w:p w14:paraId="6B58ACC8">
      <w:pPr>
        <w:ind w:firstLine="560" w:firstLineChars="200"/>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val="en-US" w:eastAsia="zh-CN"/>
        </w:rPr>
        <w:t>滁州市公共资源交易平台电子交易系统</w:t>
      </w:r>
    </w:p>
    <w:p w14:paraId="2FCFC5E8">
      <w:pPr>
        <w:keepNext/>
        <w:keepLines/>
        <w:spacing w:before="260" w:after="260"/>
        <w:jc w:val="left"/>
        <w:rPr>
          <w:rFonts w:ascii="黑体" w:hAnsi="黑体" w:eastAsia="黑体" w:cs="黑体"/>
          <w:color w:val="auto"/>
          <w:sz w:val="28"/>
          <w:szCs w:val="28"/>
          <w:highlight w:val="none"/>
        </w:rPr>
      </w:pPr>
      <w:bookmarkStart w:id="27" w:name="_Toc35393794"/>
      <w:bookmarkEnd w:id="27"/>
      <w:bookmarkStart w:id="28" w:name="_Toc35393625"/>
      <w:bookmarkEnd w:id="28"/>
      <w:bookmarkStart w:id="29" w:name="_Toc58430309"/>
      <w:bookmarkEnd w:id="29"/>
      <w:bookmarkStart w:id="30" w:name="_Toc28359007"/>
      <w:bookmarkEnd w:id="30"/>
      <w:r>
        <w:rPr>
          <w:rFonts w:hint="eastAsia" w:ascii="黑体" w:hAnsi="黑体" w:eastAsia="黑体" w:cs="黑体"/>
          <w:color w:val="auto"/>
          <w:sz w:val="28"/>
          <w:szCs w:val="28"/>
          <w:highlight w:val="none"/>
        </w:rPr>
        <w:t>五、公告期限</w:t>
      </w:r>
    </w:p>
    <w:p w14:paraId="7989AA8F">
      <w:pPr>
        <w:ind w:firstLine="560" w:firstLineChars="200"/>
        <w:jc w:val="left"/>
        <w:rPr>
          <w:rFonts w:ascii="仿宋" w:hAnsi="仿宋" w:eastAsia="仿宋" w:cs="Times New Roman"/>
          <w:color w:val="auto"/>
          <w:sz w:val="28"/>
          <w:szCs w:val="28"/>
          <w:highlight w:val="none"/>
        </w:rPr>
      </w:pPr>
      <w:bookmarkStart w:id="31" w:name="_Toc58430310"/>
      <w:bookmarkEnd w:id="31"/>
      <w:r>
        <w:rPr>
          <w:rFonts w:hint="eastAsia" w:ascii="仿宋" w:hAnsi="仿宋" w:eastAsia="仿宋" w:cs="Times New Roman"/>
          <w:color w:val="auto"/>
          <w:sz w:val="28"/>
          <w:szCs w:val="28"/>
          <w:highlight w:val="none"/>
        </w:rPr>
        <w:t>自本公告发布之日起5个工作日。</w:t>
      </w:r>
    </w:p>
    <w:p w14:paraId="0A8AC9C5">
      <w:pPr>
        <w:keepNext/>
        <w:keepLines/>
        <w:spacing w:before="260" w:after="260"/>
        <w:jc w:val="left"/>
        <w:rPr>
          <w:rFonts w:hint="eastAsia" w:ascii="黑体" w:hAnsi="黑体" w:eastAsia="黑体" w:cs="黑体"/>
          <w:color w:val="auto"/>
          <w:sz w:val="28"/>
          <w:szCs w:val="28"/>
          <w:highlight w:val="none"/>
          <w:lang w:val="en-US" w:eastAsia="zh-CN"/>
        </w:rPr>
      </w:pPr>
      <w:bookmarkStart w:id="32" w:name="_Toc31539"/>
      <w:bookmarkStart w:id="33" w:name="_Toc35393795"/>
      <w:bookmarkStart w:id="34" w:name="_Toc35393626"/>
      <w:r>
        <w:rPr>
          <w:rFonts w:hint="eastAsia" w:ascii="黑体" w:hAnsi="黑体" w:eastAsia="黑体" w:cs="黑体"/>
          <w:color w:val="auto"/>
          <w:sz w:val="28"/>
          <w:szCs w:val="28"/>
          <w:highlight w:val="none"/>
        </w:rPr>
        <w:t>六、</w:t>
      </w:r>
      <w:bookmarkEnd w:id="32"/>
      <w:r>
        <w:rPr>
          <w:rFonts w:hint="eastAsia" w:ascii="黑体" w:hAnsi="黑体" w:eastAsia="黑体" w:cs="黑体"/>
          <w:color w:val="auto"/>
          <w:sz w:val="28"/>
          <w:szCs w:val="28"/>
          <w:highlight w:val="none"/>
          <w:lang w:val="en-US" w:eastAsia="zh-CN"/>
        </w:rPr>
        <w:t>投标保证金金额及缴纳账户</w:t>
      </w:r>
    </w:p>
    <w:p w14:paraId="6502C8DD">
      <w:pPr>
        <w:ind w:firstLine="560" w:firstLineChars="200"/>
        <w:rPr>
          <w:rFonts w:hint="eastAsia" w:ascii="黑体" w:hAnsi="黑体" w:eastAsia="黑体" w:cs="黑体"/>
          <w:color w:val="auto"/>
          <w:sz w:val="28"/>
          <w:szCs w:val="28"/>
          <w:highlight w:val="none"/>
        </w:rPr>
      </w:pPr>
      <w:r>
        <w:rPr>
          <w:rFonts w:hint="eastAsia" w:ascii="仿宋" w:hAnsi="仿宋" w:eastAsia="仿宋" w:cs="Times New Roman"/>
          <w:color w:val="auto"/>
          <w:sz w:val="28"/>
          <w:szCs w:val="28"/>
          <w:highlight w:val="none"/>
          <w:lang w:val="en-US" w:eastAsia="zh-CN"/>
        </w:rPr>
        <w:t>是否要求投标人提交投标保证金：不要求。</w:t>
      </w:r>
    </w:p>
    <w:p w14:paraId="68698293">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、其他补充事宜</w:t>
      </w:r>
      <w:bookmarkEnd w:id="33"/>
      <w:bookmarkEnd w:id="34"/>
    </w:p>
    <w:p w14:paraId="00055BF3">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w:t>
      </w:r>
      <w:r>
        <w:rPr>
          <w:rFonts w:hint="eastAsia" w:ascii="仿宋" w:hAnsi="仿宋" w:eastAsia="仿宋" w:cs="Times New Roman"/>
          <w:color w:val="auto"/>
          <w:sz w:val="28"/>
          <w:szCs w:val="28"/>
          <w:highlight w:val="none"/>
          <w:lang w:eastAsia="zh-CN"/>
        </w:rPr>
        <w:t>0512-58188516</w:t>
      </w:r>
      <w:r>
        <w:rPr>
          <w:rFonts w:hint="eastAsia" w:ascii="仿宋" w:hAnsi="仿宋" w:eastAsia="仿宋" w:cs="Times New Roman"/>
          <w:color w:val="auto"/>
          <w:sz w:val="28"/>
          <w:szCs w:val="28"/>
          <w:highlight w:val="none"/>
        </w:rPr>
        <w:t>0（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3D1E4C2">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12CD56CE">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73D1DA40">
      <w:pPr>
        <w:ind w:firstLine="560" w:firstLineChars="200"/>
        <w:jc w:val="left"/>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8"/>
    <w:p w14:paraId="28C11958">
      <w:pPr>
        <w:keepNext/>
        <w:keepLines/>
        <w:spacing w:before="260" w:after="260"/>
        <w:rPr>
          <w:rFonts w:ascii="黑体" w:hAnsi="黑体" w:eastAsia="黑体" w:cs="黑体"/>
          <w:color w:val="auto"/>
          <w:sz w:val="28"/>
          <w:szCs w:val="28"/>
          <w:highlight w:val="none"/>
        </w:rPr>
      </w:pPr>
      <w:bookmarkStart w:id="35" w:name="_Toc3854"/>
      <w:bookmarkStart w:id="36" w:name="_Toc7265"/>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w:t>
      </w:r>
      <w:bookmarkEnd w:id="35"/>
      <w:bookmarkEnd w:id="36"/>
      <w:r>
        <w:rPr>
          <w:rFonts w:hint="eastAsia" w:ascii="黑体" w:hAnsi="黑体" w:eastAsia="黑体" w:cs="黑体"/>
          <w:color w:val="auto"/>
          <w:sz w:val="28"/>
          <w:szCs w:val="28"/>
          <w:highlight w:val="none"/>
        </w:rPr>
        <w:t>对本次招标提出询问，请按以下方式联系</w:t>
      </w:r>
    </w:p>
    <w:p w14:paraId="613C31C8">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14:paraId="1A2493FC">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名 称：</w:t>
      </w:r>
      <w:r>
        <w:rPr>
          <w:rFonts w:hint="eastAsia" w:ascii="仿宋" w:hAnsi="仿宋" w:eastAsia="仿宋" w:cs="Times New Roman"/>
          <w:color w:val="auto"/>
          <w:sz w:val="28"/>
          <w:szCs w:val="28"/>
          <w:highlight w:val="none"/>
          <w:u w:val="single"/>
          <w:lang w:eastAsia="zh-CN"/>
        </w:rPr>
        <w:t>滁州市第二人民医院（市传染病医院、市精神病医院）</w:t>
      </w:r>
    </w:p>
    <w:p w14:paraId="3E22F9CD">
      <w:pPr>
        <w:ind w:firstLine="560" w:firstLineChars="200"/>
        <w:jc w:val="left"/>
        <w:rPr>
          <w:rFonts w:hint="eastAsia" w:ascii="仿宋" w:hAnsi="仿宋" w:eastAsia="仿宋"/>
          <w:color w:val="auto"/>
          <w:sz w:val="28"/>
          <w:szCs w:val="28"/>
          <w:highlight w:val="none"/>
          <w:u w:val="singl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val="en-US" w:eastAsia="zh-CN"/>
        </w:rPr>
        <w:t>滁州市清流中路1401号</w:t>
      </w:r>
    </w:p>
    <w:p w14:paraId="51E5EF5D">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联系人：</w:t>
      </w:r>
      <w:r>
        <w:rPr>
          <w:rFonts w:hint="eastAsia" w:ascii="仿宋" w:hAnsi="仿宋" w:eastAsia="仿宋" w:cs="Times New Roman"/>
          <w:color w:val="auto"/>
          <w:sz w:val="28"/>
          <w:szCs w:val="28"/>
          <w:highlight w:val="none"/>
          <w:u w:val="single"/>
          <w:lang w:val="en-US" w:eastAsia="zh-CN"/>
        </w:rPr>
        <w:t>招标办</w:t>
      </w:r>
      <w:r>
        <w:rPr>
          <w:rFonts w:hint="eastAsia" w:ascii="仿宋" w:hAnsi="仿宋" w:eastAsia="仿宋" w:cs="Times New Roman"/>
          <w:color w:val="auto"/>
          <w:sz w:val="28"/>
          <w:szCs w:val="28"/>
          <w:highlight w:val="none"/>
        </w:rPr>
        <w:t xml:space="preserve"> </w:t>
      </w:r>
    </w:p>
    <w:p w14:paraId="543BC04C">
      <w:pPr>
        <w:ind w:firstLine="560" w:firstLineChars="200"/>
        <w:jc w:val="left"/>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val="en-US" w:eastAsia="zh-CN"/>
        </w:rPr>
        <w:t>0550-3523822</w:t>
      </w:r>
    </w:p>
    <w:p w14:paraId="30C760FC">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14:paraId="247DF8DA">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滁州市政府采购中心</w:t>
      </w:r>
      <w:r>
        <w:rPr>
          <w:rFonts w:hint="eastAsia" w:ascii="仿宋" w:hAnsi="仿宋" w:eastAsia="仿宋" w:cs="Times New Roman"/>
          <w:color w:val="auto"/>
          <w:sz w:val="28"/>
          <w:szCs w:val="28"/>
          <w:highlight w:val="none"/>
        </w:rPr>
        <w:t>　</w:t>
      </w:r>
    </w:p>
    <w:p w14:paraId="721D2D07">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滁州市龙蟠大道109号房产大厦二楼</w:t>
      </w:r>
    </w:p>
    <w:p w14:paraId="27C8C8C9">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联系人：</w:t>
      </w:r>
      <w:r>
        <w:rPr>
          <w:rFonts w:hint="eastAsia" w:ascii="仿宋" w:hAnsi="仿宋" w:eastAsia="仿宋" w:cs="Times New Roman"/>
          <w:color w:val="auto"/>
          <w:sz w:val="28"/>
          <w:szCs w:val="28"/>
          <w:highlight w:val="none"/>
          <w:u w:val="single"/>
          <w:lang w:eastAsia="zh-CN"/>
        </w:rPr>
        <w:t>周蓓蕾</w:t>
      </w:r>
      <w:r>
        <w:rPr>
          <w:rFonts w:hint="eastAsia" w:ascii="仿宋" w:hAnsi="仿宋" w:eastAsia="仿宋" w:cs="Times New Roman"/>
          <w:color w:val="auto"/>
          <w:sz w:val="28"/>
          <w:szCs w:val="28"/>
          <w:highlight w:val="none"/>
        </w:rPr>
        <w:t xml:space="preserve"> </w:t>
      </w:r>
    </w:p>
    <w:p w14:paraId="080DEED0">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eastAsia="zh-CN"/>
        </w:rPr>
        <w:t>0550-3519519、18005505728</w:t>
      </w:r>
    </w:p>
    <w:p w14:paraId="3FE1D5F5">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3.政府采购监督管理部门信息</w:t>
      </w:r>
    </w:p>
    <w:p w14:paraId="73C08904">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val="en-US" w:eastAsia="zh-CN"/>
        </w:rPr>
        <w:t>滁州市公共资源交易监督管理局</w:t>
      </w:r>
    </w:p>
    <w:p w14:paraId="64CE7940">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滁州市龙蟠大道109号房产大厦</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lang w:eastAsia="zh-CN"/>
        </w:rPr>
        <w:t>楼</w:t>
      </w:r>
    </w:p>
    <w:p w14:paraId="49D0B5CD">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0550-3801656</w:t>
      </w:r>
    </w:p>
    <w:p w14:paraId="7CA5B9B3">
      <w:pPr>
        <w:rPr>
          <w:rFonts w:asciiTheme="minorEastAsia" w:hAnsiTheme="minorEastAsia" w:eastAsiaTheme="minorEastAsia"/>
          <w:b/>
          <w:color w:val="auto"/>
          <w:sz w:val="28"/>
          <w:highlight w:val="none"/>
        </w:rPr>
      </w:pPr>
      <w:bookmarkStart w:id="37" w:name="_Toc8888"/>
      <w:r>
        <w:rPr>
          <w:rFonts w:hint="eastAsia" w:asciiTheme="minorEastAsia" w:hAnsiTheme="minorEastAsia" w:eastAsiaTheme="minorEastAsia"/>
          <w:b/>
          <w:color w:val="auto"/>
          <w:sz w:val="28"/>
          <w:highlight w:val="none"/>
        </w:rPr>
        <w:br w:type="page"/>
      </w:r>
    </w:p>
    <w:p w14:paraId="0FCE68BA">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7"/>
    </w:p>
    <w:p w14:paraId="5972D070">
      <w:pPr>
        <w:spacing w:line="360" w:lineRule="auto"/>
        <w:jc w:val="center"/>
        <w:outlineLvl w:val="1"/>
        <w:rPr>
          <w:rFonts w:asciiTheme="minorEastAsia" w:hAnsiTheme="minorEastAsia" w:eastAsiaTheme="minorEastAsia"/>
          <w:b/>
          <w:color w:val="auto"/>
          <w:sz w:val="24"/>
          <w:highlight w:val="none"/>
        </w:rPr>
      </w:pPr>
      <w:bookmarkStart w:id="38" w:name="_Toc7178"/>
      <w:bookmarkStart w:id="39"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8"/>
      <w:bookmarkEnd w:id="39"/>
    </w:p>
    <w:p w14:paraId="0EAB0E3A">
      <w:pPr>
        <w:spacing w:line="500" w:lineRule="exact"/>
        <w:ind w:left="-420" w:leftChars="-200"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6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874"/>
        <w:gridCol w:w="7974"/>
      </w:tblGrid>
      <w:tr w14:paraId="29A4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4F660101">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854" w:type="pct"/>
            <w:vAlign w:val="center"/>
          </w:tcPr>
          <w:p w14:paraId="16776CD2">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633" w:type="pct"/>
            <w:vAlign w:val="center"/>
          </w:tcPr>
          <w:p w14:paraId="2EDE11B3">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69C6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17D208A0">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854" w:type="pct"/>
            <w:vAlign w:val="center"/>
          </w:tcPr>
          <w:p w14:paraId="0D6597FE">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633" w:type="pct"/>
            <w:vAlign w:val="center"/>
          </w:tcPr>
          <w:p w14:paraId="2ACA1A97">
            <w:pPr>
              <w:spacing w:line="50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0034FFCA">
            <w:pPr>
              <w:spacing w:line="50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03796553">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372E28EC">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5982FEDE">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2A80B5E1">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7B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4AD1E2A9">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854" w:type="pct"/>
            <w:vAlign w:val="center"/>
          </w:tcPr>
          <w:p w14:paraId="41D03972">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633" w:type="pct"/>
            <w:vAlign w:val="center"/>
          </w:tcPr>
          <w:p w14:paraId="30499C87">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none"/>
                <w:lang w:val="en-US" w:eastAsia="zh-CN"/>
              </w:rPr>
              <w:t>2025</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5</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val="en-US" w:eastAsia="zh-CN"/>
              </w:rPr>
              <w:t>21</w:t>
            </w:r>
            <w:r>
              <w:rPr>
                <w:rFonts w:hint="eastAsia" w:ascii="宋体" w:hAnsi="宋体" w:eastAsia="宋体" w:cs="宋体"/>
                <w:b w:val="0"/>
                <w:color w:val="auto"/>
                <w:sz w:val="24"/>
                <w:highlight w:val="none"/>
                <w:u w:val="none"/>
              </w:rPr>
              <w:t>日17时30分</w:t>
            </w:r>
            <w:r>
              <w:rPr>
                <w:rFonts w:hint="eastAsia" w:ascii="宋体" w:hAnsi="宋体" w:eastAsia="宋体" w:cs="宋体"/>
                <w:b w:val="0"/>
                <w:color w:val="auto"/>
                <w:sz w:val="24"/>
                <w:highlight w:val="none"/>
              </w:rPr>
              <w:t>（公告期限界满之日）</w:t>
            </w:r>
          </w:p>
        </w:tc>
      </w:tr>
      <w:tr w14:paraId="6ED3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1C3CE906">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854" w:type="pct"/>
            <w:vAlign w:val="center"/>
          </w:tcPr>
          <w:p w14:paraId="4AE27984">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633" w:type="pct"/>
            <w:vAlign w:val="center"/>
          </w:tcPr>
          <w:p w14:paraId="26108E05">
            <w:pPr>
              <w:pStyle w:val="50"/>
              <w:widowControl w:val="0"/>
              <w:spacing w:before="0" w:beforeAutospacing="0" w:after="0" w:afterAutospacing="0" w:line="500" w:lineRule="exact"/>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 </w:t>
            </w:r>
            <w:r>
              <w:rPr>
                <w:rFonts w:hint="eastAsia" w:ascii="宋体" w:hAnsi="宋体" w:eastAsia="宋体" w:cs="宋体"/>
                <w:b w:val="0"/>
                <w:color w:val="auto"/>
                <w:sz w:val="24"/>
                <w:highlight w:val="none"/>
              </w:rPr>
              <w:t>个包</w:t>
            </w:r>
          </w:p>
        </w:tc>
      </w:tr>
      <w:tr w14:paraId="0E83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1" w:type="pct"/>
            <w:vAlign w:val="center"/>
          </w:tcPr>
          <w:p w14:paraId="0CC6D079">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854" w:type="pct"/>
            <w:vAlign w:val="center"/>
          </w:tcPr>
          <w:p w14:paraId="3D8EB9D3">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633" w:type="pct"/>
            <w:vAlign w:val="center"/>
          </w:tcPr>
          <w:p w14:paraId="51D01E54">
            <w:pPr>
              <w:spacing w:line="500" w:lineRule="exact"/>
              <w:rPr>
                <w:rFonts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74C8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74E4F741">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854" w:type="pct"/>
            <w:vAlign w:val="center"/>
          </w:tcPr>
          <w:p w14:paraId="0EC56411">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633" w:type="pct"/>
            <w:vAlign w:val="center"/>
          </w:tcPr>
          <w:p w14:paraId="58AA08BA">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2ADE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338BE865">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854" w:type="pct"/>
            <w:vAlign w:val="center"/>
          </w:tcPr>
          <w:p w14:paraId="6F2FB403">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3633" w:type="pct"/>
            <w:vAlign w:val="center"/>
          </w:tcPr>
          <w:p w14:paraId="0D01476F">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投标截止时间后</w:t>
            </w:r>
            <w:r>
              <w:rPr>
                <w:rFonts w:hint="eastAsia" w:ascii="宋体" w:hAnsi="宋体" w:eastAsia="宋体" w:cs="宋体"/>
                <w:b w:val="0"/>
                <w:color w:val="auto"/>
                <w:sz w:val="24"/>
                <w:highlight w:val="none"/>
                <w:u w:val="single"/>
              </w:rPr>
              <w:t xml:space="preserve"> 60 </w:t>
            </w:r>
            <w:r>
              <w:rPr>
                <w:rFonts w:hint="eastAsia" w:ascii="宋体" w:hAnsi="宋体" w:eastAsia="宋体" w:cs="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28F9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10292090">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854" w:type="pct"/>
            <w:vAlign w:val="center"/>
          </w:tcPr>
          <w:p w14:paraId="35AADA65">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633" w:type="pct"/>
            <w:vAlign w:val="center"/>
          </w:tcPr>
          <w:p w14:paraId="20EB5E5F">
            <w:pPr>
              <w:pStyle w:val="50"/>
              <w:widowControl w:val="0"/>
              <w:spacing w:before="0" w:beforeAutospacing="0" w:after="0" w:afterAutospacing="0" w:line="50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1DE90BDD">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7F33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29B1758F">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854" w:type="pct"/>
            <w:vAlign w:val="center"/>
          </w:tcPr>
          <w:p w14:paraId="37D3F0BC">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633" w:type="pct"/>
            <w:vAlign w:val="center"/>
          </w:tcPr>
          <w:p w14:paraId="485E289C">
            <w:pPr>
              <w:pStyle w:val="50"/>
              <w:widowControl w:val="0"/>
              <w:spacing w:before="0" w:beforeAutospacing="0" w:after="0" w:afterAutospacing="0" w:line="500" w:lineRule="exact"/>
              <w:jc w:val="both"/>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720D06BE">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3085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4C82C0DB">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854" w:type="pct"/>
            <w:vAlign w:val="center"/>
          </w:tcPr>
          <w:p w14:paraId="0BCEA41E">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报价扣除</w:t>
            </w:r>
          </w:p>
          <w:p w14:paraId="3D9F888D">
            <w:pPr>
              <w:pStyle w:val="50"/>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i/>
                <w:color w:val="auto"/>
                <w:sz w:val="24"/>
                <w:highlight w:val="none"/>
              </w:rPr>
            </w:pPr>
            <w:r>
              <w:rPr>
                <w:rFonts w:hint="eastAsia" w:ascii="宋体" w:hAnsi="宋体" w:eastAsia="宋体" w:cs="宋体"/>
                <w:b w:val="0"/>
                <w:i/>
                <w:color w:val="auto"/>
                <w:sz w:val="24"/>
                <w:highlight w:val="none"/>
              </w:rPr>
              <w:t>（非专门面向中小企业采购项目适用）</w:t>
            </w:r>
          </w:p>
          <w:p w14:paraId="6C974F09">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i w:val="0"/>
                <w:iCs/>
                <w:color w:val="auto"/>
                <w:sz w:val="24"/>
                <w:highlight w:val="none"/>
                <w:lang w:eastAsia="zh-CN"/>
              </w:rPr>
              <w:t>（</w:t>
            </w:r>
            <w:r>
              <w:rPr>
                <w:rFonts w:hint="eastAsia" w:ascii="宋体" w:hAnsi="宋体" w:eastAsia="宋体" w:cs="宋体"/>
                <w:b w:val="0"/>
                <w:i w:val="0"/>
                <w:iCs/>
                <w:color w:val="auto"/>
                <w:sz w:val="24"/>
                <w:highlight w:val="none"/>
                <w:lang w:val="en-US" w:eastAsia="zh-CN"/>
              </w:rPr>
              <w:t>本项目不适用</w:t>
            </w:r>
            <w:r>
              <w:rPr>
                <w:rFonts w:hint="eastAsia" w:ascii="宋体" w:hAnsi="宋体" w:eastAsia="宋体" w:cs="宋体"/>
                <w:b w:val="0"/>
                <w:i w:val="0"/>
                <w:iCs/>
                <w:color w:val="auto"/>
                <w:sz w:val="24"/>
                <w:highlight w:val="none"/>
                <w:lang w:eastAsia="zh-CN"/>
              </w:rPr>
              <w:t>）</w:t>
            </w:r>
          </w:p>
        </w:tc>
        <w:tc>
          <w:tcPr>
            <w:tcW w:w="3633" w:type="pct"/>
            <w:vAlign w:val="center"/>
          </w:tcPr>
          <w:p w14:paraId="54E35FAA">
            <w:pPr>
              <w:pStyle w:val="50"/>
              <w:widowControl w:val="0"/>
              <w:spacing w:before="0" w:beforeAutospacing="0" w:after="0" w:afterAutospacing="0" w:line="5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u w:val="none"/>
              </w:rPr>
              <w:t>；</w:t>
            </w:r>
          </w:p>
          <w:p w14:paraId="73ADD31F">
            <w:pPr>
              <w:pStyle w:val="50"/>
              <w:widowControl w:val="0"/>
              <w:spacing w:before="0" w:beforeAutospacing="0" w:after="0" w:afterAutospacing="0" w:line="5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59575D05">
            <w:pPr>
              <w:pStyle w:val="50"/>
              <w:widowControl w:val="0"/>
              <w:spacing w:before="0" w:beforeAutospacing="0" w:after="0" w:afterAutospacing="0" w:line="5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04FC51B0">
            <w:pPr>
              <w:pStyle w:val="50"/>
              <w:widowControl w:val="0"/>
              <w:spacing w:before="0" w:beforeAutospacing="0" w:after="0" w:afterAutospacing="0" w:line="5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7EA52383">
            <w:pPr>
              <w:pStyle w:val="50"/>
              <w:widowControl w:val="0"/>
              <w:spacing w:before="0" w:beforeAutospacing="0" w:after="0" w:afterAutospacing="0" w:line="5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018F15A">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i/>
                <w:color w:val="auto"/>
                <w:sz w:val="24"/>
                <w:highlight w:val="none"/>
              </w:rPr>
              <w:t>（允许大中型企业向小微企业分包的项目适用）</w:t>
            </w:r>
          </w:p>
        </w:tc>
      </w:tr>
      <w:tr w14:paraId="2CE0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49DE6B93">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854" w:type="pct"/>
            <w:vAlign w:val="center"/>
          </w:tcPr>
          <w:p w14:paraId="4FDF0365">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633" w:type="pct"/>
            <w:vAlign w:val="center"/>
          </w:tcPr>
          <w:p w14:paraId="1BF1DB33">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1EA3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57C5D07E">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854" w:type="pct"/>
            <w:vAlign w:val="center"/>
          </w:tcPr>
          <w:p w14:paraId="24EC231A">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633" w:type="pct"/>
            <w:vAlign w:val="center"/>
          </w:tcPr>
          <w:p w14:paraId="02FF9E7D">
            <w:pPr>
              <w:spacing w:line="5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5B5FDDEE">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1D57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7E846E29">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854" w:type="pct"/>
            <w:vAlign w:val="center"/>
          </w:tcPr>
          <w:p w14:paraId="63AE0807">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633" w:type="pct"/>
            <w:vAlign w:val="center"/>
          </w:tcPr>
          <w:p w14:paraId="4304229F">
            <w:pPr>
              <w:pStyle w:val="50"/>
              <w:widowControl w:val="0"/>
              <w:numPr>
                <w:ilvl w:val="0"/>
                <w:numId w:val="2"/>
              </w:numPr>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0CA200D1">
            <w:pPr>
              <w:pStyle w:val="50"/>
              <w:widowControl w:val="0"/>
              <w:numPr>
                <w:ilvl w:val="0"/>
                <w:numId w:val="0"/>
              </w:numPr>
              <w:spacing w:before="0" w:beforeAutospacing="0" w:after="0" w:afterAutospacing="0" w:line="50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35090CBA">
            <w:pPr>
              <w:pStyle w:val="50"/>
              <w:widowControl w:val="0"/>
              <w:spacing w:before="0" w:beforeAutospacing="0" w:after="0" w:afterAutospacing="0" w:line="50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color w:val="auto"/>
                <w:sz w:val="24"/>
                <w:highlight w:val="none"/>
                <w:lang w:eastAsia="zh-CN"/>
              </w:rPr>
              <w:t>。</w:t>
            </w:r>
          </w:p>
        </w:tc>
      </w:tr>
      <w:tr w14:paraId="7997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39291E24">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854" w:type="pct"/>
            <w:vAlign w:val="center"/>
          </w:tcPr>
          <w:p w14:paraId="773F64B1">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633" w:type="pct"/>
            <w:vAlign w:val="center"/>
          </w:tcPr>
          <w:p w14:paraId="512F94B3">
            <w:pPr>
              <w:pStyle w:val="50"/>
              <w:widowControl w:val="0"/>
              <w:spacing w:before="0" w:beforeAutospacing="0" w:after="0" w:afterAutospacing="0" w:line="50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397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6E9949F7">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854" w:type="pct"/>
            <w:vAlign w:val="center"/>
          </w:tcPr>
          <w:p w14:paraId="4BC86FD7">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633" w:type="pct"/>
            <w:vAlign w:val="center"/>
          </w:tcPr>
          <w:p w14:paraId="7344FD65">
            <w:pPr>
              <w:spacing w:line="5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307F84B8">
            <w:pPr>
              <w:pStyle w:val="50"/>
              <w:widowControl w:val="0"/>
              <w:spacing w:before="0" w:beforeAutospacing="0" w:after="0" w:afterAutospacing="0" w:line="50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0D99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11" w:type="pct"/>
            <w:vAlign w:val="center"/>
          </w:tcPr>
          <w:p w14:paraId="15824558">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854" w:type="pct"/>
            <w:vAlign w:val="center"/>
          </w:tcPr>
          <w:p w14:paraId="3A1D7985">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633" w:type="pct"/>
          </w:tcPr>
          <w:p w14:paraId="1A905AF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55669A2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0A286E7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 xml:space="preserve"> / </w:t>
            </w:r>
            <w:r>
              <w:rPr>
                <w:rFonts w:ascii="宋体" w:hAnsi="宋体" w:eastAsia="宋体"/>
                <w:bCs/>
                <w:color w:val="auto"/>
                <w:kern w:val="0"/>
                <w:sz w:val="24"/>
                <w:szCs w:val="28"/>
                <w:highlight w:val="none"/>
              </w:rPr>
              <w:t>%</w:t>
            </w:r>
          </w:p>
          <w:p w14:paraId="23D8C68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定额收取：人民币元</w:t>
            </w:r>
          </w:p>
          <w:p w14:paraId="7D3F391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7E9A6E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435D7AC4">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2770A04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5BAD8527">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w:t>
            </w:r>
          </w:p>
          <w:p w14:paraId="7DA19C2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DFCA78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C18A1B5">
            <w:pPr>
              <w:spacing w:line="500" w:lineRule="exact"/>
              <w:rPr>
                <w:rFonts w:ascii="宋体" w:hAnsi="宋体" w:eastAsia="宋体" w:cs="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BD4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11" w:type="pct"/>
            <w:vAlign w:val="center"/>
          </w:tcPr>
          <w:p w14:paraId="6B787D8F">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854" w:type="pct"/>
            <w:vAlign w:val="center"/>
          </w:tcPr>
          <w:p w14:paraId="3D1AABC7">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633" w:type="pct"/>
          </w:tcPr>
          <w:p w14:paraId="1EB1CE94">
            <w:pPr>
              <w:adjustRightInd w:val="0"/>
              <w:snapToGrid w:val="0"/>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699CDBA4">
            <w:pPr>
              <w:adjustRightInd w:val="0"/>
              <w:snapToGrid w:val="0"/>
              <w:spacing w:line="50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11D9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55F43D51">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854" w:type="pct"/>
            <w:vAlign w:val="center"/>
          </w:tcPr>
          <w:p w14:paraId="0F2C8A39">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633" w:type="pct"/>
            <w:vAlign w:val="center"/>
          </w:tcPr>
          <w:p w14:paraId="426F97BD">
            <w:pPr>
              <w:spacing w:before="39" w:line="50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中标人</w:t>
            </w:r>
          </w:p>
          <w:p w14:paraId="3EB5CF3C">
            <w:pPr>
              <w:spacing w:before="24" w:line="50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393B7CE0">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bCs w:val="0"/>
                <w:sz w:val="24"/>
                <w:szCs w:val="24"/>
                <w:u w:val="single"/>
                <w:lang w:val="en-US" w:eastAsia="zh-CN"/>
              </w:rPr>
              <w:t>按照《滁州市公共资源交易代理机构及</w:t>
            </w:r>
            <w:r>
              <w:rPr>
                <w:rFonts w:hint="default" w:ascii="宋体" w:hAnsi="宋体" w:eastAsia="宋体" w:cs="宋体"/>
                <w:b w:val="0"/>
                <w:bCs w:val="0"/>
                <w:sz w:val="24"/>
                <w:szCs w:val="24"/>
                <w:u w:val="single"/>
                <w:lang w:val="en-US" w:eastAsia="zh-CN"/>
              </w:rPr>
              <w:t>从业人员管理办法》</w:t>
            </w:r>
            <w:r>
              <w:rPr>
                <w:rFonts w:hint="eastAsia" w:ascii="宋体" w:hAnsi="宋体" w:eastAsia="宋体" w:cs="宋体"/>
                <w:b w:val="0"/>
                <w:bCs w:val="0"/>
                <w:sz w:val="24"/>
                <w:szCs w:val="24"/>
                <w:u w:val="single"/>
                <w:lang w:val="en-US" w:eastAsia="zh-CN"/>
              </w:rPr>
              <w:t>(滁公管〔2025〕1 号)执行</w:t>
            </w:r>
            <w:r>
              <w:rPr>
                <w:rFonts w:hint="eastAsia" w:ascii="宋体" w:hAnsi="宋体" w:eastAsia="宋体" w:cs="宋体"/>
                <w:b w:val="0"/>
                <w:bCs w:val="0"/>
                <w:color w:val="auto"/>
                <w:kern w:val="2"/>
                <w:sz w:val="24"/>
                <w:szCs w:val="24"/>
                <w:highlight w:val="none"/>
                <w:u w:val="single"/>
              </w:rPr>
              <w:t>。</w:t>
            </w:r>
          </w:p>
        </w:tc>
      </w:tr>
      <w:tr w14:paraId="4C3B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674A22CA">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854" w:type="pct"/>
            <w:vAlign w:val="center"/>
          </w:tcPr>
          <w:p w14:paraId="5B533FA1">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633" w:type="pct"/>
            <w:vAlign w:val="center"/>
          </w:tcPr>
          <w:p w14:paraId="2B018EEF">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44B5B644">
            <w:pPr>
              <w:pStyle w:val="50"/>
              <w:widowControl w:val="0"/>
              <w:spacing w:before="0" w:beforeAutospacing="0" w:after="0" w:afterAutospacing="0" w:line="500" w:lineRule="exact"/>
              <w:jc w:val="both"/>
              <w:rPr>
                <w:rFonts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滁州市第二人民医院（市传染病医院、市精神病医院）、滁州市政府采购中心</w:t>
            </w:r>
            <w:r>
              <w:rPr>
                <w:rFonts w:hint="eastAsia" w:ascii="宋体" w:hAnsi="宋体" w:eastAsia="宋体" w:cs="宋体"/>
                <w:color w:val="auto"/>
                <w:sz w:val="24"/>
                <w:highlight w:val="none"/>
                <w:u w:val="single"/>
              </w:rPr>
              <w:t>；</w:t>
            </w:r>
          </w:p>
          <w:p w14:paraId="2AFE0F76">
            <w:pPr>
              <w:pStyle w:val="50"/>
              <w:widowControl w:val="0"/>
              <w:spacing w:before="0" w:beforeAutospacing="0" w:after="0" w:afterAutospacing="0" w:line="500" w:lineRule="exact"/>
              <w:jc w:val="both"/>
              <w:rPr>
                <w:rFonts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lang w:val="en-US" w:eastAsia="zh-CN"/>
              </w:rPr>
              <w:t>0550-3523822</w:t>
            </w:r>
            <w:r>
              <w:rPr>
                <w:rFonts w:hint="eastAsia" w:ascii="宋体" w:hAnsi="宋体" w:eastAsia="宋体" w:cs="宋体"/>
                <w:b/>
                <w:bCs w:val="0"/>
                <w:color w:val="auto"/>
                <w:sz w:val="24"/>
                <w:highlight w:val="none"/>
                <w:u w:val="single"/>
              </w:rPr>
              <w:t>、</w:t>
            </w:r>
            <w:r>
              <w:rPr>
                <w:rFonts w:hint="eastAsia" w:ascii="宋体" w:hAnsi="宋体" w:eastAsia="宋体" w:cs="宋体"/>
                <w:color w:val="auto"/>
                <w:sz w:val="24"/>
                <w:highlight w:val="none"/>
                <w:u w:val="single"/>
              </w:rPr>
              <w:t>0550-35195</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w:t>
            </w:r>
          </w:p>
          <w:p w14:paraId="02070346">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滁州市清流中路1401号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滁州市龙蟠大道109号房产大厦二楼</w:t>
            </w:r>
            <w:r>
              <w:rPr>
                <w:rFonts w:hint="eastAsia" w:ascii="宋体" w:hAnsi="宋体" w:eastAsia="宋体" w:cs="宋体"/>
                <w:color w:val="auto"/>
                <w:sz w:val="24"/>
                <w:highlight w:val="none"/>
                <w:u w:val="single"/>
              </w:rPr>
              <w:t>。</w:t>
            </w:r>
          </w:p>
        </w:tc>
      </w:tr>
      <w:tr w14:paraId="48B6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1" w:type="pct"/>
            <w:vAlign w:val="center"/>
          </w:tcPr>
          <w:p w14:paraId="5C6E9BBC">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854" w:type="pct"/>
            <w:vAlign w:val="center"/>
          </w:tcPr>
          <w:p w14:paraId="2A223740">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633" w:type="pct"/>
            <w:vAlign w:val="center"/>
          </w:tcPr>
          <w:p w14:paraId="24C49780">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46363159">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4E8D3055">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7770B327">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205EB0B">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6FA9A180">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35D97F78">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2ABFAE2F">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416365C7">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66EB7558">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68725A5E">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4D39951E">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8D6ED45">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FBD9112">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16664925">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33DD0B73">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634E0799">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b w:val="0"/>
                <w:color w:val="auto"/>
                <w:kern w:val="2"/>
                <w:sz w:val="24"/>
                <w:szCs w:val="24"/>
                <w:highlight w:val="none"/>
                <w:lang w:eastAsia="zh-CN"/>
              </w:rPr>
              <w:t>0512-58188516</w:t>
            </w:r>
            <w:r>
              <w:rPr>
                <w:rFonts w:hint="eastAsia" w:ascii="宋体" w:hAnsi="宋体" w:eastAsia="宋体" w:cs="宋体"/>
                <w:b w:val="0"/>
                <w:color w:val="auto"/>
                <w:kern w:val="2"/>
                <w:sz w:val="24"/>
                <w:szCs w:val="24"/>
                <w:highlight w:val="none"/>
              </w:rPr>
              <w:t>。</w:t>
            </w:r>
          </w:p>
          <w:p w14:paraId="3A3DEF4E">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668D1E7B">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3F2BE689">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FC872A0">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0325E215">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25769215">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4D2508DA">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092F1A50">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B346528">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7FE6CC33">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D8736A9">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E49DE0">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04685538">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C1A88D1">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61B613A0">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40" w:name="_Toc9427"/>
      <w:bookmarkStart w:id="41"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40"/>
      <w:bookmarkEnd w:id="41"/>
    </w:p>
    <w:p w14:paraId="167ABD8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1.采购人、采购代理机构及投标人</w:t>
      </w:r>
    </w:p>
    <w:p w14:paraId="67CFCBB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1.1采购人：是指依法开展政府采购活动的国家机关、事业单位、团体组织。</w:t>
      </w:r>
    </w:p>
    <w:p w14:paraId="285F1DF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1.2采购代理机构：是指集中采购机构或从事采购代理业务的社会中介机构。</w:t>
      </w:r>
    </w:p>
    <w:p w14:paraId="777B233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1.3政府采购监督管理部门：各级人民政府指定的有关部门依法履行与政府采购活动有关的监督管理职责。</w:t>
      </w:r>
    </w:p>
    <w:p w14:paraId="75AEC5E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3F31555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1.4.1具备《中华人民共和国政府采购法》第二十二条关于供应商条件的规定，遵守本项目采购人本级和上级财政部门政府采购的有关规定。</w:t>
      </w:r>
    </w:p>
    <w:p w14:paraId="17590F4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1.4.2以采购代理机构认可的方式获得了本项目的招标文件。</w:t>
      </w:r>
    </w:p>
    <w:p w14:paraId="2113A9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1.4.3若采购需求中写明允许采购进口产品，投标人应保证所投产品可履行合法报通关手续进入中国关境内。</w:t>
      </w:r>
    </w:p>
    <w:p w14:paraId="4F56BB2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若采购需求中未写明允许采购进口产品，如投标人所投产品为进口产品，其投标将被认定为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3CFED5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1.5若招标公告中允许联合体投标，对联合体规定如下：</w:t>
      </w:r>
    </w:p>
    <w:p w14:paraId="6B614A3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1.5.1两个以上供应商可以组成一个投标联合体，以一个投标人的身份投标。联合体投标的，招标文件获取手续由联合体中任一成员单位办理均可。</w:t>
      </w:r>
    </w:p>
    <w:p w14:paraId="78EB325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1.5.2联合体各方均应符合《中华人民共和国政府采购法》第二十二条规定的条件。</w:t>
      </w:r>
    </w:p>
    <w:p w14:paraId="2622181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1.5.3采购人根据采购项目对投标人的特殊要求，联合体中至少应当有一方符合相关规定。</w:t>
      </w:r>
    </w:p>
    <w:p w14:paraId="4EA6C2C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1.5.4联合体各方应签订联合协议，明确约定联合体各方承担的工作和相应的责任，并将联合协议作为投标文件的一部分提交。</w:t>
      </w:r>
    </w:p>
    <w:p w14:paraId="1B24207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1.5.5大中型企业、其他自然人、法人或者非法人组织与小型、微型企业组成联合体共同参加投标，联合协议中应写明小型、微型企业的协议合同金额占到联合协议投标总金额的比例。</w:t>
      </w:r>
    </w:p>
    <w:p w14:paraId="78D8E5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1.5.6联合体中有同类资质的供应商按照联合体分工承担相同工作的，应当按照资质等级较低的供应商确定资质等级。</w:t>
      </w:r>
    </w:p>
    <w:p w14:paraId="3689394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FCF76F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1.5.8对联合体投标的其他资格要求见申请人的资格要求。</w:t>
      </w:r>
    </w:p>
    <w:p w14:paraId="75C82AF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2.资金落实情况</w:t>
      </w:r>
    </w:p>
    <w:p w14:paraId="7844951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2.1本项目的采购人已获得足以支付本次招标后所签订的合同项下的资金。</w:t>
      </w:r>
    </w:p>
    <w:p w14:paraId="14688D7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2A3B481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不论投标的结果如何，投标人应承担所有与准备和参加投标有关的费用。</w:t>
      </w:r>
    </w:p>
    <w:p w14:paraId="46F700D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4.适用法律</w:t>
      </w:r>
    </w:p>
    <w:p w14:paraId="613DCA6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41ACB3F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5.招标文件构成</w:t>
      </w:r>
    </w:p>
    <w:p w14:paraId="57C6610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14:paraId="4A98406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14:paraId="0ECEAAA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30D249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E5463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评标方法和标准</w:t>
      </w:r>
    </w:p>
    <w:p w14:paraId="3B39B63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38DF6A9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56E7577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政府采购询问函和质疑函范本</w:t>
      </w:r>
    </w:p>
    <w:p w14:paraId="20D4FE5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5.2现场考察（</w:t>
      </w:r>
      <w:r>
        <w:rPr>
          <w:rFonts w:hint="eastAsia" w:ascii="宋体" w:hAnsi="宋体" w:eastAsia="宋体" w:cs="宋体"/>
          <w:bCs/>
          <w:color w:val="auto"/>
          <w:sz w:val="24"/>
          <w:szCs w:val="24"/>
          <w:highlight w:val="none"/>
        </w:rPr>
        <w:t>标前答疑会</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53763E4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5.3投标人应认真阅读招标文件所有的事项、格式、条款和技术规范等。</w:t>
      </w:r>
    </w:p>
    <w:p w14:paraId="67385E3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6.招标文件的澄清与修改</w:t>
      </w:r>
    </w:p>
    <w:p w14:paraId="68B1FCC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14:paraId="1DBF4E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39329FA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DB41650">
      <w:pPr>
        <w:spacing w:line="500" w:lineRule="exact"/>
        <w:ind w:left="-420" w:leftChars="-200" w:firstLine="436" w:firstLineChars="182"/>
        <w:jc w:val="left"/>
        <w:rPr>
          <w:rFonts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szCs w:val="24"/>
          <w:highlight w:val="none"/>
        </w:rPr>
        <w:t>。</w:t>
      </w:r>
    </w:p>
    <w:p w14:paraId="62B74F0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7.投标范围及投标文件中标准和计量单位的使用</w:t>
      </w:r>
    </w:p>
    <w:p w14:paraId="1E4328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7.1项目有分包的，投标人可对招标文件其中某一个或几个分包进行投标，除非在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中另有规定。</w:t>
      </w:r>
    </w:p>
    <w:p w14:paraId="454F3D7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97C27FE">
      <w:pPr>
        <w:spacing w:line="500" w:lineRule="exact"/>
        <w:ind w:left="-420" w:leftChars="-200" w:firstLine="436" w:firstLineChars="182"/>
        <w:jc w:val="left"/>
        <w:rPr>
          <w:rFonts w:ascii="宋体" w:hAnsi="宋体" w:eastAsia="宋体" w:cs="宋体"/>
          <w:color w:val="auto"/>
          <w:sz w:val="24"/>
          <w:szCs w:val="24"/>
          <w:highlight w:val="none"/>
        </w:rPr>
      </w:pPr>
      <w:bookmarkStart w:id="42" w:name="_Hlk16458980"/>
      <w:r>
        <w:rPr>
          <w:rFonts w:hint="eastAsia" w:ascii="宋体" w:hAnsi="宋体" w:eastAsia="宋体" w:cs="宋体"/>
          <w:color w:val="auto"/>
          <w:sz w:val="24"/>
          <w:szCs w:val="24"/>
          <w:highlight w:val="none"/>
        </w:rPr>
        <w:t>7.3无论招标文件中是否要求，投标人所投货物、服务及工程（如有）均应符合国家强制性标准。</w:t>
      </w:r>
    </w:p>
    <w:bookmarkEnd w:id="42"/>
    <w:p w14:paraId="72633D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1286D73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7.5除招标文件中有特殊要求外，投标文件中所使用的计量单位，应采用中华人民共和国法定计量单位。</w:t>
      </w:r>
    </w:p>
    <w:p w14:paraId="1F68A54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8.投标文件构成</w:t>
      </w:r>
    </w:p>
    <w:p w14:paraId="7A56E65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8.1投标人应完整地按招标文件提供的投标文件格式及要求编写投标文件，具体内容详见本项目投标文件格式的相关内容。</w:t>
      </w:r>
    </w:p>
    <w:p w14:paraId="1B55EE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8.2投标人应提交招标文件要求的证明文件，证明其投标内容符合招标文件规定，该证明文件是投标文件的一部分。证明文件形式可以是文字资料、图纸和数据</w:t>
      </w:r>
      <w:bookmarkStart w:id="43" w:name="_Hlk11703583"/>
      <w:r>
        <w:rPr>
          <w:rFonts w:hint="eastAsia" w:ascii="宋体" w:hAnsi="宋体" w:eastAsia="宋体" w:cs="宋体"/>
          <w:color w:val="auto"/>
          <w:sz w:val="24"/>
          <w:szCs w:val="24"/>
          <w:highlight w:val="none"/>
        </w:rPr>
        <w:t>等。</w:t>
      </w:r>
    </w:p>
    <w:bookmarkEnd w:id="43"/>
    <w:p w14:paraId="14796C7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8.3为保证公平公正，除非另有规定或说明，投标人对同一项目投标时，不得同时提供备选投标方案。</w:t>
      </w:r>
    </w:p>
    <w:p w14:paraId="257C4A1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9.投标报价</w:t>
      </w:r>
    </w:p>
    <w:p w14:paraId="210550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9.1投标人的报价应当包括满足本次招标全部采购需求。除招标文件另有规定外，所有投标均应以人民币报价。投标人的投标报价应遵守《中华人民共和国价格法》。</w:t>
      </w:r>
    </w:p>
    <w:p w14:paraId="59DCEC7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9.2投标人报价超过招标文件规定的预算金额或者分项、分包最高限价，其投标将被认定为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CA2F35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75F770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E8A2E6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9.5采购人不接受具有附加条件的报价。</w:t>
      </w:r>
    </w:p>
    <w:p w14:paraId="4EDAEC2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w:t>
      </w:r>
    </w:p>
    <w:p w14:paraId="06A004E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10.1本项目不收取投标保证金。</w:t>
      </w:r>
    </w:p>
    <w:p w14:paraId="6294111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11.投标有效期</w:t>
      </w:r>
    </w:p>
    <w:p w14:paraId="5205D2A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11.1投标有效期为从投标截止之日算起的日历天数，投标有效期详见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3495EED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B26286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3DCB56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12.投标文件的递交、修改与撤回</w:t>
      </w:r>
    </w:p>
    <w:p w14:paraId="37A90A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12.1投标人应当在招标公告规定的投标截止时间前，将加密的投标文件在电子交易系统上传。</w:t>
      </w:r>
    </w:p>
    <w:p w14:paraId="4308BE8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37311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13.开标</w:t>
      </w:r>
    </w:p>
    <w:p w14:paraId="1EDB7DD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规定的解密时间前对其投标文件进行解密。</w:t>
      </w:r>
    </w:p>
    <w:p w14:paraId="6E14FE2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13.2开标时，采购代理机构将通过网上开标系统公布开标结果，公布内容包括投标人名称、投标价格及招标文件规定的内容。</w:t>
      </w:r>
    </w:p>
    <w:p w14:paraId="4C8319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14:paraId="137541A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14:paraId="5405715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14.资格审查及组建评标委员会</w:t>
      </w:r>
    </w:p>
    <w:p w14:paraId="6700AE7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14.1采购人或采购代理机构依据法律法规和招标文件中规定的内容，对投标人资格进行审查，未通过资格审查的投标人不进入评标。</w:t>
      </w:r>
    </w:p>
    <w:p w14:paraId="6180718B">
      <w:pPr>
        <w:spacing w:line="500" w:lineRule="exact"/>
        <w:ind w:left="-420" w:leftChars="-200" w:firstLine="436" w:firstLineChars="182"/>
        <w:jc w:val="left"/>
        <w:rPr>
          <w:rFonts w:ascii="宋体" w:hAnsi="宋体" w:eastAsia="宋体" w:cs="宋体"/>
          <w:color w:val="auto"/>
          <w:sz w:val="24"/>
          <w:szCs w:val="24"/>
          <w:highlight w:val="none"/>
        </w:rPr>
      </w:pPr>
      <w:bookmarkStart w:id="44"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EDC6FE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9B6F9C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4"/>
    <w:p w14:paraId="402E9A03">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201048C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15.投标文件符合性审查与澄清</w:t>
      </w:r>
    </w:p>
    <w:p w14:paraId="6A67551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15.1符合性审查是指依据招标文件的规定，从投标文件的有效性和完整性对招标文件的响应程度进行审查，以确定是否对招标文件的实质性要求做出响应。</w:t>
      </w:r>
    </w:p>
    <w:p w14:paraId="3AEC25B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15.2投标文件的澄清</w:t>
      </w:r>
    </w:p>
    <w:p w14:paraId="0F16EBB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44A0BD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本项目采用远程开标，具体操作方法详见服务指南&gt;交易须知&gt;开标大厅远程解密、质疑(异议)及回复以及评标过程中询标流程操作手册。</w:t>
      </w:r>
    </w:p>
    <w:p w14:paraId="1A90B83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15.2.2投标人的澄清、说明或补正将作为投标文件的一部分。</w:t>
      </w:r>
    </w:p>
    <w:p w14:paraId="5701AD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15.2.3评标委员会对投标人提交的澄清、说明或补正有疑问的，可以要求投标人进一步澄清、说明或补正，直至满足评标委员会的要求。</w:t>
      </w:r>
    </w:p>
    <w:p w14:paraId="319ADD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15.3投标文件报价出现前后不一致的，按照下列规定修正：</w:t>
      </w:r>
    </w:p>
    <w:p w14:paraId="3E3445D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5CCADAB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68BF031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353723C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447F79C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同时出现两种以上不一致的，按照前款规定的顺序修正。修正后的报价按照第15.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条的规定经投标人确认后产生约束力，无论投标人是接受或是拒绝调整后的价格，都应当由投标人在系统中确认。投标人拒绝对投标文件出现的错漏按上述原则进行修正、澄清、说明，其投标将被认定为投标无效。</w:t>
      </w:r>
    </w:p>
    <w:p w14:paraId="35D5DCE5">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3AF1614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16.投标无效</w:t>
      </w:r>
    </w:p>
    <w:p w14:paraId="400D643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363A88B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评标委员会决定投标的响应性只根据招标文件要求和投标文件内容。</w:t>
      </w:r>
    </w:p>
    <w:p w14:paraId="0FD546C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无论何种原因，即使投标人投标时携带了证书材料的原件，但投标文件中未提供与之内容完全一致的扫描件的，评标委员会视同其未提供。</w:t>
      </w:r>
    </w:p>
    <w:p w14:paraId="10B3EA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16.2如发现下列情况之一的，其投标将被认定为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19568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14:paraId="4DF0432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w:t>
      </w:r>
    </w:p>
    <w:p w14:paraId="760E76C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（3）报价超过招标文件中规定的预算金额或者最高限价的；</w:t>
      </w:r>
    </w:p>
    <w:p w14:paraId="03CEFF3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（4）投标文件含有采购人不能接受的附加条件的；</w:t>
      </w:r>
    </w:p>
    <w:p w14:paraId="0DBDB7B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（5）法律、法规和招标文件规定的其他无效情形。</w:t>
      </w:r>
    </w:p>
    <w:p w14:paraId="7716ABA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17.比较与评价</w:t>
      </w:r>
    </w:p>
    <w:p w14:paraId="0DCCB6C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17.1经符合性审查合格的投标文件，评标委员会将根据招标文件确定的评标方法和标准，对其投标文件作进一步的比较与评价。</w:t>
      </w:r>
    </w:p>
    <w:p w14:paraId="58BCC72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17.2评标严格按照招标文件的要求和条件进行。根据实际情况，在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中规定采用下列评标方法，详细评标方法和标准见招标文件第四章：</w:t>
      </w:r>
    </w:p>
    <w:p w14:paraId="167654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（1）最低评标价法，是指投标文件满足招标文件全部实质性要求，且投标报价最低的投标人为中标候选人的评标方法。</w:t>
      </w:r>
    </w:p>
    <w:p w14:paraId="5CA67C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（2）综合评分法，是指投标文件满足招标文件全部实质性要求，且按照评审因素的量化指标评审得分最高的投标人为中标候选人的评标方法。</w:t>
      </w:r>
    </w:p>
    <w:p w14:paraId="597D225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中规定的标准扣除后的价格参与评审。对于同时属于小微企业、监狱企业或残疾人福利性单位的，不重复进行投标报价扣除。</w:t>
      </w:r>
    </w:p>
    <w:p w14:paraId="3D1EC5C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中规定的标准扣除后的价格参与评审。组成联合体或者接受分包的小微企业与联合体内其他企业、分包企业之间存在直接控股、管理关系的，不享受价格扣除优惠政策。</w:t>
      </w:r>
    </w:p>
    <w:p w14:paraId="3E0922B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391BA63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18.废标、重新招标与变更采购方式</w:t>
      </w:r>
    </w:p>
    <w:p w14:paraId="2E1040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18.1出现下列情形之一，将导致项目废标：</w:t>
      </w:r>
    </w:p>
    <w:p w14:paraId="22EA8BF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（1）符合专业条件的供应商或者对招标文件做实质性响应的供应商不足规定数量的；</w:t>
      </w:r>
    </w:p>
    <w:p w14:paraId="2DA64CD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CD5596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53C0687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4F79A02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18.2公开招标数额标准以上的采购项目，投标截止后投标人不足3家或者通过资格审查或符合性审查的投标人不足3家的，除采购任务取消情形外，按照以下方式处理：</w:t>
      </w:r>
    </w:p>
    <w:p w14:paraId="7180A6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（1）招标文件存在不合理条款或者招标程序不符合规定的，采购人、采购代理机构改正后依法重新招标；</w:t>
      </w:r>
    </w:p>
    <w:p w14:paraId="2ED628F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（2）招标文件没有不合理条款、招标程序符合规定，需要采用其他采购方式采购的，采购人应当依法报政府采购监督管理部门批准。</w:t>
      </w:r>
    </w:p>
    <w:p w14:paraId="6A5715C1">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19.保密要求</w:t>
      </w:r>
    </w:p>
    <w:p w14:paraId="16C93AC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19.1评标将在严格保密的情况下进行。</w:t>
      </w:r>
    </w:p>
    <w:p w14:paraId="4097CB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19.2有关人员应当遵守评标工作纪律，不得泄露评标文件、评标情况和评标中获悉的国家秘密、商业秘密。</w:t>
      </w:r>
    </w:p>
    <w:p w14:paraId="2213303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20.中标候选人的确定原则及标准</w:t>
      </w:r>
    </w:p>
    <w:p w14:paraId="336552D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20.1评标委员会依据本项目招标文件所约定的评标方法，对实质上响应招标文件的投标人按下列方法进行排序，确定中标候选人：</w:t>
      </w:r>
    </w:p>
    <w:p w14:paraId="1B249AC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3F178A9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4F2CE47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21.确定中标候选人和中标人</w:t>
      </w:r>
    </w:p>
    <w:p w14:paraId="40A3F70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21.1评标委员会将根据评标标准，按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中规定数量推荐中标候选人。</w:t>
      </w:r>
    </w:p>
    <w:p w14:paraId="2B0169A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中规定，由评标委员会或采购人确定中标人。</w:t>
      </w:r>
    </w:p>
    <w:p w14:paraId="3F97D6D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21.3因重大变故采购任务取消时，采购人有权拒绝任何投标人中标，且对受影响的投标人不承担任何责任。</w:t>
      </w:r>
    </w:p>
    <w:p w14:paraId="7D42D845">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22.编写评标报告</w:t>
      </w:r>
    </w:p>
    <w:p w14:paraId="44FC1EB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933D49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23.中标结果公告</w:t>
      </w:r>
    </w:p>
    <w:p w14:paraId="6A7E362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23.1除</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2AD897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23.2自中标人确定之日起2个工作日内，采购代理机构将在安徽省政府采购网（www.ccgp-anhui.gov.cn）</w:t>
      </w:r>
      <w:r>
        <w:rPr>
          <w:rFonts w:hint="eastAsia" w:ascii="宋体" w:hAnsi="宋体" w:eastAsia="宋体"/>
          <w:sz w:val="24"/>
          <w:szCs w:val="18"/>
        </w:rPr>
        <w:t>、滁州市公共资源交易中心网（http://ggzy.chuzhou.gov.cn /）</w:t>
      </w:r>
      <w:r>
        <w:rPr>
          <w:rFonts w:hint="eastAsia" w:ascii="宋体" w:hAnsi="宋体" w:eastAsia="宋体" w:cs="宋体"/>
          <w:color w:val="auto"/>
          <w:sz w:val="24"/>
          <w:szCs w:val="24"/>
          <w:highlight w:val="none"/>
        </w:rPr>
        <w:t>上发布中标结果公告。</w:t>
      </w:r>
    </w:p>
    <w:p w14:paraId="093AA4E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结果公告内容应当包括采购人及其委托的采购代理机构的名称、地址、联系方式，项目名称和项目编号，中标人名称、地址和中标金额，主要中标标的的名称、规格型号、数量、单价、服务要求、中标公告期限、评审专家名单以及投标人须知前附表中约定进行公告的内容。中标公告期限为1个工作日。</w:t>
      </w:r>
    </w:p>
    <w:p w14:paraId="0FB7603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24.中标通知书</w:t>
      </w:r>
    </w:p>
    <w:p w14:paraId="6DF641A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ascii="宋体" w:hAnsi="宋体" w:eastAsia="宋体"/>
          <w:color w:val="auto"/>
          <w:sz w:val="24"/>
          <w:highlight w:val="none"/>
        </w:rPr>
        <w:t>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中标通知书须加盖采购人、采购代理机构公章并经公共资源交易中心加盖见证章后，方可发出。</w:t>
      </w:r>
    </w:p>
    <w:p w14:paraId="0081DB6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24.2中标通知书对采购人和中标人具有同等法律效力。中标通知书发出以后，采购人改变中标结果或者中标人放弃中标，应当承担相应的法律责任。</w:t>
      </w:r>
    </w:p>
    <w:p w14:paraId="37953EE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24.3中标通知书是合同的组成部分。</w:t>
      </w:r>
    </w:p>
    <w:p w14:paraId="0B472871">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25.告知招标结果</w:t>
      </w:r>
    </w:p>
    <w:p w14:paraId="01B2628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25.1在公告中标结果的同时，采购代理机构同时以</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规定的形式告知未通过资格审查的投标人未通过的原因；采用综合评分法评审的，还将告知未中标人本人的评审得分和排序。</w:t>
      </w:r>
    </w:p>
    <w:p w14:paraId="437A5F2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26.履约保证金</w:t>
      </w:r>
    </w:p>
    <w:p w14:paraId="0A4981D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26.1中标人应按照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规定缴纳履约保证金。</w:t>
      </w:r>
    </w:p>
    <w:p w14:paraId="76762DB2">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26.2如果中标人没有按照上述履约保证金的规定执行，将视为放弃中标资格。在此情况下，采购人可确定下一中标候选人为中标人，也可以重新开展采购活动。</w:t>
      </w:r>
    </w:p>
    <w:p w14:paraId="5584B1E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27.签订合同</w:t>
      </w:r>
    </w:p>
    <w:p w14:paraId="43BA6EA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2A07A8B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27.2招标文件、中标人的投标文件及其澄清文件等，均为签订合同的依据。</w:t>
      </w:r>
    </w:p>
    <w:p w14:paraId="069141A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27.3中标人拒绝与采购人签订合同的，采购人可以按照评审报告推荐的中标候选人名单排序，确定下一中标候选人为中标人，也可以重新开展政府采购活动。</w:t>
      </w:r>
    </w:p>
    <w:p w14:paraId="3D8333F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27.4依据《政府采购促进中小企业发展管理办法》（财库〔2020〕46号）规定享受扶持政策获得政府采购合同的，小微企业不得将合同分包给大中型企业，中型企业不得将合同分包给大型企业。</w:t>
      </w:r>
    </w:p>
    <w:p w14:paraId="28633E35">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28.代理费用</w:t>
      </w:r>
    </w:p>
    <w:p w14:paraId="12A6DDD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28.1本项目代理费用的收取按</w:t>
      </w:r>
      <w:r>
        <w:rPr>
          <w:rFonts w:hint="eastAsia" w:ascii="宋体" w:hAnsi="宋体" w:eastAsia="宋体" w:cs="宋体"/>
          <w:color w:val="auto"/>
          <w:sz w:val="24"/>
          <w:szCs w:val="24"/>
          <w:highlight w:val="none"/>
          <w:u w:val="single"/>
        </w:rPr>
        <w:t>投标人须知前附表的</w:t>
      </w:r>
      <w:r>
        <w:rPr>
          <w:rFonts w:hint="eastAsia" w:ascii="宋体" w:hAnsi="宋体" w:eastAsia="宋体" w:cs="宋体"/>
          <w:color w:val="auto"/>
          <w:sz w:val="24"/>
          <w:szCs w:val="24"/>
          <w:highlight w:val="none"/>
        </w:rPr>
        <w:t>规定执行。</w:t>
      </w:r>
    </w:p>
    <w:p w14:paraId="2BB9B619">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5" w:name="_Toc518923100"/>
      <w:bookmarkStart w:id="46" w:name="_Toc2583661"/>
      <w:r>
        <w:rPr>
          <w:rFonts w:hint="eastAsia" w:ascii="宋体" w:hAnsi="宋体" w:eastAsia="宋体" w:cs="宋体"/>
          <w:b/>
          <w:color w:val="auto"/>
          <w:sz w:val="24"/>
          <w:szCs w:val="24"/>
          <w:highlight w:val="none"/>
        </w:rPr>
        <w:t>29.廉洁自律规定</w:t>
      </w:r>
      <w:bookmarkEnd w:id="45"/>
      <w:bookmarkEnd w:id="46"/>
    </w:p>
    <w:p w14:paraId="266F458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29.1采购代理机构工作人员不得以不正当手段获取政府采购代理业务，不得与采购人、供应商恶意串通。</w:t>
      </w:r>
    </w:p>
    <w:p w14:paraId="34A4725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29.2采购代理机构工作人员不得接受采购人或者供应商组织的宴请、旅游、娱乐，不得收受礼品、现金、有价证券等，不得向采购人或者供应商报销应当由个人承担的费用。</w:t>
      </w:r>
    </w:p>
    <w:p w14:paraId="5AA8292A">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7" w:name="_Toc518923101"/>
      <w:bookmarkStart w:id="48" w:name="_Toc2583662"/>
      <w:r>
        <w:rPr>
          <w:rFonts w:hint="eastAsia" w:ascii="宋体" w:hAnsi="宋体" w:eastAsia="宋体" w:cs="宋体"/>
          <w:b/>
          <w:color w:val="auto"/>
          <w:sz w:val="24"/>
          <w:szCs w:val="24"/>
          <w:highlight w:val="none"/>
        </w:rPr>
        <w:t>30.人员回避</w:t>
      </w:r>
      <w:bookmarkEnd w:id="47"/>
      <w:bookmarkEnd w:id="48"/>
    </w:p>
    <w:p w14:paraId="5A8EECC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2AA0321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31.质疑的提出与接收</w:t>
      </w:r>
    </w:p>
    <w:p w14:paraId="76F984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E1F35C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C071EE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31.3采购代理机构质疑函接收部门、联系电话和通讯地址，见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FE219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注：上述条款中所要求的书面形式包含通过电子交易系统递交方式。</w:t>
      </w:r>
    </w:p>
    <w:p w14:paraId="288DB2E5">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2BE74EEC">
      <w:pPr>
        <w:keepNext w:val="0"/>
        <w:keepLines w:val="0"/>
        <w:pageBreakBefore w:val="0"/>
        <w:widowControl w:val="0"/>
        <w:kinsoku/>
        <w:wordWrap w:val="0"/>
        <w:overflowPunct/>
        <w:topLinePunct w:val="0"/>
        <w:autoSpaceDE/>
        <w:autoSpaceDN/>
        <w:bidi w:val="0"/>
        <w:adjustRightInd/>
        <w:snapToGrid/>
        <w:spacing w:line="500" w:lineRule="exact"/>
        <w:ind w:left="-420" w:leftChars="-200" w:firstLine="436" w:firstLineChars="18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30D06D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C0F938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4F5EA90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7EB166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AA35D6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5F16269">
      <w:pPr>
        <w:numPr>
          <w:ilvl w:val="0"/>
          <w:numId w:val="3"/>
        </w:num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49" w:name="_Toc22605"/>
      <w:r>
        <w:rPr>
          <w:rFonts w:hint="eastAsia" w:asciiTheme="minorEastAsia" w:hAnsiTheme="minorEastAsia" w:eastAsiaTheme="minorEastAsia"/>
          <w:b/>
          <w:color w:val="auto"/>
          <w:sz w:val="28"/>
          <w:highlight w:val="none"/>
        </w:rPr>
        <w:t>采购需求</w:t>
      </w:r>
      <w:bookmarkEnd w:id="49"/>
    </w:p>
    <w:p w14:paraId="75781011">
      <w:pPr>
        <w:keepNext w:val="0"/>
        <w:keepLines w:val="0"/>
        <w:pageBreakBefore w:val="0"/>
        <w:widowControl w:val="0"/>
        <w:kinsoku/>
        <w:wordWrap/>
        <w:overflowPunct/>
        <w:topLinePunct w:val="0"/>
        <w:autoSpaceDE/>
        <w:autoSpaceDN/>
        <w:bidi w:val="0"/>
        <w:adjustRightInd/>
        <w:snapToGrid/>
        <w:spacing w:line="500" w:lineRule="exact"/>
        <w:ind w:left="-420" w:leftChars="-20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14:paraId="5171694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70744AF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77FC79B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35DFE67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E0A9C3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1C2CA70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rPr>
      </w:pPr>
      <w:bookmarkStart w:id="50" w:name="_Toc21798"/>
      <w:bookmarkStart w:id="51" w:name="_Toc4148"/>
      <w:bookmarkStart w:id="52" w:name="_Hlk23621890"/>
      <w:r>
        <w:rPr>
          <w:rFonts w:hint="eastAsia" w:ascii="宋体" w:hAnsi="宋体" w:eastAsia="宋体" w:cs="宋体"/>
          <w:b/>
          <w:color w:val="auto"/>
          <w:sz w:val="24"/>
          <w:szCs w:val="24"/>
          <w:highlight w:val="none"/>
        </w:rPr>
        <w:t>一、采购需求前附表</w:t>
      </w:r>
      <w:bookmarkEnd w:id="50"/>
      <w:bookmarkEnd w:id="51"/>
    </w:p>
    <w:tbl>
      <w:tblPr>
        <w:tblStyle w:val="31"/>
        <w:tblW w:w="55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20"/>
        <w:gridCol w:w="7519"/>
      </w:tblGrid>
      <w:tr w14:paraId="7463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5" w:type="pct"/>
            <w:vAlign w:val="center"/>
          </w:tcPr>
          <w:p w14:paraId="2D7A93D4">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802" w:type="pct"/>
            <w:vAlign w:val="center"/>
          </w:tcPr>
          <w:p w14:paraId="49A18451">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722" w:type="pct"/>
            <w:vAlign w:val="center"/>
          </w:tcPr>
          <w:p w14:paraId="0C71BBBF">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7EAF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475" w:type="pct"/>
            <w:vAlign w:val="center"/>
          </w:tcPr>
          <w:p w14:paraId="59AC0D90">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802" w:type="pct"/>
            <w:vAlign w:val="center"/>
          </w:tcPr>
          <w:p w14:paraId="3AD1C13D">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center"/>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付款方式</w:t>
            </w:r>
          </w:p>
        </w:tc>
        <w:tc>
          <w:tcPr>
            <w:tcW w:w="3722" w:type="pct"/>
            <w:vAlign w:val="center"/>
          </w:tcPr>
          <w:p w14:paraId="4D4E51B2">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物业服务费按月支付。隔月15日前支付本月度物业服务费；当月考核85分（含）以上全额支付月度物业服务费，低于85分（不含），每少1分按月度物业服务费的1%扣除（不足1分的按1分计取）；当月考核低于80分（不含80分）（不含物业进场后前2月），采购人将下达限期整改通知，整改期限不超过一个月，若整改仍不合格的终止合同。</w:t>
            </w:r>
          </w:p>
        </w:tc>
      </w:tr>
      <w:tr w14:paraId="7B6A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pct"/>
            <w:vAlign w:val="center"/>
          </w:tcPr>
          <w:p w14:paraId="3CAFA8FC">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802" w:type="pct"/>
            <w:vAlign w:val="center"/>
          </w:tcPr>
          <w:p w14:paraId="2E0076CD">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722" w:type="pct"/>
            <w:vAlign w:val="center"/>
          </w:tcPr>
          <w:p w14:paraId="7EEDE9D6">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滁州市第二人民医院东区、西区，采购人指定地点。</w:t>
            </w:r>
          </w:p>
        </w:tc>
      </w:tr>
      <w:tr w14:paraId="1178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5" w:type="pct"/>
            <w:vAlign w:val="center"/>
          </w:tcPr>
          <w:p w14:paraId="08FE1E99">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802" w:type="pct"/>
            <w:vAlign w:val="center"/>
          </w:tcPr>
          <w:p w14:paraId="538A669F">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722" w:type="pct"/>
            <w:vAlign w:val="center"/>
          </w:tcPr>
          <w:p w14:paraId="31D5618F">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服务期三年，合同一年一签。</w:t>
            </w:r>
          </w:p>
          <w:p w14:paraId="38198627">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服务期限内采购人按照考核办法对中标人进行量化考核，月度考核低于80分（不含80分）（不含物业进场后前2月）且整改仍不合格的，不再续签合同。</w:t>
            </w:r>
          </w:p>
        </w:tc>
      </w:tr>
      <w:tr w14:paraId="7A36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75" w:type="pct"/>
            <w:vAlign w:val="center"/>
          </w:tcPr>
          <w:p w14:paraId="42D963DD">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p>
        </w:tc>
        <w:tc>
          <w:tcPr>
            <w:tcW w:w="802" w:type="pct"/>
            <w:vAlign w:val="center"/>
          </w:tcPr>
          <w:p w14:paraId="32D79FD3">
            <w:pPr>
              <w:pStyle w:val="5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本项目采购标的名称及所属行业</w:t>
            </w:r>
          </w:p>
        </w:tc>
        <w:tc>
          <w:tcPr>
            <w:tcW w:w="3722" w:type="pct"/>
            <w:vAlign w:val="center"/>
          </w:tcPr>
          <w:p w14:paraId="03E688DE">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val="en-US" w:eastAsia="zh-CN"/>
              </w:rPr>
              <w:t>滁州市第二人民医院物业管理服务项目</w:t>
            </w:r>
          </w:p>
          <w:p w14:paraId="43BBBCA4">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物业管理</w:t>
            </w:r>
          </w:p>
        </w:tc>
      </w:tr>
    </w:tbl>
    <w:p w14:paraId="11FE934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bookmarkStart w:id="53" w:name="_Toc8753"/>
      <w:bookmarkStart w:id="54" w:name="_Toc16543"/>
      <w:bookmarkStart w:id="55" w:name="_Hlk16461016"/>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End w:id="52"/>
      <w:bookmarkEnd w:id="53"/>
      <w:bookmarkEnd w:id="54"/>
      <w:bookmarkEnd w:id="55"/>
      <w:r>
        <w:rPr>
          <w:rFonts w:hint="eastAsia" w:ascii="宋体" w:hAnsi="宋体" w:eastAsia="宋体" w:cs="宋体"/>
          <w:b/>
          <w:color w:val="auto"/>
          <w:sz w:val="24"/>
          <w:szCs w:val="24"/>
          <w:highlight w:val="none"/>
        </w:rPr>
        <w:t>项目概况及需求</w:t>
      </w:r>
    </w:p>
    <w:p w14:paraId="1D3B013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bookmarkStart w:id="56" w:name="_Toc30824"/>
      <w:r>
        <w:rPr>
          <w:rFonts w:hint="eastAsia" w:ascii="宋体" w:hAnsi="宋体" w:eastAsia="宋体" w:cs="宋体"/>
          <w:color w:val="auto"/>
          <w:sz w:val="24"/>
          <w:szCs w:val="24"/>
          <w:highlight w:val="none"/>
          <w:lang w:val="en-US" w:eastAsia="zh-CN"/>
        </w:rPr>
        <w:t>（一）项目概况及服务范围</w:t>
      </w:r>
    </w:p>
    <w:p w14:paraId="30B57DA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概况：滁州市第二人民医院于2015年8月在原市第一人民医院传染和精神两个病区的基础上组建，2016年1月正式运行，2018年6月被省卫健委批设为二级精神专科医院，系滁州市精神卫生中心、市心理危机干预中心、结核和艾滋病定点医院，承担全市精神卫生、心理健康、传染病防治、预防免疫接种等公共卫生职能。</w:t>
      </w:r>
    </w:p>
    <w:p w14:paraId="2173945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位于滁州市清流中路1399号-1401号，市二院总占地面积140亩，建筑面积95000平方米，设置床位450张，实际开放床位800张左右，其中东区传染病院区占地面积约50亩，总建筑面积43821.8平方米，绿化面积为11285.4平方米，地上地下停车位约为406个，医院大楼分别为：门诊医技楼及地下车库、后勤楼、综合楼及地下车库、传染科住院综合楼；西区神病院区占地面积90亩（其中30亩为农疗场地），总建筑面积51000平米，绿化面积13854.75平方米，地下地上停车位约450左右，院区分为：门诊康复楼、封闭病房楼、开放病房楼、行政后勤楼、医疗垃圾暂存点、风雨连廊（详细情况请现场踏勘，项目概况以现场实际情况为准。）</w:t>
      </w:r>
    </w:p>
    <w:p w14:paraId="3268694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范围：滁州市第二人民医院东区和西区的后勤全方位一体化服务，含卫生保洁（主要包括：室内外所有部位、门前广场、清除杂草、垃圾等）、垃圾清运等）、安保及秩序维护（主要包括：停车场车辆秩序管理，室内、外秩序维护管理，夜间值班巡逻，消防、监控、安全等）、设备设施保洁维护（主要包括：标的物内外所有设备设施及建筑物日常维护、巡查、值守等）、会议服务（主要包括：会议室的日常保洁、会议服务、音响调试等）、医疗辅助(导医、预约、陪检、运送等)、停车管理、陪护工管理、设立保洁用品消洗中心等。</w:t>
      </w:r>
    </w:p>
    <w:p w14:paraId="5D7DD11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（二）物业管理服务内容及相关要求</w:t>
      </w:r>
    </w:p>
    <w:p w14:paraId="0A56121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1.物业管理服务内容</w:t>
      </w:r>
    </w:p>
    <w:p w14:paraId="44D8025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卫生保洁。主要包括：标的物总建筑面积内的所有保洁、车库、病房、诊室、医护办公室、会议室、清除杂草、垃圾、硬化部位等，雨棚、内外墙面、灯具、标识标牌、楼顶、露天阳台、边角区域及行政办公楼的公共部位、院区内的电梯、地下室、光伏板。多重耐药菌感染病人，必须保证每日至少二次对该病室病人及家属所接触到的部位进行清洁消毒，包括地面、1.5米以下墙壁、门把手、传呼器按钮、水龙头、窗栏、床头柜等的定期清洗以及病房、办公室、会议室等窗帘、隔帘一季度一次的拆卸及安装。生活和医疗垃圾桶定期清洁，遇有血液等污染及时清洁消毒。病人出院床单位及使用的水瓶等清洁消毒。病区内微波炉的清洁及医院增加的需要保洁的各类设备和物品。</w:t>
      </w:r>
    </w:p>
    <w:p w14:paraId="67BAB41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（2）安保及秩序维护。主要包括：车辆秩序管理；全院医疗秩序维护管理；纠纷现场保卫；夜间值班巡逻，消防、监控、安全等。</w:t>
      </w:r>
    </w:p>
    <w:p w14:paraId="0AFCFF7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设施维护。主要包括：标的物内外所有设备设施及建筑物日常巡查、巡检等。电梯、空调等设备设施由厂家或专业维保公司维修、维保的，物业人员要协助、督促厂家或专业维保公司做好维修、维保工作。</w:t>
      </w:r>
    </w:p>
    <w:p w14:paraId="1D96CD3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（4）会议服务。主要包括：会议室的日常保洁、会议服务、音响调试等。做好会议茶水供应，按采购人要求配合做好文具用品摆放、横幅悬挂、引导服务、设备调试使用等工作。</w:t>
      </w:r>
    </w:p>
    <w:p w14:paraId="3BEAA12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医疗辅助。主要包括：导医、收费、护理、预约、陪检、运送等。协助患者家属一起陪同患者检查和治疗。协助护士长请领物品，病房开水充、送，生活垃圾、医疗垃圾收集和运送，标本收集，被服运送、药品、大配方车、盐水输液、压缩气瓶、其他批量物品的运送，卫生材料、文件及单据（包括所有检查单、报告单、摄片资料等）的报送，手术患者的接送，行动不便病人的搬运（担架或轮椅运输）等。</w:t>
      </w:r>
    </w:p>
    <w:p w14:paraId="7DE44D9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（6）停车管理。主要包括：整个院区的车辆进出、停放管理等。</w:t>
      </w:r>
    </w:p>
    <w:p w14:paraId="2AF54DD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（7）工程类服务。主要包括下水管道堵塞疏通工作，日常对故障报修处理工作。每天对高低压配电房、换热站、充电桩等巡查工作和日常保洁。</w:t>
      </w:r>
    </w:p>
    <w:p w14:paraId="1C99093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陪护工管理。陪护工人员必须按照政府相关文件规定及采购人要求实施服务，并按。一切因陪护工引起的任何纠纷、索赔包括法院判由采购人承担连带责任的赔偿等均由中标人全权承担，与采购人无任何关系。</w:t>
      </w:r>
    </w:p>
    <w:p w14:paraId="554B292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（9）物业服务管理信息化技术要求：</w:t>
      </w:r>
    </w:p>
    <w:p w14:paraId="537836F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建立科学有效的现代医院后勤管理制度、建立规范高效的医院后勤运行机制，包括但不限于：运用物业服务管理软件，对综合物业各工种相应工作流程进行追踪管理、工作量考核、数据统计和反映评价等，清晰反映采购人对中标人的服务满意度情况。 </w:t>
      </w:r>
    </w:p>
    <w:p w14:paraId="78508D5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②物业服务管理软件基本功能：包含医院保洁信息管理软件、医院保安信息管理软件、设施设备维修信息管理软件、医疗废物管理软件、运送服务管理软件。（软件关键字与以上内容实质性相同即可）</w:t>
      </w:r>
    </w:p>
    <w:p w14:paraId="4330F36B">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③软件系统的维护：全天应急响应，支持远程协助或现场维护。 </w:t>
      </w:r>
    </w:p>
    <w:p w14:paraId="1BCC9C7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中标人须确保本项目所使用的软件平台、数据库等第三方产品均为合法获得，所有软件无版权纠纷，对因此可能引发的相关法律责任，由中标人全部承担。服务期限内，中标人负责物业服务管理软件系统的维护。上述费用均包含在合同价中，采购人不再另行支付费用。</w:t>
      </w:r>
    </w:p>
    <w:p w14:paraId="26756E8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⑤服务期限内，中标人负责物业服务管理软件系统的维护，服务期限届满后采购人拥有该软件系统的使用权。</w:t>
      </w:r>
    </w:p>
    <w:p w14:paraId="2C7D114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p w14:paraId="3053B372">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（1）卫生保洁服务要求</w:t>
      </w:r>
    </w:p>
    <w:p w14:paraId="59D7C64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应根据医院各科室的特点，必须提供必要的保洁服务，使其拥有一个整洁、舒适、安静、安全的治疗环境，同时针对医院的特殊环境及各个不同的服务区域制定防止交叉感染、消毒隔离制度和工作标准、作业流程。规范医疗区、病房区、公共部分等的保洁工作，确保卫生良好、环境整洁，符合相关保洁、消毒标准。生活垃圾的收集、清运无害化处理；全院污水井、雨水井等下水道清淤、疏通及无害化处理、管道疏通；清除杂草、垃圾；另外，做好预防隐蔽性和活动性虫害，如消杀老鼠、蟑螂、蚊子、苍蝇等。并设立保洁用品消洗中心。</w:t>
      </w:r>
    </w:p>
    <w:p w14:paraId="7BA4335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1.2工作岗位职责：</w:t>
      </w:r>
    </w:p>
    <w:p w14:paraId="0C8F1C8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所有住院病房、门诊、诊室、电梯厅、通道、楼梯、等候区、卫生间、开水间、护士站、医护值班室、行政办公楼的公共部分及其它用房地面、墙面、天花板、门窗玻璃、门及门窗框，墙壁附体、办公家具、设备，普通机器（如空调表面及过滤网、电梯表面及沟槽、电视机等，下同）、病床、床头柜等表面，病区推车去线条上油及规定的消毒要求。病区内微波炉的清洁及医院增加的需要保洁的各类设备和物品。</w:t>
      </w:r>
    </w:p>
    <w:p w14:paraId="6B33B18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②大楼周边道路等公共场所的日常卫生保洁、垃圾整理收集和清运。</w:t>
      </w:r>
    </w:p>
    <w:p w14:paraId="47B092E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病房、办公室、会议室等窗帘、隔帘一季度一次的拆卸及安装；行政办公楼的公共部分、楼道、楼梯、卫生间及其他用房地面、墙面、天花板、门窗玻璃、门及门窗框，墙壁附体、办公家具、设备（包括电脑、打印机、传真机等），桌面简单整理，大厅、水磨石楼梯及若干科室的PVC地板按科室使用情况清洁和上蜡（投标人需说明上蜡频率及种类，如投标人有更合理的方案，有利于维护院方的物业的，可以作相应的方案，价格列入报价组成中）；门诊、病房等墙上的抛光砖每半年清洁上蜡一次，医疗区域推车轮去线条及上油。病人出院水瓶及床单位的终末清洁消毒空气消毒机整体清洁、消毒以及过滤网的定期清洗。多重耐药菌感染病人，必须保证每日至少二次对该病室病人及家属所接触到的部位进行清洁消毒，包括地面、1.5米以下墙壁、门把手、传呼器按钮、水龙头、窗栏、床头柜等生活和医疗垃圾桶定期清洁，遇有血液等污染及时清洁消毒。病人出院床单位及使用的水平等清洁消毒。地面清洁时及时摆放防滑提醒标牌。</w:t>
      </w:r>
      <w:r>
        <w:rPr>
          <w:rFonts w:hint="eastAsia" w:ascii="宋体" w:hAnsi="宋体" w:eastAsia="宋体" w:cs="宋体"/>
          <w:color w:val="auto"/>
          <w:sz w:val="24"/>
          <w:szCs w:val="24"/>
          <w:highlight w:val="none"/>
          <w:lang w:val="en-US" w:eastAsia="zh-CN"/>
        </w:rPr>
        <w:tab/>
      </w:r>
    </w:p>
    <w:p w14:paraId="162A58B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④负责卫生间的清洁用品（如洗手液、卫生球等）的更换；卫生间坐便器的清洁消毒，拖把用后清洗消毒、悬挂。</w:t>
      </w:r>
    </w:p>
    <w:p w14:paraId="2EF646D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⑤制定办公区公共部位消杀制度，定期灭除害虫。</w:t>
      </w:r>
    </w:p>
    <w:p w14:paraId="44AF722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⑥外墙面（含玻璃幕墙）整体保洁每年1次。5米以上内墙面到顶、窗台、横梁及玻璃幕墙整体保洁每年1次。</w:t>
      </w:r>
    </w:p>
    <w:p w14:paraId="62901E72">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⑦全院污水井、雨水井、化油池、化粪池、污水沉淀池等下水道清淤、疏通及无害化处理、沙井疏通养护、管道疏通。</w:t>
      </w:r>
    </w:p>
    <w:p w14:paraId="1BB915C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⑧绿地清洁率95%，没有枯枝、枯叶、杂草、废弃物等。</w:t>
      </w:r>
    </w:p>
    <w:p w14:paraId="4564E3E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⑨因管理因素造成人身伤害或由此引发的其它事故，由中标人承担全部责任。</w:t>
      </w:r>
    </w:p>
    <w:p w14:paraId="5904B99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各类垃圾运到规定的地方，再将垃圾从本院运到垃圾转运站（包括垃圾处理站），所有转运费用由中标人承担，病区、卫生间不得堆积垃圾，对专用运送垃圾器具进行维护。政府收取的垃圾处理费用由采购人承担。如医院院感管理方面的服务内容发生变化，中标人需要无条件配合完成发生变化的内容（采购人不另支付费用）。</w:t>
      </w:r>
    </w:p>
    <w:p w14:paraId="50459E8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1.4医疗垃圾清运服务范围</w:t>
      </w:r>
    </w:p>
    <w:p w14:paraId="153FF212">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①负责招标范围院区内所有临床、医技科室医疗垃圾的收集、计量、交接登记工作并运送至医疗垃圾暂存点；每日上午、下午各一次（若运送时间有变化，按要求执行）。</w:t>
      </w:r>
    </w:p>
    <w:p w14:paraId="6FAEAB6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②负责医疗垃圾暂存点及垃圾车的管理、交接登记和清洁、消毒工作。</w:t>
      </w:r>
    </w:p>
    <w:p w14:paraId="3EE2BD2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1.5医疗垃圾清运服务要求</w:t>
      </w:r>
    </w:p>
    <w:p w14:paraId="1FA1D5B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①医疗垃圾是指从各临床科室、医技科室在医疗服务中产生的医疗废物。医疗垃圾应集中处理，达到清洁环境，减少污染，防止感染，确保健康。</w:t>
      </w:r>
    </w:p>
    <w:p w14:paraId="4A6A04B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②严格执行医院临床废物管理的有关制度及消毒隔离措施。</w:t>
      </w:r>
    </w:p>
    <w:p w14:paraId="63ABE4A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③工作人员要做好自身防护，戴口罩、手套，用消毒液浸泡等。如因不慎发生意外，将由中标人自行负责。</w:t>
      </w:r>
    </w:p>
    <w:p w14:paraId="5B972D5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④坚持每日用带盖车，上、下午各一次到各科室收集医疗垃圾，并与科室做好详细登记，特殊科室的特殊收集（若运送时间有变化，按要求执行）。</w:t>
      </w:r>
    </w:p>
    <w:p w14:paraId="54D1A58B">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⑤收集医用垃圾的车辆不允许停留在餐车、开水间及人员密集的区域，不允许在走廊停留时间太长（不超过10分钟），要做到快收快走以减少对环境污染的机会。</w:t>
      </w:r>
    </w:p>
    <w:p w14:paraId="24395C7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⑥收集医疗垃圾的车辆，上下行走时必须走污物梯。</w:t>
      </w:r>
    </w:p>
    <w:p w14:paraId="7063B30B">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⑦黄色垃圾袋标志的是装医疗垃圾，每次收医疗垃圾要装袋密封存放车内，如有渗漏则必须重新补套一个垃圾袋。</w:t>
      </w:r>
    </w:p>
    <w:p w14:paraId="40D7976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⑧医疗垃圾存放点及垃圾车应坚持每天用消毒液刷洗消毒，医疗垃圾暂存点要有危险废物警告标识。</w:t>
      </w:r>
    </w:p>
    <w:p w14:paraId="4380FBE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⑨医疗垃圾专用箱存放于垃圾房内，医疗垃圾存放时间不能超过2天。</w:t>
      </w:r>
    </w:p>
    <w:p w14:paraId="4A2E14F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⑩督促各科室将生活垃圾与医用垃圾分开专桶存放。回收垃圾每天应有分类登记。</w:t>
      </w:r>
    </w:p>
    <w:p w14:paraId="5433C5D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1.6生活垃圾清运服务范围</w:t>
      </w:r>
    </w:p>
    <w:p w14:paraId="61F8D01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①负责招标范围院区内的所有临床、医技科室、行政办公等生活垃圾的收集、运送至垃圾暂存点并按照环保要求及时将生活垃圾运出院外，费用由中标人自行承担；</w:t>
      </w:r>
    </w:p>
    <w:p w14:paraId="2F7F0F6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②负责垃圾暂存点及垃圾车的管理、交接登记和清洁、消毒工作。</w:t>
      </w:r>
    </w:p>
    <w:p w14:paraId="79A5823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1.7生活垃圾清运服务要求</w:t>
      </w:r>
    </w:p>
    <w:p w14:paraId="4D6F8E1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制定生活垃圾管理的规章制度、分类收集、运送与暂存工作流程和意外事故的应急方案，定期对员工进行业务培训并参加医院组织的相关知识的培训。生活垃圾用黑色袋装，使用合格的包装物、容器，使用的污物袋应坚韧耐用、不漏水。</w:t>
      </w:r>
    </w:p>
    <w:p w14:paraId="757E2CC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②生活垃圾应集中处理，达到清洁环境，减少污染。</w:t>
      </w:r>
    </w:p>
    <w:p w14:paraId="6D80D15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③坚持每日用带盖车，上、下午各一次到全院收集生活垃圾。</w:t>
      </w:r>
    </w:p>
    <w:p w14:paraId="1EF18BB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④收集垃圾的车辆不允许停留在餐车、开水间及人员密集的区域，不允许在走廊停留时间太长（不超过10分钟），要做到快收快走以减少对环境污染的机会。</w:t>
      </w:r>
    </w:p>
    <w:p w14:paraId="3AC538B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⑤收集垃圾的车辆，上下行走时必须走污物梯，绝不允许走客梯。</w:t>
      </w:r>
    </w:p>
    <w:p w14:paraId="412D295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⑥垃圾存放于垃圾房内，垃圾存放时间不能超过1天。</w:t>
      </w:r>
    </w:p>
    <w:p w14:paraId="6A1A1AE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⑦督促各科室将生活垃圾与医用垃圾分开专桶存放。回收垃圾每天应有分类登记。指定专人每日定时、定点、按规定路线运送。严禁将生活垃圾混入医疗废物其他废物。</w:t>
      </w:r>
    </w:p>
    <w:p w14:paraId="34C84F1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⑧垃圾处理达标及时率100%，垃圾按规范要求分类收集、包装、储存、运输、确保不发生污染环境。</w:t>
      </w:r>
    </w:p>
    <w:p w14:paraId="24576A8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1.8环境消毒消杀</w:t>
      </w:r>
    </w:p>
    <w:p w14:paraId="31E0DBE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1.8.1环境消毒消杀服务范围</w:t>
      </w:r>
    </w:p>
    <w:p w14:paraId="7D37136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①蚊、蝇、灭鼠、孳生物消杀；</w:t>
      </w:r>
    </w:p>
    <w:p w14:paraId="1836EE1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②楼道、过道检查及消杀；</w:t>
      </w:r>
    </w:p>
    <w:p w14:paraId="210BDEF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③办公室、病房刷洗及消毒；</w:t>
      </w:r>
    </w:p>
    <w:p w14:paraId="7846AA9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④共用卫生间、雨污管井的检查及消杀；</w:t>
      </w:r>
    </w:p>
    <w:p w14:paraId="00A3DC3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⑤电梯及电梯厅检查及消毒；</w:t>
      </w:r>
    </w:p>
    <w:p w14:paraId="6DE7108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⑥做好相关资料保管备查。</w:t>
      </w:r>
    </w:p>
    <w:p w14:paraId="53833E2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1.8.2环境消毒消杀服务要求</w:t>
      </w:r>
    </w:p>
    <w:p w14:paraId="21F0E2F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①根据上级要求制定消杀计划，编制《卫生消毒消杀标准》，对清洁人员进行培训考核，合格方允许上岗；</w:t>
      </w:r>
    </w:p>
    <w:p w14:paraId="080AC07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②夏季等蚊、蝇、孳生季节每周消杀1次，其他根据季节和当地情况制定具体计划；</w:t>
      </w:r>
    </w:p>
    <w:p w14:paraId="75A7A12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③每季度进行1次灭鼠，确保操作人员和物业使用人安全，有切实可行措施，不干扰使用人正常生活；</w:t>
      </w:r>
    </w:p>
    <w:p w14:paraId="32B008E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④绿化带、地下室等科室的检查及消杀；</w:t>
      </w:r>
    </w:p>
    <w:p w14:paraId="762E093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⑤共用卫生间检查及消杀；</w:t>
      </w:r>
    </w:p>
    <w:p w14:paraId="07557E0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⑥电梯及电梯厅检查及消毒；</w:t>
      </w:r>
    </w:p>
    <w:p w14:paraId="1F8BD15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⑦根据实际情况合理对其他公共部位消毒消杀。</w:t>
      </w:r>
    </w:p>
    <w:p w14:paraId="729E983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1.8.3消毒工作原则：清洁区、半污染区和污染区应分别进行常规清洁、消毒处理。清洁区和污染区的消毒要求、方法和重点有所不同，若清洁区与污染区无明显界限，按污染区处理。</w:t>
      </w:r>
    </w:p>
    <w:p w14:paraId="0F41AB5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1.8.4各种物体表面的清洁和消毒工作要求见下表：</w:t>
      </w:r>
    </w:p>
    <w:tbl>
      <w:tblPr>
        <w:tblStyle w:val="31"/>
        <w:tblW w:w="8955" w:type="dxa"/>
        <w:jc w:val="center"/>
        <w:tblLayout w:type="fixed"/>
        <w:tblCellMar>
          <w:top w:w="0" w:type="dxa"/>
          <w:left w:w="0" w:type="dxa"/>
          <w:bottom w:w="0" w:type="dxa"/>
          <w:right w:w="0" w:type="dxa"/>
        </w:tblCellMar>
      </w:tblPr>
      <w:tblGrid>
        <w:gridCol w:w="722"/>
        <w:gridCol w:w="2014"/>
        <w:gridCol w:w="2013"/>
        <w:gridCol w:w="1552"/>
        <w:gridCol w:w="2654"/>
      </w:tblGrid>
      <w:tr w14:paraId="0B0A6529">
        <w:tblPrEx>
          <w:tblCellMar>
            <w:top w:w="0" w:type="dxa"/>
            <w:left w:w="0" w:type="dxa"/>
            <w:bottom w:w="0" w:type="dxa"/>
            <w:right w:w="0" w:type="dxa"/>
          </w:tblCellMar>
        </w:tblPrEx>
        <w:trPr>
          <w:trHeight w:val="860" w:hRule="atLeast"/>
          <w:jc w:val="center"/>
        </w:trPr>
        <w:tc>
          <w:tcPr>
            <w:tcW w:w="72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A6AEA91">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总项</w:t>
            </w:r>
          </w:p>
        </w:tc>
        <w:tc>
          <w:tcPr>
            <w:tcW w:w="20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3B9F0E7">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分项</w:t>
            </w:r>
          </w:p>
        </w:tc>
        <w:tc>
          <w:tcPr>
            <w:tcW w:w="201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2A9F0DE">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处理原则</w:t>
            </w:r>
          </w:p>
        </w:tc>
        <w:tc>
          <w:tcPr>
            <w:tcW w:w="15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9906CF6">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内容标准</w:t>
            </w:r>
          </w:p>
        </w:tc>
        <w:tc>
          <w:tcPr>
            <w:tcW w:w="265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04DD6C5">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清洁和消毒周期</w:t>
            </w:r>
          </w:p>
        </w:tc>
      </w:tr>
      <w:tr w14:paraId="2043B4FC">
        <w:tblPrEx>
          <w:tblCellMar>
            <w:top w:w="0" w:type="dxa"/>
            <w:left w:w="0" w:type="dxa"/>
            <w:bottom w:w="0" w:type="dxa"/>
            <w:right w:w="0" w:type="dxa"/>
          </w:tblCellMar>
        </w:tblPrEx>
        <w:trPr>
          <w:trHeight w:val="791" w:hRule="atLeast"/>
          <w:jc w:val="center"/>
        </w:trPr>
        <w:tc>
          <w:tcPr>
            <w:tcW w:w="722"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91549DF">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地面</w:t>
            </w:r>
          </w:p>
        </w:tc>
        <w:tc>
          <w:tcPr>
            <w:tcW w:w="20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1FF7525">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无明显污染</w:t>
            </w:r>
          </w:p>
        </w:tc>
        <w:tc>
          <w:tcPr>
            <w:tcW w:w="201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E3BE8D6">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湿式清扫，及时清理保洁</w:t>
            </w:r>
          </w:p>
        </w:tc>
        <w:tc>
          <w:tcPr>
            <w:tcW w:w="1552"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8696ECA">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清洁</w:t>
            </w:r>
          </w:p>
        </w:tc>
        <w:tc>
          <w:tcPr>
            <w:tcW w:w="2654"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56FCD32">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适时清理</w:t>
            </w:r>
          </w:p>
        </w:tc>
      </w:tr>
      <w:tr w14:paraId="45A42CA1">
        <w:tblPrEx>
          <w:tblCellMar>
            <w:top w:w="0" w:type="dxa"/>
            <w:left w:w="0" w:type="dxa"/>
            <w:bottom w:w="0" w:type="dxa"/>
            <w:right w:w="0" w:type="dxa"/>
          </w:tblCellMar>
        </w:tblPrEx>
        <w:trPr>
          <w:trHeight w:val="142"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top"/>
          </w:tcPr>
          <w:p w14:paraId="4FB88909">
            <w:pPr>
              <w:rPr>
                <w:rFonts w:hint="eastAsia" w:ascii="宋体" w:hAnsi="宋体" w:eastAsia="宋体" w:cs="宋体"/>
                <w:szCs w:val="21"/>
              </w:rPr>
            </w:pPr>
          </w:p>
        </w:tc>
        <w:tc>
          <w:tcPr>
            <w:tcW w:w="20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D11B454">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受到污染</w:t>
            </w:r>
          </w:p>
        </w:tc>
        <w:tc>
          <w:tcPr>
            <w:tcW w:w="201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9FB4ED2">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消毒溶液擦洗</w:t>
            </w:r>
          </w:p>
        </w:tc>
        <w:tc>
          <w:tcPr>
            <w:tcW w:w="1552" w:type="dxa"/>
            <w:vMerge w:val="continue"/>
            <w:tcBorders>
              <w:top w:val="single" w:color="000000" w:sz="4" w:space="0"/>
              <w:left w:val="single" w:color="000000" w:sz="4" w:space="0"/>
              <w:bottom w:val="single" w:color="000000" w:sz="4" w:space="0"/>
              <w:right w:val="single" w:color="000000" w:sz="4" w:space="0"/>
            </w:tcBorders>
            <w:noWrap w:val="0"/>
            <w:vAlign w:val="top"/>
          </w:tcPr>
          <w:p w14:paraId="62E0706D">
            <w:pPr>
              <w:rPr>
                <w:rFonts w:hint="eastAsia" w:ascii="宋体" w:hAnsi="宋体" w:eastAsia="宋体" w:cs="宋体"/>
                <w:szCs w:val="21"/>
              </w:rPr>
            </w:pPr>
          </w:p>
        </w:tc>
        <w:tc>
          <w:tcPr>
            <w:tcW w:w="2654" w:type="dxa"/>
            <w:vMerge w:val="continue"/>
            <w:tcBorders>
              <w:top w:val="single" w:color="000000" w:sz="4" w:space="0"/>
              <w:left w:val="single" w:color="000000" w:sz="4" w:space="0"/>
              <w:bottom w:val="single" w:color="000000" w:sz="4" w:space="0"/>
              <w:right w:val="single" w:color="000000" w:sz="4" w:space="0"/>
            </w:tcBorders>
            <w:noWrap w:val="0"/>
            <w:vAlign w:val="top"/>
          </w:tcPr>
          <w:p w14:paraId="3F67605A">
            <w:pPr>
              <w:rPr>
                <w:rFonts w:hint="eastAsia" w:ascii="宋体" w:hAnsi="宋体" w:eastAsia="宋体" w:cs="宋体"/>
                <w:szCs w:val="21"/>
              </w:rPr>
            </w:pPr>
          </w:p>
        </w:tc>
      </w:tr>
      <w:tr w14:paraId="1CE44511">
        <w:tblPrEx>
          <w:tblCellMar>
            <w:top w:w="0" w:type="dxa"/>
            <w:left w:w="0" w:type="dxa"/>
            <w:bottom w:w="0" w:type="dxa"/>
            <w:right w:w="0" w:type="dxa"/>
          </w:tblCellMar>
        </w:tblPrEx>
        <w:trPr>
          <w:trHeight w:val="398" w:hRule="atLeast"/>
          <w:jc w:val="center"/>
        </w:trPr>
        <w:tc>
          <w:tcPr>
            <w:tcW w:w="72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4D06CF6">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墙面</w:t>
            </w:r>
          </w:p>
        </w:tc>
        <w:tc>
          <w:tcPr>
            <w:tcW w:w="20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9A0F2E8">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同上</w:t>
            </w:r>
          </w:p>
        </w:tc>
        <w:tc>
          <w:tcPr>
            <w:tcW w:w="201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1CBBAFC">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清水或消毒液</w:t>
            </w:r>
          </w:p>
        </w:tc>
        <w:tc>
          <w:tcPr>
            <w:tcW w:w="15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6D3590A">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同上</w:t>
            </w:r>
          </w:p>
        </w:tc>
        <w:tc>
          <w:tcPr>
            <w:tcW w:w="265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F8117B2">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1次/周</w:t>
            </w:r>
          </w:p>
        </w:tc>
      </w:tr>
      <w:tr w14:paraId="4CC3C40D">
        <w:tblPrEx>
          <w:tblCellMar>
            <w:top w:w="0" w:type="dxa"/>
            <w:left w:w="0" w:type="dxa"/>
            <w:bottom w:w="0" w:type="dxa"/>
            <w:right w:w="0" w:type="dxa"/>
          </w:tblCellMar>
        </w:tblPrEx>
        <w:trPr>
          <w:trHeight w:val="797" w:hRule="atLeast"/>
          <w:jc w:val="center"/>
        </w:trPr>
        <w:tc>
          <w:tcPr>
            <w:tcW w:w="72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831805A">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室内物品表面</w:t>
            </w:r>
          </w:p>
        </w:tc>
        <w:tc>
          <w:tcPr>
            <w:tcW w:w="20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DAF9BCC">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办公用品</w:t>
            </w:r>
          </w:p>
          <w:p w14:paraId="2E14152C">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病区用品</w:t>
            </w:r>
          </w:p>
        </w:tc>
        <w:tc>
          <w:tcPr>
            <w:tcW w:w="201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D7A5B0C">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湿式清洁或消毒液</w:t>
            </w:r>
          </w:p>
        </w:tc>
        <w:tc>
          <w:tcPr>
            <w:tcW w:w="15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E03B7A0">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清洁，防止病原菌扩散100%</w:t>
            </w:r>
          </w:p>
        </w:tc>
        <w:tc>
          <w:tcPr>
            <w:tcW w:w="265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F0631C3">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1-2次/日</w:t>
            </w:r>
          </w:p>
        </w:tc>
      </w:tr>
      <w:tr w14:paraId="06588B6A">
        <w:tblPrEx>
          <w:tblCellMar>
            <w:top w:w="0" w:type="dxa"/>
            <w:left w:w="0" w:type="dxa"/>
            <w:bottom w:w="0" w:type="dxa"/>
            <w:right w:w="0" w:type="dxa"/>
          </w:tblCellMar>
        </w:tblPrEx>
        <w:trPr>
          <w:trHeight w:val="557" w:hRule="atLeast"/>
          <w:jc w:val="center"/>
        </w:trPr>
        <w:tc>
          <w:tcPr>
            <w:tcW w:w="722"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DE55CB">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其他物品表面</w:t>
            </w:r>
          </w:p>
        </w:tc>
        <w:tc>
          <w:tcPr>
            <w:tcW w:w="20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8E408BE">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门把手、水龙头、门窗、洗手池等</w:t>
            </w:r>
          </w:p>
        </w:tc>
        <w:tc>
          <w:tcPr>
            <w:tcW w:w="201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9293AE1">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保持清洁</w:t>
            </w:r>
          </w:p>
          <w:p w14:paraId="284F85FF">
            <w:pPr>
              <w:tabs>
                <w:tab w:val="center" w:pos="4153"/>
              </w:tabs>
              <w:spacing w:before="100" w:beforeAutospacing="1" w:after="100" w:afterAutospacing="1" w:line="440" w:lineRule="exact"/>
              <w:jc w:val="left"/>
              <w:rPr>
                <w:rFonts w:hint="eastAsia" w:ascii="宋体" w:hAnsi="宋体" w:eastAsia="宋体" w:cs="宋体"/>
                <w:szCs w:val="21"/>
              </w:rPr>
            </w:pPr>
          </w:p>
        </w:tc>
        <w:tc>
          <w:tcPr>
            <w:tcW w:w="1552"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013E2F6">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同清洁标准</w:t>
            </w:r>
          </w:p>
        </w:tc>
        <w:tc>
          <w:tcPr>
            <w:tcW w:w="265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DD27A57">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消毒1次/日，保持适时清理</w:t>
            </w:r>
          </w:p>
        </w:tc>
      </w:tr>
      <w:tr w14:paraId="1923BCED">
        <w:tblPrEx>
          <w:tblCellMar>
            <w:top w:w="0" w:type="dxa"/>
            <w:left w:w="0" w:type="dxa"/>
            <w:bottom w:w="0" w:type="dxa"/>
            <w:right w:w="0" w:type="dxa"/>
          </w:tblCellMar>
        </w:tblPrEx>
        <w:trPr>
          <w:trHeight w:val="142" w:hRule="atLeast"/>
          <w:jc w:val="center"/>
        </w:trPr>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7BA71">
            <w:pPr>
              <w:rPr>
                <w:rFonts w:hint="eastAsia" w:ascii="宋体" w:hAnsi="宋体" w:eastAsia="宋体" w:cs="宋体"/>
                <w:szCs w:val="21"/>
              </w:rPr>
            </w:pPr>
          </w:p>
        </w:tc>
        <w:tc>
          <w:tcPr>
            <w:tcW w:w="20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43A81D6">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公共卫生间、便池</w:t>
            </w:r>
          </w:p>
        </w:tc>
        <w:tc>
          <w:tcPr>
            <w:tcW w:w="201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75A0DA0">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随时清洁</w:t>
            </w:r>
          </w:p>
        </w:tc>
        <w:tc>
          <w:tcPr>
            <w:tcW w:w="1552" w:type="dxa"/>
            <w:vMerge w:val="continue"/>
            <w:tcBorders>
              <w:top w:val="single" w:color="000000" w:sz="4" w:space="0"/>
              <w:left w:val="single" w:color="000000" w:sz="4" w:space="0"/>
              <w:bottom w:val="single" w:color="000000" w:sz="4" w:space="0"/>
              <w:right w:val="single" w:color="000000" w:sz="4" w:space="0"/>
            </w:tcBorders>
            <w:noWrap w:val="0"/>
            <w:vAlign w:val="top"/>
          </w:tcPr>
          <w:p w14:paraId="146C6EC3">
            <w:pPr>
              <w:rPr>
                <w:rFonts w:hint="eastAsia" w:ascii="宋体" w:hAnsi="宋体" w:eastAsia="宋体" w:cs="宋体"/>
                <w:szCs w:val="21"/>
              </w:rPr>
            </w:pPr>
          </w:p>
        </w:tc>
        <w:tc>
          <w:tcPr>
            <w:tcW w:w="265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673317C">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消毒1次/日，保持适时清理</w:t>
            </w:r>
          </w:p>
        </w:tc>
      </w:tr>
      <w:tr w14:paraId="6DABCD33">
        <w:tblPrEx>
          <w:tblCellMar>
            <w:top w:w="0" w:type="dxa"/>
            <w:left w:w="0" w:type="dxa"/>
            <w:bottom w:w="0" w:type="dxa"/>
            <w:right w:w="0" w:type="dxa"/>
          </w:tblCellMar>
        </w:tblPrEx>
        <w:trPr>
          <w:trHeight w:val="142" w:hRule="atLeast"/>
          <w:jc w:val="center"/>
        </w:trPr>
        <w:tc>
          <w:tcPr>
            <w:tcW w:w="8955"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662F97">
            <w:pPr>
              <w:tabs>
                <w:tab w:val="center" w:pos="4153"/>
              </w:tabs>
              <w:spacing w:before="100" w:beforeAutospacing="1" w:after="100" w:afterAutospacing="1" w:line="440" w:lineRule="exact"/>
              <w:jc w:val="left"/>
              <w:rPr>
                <w:rFonts w:hint="eastAsia" w:ascii="宋体" w:hAnsi="宋体" w:eastAsia="宋体" w:cs="宋体"/>
                <w:szCs w:val="21"/>
              </w:rPr>
            </w:pPr>
            <w:r>
              <w:rPr>
                <w:rFonts w:hint="eastAsia" w:ascii="宋体" w:hAnsi="宋体" w:eastAsia="宋体" w:cs="宋体"/>
                <w:szCs w:val="21"/>
              </w:rPr>
              <w:t>随时清洁、循环清洁，保证区域内无垃圾等目视污物，整体干净明亮。根据院感要求进行消毒。保洁员在每天下班前半小时对各自承包区域进行自查，发现问题及时处理。</w:t>
            </w:r>
          </w:p>
        </w:tc>
      </w:tr>
    </w:tbl>
    <w:p w14:paraId="2959BA6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1.9完成委托方交办的其它工作。</w:t>
      </w:r>
    </w:p>
    <w:p w14:paraId="5BAE91E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定期接受医院感染管理科进行的医院感染知识培训，掌握基本的环境清洁消毒、医疗废物管理、职业防护、手卫生知识和技能，准确配制消毒液、清洁剂，正确使用手套，严禁戴污染手套触摸电梯按钮等。</w:t>
      </w:r>
    </w:p>
    <w:p w14:paraId="58617C9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1.10保洁要求标准见下表：</w:t>
      </w:r>
    </w:p>
    <w:tbl>
      <w:tblPr>
        <w:tblStyle w:val="31"/>
        <w:tblW w:w="9060" w:type="dxa"/>
        <w:tblInd w:w="-131" w:type="dxa"/>
        <w:tblLayout w:type="fixed"/>
        <w:tblCellMar>
          <w:top w:w="0" w:type="dxa"/>
          <w:left w:w="0" w:type="dxa"/>
          <w:bottom w:w="0" w:type="dxa"/>
          <w:right w:w="0" w:type="dxa"/>
        </w:tblCellMar>
      </w:tblPr>
      <w:tblGrid>
        <w:gridCol w:w="1729"/>
        <w:gridCol w:w="1406"/>
        <w:gridCol w:w="2805"/>
        <w:gridCol w:w="1896"/>
        <w:gridCol w:w="1224"/>
      </w:tblGrid>
      <w:tr w14:paraId="192AA958">
        <w:tblPrEx>
          <w:tblCellMar>
            <w:top w:w="0" w:type="dxa"/>
            <w:left w:w="0" w:type="dxa"/>
            <w:bottom w:w="0" w:type="dxa"/>
            <w:right w:w="0" w:type="dxa"/>
          </w:tblCellMar>
        </w:tblPrEx>
        <w:trPr>
          <w:trHeight w:val="373" w:hRule="atLeast"/>
        </w:trPr>
        <w:tc>
          <w:tcPr>
            <w:tcW w:w="1729" w:type="dxa"/>
            <w:tcBorders>
              <w:top w:val="single" w:color="000000" w:sz="12" w:space="0"/>
              <w:left w:val="single" w:color="000000" w:sz="12" w:space="0"/>
              <w:bottom w:val="single" w:color="000000" w:sz="4" w:space="0"/>
              <w:right w:val="single" w:color="000000" w:sz="4" w:space="0"/>
            </w:tcBorders>
            <w:noWrap w:val="0"/>
            <w:tcMar>
              <w:left w:w="108" w:type="dxa"/>
              <w:right w:w="108" w:type="dxa"/>
            </w:tcMar>
            <w:vAlign w:val="center"/>
          </w:tcPr>
          <w:p w14:paraId="7DD8B86D">
            <w:pPr>
              <w:tabs>
                <w:tab w:val="left" w:pos="0"/>
                <w:tab w:val="left" w:pos="540"/>
              </w:tabs>
              <w:spacing w:line="440" w:lineRule="exact"/>
              <w:ind w:left="440" w:hanging="440"/>
              <w:jc w:val="center"/>
              <w:rPr>
                <w:rFonts w:hint="eastAsia" w:ascii="宋体" w:hAnsi="宋体" w:eastAsia="宋体" w:cs="宋体"/>
                <w:szCs w:val="21"/>
              </w:rPr>
            </w:pPr>
            <w:r>
              <w:rPr>
                <w:rFonts w:hint="eastAsia" w:ascii="宋体" w:hAnsi="宋体" w:eastAsia="宋体" w:cs="宋体"/>
                <w:szCs w:val="21"/>
              </w:rPr>
              <w:t>区域</w:t>
            </w:r>
          </w:p>
        </w:tc>
        <w:tc>
          <w:tcPr>
            <w:tcW w:w="1406" w:type="dxa"/>
            <w:tcBorders>
              <w:top w:val="single" w:color="000000" w:sz="12" w:space="0"/>
              <w:left w:val="single" w:color="000000" w:sz="4" w:space="0"/>
              <w:bottom w:val="single" w:color="000000" w:sz="4" w:space="0"/>
              <w:right w:val="single" w:color="000000" w:sz="4" w:space="0"/>
            </w:tcBorders>
            <w:noWrap w:val="0"/>
            <w:tcMar>
              <w:left w:w="108" w:type="dxa"/>
              <w:right w:w="108" w:type="dxa"/>
            </w:tcMar>
            <w:vAlign w:val="center"/>
          </w:tcPr>
          <w:p w14:paraId="6959F0E0">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保洁频率</w:t>
            </w:r>
          </w:p>
        </w:tc>
        <w:tc>
          <w:tcPr>
            <w:tcW w:w="2805" w:type="dxa"/>
            <w:tcBorders>
              <w:top w:val="single" w:color="000000" w:sz="12" w:space="0"/>
              <w:left w:val="single" w:color="000000" w:sz="4" w:space="0"/>
              <w:bottom w:val="single" w:color="000000" w:sz="4" w:space="0"/>
              <w:right w:val="single" w:color="000000" w:sz="4" w:space="0"/>
            </w:tcBorders>
            <w:noWrap w:val="0"/>
            <w:tcMar>
              <w:left w:w="108" w:type="dxa"/>
              <w:right w:w="108" w:type="dxa"/>
            </w:tcMar>
            <w:vAlign w:val="center"/>
          </w:tcPr>
          <w:p w14:paraId="108377D0">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保洁内容</w:t>
            </w:r>
          </w:p>
        </w:tc>
        <w:tc>
          <w:tcPr>
            <w:tcW w:w="1896" w:type="dxa"/>
            <w:tcBorders>
              <w:top w:val="single" w:color="000000" w:sz="12" w:space="0"/>
              <w:left w:val="single" w:color="000000" w:sz="4" w:space="0"/>
              <w:bottom w:val="single" w:color="000000" w:sz="4" w:space="0"/>
              <w:right w:val="single" w:color="000000" w:sz="4" w:space="0"/>
            </w:tcBorders>
            <w:noWrap w:val="0"/>
            <w:tcMar>
              <w:left w:w="108" w:type="dxa"/>
              <w:right w:w="108" w:type="dxa"/>
            </w:tcMar>
            <w:vAlign w:val="center"/>
          </w:tcPr>
          <w:p w14:paraId="3C78484E">
            <w:pPr>
              <w:tabs>
                <w:tab w:val="left" w:pos="0"/>
                <w:tab w:val="left" w:pos="540"/>
              </w:tabs>
              <w:spacing w:line="440" w:lineRule="exact"/>
              <w:ind w:left="440" w:hanging="440"/>
              <w:jc w:val="center"/>
              <w:rPr>
                <w:rFonts w:hint="eastAsia" w:ascii="宋体" w:hAnsi="宋体" w:eastAsia="宋体" w:cs="宋体"/>
                <w:szCs w:val="21"/>
              </w:rPr>
            </w:pPr>
            <w:r>
              <w:rPr>
                <w:rFonts w:hint="eastAsia" w:ascii="宋体" w:hAnsi="宋体" w:eastAsia="宋体" w:cs="宋体"/>
                <w:szCs w:val="21"/>
              </w:rPr>
              <w:t>保洁要求</w:t>
            </w:r>
          </w:p>
        </w:tc>
        <w:tc>
          <w:tcPr>
            <w:tcW w:w="1224" w:type="dxa"/>
            <w:tcBorders>
              <w:top w:val="single" w:color="000000" w:sz="12" w:space="0"/>
              <w:left w:val="single" w:color="000000" w:sz="4" w:space="0"/>
              <w:bottom w:val="single" w:color="000000" w:sz="4" w:space="0"/>
              <w:right w:val="single" w:color="000000" w:sz="12" w:space="0"/>
            </w:tcBorders>
            <w:noWrap w:val="0"/>
            <w:tcMar>
              <w:left w:w="108" w:type="dxa"/>
              <w:right w:w="108" w:type="dxa"/>
            </w:tcMar>
            <w:vAlign w:val="center"/>
          </w:tcPr>
          <w:p w14:paraId="32808895">
            <w:pPr>
              <w:tabs>
                <w:tab w:val="left" w:pos="0"/>
                <w:tab w:val="left" w:pos="540"/>
              </w:tabs>
              <w:spacing w:line="440" w:lineRule="exact"/>
              <w:ind w:left="440" w:hanging="440"/>
              <w:jc w:val="center"/>
              <w:rPr>
                <w:rFonts w:hint="eastAsia" w:ascii="宋体" w:hAnsi="宋体" w:eastAsia="宋体" w:cs="宋体"/>
                <w:szCs w:val="21"/>
              </w:rPr>
            </w:pPr>
            <w:r>
              <w:rPr>
                <w:rFonts w:hint="eastAsia" w:ascii="宋体" w:hAnsi="宋体" w:eastAsia="宋体" w:cs="宋体"/>
                <w:szCs w:val="21"/>
              </w:rPr>
              <w:t>备注</w:t>
            </w:r>
          </w:p>
        </w:tc>
      </w:tr>
      <w:tr w14:paraId="39039A9A">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7181AAFA">
            <w:pPr>
              <w:tabs>
                <w:tab w:val="left" w:pos="0"/>
                <w:tab w:val="left" w:pos="540"/>
              </w:tabs>
              <w:spacing w:line="440" w:lineRule="exact"/>
              <w:ind w:left="440" w:hanging="440"/>
              <w:jc w:val="center"/>
              <w:rPr>
                <w:rFonts w:hint="eastAsia" w:ascii="宋体" w:hAnsi="宋体" w:eastAsia="宋体" w:cs="宋体"/>
                <w:szCs w:val="21"/>
              </w:rPr>
            </w:pPr>
            <w:r>
              <w:rPr>
                <w:rFonts w:hint="eastAsia" w:ascii="宋体" w:hAnsi="宋体" w:eastAsia="宋体" w:cs="宋体"/>
                <w:szCs w:val="21"/>
              </w:rPr>
              <w:t>地面</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C0F32D">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地面每日清扫三次，每月清洗一次，有垃圾及时清理</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DDBE45">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每日用全能清洁剂溶液拖地每日不少于三次。其中一次消毒液拖地。</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C9A46D">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地面无污渍、无痰迹、无垃圾、无积灰、无脚印，干净明亮</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45B86BB6">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PVC地板、花岗岩、抛光砖等地面按规定时间上蜡</w:t>
            </w:r>
          </w:p>
        </w:tc>
      </w:tr>
      <w:tr w14:paraId="4BF50040">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35EA5B6C">
            <w:pPr>
              <w:tabs>
                <w:tab w:val="left" w:pos="0"/>
                <w:tab w:val="left" w:pos="540"/>
              </w:tabs>
              <w:spacing w:line="440" w:lineRule="exact"/>
              <w:ind w:left="440" w:hanging="440"/>
              <w:jc w:val="center"/>
              <w:rPr>
                <w:rFonts w:hint="eastAsia" w:ascii="宋体" w:hAnsi="宋体" w:eastAsia="宋体" w:cs="宋体"/>
                <w:szCs w:val="21"/>
              </w:rPr>
            </w:pPr>
            <w:r>
              <w:rPr>
                <w:rFonts w:hint="eastAsia" w:ascii="宋体" w:hAnsi="宋体" w:eastAsia="宋体" w:cs="宋体"/>
                <w:szCs w:val="21"/>
              </w:rPr>
              <w:t>墙面</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EE2612">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每日保洁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923CD0">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lang w:val="en-US" w:eastAsia="zh-CN"/>
              </w:rPr>
              <w:t>1.5</w:t>
            </w:r>
            <w:r>
              <w:rPr>
                <w:rFonts w:hint="eastAsia" w:ascii="宋体" w:hAnsi="宋体" w:eastAsia="宋体" w:cs="宋体"/>
                <w:szCs w:val="21"/>
              </w:rPr>
              <w:t>米以下每日清洁</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D0FE7">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无污渍、无水迹、无浮灰、无蜘蛛网</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6D31ED64">
            <w:pPr>
              <w:tabs>
                <w:tab w:val="left" w:pos="0"/>
                <w:tab w:val="left" w:pos="540"/>
              </w:tabs>
              <w:spacing w:line="440" w:lineRule="exact"/>
              <w:ind w:left="440" w:hanging="440"/>
              <w:jc w:val="center"/>
              <w:rPr>
                <w:rFonts w:hint="eastAsia" w:ascii="宋体" w:hAnsi="宋体" w:eastAsia="宋体" w:cs="宋体"/>
                <w:szCs w:val="21"/>
              </w:rPr>
            </w:pPr>
          </w:p>
        </w:tc>
      </w:tr>
      <w:tr w14:paraId="17B48CC1">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5EB62612">
            <w:pPr>
              <w:keepNext w:val="0"/>
              <w:keepLines w:val="0"/>
              <w:pageBreakBefore w:val="0"/>
              <w:widowControl w:val="0"/>
              <w:tabs>
                <w:tab w:val="left" w:pos="0"/>
                <w:tab w:val="left" w:pos="540"/>
              </w:tabs>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szCs w:val="21"/>
              </w:rPr>
            </w:pPr>
            <w:r>
              <w:rPr>
                <w:rFonts w:hint="eastAsia" w:ascii="宋体" w:hAnsi="宋体" w:eastAsia="宋体" w:cs="宋体"/>
                <w:szCs w:val="21"/>
              </w:rPr>
              <w:t>外墙面（含玻璃幕墙、含玻璃雨棚）整体保洁</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2463D7">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每年度一次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24C01F">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整体清洁</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E829D3">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无污渍、无水迹、无浮灰、无蜘蛛网、玻璃明亮光洁</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49E7D675">
            <w:pPr>
              <w:tabs>
                <w:tab w:val="left" w:pos="0"/>
                <w:tab w:val="left" w:pos="540"/>
              </w:tabs>
              <w:spacing w:line="440" w:lineRule="exact"/>
              <w:ind w:left="440" w:hanging="440"/>
              <w:jc w:val="center"/>
              <w:rPr>
                <w:rFonts w:hint="eastAsia" w:ascii="宋体" w:hAnsi="宋体" w:eastAsia="宋体" w:cs="宋体"/>
                <w:szCs w:val="21"/>
              </w:rPr>
            </w:pPr>
          </w:p>
        </w:tc>
      </w:tr>
      <w:tr w14:paraId="710772CE">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38D0ABCC">
            <w:pPr>
              <w:spacing w:line="440" w:lineRule="exact"/>
              <w:jc w:val="center"/>
              <w:rPr>
                <w:rFonts w:hint="eastAsia" w:ascii="宋体" w:hAnsi="宋体" w:eastAsia="宋体" w:cs="宋体"/>
                <w:szCs w:val="21"/>
              </w:rPr>
            </w:pPr>
            <w:r>
              <w:rPr>
                <w:rFonts w:hint="eastAsia" w:ascii="宋体" w:hAnsi="宋体" w:eastAsia="宋体" w:cs="宋体"/>
                <w:szCs w:val="21"/>
              </w:rPr>
              <w:t>走廊扶手</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9E977C">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每日保洁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B7513">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每日用消毒液檫洗一次</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90B763">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无污渍、无浮灰、无水迹、无烟蒂</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3A5367E9">
            <w:pPr>
              <w:tabs>
                <w:tab w:val="left" w:pos="0"/>
                <w:tab w:val="left" w:pos="540"/>
              </w:tabs>
              <w:spacing w:line="440" w:lineRule="exact"/>
              <w:ind w:left="440" w:hanging="440"/>
              <w:jc w:val="center"/>
              <w:rPr>
                <w:rFonts w:hint="eastAsia" w:ascii="宋体" w:hAnsi="宋体" w:eastAsia="宋体" w:cs="宋体"/>
                <w:szCs w:val="21"/>
              </w:rPr>
            </w:pPr>
          </w:p>
        </w:tc>
      </w:tr>
      <w:tr w14:paraId="567C040C">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4265F626">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玻璃</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DBDA71">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每周保洁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F1622C">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用玻璃清洁剂溶液清洁玻璃，每周一次，室内玻璃循环清洁</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B96ACB">
            <w:pPr>
              <w:spacing w:line="440" w:lineRule="exact"/>
              <w:jc w:val="center"/>
              <w:rPr>
                <w:rFonts w:hint="eastAsia" w:ascii="宋体" w:hAnsi="宋体" w:eastAsia="宋体" w:cs="宋体"/>
                <w:szCs w:val="21"/>
              </w:rPr>
            </w:pPr>
            <w:r>
              <w:rPr>
                <w:rFonts w:hint="eastAsia" w:ascii="宋体" w:hAnsi="宋体" w:eastAsia="宋体" w:cs="宋体"/>
                <w:szCs w:val="21"/>
              </w:rPr>
              <w:t>玻璃明亮光洁，无污渍、无水迹</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2AC8DF9F">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根据实际情况安排各房间循环清洁</w:t>
            </w:r>
          </w:p>
        </w:tc>
      </w:tr>
      <w:tr w14:paraId="5FD4212A">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2561E6C8">
            <w:pPr>
              <w:spacing w:line="440" w:lineRule="exact"/>
              <w:jc w:val="center"/>
              <w:rPr>
                <w:rFonts w:hint="eastAsia" w:ascii="宋体" w:hAnsi="宋体" w:eastAsia="宋体" w:cs="宋体"/>
                <w:szCs w:val="21"/>
              </w:rPr>
            </w:pPr>
            <w:r>
              <w:rPr>
                <w:rFonts w:hint="eastAsia" w:ascii="宋体" w:hAnsi="宋体" w:eastAsia="宋体" w:cs="宋体"/>
                <w:szCs w:val="21"/>
              </w:rPr>
              <w:t>卫生间</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8DA235">
            <w:pPr>
              <w:spacing w:line="440" w:lineRule="exact"/>
              <w:jc w:val="center"/>
              <w:rPr>
                <w:rFonts w:hint="eastAsia" w:ascii="宋体" w:hAnsi="宋体" w:eastAsia="宋体" w:cs="宋体"/>
                <w:szCs w:val="21"/>
              </w:rPr>
            </w:pPr>
            <w:r>
              <w:rPr>
                <w:rFonts w:hint="eastAsia" w:ascii="宋体" w:hAnsi="宋体" w:eastAsia="宋体" w:cs="宋体"/>
                <w:szCs w:val="21"/>
              </w:rPr>
              <w:t>坐便器随时保洁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0230914">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打开换气扇或窗户进行通风。</w:t>
            </w:r>
          </w:p>
          <w:p w14:paraId="68C0780E">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台盆、便器等放水冲洗。</w:t>
            </w:r>
          </w:p>
          <w:p w14:paraId="5BE8A093">
            <w:pPr>
              <w:tabs>
                <w:tab w:val="left" w:pos="0"/>
                <w:tab w:val="left" w:pos="540"/>
              </w:tabs>
              <w:overflowPunct w:val="0"/>
              <w:autoSpaceDE w:val="0"/>
              <w:autoSpaceDN w:val="0"/>
              <w:spacing w:line="440" w:lineRule="exact"/>
              <w:ind w:left="357"/>
              <w:jc w:val="left"/>
              <w:rPr>
                <w:rFonts w:hint="eastAsia" w:ascii="宋体" w:hAnsi="宋体" w:eastAsia="宋体" w:cs="宋体"/>
                <w:szCs w:val="21"/>
              </w:rPr>
            </w:pPr>
            <w:r>
              <w:rPr>
                <w:rFonts w:hint="eastAsia" w:ascii="宋体" w:hAnsi="宋体" w:eastAsia="宋体" w:cs="宋体"/>
                <w:szCs w:val="21"/>
              </w:rPr>
              <w:t>便器内外保持清洁。</w:t>
            </w:r>
          </w:p>
          <w:p w14:paraId="02F651E1">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收集垃圾、清洁垃圾桶、换新垃圾袋。</w:t>
            </w:r>
          </w:p>
          <w:p w14:paraId="78189A9B">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清洗台盆及水龙头。</w:t>
            </w:r>
          </w:p>
          <w:p w14:paraId="27C42BDE">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用洁厕消毒液清洗便器并冲洗。</w:t>
            </w:r>
          </w:p>
          <w:p w14:paraId="2C970823">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搽拭台面和墙面四周、门等。</w:t>
            </w:r>
          </w:p>
          <w:p w14:paraId="4A2F16F4">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搽拭地面。</w:t>
            </w:r>
          </w:p>
          <w:p w14:paraId="21EF6774">
            <w:pPr>
              <w:numPr>
                <w:ilvl w:val="0"/>
                <w:numId w:val="5"/>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点上盘香。</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26217E">
            <w:pPr>
              <w:spacing w:line="440" w:lineRule="exact"/>
              <w:jc w:val="center"/>
              <w:rPr>
                <w:rFonts w:hint="eastAsia" w:ascii="宋体" w:hAnsi="宋体" w:eastAsia="宋体" w:cs="宋体"/>
                <w:szCs w:val="21"/>
              </w:rPr>
            </w:pPr>
            <w:r>
              <w:rPr>
                <w:rFonts w:hint="eastAsia" w:ascii="宋体" w:hAnsi="宋体" w:eastAsia="宋体" w:cs="宋体"/>
                <w:szCs w:val="21"/>
              </w:rPr>
              <w:t>随时保持畅通，无漏水，无异味、无污垢，垃圾袋定时更换</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top"/>
          </w:tcPr>
          <w:p w14:paraId="5E1CA14F">
            <w:pPr>
              <w:tabs>
                <w:tab w:val="left" w:pos="0"/>
                <w:tab w:val="left" w:pos="540"/>
              </w:tabs>
              <w:spacing w:line="440" w:lineRule="exact"/>
              <w:ind w:left="440" w:hanging="440"/>
              <w:jc w:val="left"/>
              <w:rPr>
                <w:rFonts w:hint="eastAsia" w:ascii="宋体" w:hAnsi="宋体" w:eastAsia="宋体" w:cs="宋体"/>
                <w:szCs w:val="21"/>
              </w:rPr>
            </w:pPr>
          </w:p>
          <w:p w14:paraId="4DFAA63B">
            <w:pPr>
              <w:tabs>
                <w:tab w:val="left" w:pos="0"/>
                <w:tab w:val="left" w:pos="540"/>
              </w:tabs>
              <w:spacing w:line="440" w:lineRule="exact"/>
              <w:ind w:left="440" w:hanging="440"/>
              <w:jc w:val="left"/>
              <w:rPr>
                <w:rFonts w:hint="eastAsia" w:ascii="宋体" w:hAnsi="宋体" w:eastAsia="宋体" w:cs="宋体"/>
                <w:szCs w:val="21"/>
              </w:rPr>
            </w:pPr>
          </w:p>
          <w:p w14:paraId="3B4BA755">
            <w:pPr>
              <w:tabs>
                <w:tab w:val="left" w:pos="0"/>
                <w:tab w:val="left" w:pos="540"/>
              </w:tabs>
              <w:spacing w:line="440" w:lineRule="exact"/>
              <w:ind w:left="440" w:hanging="440"/>
              <w:jc w:val="left"/>
              <w:rPr>
                <w:rFonts w:hint="eastAsia" w:ascii="宋体" w:hAnsi="宋体" w:eastAsia="宋体" w:cs="宋体"/>
                <w:szCs w:val="21"/>
              </w:rPr>
            </w:pPr>
          </w:p>
        </w:tc>
      </w:tr>
      <w:tr w14:paraId="61EC16A9">
        <w:tblPrEx>
          <w:tblCellMar>
            <w:top w:w="0" w:type="dxa"/>
            <w:left w:w="0" w:type="dxa"/>
            <w:bottom w:w="0" w:type="dxa"/>
            <w:right w:w="0" w:type="dxa"/>
          </w:tblCellMar>
        </w:tblPrEx>
        <w:trPr>
          <w:trHeight w:val="523" w:hRule="atLeast"/>
        </w:trPr>
        <w:tc>
          <w:tcPr>
            <w:tcW w:w="1729" w:type="dxa"/>
            <w:vMerge w:val="restart"/>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5EB37258">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电梯</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C698A6">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每日不少于二次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D8075B">
            <w:pPr>
              <w:tabs>
                <w:tab w:val="left" w:pos="0"/>
                <w:tab w:val="left" w:pos="540"/>
              </w:tabs>
              <w:spacing w:line="440" w:lineRule="exact"/>
              <w:rPr>
                <w:rFonts w:hint="eastAsia" w:ascii="宋体" w:hAnsi="宋体" w:eastAsia="宋体" w:cs="宋体"/>
                <w:szCs w:val="21"/>
              </w:rPr>
            </w:pPr>
            <w:r>
              <w:rPr>
                <w:rFonts w:hint="eastAsia" w:ascii="宋体" w:hAnsi="宋体" w:eastAsia="宋体" w:cs="宋体"/>
                <w:szCs w:val="21"/>
              </w:rPr>
              <w:t>每日地面保洁，每日轿厢内消毒一次。</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D07ECC">
            <w:pPr>
              <w:spacing w:line="440" w:lineRule="exact"/>
              <w:jc w:val="center"/>
              <w:rPr>
                <w:rFonts w:hint="eastAsia" w:ascii="宋体" w:hAnsi="宋体" w:eastAsia="宋体" w:cs="宋体"/>
                <w:szCs w:val="21"/>
              </w:rPr>
            </w:pPr>
            <w:r>
              <w:rPr>
                <w:rFonts w:hint="eastAsia" w:ascii="宋体" w:hAnsi="宋体" w:eastAsia="宋体" w:cs="宋体"/>
                <w:szCs w:val="21"/>
              </w:rPr>
              <w:t>无障碍、无划痕、无脱落；无灰尘、无污迹</w:t>
            </w:r>
          </w:p>
        </w:tc>
        <w:tc>
          <w:tcPr>
            <w:tcW w:w="1224" w:type="dxa"/>
            <w:vMerge w:val="restart"/>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56D4AE8C">
            <w:pPr>
              <w:tabs>
                <w:tab w:val="left" w:pos="0"/>
                <w:tab w:val="left" w:pos="540"/>
              </w:tabs>
              <w:spacing w:line="440" w:lineRule="exact"/>
              <w:ind w:left="440" w:hanging="440"/>
              <w:jc w:val="center"/>
              <w:rPr>
                <w:rFonts w:hint="eastAsia" w:ascii="宋体" w:hAnsi="宋体" w:eastAsia="宋体" w:cs="宋体"/>
                <w:szCs w:val="21"/>
              </w:rPr>
            </w:pPr>
          </w:p>
        </w:tc>
      </w:tr>
      <w:tr w14:paraId="0B72C030">
        <w:tblPrEx>
          <w:tblCellMar>
            <w:top w:w="0" w:type="dxa"/>
            <w:left w:w="0" w:type="dxa"/>
            <w:bottom w:w="0" w:type="dxa"/>
            <w:right w:w="0" w:type="dxa"/>
          </w:tblCellMar>
        </w:tblPrEx>
        <w:trPr>
          <w:trHeight w:val="615" w:hRule="atLeast"/>
        </w:trPr>
        <w:tc>
          <w:tcPr>
            <w:tcW w:w="1729" w:type="dxa"/>
            <w:vMerge w:val="continue"/>
            <w:tcBorders>
              <w:top w:val="single" w:color="000000" w:sz="4" w:space="0"/>
              <w:left w:val="single" w:color="000000" w:sz="12" w:space="0"/>
              <w:bottom w:val="single" w:color="000000" w:sz="4" w:space="0"/>
              <w:right w:val="single" w:color="000000" w:sz="4" w:space="0"/>
            </w:tcBorders>
            <w:noWrap w:val="0"/>
            <w:vAlign w:val="center"/>
          </w:tcPr>
          <w:p w14:paraId="2D389BAD">
            <w:pPr>
              <w:rPr>
                <w:rFonts w:hint="eastAsia" w:ascii="宋体" w:hAnsi="宋体" w:eastAsia="宋体" w:cs="宋体"/>
                <w:szCs w:val="21"/>
              </w:rPr>
            </w:pP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9BD5F8">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每周不少于一次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A3628A">
            <w:pPr>
              <w:tabs>
                <w:tab w:val="left" w:pos="0"/>
                <w:tab w:val="left" w:pos="540"/>
              </w:tabs>
              <w:spacing w:line="440" w:lineRule="exact"/>
              <w:ind w:left="440" w:hanging="440"/>
              <w:rPr>
                <w:rFonts w:hint="eastAsia" w:ascii="宋体" w:hAnsi="宋体" w:eastAsia="宋体" w:cs="宋体"/>
                <w:szCs w:val="21"/>
              </w:rPr>
            </w:pPr>
            <w:r>
              <w:rPr>
                <w:rFonts w:hint="eastAsia" w:ascii="宋体" w:hAnsi="宋体" w:eastAsia="宋体" w:cs="宋体"/>
                <w:szCs w:val="21"/>
              </w:rPr>
              <w:t>不锈钢光亮剂全面保洁。</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76B5DF">
            <w:pPr>
              <w:spacing w:line="440" w:lineRule="exact"/>
              <w:jc w:val="center"/>
              <w:rPr>
                <w:rFonts w:hint="eastAsia" w:ascii="宋体" w:hAnsi="宋体" w:eastAsia="宋体" w:cs="宋体"/>
                <w:szCs w:val="21"/>
              </w:rPr>
            </w:pPr>
            <w:r>
              <w:rPr>
                <w:rFonts w:hint="eastAsia" w:ascii="宋体" w:hAnsi="宋体" w:eastAsia="宋体" w:cs="宋体"/>
                <w:szCs w:val="21"/>
              </w:rPr>
              <w:t>均匀有光泽</w:t>
            </w:r>
          </w:p>
        </w:tc>
        <w:tc>
          <w:tcPr>
            <w:tcW w:w="1224" w:type="dxa"/>
            <w:vMerge w:val="continue"/>
            <w:tcBorders>
              <w:top w:val="single" w:color="000000" w:sz="4" w:space="0"/>
              <w:left w:val="single" w:color="000000" w:sz="4" w:space="0"/>
              <w:bottom w:val="single" w:color="000000" w:sz="4" w:space="0"/>
              <w:right w:val="single" w:color="000000" w:sz="12" w:space="0"/>
            </w:tcBorders>
            <w:noWrap w:val="0"/>
            <w:vAlign w:val="center"/>
          </w:tcPr>
          <w:p w14:paraId="5FE091DF">
            <w:pPr>
              <w:rPr>
                <w:rFonts w:hint="eastAsia" w:ascii="宋体" w:hAnsi="宋体" w:eastAsia="宋体" w:cs="宋体"/>
                <w:szCs w:val="21"/>
              </w:rPr>
            </w:pPr>
          </w:p>
        </w:tc>
      </w:tr>
      <w:tr w14:paraId="2A6CB47F">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48B667BF">
            <w:pPr>
              <w:spacing w:line="440" w:lineRule="exact"/>
              <w:jc w:val="center"/>
              <w:rPr>
                <w:rFonts w:hint="eastAsia" w:ascii="宋体" w:hAnsi="宋体" w:eastAsia="宋体" w:cs="宋体"/>
                <w:szCs w:val="21"/>
              </w:rPr>
            </w:pPr>
            <w:r>
              <w:rPr>
                <w:rFonts w:hint="eastAsia" w:ascii="宋体" w:hAnsi="宋体" w:eastAsia="宋体" w:cs="宋体"/>
                <w:szCs w:val="21"/>
              </w:rPr>
              <w:t>公共设施</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82A1C9">
            <w:pPr>
              <w:spacing w:line="440" w:lineRule="exact"/>
              <w:jc w:val="center"/>
              <w:rPr>
                <w:rFonts w:hint="eastAsia" w:ascii="宋体" w:hAnsi="宋体" w:eastAsia="宋体" w:cs="宋体"/>
                <w:szCs w:val="21"/>
              </w:rPr>
            </w:pPr>
            <w:r>
              <w:rPr>
                <w:rFonts w:hint="eastAsia" w:ascii="宋体" w:hAnsi="宋体" w:eastAsia="宋体" w:cs="宋体"/>
                <w:szCs w:val="21"/>
              </w:rPr>
              <w:t>每日保洁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F65C70">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每日用清洁剂清洁一次。</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FF3718">
            <w:pPr>
              <w:spacing w:line="440" w:lineRule="exact"/>
              <w:jc w:val="center"/>
              <w:rPr>
                <w:rFonts w:hint="eastAsia" w:ascii="宋体" w:hAnsi="宋体" w:eastAsia="宋体" w:cs="宋体"/>
                <w:szCs w:val="21"/>
              </w:rPr>
            </w:pPr>
            <w:r>
              <w:rPr>
                <w:rFonts w:hint="eastAsia" w:ascii="宋体" w:hAnsi="宋体" w:eastAsia="宋体" w:cs="宋体"/>
                <w:szCs w:val="21"/>
              </w:rPr>
              <w:t>无污渍，无积灰、无蜘蛛网</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5884645F">
            <w:pPr>
              <w:tabs>
                <w:tab w:val="left" w:pos="0"/>
                <w:tab w:val="left" w:pos="540"/>
              </w:tabs>
              <w:spacing w:line="440" w:lineRule="exact"/>
              <w:ind w:left="440" w:hanging="440"/>
              <w:jc w:val="center"/>
              <w:rPr>
                <w:rFonts w:hint="eastAsia" w:ascii="宋体" w:hAnsi="宋体" w:eastAsia="宋体" w:cs="宋体"/>
                <w:szCs w:val="21"/>
              </w:rPr>
            </w:pPr>
          </w:p>
        </w:tc>
      </w:tr>
      <w:tr w14:paraId="022B8D30">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78786252">
            <w:pPr>
              <w:spacing w:line="440" w:lineRule="exact"/>
              <w:jc w:val="center"/>
              <w:rPr>
                <w:rFonts w:hint="eastAsia" w:ascii="宋体" w:hAnsi="宋体" w:eastAsia="宋体" w:cs="宋体"/>
                <w:szCs w:val="21"/>
              </w:rPr>
            </w:pPr>
            <w:r>
              <w:rPr>
                <w:rFonts w:hint="eastAsia" w:ascii="宋体" w:hAnsi="宋体" w:eastAsia="宋体" w:cs="宋体"/>
                <w:szCs w:val="21"/>
              </w:rPr>
              <w:t>病人等候区</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B2D19C">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每日保洁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AA298">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等候椅每日用清洁剂稀释溶液清洁，每日消毒一次。</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94D5A3">
            <w:pPr>
              <w:spacing w:line="440" w:lineRule="exact"/>
              <w:jc w:val="center"/>
              <w:rPr>
                <w:rFonts w:hint="eastAsia" w:ascii="宋体" w:hAnsi="宋体" w:eastAsia="宋体" w:cs="宋体"/>
                <w:szCs w:val="21"/>
              </w:rPr>
            </w:pPr>
            <w:r>
              <w:rPr>
                <w:rFonts w:hint="eastAsia" w:ascii="宋体" w:hAnsi="宋体" w:eastAsia="宋体" w:cs="宋体"/>
                <w:szCs w:val="21"/>
              </w:rPr>
              <w:t>无垃圾、无浮灰、无烟蒂、无水迹</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181B72CB">
            <w:pPr>
              <w:tabs>
                <w:tab w:val="left" w:pos="0"/>
                <w:tab w:val="left" w:pos="540"/>
              </w:tabs>
              <w:spacing w:line="440" w:lineRule="exact"/>
              <w:ind w:left="440" w:hanging="440"/>
              <w:jc w:val="center"/>
              <w:rPr>
                <w:rFonts w:hint="eastAsia" w:ascii="宋体" w:hAnsi="宋体" w:eastAsia="宋体" w:cs="宋体"/>
                <w:szCs w:val="21"/>
              </w:rPr>
            </w:pPr>
          </w:p>
        </w:tc>
      </w:tr>
      <w:tr w14:paraId="1F2D8562">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5DEA310D">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诊察桌</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8C43CB">
            <w:pPr>
              <w:spacing w:line="440" w:lineRule="exact"/>
              <w:jc w:val="center"/>
              <w:rPr>
                <w:rFonts w:hint="eastAsia" w:ascii="宋体" w:hAnsi="宋体" w:eastAsia="宋体" w:cs="宋体"/>
                <w:szCs w:val="21"/>
              </w:rPr>
            </w:pPr>
            <w:r>
              <w:rPr>
                <w:rFonts w:hint="eastAsia" w:ascii="宋体" w:hAnsi="宋体" w:eastAsia="宋体" w:cs="宋体"/>
                <w:szCs w:val="21"/>
              </w:rPr>
              <w:t>每日不少于一次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2E1749">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每日消毒液搽拭一次，有污染即时清洁。</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A66B3A">
            <w:pPr>
              <w:spacing w:line="440" w:lineRule="exact"/>
              <w:jc w:val="center"/>
              <w:rPr>
                <w:rFonts w:hint="eastAsia" w:ascii="宋体" w:hAnsi="宋体" w:eastAsia="宋体" w:cs="宋体"/>
                <w:szCs w:val="21"/>
              </w:rPr>
            </w:pPr>
            <w:r>
              <w:rPr>
                <w:rFonts w:hint="eastAsia" w:ascii="宋体" w:hAnsi="宋体" w:eastAsia="宋体" w:cs="宋体"/>
                <w:szCs w:val="21"/>
              </w:rPr>
              <w:t>无积灰、无污渍</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51DD6718">
            <w:pPr>
              <w:tabs>
                <w:tab w:val="left" w:pos="0"/>
                <w:tab w:val="left" w:pos="540"/>
              </w:tabs>
              <w:spacing w:line="440" w:lineRule="exact"/>
              <w:ind w:left="440" w:hanging="440"/>
              <w:jc w:val="center"/>
              <w:rPr>
                <w:rFonts w:hint="eastAsia" w:ascii="宋体" w:hAnsi="宋体" w:eastAsia="宋体" w:cs="宋体"/>
                <w:szCs w:val="21"/>
              </w:rPr>
            </w:pPr>
          </w:p>
        </w:tc>
      </w:tr>
      <w:tr w14:paraId="6B409B0D">
        <w:tblPrEx>
          <w:tblCellMar>
            <w:top w:w="0" w:type="dxa"/>
            <w:left w:w="0" w:type="dxa"/>
            <w:bottom w:w="0" w:type="dxa"/>
            <w:right w:w="0" w:type="dxa"/>
          </w:tblCellMar>
        </w:tblPrEx>
        <w:trPr>
          <w:trHeight w:val="270" w:hRule="atLeast"/>
        </w:trPr>
        <w:tc>
          <w:tcPr>
            <w:tcW w:w="1729" w:type="dxa"/>
            <w:vMerge w:val="restart"/>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6D741BD9">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床单位、设备带</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D00FE8">
            <w:pPr>
              <w:spacing w:line="440" w:lineRule="exact"/>
              <w:jc w:val="center"/>
              <w:rPr>
                <w:rFonts w:hint="eastAsia" w:ascii="宋体" w:hAnsi="宋体" w:eastAsia="宋体" w:cs="宋体"/>
                <w:szCs w:val="21"/>
              </w:rPr>
            </w:pPr>
            <w:r>
              <w:rPr>
                <w:rFonts w:hint="eastAsia" w:ascii="宋体" w:hAnsi="宋体" w:eastAsia="宋体" w:cs="宋体"/>
                <w:szCs w:val="21"/>
              </w:rPr>
              <w:t>每日清洁一次病室内瓷</w:t>
            </w:r>
          </w:p>
          <w:p w14:paraId="5D366D0C">
            <w:pPr>
              <w:spacing w:line="440" w:lineRule="exact"/>
              <w:jc w:val="center"/>
              <w:rPr>
                <w:rFonts w:hint="eastAsia" w:ascii="宋体" w:hAnsi="宋体" w:eastAsia="宋体" w:cs="宋体"/>
                <w:szCs w:val="21"/>
              </w:rPr>
            </w:pPr>
            <w:r>
              <w:rPr>
                <w:rFonts w:hint="eastAsia" w:ascii="宋体" w:hAnsi="宋体" w:eastAsia="宋体" w:cs="宋体"/>
                <w:szCs w:val="21"/>
              </w:rPr>
              <w:t>砖墙面每周清洁一次，有污染及时清洁消毒</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172733">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每日用消毒液清洁一次</w:t>
            </w:r>
          </w:p>
        </w:tc>
        <w:tc>
          <w:tcPr>
            <w:tcW w:w="1896"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A47FBC">
            <w:pPr>
              <w:spacing w:line="440" w:lineRule="exact"/>
              <w:jc w:val="center"/>
              <w:rPr>
                <w:rFonts w:hint="eastAsia" w:ascii="宋体" w:hAnsi="宋体" w:eastAsia="宋体" w:cs="宋体"/>
                <w:szCs w:val="21"/>
              </w:rPr>
            </w:pPr>
            <w:r>
              <w:rPr>
                <w:rFonts w:hint="eastAsia" w:ascii="宋体" w:hAnsi="宋体" w:eastAsia="宋体" w:cs="宋体"/>
                <w:szCs w:val="21"/>
              </w:rPr>
              <w:t>无灰</w:t>
            </w:r>
          </w:p>
        </w:tc>
        <w:tc>
          <w:tcPr>
            <w:tcW w:w="1224" w:type="dxa"/>
            <w:vMerge w:val="restart"/>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760C5FD6">
            <w:pPr>
              <w:tabs>
                <w:tab w:val="left" w:pos="0"/>
                <w:tab w:val="left" w:pos="540"/>
              </w:tabs>
              <w:spacing w:line="440" w:lineRule="exact"/>
              <w:ind w:left="440" w:hanging="440"/>
              <w:jc w:val="center"/>
              <w:rPr>
                <w:rFonts w:hint="eastAsia" w:ascii="宋体" w:hAnsi="宋体" w:eastAsia="宋体" w:cs="宋体"/>
                <w:szCs w:val="21"/>
              </w:rPr>
            </w:pPr>
          </w:p>
        </w:tc>
      </w:tr>
      <w:tr w14:paraId="4936369F">
        <w:tblPrEx>
          <w:tblCellMar>
            <w:top w:w="0" w:type="dxa"/>
            <w:left w:w="0" w:type="dxa"/>
            <w:bottom w:w="0" w:type="dxa"/>
            <w:right w:w="0" w:type="dxa"/>
          </w:tblCellMar>
        </w:tblPrEx>
        <w:trPr>
          <w:trHeight w:val="285" w:hRule="atLeast"/>
        </w:trPr>
        <w:tc>
          <w:tcPr>
            <w:tcW w:w="1729" w:type="dxa"/>
            <w:vMerge w:val="continue"/>
            <w:tcBorders>
              <w:top w:val="single" w:color="000000" w:sz="4" w:space="0"/>
              <w:left w:val="single" w:color="000000" w:sz="12" w:space="0"/>
              <w:bottom w:val="single" w:color="000000" w:sz="4" w:space="0"/>
              <w:right w:val="single" w:color="000000" w:sz="4" w:space="0"/>
            </w:tcBorders>
            <w:noWrap w:val="0"/>
            <w:vAlign w:val="center"/>
          </w:tcPr>
          <w:p w14:paraId="189B783C">
            <w:pPr>
              <w:jc w:val="center"/>
              <w:rPr>
                <w:rFonts w:hint="eastAsia" w:ascii="宋体" w:hAnsi="宋体" w:eastAsia="宋体" w:cs="宋体"/>
                <w:szCs w:val="21"/>
              </w:rPr>
            </w:pP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4939B4">
            <w:pPr>
              <w:spacing w:line="440" w:lineRule="exact"/>
              <w:jc w:val="center"/>
              <w:rPr>
                <w:rFonts w:hint="eastAsia" w:ascii="宋体" w:hAnsi="宋体" w:eastAsia="宋体" w:cs="宋体"/>
                <w:szCs w:val="21"/>
              </w:rPr>
            </w:pPr>
            <w:r>
              <w:rPr>
                <w:rFonts w:hint="eastAsia" w:ascii="宋体" w:hAnsi="宋体" w:eastAsia="宋体" w:cs="宋体"/>
                <w:szCs w:val="21"/>
              </w:rPr>
              <w:t>出院后终末消毒</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32ADDD">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用消毒剂搽拭床栏、床头柜、床档、凳子。垫褥使用床单位消毒机消毒、清洗水瓶等。</w:t>
            </w: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F89BE">
            <w:pPr>
              <w:jc w:val="center"/>
              <w:rPr>
                <w:rFonts w:hint="eastAsia" w:ascii="宋体" w:hAnsi="宋体" w:eastAsia="宋体" w:cs="宋体"/>
                <w:szCs w:val="21"/>
              </w:rPr>
            </w:pPr>
          </w:p>
        </w:tc>
        <w:tc>
          <w:tcPr>
            <w:tcW w:w="1224" w:type="dxa"/>
            <w:vMerge w:val="continue"/>
            <w:tcBorders>
              <w:top w:val="single" w:color="000000" w:sz="4" w:space="0"/>
              <w:left w:val="single" w:color="000000" w:sz="4" w:space="0"/>
              <w:bottom w:val="single" w:color="000000" w:sz="4" w:space="0"/>
              <w:right w:val="single" w:color="000000" w:sz="12" w:space="0"/>
            </w:tcBorders>
            <w:noWrap w:val="0"/>
            <w:vAlign w:val="center"/>
          </w:tcPr>
          <w:p w14:paraId="71DBD42C">
            <w:pPr>
              <w:rPr>
                <w:rFonts w:hint="eastAsia" w:ascii="宋体" w:hAnsi="宋体" w:eastAsia="宋体" w:cs="宋体"/>
                <w:szCs w:val="21"/>
              </w:rPr>
            </w:pPr>
          </w:p>
        </w:tc>
      </w:tr>
      <w:tr w14:paraId="2427CD4B">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0A968122">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输液架</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0EAD91">
            <w:pPr>
              <w:spacing w:line="440" w:lineRule="exact"/>
              <w:jc w:val="center"/>
              <w:rPr>
                <w:rFonts w:hint="eastAsia" w:ascii="宋体" w:hAnsi="宋体" w:eastAsia="宋体" w:cs="宋体"/>
                <w:szCs w:val="21"/>
              </w:rPr>
            </w:pPr>
            <w:r>
              <w:rPr>
                <w:rFonts w:hint="eastAsia" w:ascii="宋体" w:hAnsi="宋体" w:eastAsia="宋体" w:cs="宋体"/>
                <w:szCs w:val="21"/>
              </w:rPr>
              <w:t>每日不少于一次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D39705">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每日用全能清洁剂溶液清洁一次</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98A034">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无灰</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313E1523">
            <w:pPr>
              <w:tabs>
                <w:tab w:val="left" w:pos="0"/>
                <w:tab w:val="left" w:pos="540"/>
              </w:tabs>
              <w:spacing w:line="440" w:lineRule="exact"/>
              <w:ind w:left="440" w:hanging="440"/>
              <w:jc w:val="center"/>
              <w:rPr>
                <w:rFonts w:hint="eastAsia" w:ascii="宋体" w:hAnsi="宋体" w:eastAsia="宋体" w:cs="宋体"/>
                <w:szCs w:val="21"/>
              </w:rPr>
            </w:pPr>
          </w:p>
        </w:tc>
      </w:tr>
      <w:tr w14:paraId="16E7A675">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2741DAD7">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推车</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91CC39">
            <w:pPr>
              <w:spacing w:line="440" w:lineRule="exact"/>
              <w:jc w:val="center"/>
              <w:rPr>
                <w:rFonts w:hint="eastAsia" w:ascii="宋体" w:hAnsi="宋体" w:eastAsia="宋体" w:cs="宋体"/>
                <w:szCs w:val="21"/>
              </w:rPr>
            </w:pPr>
            <w:r>
              <w:rPr>
                <w:rFonts w:hint="eastAsia" w:ascii="宋体" w:hAnsi="宋体" w:eastAsia="宋体" w:cs="宋体"/>
                <w:szCs w:val="21"/>
              </w:rPr>
              <w:t>每日搽拭</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F42657">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每周添加润滑油</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40A692">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无结灰、无异响</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4153CBCC">
            <w:pPr>
              <w:tabs>
                <w:tab w:val="left" w:pos="0"/>
                <w:tab w:val="left" w:pos="540"/>
              </w:tabs>
              <w:spacing w:line="440" w:lineRule="exact"/>
              <w:ind w:left="440" w:hanging="440"/>
              <w:jc w:val="center"/>
              <w:rPr>
                <w:rFonts w:hint="eastAsia" w:ascii="宋体" w:hAnsi="宋体" w:eastAsia="宋体" w:cs="宋体"/>
                <w:szCs w:val="21"/>
              </w:rPr>
            </w:pPr>
          </w:p>
        </w:tc>
      </w:tr>
      <w:tr w14:paraId="50FB722F">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340F960F">
            <w:pPr>
              <w:spacing w:line="440" w:lineRule="exact"/>
              <w:jc w:val="center"/>
              <w:rPr>
                <w:rFonts w:hint="eastAsia" w:ascii="宋体" w:hAnsi="宋体" w:eastAsia="宋体" w:cs="宋体"/>
                <w:szCs w:val="21"/>
              </w:rPr>
            </w:pPr>
            <w:r>
              <w:rPr>
                <w:rFonts w:hint="eastAsia" w:ascii="宋体" w:hAnsi="宋体" w:eastAsia="宋体" w:cs="宋体"/>
                <w:szCs w:val="21"/>
              </w:rPr>
              <w:t>吸顶灯具</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612E8E">
            <w:pPr>
              <w:spacing w:line="440" w:lineRule="exact"/>
              <w:jc w:val="center"/>
              <w:rPr>
                <w:rFonts w:hint="eastAsia" w:ascii="宋体" w:hAnsi="宋体" w:eastAsia="宋体" w:cs="宋体"/>
                <w:szCs w:val="21"/>
              </w:rPr>
            </w:pPr>
            <w:r>
              <w:rPr>
                <w:rFonts w:hint="eastAsia" w:ascii="宋体" w:hAnsi="宋体" w:eastAsia="宋体" w:cs="宋体"/>
                <w:szCs w:val="21"/>
              </w:rPr>
              <w:t>每周不少于一次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8D889A">
            <w:pPr>
              <w:tabs>
                <w:tab w:val="left" w:pos="0"/>
                <w:tab w:val="left" w:pos="540"/>
              </w:tabs>
              <w:spacing w:line="440" w:lineRule="exact"/>
              <w:jc w:val="left"/>
              <w:rPr>
                <w:rFonts w:hint="eastAsia" w:ascii="宋体" w:hAnsi="宋体" w:eastAsia="宋体" w:cs="宋体"/>
                <w:szCs w:val="21"/>
              </w:rPr>
            </w:pPr>
            <w:r>
              <w:rPr>
                <w:rFonts w:hint="eastAsia" w:ascii="宋体" w:hAnsi="宋体" w:eastAsia="宋体" w:cs="宋体"/>
                <w:szCs w:val="21"/>
              </w:rPr>
              <w:t>每日用全能清洁剂溶液清洁一次</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5846CA">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无灰</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7A6BF24B">
            <w:pPr>
              <w:tabs>
                <w:tab w:val="left" w:pos="0"/>
                <w:tab w:val="left" w:pos="540"/>
              </w:tabs>
              <w:spacing w:line="440" w:lineRule="exact"/>
              <w:ind w:left="440" w:hanging="440"/>
              <w:jc w:val="center"/>
              <w:rPr>
                <w:rFonts w:hint="eastAsia" w:ascii="宋体" w:hAnsi="宋体" w:eastAsia="宋体" w:cs="宋体"/>
                <w:szCs w:val="21"/>
              </w:rPr>
            </w:pPr>
          </w:p>
        </w:tc>
      </w:tr>
      <w:tr w14:paraId="479EA2C7">
        <w:tblPrEx>
          <w:tblCellMar>
            <w:top w:w="0" w:type="dxa"/>
            <w:left w:w="0" w:type="dxa"/>
            <w:bottom w:w="0" w:type="dxa"/>
            <w:right w:w="0" w:type="dxa"/>
          </w:tblCellMar>
        </w:tblPrEx>
        <w:trPr>
          <w:trHeight w:val="2638" w:hRule="atLeast"/>
        </w:trPr>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254F60EF">
            <w:pPr>
              <w:spacing w:line="440" w:lineRule="exact"/>
              <w:jc w:val="center"/>
              <w:rPr>
                <w:rFonts w:hint="eastAsia" w:ascii="宋体" w:hAnsi="宋体" w:eastAsia="宋体" w:cs="宋体"/>
                <w:szCs w:val="21"/>
              </w:rPr>
            </w:pPr>
            <w:r>
              <w:rPr>
                <w:rFonts w:hint="eastAsia" w:ascii="宋体" w:hAnsi="宋体" w:eastAsia="宋体" w:cs="宋体"/>
                <w:szCs w:val="21"/>
              </w:rPr>
              <w:t>室内公共区域</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037B0A">
            <w:pPr>
              <w:spacing w:line="440" w:lineRule="exact"/>
              <w:jc w:val="center"/>
              <w:rPr>
                <w:rFonts w:hint="eastAsia" w:ascii="宋体" w:hAnsi="宋体" w:eastAsia="宋体" w:cs="宋体"/>
                <w:szCs w:val="21"/>
              </w:rPr>
            </w:pPr>
            <w:r>
              <w:rPr>
                <w:rFonts w:hint="eastAsia" w:ascii="宋体" w:hAnsi="宋体" w:eastAsia="宋体" w:cs="宋体"/>
                <w:szCs w:val="21"/>
              </w:rPr>
              <w:t>每日不少于一次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2B2046">
            <w:pPr>
              <w:numPr>
                <w:ilvl w:val="0"/>
                <w:numId w:val="6"/>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收集垃圾、清洁垃圾桶、换新垃圾袋。</w:t>
            </w:r>
          </w:p>
          <w:p w14:paraId="55F1E212">
            <w:pPr>
              <w:numPr>
                <w:ilvl w:val="0"/>
                <w:numId w:val="6"/>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清扫地面垃圾。</w:t>
            </w:r>
          </w:p>
          <w:p w14:paraId="3BA6A04F">
            <w:pPr>
              <w:numPr>
                <w:ilvl w:val="0"/>
                <w:numId w:val="6"/>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拖大厅、过道、走廊地面。</w:t>
            </w:r>
          </w:p>
          <w:p w14:paraId="2FDD284A">
            <w:pPr>
              <w:numPr>
                <w:ilvl w:val="0"/>
                <w:numId w:val="6"/>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清洁户墙、厅柱、盆景。</w:t>
            </w:r>
          </w:p>
          <w:p w14:paraId="14C12123">
            <w:pPr>
              <w:numPr>
                <w:ilvl w:val="0"/>
                <w:numId w:val="6"/>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搽拭窗台、窗框、木门。</w:t>
            </w:r>
          </w:p>
          <w:p w14:paraId="2379105D">
            <w:pPr>
              <w:numPr>
                <w:ilvl w:val="0"/>
                <w:numId w:val="6"/>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搽拭楼梯扶手、拖楼梯地面。</w:t>
            </w:r>
          </w:p>
          <w:p w14:paraId="257397EA">
            <w:pPr>
              <w:numPr>
                <w:ilvl w:val="0"/>
                <w:numId w:val="6"/>
              </w:numPr>
              <w:tabs>
                <w:tab w:val="left" w:pos="0"/>
                <w:tab w:val="left" w:pos="360"/>
                <w:tab w:val="left" w:pos="540"/>
              </w:tabs>
              <w:overflowPunct w:val="0"/>
              <w:autoSpaceDE w:val="0"/>
              <w:autoSpaceDN w:val="0"/>
              <w:spacing w:line="440" w:lineRule="exact"/>
              <w:ind w:left="357" w:hanging="357"/>
              <w:jc w:val="left"/>
              <w:rPr>
                <w:rFonts w:hint="eastAsia" w:ascii="宋体" w:hAnsi="宋体" w:eastAsia="宋体" w:cs="宋体"/>
                <w:szCs w:val="21"/>
              </w:rPr>
            </w:pPr>
            <w:r>
              <w:rPr>
                <w:rFonts w:hint="eastAsia" w:ascii="宋体" w:hAnsi="宋体" w:eastAsia="宋体" w:cs="宋体"/>
                <w:szCs w:val="21"/>
              </w:rPr>
              <w:t>清洁天花板及灯具。</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3A5555">
            <w:pPr>
              <w:spacing w:line="440" w:lineRule="exact"/>
              <w:jc w:val="center"/>
              <w:rPr>
                <w:rFonts w:hint="eastAsia" w:ascii="宋体" w:hAnsi="宋体" w:eastAsia="宋体" w:cs="宋体"/>
                <w:szCs w:val="21"/>
              </w:rPr>
            </w:pPr>
            <w:r>
              <w:rPr>
                <w:rFonts w:hint="eastAsia" w:ascii="宋体" w:hAnsi="宋体" w:eastAsia="宋体" w:cs="宋体"/>
                <w:szCs w:val="21"/>
              </w:rPr>
              <w:t>无垃圾、无浮灰、无烟蒂、无水迹</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1D188C8D">
            <w:pPr>
              <w:tabs>
                <w:tab w:val="left" w:pos="0"/>
                <w:tab w:val="left" w:pos="540"/>
              </w:tabs>
              <w:spacing w:line="440" w:lineRule="exact"/>
              <w:ind w:left="440" w:hanging="440"/>
              <w:jc w:val="center"/>
              <w:rPr>
                <w:rFonts w:hint="eastAsia" w:ascii="宋体" w:hAnsi="宋体" w:eastAsia="宋体" w:cs="宋体"/>
                <w:szCs w:val="21"/>
              </w:rPr>
            </w:pPr>
          </w:p>
        </w:tc>
      </w:tr>
      <w:tr w14:paraId="0029D249">
        <w:tblPrEx>
          <w:tblCellMar>
            <w:top w:w="0" w:type="dxa"/>
            <w:left w:w="0" w:type="dxa"/>
            <w:bottom w:w="0" w:type="dxa"/>
            <w:right w:w="0" w:type="dxa"/>
          </w:tblCellMar>
        </w:tblPrEx>
        <w:trPr>
          <w:trHeight w:val="858" w:hRule="atLeast"/>
        </w:trPr>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00489EBA">
            <w:pPr>
              <w:spacing w:line="440" w:lineRule="exact"/>
              <w:jc w:val="center"/>
              <w:rPr>
                <w:rFonts w:hint="eastAsia" w:ascii="宋体" w:hAnsi="宋体" w:eastAsia="宋体" w:cs="宋体"/>
                <w:szCs w:val="21"/>
              </w:rPr>
            </w:pPr>
            <w:r>
              <w:rPr>
                <w:rFonts w:hint="eastAsia" w:ascii="宋体" w:hAnsi="宋体" w:eastAsia="宋体" w:cs="宋体"/>
                <w:szCs w:val="21"/>
              </w:rPr>
              <w:t>办公桌椅、电话、电脑等室内设施</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085637">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每日不少于一次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149F24">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每日消毒搽拭一次</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8418CB">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无积灰、无污渍</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4AA1FB21">
            <w:pPr>
              <w:tabs>
                <w:tab w:val="left" w:pos="0"/>
                <w:tab w:val="left" w:pos="540"/>
              </w:tabs>
              <w:spacing w:line="440" w:lineRule="exact"/>
              <w:ind w:left="440" w:hanging="440"/>
              <w:jc w:val="center"/>
              <w:rPr>
                <w:rFonts w:hint="eastAsia" w:ascii="宋体" w:hAnsi="宋体" w:eastAsia="宋体" w:cs="宋体"/>
                <w:szCs w:val="21"/>
              </w:rPr>
            </w:pPr>
          </w:p>
        </w:tc>
      </w:tr>
      <w:tr w14:paraId="08847E26">
        <w:tblPrEx>
          <w:tblCellMar>
            <w:top w:w="0" w:type="dxa"/>
            <w:left w:w="0" w:type="dxa"/>
            <w:bottom w:w="0" w:type="dxa"/>
            <w:right w:w="0" w:type="dxa"/>
          </w:tblCellMar>
        </w:tblPrEx>
        <w:tc>
          <w:tcPr>
            <w:tcW w:w="1729" w:type="dxa"/>
            <w:vMerge w:val="restart"/>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2AA173B5">
            <w:pPr>
              <w:spacing w:line="440" w:lineRule="exact"/>
              <w:jc w:val="center"/>
              <w:rPr>
                <w:rFonts w:hint="eastAsia" w:ascii="宋体" w:hAnsi="宋体" w:eastAsia="宋体" w:cs="宋体"/>
                <w:szCs w:val="21"/>
              </w:rPr>
            </w:pPr>
            <w:r>
              <w:rPr>
                <w:rFonts w:hint="eastAsia" w:ascii="宋体" w:hAnsi="宋体" w:eastAsia="宋体" w:cs="宋体"/>
                <w:szCs w:val="21"/>
              </w:rPr>
              <w:t>外围及外环境</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4FB12F">
            <w:pPr>
              <w:spacing w:line="440" w:lineRule="exact"/>
              <w:jc w:val="center"/>
              <w:rPr>
                <w:rFonts w:hint="eastAsia" w:ascii="宋体" w:hAnsi="宋体" w:eastAsia="宋体" w:cs="宋体"/>
                <w:szCs w:val="21"/>
              </w:rPr>
            </w:pPr>
            <w:r>
              <w:rPr>
                <w:rFonts w:hint="eastAsia" w:ascii="宋体" w:hAnsi="宋体" w:eastAsia="宋体" w:cs="宋体"/>
                <w:szCs w:val="21"/>
              </w:rPr>
              <w:t>循环保洁；每日清扫一次</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DDA9EF">
            <w:pPr>
              <w:tabs>
                <w:tab w:val="left" w:pos="0"/>
                <w:tab w:val="left" w:pos="540"/>
              </w:tabs>
              <w:spacing w:line="440" w:lineRule="exact"/>
              <w:ind w:left="440" w:hanging="440"/>
              <w:jc w:val="center"/>
              <w:rPr>
                <w:rFonts w:hint="eastAsia" w:ascii="宋体" w:hAnsi="宋体" w:eastAsia="宋体" w:cs="宋体"/>
                <w:szCs w:val="21"/>
              </w:rPr>
            </w:pPr>
            <w:r>
              <w:rPr>
                <w:rFonts w:hint="eastAsia" w:ascii="宋体" w:hAnsi="宋体" w:eastAsia="宋体" w:cs="宋体"/>
                <w:szCs w:val="21"/>
              </w:rPr>
              <w:t>地面清扫、不定期冲洗</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DFAD35">
            <w:pPr>
              <w:spacing w:line="440" w:lineRule="exact"/>
              <w:jc w:val="center"/>
              <w:rPr>
                <w:rFonts w:hint="eastAsia" w:ascii="宋体" w:hAnsi="宋体" w:eastAsia="宋体" w:cs="宋体"/>
                <w:szCs w:val="21"/>
              </w:rPr>
            </w:pPr>
            <w:r>
              <w:rPr>
                <w:rFonts w:hint="eastAsia" w:ascii="宋体" w:hAnsi="宋体" w:eastAsia="宋体" w:cs="宋体"/>
                <w:szCs w:val="21"/>
              </w:rPr>
              <w:t>干净、无杂物树叶、无污迹、无明显泥沙</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02F08C40">
            <w:pPr>
              <w:tabs>
                <w:tab w:val="left" w:pos="0"/>
                <w:tab w:val="left" w:pos="540"/>
              </w:tabs>
              <w:spacing w:line="440" w:lineRule="exact"/>
              <w:ind w:left="440" w:hanging="440"/>
              <w:jc w:val="center"/>
              <w:rPr>
                <w:rFonts w:hint="eastAsia" w:ascii="宋体" w:hAnsi="宋体" w:eastAsia="宋体" w:cs="宋体"/>
                <w:szCs w:val="21"/>
              </w:rPr>
            </w:pPr>
          </w:p>
        </w:tc>
      </w:tr>
      <w:tr w14:paraId="1C10DA25">
        <w:tblPrEx>
          <w:tblCellMar>
            <w:top w:w="0" w:type="dxa"/>
            <w:left w:w="0" w:type="dxa"/>
            <w:bottom w:w="0" w:type="dxa"/>
            <w:right w:w="0" w:type="dxa"/>
          </w:tblCellMar>
        </w:tblPrEx>
        <w:tc>
          <w:tcPr>
            <w:tcW w:w="1729" w:type="dxa"/>
            <w:vMerge w:val="continue"/>
            <w:tcBorders>
              <w:top w:val="single" w:color="000000" w:sz="4" w:space="0"/>
              <w:left w:val="single" w:color="000000" w:sz="12" w:space="0"/>
              <w:bottom w:val="single" w:color="000000" w:sz="4" w:space="0"/>
              <w:right w:val="single" w:color="000000" w:sz="4" w:space="0"/>
            </w:tcBorders>
            <w:noWrap w:val="0"/>
            <w:vAlign w:val="center"/>
          </w:tcPr>
          <w:p w14:paraId="3FBF2194">
            <w:pPr>
              <w:jc w:val="center"/>
              <w:rPr>
                <w:rFonts w:hint="eastAsia" w:ascii="宋体" w:hAnsi="宋体" w:eastAsia="宋体" w:cs="宋体"/>
                <w:szCs w:val="21"/>
              </w:rPr>
            </w:pP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BF1A30">
            <w:pPr>
              <w:spacing w:line="440" w:lineRule="exact"/>
              <w:jc w:val="center"/>
              <w:rPr>
                <w:rFonts w:hint="eastAsia" w:ascii="宋体" w:hAnsi="宋体" w:eastAsia="宋体" w:cs="宋体"/>
                <w:szCs w:val="21"/>
              </w:rPr>
            </w:pPr>
            <w:r>
              <w:rPr>
                <w:rFonts w:hint="eastAsia" w:ascii="宋体" w:hAnsi="宋体" w:eastAsia="宋体" w:cs="宋体"/>
                <w:szCs w:val="21"/>
              </w:rPr>
              <w:t>循环保洁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0AE971">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绿化带清扫，收集垃圾，绿化修剪、浇水、施肥、除虫，清除杂草、垃圾等</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5699A3">
            <w:pPr>
              <w:spacing w:line="440" w:lineRule="exact"/>
              <w:jc w:val="center"/>
              <w:rPr>
                <w:rFonts w:hint="eastAsia" w:ascii="宋体" w:hAnsi="宋体" w:eastAsia="宋体" w:cs="宋体"/>
                <w:szCs w:val="21"/>
              </w:rPr>
            </w:pPr>
            <w:r>
              <w:rPr>
                <w:rFonts w:hint="eastAsia" w:ascii="宋体" w:hAnsi="宋体" w:eastAsia="宋体" w:cs="宋体"/>
                <w:szCs w:val="21"/>
              </w:rPr>
              <w:t>干净、无杂物枯叶、无大石头</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0FEBEAA6">
            <w:pPr>
              <w:tabs>
                <w:tab w:val="left" w:pos="0"/>
                <w:tab w:val="left" w:pos="540"/>
              </w:tabs>
              <w:spacing w:line="440" w:lineRule="exact"/>
              <w:ind w:left="440" w:hanging="440"/>
              <w:jc w:val="center"/>
              <w:rPr>
                <w:rFonts w:hint="eastAsia" w:ascii="宋体" w:hAnsi="宋体" w:eastAsia="宋体" w:cs="宋体"/>
                <w:szCs w:val="21"/>
              </w:rPr>
            </w:pPr>
          </w:p>
        </w:tc>
      </w:tr>
      <w:tr w14:paraId="19B36377">
        <w:tblPrEx>
          <w:tblCellMar>
            <w:top w:w="0" w:type="dxa"/>
            <w:left w:w="0" w:type="dxa"/>
            <w:bottom w:w="0" w:type="dxa"/>
            <w:right w:w="0" w:type="dxa"/>
          </w:tblCellMar>
        </w:tblPrEx>
        <w:tc>
          <w:tcPr>
            <w:tcW w:w="1729" w:type="dxa"/>
            <w:vMerge w:val="continue"/>
            <w:tcBorders>
              <w:top w:val="single" w:color="000000" w:sz="4" w:space="0"/>
              <w:left w:val="single" w:color="000000" w:sz="12" w:space="0"/>
              <w:bottom w:val="single" w:color="000000" w:sz="4" w:space="0"/>
              <w:right w:val="single" w:color="000000" w:sz="4" w:space="0"/>
            </w:tcBorders>
            <w:noWrap w:val="0"/>
            <w:vAlign w:val="center"/>
          </w:tcPr>
          <w:p w14:paraId="03060A1F">
            <w:pPr>
              <w:jc w:val="center"/>
              <w:rPr>
                <w:rFonts w:hint="eastAsia" w:ascii="宋体" w:hAnsi="宋体" w:eastAsia="宋体" w:cs="宋体"/>
                <w:szCs w:val="21"/>
              </w:rPr>
            </w:pP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58D3E9">
            <w:pPr>
              <w:spacing w:line="440" w:lineRule="exact"/>
              <w:jc w:val="center"/>
              <w:rPr>
                <w:rFonts w:hint="eastAsia" w:ascii="宋体" w:hAnsi="宋体" w:eastAsia="宋体" w:cs="宋体"/>
                <w:szCs w:val="21"/>
              </w:rPr>
            </w:pPr>
            <w:r>
              <w:rPr>
                <w:rFonts w:hint="eastAsia" w:ascii="宋体" w:hAnsi="宋体" w:eastAsia="宋体" w:cs="宋体"/>
                <w:szCs w:val="21"/>
              </w:rPr>
              <w:t>每日及时发现及时清理</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7B85C">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各类明沟、雨水井、排水井清洁堵塞物。</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42E29A">
            <w:pPr>
              <w:spacing w:line="440" w:lineRule="exact"/>
              <w:jc w:val="center"/>
              <w:rPr>
                <w:rFonts w:hint="eastAsia" w:ascii="宋体" w:hAnsi="宋体" w:eastAsia="宋体" w:cs="宋体"/>
                <w:szCs w:val="21"/>
              </w:rPr>
            </w:pPr>
            <w:r>
              <w:rPr>
                <w:rFonts w:hint="eastAsia" w:ascii="宋体" w:hAnsi="宋体" w:eastAsia="宋体" w:cs="宋体"/>
                <w:szCs w:val="21"/>
              </w:rPr>
              <w:t>干净、无杂物、排水通畅</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23468551">
            <w:pPr>
              <w:tabs>
                <w:tab w:val="left" w:pos="0"/>
                <w:tab w:val="left" w:pos="540"/>
              </w:tabs>
              <w:spacing w:line="440" w:lineRule="exact"/>
              <w:ind w:left="440" w:hanging="440"/>
              <w:jc w:val="center"/>
              <w:rPr>
                <w:rFonts w:hint="eastAsia" w:ascii="宋体" w:hAnsi="宋体" w:eastAsia="宋体" w:cs="宋体"/>
                <w:szCs w:val="21"/>
              </w:rPr>
            </w:pPr>
          </w:p>
        </w:tc>
      </w:tr>
      <w:tr w14:paraId="70E2639A">
        <w:tblPrEx>
          <w:tblCellMar>
            <w:top w:w="0" w:type="dxa"/>
            <w:left w:w="0" w:type="dxa"/>
            <w:bottom w:w="0" w:type="dxa"/>
            <w:right w:w="0" w:type="dxa"/>
          </w:tblCellMar>
        </w:tblPrEx>
        <w:tc>
          <w:tcPr>
            <w:tcW w:w="1729" w:type="dxa"/>
            <w:vMerge w:val="continue"/>
            <w:tcBorders>
              <w:top w:val="single" w:color="000000" w:sz="4" w:space="0"/>
              <w:left w:val="single" w:color="000000" w:sz="12" w:space="0"/>
              <w:bottom w:val="single" w:color="000000" w:sz="4" w:space="0"/>
              <w:right w:val="single" w:color="000000" w:sz="4" w:space="0"/>
            </w:tcBorders>
            <w:noWrap w:val="0"/>
            <w:vAlign w:val="center"/>
          </w:tcPr>
          <w:p w14:paraId="04645B35">
            <w:pPr>
              <w:jc w:val="center"/>
              <w:rPr>
                <w:rFonts w:hint="eastAsia" w:ascii="宋体" w:hAnsi="宋体" w:eastAsia="宋体" w:cs="宋体"/>
                <w:szCs w:val="21"/>
              </w:rPr>
            </w:pP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17F5E8">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每日保洁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F35465">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公共设施抹擦</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472AB1">
            <w:pPr>
              <w:spacing w:line="440" w:lineRule="exact"/>
              <w:jc w:val="center"/>
              <w:rPr>
                <w:rFonts w:hint="eastAsia" w:ascii="宋体" w:hAnsi="宋体" w:eastAsia="宋体" w:cs="宋体"/>
                <w:szCs w:val="21"/>
              </w:rPr>
            </w:pPr>
            <w:r>
              <w:rPr>
                <w:rFonts w:hint="eastAsia" w:ascii="宋体" w:hAnsi="宋体" w:eastAsia="宋体" w:cs="宋体"/>
                <w:szCs w:val="21"/>
              </w:rPr>
              <w:t>干净、无灰网</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61F817F7">
            <w:pPr>
              <w:tabs>
                <w:tab w:val="left" w:pos="0"/>
                <w:tab w:val="left" w:pos="540"/>
              </w:tabs>
              <w:spacing w:line="440" w:lineRule="exact"/>
              <w:ind w:left="440" w:hanging="440"/>
              <w:jc w:val="center"/>
              <w:rPr>
                <w:rFonts w:hint="eastAsia" w:ascii="宋体" w:hAnsi="宋体" w:eastAsia="宋体" w:cs="宋体"/>
                <w:szCs w:val="21"/>
              </w:rPr>
            </w:pPr>
          </w:p>
        </w:tc>
      </w:tr>
      <w:tr w14:paraId="7E008100">
        <w:tblPrEx>
          <w:tblCellMar>
            <w:top w:w="0" w:type="dxa"/>
            <w:left w:w="0" w:type="dxa"/>
            <w:bottom w:w="0" w:type="dxa"/>
            <w:right w:w="0" w:type="dxa"/>
          </w:tblCellMar>
        </w:tblPrEx>
        <w:tc>
          <w:tcPr>
            <w:tcW w:w="1729" w:type="dxa"/>
            <w:vMerge w:val="continue"/>
            <w:tcBorders>
              <w:top w:val="single" w:color="000000" w:sz="4" w:space="0"/>
              <w:left w:val="single" w:color="000000" w:sz="12" w:space="0"/>
              <w:bottom w:val="single" w:color="000000" w:sz="4" w:space="0"/>
              <w:right w:val="single" w:color="000000" w:sz="4" w:space="0"/>
            </w:tcBorders>
            <w:noWrap w:val="0"/>
            <w:vAlign w:val="center"/>
          </w:tcPr>
          <w:p w14:paraId="5FCA5AD8">
            <w:pPr>
              <w:jc w:val="center"/>
              <w:rPr>
                <w:rFonts w:hint="eastAsia" w:ascii="宋体" w:hAnsi="宋体" w:eastAsia="宋体" w:cs="宋体"/>
                <w:szCs w:val="21"/>
              </w:rPr>
            </w:pP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A291EE">
            <w:pPr>
              <w:spacing w:line="440" w:lineRule="exact"/>
              <w:ind w:left="440" w:hanging="440"/>
              <w:jc w:val="center"/>
              <w:rPr>
                <w:rFonts w:hint="eastAsia" w:ascii="宋体" w:hAnsi="宋体" w:eastAsia="宋体" w:cs="宋体"/>
                <w:szCs w:val="21"/>
              </w:rPr>
            </w:pPr>
            <w:r>
              <w:rPr>
                <w:rFonts w:hint="eastAsia" w:ascii="宋体" w:hAnsi="宋体" w:eastAsia="宋体" w:cs="宋体"/>
                <w:szCs w:val="21"/>
              </w:rPr>
              <w:t>每日保洁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1C712C">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花盆、垃圾桶抹擦、清倒</w:t>
            </w: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A745E3">
            <w:pPr>
              <w:spacing w:line="440" w:lineRule="exact"/>
              <w:jc w:val="center"/>
              <w:rPr>
                <w:rFonts w:hint="eastAsia" w:ascii="宋体" w:hAnsi="宋体" w:eastAsia="宋体" w:cs="宋体"/>
                <w:szCs w:val="21"/>
              </w:rPr>
            </w:pPr>
            <w:r>
              <w:rPr>
                <w:rFonts w:hint="eastAsia" w:ascii="宋体" w:hAnsi="宋体" w:eastAsia="宋体" w:cs="宋体"/>
                <w:szCs w:val="21"/>
              </w:rPr>
              <w:t>干净、无积灰、无污迹、无杂物、无烟灰</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271B7B27">
            <w:pPr>
              <w:tabs>
                <w:tab w:val="left" w:pos="0"/>
                <w:tab w:val="left" w:pos="540"/>
              </w:tabs>
              <w:spacing w:line="440" w:lineRule="exact"/>
              <w:ind w:left="440" w:hanging="440"/>
              <w:jc w:val="center"/>
              <w:rPr>
                <w:rFonts w:hint="eastAsia" w:ascii="宋体" w:hAnsi="宋体" w:eastAsia="宋体" w:cs="宋体"/>
                <w:szCs w:val="21"/>
              </w:rPr>
            </w:pPr>
          </w:p>
        </w:tc>
      </w:tr>
      <w:tr w14:paraId="020D2F59">
        <w:tblPrEx>
          <w:tblCellMar>
            <w:top w:w="0" w:type="dxa"/>
            <w:left w:w="0" w:type="dxa"/>
            <w:bottom w:w="0" w:type="dxa"/>
            <w:right w:w="0" w:type="dxa"/>
          </w:tblCellMar>
        </w:tblPrEx>
        <w:tc>
          <w:tcPr>
            <w:tcW w:w="1729" w:type="dxa"/>
            <w:tcBorders>
              <w:top w:val="single" w:color="000000" w:sz="4" w:space="0"/>
              <w:left w:val="single" w:color="000000" w:sz="12" w:space="0"/>
              <w:bottom w:val="single" w:color="000000" w:sz="4" w:space="0"/>
              <w:right w:val="single" w:color="000000" w:sz="4" w:space="0"/>
            </w:tcBorders>
            <w:noWrap w:val="0"/>
            <w:tcMar>
              <w:left w:w="108" w:type="dxa"/>
              <w:right w:w="108" w:type="dxa"/>
            </w:tcMar>
            <w:vAlign w:val="center"/>
          </w:tcPr>
          <w:p w14:paraId="05D0C5AE">
            <w:pPr>
              <w:spacing w:line="440" w:lineRule="exact"/>
              <w:jc w:val="center"/>
              <w:rPr>
                <w:rFonts w:hint="eastAsia" w:ascii="宋体" w:hAnsi="宋体" w:eastAsia="宋体" w:cs="宋体"/>
                <w:szCs w:val="21"/>
              </w:rPr>
            </w:pPr>
            <w:r>
              <w:rPr>
                <w:rFonts w:hint="eastAsia" w:ascii="宋体" w:hAnsi="宋体" w:eastAsia="宋体" w:cs="宋体"/>
                <w:szCs w:val="21"/>
              </w:rPr>
              <w:t>顶篷、露天阳台、雨棚、房屋楼顶等边缘区域</w:t>
            </w:r>
          </w:p>
        </w:tc>
        <w:tc>
          <w:tcPr>
            <w:tcW w:w="14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87ABD5">
            <w:pPr>
              <w:spacing w:line="440" w:lineRule="exact"/>
              <w:jc w:val="center"/>
              <w:rPr>
                <w:rFonts w:hint="eastAsia" w:ascii="宋体" w:hAnsi="宋体" w:eastAsia="宋体" w:cs="宋体"/>
                <w:szCs w:val="21"/>
              </w:rPr>
            </w:pPr>
            <w:r>
              <w:rPr>
                <w:rFonts w:hint="eastAsia" w:ascii="宋体" w:hAnsi="宋体" w:eastAsia="宋体" w:cs="宋体"/>
                <w:szCs w:val="21"/>
              </w:rPr>
              <w:t>每日保洁</w:t>
            </w:r>
          </w:p>
        </w:tc>
        <w:tc>
          <w:tcPr>
            <w:tcW w:w="28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C1D9EB">
            <w:pPr>
              <w:tabs>
                <w:tab w:val="left" w:pos="0"/>
                <w:tab w:val="left" w:pos="540"/>
              </w:tabs>
              <w:spacing w:line="440" w:lineRule="exact"/>
              <w:jc w:val="center"/>
              <w:rPr>
                <w:rFonts w:hint="eastAsia" w:ascii="宋体" w:hAnsi="宋体" w:eastAsia="宋体" w:cs="宋体"/>
                <w:szCs w:val="21"/>
              </w:rPr>
            </w:pPr>
            <w:r>
              <w:rPr>
                <w:rFonts w:hint="eastAsia" w:ascii="宋体" w:hAnsi="宋体" w:eastAsia="宋体" w:cs="宋体"/>
                <w:szCs w:val="21"/>
              </w:rPr>
              <w:t>沟槽、地面、蓬面不定期清扫、冲洗，清洁堵塞物</w:t>
            </w:r>
          </w:p>
          <w:p w14:paraId="0B1E908F">
            <w:pPr>
              <w:tabs>
                <w:tab w:val="left" w:pos="0"/>
                <w:tab w:val="left" w:pos="540"/>
              </w:tabs>
              <w:spacing w:line="440" w:lineRule="exact"/>
              <w:jc w:val="center"/>
              <w:rPr>
                <w:rFonts w:hint="eastAsia" w:ascii="宋体" w:hAnsi="宋体" w:eastAsia="宋体" w:cs="宋体"/>
                <w:szCs w:val="21"/>
              </w:rPr>
            </w:pPr>
          </w:p>
        </w:tc>
        <w:tc>
          <w:tcPr>
            <w:tcW w:w="18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238CB8">
            <w:pPr>
              <w:spacing w:line="440" w:lineRule="exact"/>
              <w:jc w:val="center"/>
              <w:rPr>
                <w:rFonts w:hint="eastAsia" w:ascii="宋体" w:hAnsi="宋体" w:eastAsia="宋体" w:cs="宋体"/>
                <w:szCs w:val="21"/>
              </w:rPr>
            </w:pPr>
            <w:r>
              <w:rPr>
                <w:rFonts w:hint="eastAsia" w:ascii="宋体" w:hAnsi="宋体" w:eastAsia="宋体" w:cs="宋体"/>
                <w:szCs w:val="21"/>
              </w:rPr>
              <w:t>沟槽无堵塞物，地面、蓬面无污迹，无杂物堆放，边缘区域无蛛丝、脏物</w:t>
            </w:r>
          </w:p>
        </w:tc>
        <w:tc>
          <w:tcPr>
            <w:tcW w:w="1224" w:type="dxa"/>
            <w:tcBorders>
              <w:top w:val="single" w:color="000000" w:sz="4" w:space="0"/>
              <w:left w:val="single" w:color="000000" w:sz="4" w:space="0"/>
              <w:bottom w:val="single" w:color="000000" w:sz="4" w:space="0"/>
              <w:right w:val="single" w:color="000000" w:sz="12" w:space="0"/>
            </w:tcBorders>
            <w:noWrap w:val="0"/>
            <w:tcMar>
              <w:left w:w="108" w:type="dxa"/>
              <w:right w:w="108" w:type="dxa"/>
            </w:tcMar>
            <w:vAlign w:val="center"/>
          </w:tcPr>
          <w:p w14:paraId="7D056A44">
            <w:pPr>
              <w:tabs>
                <w:tab w:val="left" w:pos="0"/>
                <w:tab w:val="left" w:pos="540"/>
              </w:tabs>
              <w:spacing w:line="440" w:lineRule="exact"/>
              <w:ind w:left="440" w:hanging="440"/>
              <w:jc w:val="center"/>
              <w:rPr>
                <w:rFonts w:hint="eastAsia" w:ascii="宋体" w:hAnsi="宋体" w:eastAsia="宋体" w:cs="宋体"/>
                <w:szCs w:val="21"/>
              </w:rPr>
            </w:pPr>
          </w:p>
          <w:p w14:paraId="66EFC07F">
            <w:pPr>
              <w:tabs>
                <w:tab w:val="left" w:pos="0"/>
                <w:tab w:val="left" w:pos="540"/>
              </w:tabs>
              <w:spacing w:line="440" w:lineRule="exact"/>
              <w:ind w:left="440" w:hanging="440"/>
              <w:jc w:val="center"/>
              <w:rPr>
                <w:rFonts w:hint="eastAsia" w:ascii="宋体" w:hAnsi="宋体" w:eastAsia="宋体" w:cs="宋体"/>
                <w:szCs w:val="21"/>
              </w:rPr>
            </w:pPr>
          </w:p>
          <w:p w14:paraId="29ED3ACF">
            <w:pPr>
              <w:tabs>
                <w:tab w:val="left" w:pos="0"/>
                <w:tab w:val="left" w:pos="540"/>
              </w:tabs>
              <w:spacing w:line="440" w:lineRule="exact"/>
              <w:ind w:left="440" w:hanging="440"/>
              <w:jc w:val="center"/>
              <w:rPr>
                <w:rFonts w:hint="eastAsia" w:ascii="宋体" w:hAnsi="宋体" w:eastAsia="宋体" w:cs="宋体"/>
                <w:szCs w:val="21"/>
              </w:rPr>
            </w:pPr>
          </w:p>
        </w:tc>
      </w:tr>
      <w:tr w14:paraId="7D07DE90">
        <w:tblPrEx>
          <w:tblCellMar>
            <w:top w:w="0" w:type="dxa"/>
            <w:left w:w="0" w:type="dxa"/>
            <w:bottom w:w="0" w:type="dxa"/>
            <w:right w:w="0" w:type="dxa"/>
          </w:tblCellMar>
        </w:tblPrEx>
        <w:trPr>
          <w:trHeight w:val="567" w:hRule="atLeast"/>
        </w:trPr>
        <w:tc>
          <w:tcPr>
            <w:tcW w:w="9060" w:type="dxa"/>
            <w:gridSpan w:val="5"/>
            <w:tcBorders>
              <w:top w:val="single" w:color="000000" w:sz="4" w:space="0"/>
              <w:left w:val="single" w:color="000000" w:sz="12" w:space="0"/>
              <w:bottom w:val="single" w:color="000000" w:sz="12" w:space="0"/>
              <w:right w:val="single" w:color="000000" w:sz="12" w:space="0"/>
            </w:tcBorders>
            <w:noWrap w:val="0"/>
            <w:tcMar>
              <w:left w:w="108" w:type="dxa"/>
              <w:right w:w="108" w:type="dxa"/>
            </w:tcMar>
            <w:vAlign w:val="top"/>
          </w:tcPr>
          <w:p w14:paraId="177367EE">
            <w:pPr>
              <w:tabs>
                <w:tab w:val="left" w:pos="0"/>
                <w:tab w:val="left" w:pos="540"/>
              </w:tabs>
              <w:spacing w:line="440" w:lineRule="exact"/>
              <w:ind w:left="440" w:hanging="440"/>
              <w:jc w:val="left"/>
              <w:rPr>
                <w:rFonts w:hint="eastAsia" w:ascii="宋体" w:hAnsi="宋体" w:eastAsia="宋体" w:cs="宋体"/>
                <w:szCs w:val="21"/>
              </w:rPr>
            </w:pPr>
            <w:r>
              <w:rPr>
                <w:rFonts w:hint="eastAsia" w:ascii="宋体" w:hAnsi="宋体" w:eastAsia="宋体" w:cs="宋体"/>
                <w:szCs w:val="21"/>
              </w:rPr>
              <w:t>随时清洁、循环清洁，保证区域内无垃圾等目视污物，整体干净明亮。</w:t>
            </w:r>
          </w:p>
          <w:p w14:paraId="34F1A9A9">
            <w:pPr>
              <w:tabs>
                <w:tab w:val="left" w:pos="0"/>
                <w:tab w:val="left" w:pos="540"/>
              </w:tabs>
              <w:spacing w:line="440" w:lineRule="exact"/>
              <w:ind w:left="440" w:hanging="440"/>
              <w:jc w:val="left"/>
              <w:rPr>
                <w:rFonts w:hint="eastAsia" w:ascii="宋体" w:hAnsi="宋体" w:eastAsia="宋体" w:cs="宋体"/>
                <w:szCs w:val="21"/>
              </w:rPr>
            </w:pPr>
            <w:r>
              <w:rPr>
                <w:rFonts w:hint="eastAsia" w:ascii="宋体" w:hAnsi="宋体" w:eastAsia="宋体" w:cs="宋体"/>
                <w:szCs w:val="21"/>
              </w:rPr>
              <w:t>保洁员在每天下班前半小时对各自承包区域进行自查，发现问题及时处理。对多重耐药菌感染病</w:t>
            </w:r>
          </w:p>
          <w:p w14:paraId="3056BB28">
            <w:pPr>
              <w:tabs>
                <w:tab w:val="left" w:pos="0"/>
                <w:tab w:val="left" w:pos="540"/>
              </w:tabs>
              <w:spacing w:line="440" w:lineRule="exact"/>
              <w:ind w:left="440" w:hanging="440"/>
              <w:jc w:val="left"/>
              <w:rPr>
                <w:rFonts w:hint="eastAsia" w:ascii="宋体" w:hAnsi="宋体" w:eastAsia="宋体" w:cs="宋体"/>
                <w:szCs w:val="21"/>
              </w:rPr>
            </w:pPr>
            <w:r>
              <w:rPr>
                <w:rFonts w:hint="eastAsia" w:ascii="宋体" w:hAnsi="宋体" w:eastAsia="宋体" w:cs="宋体"/>
                <w:szCs w:val="21"/>
              </w:rPr>
              <w:t>人，每日至少二次对病人所处的病室地面、墙壁、门把手、床档、传呼器按钮、床头柜、水龙头</w:t>
            </w:r>
          </w:p>
          <w:p w14:paraId="4E222FA0">
            <w:pPr>
              <w:tabs>
                <w:tab w:val="left" w:pos="0"/>
                <w:tab w:val="left" w:pos="540"/>
              </w:tabs>
              <w:spacing w:line="440" w:lineRule="exact"/>
              <w:ind w:left="440" w:hanging="440"/>
              <w:jc w:val="left"/>
              <w:rPr>
                <w:rFonts w:hint="eastAsia" w:ascii="宋体" w:hAnsi="宋体" w:eastAsia="宋体" w:cs="宋体"/>
                <w:szCs w:val="21"/>
              </w:rPr>
            </w:pPr>
            <w:r>
              <w:rPr>
                <w:rFonts w:hint="eastAsia" w:ascii="宋体" w:hAnsi="宋体" w:eastAsia="宋体" w:cs="宋体"/>
                <w:szCs w:val="21"/>
              </w:rPr>
              <w:t>等进行清洁消毒，规范处置病人的医疗废物。</w:t>
            </w:r>
          </w:p>
        </w:tc>
      </w:tr>
    </w:tbl>
    <w:p w14:paraId="1A01434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1.11下水管道的管理</w:t>
      </w:r>
    </w:p>
    <w:p w14:paraId="6BEBD7C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1.11.1下水管道的管理范围</w:t>
      </w:r>
    </w:p>
    <w:p w14:paraId="7F299D9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①所有楼宇室内下水管道定时巡查和疏通；</w:t>
      </w:r>
    </w:p>
    <w:p w14:paraId="09A2A10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②所有室外下水管道定时巡查和疏通；</w:t>
      </w:r>
    </w:p>
    <w:p w14:paraId="0787CF5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③医院红线范围内室外下水管道的疏通；</w:t>
      </w:r>
    </w:p>
    <w:p w14:paraId="0862CEC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④医院红线范围内所有雨水井、明沟渠的巡查和清理；</w:t>
      </w:r>
    </w:p>
    <w:p w14:paraId="0C7792D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⑤医院红线范围内所有雨水管道的定时清理和疏通。</w:t>
      </w:r>
    </w:p>
    <w:p w14:paraId="6D52946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1.11.2下水管道的管理要求</w:t>
      </w:r>
    </w:p>
    <w:p w14:paraId="379B624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①要求有专业人员从事此项工作，并提供24小时服务。一旦发生清理疏通管道及井的紧急通知后，必须立即响应，及时完成。</w:t>
      </w:r>
    </w:p>
    <w:p w14:paraId="3988B6C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②所有工作人员统一着装、配带工卡上岗，文明作业。</w:t>
      </w:r>
    </w:p>
    <w:p w14:paraId="708468B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③每次清理必须全面彻底，检查井内应能见到流水槽，管道要求无堵塞，水流通畅。</w:t>
      </w:r>
    </w:p>
    <w:p w14:paraId="32D8749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④污水井、化粪池、雨水井每次清理疏通后，应立即将周围清理并冲洗干净。</w:t>
      </w:r>
    </w:p>
    <w:p w14:paraId="58A793B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⑤清理管道及检查井时必须注意安全，污水井盖打开后必须经过一段时间通风后才能下人作业，并且要有他人监护，摆放警示牌，清理完后要立即盖好井盖，保证安全。</w:t>
      </w:r>
    </w:p>
    <w:p w14:paraId="539B728B">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⑥中标人对井盖是否稳固具有管理责任，发现井盖松动、损坏、丢失、地下管道经过部位地面下陷等情况必须及时向采购人反馈，同时做好安全保护措施。</w:t>
      </w:r>
    </w:p>
    <w:p w14:paraId="18DFFCB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⑦所有内外下水管道要定时巡查，保持通畅。如由于人为原因造成的损失，由中标人负责。</w:t>
      </w:r>
    </w:p>
    <w:p w14:paraId="44A390D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⑧因管理因素造成医院及周边环境污染，以及人身伤害或由此引发的其它事故，由中标人承担全部责任。</w:t>
      </w:r>
    </w:p>
    <w:p w14:paraId="616D03F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（2）安保及秩序维护服务要求</w:t>
      </w:r>
    </w:p>
    <w:p w14:paraId="2C99B8E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服务区域内实行24小时监控、巡更执勤工作；工作时间段内做好秩序维护、安全防范，做好车辆停放管理，确保无火灾、无刑事事故、无安全隐患发生。做好紧急突发事件的应急处理工作。如有事故发生，做到能够及时报警、保护现场，防止事态进一步恶化，事件处理及时率100%。</w:t>
      </w:r>
    </w:p>
    <w:p w14:paraId="75A3BC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（3）设备设施维护服务要求</w:t>
      </w:r>
    </w:p>
    <w:p w14:paraId="11EEA592">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总体要求：负责给排水、强弱电、电梯、空调、消防、楼宇自控、广播、安防等系统配合协调相关设施设备的保修、年检等工作，按照采购人要求拟定照明、空调、电梯、开水器等设备开关时间，并做好各项节能工作。确保零修、急修报修及时率达98%以上。</w:t>
      </w:r>
    </w:p>
    <w:p w14:paraId="2CDDF52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电梯、空调、消防、配电、楼宇自控、广播、安防等设备设施，如由厂家或专业维保公司维修、维保的，采取三方共管方式【采购人、设备供应商（或施工方）、中标人】，做好第三方监督管理工作，承担连带责任。以上设备如发现故障应及时与设备供应商（或施工方）、采购人、协调、联系，尽快排除故障。</w:t>
      </w:r>
    </w:p>
    <w:p w14:paraId="2A9F393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3.2具体要求</w:t>
      </w:r>
    </w:p>
    <w:p w14:paraId="74A6C67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①给排水系统：保持泵房清洁卫生，三个月清洗1次泵房，楼顶落水口保持完好畅通。</w:t>
      </w:r>
    </w:p>
    <w:p w14:paraId="02B1DBD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②供配电系统：保持配电房清洁卫生，每周清扫地面及擦拭配电柜表面。每年配合专业单位对供配电相关系统进行测试，对其外部进行清洁、保养；巡查有无动物侵入配电房。</w:t>
      </w:r>
    </w:p>
    <w:p w14:paraId="34BAD3C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③电梯运行与管理：保持电梯机房清洁，经常清扫地面和控制柜、主机表面，每年检查2次电梯井底，清除垃圾。电梯轿厢内清洁、层门内外清洁、召唤面板、按钮清洁。</w:t>
      </w:r>
    </w:p>
    <w:p w14:paraId="06F47A0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④空调系统及其配套设施：采购人承担主机房及主机及其附属设施进行每周清洁。每年对进、出风机、主机房、消防设备、控制柜内线路进行吸尘清洁一次。</w:t>
      </w:r>
    </w:p>
    <w:p w14:paraId="1AB86AF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⑤消防系统：严格贯彻执行消防法规。每月至少两次巡查消防栓、箱、烟感、喷淋、消防外阀、消防标志等是否完好、齐全，及时报修。每年配合模拟火灾演练 1 次。消防监控室24小时值班。每日填写工作记录，建档备案。</w:t>
      </w:r>
    </w:p>
    <w:p w14:paraId="6F045D7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⑥夜景照明系统：根据采购人要求的时间和模式开闭夜景照明系统，及时报修。</w:t>
      </w:r>
    </w:p>
    <w:p w14:paraId="00D41A2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（4）会议服务要求</w:t>
      </w:r>
    </w:p>
    <w:p w14:paraId="360D81B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4.1总体要求：①接到通知后根据采购人要求进行布场工作。②为参会方提供相应的会议服务。</w:t>
      </w:r>
    </w:p>
    <w:p w14:paraId="3393331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4.2会议前工作服务要求</w:t>
      </w:r>
    </w:p>
    <w:p w14:paraId="51AA416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①接到会议通知后，了解会议名称、性质、开会时间、会议人数及布置要求。</w:t>
      </w:r>
    </w:p>
    <w:p w14:paraId="48D3B9E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②根据采购人要求将所需的各种用具和设备准备好（会议桌、椅、茶杯等）</w:t>
      </w:r>
    </w:p>
    <w:p w14:paraId="33DE952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③台面要整洁，各种用具干净、齐全摆放符合标准。</w:t>
      </w:r>
    </w:p>
    <w:p w14:paraId="2CB1579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④按要求将所需用设备摆放就位等。</w:t>
      </w:r>
    </w:p>
    <w:p w14:paraId="074ACE6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⑤会议开始前半小时各准备工作完成（备好充足开水、开启照明、控制空调温度）。</w:t>
      </w:r>
    </w:p>
    <w:p w14:paraId="03FB1CF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4.3会议中工作服务要求</w:t>
      </w:r>
    </w:p>
    <w:p w14:paraId="35FDEE3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①礼貌热情地向参会人员问好，引导进入会场。</w:t>
      </w:r>
    </w:p>
    <w:p w14:paraId="4F34AF3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②提供茶水服务，补充和更换各种用品。</w:t>
      </w:r>
    </w:p>
    <w:p w14:paraId="7293ABE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③随时解决会议中的服务要求直至会议结束。</w:t>
      </w:r>
    </w:p>
    <w:p w14:paraId="65ED6C8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4.4会议后工作服务要求</w:t>
      </w:r>
    </w:p>
    <w:p w14:paraId="2C74771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①会议结束后，仔细检查一遍会场，看是否有遗忘的东西和文件等，会场的设备设施是否有损坏，并做好记录。</w:t>
      </w:r>
    </w:p>
    <w:p w14:paraId="52EB26D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②将会议用具，设备设施整理好，关闭空调、电灯、门窗，并锁好会议室的门。</w:t>
      </w:r>
    </w:p>
    <w:p w14:paraId="2C2D0E0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（5）医疗辅助服务要求</w:t>
      </w:r>
    </w:p>
    <w:p w14:paraId="503A3ED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5.1医疗辅助服务内容</w:t>
      </w:r>
    </w:p>
    <w:p w14:paraId="1B2AB78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（1）负责为患者服务指引、电梯引导等提示性服务；</w:t>
      </w:r>
    </w:p>
    <w:p w14:paraId="0AC5985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（2）根据科室要求负责医疗辅助性工作任务；</w:t>
      </w:r>
    </w:p>
    <w:p w14:paraId="5B5FB41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（3）负责各类标本的收集运送（常规、急、平），发放报告单。</w:t>
      </w:r>
    </w:p>
    <w:p w14:paraId="271ED3E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（4）协助患者家属一起陪同患者检查和治疗，病情危重必须在医护人员陪同下完成。</w:t>
      </w:r>
    </w:p>
    <w:p w14:paraId="198B5A6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（5）负责运送各类医疗文书。</w:t>
      </w:r>
    </w:p>
    <w:p w14:paraId="62A82DE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（6）负责收集运送各科室部分消毒物品.</w:t>
      </w:r>
    </w:p>
    <w:p w14:paraId="5B58D3F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（7）负责送科室常规药品。</w:t>
      </w:r>
    </w:p>
    <w:p w14:paraId="4E9218E2">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（8）负责取血和回收血袋。</w:t>
      </w:r>
    </w:p>
    <w:p w14:paraId="63E5977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（9）负责送全院的各类大输液。</w:t>
      </w:r>
    </w:p>
    <w:p w14:paraId="179D537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（10）负责收、送病历审核及病历归档。</w:t>
      </w:r>
    </w:p>
    <w:p w14:paraId="463E231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（11）负责送各种用品（总务库、设备库）。</w:t>
      </w:r>
    </w:p>
    <w:p w14:paraId="29BF861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（12）协助患者家属对手术病人的接送，术后病人在医护人员陪同下送回科室。</w:t>
      </w:r>
    </w:p>
    <w:p w14:paraId="496257D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5.2医疗垃圾服务要求</w:t>
      </w:r>
    </w:p>
    <w:p w14:paraId="08D4FAA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（1）服务必须满足医疗服务规范要求和行业标准；</w:t>
      </w:r>
    </w:p>
    <w:p w14:paraId="1E0A5642">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医疗废物管理条例》和卫生部《医疗废物管理办法》以及《医疗废物专业包装袋、容器和警示标志标准》等相关法律法规的规定对医疗废物进行分类收集、运送与暂时贮存。制定医疗废物管理的规章制度、工作流程和要求、有关人员的工作职责及发生医疗废物流失、泄露、扩散和意外事故的应急方案，定期对员工进行业务培训并参加医院组织的相关知识的培训。</w:t>
      </w:r>
    </w:p>
    <w:p w14:paraId="171671C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 医疗垃圾用黄色袋装，符合《医疗废物专业包装袋、容器和警示标志标准》等相关标准，垃圾袋必须采用可降解专用医疗垃圾袋，放射性废物和其他的特殊废物使用有特殊标志的污物袋进行收集。使用合格的包装物、容器，使用的污物袋应坚韧耐用、不漏水。</w:t>
      </w:r>
    </w:p>
    <w:p w14:paraId="2501BF6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 指定专人每日定时、定点、按规定路线运送医疗废物。为专职人员配备必要的职业卫生安全防护物品，每年对专职人员进行健康体检，必要时进行预防免疫接种。</w:t>
      </w:r>
    </w:p>
    <w:p w14:paraId="1842AB1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 医疗废物在规定时限内交由取得上级行政主管部门许可的医疗废物集中处置单位处置，妥善保存危险废物转移联单至少二年。</w:t>
      </w:r>
    </w:p>
    <w:p w14:paraId="7FB05A8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 严禁转让、买卖医疗废物。一经发现开除当事人，而由此产生的损失及消除影响产生的费用，由乙方全部承担。</w:t>
      </w:r>
    </w:p>
    <w:p w14:paraId="17ADF66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e.严禁在非收集、非暂时贮藏地点倾倒、堆放医疗废物，严禁将医疗废物混入其他废物和生活垃圾。</w:t>
      </w:r>
    </w:p>
    <w:p w14:paraId="3A87092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f.医疗废物处理达标、及时率100%，按规范要求分类收集、包装、储存、运输、确保不发生污染事故；</w:t>
      </w:r>
    </w:p>
    <w:p w14:paraId="4CF9636B">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（3）管理人员须具有3年以上医院运送工作经验；</w:t>
      </w:r>
    </w:p>
    <w:p w14:paraId="29DAE92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（4）必须配备现代化的通讯工具和调度设备；</w:t>
      </w:r>
    </w:p>
    <w:p w14:paraId="0655F4D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因管理不善、服务不规范导致的服务纠纷和质量事故或由此引起的其它事件，由中标人承担全部责任。</w:t>
      </w:r>
    </w:p>
    <w:p w14:paraId="16D9C9D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送：中标人需按采购人要求承担患者抬送和物资配送，运送内容包括：协助护士长请领物品，病房开水充、送，生活垃圾、医疗垃圾收集和运送，标本收集，被服运送、药品、大配方车、盐水输液、压缩气瓶、其他批量物品的运送，卫生材料、文件及单据（包括所有检查单、报告单、摄片资料等）的报送，手术患者的接送，行动不便病人的搬运（担架或轮椅运输）等。在运送过程中不得逗留，不得与无关人员接触，确保安全，如有损坏按价赔偿。</w:t>
      </w:r>
    </w:p>
    <w:p w14:paraId="2EAD7B1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（6）停车管理服务要求</w:t>
      </w:r>
    </w:p>
    <w:p w14:paraId="574257E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采购人提供停车场地和门禁收费设施给中标人使用，停车服务管理由中标人自行组织实施，停车费用须全款上缴至采购人。同时中标人必须满足下列要求：</w:t>
      </w:r>
    </w:p>
    <w:p w14:paraId="71784E7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①负责全院医疗秩序维护全院各出入口的交通秩序维护，24小时保证出入口道路通畅，出入口周边20米范围内不准停放任何车辆、摊位及其他妨碍交通的任何物品，不得有妨碍交通的人员聚集。</w:t>
      </w:r>
    </w:p>
    <w:p w14:paraId="632DAEA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负责整个区域内车辆秩序的管理，指挥各类车辆有序停放、进出，严禁无关人员进入院区（拾荒、发传单、卖报、乞讨等闲杂人员），执行物价部门的相关规定，对社会车辆实行停车收费制度（收费标准按照发改委关于滁城公立医院机动车停放服务收费标准的通知执行）。</w:t>
      </w:r>
    </w:p>
    <w:p w14:paraId="7E2FB6B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③采购人的单位车辆、本院职工私人车辆以及对执行公务的军车（含武警车辆）、警车、消防车、救护车、工程抢险等车辆免费停放。</w:t>
      </w:r>
    </w:p>
    <w:p w14:paraId="7488E11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④保证停车场24小时正常使用和消防通道24小时畅通和区域内的安全有序。</w:t>
      </w:r>
    </w:p>
    <w:p w14:paraId="5EA235F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⑤停车场服务人员作为采购人保安力量的组成部分，兼具保安职责，随时听从采购人保卫科调遣。</w:t>
      </w:r>
    </w:p>
    <w:p w14:paraId="7552295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⑥院区岗亭处工作人员须严加防范，重点检查可疑人员和院方采购人物资的不正当流出。</w:t>
      </w:r>
    </w:p>
    <w:p w14:paraId="2E2841E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对来院车辆管理：一是确保院内车辆停放有序，汽车停放在泊位，二轮、三轮车停放在指定区域，不得在院内其它区域乱停乱放。二是严防车辆的损坏、丢失，对所管车辆的丢失、损坏均有中标人负责。三是对于停车纠纷、客户投诉等问题均由中标人自行处理解决。</w:t>
      </w:r>
    </w:p>
    <w:p w14:paraId="0FFE9D3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⑧中标人自行承担上岗人员服装、对讲机等工作器具的配备；停车场收费设施由采购人提供，但采购人不承担运营过程中设施的维护、保养和补充设施等费用。</w:t>
      </w:r>
    </w:p>
    <w:p w14:paraId="398A29C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⑨负责院区内(指院内建筑物之外的所有范围)的卫生管理，每天必须定时大扫一次，必须定时循环清扫，保证院区内始终无杂物、无垃圾、无烟头、无积尘，始终干净整洁。</w:t>
      </w:r>
    </w:p>
    <w:p w14:paraId="12BBEF9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⑩负责各个院区大门前及两侧范围内的秩序和卫生，保证此范围内无垃圾、无乱停乱放车辆；负责落实门前“三包”责任。</w:t>
      </w:r>
    </w:p>
    <w:p w14:paraId="316D0B1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⑪</w:t>
      </w:r>
      <w:r>
        <w:rPr>
          <w:rFonts w:hint="eastAsia" w:ascii="宋体" w:hAnsi="宋体" w:eastAsia="宋体" w:cs="宋体"/>
          <w:color w:val="auto"/>
          <w:sz w:val="24"/>
          <w:szCs w:val="24"/>
          <w:highlight w:val="none"/>
          <w:lang w:val="en-US" w:eastAsia="zh-CN"/>
        </w:rPr>
        <w:t>自行办理完善的停车场收费经营手续，严格按物价部门批复收取费用，依法依规经营并独自承担相关法律责任。</w:t>
      </w:r>
    </w:p>
    <w:p w14:paraId="0CC3D74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⑫</w:t>
      </w:r>
      <w:r>
        <w:rPr>
          <w:rFonts w:hint="eastAsia" w:ascii="宋体" w:hAnsi="宋体" w:eastAsia="宋体" w:cs="宋体"/>
          <w:color w:val="auto"/>
          <w:sz w:val="24"/>
          <w:szCs w:val="24"/>
          <w:highlight w:val="none"/>
          <w:lang w:val="en-US" w:eastAsia="zh-CN"/>
        </w:rPr>
        <w:t>隶属于总务科管理，须按采购人要求进行服务。</w:t>
      </w:r>
    </w:p>
    <w:p w14:paraId="23FE2AEF">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陪护工作内容及服务要求</w:t>
      </w:r>
    </w:p>
    <w:p w14:paraId="779AC89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陪护收费标准须符合安徽省相关陪护规定并不得高于安徽省其他地级市医院陪护收费，具体收费标准中标人须经采购人确认后实施。</w:t>
      </w:r>
    </w:p>
    <w:p w14:paraId="4DF4A75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（8）其他相关服务要求</w:t>
      </w:r>
    </w:p>
    <w:p w14:paraId="22E75FC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8.1所有人员统一着装（春、夏、秋、冬制服各两套），挂牌上岗。</w:t>
      </w:r>
    </w:p>
    <w:p w14:paraId="67DFE94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人员数量及要求须按规定要求配置，不符合要求的必须在一周内调整。数量不符合要求或有合岗现象的，发现时按发现的合岗人数扣除未到岗人员的工资（按采购人实际支付的人员工资）整改完成后次月按实际人数付费；三次以上发现要求整改且拒绝整改到位的终止协议，给采购人带来损失的同时赔偿相应损失；人员配置的资质不符合岗位要求的，每发现一次处以2000元违约金，发现两次终止合同，给采购人带来损失的同时赔偿相应损失，并通报物业行政主管部门。</w:t>
      </w:r>
    </w:p>
    <w:p w14:paraId="79E11F1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8.3项目负责人中标后仅在本项目服务，不得到其他项目任项目负责人，每周须五天坚守岗位。特殊情况须向采购人请假，经批准后方可离岗。</w:t>
      </w:r>
    </w:p>
    <w:p w14:paraId="3525A3F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8.4员工服装、安保人员警具、消毒用品及保洁材料等由中标人自行提供。</w:t>
      </w:r>
    </w:p>
    <w:p w14:paraId="0781382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8.5本项物业管理服务由中标人承包，实行统一管理、综合服务，不得分包经营。</w:t>
      </w:r>
    </w:p>
    <w:p w14:paraId="27A4498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8.6配送：除上述要求外，中标人还需承担全院病人抬送和物资配送，配送内容包括：卫生材料、文件及单据、批量物品、药品、标本、大配方车、盐水输液、病人、压缩气瓶、其他特殊运送等等。</w:t>
      </w:r>
    </w:p>
    <w:p w14:paraId="1CF1D53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8.7管理空调、暖气、电风扇、电灯、水龙头等开与关，以及在合理时间给房间通风。</w:t>
      </w:r>
    </w:p>
    <w:p w14:paraId="1750ECB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8.8在台风、雨雪季节，要加强防灾、抗灾准备，及时进行加固、排涝、除冰、雪等工作，中标人要无条件安排值班，其费用均已包括在合同价内。</w:t>
      </w:r>
    </w:p>
    <w:p w14:paraId="3C036AB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8.9协助采购人管理责任区域内的消防和防盗，人员秩序等工作。</w:t>
      </w:r>
    </w:p>
    <w:p w14:paraId="12209A6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8.10在病房区域工作的员工尤其应精神健康，有爱心、耐心。</w:t>
      </w:r>
    </w:p>
    <w:p w14:paraId="60712FF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8.11员工与服务科室相对稳定，特别是医技科室、重病房及病区，不能因员工变动影响工作。</w:t>
      </w:r>
    </w:p>
    <w:p w14:paraId="4FBBAC3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8.12所有物业员工都是医院的控烟劝导员，协助医院控烟、禁烟。</w:t>
      </w:r>
    </w:p>
    <w:p w14:paraId="1FBBF58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8.13中标人应制订具体的质量保证措施及质量保证及相关服务的承诺。如因质量未达到目标，中标人应因此承担责任和经济赔偿。</w:t>
      </w:r>
    </w:p>
    <w:p w14:paraId="417791E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8.14中标人的项目负责人必须全权负责管理承包区域服务工作，并与业主方保持密切联系。</w:t>
      </w:r>
    </w:p>
    <w:p w14:paraId="605A811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8.15中标人应制订详细的培训计划，对员工进行岗位培训、日常培训和文明礼仪培训，确保每个员工培训合格上岗。</w:t>
      </w:r>
    </w:p>
    <w:p w14:paraId="5C9CDE0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8.16中标人要合法用工，并派用与医院后勤服务相适应的工人。员工构成：①体现年轻化；②具有与工作相适应的文化；③身体健康；④适合公共场所的服务要求。中标人须按要求给员工缴纳社会保险，社会保险等费用均已计入合同价中，员工辞工率控制在每年20%以内与每月5%以内。</w:t>
      </w:r>
    </w:p>
    <w:p w14:paraId="721DCA0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8.17根据项目需求中标人应为本项目承包区域内各项服务工作配备足够人员，人员配备不得低于本次招标要求，如发现人员不足，将按少配人数扣除费用和处罚。所聘人员必须符合劳动部门有关用工规定，并经相关专业考核合格后持证上岗，采购人有权对此进行审核并提出整改意见。如采购人根据工作状况需增加物业人员时，其费用比照中标价执行。</w:t>
      </w:r>
    </w:p>
    <w:p w14:paraId="0F407ED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8.18中标人员工应做好自身防范工作。</w:t>
      </w:r>
    </w:p>
    <w:p w14:paraId="457A3CA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8.19除必须的各种社保外，还应包括第三者责任保险和员工人身意外保险</w:t>
      </w:r>
    </w:p>
    <w:p w14:paraId="666C170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①第三者责任保险：中标人应为承包区域的物业和参与承包区域经营的工作人员投保，以保证在承包期间人员和财产以外遭受损失时得到补偿。</w:t>
      </w:r>
    </w:p>
    <w:p w14:paraId="29E9E02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②员工人身意外保险：在承包期内，承包方应为其员工投保人身意外险，以保证采购人在中标人的工作人员索偿时不受任何责任的约束。</w:t>
      </w:r>
    </w:p>
    <w:p w14:paraId="1E3FE54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8.20中标人及其员工必须遵守采购人的一切行政管理、消防安全、病区等规定和制度。</w:t>
      </w:r>
    </w:p>
    <w:p w14:paraId="09E1688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8.21中标人无条件配合采购人或其授权的人员对承包区域内各项服务质量控制进行检查。</w:t>
      </w:r>
    </w:p>
    <w:p w14:paraId="16E8190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8.22遇突发事件或安全检查时，中标人必须配合有关部门执行任务，并指定专职人员协助工作，直至完成。</w:t>
      </w:r>
    </w:p>
    <w:p w14:paraId="19C5C0D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8.23中标人不得以任何理由向采购人工作人员支付小费或赠送实物，不得在承包区域住宿或从事非法活动或有损采购人利益的活动。</w:t>
      </w:r>
    </w:p>
    <w:p w14:paraId="654D801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8.24中标人不以任何形式转租、转让、抵押承包区域，在承包区域只从事采购人认可的服务工作。在承包期间，中标人的任何股份配置变动应及时通知采购人。未经采购人书面批准，任何占有支配地位的股份转让者将视为中标人出租、转让的行为。</w:t>
      </w:r>
    </w:p>
    <w:p w14:paraId="17FC8BAA">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8.25承包区域的各项服务工作时间必须符合及满足采购人的要求，包括星期天及公众假期，都不得停止工作。如因服务范围内容变动需调整合同，由双方协商确定。</w:t>
      </w:r>
    </w:p>
    <w:p w14:paraId="5EF0164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8.26对于承包合同范围外的零星工作，具体由双方协商确定。</w:t>
      </w:r>
    </w:p>
    <w:p w14:paraId="6F75AFE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8.27在服务期内承包人遇到医院各类检查及各项活动（如上级部门来院检查等），中标人要无条件加班，医院不另支付加班费，费用由中标人自行承担。</w:t>
      </w:r>
    </w:p>
    <w:p w14:paraId="587D65D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8.28公司员工发生被媒体曝光或影响医院公众形象（如卖医疗垃圾、坑害病人等）或违反医院规章制度造成不良影响，以及存在与交易文件不符合的做法，或不履行其投标文件的承诺，而由此产生的损失及消除影响产生的费用，由中标人承担全部责任。</w:t>
      </w:r>
    </w:p>
    <w:p w14:paraId="11F890F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8.29服务区内垃圾袋装收集，存放在指定地点。清卫、保洁及生活服务的工作质量按国家卫生城市和医院管理的有关标准严格验收。</w:t>
      </w:r>
    </w:p>
    <w:p w14:paraId="1A5654E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8.30生活垃圾袋、医疗垃圾袋、利器盒、保洁用消毒药剂、蚊、蝇、灭鼠、孳生物消杀药剂由中标人自行提供。</w:t>
      </w:r>
    </w:p>
    <w:p w14:paraId="552132C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8.31保姆管理、靠椅租赁、废纸板回收不在本次采购范围。</w:t>
      </w:r>
    </w:p>
    <w:p w14:paraId="6F0279A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8.32本次物业服务包含整个院区的除虫，清除杂草、垃圾等工作。</w:t>
      </w:r>
    </w:p>
    <w:p w14:paraId="3A009E9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8.33中标人自行提供服务工器具（驾驶式洗地机至少1台、手推式洗地机至少1台）和电动巡逻车至少3辆，相关费用包含在合同价中。</w:t>
      </w:r>
    </w:p>
    <w:p w14:paraId="12814F9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8.34中标人达不到采购人要求及中标人各项服务承诺，采购人有权要求其整改，并处以违约金，直至终止合同。</w:t>
      </w:r>
    </w:p>
    <w:p w14:paraId="6AE7EBD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8.35中标人须无条件配合采购人，按滁州市创建全国文明卫生城市指导手册等要求，完成相关的全国文明卫生城市创建工作（如医院责任范围内的环境卫生、车辆停放及秩序管理等），采购人不为此支付任何费用，其费用均已包括在合同价内。</w:t>
      </w:r>
    </w:p>
    <w:p w14:paraId="614A09B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8.36中标人须无条件配合采购人，按政府及有关部门的规定配合疫情防控，并保证完成政府及采购人安排的任务。采购人不为此支付任何费用，其费用均已包括在合同价内。未尽说明，由双方签订合同时另行约定。</w:t>
      </w:r>
    </w:p>
    <w:p w14:paraId="1B76313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8.37由于中标人工作不力、监管不到位等自身原因造成以上服务内容不能100%完成引起的各种事故及造成的各类损失，由中标人自行承担全部经济和法律责任。</w:t>
      </w:r>
    </w:p>
    <w:p w14:paraId="521FE4F6">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（三）人员配备要求</w:t>
      </w:r>
    </w:p>
    <w:tbl>
      <w:tblPr>
        <w:tblStyle w:val="76"/>
        <w:tblW w:w="96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9"/>
        <w:gridCol w:w="1892"/>
        <w:gridCol w:w="727"/>
        <w:gridCol w:w="6327"/>
      </w:tblGrid>
      <w:tr w14:paraId="182B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679" w:type="dxa"/>
            <w:vAlign w:val="top"/>
          </w:tcPr>
          <w:p w14:paraId="1594C886">
            <w:pPr>
              <w:pStyle w:val="7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序号</w:t>
            </w:r>
          </w:p>
        </w:tc>
        <w:tc>
          <w:tcPr>
            <w:tcW w:w="1892" w:type="dxa"/>
            <w:vAlign w:val="top"/>
          </w:tcPr>
          <w:p w14:paraId="3A295E8E">
            <w:pPr>
              <w:pStyle w:val="7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岗位设置</w:t>
            </w:r>
          </w:p>
        </w:tc>
        <w:tc>
          <w:tcPr>
            <w:tcW w:w="727" w:type="dxa"/>
            <w:vAlign w:val="top"/>
          </w:tcPr>
          <w:p w14:paraId="09DC7869">
            <w:pPr>
              <w:pStyle w:val="7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人数</w:t>
            </w:r>
          </w:p>
        </w:tc>
        <w:tc>
          <w:tcPr>
            <w:tcW w:w="6327" w:type="dxa"/>
            <w:vAlign w:val="top"/>
          </w:tcPr>
          <w:p w14:paraId="622DCDC1">
            <w:pPr>
              <w:pStyle w:val="7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岗位安排</w:t>
            </w:r>
          </w:p>
        </w:tc>
      </w:tr>
      <w:tr w14:paraId="26EC0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jc w:val="center"/>
        </w:trPr>
        <w:tc>
          <w:tcPr>
            <w:tcW w:w="679" w:type="dxa"/>
            <w:vAlign w:val="center"/>
          </w:tcPr>
          <w:p w14:paraId="301C6916">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892" w:type="dxa"/>
            <w:vAlign w:val="center"/>
          </w:tcPr>
          <w:p w14:paraId="62A46794">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行政管理人员（项目负责人、保洁主管、保安主管各1人）</w:t>
            </w:r>
          </w:p>
        </w:tc>
        <w:tc>
          <w:tcPr>
            <w:tcW w:w="727" w:type="dxa"/>
            <w:vAlign w:val="center"/>
          </w:tcPr>
          <w:p w14:paraId="0685ABE3">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3人</w:t>
            </w:r>
          </w:p>
        </w:tc>
        <w:tc>
          <w:tcPr>
            <w:tcW w:w="6327" w:type="dxa"/>
            <w:vAlign w:val="top"/>
          </w:tcPr>
          <w:p w14:paraId="0BF72CA4">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医院管理工作经验，项目负责人、保洁主管、保安主管年龄均为45周岁及以下；项目负责人本科或以上学历；保洁主管、保安主管中专及以上学历；品德良好，工作态度端正，责任心强，无不良记录；接受过专业培训，业务熟练；精力充沛、身体健康。</w:t>
            </w:r>
          </w:p>
        </w:tc>
      </w:tr>
      <w:tr w14:paraId="0040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jc w:val="center"/>
        </w:trPr>
        <w:tc>
          <w:tcPr>
            <w:tcW w:w="679" w:type="dxa"/>
            <w:vAlign w:val="center"/>
          </w:tcPr>
          <w:p w14:paraId="56B5C979">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892" w:type="dxa"/>
            <w:vAlign w:val="center"/>
          </w:tcPr>
          <w:p w14:paraId="2CAD9BE7">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普通保洁</w:t>
            </w:r>
          </w:p>
        </w:tc>
        <w:tc>
          <w:tcPr>
            <w:tcW w:w="727" w:type="dxa"/>
            <w:vAlign w:val="center"/>
          </w:tcPr>
          <w:p w14:paraId="7EC306FA">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4"/>
                <w:szCs w:val="24"/>
                <w:highlight w:val="none"/>
                <w:lang w:val="en-US" w:eastAsia="zh-CN"/>
              </w:rPr>
              <w:t>31人</w:t>
            </w:r>
          </w:p>
        </w:tc>
        <w:tc>
          <w:tcPr>
            <w:tcW w:w="6327" w:type="dxa"/>
            <w:vAlign w:val="center"/>
          </w:tcPr>
          <w:p w14:paraId="3BD61686">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年龄60周岁及以下；品德良好，工作态度端正，责任心强，无不良记录；接受过专业培训，业务熟练；精力充沛、身体健康，形体符合工作要求。</w:t>
            </w:r>
          </w:p>
        </w:tc>
      </w:tr>
      <w:tr w14:paraId="4A092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jc w:val="center"/>
        </w:trPr>
        <w:tc>
          <w:tcPr>
            <w:tcW w:w="679" w:type="dxa"/>
            <w:vAlign w:val="center"/>
          </w:tcPr>
          <w:p w14:paraId="447EDE7D">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892" w:type="dxa"/>
            <w:vAlign w:val="center"/>
          </w:tcPr>
          <w:p w14:paraId="5DEB0D2E">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志愿者</w:t>
            </w:r>
          </w:p>
        </w:tc>
        <w:tc>
          <w:tcPr>
            <w:tcW w:w="727" w:type="dxa"/>
            <w:vAlign w:val="center"/>
          </w:tcPr>
          <w:p w14:paraId="3099F6F6">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2人</w:t>
            </w:r>
          </w:p>
        </w:tc>
        <w:tc>
          <w:tcPr>
            <w:tcW w:w="6327" w:type="dxa"/>
            <w:vAlign w:val="center"/>
          </w:tcPr>
          <w:p w14:paraId="4866D180">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年龄50周岁及以下；品德良好，工作态度端正，责任心强，无不良记录；接受过专业培训，业务熟练；精力充沛、身体健康，形体符合工作要求。</w:t>
            </w:r>
          </w:p>
        </w:tc>
      </w:tr>
      <w:tr w14:paraId="36002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679" w:type="dxa"/>
            <w:vAlign w:val="center"/>
          </w:tcPr>
          <w:p w14:paraId="0B6AA83D">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892" w:type="dxa"/>
            <w:vAlign w:val="center"/>
          </w:tcPr>
          <w:p w14:paraId="6CF08924">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感染科保洁</w:t>
            </w:r>
          </w:p>
        </w:tc>
        <w:tc>
          <w:tcPr>
            <w:tcW w:w="727" w:type="dxa"/>
            <w:vAlign w:val="center"/>
          </w:tcPr>
          <w:p w14:paraId="143FE351">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3人</w:t>
            </w:r>
          </w:p>
        </w:tc>
        <w:tc>
          <w:tcPr>
            <w:tcW w:w="6327" w:type="dxa"/>
            <w:vAlign w:val="center"/>
          </w:tcPr>
          <w:p w14:paraId="2F66DF48">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年龄60周岁及以下；品德良好，工作态度端正，责任心强，无不良记录；接受过专业培训，业务熟练；精力充沛、身体健康，形体符合工作要求。</w:t>
            </w:r>
          </w:p>
        </w:tc>
      </w:tr>
      <w:tr w14:paraId="4D66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jc w:val="center"/>
        </w:trPr>
        <w:tc>
          <w:tcPr>
            <w:tcW w:w="679" w:type="dxa"/>
            <w:vAlign w:val="center"/>
          </w:tcPr>
          <w:p w14:paraId="4E16933E">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892" w:type="dxa"/>
            <w:vAlign w:val="center"/>
          </w:tcPr>
          <w:p w14:paraId="5BEAD2AE">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医疗辅助(如垃圾收送、被服收送、标本等)</w:t>
            </w:r>
          </w:p>
        </w:tc>
        <w:tc>
          <w:tcPr>
            <w:tcW w:w="727" w:type="dxa"/>
            <w:vAlign w:val="center"/>
          </w:tcPr>
          <w:p w14:paraId="1D7DA9AC">
            <w:pPr>
              <w:pStyle w:val="77"/>
              <w:keepNext w:val="0"/>
              <w:keepLines w:val="0"/>
              <w:pageBreakBefore w:val="0"/>
              <w:widowControl w:val="0"/>
              <w:kinsoku/>
              <w:wordWrap/>
              <w:overflowPunct/>
              <w:topLinePunct w:val="0"/>
              <w:autoSpaceDE/>
              <w:autoSpaceDN/>
              <w:bidi w:val="0"/>
              <w:adjustRightInd/>
              <w:snapToGrid/>
              <w:spacing w:line="500" w:lineRule="exact"/>
              <w:ind w:right="88"/>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2人</w:t>
            </w:r>
          </w:p>
        </w:tc>
        <w:tc>
          <w:tcPr>
            <w:tcW w:w="6327" w:type="dxa"/>
            <w:vAlign w:val="top"/>
          </w:tcPr>
          <w:p w14:paraId="4B2D1F33">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年龄60周岁及以下；品德良好，工作态度端正，责任心强，无不良记录；接受过专业培训，业务熟练；精力充沛、身体健康，形体符合工作要求。</w:t>
            </w:r>
          </w:p>
        </w:tc>
      </w:tr>
      <w:tr w14:paraId="53274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jc w:val="center"/>
        </w:trPr>
        <w:tc>
          <w:tcPr>
            <w:tcW w:w="679" w:type="dxa"/>
            <w:vAlign w:val="center"/>
          </w:tcPr>
          <w:p w14:paraId="00D7A4B6">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892" w:type="dxa"/>
            <w:vAlign w:val="center"/>
          </w:tcPr>
          <w:p w14:paraId="110EB736">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水电工</w:t>
            </w:r>
          </w:p>
        </w:tc>
        <w:tc>
          <w:tcPr>
            <w:tcW w:w="727" w:type="dxa"/>
            <w:vAlign w:val="center"/>
          </w:tcPr>
          <w:p w14:paraId="488951FA">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3人</w:t>
            </w:r>
          </w:p>
        </w:tc>
        <w:tc>
          <w:tcPr>
            <w:tcW w:w="6327" w:type="dxa"/>
            <w:vAlign w:val="top"/>
          </w:tcPr>
          <w:p w14:paraId="24013CE0">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男性，年龄60周岁及以下，身高160cm以上，身体健康，必须持有高压和低压电工证。</w:t>
            </w:r>
          </w:p>
        </w:tc>
      </w:tr>
      <w:tr w14:paraId="7328E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jc w:val="center"/>
        </w:trPr>
        <w:tc>
          <w:tcPr>
            <w:tcW w:w="679" w:type="dxa"/>
            <w:vAlign w:val="center"/>
          </w:tcPr>
          <w:p w14:paraId="53086DF5">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892" w:type="dxa"/>
            <w:vAlign w:val="center"/>
          </w:tcPr>
          <w:p w14:paraId="018CC1E0">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导诊（含收费员、护理员等）</w:t>
            </w:r>
          </w:p>
        </w:tc>
        <w:tc>
          <w:tcPr>
            <w:tcW w:w="727" w:type="dxa"/>
            <w:vAlign w:val="center"/>
          </w:tcPr>
          <w:p w14:paraId="19D3A465">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5人</w:t>
            </w:r>
          </w:p>
        </w:tc>
        <w:tc>
          <w:tcPr>
            <w:tcW w:w="6327" w:type="dxa"/>
            <w:vAlign w:val="center"/>
          </w:tcPr>
          <w:p w14:paraId="661C81A0">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女性、年龄35周岁及以下，身高160cm以上，形象气质佳，身体健康，普通话标准。有医疗教育背景、护理专业，归口管理科室为门诊部。所聘用人员必须经采购人认可后方可聘用上岗，如工作中发现不能胜任此岗位工作的应及时更换人员。</w:t>
            </w:r>
          </w:p>
        </w:tc>
      </w:tr>
      <w:tr w14:paraId="44DD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jc w:val="center"/>
        </w:trPr>
        <w:tc>
          <w:tcPr>
            <w:tcW w:w="679" w:type="dxa"/>
            <w:vAlign w:val="center"/>
          </w:tcPr>
          <w:p w14:paraId="4ACBEDEF">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892" w:type="dxa"/>
            <w:vAlign w:val="center"/>
          </w:tcPr>
          <w:p w14:paraId="4D8818F8">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消（安）防中控室（监控室）</w:t>
            </w:r>
          </w:p>
        </w:tc>
        <w:tc>
          <w:tcPr>
            <w:tcW w:w="727" w:type="dxa"/>
            <w:vAlign w:val="center"/>
          </w:tcPr>
          <w:p w14:paraId="1F9800B3">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4人</w:t>
            </w:r>
          </w:p>
        </w:tc>
        <w:tc>
          <w:tcPr>
            <w:tcW w:w="6327" w:type="dxa"/>
            <w:vAlign w:val="center"/>
          </w:tcPr>
          <w:p w14:paraId="63C77C80">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男性年龄55周岁及以下；女性年龄50周岁及以下。监控室值班，要求具有国家颁发的建（构）筑物消防从业资格证书或消防设施操作员或消防设施监控操作员，业务娴熟，会操作，懂基础理论。</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全天候24小时双人双岗值守中控室。密切注视监控、消控设备，通过设备及时发现安全隐患和警情以及可疑人员，并及时联合保安设法处置，认真做好监控发现问题台账记录。</w:t>
            </w:r>
          </w:p>
        </w:tc>
      </w:tr>
      <w:tr w14:paraId="7AEC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0" w:hRule="atLeast"/>
          <w:jc w:val="center"/>
        </w:trPr>
        <w:tc>
          <w:tcPr>
            <w:tcW w:w="679" w:type="dxa"/>
            <w:vAlign w:val="center"/>
          </w:tcPr>
          <w:p w14:paraId="3F766E87">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892" w:type="dxa"/>
            <w:vAlign w:val="center"/>
          </w:tcPr>
          <w:p w14:paraId="60444829">
            <w:pPr>
              <w:pStyle w:val="77"/>
              <w:keepNext w:val="0"/>
              <w:keepLines w:val="0"/>
              <w:pageBreakBefore w:val="0"/>
              <w:widowControl w:val="0"/>
              <w:kinsoku/>
              <w:wordWrap/>
              <w:overflowPunct/>
              <w:topLinePunct w:val="0"/>
              <w:autoSpaceDE/>
              <w:autoSpaceDN/>
              <w:bidi w:val="0"/>
              <w:adjustRightInd/>
              <w:snapToGrid/>
              <w:spacing w:line="500" w:lineRule="exact"/>
              <w:ind w:right="88"/>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安保人员：岗亭、大厅（定点）白班</w:t>
            </w:r>
          </w:p>
        </w:tc>
        <w:tc>
          <w:tcPr>
            <w:tcW w:w="727" w:type="dxa"/>
            <w:vAlign w:val="center"/>
          </w:tcPr>
          <w:p w14:paraId="79B7EA7F">
            <w:pPr>
              <w:pStyle w:val="77"/>
              <w:keepNext w:val="0"/>
              <w:keepLines w:val="0"/>
              <w:pageBreakBefore w:val="0"/>
              <w:widowControl w:val="0"/>
              <w:kinsoku/>
              <w:wordWrap/>
              <w:overflowPunct/>
              <w:topLinePunct w:val="0"/>
              <w:autoSpaceDE/>
              <w:autoSpaceDN/>
              <w:bidi w:val="0"/>
              <w:adjustRightInd/>
              <w:snapToGrid/>
              <w:spacing w:line="500" w:lineRule="exact"/>
              <w:ind w:right="88"/>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8人（含1人调休）</w:t>
            </w:r>
          </w:p>
        </w:tc>
        <w:tc>
          <w:tcPr>
            <w:tcW w:w="6327" w:type="dxa"/>
            <w:vMerge w:val="restart"/>
            <w:vAlign w:val="center"/>
          </w:tcPr>
          <w:p w14:paraId="7F645225">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男性，年龄55周岁及以下，持有保安证。岗位设置由总务科统一安排。</w:t>
            </w:r>
          </w:p>
          <w:p w14:paraId="05E23F3F">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白班不得少于9人、夜班不得少于4人同时在岗。定人、定岗、定位值守，并划分区域相对固定负责本岗位相关区域内的现场维护，及时发现并纠正各种违规违法、不文明及可疑迹象。随时听从调度，前往事件突发地点参与处置突发事件。</w:t>
            </w:r>
          </w:p>
        </w:tc>
      </w:tr>
      <w:tr w14:paraId="581B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jc w:val="center"/>
        </w:trPr>
        <w:tc>
          <w:tcPr>
            <w:tcW w:w="679" w:type="dxa"/>
            <w:vAlign w:val="center"/>
          </w:tcPr>
          <w:p w14:paraId="3F36F598">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892" w:type="dxa"/>
            <w:vAlign w:val="center"/>
          </w:tcPr>
          <w:p w14:paraId="17A039BF">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安保人员：岗亭（定点）夜班</w:t>
            </w:r>
          </w:p>
        </w:tc>
        <w:tc>
          <w:tcPr>
            <w:tcW w:w="727" w:type="dxa"/>
            <w:vAlign w:val="center"/>
          </w:tcPr>
          <w:p w14:paraId="2451FA4C">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2人</w:t>
            </w:r>
          </w:p>
        </w:tc>
        <w:tc>
          <w:tcPr>
            <w:tcW w:w="6327" w:type="dxa"/>
            <w:vMerge w:val="continue"/>
            <w:vAlign w:val="center"/>
          </w:tcPr>
          <w:p w14:paraId="75F7A5E2">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p>
        </w:tc>
      </w:tr>
      <w:tr w14:paraId="6301F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jc w:val="center"/>
        </w:trPr>
        <w:tc>
          <w:tcPr>
            <w:tcW w:w="679" w:type="dxa"/>
            <w:vAlign w:val="center"/>
          </w:tcPr>
          <w:p w14:paraId="73A0FA55">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892" w:type="dxa"/>
            <w:vAlign w:val="center"/>
          </w:tcPr>
          <w:p w14:paraId="53BB6963">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安保人员：应急处置及巡逻组（白班2人、夜班2人）</w:t>
            </w:r>
          </w:p>
        </w:tc>
        <w:tc>
          <w:tcPr>
            <w:tcW w:w="727" w:type="dxa"/>
            <w:vAlign w:val="center"/>
          </w:tcPr>
          <w:p w14:paraId="45573714">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4人</w:t>
            </w:r>
          </w:p>
        </w:tc>
        <w:tc>
          <w:tcPr>
            <w:tcW w:w="6327" w:type="dxa"/>
            <w:vAlign w:val="center"/>
          </w:tcPr>
          <w:p w14:paraId="4B2EA923">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男性，年龄55周岁及以下，持有保安证。具体以采购人要求的巡逻时间及次数为准。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所有人员均为消防队组成人员，承担消防队职责，负责在第一时间到达各种事发现场，处置各种突发事件。</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开展昼夜巡逻检查，每2小时巡查一遍，在巡查中，一是检查消防设施器材的完好情况。二是主动发现并制止违规用电、用水、贴小广告、医媒医托、小偷、可疑人员等违规违法和不文明行为。</w:t>
            </w:r>
          </w:p>
        </w:tc>
      </w:tr>
      <w:tr w14:paraId="3888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jc w:val="center"/>
        </w:trPr>
        <w:tc>
          <w:tcPr>
            <w:tcW w:w="679" w:type="dxa"/>
            <w:vAlign w:val="center"/>
          </w:tcPr>
          <w:p w14:paraId="4A083B27">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892" w:type="dxa"/>
            <w:vAlign w:val="center"/>
          </w:tcPr>
          <w:p w14:paraId="13682FF9">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后期拓展区</w:t>
            </w:r>
          </w:p>
        </w:tc>
        <w:tc>
          <w:tcPr>
            <w:tcW w:w="727" w:type="dxa"/>
            <w:vAlign w:val="center"/>
          </w:tcPr>
          <w:p w14:paraId="0D28E6FD">
            <w:pPr>
              <w:pStyle w:val="77"/>
              <w:keepNext w:val="0"/>
              <w:keepLines w:val="0"/>
              <w:pageBreakBefore w:val="0"/>
              <w:widowControl w:val="0"/>
              <w:kinsoku/>
              <w:wordWrap/>
              <w:overflowPunct/>
              <w:topLinePunct w:val="0"/>
              <w:autoSpaceDE/>
              <w:autoSpaceDN/>
              <w:bidi w:val="0"/>
              <w:adjustRightInd/>
              <w:snapToGrid/>
              <w:spacing w:line="500" w:lineRule="exact"/>
              <w:ind w:right="85"/>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22人</w:t>
            </w:r>
          </w:p>
        </w:tc>
        <w:tc>
          <w:tcPr>
            <w:tcW w:w="6327" w:type="dxa"/>
            <w:vAlign w:val="center"/>
          </w:tcPr>
          <w:p w14:paraId="0000EF3E">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22人的配置由采购人根据工作需要提出需要配备时再予以配置。</w:t>
            </w:r>
          </w:p>
        </w:tc>
      </w:tr>
      <w:tr w14:paraId="6A53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71" w:type="dxa"/>
            <w:gridSpan w:val="2"/>
            <w:vAlign w:val="top"/>
          </w:tcPr>
          <w:p w14:paraId="5E1B46A0">
            <w:pPr>
              <w:pStyle w:val="77"/>
              <w:keepNext w:val="0"/>
              <w:keepLines w:val="0"/>
              <w:pageBreakBefore w:val="0"/>
              <w:widowControl w:val="0"/>
              <w:kinsoku/>
              <w:wordWrap/>
              <w:overflowPunct/>
              <w:topLinePunct w:val="0"/>
              <w:autoSpaceDE/>
              <w:autoSpaceDN/>
              <w:bidi w:val="0"/>
              <w:adjustRightInd/>
              <w:snapToGrid/>
              <w:spacing w:line="500" w:lineRule="exact"/>
              <w:ind w:left="85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合计</w:t>
            </w:r>
          </w:p>
        </w:tc>
        <w:tc>
          <w:tcPr>
            <w:tcW w:w="7054" w:type="dxa"/>
            <w:gridSpan w:val="2"/>
            <w:vAlign w:val="top"/>
          </w:tcPr>
          <w:p w14:paraId="6EDD5382">
            <w:pPr>
              <w:pStyle w:val="77"/>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89人（其中22人根据工作需要提出配备时再予以配置）</w:t>
            </w:r>
          </w:p>
        </w:tc>
      </w:tr>
      <w:tr w14:paraId="7E8A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9625" w:type="dxa"/>
            <w:gridSpan w:val="4"/>
            <w:vAlign w:val="top"/>
          </w:tcPr>
          <w:p w14:paraId="7683C342">
            <w:pPr>
              <w:pStyle w:val="77"/>
              <w:keepNext w:val="0"/>
              <w:keepLines w:val="0"/>
              <w:pageBreakBefore w:val="0"/>
              <w:widowControl w:val="0"/>
              <w:kinsoku/>
              <w:wordWrap/>
              <w:overflowPunct/>
              <w:topLinePunct w:val="0"/>
              <w:autoSpaceDE/>
              <w:autoSpaceDN/>
              <w:bidi w:val="0"/>
              <w:adjustRightInd/>
              <w:snapToGrid/>
              <w:spacing w:line="500" w:lineRule="exact"/>
              <w:ind w:right="88"/>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1.以上所有人员，如工作中发现不能胜任此岗位工作的应及时更换人员。</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2.由于医院场所特殊全年无休故设置1名机动岗人员以用于随时调整调配及轮岗轮休。如采购人根据需要增加物业人员时，其费用按照中标价执行。</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3.停车费用所有收入须全款上缴至采购人。</w:t>
            </w:r>
          </w:p>
        </w:tc>
      </w:tr>
    </w:tbl>
    <w:p w14:paraId="5235B08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四、报价要求</w:t>
      </w:r>
    </w:p>
    <w:p w14:paraId="030BE11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1.中标人</w:t>
      </w:r>
      <w:r>
        <w:rPr>
          <w:rFonts w:hint="eastAsia" w:ascii="宋体" w:hAnsi="宋体" w:eastAsia="宋体" w:cs="宋体"/>
          <w:color w:val="auto"/>
          <w:sz w:val="24"/>
          <w:szCs w:val="24"/>
          <w:highlight w:val="none"/>
          <w:lang w:val="zh-CN" w:eastAsia="zh-CN"/>
        </w:rPr>
        <w:t>必须和拟派的所有岗位人员按照相关规定签订劳动合同并为其缴纳社保，否则产生的相关纠纷由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自行承担。投标时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CN" w:eastAsia="zh-CN"/>
        </w:rPr>
        <w:t>充分考虑企业利润，如因企业漏报或主动让利，产生的相关纠纷由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w:t>
      </w:r>
    </w:p>
    <w:p w14:paraId="572FF82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投标人应考虑合同期内政策性费用调整的风险。投标报价应考虑滁州市最低工资标准上调等风险，履约期限内不得以最低工资标准上调以及物价指数上涨等理由要求增加物业管理费用。</w:t>
      </w:r>
    </w:p>
    <w:p w14:paraId="0925467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投标报价中所有岗位人员基本工资和社保标准最低不得低于滁州市人社局发布的最低标准：①人员基本工资不得低于1930元/月（包含工资、劳动者个人缴纳的社会保险费和住房公积金）；②企业应承担的社保不得低于1019.8元/月；③投标人税金统一按一般纳税人核定标准计算（税率按6.72%计入）；④本项目统一按此标准计算，各投标人存在的差额部分自行考虑承担。请各投标人自行核算以上政策性费用及规定费用，如投标人对以上费用有疑问，请在本项目质疑截止时间前提出。如无疑问，投标报价应不低于上述政策性费用及规定费用价格，否则投标无效。投标人必须和拟派的所有岗位人员按照相关规定签订劳动合同并为其缴纳社保，否则产生的相关纠纷由投标人自行承担。投标人投标时充分考虑企业利润，如因企业漏报或主动让利，产生的相关纠纷由投标人自行承担。滁州市人社局对滁州市人员最低工资及五险进行调整时，中标人适当作相应调整。</w:t>
      </w:r>
    </w:p>
    <w:p w14:paraId="298A60D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投标报价为完成本次招标项目的全费用价格，其组成包括但不限于一切人员工资、奖金、福利、服装、各种加班费、夜餐费、各种社会保险、食宿与交通、办公设备、其他各种设备及工器材、零星消耗材料、除尘防滑垫、垃圾收集装置（医疗废弃物专用垃圾桶、室外果皮箱、电梯厅垃圾桶、病房内每床配1个垃圾篓、卫生间内每个蹲便器或坐便器配便纸篓、洗漱间内配生活垃圾桶、医疗及行政办公室内等区域需配备的垃圾收集装置）、保洁器具耗材（垃圾桶、垃圾袋、医疗废物袋、利器盒、垃圾车、配送车、保洁工具手推车、清洁工具等均需按照实际使用要求配置）、医院标识牌（含无烟医院、请勿大声喧哗、保持安静、地面防滑、保洁服务标准、仓库重地等）、安保器材（对讲机、电子巡更棒、执法记录仪、电筒、甩棍、橡皮棍等）、清洁消杀药剂、交接后首次保洁、安全、仓储、运输（包括垃圾外运）、维修、管理费用、税费、利润、完成合同所需的一切本身和不可或缺的所有工作开支、政策性文件规定及合同包含的所有风险、责任等各项全部费用</w:t>
      </w:r>
      <w:r>
        <w:rPr>
          <w:rFonts w:hint="eastAsia" w:ascii="宋体" w:hAnsi="宋体" w:eastAsia="宋体" w:cs="宋体"/>
          <w:color w:val="auto"/>
          <w:sz w:val="24"/>
          <w:szCs w:val="24"/>
          <w:highlight w:val="none"/>
          <w:lang w:val="en-US" w:eastAsia="zh-CN"/>
        </w:rPr>
        <w:t>及国家对中标单位征收的各种税费等所有一切费用，综合单价今后将不作任何调整。</w:t>
      </w:r>
    </w:p>
    <w:p w14:paraId="0A5FD0D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下列费用由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负责：</w:t>
      </w:r>
    </w:p>
    <w:p w14:paraId="768B320B">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①水、电、气等能源费；</w:t>
      </w:r>
    </w:p>
    <w:p w14:paraId="12AE56F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②会议茶叶、横幅制作、文具用品费用；</w:t>
      </w:r>
    </w:p>
    <w:p w14:paraId="6668F0F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eastAsia="zh-CN"/>
        </w:rPr>
        <w:t>③</w:t>
      </w:r>
      <w:r>
        <w:rPr>
          <w:rFonts w:hint="eastAsia" w:ascii="宋体" w:hAnsi="宋体" w:eastAsia="宋体" w:cs="宋体"/>
          <w:color w:val="auto"/>
          <w:sz w:val="24"/>
          <w:szCs w:val="24"/>
          <w:highlight w:val="none"/>
          <w:lang w:val="en-US" w:eastAsia="zh-CN"/>
        </w:rPr>
        <w:t>院区</w:t>
      </w:r>
      <w:r>
        <w:rPr>
          <w:rFonts w:hint="eastAsia" w:ascii="宋体" w:hAnsi="宋体" w:eastAsia="宋体" w:cs="宋体"/>
          <w:color w:val="auto"/>
          <w:sz w:val="24"/>
          <w:szCs w:val="24"/>
          <w:highlight w:val="none"/>
          <w:lang w:val="zh-CN" w:eastAsia="zh-CN"/>
        </w:rPr>
        <w:t>夜景光源、文物展厅灯具的购置费用。</w:t>
      </w:r>
    </w:p>
    <w:p w14:paraId="2BDDB7F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五、物业服务考核</w:t>
      </w:r>
    </w:p>
    <w:p w14:paraId="686270A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（一）考核形式</w:t>
      </w:r>
    </w:p>
    <w:p w14:paraId="79C61D8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1.每日巡查。由采购人安排专人（不少于2人）负责，并做好巡查记录。</w:t>
      </w:r>
    </w:p>
    <w:p w14:paraId="20497A3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2.全面检查。由采购人组织实施，每周一次，对照《滁州市第二人民医院物业管理服务考核评分细则》,现场评分、亮分，并由中标人对检查结果认可签字。</w:t>
      </w:r>
    </w:p>
    <w:p w14:paraId="255D3F05">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3.暗查。由采购人组织实施，一般两月一次。</w:t>
      </w:r>
    </w:p>
    <w:p w14:paraId="0F2A2C8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4.若中标人拒不签字，按照考核办法检查照片和现场考核人员两人签字为准，作为考核依据。</w:t>
      </w:r>
    </w:p>
    <w:p w14:paraId="5FCE7C7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5.上述考核的结果，均计入当月总分。</w:t>
      </w:r>
    </w:p>
    <w:p w14:paraId="5FD285FF">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（二）考核分值评定</w:t>
      </w:r>
    </w:p>
    <w:p w14:paraId="7C88FF7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分值满分为100分。每次考核按照《滁州市第二人民医院物业管理服务考核评分细则》规定进行评分。《滁州市第二人民医院物业管理服务考核评分细则》待项目实施阶段，由采购人根据中标人投标文件响应内容制定。</w:t>
      </w:r>
    </w:p>
    <w:p w14:paraId="3F48C5E2">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（三）考核结果评定</w:t>
      </w:r>
    </w:p>
    <w:p w14:paraId="4689F4E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每月最终考核得分在 85分以上（含85分）为合格。当月考核85分（含）以上全额支付月度物业服务费，低于85分（不含），每少1分按月度物业服务费的1%扣除（不足1分的按1分计取）；当月考核低于80分（不含80分）（不含物业进场后前2月），采购人将下达限期整改通知，整改期限不超过一个月，若整改仍不合格的终止合同。</w:t>
      </w:r>
    </w:p>
    <w:p w14:paraId="41C60790">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（四）考核细则</w:t>
      </w:r>
    </w:p>
    <w:p w14:paraId="2CFA382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1.被省、市、区媒体曝光，确属本职工作失误或失职，造成不良影响的，在当月总分中扣10分。</w:t>
      </w:r>
    </w:p>
    <w:p w14:paraId="5BB26014">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2.因管理不到位，群众反映强烈的，在当月总分中扣5分。</w:t>
      </w:r>
    </w:p>
    <w:p w14:paraId="36576E59">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3.每月因提供的材料如84消毒液、垃圾袋等耗材被科室投诉不够使用时，每有1个科室投诉在当月总分中扣3分。</w:t>
      </w:r>
    </w:p>
    <w:p w14:paraId="006B126E">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在服务期内有下列行为，造成的不当损失而产生费用，要从当月支付给乙方的费用中扣除：A、中标人要爱护与保管采购人财产，如损坏采购人设施等，按实际损失价值赔偿；B、其它因中标人不作为或管理不严等，造成采购人不良影响或损失；C、部分与招标文件不符合的做法，或不履行其投标文件的承诺。</w:t>
      </w:r>
    </w:p>
    <w:p w14:paraId="1BA29033">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5.《滁州市第二人民医院物业管理服务考核评分细则》待项目实施阶段，由采购人根据中标人投标文件响应内容制定。</w:t>
      </w:r>
    </w:p>
    <w:p w14:paraId="310F8369">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物业服务期限</w:t>
      </w:r>
    </w:p>
    <w:p w14:paraId="33D59957">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服务期三年，合同一年一签。合同根据考核结果一年一签，如考核结果不合格且整改仍不合格的,合同终止,采购人重新组织招标。</w:t>
      </w:r>
    </w:p>
    <w:p w14:paraId="10C155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p>
    <w:p w14:paraId="419ADB9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7DFD286">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6"/>
    </w:p>
    <w:p w14:paraId="2DB16EB1">
      <w:pPr>
        <w:spacing w:line="500" w:lineRule="exact"/>
        <w:ind w:left="-619" w:leftChars="-295" w:firstLine="439" w:firstLineChars="182"/>
        <w:outlineLvl w:val="1"/>
        <w:rPr>
          <w:rFonts w:ascii="宋体" w:hAnsi="宋体" w:eastAsia="宋体" w:cs="宋体"/>
          <w:b/>
          <w:color w:val="auto"/>
          <w:sz w:val="24"/>
          <w:szCs w:val="24"/>
          <w:highlight w:val="none"/>
        </w:rPr>
      </w:pPr>
      <w:bookmarkStart w:id="57" w:name="_Toc4705"/>
      <w:bookmarkStart w:id="58" w:name="_Toc11823"/>
      <w:r>
        <w:rPr>
          <w:rFonts w:hint="eastAsia" w:ascii="宋体" w:hAnsi="宋体" w:eastAsia="宋体" w:cs="宋体"/>
          <w:b/>
          <w:color w:val="auto"/>
          <w:sz w:val="24"/>
          <w:szCs w:val="24"/>
          <w:highlight w:val="none"/>
        </w:rPr>
        <w:t>一、总则</w:t>
      </w:r>
      <w:bookmarkEnd w:id="57"/>
      <w:bookmarkEnd w:id="58"/>
    </w:p>
    <w:p w14:paraId="5C9A23CC">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本项目将按照招标文件第二章 投标人须知的相关要求及本章的规定评标。</w:t>
      </w:r>
    </w:p>
    <w:p w14:paraId="7110A043">
      <w:pPr>
        <w:spacing w:line="500" w:lineRule="exact"/>
        <w:ind w:left="-619" w:leftChars="-295" w:firstLine="439" w:firstLineChars="182"/>
        <w:outlineLvl w:val="1"/>
        <w:rPr>
          <w:rFonts w:ascii="宋体" w:hAnsi="宋体" w:eastAsia="宋体" w:cs="宋体"/>
          <w:b/>
          <w:color w:val="auto"/>
          <w:sz w:val="24"/>
          <w:szCs w:val="24"/>
          <w:highlight w:val="none"/>
        </w:rPr>
      </w:pPr>
      <w:bookmarkStart w:id="59" w:name="_Toc31871"/>
      <w:bookmarkStart w:id="60" w:name="_Toc32410"/>
      <w:r>
        <w:rPr>
          <w:rFonts w:hint="eastAsia" w:ascii="宋体" w:hAnsi="宋体" w:eastAsia="宋体" w:cs="宋体"/>
          <w:b/>
          <w:color w:val="auto"/>
          <w:sz w:val="24"/>
          <w:szCs w:val="24"/>
          <w:highlight w:val="none"/>
        </w:rPr>
        <w:t>二、评标方法</w:t>
      </w:r>
      <w:bookmarkEnd w:id="59"/>
      <w:bookmarkEnd w:id="60"/>
    </w:p>
    <w:p w14:paraId="4C6EEF4E">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2.1资格审查</w:t>
      </w:r>
    </w:p>
    <w:tbl>
      <w:tblPr>
        <w:tblStyle w:val="3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50"/>
        <w:gridCol w:w="4836"/>
        <w:gridCol w:w="2001"/>
      </w:tblGrid>
      <w:tr w14:paraId="5C8B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701BD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5CE4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2A139F5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42" w:type="pct"/>
            <w:tcBorders>
              <w:bottom w:val="single" w:color="auto" w:sz="4" w:space="0"/>
            </w:tcBorders>
            <w:vAlign w:val="center"/>
          </w:tcPr>
          <w:p w14:paraId="1493D931">
            <w:pPr>
              <w:pStyle w:val="51"/>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603" w:type="pct"/>
            <w:tcBorders>
              <w:bottom w:val="single" w:color="auto" w:sz="4" w:space="0"/>
            </w:tcBorders>
            <w:vAlign w:val="center"/>
          </w:tcPr>
          <w:p w14:paraId="4571016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审查内容</w:t>
            </w:r>
          </w:p>
        </w:tc>
        <w:tc>
          <w:tcPr>
            <w:tcW w:w="1075" w:type="pct"/>
            <w:tcBorders>
              <w:bottom w:val="single" w:color="auto" w:sz="4" w:space="0"/>
            </w:tcBorders>
            <w:vAlign w:val="center"/>
          </w:tcPr>
          <w:p w14:paraId="33FAE2B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5DC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7ED939AD">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42" w:type="pct"/>
            <w:tcBorders>
              <w:bottom w:val="single" w:color="auto" w:sz="4" w:space="0"/>
            </w:tcBorders>
            <w:vAlign w:val="center"/>
          </w:tcPr>
          <w:p w14:paraId="3A37C74F">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519550CC">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714FB22F">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6F9E6172">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03793EB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666DF4DC">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075" w:type="pct"/>
            <w:vAlign w:val="center"/>
          </w:tcPr>
          <w:p w14:paraId="36F07E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AE6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2F5FCB11">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42" w:type="pct"/>
            <w:tcBorders>
              <w:bottom w:val="single" w:color="auto" w:sz="4" w:space="0"/>
            </w:tcBorders>
            <w:vAlign w:val="center"/>
          </w:tcPr>
          <w:p w14:paraId="5DC91F9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03" w:type="pct"/>
            <w:tcBorders>
              <w:bottom w:val="single" w:color="auto" w:sz="4" w:space="0"/>
            </w:tcBorders>
            <w:vAlign w:val="center"/>
          </w:tcPr>
          <w:p w14:paraId="56B5976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5" w:type="pct"/>
            <w:vAlign w:val="center"/>
          </w:tcPr>
          <w:p w14:paraId="13FC47C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2781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2E9CEB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42" w:type="pct"/>
            <w:tcBorders>
              <w:bottom w:val="single" w:color="auto" w:sz="4" w:space="0"/>
            </w:tcBorders>
            <w:vAlign w:val="center"/>
          </w:tcPr>
          <w:p w14:paraId="0E440D84">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26E1A93A">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Cs w:val="20"/>
                <w:highlight w:val="none"/>
              </w:rPr>
            </w:pPr>
            <w:r>
              <w:rPr>
                <w:rFonts w:hint="eastAsia" w:ascii="宋体" w:hAnsi="宋体" w:eastAsia="宋体" w:cs="宋体"/>
                <w:color w:val="auto"/>
                <w:sz w:val="24"/>
                <w:szCs w:val="24"/>
                <w:highlight w:val="none"/>
                <w:lang w:val="zh-CN" w:eastAsia="zh-CN"/>
              </w:rPr>
              <w:t>投标人不得存在《</w:t>
            </w:r>
            <w:r>
              <w:rPr>
                <w:rFonts w:hint="eastAsia" w:ascii="宋体" w:hAnsi="宋体" w:eastAsia="宋体" w:cs="宋体"/>
                <w:color w:val="auto"/>
                <w:sz w:val="24"/>
                <w:szCs w:val="24"/>
                <w:highlight w:val="none"/>
                <w:lang w:val="en-US" w:eastAsia="zh-CN"/>
              </w:rPr>
              <w:t>投标邀请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ascii="宋体" w:hAnsi="宋体" w:eastAsia="宋体" w:cs="宋体"/>
                <w:color w:val="auto"/>
                <w:sz w:val="24"/>
                <w:szCs w:val="24"/>
                <w:highlight w:val="none"/>
                <w:lang w:val="zh-CN" w:eastAsia="zh-CN"/>
              </w:rPr>
              <w:t>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75" w:type="pct"/>
            <w:tcBorders>
              <w:bottom w:val="single" w:color="auto" w:sz="4" w:space="0"/>
            </w:tcBorders>
            <w:vAlign w:val="center"/>
          </w:tcPr>
          <w:p w14:paraId="1EFF3A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1A9F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C6D2BC5">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lang w:val="en-US" w:eastAsia="zh-CN"/>
              </w:rPr>
              <w:t>4</w:t>
            </w:r>
          </w:p>
        </w:tc>
        <w:tc>
          <w:tcPr>
            <w:tcW w:w="942" w:type="pct"/>
            <w:tcBorders>
              <w:bottom w:val="single" w:color="auto" w:sz="4" w:space="0"/>
            </w:tcBorders>
            <w:vAlign w:val="center"/>
          </w:tcPr>
          <w:p w14:paraId="4E66C63D">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p w14:paraId="50DFAE1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p>
        </w:tc>
        <w:tc>
          <w:tcPr>
            <w:tcW w:w="2603" w:type="pct"/>
            <w:tcBorders>
              <w:bottom w:val="single" w:color="auto" w:sz="4" w:space="0"/>
            </w:tcBorders>
            <w:vAlign w:val="top"/>
          </w:tcPr>
          <w:p w14:paraId="56C2AAFD">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8"/>
                <w:highlight w:val="none"/>
                <w:lang w:val="en-US" w:eastAsia="zh-CN"/>
              </w:rPr>
              <w:t>申请人的</w:t>
            </w:r>
            <w:r>
              <w:rPr>
                <w:rFonts w:hint="eastAsia" w:ascii="宋体" w:hAnsi="宋体" w:eastAsia="宋体" w:cs="宋体"/>
                <w:color w:val="auto"/>
                <w:sz w:val="24"/>
                <w:szCs w:val="28"/>
                <w:highlight w:val="none"/>
              </w:rPr>
              <w:t>资格</w:t>
            </w:r>
            <w:r>
              <w:rPr>
                <w:rFonts w:hint="eastAsia" w:ascii="宋体" w:hAnsi="宋体" w:eastAsia="宋体" w:cs="宋体"/>
                <w:color w:val="auto"/>
                <w:sz w:val="24"/>
                <w:szCs w:val="28"/>
                <w:highlight w:val="none"/>
                <w:lang w:val="en-US" w:eastAsia="zh-CN"/>
              </w:rPr>
              <w:t>要求</w:t>
            </w:r>
            <w:r>
              <w:rPr>
                <w:rFonts w:hint="eastAsia" w:ascii="宋体" w:hAnsi="宋体" w:eastAsia="宋体" w:cs="宋体"/>
                <w:color w:val="auto"/>
                <w:sz w:val="24"/>
                <w:szCs w:val="28"/>
                <w:highlight w:val="none"/>
              </w:rPr>
              <w:t>中落实政府采购政策需满足的资格要求</w:t>
            </w:r>
            <w:r>
              <w:rPr>
                <w:rFonts w:hint="eastAsia" w:ascii="宋体" w:hAnsi="宋体" w:eastAsia="宋体" w:cs="宋体"/>
                <w:color w:val="auto"/>
                <w:sz w:val="24"/>
                <w:szCs w:val="28"/>
                <w:highlight w:val="none"/>
                <w:lang w:eastAsia="zh-CN"/>
              </w:rPr>
              <w:t>：</w:t>
            </w:r>
          </w:p>
          <w:p w14:paraId="6244C1AA">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19C5FD43">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5" w:type="pct"/>
            <w:tcBorders>
              <w:bottom w:val="single" w:color="auto" w:sz="4" w:space="0"/>
            </w:tcBorders>
            <w:vAlign w:val="center"/>
          </w:tcPr>
          <w:p w14:paraId="3E81122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0A71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59AACD2">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42" w:type="pct"/>
            <w:tcBorders>
              <w:bottom w:val="single" w:color="auto" w:sz="4" w:space="0"/>
            </w:tcBorders>
            <w:vAlign w:val="center"/>
          </w:tcPr>
          <w:p w14:paraId="2CB7F844">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603" w:type="pct"/>
            <w:tcBorders>
              <w:bottom w:val="single" w:color="auto" w:sz="4" w:space="0"/>
            </w:tcBorders>
            <w:vAlign w:val="center"/>
          </w:tcPr>
          <w:p w14:paraId="325D8E67">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如有，见第一章《投标邀请》</w:t>
            </w:r>
          </w:p>
        </w:tc>
        <w:tc>
          <w:tcPr>
            <w:tcW w:w="1075" w:type="pct"/>
            <w:tcBorders>
              <w:bottom w:val="single" w:color="auto" w:sz="4" w:space="0"/>
            </w:tcBorders>
            <w:vAlign w:val="center"/>
          </w:tcPr>
          <w:p w14:paraId="1B44E5AD">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0"/>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490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254558D0">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lang w:val="en-US" w:eastAsia="zh-CN"/>
              </w:rPr>
              <w:t>6</w:t>
            </w:r>
          </w:p>
        </w:tc>
        <w:tc>
          <w:tcPr>
            <w:tcW w:w="942" w:type="pct"/>
            <w:vAlign w:val="center"/>
          </w:tcPr>
          <w:p w14:paraId="3EC9C9F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其他特定资格要求</w:t>
            </w:r>
          </w:p>
        </w:tc>
        <w:tc>
          <w:tcPr>
            <w:tcW w:w="2603" w:type="pct"/>
            <w:vAlign w:val="center"/>
          </w:tcPr>
          <w:p w14:paraId="64D837BF">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如有，见第一章《投标邀请》</w:t>
            </w:r>
          </w:p>
        </w:tc>
        <w:tc>
          <w:tcPr>
            <w:tcW w:w="1075" w:type="pct"/>
            <w:vAlign w:val="center"/>
          </w:tcPr>
          <w:p w14:paraId="31BA7434">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25465750">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资格审查指标通过标准：</w:t>
      </w:r>
      <w:r>
        <w:rPr>
          <w:rFonts w:hint="eastAsia" w:ascii="宋体" w:hAnsi="宋体" w:eastAsia="宋体" w:cs="宋体"/>
          <w:color w:val="auto"/>
          <w:sz w:val="24"/>
          <w:szCs w:val="24"/>
          <w:highlight w:val="none"/>
        </w:rPr>
        <w:t>投标人必须通过资格审查表中的全部评审指标。</w:t>
      </w:r>
    </w:p>
    <w:p w14:paraId="7507DFA3">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2.2符合性审查</w:t>
      </w:r>
    </w:p>
    <w:p w14:paraId="275CB568">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评标委员会对通过资格审查的投标人的投标文件进行符合性审查，以确定其是否满足招标文件的实质性要求。符合性审查表如下：</w:t>
      </w:r>
    </w:p>
    <w:tbl>
      <w:tblPr>
        <w:tblStyle w:val="31"/>
        <w:tblW w:w="5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09"/>
        <w:gridCol w:w="4816"/>
        <w:gridCol w:w="3000"/>
      </w:tblGrid>
      <w:tr w14:paraId="75B5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FDF2E7B">
            <w:pPr>
              <w:adjustRightInd w:val="0"/>
              <w:snapToGrid w:val="0"/>
              <w:spacing w:line="500" w:lineRule="exact"/>
              <w:ind w:left="-619" w:leftChars="-295" w:right="-10" w:firstLine="439" w:firstLineChars="1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c>
      </w:tr>
      <w:tr w14:paraId="32EA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60" w:type="pct"/>
            <w:tcBorders>
              <w:bottom w:val="single" w:color="auto" w:sz="4" w:space="0"/>
            </w:tcBorders>
            <w:vAlign w:val="center"/>
          </w:tcPr>
          <w:p w14:paraId="70F34B84">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92" w:type="pct"/>
            <w:tcBorders>
              <w:bottom w:val="single" w:color="auto" w:sz="4" w:space="0"/>
            </w:tcBorders>
            <w:vAlign w:val="center"/>
          </w:tcPr>
          <w:p w14:paraId="6C91CACA">
            <w:pPr>
              <w:pStyle w:val="51"/>
              <w:pBdr>
                <w:bottom w:val="none" w:color="auto" w:sz="0" w:space="0"/>
              </w:pBdr>
              <w:tabs>
                <w:tab w:val="clear" w:pos="4153"/>
                <w:tab w:val="clear" w:pos="8306"/>
              </w:tabs>
              <w:snapToGrid w:val="0"/>
              <w:spacing w:line="500" w:lineRule="exact"/>
              <w:ind w:left="-619" w:leftChars="-295" w:right="-10" w:firstLine="436" w:firstLineChars="182"/>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371" w:type="pct"/>
            <w:tcBorders>
              <w:bottom w:val="single" w:color="auto" w:sz="4" w:space="0"/>
            </w:tcBorders>
            <w:vAlign w:val="center"/>
          </w:tcPr>
          <w:p w14:paraId="27883C45">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476" w:type="pct"/>
            <w:tcBorders>
              <w:bottom w:val="single" w:color="auto" w:sz="4" w:space="0"/>
            </w:tcBorders>
            <w:vAlign w:val="center"/>
          </w:tcPr>
          <w:p w14:paraId="2E52E109">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04A2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55F1DE93">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2" w:type="pct"/>
            <w:vAlign w:val="center"/>
          </w:tcPr>
          <w:p w14:paraId="09283DA2">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2371" w:type="pct"/>
            <w:vAlign w:val="center"/>
          </w:tcPr>
          <w:p w14:paraId="5F781B98">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476" w:type="pct"/>
            <w:vAlign w:val="center"/>
          </w:tcPr>
          <w:p w14:paraId="34ADDC1F">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59C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01A92825">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92" w:type="pct"/>
            <w:vAlign w:val="center"/>
          </w:tcPr>
          <w:p w14:paraId="6EEFDC28">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2371" w:type="pct"/>
            <w:vAlign w:val="center"/>
          </w:tcPr>
          <w:p w14:paraId="3B30D2A9">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476" w:type="pct"/>
            <w:vAlign w:val="center"/>
          </w:tcPr>
          <w:p w14:paraId="478C0D8C">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C83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637E6D7B">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92" w:type="pct"/>
            <w:vAlign w:val="center"/>
          </w:tcPr>
          <w:p w14:paraId="16AB4D08">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371" w:type="pct"/>
            <w:vAlign w:val="center"/>
          </w:tcPr>
          <w:p w14:paraId="6FCCCE53">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476" w:type="pct"/>
            <w:vAlign w:val="center"/>
          </w:tcPr>
          <w:p w14:paraId="073253C8">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法定代表人参加投标的无需此件，提供身份证明即可。详见第六章投标文件格式。</w:t>
            </w:r>
          </w:p>
        </w:tc>
      </w:tr>
      <w:tr w14:paraId="0DC7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74F2A458">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92" w:type="pct"/>
            <w:vAlign w:val="center"/>
          </w:tcPr>
          <w:p w14:paraId="2B668EB7">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371" w:type="pct"/>
            <w:vAlign w:val="center"/>
          </w:tcPr>
          <w:p w14:paraId="330E559C">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符合招标文件投标人须知正文第9条要求</w:t>
            </w:r>
          </w:p>
        </w:tc>
        <w:tc>
          <w:tcPr>
            <w:tcW w:w="1476" w:type="pct"/>
            <w:vAlign w:val="center"/>
          </w:tcPr>
          <w:p w14:paraId="31739F5E">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1E2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3E49DC91">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92" w:type="pct"/>
            <w:vAlign w:val="center"/>
          </w:tcPr>
          <w:p w14:paraId="036A3D23">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371" w:type="pct"/>
            <w:vAlign w:val="center"/>
          </w:tcPr>
          <w:p w14:paraId="4BC8FC50">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符合招标文件采购需求中对付款方式、服务地点、服务期限等实质性要求</w:t>
            </w:r>
          </w:p>
        </w:tc>
        <w:tc>
          <w:tcPr>
            <w:tcW w:w="1476" w:type="pct"/>
            <w:vAlign w:val="center"/>
          </w:tcPr>
          <w:p w14:paraId="06D75860">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2845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6A5BE38D">
            <w:pPr>
              <w:adjustRightInd w:val="0"/>
              <w:snapToGrid w:val="0"/>
              <w:spacing w:line="500" w:lineRule="exact"/>
              <w:ind w:left="-619" w:leftChars="-295" w:right="-10" w:firstLine="436" w:firstLineChars="18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792" w:type="pct"/>
            <w:vAlign w:val="center"/>
          </w:tcPr>
          <w:p w14:paraId="2E202080">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371" w:type="pct"/>
            <w:vAlign w:val="center"/>
          </w:tcPr>
          <w:p w14:paraId="7294BF4A">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符合法律、行政法规规定的其他条件或招标文件列明的其他实质性要求</w:t>
            </w:r>
          </w:p>
        </w:tc>
        <w:tc>
          <w:tcPr>
            <w:tcW w:w="1476" w:type="pct"/>
            <w:vAlign w:val="center"/>
          </w:tcPr>
          <w:p w14:paraId="4CDDAD3D">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p>
        </w:tc>
      </w:tr>
    </w:tbl>
    <w:p w14:paraId="3D05AB2D">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符合性审查指标通过标准：</w:t>
      </w:r>
      <w:r>
        <w:rPr>
          <w:rFonts w:hint="eastAsia" w:ascii="宋体" w:hAnsi="宋体" w:eastAsia="宋体" w:cs="宋体"/>
          <w:color w:val="auto"/>
          <w:sz w:val="24"/>
          <w:szCs w:val="24"/>
          <w:highlight w:val="none"/>
        </w:rPr>
        <w:t>投标人必须通过符合性审查表中的全部评审指标。</w:t>
      </w:r>
    </w:p>
    <w:p w14:paraId="0F1940C4">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2.3详细审查</w:t>
      </w:r>
    </w:p>
    <w:p w14:paraId="69FE2833">
      <w:pPr>
        <w:spacing w:line="500" w:lineRule="exact"/>
        <w:ind w:left="-619" w:leftChars="-295" w:firstLine="436" w:firstLineChars="182"/>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2.3.1评标委员会按照下表对投标文件进行详细审查和评分。</w:t>
      </w:r>
    </w:p>
    <w:p w14:paraId="7DC570D0">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2.3.2本项目综合评分满分为100分，其中：</w:t>
      </w:r>
      <w:r>
        <w:rPr>
          <w:rFonts w:hint="eastAsia" w:ascii="宋体" w:hAnsi="宋体" w:eastAsia="宋体" w:cs="宋体"/>
          <w:color w:val="auto"/>
          <w:sz w:val="24"/>
          <w:highlight w:val="none"/>
        </w:rPr>
        <w:t>资信分值占总分值的权重为</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lang w:val="en-US" w:eastAsia="zh-CN"/>
        </w:rPr>
        <w:t>40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36</w:t>
      </w:r>
      <w:r>
        <w:rPr>
          <w:rFonts w:hint="eastAsia" w:ascii="宋体" w:hAnsi="宋体" w:eastAsia="宋体" w:cs="宋体"/>
          <w:color w:val="auto"/>
          <w:sz w:val="24"/>
          <w:highlight w:val="none"/>
        </w:rPr>
        <w:t>%。具体评分细则如下：</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24"/>
        <w:gridCol w:w="4304"/>
        <w:gridCol w:w="1348"/>
      </w:tblGrid>
      <w:tr w14:paraId="432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vAlign w:val="center"/>
          </w:tcPr>
          <w:p w14:paraId="6EBFB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34DE0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2381" w:type="pct"/>
            <w:tcBorders>
              <w:top w:val="single" w:color="auto" w:sz="4" w:space="0"/>
              <w:left w:val="single" w:color="auto" w:sz="4" w:space="0"/>
              <w:bottom w:val="single" w:color="auto" w:sz="4" w:space="0"/>
              <w:right w:val="single" w:color="auto" w:sz="4" w:space="0"/>
            </w:tcBorders>
            <w:vAlign w:val="center"/>
          </w:tcPr>
          <w:p w14:paraId="14F98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745" w:type="pct"/>
            <w:tcBorders>
              <w:top w:val="single" w:color="auto" w:sz="4" w:space="0"/>
              <w:left w:val="single" w:color="auto" w:sz="4" w:space="0"/>
              <w:bottom w:val="single" w:color="auto" w:sz="4" w:space="0"/>
              <w:right w:val="single" w:color="auto" w:sz="4" w:space="0"/>
            </w:tcBorders>
            <w:vAlign w:val="center"/>
          </w:tcPr>
          <w:p w14:paraId="21ECDA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624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15E674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资信分</w:t>
            </w:r>
          </w:p>
          <w:p w14:paraId="347433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233BD6E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1.投标人</w:t>
            </w:r>
            <w:r>
              <w:rPr>
                <w:rFonts w:hint="eastAsia" w:asciiTheme="minorEastAsia" w:hAnsiTheme="minorEastAsia" w:eastAsiaTheme="minorEastAsia"/>
                <w:color w:val="auto"/>
                <w:sz w:val="24"/>
                <w:szCs w:val="20"/>
                <w:highlight w:val="none"/>
                <w:lang w:val="zh-CN" w:eastAsia="zh-CN"/>
              </w:rPr>
              <w:t>业绩</w:t>
            </w:r>
          </w:p>
        </w:tc>
        <w:tc>
          <w:tcPr>
            <w:tcW w:w="2381" w:type="pct"/>
            <w:tcBorders>
              <w:top w:val="single" w:color="auto" w:sz="4" w:space="0"/>
              <w:left w:val="single" w:color="auto" w:sz="4" w:space="0"/>
              <w:bottom w:val="single" w:color="auto" w:sz="4" w:space="0"/>
              <w:right w:val="single" w:color="auto" w:sz="4" w:space="0"/>
            </w:tcBorders>
            <w:vAlign w:val="center"/>
          </w:tcPr>
          <w:p w14:paraId="00BD216C">
            <w:pPr>
              <w:keepNext w:val="0"/>
              <w:keepLines w:val="0"/>
              <w:pageBreakBefore w:val="0"/>
              <w:numPr>
                <w:ilvl w:val="0"/>
                <w:numId w:val="0"/>
              </w:numPr>
              <w:kinsoku/>
              <w:wordWrap w:val="0"/>
              <w:overflowPunct/>
              <w:topLinePunct w:val="0"/>
              <w:autoSpaceDE/>
              <w:autoSpaceDN/>
              <w:bidi w:val="0"/>
              <w:adjustRightInd/>
              <w:snapToGrid/>
              <w:spacing w:line="400" w:lineRule="exact"/>
              <w:jc w:val="left"/>
              <w:textAlignment w:val="auto"/>
              <w:rPr>
                <w:rFonts w:hint="eastAsia" w:asciiTheme="minorEastAsia" w:hAnsiTheme="minorEastAsia" w:eastAsiaTheme="minorEastAsia"/>
                <w:bCs/>
                <w:color w:val="auto"/>
                <w:sz w:val="24"/>
                <w:highlight w:val="none"/>
                <w:lang w:val="zh-CN" w:eastAsia="zh-CN"/>
              </w:rPr>
            </w:pPr>
            <w:r>
              <w:rPr>
                <w:rFonts w:hint="eastAsia" w:asciiTheme="minorEastAsia" w:hAnsiTheme="minorEastAsia" w:eastAsiaTheme="minorEastAsia"/>
                <w:bCs/>
                <w:color w:val="auto"/>
                <w:sz w:val="24"/>
                <w:highlight w:val="none"/>
                <w:lang w:val="en-US" w:eastAsia="zh-CN"/>
              </w:rPr>
              <w:t>自2022年1月1日至投标截止日（以合同签订时间为准），投标人具有医院物业服务业绩（</w:t>
            </w:r>
            <w:r>
              <w:rPr>
                <w:rFonts w:hint="eastAsia" w:ascii="宋体" w:hAnsi="宋体" w:eastAsia="宋体" w:cs="宋体"/>
                <w:color w:val="auto"/>
                <w:sz w:val="24"/>
                <w:highlight w:val="none"/>
                <w:lang w:val="en-US" w:eastAsia="zh-Hans"/>
              </w:rPr>
              <w:t>服务内容同时包含保安、保洁和设施设备维护）</w:t>
            </w:r>
            <w:r>
              <w:rPr>
                <w:rFonts w:hint="eastAsia" w:asciiTheme="minorEastAsia" w:hAnsiTheme="minorEastAsia" w:eastAsiaTheme="minorEastAsia"/>
                <w:bCs/>
                <w:color w:val="auto"/>
                <w:sz w:val="24"/>
                <w:highlight w:val="none"/>
                <w:lang w:val="en-US" w:eastAsia="zh-CN"/>
              </w:rPr>
              <w:t>（含在管、已履约完毕的业绩），每提供一个得2分，</w:t>
            </w:r>
            <w:r>
              <w:rPr>
                <w:rFonts w:hint="eastAsia" w:asciiTheme="minorEastAsia" w:hAnsiTheme="minorEastAsia" w:eastAsiaTheme="minorEastAsia"/>
                <w:bCs/>
                <w:color w:val="auto"/>
                <w:sz w:val="24"/>
                <w:highlight w:val="none"/>
                <w:lang w:val="zh-CN" w:eastAsia="zh-CN"/>
              </w:rPr>
              <w:t>最高得</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val="zh-CN" w:eastAsia="zh-CN"/>
              </w:rPr>
              <w:t>分。</w:t>
            </w:r>
          </w:p>
          <w:p w14:paraId="4D90E6AE">
            <w:pPr>
              <w:keepNext w:val="0"/>
              <w:keepLines w:val="0"/>
              <w:pageBreakBefore w:val="0"/>
              <w:numPr>
                <w:ilvl w:val="0"/>
                <w:numId w:val="0"/>
              </w:numPr>
              <w:kinsoku/>
              <w:wordWrap w:val="0"/>
              <w:overflowPunct/>
              <w:topLinePunct w:val="0"/>
              <w:autoSpaceDE/>
              <w:autoSpaceDN/>
              <w:bidi w:val="0"/>
              <w:adjustRightInd/>
              <w:snapToGrid/>
              <w:spacing w:line="400" w:lineRule="exact"/>
              <w:jc w:val="left"/>
              <w:textAlignment w:val="auto"/>
              <w:rPr>
                <w:rFonts w:hint="default" w:asciiTheme="minorEastAsia" w:hAnsiTheme="minorEastAsia" w:eastAsiaTheme="minorEastAsia"/>
                <w:bCs/>
                <w:color w:val="auto"/>
                <w:sz w:val="24"/>
                <w:highlight w:val="yellow"/>
                <w:lang w:val="en-US" w:eastAsia="zh-CN"/>
              </w:rPr>
            </w:pPr>
            <w:r>
              <w:rPr>
                <w:rFonts w:hint="eastAsia" w:asciiTheme="minorEastAsia" w:hAnsiTheme="minorEastAsia" w:eastAsiaTheme="minorEastAsia"/>
                <w:bCs/>
                <w:color w:val="auto"/>
                <w:sz w:val="24"/>
                <w:highlight w:val="none"/>
              </w:rPr>
              <w:t>注：①投标文件中提供业绩合同扫描件，若合同无法体现签订时间、</w:t>
            </w:r>
            <w:r>
              <w:rPr>
                <w:rFonts w:hint="eastAsia" w:asciiTheme="minorEastAsia" w:hAnsiTheme="minorEastAsia" w:eastAsiaTheme="minorEastAsia"/>
                <w:bCs/>
                <w:color w:val="auto"/>
                <w:sz w:val="24"/>
                <w:highlight w:val="none"/>
                <w:lang w:val="en-US" w:eastAsia="zh-CN"/>
              </w:rPr>
              <w:t>业绩类型</w:t>
            </w:r>
            <w:r>
              <w:rPr>
                <w:rFonts w:hint="eastAsia" w:asciiTheme="minorEastAsia" w:hAnsiTheme="minorEastAsia" w:eastAsiaTheme="minorEastAsia"/>
                <w:bCs/>
                <w:color w:val="auto"/>
                <w:sz w:val="24"/>
                <w:highlight w:val="none"/>
              </w:rPr>
              <w:t>等关键评审因素的，需另附招标人（合同甲方）证明材料的扫描件。</w:t>
            </w:r>
          </w:p>
          <w:p w14:paraId="3F6EBBF3">
            <w:pPr>
              <w:keepNext w:val="0"/>
              <w:keepLines w:val="0"/>
              <w:pageBreakBefore w:val="0"/>
              <w:numPr>
                <w:ilvl w:val="0"/>
                <w:numId w:val="0"/>
              </w:numPr>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7D8BBB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23C3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7E5E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4F1E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lang w:val="zh-CN" w:eastAsia="zh-CN"/>
              </w:rPr>
              <w:t>信用等级</w:t>
            </w:r>
          </w:p>
        </w:tc>
        <w:tc>
          <w:tcPr>
            <w:tcW w:w="2381" w:type="pct"/>
            <w:tcBorders>
              <w:top w:val="single" w:color="auto" w:sz="4" w:space="0"/>
              <w:left w:val="single" w:color="auto" w:sz="4" w:space="0"/>
              <w:bottom w:val="single" w:color="auto" w:sz="4" w:space="0"/>
              <w:right w:val="single" w:color="auto" w:sz="4" w:space="0"/>
            </w:tcBorders>
            <w:vAlign w:val="center"/>
          </w:tcPr>
          <w:p w14:paraId="26569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自2022年1月1日至投标截止日（以物业行政主管部门颁发的证明文件时间为准），投标人（或其分公司）被市级或以上物业行政主管部门评为甲级（类）的得2分；被评为乙级(类)的得1分；最高得2分。</w:t>
            </w:r>
          </w:p>
          <w:p w14:paraId="103A6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注：①投标文件中提供物业主管部门颁发的证明文件或官网公示截图等材料扫描件；信用等级命名不同的，还须提供行业行政主管部门划分信用等级的证明材料扫描件。</w:t>
            </w:r>
          </w:p>
          <w:p w14:paraId="41551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w:t>
            </w:r>
            <w:r>
              <w:rPr>
                <w:rFonts w:hint="eastAsia" w:asciiTheme="minorEastAsia" w:hAnsiTheme="minorEastAsia" w:eastAsiaTheme="minorEastAsia"/>
                <w:color w:val="auto"/>
                <w:sz w:val="24"/>
                <w:highlight w:val="none"/>
              </w:rPr>
              <w:t>上述评分项最多提供</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个信用评定，按照排列顺序从首个评分项开始评审至对应数量，超出部分不进行评审，不累计计分。</w:t>
            </w:r>
            <w:r>
              <w:rPr>
                <w:rFonts w:hint="eastAsia" w:asciiTheme="minorEastAsia" w:hAnsiTheme="minorEastAsia" w:eastAsiaTheme="minorEastAsia"/>
                <w:color w:val="auto"/>
                <w:sz w:val="24"/>
                <w:szCs w:val="20"/>
                <w:highlight w:val="none"/>
                <w:lang w:val="en-US" w:eastAsia="zh-CN"/>
              </w:rPr>
              <w:t>有效时间以物业行政主管部门颁发的证明文件时间为准。</w:t>
            </w:r>
          </w:p>
          <w:p w14:paraId="341CB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lang w:val="en-US" w:eastAsia="zh-CN"/>
              </w:rPr>
              <w:t>③物业信用等级命名如有不同，性质类似均予以认可，如: AAA 级(类)、AA 级 (类)、A 级(类)，一级(类)、二级(类)、三级(类)等。最高等级的以甲级(类)计算，次高等级的按乙级(类)计算。</w:t>
            </w:r>
          </w:p>
        </w:tc>
        <w:tc>
          <w:tcPr>
            <w:tcW w:w="745" w:type="pct"/>
            <w:tcBorders>
              <w:top w:val="single" w:color="auto" w:sz="4" w:space="0"/>
              <w:left w:val="single" w:color="auto" w:sz="4" w:space="0"/>
              <w:bottom w:val="single" w:color="auto" w:sz="4" w:space="0"/>
              <w:right w:val="single" w:color="auto" w:sz="4" w:space="0"/>
            </w:tcBorders>
            <w:vAlign w:val="center"/>
          </w:tcPr>
          <w:p w14:paraId="62409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0-2分</w:t>
            </w:r>
          </w:p>
        </w:tc>
      </w:tr>
      <w:tr w14:paraId="115E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6B9CC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7EAD9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lang w:val="zh-CN" w:eastAsia="zh-CN"/>
              </w:rPr>
              <w:t>荣誉</w:t>
            </w:r>
          </w:p>
        </w:tc>
        <w:tc>
          <w:tcPr>
            <w:tcW w:w="2381" w:type="pct"/>
            <w:tcBorders>
              <w:top w:val="single" w:color="auto" w:sz="4" w:space="0"/>
              <w:left w:val="single" w:color="auto" w:sz="4" w:space="0"/>
              <w:bottom w:val="single" w:color="auto" w:sz="4" w:space="0"/>
              <w:right w:val="single" w:color="auto" w:sz="4" w:space="0"/>
            </w:tcBorders>
            <w:vAlign w:val="center"/>
          </w:tcPr>
          <w:p w14:paraId="0BA93441">
            <w:pPr>
              <w:pStyle w:val="77"/>
              <w:spacing w:before="34" w:line="345" w:lineRule="auto"/>
              <w:ind w:right="109"/>
              <w:jc w:val="both"/>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自2022年1月1日至投标截止日，投标人在物业管理工作中获得行政主管部门（或其下属的机构或政府部门授权的第三方评定机构）评为“优秀”、“示范”、“先进”“文明”等荣誉的(具有同等等级表彰的，不限定于前述字样，均予以认可)，每提供一个得2分，最高得4分。</w:t>
            </w:r>
          </w:p>
          <w:p w14:paraId="07A8014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szCs w:val="20"/>
                <w:highlight w:val="none"/>
                <w:lang w:val="en-US" w:eastAsia="zh-CN"/>
              </w:rPr>
              <w:t>注:①投标文件中提供证书、批复、颁发单位荣誉文件、网上公示截图(具有其中之一即可)等证明材料。以上材料提供扫描件，未提或提供不全的不得分，如为所管项目荣誉，投标文件中同时提供业绩合同扫描件。②上述评分项最多提供两个荣誉，按照排列顺序从首个荣誉开始评审至对应数量，超出部分不进行评审。相同荣誉按最高分计取，不重复计分。有效时间以荣誉证书文件颁发时间为准。</w:t>
            </w:r>
          </w:p>
        </w:tc>
        <w:tc>
          <w:tcPr>
            <w:tcW w:w="745" w:type="pct"/>
            <w:tcBorders>
              <w:top w:val="single" w:color="auto" w:sz="4" w:space="0"/>
              <w:left w:val="single" w:color="auto" w:sz="4" w:space="0"/>
              <w:bottom w:val="single" w:color="auto" w:sz="4" w:space="0"/>
              <w:right w:val="single" w:color="auto" w:sz="4" w:space="0"/>
            </w:tcBorders>
            <w:vAlign w:val="center"/>
          </w:tcPr>
          <w:p w14:paraId="4898964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7406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FB51C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B819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olor w:val="auto"/>
                <w:sz w:val="24"/>
                <w:szCs w:val="20"/>
                <w:highlight w:val="none"/>
                <w:lang w:val="zh-CN" w:eastAsia="zh-CN"/>
              </w:rPr>
              <w:t>人员配备</w:t>
            </w:r>
          </w:p>
        </w:tc>
        <w:tc>
          <w:tcPr>
            <w:tcW w:w="2381" w:type="pct"/>
            <w:tcBorders>
              <w:top w:val="single" w:color="auto" w:sz="4" w:space="0"/>
              <w:left w:val="single" w:color="auto" w:sz="4" w:space="0"/>
              <w:bottom w:val="single" w:color="auto" w:sz="4" w:space="0"/>
              <w:right w:val="single" w:color="auto" w:sz="4" w:space="0"/>
            </w:tcBorders>
            <w:vAlign w:val="center"/>
          </w:tcPr>
          <w:p w14:paraId="191D0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1、项目负责人（6分）</w:t>
            </w:r>
          </w:p>
          <w:p w14:paraId="60B2C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（1）具有四级或以上物业管理员（师）职业资格（或职业技能等级）证书的得2分；</w:t>
            </w:r>
          </w:p>
          <w:p w14:paraId="47D1F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（2）具有安全管理人员证书或安全生产知识和管理能力考试合格证明的得2分；</w:t>
            </w:r>
          </w:p>
          <w:p w14:paraId="70AF20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szCs w:val="20"/>
                <w:highlight w:val="none"/>
                <w:lang w:val="en-US" w:eastAsia="zh-CN"/>
              </w:rPr>
              <w:t>具有人力资源管理师证书的得 2分；</w:t>
            </w:r>
          </w:p>
          <w:p w14:paraId="07227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本项满分6分。</w:t>
            </w:r>
          </w:p>
          <w:p w14:paraId="15441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2、保安负责人（4分）</w:t>
            </w:r>
          </w:p>
          <w:p w14:paraId="4CEA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（1）具有保卫管理员职业资格证书（或职业技能等级证书）或保安员职业资格（或职业技能等级证书）的</w:t>
            </w:r>
            <w:bookmarkStart w:id="282" w:name="_GoBack"/>
            <w:bookmarkEnd w:id="282"/>
            <w:r>
              <w:rPr>
                <w:rFonts w:hint="eastAsia" w:asciiTheme="minorEastAsia" w:hAnsiTheme="minorEastAsia" w:eastAsiaTheme="minorEastAsia"/>
                <w:color w:val="auto"/>
                <w:sz w:val="24"/>
                <w:highlight w:val="none"/>
                <w:lang w:val="en-US" w:eastAsia="zh-CN"/>
              </w:rPr>
              <w:t>得2分</w:t>
            </w:r>
            <w:r>
              <w:rPr>
                <w:rFonts w:hint="eastAsia" w:asciiTheme="minorEastAsia" w:hAnsiTheme="minorEastAsia" w:eastAsiaTheme="minorEastAsia"/>
                <w:color w:val="auto"/>
                <w:sz w:val="24"/>
                <w:highlight w:val="none"/>
                <w:lang w:val="en-US" w:eastAsia="zh-CN"/>
              </w:rPr>
              <w:t>；</w:t>
            </w:r>
          </w:p>
          <w:p w14:paraId="1A236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(2)具有消防设施操作员或构建物消防员证书的得2分；</w:t>
            </w:r>
          </w:p>
          <w:p w14:paraId="200D2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本项满分4分。</w:t>
            </w:r>
          </w:p>
          <w:p w14:paraId="6019D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3、水电工（4分）</w:t>
            </w:r>
          </w:p>
          <w:p w14:paraId="540D0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（1）具有高压电工特种作业操作证的得2分；</w:t>
            </w:r>
          </w:p>
          <w:p w14:paraId="66C15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（2）具有电工三级/高级或以上等级证书，得2分；</w:t>
            </w:r>
          </w:p>
          <w:p w14:paraId="2B6C3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本项满分4分。</w:t>
            </w:r>
          </w:p>
          <w:p w14:paraId="11C4B2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注：上述人员不得兼任。</w:t>
            </w:r>
          </w:p>
          <w:p w14:paraId="17B84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投标文件中同时提供以下证明材料：</w:t>
            </w:r>
          </w:p>
          <w:p w14:paraId="72D0B73E">
            <w:pPr>
              <w:keepNext w:val="0"/>
              <w:keepLines w:val="0"/>
              <w:pageBreakBefore w:val="0"/>
              <w:suppressLineNumbers w:val="0"/>
              <w:kinsoku/>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（1）上述人员名单（格式自拟）；</w:t>
            </w:r>
          </w:p>
          <w:p w14:paraId="47F16886">
            <w:pPr>
              <w:keepNext w:val="0"/>
              <w:keepLines w:val="0"/>
              <w:pageBreakBefore w:val="0"/>
              <w:suppressLineNumbers w:val="0"/>
              <w:kinsoku/>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（2）上述人员有效身份证（含正反页）和相关证书（或证明材料）扫描件；</w:t>
            </w:r>
          </w:p>
          <w:p w14:paraId="77881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color w:val="auto"/>
                <w:sz w:val="24"/>
                <w:szCs w:val="20"/>
                <w:highlight w:val="none"/>
                <w:lang w:val="en-US" w:eastAsia="zh-CN"/>
              </w:rPr>
              <w:t>（3）上述人员须持有社保部门出具的本单位为其缴纳的投标前近三个月内任意一月的养老保险证明（证明文件两个月内有效），或供应商提供承诺已为上述人员缴纳养老保险证明的承诺书（格式自拟）。</w:t>
            </w:r>
          </w:p>
        </w:tc>
        <w:tc>
          <w:tcPr>
            <w:tcW w:w="745" w:type="pct"/>
            <w:tcBorders>
              <w:top w:val="single" w:color="auto" w:sz="4" w:space="0"/>
              <w:left w:val="single" w:color="auto" w:sz="4" w:space="0"/>
              <w:bottom w:val="single" w:color="auto" w:sz="4" w:space="0"/>
              <w:right w:val="single" w:color="auto" w:sz="4" w:space="0"/>
            </w:tcBorders>
            <w:vAlign w:val="center"/>
          </w:tcPr>
          <w:p w14:paraId="5515E9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0-14分</w:t>
            </w:r>
          </w:p>
        </w:tc>
      </w:tr>
      <w:tr w14:paraId="5143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left w:val="single" w:color="auto" w:sz="4" w:space="0"/>
              <w:right w:val="single" w:color="auto" w:sz="4" w:space="0"/>
            </w:tcBorders>
            <w:vAlign w:val="center"/>
          </w:tcPr>
          <w:p w14:paraId="3A3EA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技术分</w:t>
            </w:r>
          </w:p>
          <w:p w14:paraId="32B68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sz w:val="24"/>
                <w:highlight w:val="none"/>
              </w:rPr>
            </w:pPr>
            <w:r>
              <w:rPr>
                <w:rFonts w:hint="eastAsia" w:asciiTheme="minorEastAsia" w:hAnsiTheme="minorEastAsia" w:eastAsiaTheme="minorEastAsia"/>
                <w:color w:val="auto"/>
                <w:sz w:val="24"/>
                <w:szCs w:val="20"/>
                <w:highlight w:val="none"/>
                <w:lang w:val="en-US" w:eastAsia="zh-CN"/>
              </w:rPr>
              <w:t>（40分）</w:t>
            </w:r>
          </w:p>
        </w:tc>
        <w:tc>
          <w:tcPr>
            <w:tcW w:w="1009" w:type="pct"/>
            <w:tcBorders>
              <w:top w:val="single" w:color="auto" w:sz="4" w:space="0"/>
              <w:left w:val="single" w:color="auto" w:sz="4" w:space="0"/>
              <w:bottom w:val="single" w:color="auto" w:sz="4" w:space="0"/>
              <w:right w:val="single" w:color="auto" w:sz="4" w:space="0"/>
            </w:tcBorders>
            <w:vAlign w:val="center"/>
          </w:tcPr>
          <w:p w14:paraId="58807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highlight w:val="none"/>
                <w:lang w:val="en-US" w:eastAsia="zh-CN"/>
              </w:rPr>
            </w:pPr>
            <w:r>
              <w:rPr>
                <w:rFonts w:hint="eastAsia" w:asciiTheme="minorEastAsia" w:hAnsiTheme="minorEastAsia" w:eastAsiaTheme="minorEastAsia"/>
                <w:bCs/>
                <w:color w:val="auto"/>
                <w:sz w:val="24"/>
                <w:szCs w:val="20"/>
                <w:highlight w:val="none"/>
                <w:lang w:val="en-US" w:eastAsia="zh-CN"/>
              </w:rPr>
              <w:t>1</w:t>
            </w:r>
            <w:r>
              <w:rPr>
                <w:rFonts w:hint="eastAsia" w:asciiTheme="minorEastAsia" w:hAnsiTheme="minorEastAsia" w:eastAsiaTheme="minorEastAsia"/>
                <w:color w:val="auto"/>
                <w:sz w:val="24"/>
                <w:szCs w:val="20"/>
                <w:highlight w:val="none"/>
                <w:lang w:val="en-US" w:eastAsia="zh-CN"/>
              </w:rPr>
              <w:t>.提高物业管理服务水平的整体设想及策划</w:t>
            </w:r>
          </w:p>
        </w:tc>
        <w:tc>
          <w:tcPr>
            <w:tcW w:w="2381" w:type="pct"/>
            <w:tcBorders>
              <w:top w:val="single" w:color="auto" w:sz="4" w:space="0"/>
              <w:left w:val="single" w:color="auto" w:sz="4" w:space="0"/>
              <w:bottom w:val="single" w:color="auto" w:sz="4" w:space="0"/>
              <w:right w:val="single" w:color="auto" w:sz="4" w:space="0"/>
            </w:tcBorders>
            <w:vAlign w:val="center"/>
          </w:tcPr>
          <w:p w14:paraId="72A87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有关法规、政策、标准及本项目特点，拟提出整体设想及策划，包括但不限于管理措施，管理深度和广度的做法，全方位贴心服务的意识，创造优美舒适、安全文明、洁净环境的设想等内容。评标委员会根据投标文件中提供的以上内容综合评分：</w:t>
            </w:r>
          </w:p>
          <w:p w14:paraId="0B78D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①内容健全周密，完整详细，实施措施完善的得4分；</w:t>
            </w:r>
          </w:p>
          <w:p w14:paraId="612B8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②内容完整，有实施措施，符合实际需求的3分；</w:t>
            </w:r>
          </w:p>
          <w:p w14:paraId="02A68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③内容简单，合理的得2分；</w:t>
            </w:r>
          </w:p>
          <w:p w14:paraId="56AA6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④内容粗糙，条理不清晰，存在不足的得1分。</w:t>
            </w:r>
          </w:p>
          <w:p w14:paraId="1971A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4"/>
                <w:szCs w:val="28"/>
                <w:highlight w:val="none"/>
                <w:lang w:val="en-US" w:eastAsia="zh-CN"/>
              </w:rPr>
            </w:pPr>
            <w:r>
              <w:rPr>
                <w:rFonts w:hint="eastAsia" w:asciiTheme="minorEastAsia" w:hAnsiTheme="minorEastAsia" w:eastAsiaTheme="minorEastAsia"/>
                <w:color w:val="auto"/>
                <w:sz w:val="24"/>
                <w:szCs w:val="20"/>
                <w:highlight w:val="none"/>
                <w:lang w:val="en-US" w:eastAsia="zh-CN"/>
              </w:rPr>
              <w:t>⑤未提供不得分。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7701D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1491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D1C38F0">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CE635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宋体"/>
                <w:color w:val="auto"/>
                <w:sz w:val="24"/>
                <w:highlight w:val="none"/>
                <w:lang w:val="en-US" w:eastAsia="zh-CN"/>
              </w:rPr>
              <w:t>2.服务方案</w:t>
            </w:r>
          </w:p>
        </w:tc>
        <w:tc>
          <w:tcPr>
            <w:tcW w:w="2381" w:type="pct"/>
            <w:tcBorders>
              <w:top w:val="single" w:color="auto" w:sz="4" w:space="0"/>
              <w:left w:val="single" w:color="auto" w:sz="4" w:space="0"/>
              <w:bottom w:val="single" w:color="auto" w:sz="4" w:space="0"/>
              <w:right w:val="single" w:color="auto" w:sz="4" w:space="0"/>
            </w:tcBorders>
            <w:vAlign w:val="center"/>
          </w:tcPr>
          <w:p w14:paraId="032A01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1.项目物业服务整体运作流程；2.运作流程的质量监督与控制； 3.物业服务的岗位职责及制度；4 物业管理区域内秩序维护方案及保障措施；5.物业管理区域内环境服务方案及保障措施。由评标委员会根据投标文件以上内容进行综合评审：</w:t>
            </w:r>
          </w:p>
          <w:p w14:paraId="1DE8EF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①方案周密、详尽、保障措施完善，贴合医院实际运行状况，充分考虑人员分配、充分考虑日常工作安排实施方案等因素的得4分； </w:t>
            </w:r>
          </w:p>
          <w:p w14:paraId="3D58EC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②方案完整、具有实施性，具有保障措施，满贴合医院实际运行状况的得3分；</w:t>
            </w:r>
          </w:p>
          <w:p w14:paraId="457420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③方案简单可行，方案及保障措施合理的得2分；</w:t>
            </w:r>
          </w:p>
          <w:p w14:paraId="5F1881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④方案粗糙存在不足，方案及保障措施不满足实际工作的得1分；</w:t>
            </w:r>
          </w:p>
          <w:p w14:paraId="7D4612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宋体"/>
                <w:color w:val="auto"/>
                <w:sz w:val="24"/>
                <w:highlight w:val="none"/>
                <w:lang w:val="en-US" w:eastAsia="zh-CN"/>
              </w:rPr>
              <w:t>⑤未提供的不得分。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DE40B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3A3D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D3912DA">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0CDFE8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3.院感控制方案</w:t>
            </w:r>
          </w:p>
        </w:tc>
        <w:tc>
          <w:tcPr>
            <w:tcW w:w="2381" w:type="pct"/>
            <w:tcBorders>
              <w:top w:val="single" w:color="auto" w:sz="4" w:space="0"/>
              <w:left w:val="single" w:color="auto" w:sz="4" w:space="0"/>
              <w:bottom w:val="single" w:color="auto" w:sz="4" w:space="0"/>
              <w:right w:val="single" w:color="auto" w:sz="4" w:space="0"/>
            </w:tcBorders>
            <w:vAlign w:val="center"/>
          </w:tcPr>
          <w:p w14:paraId="257D8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针对本项目的实际情况制定的院感控制方案，含床单元消毒流程等，评标委员会根据投标人提供的以上内容综合评分：</w:t>
            </w:r>
          </w:p>
          <w:p w14:paraId="64879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①方案周密、详尽、合理、保障措施完善，完全满足医院实际需求，具备针对性和可行性的得4分；</w:t>
            </w:r>
          </w:p>
          <w:p w14:paraId="5B1A2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②提供方案内容完整，符合医院实际运行状况的得3分；</w:t>
            </w:r>
          </w:p>
          <w:p w14:paraId="3ABFD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③提供相关实施方案简单，符合医院实际运行状况但有待完善的得2分；</w:t>
            </w:r>
          </w:p>
          <w:p w14:paraId="6AA00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④方案简单合理的得1分；</w:t>
            </w:r>
          </w:p>
          <w:p w14:paraId="5A789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⑤未提供的不得分。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069AE0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37C9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A641CF7">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128A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4.应急处理预案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41CC2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针对本项目的实际情况制定的应急预案方案，对突发事件如电梯、火灾、地震、停供电、雨雪恶劣天气等事项能安排专人负责，有详细的应急预案及安全秩序维护；对医院临时进行搬家、 疫情防控、文明创建、会议保障等应急措施，评标委员会根据投标人提供的以上内容综合评分：</w:t>
            </w:r>
          </w:p>
          <w:p w14:paraId="59050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①方案完善，应急响应时间安排合理，应急设备及应急服务人员配备充足，突发情况应急处理控制措施完整可行的得4分；</w:t>
            </w:r>
          </w:p>
          <w:p w14:paraId="098D3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②方案合理，应急响应时间安排合理，应急设备及应急服务人员配备可行，可以完成突发情况应急处理的得3分；</w:t>
            </w:r>
          </w:p>
          <w:p w14:paraId="1DC03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③方案简单，应急响应时间、应急设备及应急服务人员配备勉强满足项目需求且出现非专门针对本项目特性内容，方案有待改善的得2分；</w:t>
            </w:r>
          </w:p>
          <w:p w14:paraId="6B298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④方案、应急响应时间安排不合理，应急设备及应急服务人员实施有矛盾，有逻辑漏洞、常识性错误的情形的得1分；</w:t>
            </w:r>
          </w:p>
          <w:p w14:paraId="7B3BF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sz w:val="24"/>
                <w:szCs w:val="28"/>
                <w:highlight w:val="none"/>
                <w:lang w:val="en-US" w:eastAsia="zh-CN" w:bidi="ar-SA"/>
              </w:rPr>
            </w:pPr>
            <w:r>
              <w:rPr>
                <w:rFonts w:hint="eastAsia" w:asciiTheme="minorEastAsia" w:hAnsiTheme="minorEastAsia" w:eastAsiaTheme="minorEastAsia"/>
                <w:color w:val="auto"/>
                <w:sz w:val="24"/>
                <w:szCs w:val="20"/>
                <w:highlight w:val="none"/>
                <w:lang w:val="en-US" w:eastAsia="zh-CN"/>
              </w:rPr>
              <w:t>⑤未提供不得分。</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4D1125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val="0"/>
                <w:bCs w:val="0"/>
                <w:color w:val="auto"/>
                <w:sz w:val="24"/>
                <w:highlight w:val="none"/>
                <w:lang w:val="en-US" w:eastAsia="zh-CN"/>
              </w:rPr>
              <w:t>0-4分</w:t>
            </w:r>
          </w:p>
        </w:tc>
      </w:tr>
      <w:tr w14:paraId="7973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11A90C7">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F05518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宋体"/>
                <w:color w:val="auto"/>
                <w:kern w:val="0"/>
                <w:sz w:val="24"/>
                <w:szCs w:val="24"/>
                <w:highlight w:val="none"/>
                <w:lang w:val="en-US" w:eastAsia="zh-CN" w:bidi="ar"/>
              </w:rPr>
              <w:t>5.医疗废弃物、 生活垃圾分类管理方案</w:t>
            </w:r>
          </w:p>
        </w:tc>
        <w:tc>
          <w:tcPr>
            <w:tcW w:w="2381" w:type="pct"/>
            <w:tcBorders>
              <w:top w:val="single" w:color="auto" w:sz="4" w:space="0"/>
              <w:left w:val="single" w:color="auto" w:sz="4" w:space="0"/>
              <w:bottom w:val="single" w:color="auto" w:sz="4" w:space="0"/>
              <w:right w:val="single" w:color="auto" w:sz="4" w:space="0"/>
            </w:tcBorders>
            <w:vAlign w:val="center"/>
          </w:tcPr>
          <w:p w14:paraId="15457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针对本项目的实际情况制定的医疗废弃物、生活垃圾分类管理方案，评标委员会根据投标人提供的以上内容综合评分：</w:t>
            </w:r>
          </w:p>
          <w:p w14:paraId="08590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①方案周密、详尽、合理、保障措施完善，满足医院实际运行状况及管理要求，具有可行性及针对性的得4分；</w:t>
            </w:r>
          </w:p>
          <w:p w14:paraId="0307C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②提供方案内容完整、表述清晰，满足医院及实际管理要求的得3分；</w:t>
            </w:r>
          </w:p>
          <w:p w14:paraId="719C3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③提供相关管理方案，结合医院实际运行状况的，内容待进一步完善的得2分；</w:t>
            </w:r>
          </w:p>
          <w:p w14:paraId="4512E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④方案简单，内容空洞或未出现非专门针对本项目的得1分；</w:t>
            </w:r>
          </w:p>
          <w:p w14:paraId="3B651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⑤未提供的不得分。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6806B7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7334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810962D">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89DBE6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6.陪护工服务方案</w:t>
            </w:r>
          </w:p>
        </w:tc>
        <w:tc>
          <w:tcPr>
            <w:tcW w:w="2381" w:type="pct"/>
            <w:tcBorders>
              <w:top w:val="single" w:color="auto" w:sz="4" w:space="0"/>
              <w:left w:val="single" w:color="auto" w:sz="4" w:space="0"/>
              <w:bottom w:val="single" w:color="auto" w:sz="4" w:space="0"/>
              <w:right w:val="single" w:color="auto" w:sz="4" w:space="0"/>
            </w:tcBorders>
            <w:vAlign w:val="center"/>
          </w:tcPr>
          <w:p w14:paraId="46F0B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针对陪护工管理建立各项管理制度、陪护的操作规范和操作流程，有陪护工培训计划和实施方案以及根据我院的实际情况，制定陪护管理方案，方案中含不同服务人群的服务项目、服务内容及收费标准案等内容齐全，评标委员会根据投标人提供的以上内容综合评分：</w:t>
            </w:r>
          </w:p>
          <w:p w14:paraId="3D1B9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①方案各部分有详细的表述，内容丰富齐全、培训计划和实施方案保障措施完善，利于项目实施的得4分；</w:t>
            </w:r>
          </w:p>
          <w:p w14:paraId="298A5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②方案表述完整，制度明确，培训计划和实施方案内容齐全，有结合医院实际运行状况的得3分；</w:t>
            </w:r>
          </w:p>
          <w:p w14:paraId="12EAA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③提供了相关方案，内容简单，实施中仍需完善的得2分；</w:t>
            </w:r>
          </w:p>
          <w:p w14:paraId="7A366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④方案简单，内容存在不足或不满足本项目实际实施需求的得1分；</w:t>
            </w:r>
          </w:p>
          <w:p w14:paraId="6DF4A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⑤未提供的，不得分。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C0706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05E9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FD67491">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9A239F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7.进退场措施方案</w:t>
            </w:r>
          </w:p>
        </w:tc>
        <w:tc>
          <w:tcPr>
            <w:tcW w:w="2381" w:type="pct"/>
            <w:tcBorders>
              <w:top w:val="single" w:color="auto" w:sz="4" w:space="0"/>
              <w:left w:val="single" w:color="auto" w:sz="4" w:space="0"/>
              <w:bottom w:val="single" w:color="auto" w:sz="4" w:space="0"/>
              <w:right w:val="single" w:color="auto" w:sz="4" w:space="0"/>
            </w:tcBorders>
            <w:vAlign w:val="center"/>
          </w:tcPr>
          <w:p w14:paraId="39046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由评标委员会根据投标文件提供的进退场措施方案进行综合评审：</w:t>
            </w:r>
          </w:p>
          <w:p w14:paraId="59D47395">
            <w:pPr>
              <w:keepNext w:val="0"/>
              <w:keepLines w:val="0"/>
              <w:pageBreakBefore w:val="0"/>
              <w:kinsoku/>
              <w:overflowPunct/>
              <w:topLinePunct w:val="0"/>
              <w:autoSpaceDE/>
              <w:autoSpaceDN/>
              <w:bidi w:val="0"/>
              <w:adjustRightInd/>
              <w:snapToGrid/>
              <w:spacing w:line="400" w:lineRule="exact"/>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①提供</w:t>
            </w:r>
            <w:r>
              <w:rPr>
                <w:rFonts w:hint="eastAsia" w:asciiTheme="minorEastAsia" w:hAnsiTheme="minorEastAsia" w:eastAsiaTheme="minorEastAsia"/>
                <w:color w:val="auto"/>
                <w:sz w:val="24"/>
                <w:highlight w:val="none"/>
                <w:lang w:val="en-US" w:eastAsia="zh-CN"/>
              </w:rPr>
              <w:t>的进退场措施方案</w:t>
            </w:r>
            <w:r>
              <w:rPr>
                <w:rFonts w:hint="eastAsia" w:asciiTheme="minorEastAsia" w:hAnsiTheme="minorEastAsia" w:eastAsiaTheme="minorEastAsia"/>
                <w:color w:val="auto"/>
                <w:sz w:val="24"/>
                <w:highlight w:val="none"/>
              </w:rPr>
              <w:t>，方案完整详尽、思路清晰明了、充分满足项目实施要求的得</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分。</w:t>
            </w:r>
          </w:p>
          <w:p w14:paraId="31510F10">
            <w:pPr>
              <w:keepNext w:val="0"/>
              <w:keepLines w:val="0"/>
              <w:pageBreakBefore w:val="0"/>
              <w:kinsoku/>
              <w:overflowPunct/>
              <w:topLinePunct w:val="0"/>
              <w:autoSpaceDE/>
              <w:autoSpaceDN/>
              <w:bidi w:val="0"/>
              <w:adjustRightInd/>
              <w:snapToGrid/>
              <w:spacing w:line="400" w:lineRule="exact"/>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②提供</w:t>
            </w:r>
            <w:r>
              <w:rPr>
                <w:rFonts w:hint="eastAsia" w:asciiTheme="minorEastAsia" w:hAnsiTheme="minorEastAsia" w:eastAsiaTheme="minorEastAsia"/>
                <w:color w:val="auto"/>
                <w:sz w:val="24"/>
                <w:highlight w:val="none"/>
                <w:lang w:val="en-US" w:eastAsia="zh-CN"/>
              </w:rPr>
              <w:t>的进退场措施方案</w:t>
            </w:r>
            <w:r>
              <w:rPr>
                <w:rFonts w:hint="eastAsia" w:asciiTheme="minorEastAsia" w:hAnsiTheme="minorEastAsia" w:eastAsiaTheme="minorEastAsia"/>
                <w:color w:val="auto"/>
                <w:sz w:val="24"/>
                <w:highlight w:val="none"/>
              </w:rPr>
              <w:t>，方案满足项目采购需求</w:t>
            </w:r>
            <w:r>
              <w:rPr>
                <w:rFonts w:hint="eastAsia" w:asciiTheme="minorEastAsia" w:hAnsiTheme="minorEastAsia" w:eastAsiaTheme="minorEastAsia"/>
                <w:color w:val="auto"/>
                <w:sz w:val="24"/>
                <w:highlight w:val="none"/>
                <w:lang w:val="en-US" w:eastAsia="zh-CN"/>
              </w:rPr>
              <w:t>和</w:t>
            </w:r>
            <w:r>
              <w:rPr>
                <w:rFonts w:hint="eastAsia" w:asciiTheme="minorEastAsia" w:hAnsiTheme="minorEastAsia" w:eastAsiaTheme="minorEastAsia"/>
                <w:color w:val="auto"/>
                <w:sz w:val="24"/>
                <w:highlight w:val="none"/>
              </w:rPr>
              <w:t>实施要求的得</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w:t>
            </w:r>
          </w:p>
          <w:p w14:paraId="04FE1DAC">
            <w:pPr>
              <w:keepNext w:val="0"/>
              <w:keepLines w:val="0"/>
              <w:pageBreakBefore w:val="0"/>
              <w:kinsoku/>
              <w:overflowPunct/>
              <w:topLinePunct w:val="0"/>
              <w:autoSpaceDE/>
              <w:autoSpaceDN/>
              <w:bidi w:val="0"/>
              <w:adjustRightInd/>
              <w:snapToGrid/>
              <w:spacing w:line="400" w:lineRule="exact"/>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③提供</w:t>
            </w:r>
            <w:r>
              <w:rPr>
                <w:rFonts w:hint="eastAsia"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rPr>
              <w:t>进退场措施方案，方案简单合理的得</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分。</w:t>
            </w:r>
          </w:p>
          <w:p w14:paraId="467B6B6F">
            <w:pPr>
              <w:keepNext w:val="0"/>
              <w:keepLines w:val="0"/>
              <w:pageBreakBefore w:val="0"/>
              <w:kinsoku/>
              <w:overflowPunct/>
              <w:topLinePunct w:val="0"/>
              <w:autoSpaceDE/>
              <w:autoSpaceDN/>
              <w:bidi w:val="0"/>
              <w:adjustRightInd/>
              <w:snapToGrid/>
              <w:spacing w:line="400" w:lineRule="exact"/>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④提供</w:t>
            </w:r>
            <w:r>
              <w:rPr>
                <w:rFonts w:hint="eastAsia" w:asciiTheme="minorEastAsia" w:hAnsiTheme="minorEastAsia" w:eastAsiaTheme="minorEastAsia"/>
                <w:color w:val="auto"/>
                <w:sz w:val="24"/>
                <w:highlight w:val="none"/>
                <w:lang w:val="en-US" w:eastAsia="zh-CN"/>
              </w:rPr>
              <w:t>的进退场措施方案</w:t>
            </w:r>
            <w:r>
              <w:rPr>
                <w:rFonts w:hint="eastAsia" w:asciiTheme="minorEastAsia" w:hAnsiTheme="minorEastAsia" w:eastAsiaTheme="minorEastAsia"/>
                <w:color w:val="auto"/>
                <w:sz w:val="24"/>
                <w:highlight w:val="none"/>
              </w:rPr>
              <w:t>，方案表述不清，内容空洞、存在与项目要求不贴合或矛盾地方的得</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 xml:space="preserve">分。 </w:t>
            </w:r>
          </w:p>
          <w:p w14:paraId="7C4D8EC8">
            <w:pPr>
              <w:keepNext w:val="0"/>
              <w:keepLines w:val="0"/>
              <w:pageBreakBefore w:val="0"/>
              <w:kinsoku/>
              <w:overflowPunct/>
              <w:topLinePunct w:val="0"/>
              <w:autoSpaceDE/>
              <w:autoSpaceDN/>
              <w:bidi w:val="0"/>
              <w:adjustRightInd/>
              <w:snapToGrid/>
              <w:spacing w:line="400" w:lineRule="exact"/>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highlight w:val="none"/>
              </w:rPr>
              <w:t>⑤未提供的不得分。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00D5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38E7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A4882F9">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6E932F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8.投入的物</w:t>
            </w:r>
          </w:p>
          <w:p w14:paraId="5272625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资装备方案</w:t>
            </w:r>
          </w:p>
        </w:tc>
        <w:tc>
          <w:tcPr>
            <w:tcW w:w="2381" w:type="pct"/>
            <w:tcBorders>
              <w:top w:val="single" w:color="auto" w:sz="4" w:space="0"/>
              <w:left w:val="single" w:color="auto" w:sz="4" w:space="0"/>
              <w:bottom w:val="single" w:color="auto" w:sz="4" w:space="0"/>
              <w:right w:val="single" w:color="auto" w:sz="4" w:space="0"/>
            </w:tcBorders>
            <w:vAlign w:val="center"/>
          </w:tcPr>
          <w:p w14:paraId="6B140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投入的物资装备方包括但不限于投入的工具设备（机械化清扫保洁设备、集中洗涤消毒设备、疏通机、小型维修工具等）、耗材、物料、 通讯、办公用品等进行综合评分： </w:t>
            </w:r>
          </w:p>
          <w:p w14:paraId="53F5D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①投标人投入的物资装备、设备配备齐全、先进、可靠，能很好的完成各项物业管理工作，充分满足项目需求，切实可行的得4分； </w:t>
            </w:r>
          </w:p>
          <w:p w14:paraId="5AE11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②投标人投入的物资装备、设备配备齐全、可靠，能够完成各项物业管理，满足项目需求实际的3分； </w:t>
            </w:r>
          </w:p>
          <w:p w14:paraId="1AD04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③投标人投入的物资装备、设备配备简单，仅能满足项目使用的得2分；</w:t>
            </w:r>
          </w:p>
          <w:p w14:paraId="6DA9E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④投标人投入的物资装备、设备配备一般，未能充分考虑实际情况或实施过程中受限制的得1分； </w:t>
            </w:r>
          </w:p>
          <w:p w14:paraId="7DF66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⑤未提供相关内容的不得分。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09B8FD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512D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DDD736D">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0F63AC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9.人员管理方案</w:t>
            </w:r>
          </w:p>
        </w:tc>
        <w:tc>
          <w:tcPr>
            <w:tcW w:w="2381" w:type="pct"/>
            <w:tcBorders>
              <w:top w:val="single" w:color="auto" w:sz="4" w:space="0"/>
              <w:left w:val="single" w:color="auto" w:sz="4" w:space="0"/>
              <w:bottom w:val="single" w:color="auto" w:sz="4" w:space="0"/>
              <w:right w:val="single" w:color="auto" w:sz="4" w:space="0"/>
            </w:tcBorders>
            <w:vAlign w:val="center"/>
          </w:tcPr>
          <w:p w14:paraId="7EB86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根据投标文件中提供的人员管理方案进行综合评审，人员管理主要考虑:录用与考核、淘汰机制、奖罚、协调关系、服务意识、量化管理及标准运作。 </w:t>
            </w:r>
          </w:p>
          <w:p w14:paraId="5BE99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①管理方案内容健全，完整详细，突出重点，实用性、操作流程符合实际需求的得4分；</w:t>
            </w:r>
          </w:p>
          <w:p w14:paraId="25132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②管理方案内容完整，内容满足采购需求，针对各类内容的管理制度完整的得3分；</w:t>
            </w:r>
          </w:p>
          <w:p w14:paraId="37CA8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③管理方案内容简单，实用性和管理制度有待改善的得2分；</w:t>
            </w:r>
          </w:p>
          <w:p w14:paraId="7586E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④管理方案内容粗糙，条理不清晰，存在不足的得1分；</w:t>
            </w:r>
          </w:p>
          <w:p w14:paraId="0E879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⑤未提供不得分。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67153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3CA6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E505EA6">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1BFB50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olor w:val="auto"/>
                <w:sz w:val="24"/>
                <w:szCs w:val="20"/>
                <w:highlight w:val="none"/>
                <w:lang w:val="en-US" w:eastAsia="zh-CN"/>
              </w:rPr>
            </w:pPr>
            <w:r>
              <w:rPr>
                <w:rFonts w:hint="eastAsia" w:ascii="宋体" w:hAnsi="宋体" w:eastAsia="宋体" w:cs="宋体"/>
                <w:color w:val="auto"/>
                <w:kern w:val="0"/>
                <w:sz w:val="24"/>
                <w:szCs w:val="24"/>
                <w:highlight w:val="none"/>
                <w:lang w:val="en-US" w:eastAsia="zh-CN" w:bidi="ar"/>
              </w:rPr>
              <w:t>10.设施设备报修维修方案</w:t>
            </w:r>
          </w:p>
        </w:tc>
        <w:tc>
          <w:tcPr>
            <w:tcW w:w="2381" w:type="pct"/>
            <w:tcBorders>
              <w:top w:val="single" w:color="auto" w:sz="4" w:space="0"/>
              <w:left w:val="single" w:color="auto" w:sz="4" w:space="0"/>
              <w:bottom w:val="single" w:color="auto" w:sz="4" w:space="0"/>
              <w:right w:val="single" w:color="auto" w:sz="4" w:space="0"/>
            </w:tcBorders>
            <w:vAlign w:val="center"/>
          </w:tcPr>
          <w:p w14:paraId="67AAE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根据投标人提供的设施设备报修维修方案，包括保修完成时限、维修质量、主动巡查主动维修进行综合评分：</w:t>
            </w:r>
          </w:p>
          <w:p w14:paraId="2BCE0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①设施设备报修、维修方案详尽，有利于项目顺利实施的得4分；</w:t>
            </w:r>
          </w:p>
          <w:p w14:paraId="33B77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②设施设备报修、维修方案符合项目需求的得3分； </w:t>
            </w:r>
          </w:p>
          <w:p w14:paraId="47FDF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③设施设备报修、维修方案，需进一步提升完善的得2分；</w:t>
            </w:r>
          </w:p>
          <w:p w14:paraId="4AC26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④方案满足项目要求但有矛盾点或关键点缺失的得1分；</w:t>
            </w:r>
          </w:p>
          <w:p w14:paraId="0D485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未提供方案的不得分。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409A6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0-4分</w:t>
            </w:r>
          </w:p>
        </w:tc>
      </w:tr>
      <w:tr w14:paraId="7E25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tcBorders>
              <w:left w:val="single" w:color="auto" w:sz="4" w:space="0"/>
              <w:right w:val="single" w:color="auto" w:sz="4" w:space="0"/>
            </w:tcBorders>
            <w:vAlign w:val="center"/>
          </w:tcPr>
          <w:p w14:paraId="639CE2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p w14:paraId="7AE6E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36</w:t>
            </w:r>
            <w:r>
              <w:rPr>
                <w:rFonts w:hint="eastAsia" w:ascii="宋体" w:hAnsi="宋体" w:eastAsia="宋体" w:cs="宋体"/>
                <w:color w:val="auto"/>
                <w:sz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46B35E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highlight w:val="none"/>
                <w:u w:val="single"/>
                <w:lang w:val="en-US" w:eastAsia="zh-CN"/>
              </w:rPr>
              <w:t>36</w:t>
            </w:r>
            <w:r>
              <w:rPr>
                <w:rFonts w:hint="eastAsia" w:ascii="宋体" w:hAnsi="宋体" w:eastAsia="宋体" w:cs="宋体"/>
                <w:color w:val="auto"/>
                <w:sz w:val="24"/>
                <w:highlight w:val="none"/>
              </w:rPr>
              <w:t>分。其他投标人的价格分统一按照下列公式计算：</w:t>
            </w:r>
          </w:p>
          <w:p w14:paraId="54A04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投标报价得分＝（评标基准价/投标报价）×</w:t>
            </w:r>
            <w:r>
              <w:rPr>
                <w:rFonts w:hint="eastAsia" w:ascii="宋体" w:hAnsi="宋体" w:eastAsia="宋体" w:cs="宋体"/>
                <w:color w:val="auto"/>
                <w:sz w:val="24"/>
                <w:highlight w:val="none"/>
                <w:u w:val="single"/>
                <w:lang w:val="en-US" w:eastAsia="zh-CN"/>
              </w:rPr>
              <w:t>36</w:t>
            </w:r>
            <w:r>
              <w:rPr>
                <w:rFonts w:hint="eastAsia" w:ascii="宋体" w:hAnsi="宋体" w:eastAsia="宋体" w:cs="宋体"/>
                <w:color w:val="auto"/>
                <w:sz w:val="24"/>
                <w:highlight w:val="none"/>
              </w:rPr>
              <w:t>％×100</w:t>
            </w:r>
          </w:p>
        </w:tc>
      </w:tr>
    </w:tbl>
    <w:p w14:paraId="2BD7712A">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.3.3</w:t>
      </w:r>
      <w:r>
        <w:rPr>
          <w:rFonts w:hint="eastAsia" w:asciiTheme="minorEastAsia" w:hAnsiTheme="minorEastAsia" w:eastAsiaTheme="minorEastAsia"/>
          <w:color w:val="auto"/>
          <w:sz w:val="24"/>
          <w:szCs w:val="24"/>
          <w:highlight w:val="none"/>
        </w:rPr>
        <w:t>分值汇总</w:t>
      </w:r>
    </w:p>
    <w:p w14:paraId="0E7403FD">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评标委员会各成员应当独立对每个</w:t>
      </w:r>
      <w:r>
        <w:rPr>
          <w:rFonts w:hint="eastAsia" w:asciiTheme="minorEastAsia" w:hAnsiTheme="minorEastAsia" w:eastAsiaTheme="minorEastAsia"/>
          <w:color w:val="auto"/>
          <w:sz w:val="24"/>
          <w:szCs w:val="24"/>
          <w:highlight w:val="none"/>
        </w:rPr>
        <w:t>有效</w:t>
      </w:r>
      <w:r>
        <w:rPr>
          <w:rFonts w:asciiTheme="minorEastAsia" w:hAnsiTheme="minorEastAsia" w:eastAsiaTheme="minorEastAsia"/>
          <w:color w:val="auto"/>
          <w:sz w:val="24"/>
          <w:szCs w:val="24"/>
          <w:highlight w:val="none"/>
        </w:rPr>
        <w:t>投标人的投标文件进行评</w:t>
      </w:r>
      <w:r>
        <w:rPr>
          <w:rFonts w:hint="eastAsia" w:asciiTheme="minorEastAsia" w:hAnsiTheme="minorEastAsia" w:eastAsiaTheme="minorEastAsia"/>
          <w:color w:val="auto"/>
          <w:sz w:val="24"/>
          <w:szCs w:val="24"/>
          <w:highlight w:val="none"/>
        </w:rPr>
        <w:t>分</w:t>
      </w:r>
      <w:r>
        <w:rPr>
          <w:rFonts w:asciiTheme="minorEastAsia" w:hAnsiTheme="minorEastAsia" w:eastAsiaTheme="minorEastAsia"/>
          <w:color w:val="auto"/>
          <w:sz w:val="24"/>
          <w:szCs w:val="24"/>
          <w:highlight w:val="none"/>
        </w:rPr>
        <w:t>，并汇总每个投</w:t>
      </w:r>
      <w:r>
        <w:rPr>
          <w:rFonts w:hint="eastAsia" w:asciiTheme="minorEastAsia" w:hAnsiTheme="minorEastAsia" w:eastAsiaTheme="minorEastAsia"/>
          <w:color w:val="auto"/>
          <w:sz w:val="24"/>
          <w:szCs w:val="24"/>
          <w:highlight w:val="none"/>
        </w:rPr>
        <w:t>标人的得分。取各位评委评分之平均值，四舍五入保留至小数点后两位数，</w:t>
      </w:r>
      <w:r>
        <w:rPr>
          <w:rFonts w:asciiTheme="minorEastAsia" w:hAnsiTheme="minorEastAsia" w:eastAsiaTheme="minorEastAsia"/>
          <w:color w:val="auto"/>
          <w:sz w:val="24"/>
          <w:szCs w:val="24"/>
          <w:highlight w:val="none"/>
        </w:rPr>
        <w:t>得到该投标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w:t>
      </w:r>
      <w:r>
        <w:rPr>
          <w:rFonts w:hint="eastAsia" w:asciiTheme="minorEastAsia" w:hAnsiTheme="minorEastAsia" w:eastAsiaTheme="minorEastAsia"/>
          <w:color w:val="auto"/>
          <w:sz w:val="24"/>
          <w:szCs w:val="24"/>
          <w:highlight w:val="none"/>
        </w:rPr>
        <w:t>。</w:t>
      </w:r>
    </w:p>
    <w:p w14:paraId="15F8F898">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将投标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的技术资信分加上根据上述标准计算出的价格分，即为该投标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的综合总得分。</w:t>
      </w:r>
    </w:p>
    <w:p w14:paraId="2E45F2B7">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三、无效投标条款</w:t>
      </w:r>
    </w:p>
    <w:p w14:paraId="5EAA681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14:paraId="03DC0C63">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 未在开标截止时间前通过网上招标投标系统递交有效电子投标文件的，开标系统不予接收，投标将被拒绝。</w:t>
      </w:r>
    </w:p>
    <w:p w14:paraId="111AAB8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763F0B8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14:paraId="01AFA66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14:paraId="0EA2096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14:paraId="7C27AF7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14:paraId="5E478B1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14:paraId="5E238ED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14:paraId="6C65EA6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(6)评标专家无法查看并检验电子投标文件中相关资料的；</w:t>
      </w:r>
    </w:p>
    <w:p w14:paraId="3C51EE7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14:paraId="6644F36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(8)责令停产停业的；</w:t>
      </w:r>
    </w:p>
    <w:p w14:paraId="1E19F2B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14:paraId="54F4931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14:paraId="3867B323">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14:paraId="6D167A67">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969A97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(13)其它情形，经评标委员会委提出按无效投标处理，并经公共资源交易监督部门核准的；</w:t>
      </w:r>
    </w:p>
    <w:p w14:paraId="748D9D7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(14)投标人投标MAC地址或投标人联系人或联系电话相同的，由评标委员会否决其投标，并报告监管部门作不良行为处理和进一步调查；</w:t>
      </w:r>
    </w:p>
    <w:p w14:paraId="72E9147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(15)投标人单方面出现其他投标人材料的；</w:t>
      </w:r>
    </w:p>
    <w:p w14:paraId="358B3883">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)招标文件规定的其它无效投标情形。</w:t>
      </w:r>
    </w:p>
    <w:p w14:paraId="01040C4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14:paraId="13DF8117">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(1)投标文件签字、盖章不全，经评标委员会一致认定对开评标内容有实质性影响并经公共资源交易监督部门核准的；</w:t>
      </w:r>
    </w:p>
    <w:p w14:paraId="6DF82FD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经公共资源交易监督部门核准的；</w:t>
      </w:r>
    </w:p>
    <w:p w14:paraId="16404DC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14:paraId="0FAD6367">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14:paraId="31D6242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14:paraId="4B7BF5E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14:paraId="3329C8C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(7)其它情形，经评标委员会委提出按无效投标处理，并经公共资源交易监督部门核准的；</w:t>
      </w:r>
    </w:p>
    <w:p w14:paraId="112C38E7">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14:paraId="41690F8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14:paraId="47138DD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14:paraId="64132C8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14:paraId="72D0291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14:paraId="5F53B1E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14:paraId="294226D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14:paraId="01561D27">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14:paraId="672D0CE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(6)其它情形，经评标委员会委提出按无效投标处理，并经公共资源交易监督部门核准的；</w:t>
      </w:r>
    </w:p>
    <w:p w14:paraId="14FAE0AF">
      <w:pPr>
        <w:spacing w:line="500" w:lineRule="exact"/>
        <w:ind w:firstLine="437"/>
        <w:jc w:val="left"/>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(7)招标文件规定的其它无效投标情形。</w:t>
      </w:r>
    </w:p>
    <w:p w14:paraId="71BCAA85">
      <w:pPr>
        <w:spacing w:line="500" w:lineRule="exact"/>
        <w:ind w:firstLine="437"/>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C050E63">
      <w:pPr>
        <w:spacing w:line="360" w:lineRule="auto"/>
        <w:jc w:val="center"/>
        <w:outlineLvl w:val="0"/>
        <w:rPr>
          <w:rFonts w:asciiTheme="minorEastAsia" w:hAnsiTheme="minorEastAsia" w:eastAsiaTheme="minorEastAsia"/>
          <w:b/>
          <w:color w:val="auto"/>
          <w:sz w:val="28"/>
          <w:highlight w:val="none"/>
        </w:rPr>
      </w:pPr>
      <w:bookmarkStart w:id="61"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61"/>
    </w:p>
    <w:p w14:paraId="12741D3D">
      <w:pPr>
        <w:widowControl/>
        <w:spacing w:line="400" w:lineRule="exact"/>
        <w:ind w:left="360"/>
        <w:jc w:val="center"/>
        <w:textAlignment w:val="baseline"/>
        <w:outlineLvl w:val="1"/>
        <w:rPr>
          <w:rFonts w:hint="eastAsia" w:ascii="宋体"/>
          <w:b/>
          <w:color w:val="auto"/>
          <w:sz w:val="30"/>
          <w:szCs w:val="30"/>
          <w:highlight w:val="none"/>
        </w:rPr>
      </w:pPr>
      <w:bookmarkStart w:id="62" w:name="_Toc13555"/>
    </w:p>
    <w:p w14:paraId="7D8C96E6">
      <w:pPr>
        <w:widowControl/>
        <w:spacing w:line="400" w:lineRule="exact"/>
        <w:ind w:left="360"/>
        <w:jc w:val="center"/>
        <w:textAlignment w:val="baseline"/>
        <w:outlineLvl w:val="1"/>
        <w:rPr>
          <w:rFonts w:hint="eastAsia" w:ascii="宋体"/>
          <w:b/>
          <w:color w:val="auto"/>
          <w:sz w:val="30"/>
          <w:szCs w:val="30"/>
          <w:highlight w:val="none"/>
        </w:rPr>
      </w:pPr>
    </w:p>
    <w:p w14:paraId="530D1E03">
      <w:pPr>
        <w:widowControl/>
        <w:spacing w:line="400" w:lineRule="exact"/>
        <w:ind w:left="360"/>
        <w:jc w:val="center"/>
        <w:textAlignment w:val="baseline"/>
        <w:outlineLvl w:val="1"/>
        <w:rPr>
          <w:rFonts w:hint="eastAsia" w:ascii="宋体"/>
          <w:b/>
          <w:color w:val="auto"/>
          <w:sz w:val="30"/>
          <w:szCs w:val="30"/>
          <w:highlight w:val="none"/>
        </w:rPr>
      </w:pPr>
    </w:p>
    <w:p w14:paraId="0495BFEC">
      <w:pPr>
        <w:widowControl/>
        <w:spacing w:line="400" w:lineRule="exact"/>
        <w:ind w:left="360"/>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一</w:t>
      </w:r>
      <w:bookmarkStart w:id="63" w:name="_Toc449028946"/>
      <w:r>
        <w:rPr>
          <w:rFonts w:hint="eastAsia" w:ascii="宋体"/>
          <w:b/>
          <w:color w:val="auto"/>
          <w:sz w:val="30"/>
          <w:szCs w:val="30"/>
          <w:highlight w:val="none"/>
        </w:rPr>
        <w:t>、合同协议书（格式）</w:t>
      </w:r>
      <w:bookmarkEnd w:id="63"/>
    </w:p>
    <w:p w14:paraId="786EE985">
      <w:pPr>
        <w:spacing w:before="120" w:line="480" w:lineRule="auto"/>
        <w:ind w:left="960"/>
        <w:rPr>
          <w:rFonts w:hint="eastAsia" w:ascii="宋体" w:hAnsi="宋体"/>
          <w:color w:val="auto"/>
          <w:sz w:val="24"/>
          <w:highlight w:val="none"/>
        </w:rPr>
      </w:pPr>
    </w:p>
    <w:p w14:paraId="4026DD41">
      <w:pPr>
        <w:spacing w:before="120" w:line="480" w:lineRule="auto"/>
        <w:ind w:left="960"/>
        <w:rPr>
          <w:rFonts w:hint="eastAsia" w:ascii="宋体" w:hAnsi="宋体"/>
          <w:color w:val="auto"/>
          <w:sz w:val="24"/>
          <w:highlight w:val="none"/>
        </w:rPr>
      </w:pPr>
    </w:p>
    <w:p w14:paraId="2EE4DF05">
      <w:pPr>
        <w:spacing w:before="120" w:line="480" w:lineRule="auto"/>
        <w:ind w:left="960"/>
        <w:rPr>
          <w:rFonts w:hint="eastAsia" w:ascii="宋体" w:hAnsi="宋体"/>
          <w:color w:val="auto"/>
          <w:sz w:val="24"/>
          <w:highlight w:val="none"/>
        </w:rPr>
      </w:pPr>
    </w:p>
    <w:p w14:paraId="1B9F38C7">
      <w:pPr>
        <w:spacing w:before="120" w:line="480" w:lineRule="auto"/>
        <w:ind w:left="960"/>
        <w:rPr>
          <w:rFonts w:hint="eastAsia" w:ascii="宋体" w:hAnsi="宋体"/>
          <w:color w:val="auto"/>
          <w:sz w:val="24"/>
          <w:highlight w:val="none"/>
        </w:rPr>
      </w:pPr>
    </w:p>
    <w:p w14:paraId="6D367821">
      <w:pPr>
        <w:spacing w:before="120" w:line="480" w:lineRule="auto"/>
        <w:ind w:left="960"/>
        <w:rPr>
          <w:rFonts w:hint="eastAsia" w:ascii="宋体" w:hAnsi="宋体"/>
          <w:color w:val="auto"/>
          <w:sz w:val="24"/>
          <w:highlight w:val="none"/>
        </w:rPr>
      </w:pPr>
    </w:p>
    <w:p w14:paraId="3BEAB503">
      <w:pPr>
        <w:spacing w:before="120" w:line="480" w:lineRule="auto"/>
        <w:ind w:left="960"/>
        <w:rPr>
          <w:rFonts w:hint="eastAsia" w:ascii="宋体" w:hAnsi="宋体"/>
          <w:color w:val="auto"/>
          <w:sz w:val="24"/>
          <w:highlight w:val="none"/>
        </w:rPr>
      </w:pPr>
    </w:p>
    <w:p w14:paraId="4C4F1004">
      <w:pPr>
        <w:spacing w:before="120" w:line="480" w:lineRule="auto"/>
        <w:ind w:left="960"/>
        <w:rPr>
          <w:rFonts w:hint="eastAsia" w:ascii="宋体" w:hAnsi="宋体"/>
          <w:color w:val="auto"/>
          <w:sz w:val="24"/>
          <w:highlight w:val="none"/>
        </w:rPr>
      </w:pPr>
    </w:p>
    <w:p w14:paraId="478DD668">
      <w:pPr>
        <w:spacing w:before="120" w:line="480" w:lineRule="auto"/>
        <w:ind w:left="960"/>
        <w:rPr>
          <w:rFonts w:hint="eastAsia" w:ascii="宋体" w:hAnsi="宋体"/>
          <w:color w:val="auto"/>
          <w:sz w:val="24"/>
          <w:highlight w:val="none"/>
        </w:rPr>
      </w:pPr>
    </w:p>
    <w:p w14:paraId="5148C8CC">
      <w:pPr>
        <w:spacing w:before="120"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滁州市第二人民医院物业管理服务项目</w:t>
      </w:r>
    </w:p>
    <w:p w14:paraId="794A68BB">
      <w:pPr>
        <w:spacing w:before="120"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default" w:ascii="宋体" w:hAnsi="宋体" w:eastAsia="宋体" w:cs="宋体"/>
          <w:color w:val="auto"/>
          <w:sz w:val="24"/>
          <w:szCs w:val="24"/>
          <w:highlight w:val="none"/>
          <w:u w:val="single"/>
          <w:lang w:eastAsia="zh-CN"/>
        </w:rPr>
        <w:t>czsjcg202505-018</w:t>
      </w:r>
    </w:p>
    <w:p w14:paraId="54ED0AAA">
      <w:pPr>
        <w:spacing w:before="120"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滁州市第二人民医院（市传染病医院、市精神病医院）</w:t>
      </w:r>
    </w:p>
    <w:p w14:paraId="0AFFE8B1">
      <w:pPr>
        <w:spacing w:before="120"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乙方（中标人）：</w:t>
      </w:r>
      <w:r>
        <w:rPr>
          <w:rFonts w:hint="eastAsia" w:ascii="宋体" w:hAnsi="宋体" w:eastAsia="宋体" w:cs="宋体"/>
          <w:color w:val="auto"/>
          <w:sz w:val="24"/>
          <w:szCs w:val="24"/>
          <w:highlight w:val="none"/>
          <w:u w:val="single"/>
        </w:rPr>
        <w:t xml:space="preserve">                              </w:t>
      </w:r>
    </w:p>
    <w:p w14:paraId="6F2DA691">
      <w:pPr>
        <w:spacing w:before="120"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14:paraId="735CE9AA">
      <w:pPr>
        <w:spacing w:before="120"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D7FCC2">
      <w:pPr>
        <w:widowControl/>
        <w:jc w:val="left"/>
        <w:rPr>
          <w:rFonts w:ascii="宋体" w:hAnsi="宋体"/>
          <w:color w:val="auto"/>
          <w:szCs w:val="21"/>
          <w:highlight w:val="none"/>
        </w:rPr>
      </w:pPr>
      <w:r>
        <w:rPr>
          <w:rFonts w:ascii="宋体" w:hAnsi="宋体"/>
          <w:color w:val="auto"/>
          <w:szCs w:val="21"/>
          <w:highlight w:val="none"/>
        </w:rPr>
        <w:br w:type="page"/>
      </w:r>
    </w:p>
    <w:p w14:paraId="0E1FE1E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pacing w:val="20"/>
          <w:sz w:val="24"/>
          <w:szCs w:val="24"/>
          <w:highlight w:val="none"/>
        </w:rPr>
      </w:pPr>
      <w:r>
        <w:rPr>
          <w:rFonts w:hint="eastAsia" w:asciiTheme="minorEastAsia" w:hAnsiTheme="minorEastAsia" w:eastAsiaTheme="minorEastAsia"/>
          <w:color w:val="auto"/>
          <w:spacing w:val="20"/>
          <w:sz w:val="24"/>
          <w:highlight w:val="none"/>
          <w:u w:val="single"/>
          <w:lang w:val="en-US" w:eastAsia="zh-CN"/>
        </w:rPr>
        <w:t xml:space="preserve"> 滁州市第二人民医院（市传染病医院、市精神病医院）</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lang w:val="zh-CN"/>
        </w:rPr>
        <w:t>以下简称：甲方</w:t>
      </w:r>
      <w:r>
        <w:rPr>
          <w:rFonts w:hint="eastAsia" w:ascii="宋体" w:hAnsi="宋体" w:eastAsia="宋体" w:cs="宋体"/>
          <w:color w:val="auto"/>
          <w:spacing w:val="20"/>
          <w:sz w:val="24"/>
          <w:szCs w:val="24"/>
          <w:highlight w:val="none"/>
        </w:rPr>
        <w:t>）通过</w:t>
      </w:r>
      <w:r>
        <w:rPr>
          <w:rFonts w:hint="eastAsia" w:ascii="宋体" w:hAnsi="宋体" w:eastAsia="宋体" w:cs="宋体"/>
          <w:color w:val="auto"/>
          <w:spacing w:val="20"/>
          <w:sz w:val="24"/>
          <w:szCs w:val="24"/>
          <w:highlight w:val="none"/>
          <w:u w:val="single"/>
          <w:lang w:val="en-US" w:eastAsia="zh-CN"/>
        </w:rPr>
        <w:t xml:space="preserve"> 滁州市政府采购中心 </w:t>
      </w:r>
      <w:r>
        <w:rPr>
          <w:rFonts w:hint="eastAsia" w:ascii="宋体" w:hAnsi="宋体" w:eastAsia="宋体" w:cs="宋体"/>
          <w:color w:val="auto"/>
          <w:spacing w:val="20"/>
          <w:sz w:val="24"/>
          <w:szCs w:val="24"/>
          <w:highlight w:val="none"/>
        </w:rPr>
        <w:t>组织的</w:t>
      </w:r>
      <w:r>
        <w:rPr>
          <w:rFonts w:hint="eastAsia" w:ascii="宋体" w:hAnsi="宋体" w:eastAsia="宋体" w:cs="宋体"/>
          <w:color w:val="auto"/>
          <w:spacing w:val="20"/>
          <w:sz w:val="24"/>
          <w:szCs w:val="24"/>
          <w:highlight w:val="none"/>
          <w:lang w:val="en-US" w:eastAsia="zh-CN"/>
        </w:rPr>
        <w:t>公开招标</w:t>
      </w:r>
      <w:r>
        <w:rPr>
          <w:rFonts w:hint="eastAsia" w:ascii="宋体" w:hAnsi="宋体" w:eastAsia="宋体" w:cs="宋体"/>
          <w:color w:val="auto"/>
          <w:spacing w:val="20"/>
          <w:sz w:val="24"/>
          <w:szCs w:val="24"/>
          <w:highlight w:val="none"/>
        </w:rPr>
        <w:t>采购方式采购活动，经</w:t>
      </w:r>
      <w:r>
        <w:rPr>
          <w:rFonts w:hint="eastAsia" w:ascii="宋体" w:hAnsi="宋体" w:eastAsia="宋体" w:cs="宋体"/>
          <w:color w:val="auto"/>
          <w:spacing w:val="20"/>
          <w:sz w:val="24"/>
          <w:szCs w:val="24"/>
          <w:highlight w:val="none"/>
          <w:lang w:val="en-US" w:eastAsia="zh-CN"/>
        </w:rPr>
        <w:t>评标委员会</w:t>
      </w:r>
      <w:r>
        <w:rPr>
          <w:rFonts w:hint="eastAsia" w:ascii="宋体" w:hAnsi="宋体" w:eastAsia="宋体" w:cs="宋体"/>
          <w:color w:val="auto"/>
          <w:spacing w:val="20"/>
          <w:sz w:val="24"/>
          <w:szCs w:val="24"/>
          <w:highlight w:val="none"/>
        </w:rPr>
        <w:t>评定，</w:t>
      </w:r>
      <w:r>
        <w:rPr>
          <w:rFonts w:hint="eastAsia" w:ascii="宋体" w:hAnsi="宋体" w:eastAsia="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lang w:val="zh-CN"/>
        </w:rPr>
        <w:t>以下简称：乙方</w:t>
      </w:r>
      <w:r>
        <w:rPr>
          <w:rFonts w:hint="eastAsia" w:ascii="宋体" w:hAnsi="宋体" w:eastAsia="宋体" w:cs="宋体"/>
          <w:color w:val="auto"/>
          <w:spacing w:val="20"/>
          <w:sz w:val="24"/>
          <w:szCs w:val="24"/>
          <w:highlight w:val="none"/>
        </w:rPr>
        <w:t>）为本项目</w:t>
      </w:r>
      <w:r>
        <w:rPr>
          <w:rFonts w:hint="eastAsia" w:ascii="宋体" w:hAnsi="宋体" w:eastAsia="宋体" w:cs="宋体"/>
          <w:color w:val="auto"/>
          <w:spacing w:val="20"/>
          <w:sz w:val="24"/>
          <w:szCs w:val="24"/>
          <w:highlight w:val="none"/>
          <w:lang w:val="en-US" w:eastAsia="zh-CN"/>
        </w:rPr>
        <w:t>中标人</w:t>
      </w:r>
      <w:r>
        <w:rPr>
          <w:rFonts w:hint="eastAsia" w:ascii="宋体" w:hAnsi="宋体" w:eastAsia="宋体" w:cs="宋体"/>
          <w:color w:val="auto"/>
          <w:spacing w:val="20"/>
          <w:sz w:val="24"/>
          <w:szCs w:val="24"/>
          <w:highlight w:val="none"/>
        </w:rPr>
        <w:t>，现按照采购文件确定的事项签订本合同。</w:t>
      </w:r>
    </w:p>
    <w:p w14:paraId="30D0DFC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26FACD1">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64" w:name="_Toc2232"/>
      <w:bookmarkStart w:id="65" w:name="_Toc24059"/>
      <w:bookmarkStart w:id="66" w:name="_Toc3029"/>
      <w:r>
        <w:rPr>
          <w:rFonts w:hint="eastAsia" w:ascii="宋体" w:hAnsi="宋体" w:eastAsia="宋体" w:cs="宋体"/>
          <w:b/>
          <w:bCs/>
          <w:color w:val="auto"/>
          <w:sz w:val="24"/>
          <w:szCs w:val="24"/>
          <w:highlight w:val="none"/>
          <w:lang w:val="zh-CN"/>
        </w:rPr>
        <w:t>1.1 合同组成部分</w:t>
      </w:r>
      <w:bookmarkEnd w:id="64"/>
      <w:bookmarkEnd w:id="65"/>
      <w:bookmarkEnd w:id="66"/>
    </w:p>
    <w:p w14:paraId="10D8030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6DB47BE">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5F09EFB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w:t>
      </w:r>
    </w:p>
    <w:p w14:paraId="0F8B2500">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文件（含澄清或者说明文件）；</w:t>
      </w:r>
    </w:p>
    <w:p w14:paraId="1BFF247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1.1.4采购文件（含澄清或者修改文件）；</w:t>
      </w:r>
    </w:p>
    <w:p w14:paraId="1854A1A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3EB3DD0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67" w:name="_Toc6311"/>
      <w:bookmarkStart w:id="68" w:name="_Toc18585"/>
      <w:bookmarkStart w:id="69" w:name="_Toc22185"/>
      <w:bookmarkStart w:id="70" w:name="_Toc6773"/>
      <w:bookmarkStart w:id="71" w:name="_Toc2918"/>
      <w:r>
        <w:rPr>
          <w:rFonts w:hint="eastAsia" w:ascii="宋体" w:hAnsi="宋体" w:eastAsia="宋体" w:cs="宋体"/>
          <w:b/>
          <w:bCs/>
          <w:color w:val="auto"/>
          <w:sz w:val="24"/>
          <w:szCs w:val="24"/>
          <w:highlight w:val="none"/>
          <w:lang w:val="zh-CN"/>
        </w:rPr>
        <w:t xml:space="preserve">1.2 </w:t>
      </w:r>
      <w:bookmarkEnd w:id="67"/>
      <w:bookmarkEnd w:id="68"/>
      <w:bookmarkEnd w:id="69"/>
      <w:bookmarkEnd w:id="70"/>
      <w:bookmarkEnd w:id="71"/>
      <w:r>
        <w:rPr>
          <w:rFonts w:hint="eastAsia" w:ascii="宋体" w:hAnsi="宋体" w:eastAsia="宋体" w:cs="宋体"/>
          <w:b/>
          <w:bCs/>
          <w:color w:val="auto"/>
          <w:sz w:val="24"/>
          <w:szCs w:val="24"/>
          <w:highlight w:val="none"/>
          <w:lang w:val="zh-CN"/>
        </w:rPr>
        <w:t>服务</w:t>
      </w:r>
    </w:p>
    <w:p w14:paraId="2AE87CF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eastAsia="zh-CN"/>
        </w:rPr>
        <w:t>滁州市第二人民医院物业管理服务项目</w:t>
      </w:r>
      <w:r>
        <w:rPr>
          <w:rFonts w:hint="eastAsia" w:ascii="宋体" w:hAnsi="宋体" w:eastAsia="宋体" w:cs="宋体"/>
          <w:color w:val="auto"/>
          <w:sz w:val="24"/>
          <w:szCs w:val="24"/>
          <w:highlight w:val="none"/>
        </w:rPr>
        <w:t>；</w:t>
      </w:r>
    </w:p>
    <w:p w14:paraId="269A39D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lang w:val="en-US" w:eastAsia="zh-CN"/>
        </w:rPr>
        <w:t>详见招标文件第三章《采购需求》全部内容</w:t>
      </w:r>
      <w:r>
        <w:rPr>
          <w:rFonts w:hint="eastAsia" w:ascii="宋体" w:hAnsi="宋体" w:eastAsia="宋体" w:cs="宋体"/>
          <w:color w:val="auto"/>
          <w:sz w:val="24"/>
          <w:szCs w:val="24"/>
          <w:highlight w:val="none"/>
        </w:rPr>
        <w:t>；</w:t>
      </w:r>
    </w:p>
    <w:p w14:paraId="785E747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lang w:val="en-US" w:eastAsia="zh-CN"/>
        </w:rPr>
        <w:t>满足招标文件要求、满足考核相关要求</w:t>
      </w:r>
      <w:r>
        <w:rPr>
          <w:rFonts w:hint="eastAsia" w:ascii="宋体" w:hAnsi="宋体" w:eastAsia="宋体" w:cs="宋体"/>
          <w:color w:val="auto"/>
          <w:sz w:val="24"/>
          <w:szCs w:val="24"/>
          <w:highlight w:val="none"/>
        </w:rPr>
        <w:t>。</w:t>
      </w:r>
    </w:p>
    <w:p w14:paraId="3F4EA586">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2" w:name="_Toc23292"/>
      <w:bookmarkStart w:id="73" w:name="_Toc21631"/>
      <w:bookmarkStart w:id="74" w:name="_Toc21551"/>
      <w:r>
        <w:rPr>
          <w:rFonts w:hint="eastAsia" w:ascii="宋体" w:hAnsi="宋体" w:eastAsia="宋体" w:cs="宋体"/>
          <w:b/>
          <w:bCs/>
          <w:color w:val="auto"/>
          <w:sz w:val="24"/>
          <w:szCs w:val="24"/>
          <w:highlight w:val="none"/>
          <w:lang w:val="zh-CN"/>
        </w:rPr>
        <w:t>1.3 价款</w:t>
      </w:r>
      <w:bookmarkEnd w:id="72"/>
      <w:bookmarkEnd w:id="73"/>
      <w:bookmarkEnd w:id="74"/>
    </w:p>
    <w:p w14:paraId="03CE964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B13EF4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576"/>
        <w:gridCol w:w="13"/>
        <w:gridCol w:w="3419"/>
        <w:gridCol w:w="13"/>
      </w:tblGrid>
      <w:tr w14:paraId="3E41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16" w:hRule="atLeast"/>
          <w:jc w:val="center"/>
        </w:trPr>
        <w:tc>
          <w:tcPr>
            <w:tcW w:w="562" w:type="pct"/>
            <w:vAlign w:val="center"/>
          </w:tcPr>
          <w:p w14:paraId="685C60E9">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532" w:type="pct"/>
            <w:vAlign w:val="center"/>
          </w:tcPr>
          <w:p w14:paraId="6219CE22">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99" w:type="pct"/>
            <w:gridSpan w:val="2"/>
            <w:vAlign w:val="center"/>
          </w:tcPr>
          <w:p w14:paraId="716DF081">
            <w:pPr>
              <w:pStyle w:val="86"/>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1892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3" w:hRule="atLeast"/>
          <w:jc w:val="center"/>
        </w:trPr>
        <w:tc>
          <w:tcPr>
            <w:tcW w:w="562" w:type="pct"/>
          </w:tcPr>
          <w:p w14:paraId="77D76FFB">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532" w:type="pct"/>
            <w:vAlign w:val="center"/>
          </w:tcPr>
          <w:p w14:paraId="1BDE4BBD">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665C16D0">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5859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21" w:hRule="atLeast"/>
          <w:jc w:val="center"/>
        </w:trPr>
        <w:tc>
          <w:tcPr>
            <w:tcW w:w="562" w:type="pct"/>
          </w:tcPr>
          <w:p w14:paraId="7742837E">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532" w:type="pct"/>
            <w:vAlign w:val="center"/>
          </w:tcPr>
          <w:p w14:paraId="6F1C8285">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473B3F5D">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3564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B20814A">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532" w:type="pct"/>
            <w:vAlign w:val="center"/>
          </w:tcPr>
          <w:p w14:paraId="702F8653">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4BC42749">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3E6A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0BA81A6">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2532" w:type="pct"/>
            <w:vAlign w:val="center"/>
          </w:tcPr>
          <w:p w14:paraId="607D30D8">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6EA4DA8B">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459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59D33A0">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899" w:type="pct"/>
            <w:gridSpan w:val="2"/>
            <w:vAlign w:val="center"/>
          </w:tcPr>
          <w:p w14:paraId="5C2374E6">
            <w:pPr>
              <w:pStyle w:val="8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bl>
    <w:p w14:paraId="758C1630">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5" w:name="_Toc1814"/>
      <w:bookmarkStart w:id="76" w:name="_Toc22618"/>
      <w:bookmarkStart w:id="77" w:name="_Toc10340"/>
      <w:r>
        <w:rPr>
          <w:rFonts w:hint="eastAsia" w:ascii="宋体" w:hAnsi="宋体" w:eastAsia="宋体" w:cs="宋体"/>
          <w:b/>
          <w:bCs/>
          <w:color w:val="auto"/>
          <w:sz w:val="24"/>
          <w:szCs w:val="24"/>
          <w:highlight w:val="none"/>
          <w:lang w:val="zh-CN"/>
        </w:rPr>
        <w:t>1.4 付款方式和发票开具方式</w:t>
      </w:r>
      <w:bookmarkEnd w:id="75"/>
      <w:bookmarkEnd w:id="76"/>
      <w:bookmarkEnd w:id="77"/>
    </w:p>
    <w:p w14:paraId="180EB54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lang w:val="en-US" w:eastAsia="zh-CN"/>
        </w:rPr>
        <w:t>物业服务费按月支付。隔月15日前将支付本月度物业服务费；当月考核85分（含）以上全额支付月度物业服务费，低于85分（不含），每少1分按月度物业服务费的1%扣除（不足1分的按1分计取）；当月考核低于80分（不含80分）（不含物业进场后前2月），采购人将下达限期整改通知，整改期限不超过一个月，若整改仍不合格的终止合同</w:t>
      </w:r>
      <w:r>
        <w:rPr>
          <w:rFonts w:hint="eastAsia" w:ascii="宋体" w:hAnsi="宋体" w:eastAsia="宋体" w:cs="宋体"/>
          <w:b w:val="0"/>
          <w:color w:val="auto"/>
          <w:sz w:val="24"/>
          <w:szCs w:val="24"/>
          <w:highlight w:val="none"/>
          <w:lang w:val="en-US" w:eastAsia="zh-CN"/>
        </w:rPr>
        <w:t>。</w:t>
      </w:r>
    </w:p>
    <w:p w14:paraId="162C974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增值税发票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D6642C">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8" w:name="_Toc19304"/>
      <w:bookmarkStart w:id="79" w:name="_Toc32071"/>
      <w:bookmarkStart w:id="80" w:name="_Toc2846"/>
      <w:r>
        <w:rPr>
          <w:rFonts w:hint="eastAsia" w:ascii="宋体" w:hAnsi="宋体" w:eastAsia="宋体" w:cs="宋体"/>
          <w:b/>
          <w:bCs/>
          <w:color w:val="auto"/>
          <w:sz w:val="24"/>
          <w:szCs w:val="24"/>
          <w:highlight w:val="none"/>
          <w:lang w:val="zh-CN"/>
        </w:rPr>
        <w:t>1.5 服务期限、地点和方式</w:t>
      </w:r>
      <w:bookmarkEnd w:id="78"/>
      <w:bookmarkEnd w:id="79"/>
      <w:bookmarkEnd w:id="80"/>
    </w:p>
    <w:p w14:paraId="5E589CD6">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服务期三年，合同一年一签</w:t>
      </w:r>
      <w:r>
        <w:rPr>
          <w:rFonts w:hint="eastAsia" w:ascii="宋体" w:hAnsi="宋体" w:eastAsia="宋体" w:cs="宋体"/>
          <w:color w:val="auto"/>
          <w:sz w:val="24"/>
          <w:szCs w:val="24"/>
          <w:highlight w:val="none"/>
          <w:u w:val="none"/>
          <w:lang w:val="en-US" w:eastAsia="zh-CN"/>
        </w:rPr>
        <w:t>；</w:t>
      </w:r>
    </w:p>
    <w:p w14:paraId="1AB8E8C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lang w:val="en-US" w:eastAsia="zh-CN"/>
        </w:rPr>
        <w:t>滁州市第二人民医院东区、西区，采购人指定地点</w:t>
      </w:r>
      <w:r>
        <w:rPr>
          <w:rFonts w:hint="eastAsia" w:ascii="宋体" w:hAnsi="宋体" w:eastAsia="宋体" w:cs="宋体"/>
          <w:color w:val="auto"/>
          <w:sz w:val="24"/>
          <w:szCs w:val="24"/>
          <w:highlight w:val="none"/>
        </w:rPr>
        <w:t>；</w:t>
      </w:r>
    </w:p>
    <w:p w14:paraId="2E8514C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现场驻点服务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00FF834">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1" w:name="_Toc27250"/>
      <w:bookmarkStart w:id="82" w:name="_Toc19554"/>
      <w:bookmarkStart w:id="83" w:name="_Toc21423"/>
      <w:r>
        <w:rPr>
          <w:rFonts w:hint="eastAsia" w:ascii="宋体" w:hAnsi="宋体" w:eastAsia="宋体" w:cs="宋体"/>
          <w:b/>
          <w:bCs/>
          <w:color w:val="auto"/>
          <w:sz w:val="24"/>
          <w:szCs w:val="24"/>
          <w:highlight w:val="none"/>
          <w:lang w:val="zh-CN"/>
        </w:rPr>
        <w:t>1.6 违约责任</w:t>
      </w:r>
      <w:bookmarkEnd w:id="81"/>
      <w:bookmarkEnd w:id="82"/>
      <w:bookmarkEnd w:id="83"/>
    </w:p>
    <w:p w14:paraId="65CD10F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6B0B51D6">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0.5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C37694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A5976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EC8D84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83423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5DC688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6C56F4B">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4" w:name="_Toc16021"/>
      <w:bookmarkStart w:id="85" w:name="_Toc28375"/>
      <w:bookmarkStart w:id="86" w:name="_Toc15583"/>
      <w:r>
        <w:rPr>
          <w:rFonts w:hint="eastAsia" w:ascii="宋体" w:hAnsi="宋体" w:eastAsia="宋体" w:cs="宋体"/>
          <w:b/>
          <w:bCs/>
          <w:color w:val="auto"/>
          <w:sz w:val="24"/>
          <w:szCs w:val="24"/>
          <w:highlight w:val="none"/>
          <w:lang w:val="zh-CN"/>
        </w:rPr>
        <w:t>1.7 合同争议的解决</w:t>
      </w:r>
      <w:bookmarkEnd w:id="84"/>
      <w:bookmarkEnd w:id="85"/>
      <w:bookmarkEnd w:id="86"/>
    </w:p>
    <w:p w14:paraId="36D3BDF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1.7.2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4948107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31F31DD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Theme="minorEastAsia" w:hAnsiTheme="minorEastAsia" w:eastAsiaTheme="minorEastAsia"/>
          <w:sz w:val="24"/>
          <w:highlight w:val="none"/>
          <w:u w:val="single"/>
        </w:rPr>
        <w:t>甲方（采购人）所在地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618E0A0A">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7" w:name="_Toc15322"/>
      <w:bookmarkStart w:id="88" w:name="_Toc7245"/>
      <w:bookmarkStart w:id="89" w:name="_Toc11173"/>
      <w:r>
        <w:rPr>
          <w:rFonts w:hint="eastAsia" w:ascii="宋体" w:hAnsi="宋体" w:eastAsia="宋体" w:cs="宋体"/>
          <w:b/>
          <w:bCs/>
          <w:color w:val="auto"/>
          <w:sz w:val="24"/>
          <w:szCs w:val="24"/>
          <w:highlight w:val="none"/>
          <w:lang w:val="zh-CN"/>
        </w:rPr>
        <w:t>1.8 合同生效</w:t>
      </w:r>
      <w:bookmarkEnd w:id="87"/>
      <w:bookmarkEnd w:id="88"/>
      <w:bookmarkEnd w:id="89"/>
    </w:p>
    <w:p w14:paraId="5DF7F17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365853F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p>
    <w:p w14:paraId="380BD7E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4049ECCB">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55C77F4A">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05764976">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90"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6BED622A">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122976F7">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7B24EC7F">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3EB869E7">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6E045E5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13E966E">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0"/>
    </w:p>
    <w:p w14:paraId="4B5EDB1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91" w:name="_Ref467379109"/>
      <w:bookmarkStart w:id="92" w:name="_Ref467378463"/>
      <w:bookmarkStart w:id="93" w:name="_Toc487900349"/>
      <w:bookmarkStart w:id="94" w:name="_Ref467379195"/>
      <w:bookmarkStart w:id="95" w:name="_Toc16917"/>
      <w:bookmarkStart w:id="96" w:name="_Ref467379214"/>
      <w:bookmarkStart w:id="97" w:name="_Ref467379205"/>
      <w:bookmarkStart w:id="98" w:name="_Ref467379225"/>
      <w:bookmarkStart w:id="99" w:name="_Toc28763"/>
      <w:bookmarkStart w:id="100" w:name="_Toc259093669"/>
      <w:bookmarkStart w:id="101" w:name="_Ref467378404"/>
      <w:bookmarkStart w:id="102" w:name="_Toc279701240"/>
      <w:bookmarkStart w:id="103" w:name="_Ref467378499"/>
      <w:bookmarkStart w:id="104" w:name="_Ref467379101"/>
      <w:bookmarkStart w:id="105" w:name="_Toc19614"/>
      <w:bookmarkStart w:id="106" w:name="_Ref467379094"/>
      <w:r>
        <w:rPr>
          <w:rFonts w:hint="eastAsia" w:ascii="宋体" w:hAnsi="宋体" w:eastAsia="宋体" w:cs="宋体"/>
          <w:b/>
          <w:bCs/>
          <w:color w:val="auto"/>
          <w:sz w:val="24"/>
          <w:highlight w:val="none"/>
          <w:lang w:val="zh-CN"/>
        </w:rPr>
        <w:t>2.1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BBDF6C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6ADC669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6A03560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0584E2E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1AFA80F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07" w:name="_Ref467378840"/>
      <w:r>
        <w:rPr>
          <w:rFonts w:hint="eastAsia" w:ascii="宋体" w:hAnsi="宋体" w:eastAsia="宋体" w:cs="宋体"/>
          <w:color w:val="auto"/>
          <w:sz w:val="24"/>
          <w:highlight w:val="none"/>
        </w:rPr>
        <w:t>2.1.4“甲方”系指与成交供应商签署合同的采购人</w:t>
      </w:r>
      <w:bookmarkEnd w:id="107"/>
      <w:r>
        <w:rPr>
          <w:rFonts w:hint="eastAsia" w:ascii="宋体" w:hAnsi="宋体" w:eastAsia="宋体" w:cs="宋体"/>
          <w:color w:val="auto"/>
          <w:sz w:val="24"/>
          <w:highlight w:val="none"/>
        </w:rPr>
        <w:t>；采购人委托采购代理机构代表其与乙方签订合同的，采购人的授权委托书作为合同附件。</w:t>
      </w:r>
    </w:p>
    <w:p w14:paraId="7AECE82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08" w:name="_Ref467379400"/>
      <w:r>
        <w:rPr>
          <w:rFonts w:hint="eastAsia" w:ascii="宋体" w:hAnsi="宋体" w:eastAsia="宋体" w:cs="宋体"/>
          <w:color w:val="auto"/>
          <w:sz w:val="24"/>
          <w:highlight w:val="none"/>
        </w:rPr>
        <w:t>2.1.5“乙方”系指根据合同约定提供服务的成交供应商</w:t>
      </w:r>
      <w:bookmarkEnd w:id="108"/>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8AD4D4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09" w:name="_Ref467379436"/>
      <w:r>
        <w:rPr>
          <w:rFonts w:hint="eastAsia" w:ascii="宋体" w:hAnsi="宋体" w:eastAsia="宋体" w:cs="宋体"/>
          <w:color w:val="auto"/>
          <w:sz w:val="24"/>
          <w:highlight w:val="none"/>
        </w:rPr>
        <w:t>2.1.6“现场”系指合同约定提供服务的地点。</w:t>
      </w:r>
      <w:bookmarkEnd w:id="109"/>
    </w:p>
    <w:p w14:paraId="186610C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0" w:name="_Toc32504"/>
      <w:bookmarkStart w:id="111" w:name="_Toc279701241"/>
      <w:bookmarkStart w:id="112" w:name="_Toc487900350"/>
      <w:bookmarkStart w:id="113" w:name="_Toc27635"/>
      <w:bookmarkStart w:id="114" w:name="_Toc13336"/>
      <w:bookmarkStart w:id="115" w:name="_Toc259093670"/>
      <w:r>
        <w:rPr>
          <w:rFonts w:hint="eastAsia" w:ascii="宋体" w:hAnsi="宋体" w:eastAsia="宋体" w:cs="宋体"/>
          <w:b/>
          <w:bCs/>
          <w:color w:val="auto"/>
          <w:sz w:val="24"/>
          <w:highlight w:val="none"/>
          <w:lang w:val="zh-CN"/>
        </w:rPr>
        <w:t>2.2 技术规范</w:t>
      </w:r>
      <w:bookmarkEnd w:id="110"/>
      <w:bookmarkEnd w:id="111"/>
      <w:bookmarkEnd w:id="112"/>
      <w:bookmarkEnd w:id="113"/>
      <w:bookmarkEnd w:id="114"/>
      <w:bookmarkEnd w:id="115"/>
    </w:p>
    <w:p w14:paraId="77D6E34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649227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6" w:name="_Toc487900351"/>
      <w:bookmarkStart w:id="117" w:name="_Toc9829"/>
      <w:bookmarkStart w:id="118" w:name="_Toc279701242"/>
      <w:bookmarkStart w:id="119" w:name="_Toc259093671"/>
      <w:bookmarkStart w:id="120" w:name="_Toc27853"/>
      <w:bookmarkStart w:id="121" w:name="_Toc31634"/>
      <w:r>
        <w:rPr>
          <w:rFonts w:hint="eastAsia" w:ascii="宋体" w:hAnsi="宋体" w:eastAsia="宋体" w:cs="宋体"/>
          <w:b/>
          <w:bCs/>
          <w:color w:val="auto"/>
          <w:sz w:val="24"/>
          <w:highlight w:val="none"/>
          <w:lang w:val="zh-CN"/>
        </w:rPr>
        <w:t>2.3 知识产权</w:t>
      </w:r>
      <w:bookmarkEnd w:id="116"/>
      <w:bookmarkEnd w:id="117"/>
      <w:bookmarkEnd w:id="118"/>
      <w:bookmarkEnd w:id="119"/>
      <w:bookmarkEnd w:id="120"/>
      <w:bookmarkEnd w:id="121"/>
    </w:p>
    <w:p w14:paraId="37D64B7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31E4B5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060314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2" w:name="_Toc487900354"/>
      <w:bookmarkStart w:id="123" w:name="_Ref467379542"/>
      <w:bookmarkStart w:id="124" w:name="_Ref467378541"/>
      <w:bookmarkStart w:id="125" w:name="_Toc259093674"/>
      <w:bookmarkStart w:id="126" w:name="_Ref467378591"/>
      <w:bookmarkStart w:id="127" w:name="_Ref467379536"/>
      <w:bookmarkStart w:id="128" w:name="_Ref467379527"/>
      <w:bookmarkStart w:id="129" w:name="_Toc279701245"/>
      <w:bookmarkStart w:id="130" w:name="_Toc19074"/>
      <w:bookmarkStart w:id="131" w:name="_Toc26182"/>
      <w:bookmarkStart w:id="132" w:name="_Toc30272"/>
      <w:r>
        <w:rPr>
          <w:rFonts w:hint="eastAsia" w:ascii="宋体" w:hAnsi="宋体" w:eastAsia="宋体" w:cs="宋体"/>
          <w:b/>
          <w:bCs/>
          <w:color w:val="auto"/>
          <w:sz w:val="24"/>
          <w:highlight w:val="none"/>
          <w:lang w:val="zh-CN"/>
        </w:rPr>
        <w:t>2.</w:t>
      </w:r>
      <w:bookmarkEnd w:id="122"/>
      <w:bookmarkEnd w:id="123"/>
      <w:bookmarkEnd w:id="124"/>
      <w:bookmarkEnd w:id="125"/>
      <w:bookmarkEnd w:id="126"/>
      <w:bookmarkEnd w:id="127"/>
      <w:bookmarkEnd w:id="128"/>
      <w:bookmarkEnd w:id="129"/>
      <w:r>
        <w:rPr>
          <w:rFonts w:hint="eastAsia" w:ascii="宋体" w:hAnsi="宋体" w:eastAsia="宋体" w:cs="宋体"/>
          <w:b/>
          <w:bCs/>
          <w:color w:val="auto"/>
          <w:sz w:val="24"/>
          <w:highlight w:val="none"/>
          <w:lang w:val="zh-CN"/>
        </w:rPr>
        <w:t>4 履约检查和问题反馈</w:t>
      </w:r>
      <w:bookmarkEnd w:id="130"/>
      <w:bookmarkEnd w:id="131"/>
      <w:bookmarkEnd w:id="132"/>
    </w:p>
    <w:p w14:paraId="32DAB20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33" w:name="_Toc186431854"/>
      <w:bookmarkStart w:id="134" w:name="_Ref467379793"/>
      <w:bookmarkStart w:id="135" w:name="_Toc279701247"/>
      <w:bookmarkStart w:id="136" w:name="_Toc487900357"/>
      <w:bookmarkStart w:id="137" w:name="_Ref467379807"/>
      <w:bookmarkStart w:id="138" w:name="_Toc259093676"/>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5722FAF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33"/>
      <w:bookmarkStart w:id="139" w:name="_Toc186431855"/>
      <w:r>
        <w:rPr>
          <w:rFonts w:hint="eastAsia" w:ascii="宋体" w:hAnsi="宋体" w:eastAsia="宋体" w:cs="宋体"/>
          <w:color w:val="auto"/>
          <w:sz w:val="24"/>
          <w:highlight w:val="none"/>
        </w:rPr>
        <w:t>。</w:t>
      </w:r>
    </w:p>
    <w:bookmarkEnd w:id="139"/>
    <w:p w14:paraId="224BA21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0" w:name="_Toc28451"/>
      <w:bookmarkStart w:id="141" w:name="_Toc7836"/>
      <w:bookmarkStart w:id="142" w:name="_Toc19219"/>
      <w:r>
        <w:rPr>
          <w:rFonts w:hint="eastAsia" w:ascii="宋体" w:hAnsi="宋体" w:eastAsia="宋体" w:cs="宋体"/>
          <w:b/>
          <w:bCs/>
          <w:color w:val="auto"/>
          <w:sz w:val="24"/>
          <w:highlight w:val="none"/>
          <w:lang w:val="zh-CN"/>
        </w:rPr>
        <w:t>2.5 结算方式和付款条件</w:t>
      </w:r>
      <w:bookmarkEnd w:id="134"/>
      <w:bookmarkEnd w:id="135"/>
      <w:bookmarkEnd w:id="136"/>
      <w:bookmarkEnd w:id="137"/>
      <w:bookmarkEnd w:id="138"/>
      <w:bookmarkEnd w:id="140"/>
      <w:bookmarkEnd w:id="141"/>
      <w:bookmarkEnd w:id="142"/>
    </w:p>
    <w:p w14:paraId="5D01D4F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35D24F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3" w:name="_Ref467379923"/>
      <w:bookmarkStart w:id="144" w:name="_Ref467379863"/>
      <w:bookmarkStart w:id="145" w:name="_Toc279701248"/>
      <w:bookmarkStart w:id="146" w:name="_Toc487900358"/>
      <w:bookmarkStart w:id="147" w:name="_Ref467379852"/>
      <w:bookmarkStart w:id="148" w:name="_Toc259093677"/>
      <w:bookmarkStart w:id="149" w:name="_Toc16110"/>
      <w:bookmarkStart w:id="150" w:name="_Toc774"/>
      <w:bookmarkStart w:id="151" w:name="_Toc3225"/>
      <w:r>
        <w:rPr>
          <w:rFonts w:hint="eastAsia" w:ascii="宋体" w:hAnsi="宋体" w:eastAsia="宋体" w:cs="宋体"/>
          <w:b/>
          <w:bCs/>
          <w:color w:val="auto"/>
          <w:sz w:val="24"/>
          <w:highlight w:val="none"/>
          <w:lang w:val="zh-CN"/>
        </w:rPr>
        <w:t>2.6 技术资料</w:t>
      </w:r>
      <w:bookmarkEnd w:id="143"/>
      <w:bookmarkEnd w:id="144"/>
      <w:bookmarkEnd w:id="145"/>
      <w:bookmarkEnd w:id="146"/>
      <w:bookmarkEnd w:id="147"/>
      <w:bookmarkEnd w:id="148"/>
      <w:r>
        <w:rPr>
          <w:rFonts w:hint="eastAsia" w:ascii="宋体" w:hAnsi="宋体" w:eastAsia="宋体" w:cs="宋体"/>
          <w:b/>
          <w:bCs/>
          <w:color w:val="auto"/>
          <w:sz w:val="24"/>
          <w:highlight w:val="none"/>
          <w:lang w:val="zh-CN"/>
        </w:rPr>
        <w:t>和保密义务</w:t>
      </w:r>
      <w:bookmarkEnd w:id="149"/>
      <w:bookmarkEnd w:id="150"/>
      <w:bookmarkEnd w:id="151"/>
    </w:p>
    <w:p w14:paraId="139EDA0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6BD6E55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7F1F039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C65C21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2" w:name="_Toc7860"/>
      <w:r>
        <w:rPr>
          <w:rFonts w:hint="eastAsia" w:ascii="宋体" w:hAnsi="宋体" w:eastAsia="宋体" w:cs="宋体"/>
          <w:b/>
          <w:bCs/>
          <w:color w:val="auto"/>
          <w:sz w:val="24"/>
          <w:highlight w:val="none"/>
          <w:lang w:val="zh-CN"/>
        </w:rPr>
        <w:t>2.7 质量保证</w:t>
      </w:r>
      <w:bookmarkEnd w:id="152"/>
    </w:p>
    <w:p w14:paraId="6873D07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3389389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45DBF3B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53" w:name="_Toc22267"/>
      <w:r>
        <w:rPr>
          <w:rFonts w:hint="eastAsia" w:ascii="宋体" w:hAnsi="宋体" w:eastAsia="宋体" w:cs="宋体"/>
          <w:b/>
          <w:color w:val="auto"/>
          <w:sz w:val="24"/>
          <w:highlight w:val="none"/>
        </w:rPr>
        <w:t>2.8 延迟履行</w:t>
      </w:r>
      <w:bookmarkEnd w:id="153"/>
    </w:p>
    <w:p w14:paraId="1324686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578475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4" w:name="_Toc7502"/>
      <w:bookmarkStart w:id="155" w:name="_Toc279701254"/>
      <w:bookmarkStart w:id="156" w:name="_Toc259093683"/>
      <w:bookmarkStart w:id="157" w:name="_Ref467378121"/>
      <w:bookmarkStart w:id="158" w:name="_Toc487900364"/>
      <w:r>
        <w:rPr>
          <w:rFonts w:hint="eastAsia" w:ascii="宋体" w:hAnsi="宋体" w:eastAsia="宋体" w:cs="宋体"/>
          <w:b/>
          <w:bCs/>
          <w:color w:val="auto"/>
          <w:sz w:val="24"/>
          <w:highlight w:val="none"/>
          <w:lang w:val="zh-CN"/>
        </w:rPr>
        <w:t>2.9 合同变更</w:t>
      </w:r>
      <w:bookmarkEnd w:id="154"/>
    </w:p>
    <w:p w14:paraId="73BB6A8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4BBE14F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59" w:name="_Toc279701259"/>
      <w:bookmarkStart w:id="160" w:name="_Toc487900369"/>
      <w:bookmarkStart w:id="161" w:name="_Toc259093688"/>
    </w:p>
    <w:p w14:paraId="4267494F">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2" w:name="_Toc15237"/>
      <w:bookmarkStart w:id="163" w:name="_Toc22955"/>
      <w:bookmarkStart w:id="164" w:name="_Toc10366"/>
      <w:r>
        <w:rPr>
          <w:rFonts w:hint="eastAsia" w:ascii="宋体" w:hAnsi="宋体" w:eastAsia="宋体" w:cs="宋体"/>
          <w:b/>
          <w:bCs/>
          <w:color w:val="auto"/>
          <w:sz w:val="24"/>
          <w:highlight w:val="none"/>
          <w:lang w:val="zh-CN"/>
        </w:rPr>
        <w:t>2.10 合同转让</w:t>
      </w:r>
      <w:bookmarkEnd w:id="159"/>
      <w:bookmarkEnd w:id="160"/>
      <w:bookmarkEnd w:id="161"/>
      <w:r>
        <w:rPr>
          <w:rFonts w:hint="eastAsia" w:ascii="宋体" w:hAnsi="宋体" w:eastAsia="宋体" w:cs="宋体"/>
          <w:b/>
          <w:bCs/>
          <w:color w:val="auto"/>
          <w:sz w:val="24"/>
          <w:highlight w:val="none"/>
          <w:lang w:val="zh-CN"/>
        </w:rPr>
        <w:t>和分包</w:t>
      </w:r>
      <w:bookmarkEnd w:id="162"/>
      <w:bookmarkEnd w:id="163"/>
      <w:bookmarkEnd w:id="164"/>
    </w:p>
    <w:p w14:paraId="065149A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28CDD7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5" w:name="_Toc14066"/>
      <w:bookmarkStart w:id="166" w:name="_Toc13566"/>
      <w:bookmarkStart w:id="167" w:name="_Toc16508"/>
      <w:r>
        <w:rPr>
          <w:rFonts w:hint="eastAsia" w:ascii="宋体" w:hAnsi="宋体" w:eastAsia="宋体" w:cs="宋体"/>
          <w:b/>
          <w:bCs/>
          <w:color w:val="auto"/>
          <w:sz w:val="24"/>
          <w:highlight w:val="none"/>
          <w:lang w:val="zh-CN"/>
        </w:rPr>
        <w:t>2.11 不可抗力</w:t>
      </w:r>
      <w:bookmarkEnd w:id="165"/>
      <w:bookmarkEnd w:id="166"/>
      <w:bookmarkEnd w:id="167"/>
    </w:p>
    <w:p w14:paraId="3F96D13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AC1B21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72F8A51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43195DB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4D78434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8" w:name="_Toc487900365"/>
      <w:bookmarkStart w:id="169" w:name="_Toc30676"/>
      <w:bookmarkStart w:id="170" w:name="_Toc6969"/>
      <w:bookmarkStart w:id="171" w:name="_Toc259093684"/>
      <w:bookmarkStart w:id="172" w:name="_Toc279701255"/>
      <w:bookmarkStart w:id="173" w:name="_Toc689"/>
      <w:r>
        <w:rPr>
          <w:rFonts w:hint="eastAsia" w:ascii="宋体" w:hAnsi="宋体" w:eastAsia="宋体" w:cs="宋体"/>
          <w:b/>
          <w:bCs/>
          <w:color w:val="auto"/>
          <w:sz w:val="24"/>
          <w:highlight w:val="none"/>
          <w:lang w:val="zh-CN"/>
        </w:rPr>
        <w:t>2.12 税费</w:t>
      </w:r>
      <w:bookmarkEnd w:id="168"/>
      <w:bookmarkEnd w:id="169"/>
      <w:bookmarkEnd w:id="170"/>
      <w:bookmarkEnd w:id="171"/>
      <w:bookmarkEnd w:id="172"/>
      <w:bookmarkEnd w:id="173"/>
    </w:p>
    <w:p w14:paraId="4B1A6C8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55D35F6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4" w:name="_Toc8298"/>
      <w:bookmarkStart w:id="175" w:name="_Toc279701258"/>
      <w:bookmarkStart w:id="176" w:name="_Toc7102"/>
      <w:bookmarkStart w:id="177" w:name="_Toc16959"/>
      <w:bookmarkStart w:id="178" w:name="_Toc259093687"/>
      <w:bookmarkStart w:id="179" w:name="_Toc487900368"/>
      <w:r>
        <w:rPr>
          <w:rFonts w:hint="eastAsia" w:ascii="宋体" w:hAnsi="宋体" w:eastAsia="宋体" w:cs="宋体"/>
          <w:b/>
          <w:bCs/>
          <w:color w:val="auto"/>
          <w:sz w:val="24"/>
          <w:highlight w:val="none"/>
          <w:lang w:val="zh-CN"/>
        </w:rPr>
        <w:t>2.13 乙方破产</w:t>
      </w:r>
      <w:bookmarkEnd w:id="174"/>
      <w:bookmarkEnd w:id="175"/>
      <w:bookmarkEnd w:id="176"/>
      <w:bookmarkEnd w:id="177"/>
      <w:bookmarkEnd w:id="178"/>
      <w:bookmarkEnd w:id="179"/>
    </w:p>
    <w:p w14:paraId="5C776DB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1A6FA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80" w:name="_Toc29333"/>
      <w:bookmarkStart w:id="181" w:name="_Toc6134"/>
      <w:bookmarkStart w:id="182" w:name="_Toc15387"/>
      <w:r>
        <w:rPr>
          <w:rFonts w:hint="eastAsia" w:ascii="宋体" w:hAnsi="宋体" w:eastAsia="宋体" w:cs="宋体"/>
          <w:b/>
          <w:bCs/>
          <w:color w:val="auto"/>
          <w:sz w:val="24"/>
          <w:highlight w:val="none"/>
          <w:lang w:val="zh-CN"/>
        </w:rPr>
        <w:t>2.14 合同中止、终止</w:t>
      </w:r>
      <w:bookmarkEnd w:id="180"/>
      <w:bookmarkEnd w:id="181"/>
      <w:bookmarkEnd w:id="182"/>
    </w:p>
    <w:p w14:paraId="028E050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050487F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0A9417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83" w:name="_Toc6596"/>
      <w:bookmarkStart w:id="184" w:name="_Toc14563"/>
      <w:bookmarkStart w:id="185" w:name="_Toc1125"/>
      <w:r>
        <w:rPr>
          <w:rFonts w:hint="eastAsia" w:ascii="宋体" w:hAnsi="宋体" w:eastAsia="宋体" w:cs="宋体"/>
          <w:b/>
          <w:bCs/>
          <w:color w:val="auto"/>
          <w:sz w:val="24"/>
          <w:highlight w:val="none"/>
          <w:lang w:val="zh-CN"/>
        </w:rPr>
        <w:t>2.15 检验和验收</w:t>
      </w:r>
      <w:bookmarkEnd w:id="183"/>
      <w:bookmarkEnd w:id="184"/>
      <w:bookmarkEnd w:id="185"/>
    </w:p>
    <w:p w14:paraId="5700EF6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6F18665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2BC22F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55"/>
    <w:bookmarkEnd w:id="156"/>
    <w:bookmarkEnd w:id="157"/>
    <w:bookmarkEnd w:id="158"/>
    <w:p w14:paraId="48DB44E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rPr>
      </w:pPr>
      <w:bookmarkStart w:id="186" w:name="_Toc279701263"/>
      <w:bookmarkStart w:id="187" w:name="_Toc18567"/>
      <w:bookmarkStart w:id="188" w:name="_Toc259093692"/>
      <w:bookmarkStart w:id="189" w:name="_Toc10330"/>
      <w:bookmarkStart w:id="190" w:name="_Toc487900373"/>
      <w:bookmarkStart w:id="191" w:name="_Toc12773"/>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86"/>
      <w:bookmarkEnd w:id="187"/>
      <w:bookmarkEnd w:id="188"/>
      <w:bookmarkEnd w:id="189"/>
      <w:bookmarkEnd w:id="190"/>
      <w:bookmarkEnd w:id="191"/>
    </w:p>
    <w:p w14:paraId="53169B4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1AA06EC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517E8B7F">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92" w:name="_Toc3148"/>
      <w:bookmarkStart w:id="193" w:name="_Toc259093693"/>
      <w:bookmarkStart w:id="194" w:name="_Toc16673"/>
      <w:bookmarkStart w:id="195" w:name="_Toc279701264"/>
      <w:bookmarkStart w:id="196" w:name="_Toc12004"/>
      <w:bookmarkStart w:id="197" w:name="_Toc487900374"/>
      <w:r>
        <w:rPr>
          <w:rFonts w:hint="eastAsia" w:ascii="宋体" w:hAnsi="宋体" w:eastAsia="宋体" w:cs="宋体"/>
          <w:b/>
          <w:bCs/>
          <w:color w:val="auto"/>
          <w:sz w:val="24"/>
          <w:highlight w:val="none"/>
          <w:lang w:val="zh-CN"/>
        </w:rPr>
        <w:t>2.17 履约保证金</w:t>
      </w:r>
      <w:bookmarkEnd w:id="192"/>
      <w:bookmarkEnd w:id="193"/>
      <w:bookmarkEnd w:id="194"/>
      <w:bookmarkEnd w:id="195"/>
      <w:bookmarkEnd w:id="196"/>
    </w:p>
    <w:p w14:paraId="22666B0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5C0A082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szCs w:val="24"/>
          <w:highlight w:val="none"/>
          <w:lang w:val="en-US" w:eastAsia="zh-CN"/>
        </w:rPr>
        <w:t>应承担违约责任。</w:t>
      </w:r>
    </w:p>
    <w:p w14:paraId="341063D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7"/>
    <w:p w14:paraId="5A42659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98" w:name="_Toc19890"/>
      <w:bookmarkStart w:id="199" w:name="_Toc6885"/>
      <w:bookmarkStart w:id="200" w:name="_Toc14001"/>
      <w:r>
        <w:rPr>
          <w:rFonts w:hint="eastAsia" w:ascii="宋体" w:hAnsi="宋体" w:eastAsia="宋体" w:cs="宋体"/>
          <w:b/>
          <w:bCs/>
          <w:color w:val="auto"/>
          <w:sz w:val="24"/>
          <w:highlight w:val="none"/>
          <w:lang w:val="zh-CN"/>
        </w:rPr>
        <w:t>2.18 合同份数</w:t>
      </w:r>
      <w:bookmarkEnd w:id="198"/>
      <w:bookmarkEnd w:id="199"/>
      <w:bookmarkEnd w:id="200"/>
    </w:p>
    <w:p w14:paraId="4F48744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6DA3EC2">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201"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01"/>
    </w:p>
    <w:p w14:paraId="2B5C821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0"/>
        <w:gridCol w:w="8036"/>
      </w:tblGrid>
      <w:tr w14:paraId="3A01C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3" w:type="pct"/>
            <w:tcBorders>
              <w:left w:val="single" w:color="auto" w:sz="4" w:space="0"/>
            </w:tcBorders>
            <w:vAlign w:val="center"/>
          </w:tcPr>
          <w:p w14:paraId="45B384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526" w:type="pct"/>
            <w:vAlign w:val="center"/>
          </w:tcPr>
          <w:p w14:paraId="5DEC44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59544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3" w:type="pct"/>
            <w:tcBorders>
              <w:left w:val="single" w:color="auto" w:sz="4" w:space="0"/>
            </w:tcBorders>
            <w:shd w:val="clear" w:color="auto" w:fill="auto"/>
            <w:vAlign w:val="center"/>
          </w:tcPr>
          <w:p w14:paraId="52E239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2.3.2</w:t>
            </w:r>
          </w:p>
        </w:tc>
        <w:tc>
          <w:tcPr>
            <w:tcW w:w="4526" w:type="pct"/>
            <w:shd w:val="clear" w:color="auto" w:fill="auto"/>
            <w:vAlign w:val="center"/>
          </w:tcPr>
          <w:p w14:paraId="0AA664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具有知识产权的计算机软件等货物的知识产权归属</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服务期限内，</w:t>
            </w:r>
            <w:r>
              <w:rPr>
                <w:rFonts w:hint="eastAsia" w:ascii="宋体" w:hAnsi="宋体" w:eastAsia="宋体" w:cs="宋体"/>
                <w:color w:val="auto"/>
                <w:sz w:val="24"/>
                <w:highlight w:val="none"/>
              </w:rPr>
              <w:t>知识产权归属</w:t>
            </w:r>
            <w:r>
              <w:rPr>
                <w:rFonts w:hint="eastAsia" w:ascii="宋体" w:hAnsi="宋体" w:eastAsia="宋体" w:cs="宋体"/>
                <w:color w:val="auto"/>
                <w:sz w:val="24"/>
                <w:highlight w:val="none"/>
                <w:lang w:val="en-US" w:eastAsia="zh-CN"/>
              </w:rPr>
              <w:t>乙方；乙方负责物业服务管理软件系统的维护。服务期限届满后甲方拥有该软件系统的使用权。</w:t>
            </w:r>
          </w:p>
        </w:tc>
      </w:tr>
      <w:tr w14:paraId="2F6EA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259AC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4526" w:type="pct"/>
            <w:shd w:val="clear" w:color="auto" w:fill="auto"/>
            <w:vAlign w:val="center"/>
          </w:tcPr>
          <w:p w14:paraId="6F5860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物业服务费按月支付。次月15日前支付本月度物业服务费；当月考核85分（含）以上全额支付月度物业服务费，低于85分（不含），每少1分按月度物业服务费的1%扣除（不足1分的按1分计取）；当月考核低于80分（不含80分）（不含物业进场后前2月），甲方将下达限期整改通知，整改期限不超过一个月，若整改仍不合格的终止合同。</w:t>
            </w:r>
          </w:p>
          <w:p w14:paraId="3F5B87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乙方在服务期内有下列行为，造成的不当损失而产生费用，要从当月支付给乙方的费用中扣除：A、乙方要爱护与保管采购人财产，如损坏采购人设施等，按实际损失价值赔偿；B、其它因乙方不作为或管理不严等，造成甲方不良影响或损失；C、部分与招标文件不符合的做法，或不履行其投标文件的承诺。</w:t>
            </w:r>
          </w:p>
        </w:tc>
      </w:tr>
      <w:tr w14:paraId="4BBD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5692E7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w:t>
            </w:r>
          </w:p>
        </w:tc>
        <w:tc>
          <w:tcPr>
            <w:tcW w:w="4526" w:type="pct"/>
            <w:shd w:val="clear" w:color="auto" w:fill="auto"/>
            <w:vAlign w:val="center"/>
          </w:tcPr>
          <w:p w14:paraId="2C1B77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2.11.3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因不可抗力致使合同有变更必要的，双方当事人应在不可抗力发生的3个工作日内以书面形式变更合同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p w14:paraId="12BDA4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2.11.4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受不可抗力影响的一方在不可抗力发生后，应在不可抗力发生的1个工作日内以书面形式通知对方当事人，并在1个工作日内，将有关部门出具的证明文件送达对方当事人</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tc>
      </w:tr>
      <w:tr w14:paraId="173E7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12D828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p>
        </w:tc>
        <w:tc>
          <w:tcPr>
            <w:tcW w:w="4526" w:type="pct"/>
            <w:shd w:val="clear" w:color="auto" w:fill="auto"/>
            <w:vAlign w:val="center"/>
          </w:tcPr>
          <w:p w14:paraId="4D9898AD">
            <w:pPr>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48C85AD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2.15.3</w:t>
            </w:r>
            <w:r>
              <w:rPr>
                <w:rFonts w:hint="eastAsia" w:ascii="宋体" w:hAnsi="宋体" w:eastAsia="宋体" w:cs="宋体"/>
                <w:color w:val="000000"/>
                <w:sz w:val="24"/>
                <w:szCs w:val="24"/>
                <w:highlight w:val="none"/>
                <w:lang w:val="en-US" w:eastAsia="zh-CN"/>
              </w:rPr>
              <w:t>根据</w:t>
            </w:r>
            <w:r>
              <w:rPr>
                <w:rFonts w:hint="eastAsia" w:ascii="宋体" w:hAnsi="宋体" w:eastAsia="宋体" w:cs="宋体"/>
                <w:color w:val="000000"/>
                <w:sz w:val="24"/>
                <w:szCs w:val="24"/>
                <w:highlight w:val="none"/>
              </w:rPr>
              <w:t>《滁州市第二人民医院物业管理服务考核评分细则》</w:t>
            </w:r>
            <w:r>
              <w:rPr>
                <w:rFonts w:hint="eastAsia" w:ascii="宋体" w:hAnsi="宋体" w:eastAsia="宋体" w:cs="宋体"/>
                <w:color w:val="000000"/>
                <w:sz w:val="24"/>
                <w:szCs w:val="24"/>
                <w:highlight w:val="none"/>
                <w:lang w:val="en-US" w:eastAsia="zh-CN"/>
              </w:rPr>
              <w:t>对乙方按月进行考核评分</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《滁州市第二人民医院物业管理服务考核评分细则》待项目实施阶段，由甲方根据乙方投标文件响应内容制定</w:t>
            </w:r>
            <w:r>
              <w:rPr>
                <w:rFonts w:hint="eastAsia" w:ascii="宋体" w:hAnsi="宋体" w:eastAsia="宋体" w:cs="宋体"/>
                <w:color w:val="000000"/>
                <w:sz w:val="24"/>
                <w:szCs w:val="24"/>
                <w:highlight w:val="none"/>
                <w:lang w:eastAsia="zh-CN"/>
              </w:rPr>
              <w:t>。</w:t>
            </w:r>
          </w:p>
        </w:tc>
      </w:tr>
      <w:tr w14:paraId="0AF95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19AEB5CA">
            <w:pPr>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sz w:val="24"/>
                <w:highlight w:val="none"/>
              </w:rPr>
              <w:t>2.17</w:t>
            </w:r>
          </w:p>
        </w:tc>
        <w:tc>
          <w:tcPr>
            <w:tcW w:w="4526" w:type="pct"/>
            <w:vAlign w:val="center"/>
          </w:tcPr>
          <w:p w14:paraId="3222DA5E">
            <w:pPr>
              <w:spacing w:line="440" w:lineRule="exact"/>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435FC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4C4375F7">
            <w:pPr>
              <w:spacing w:line="440" w:lineRule="exact"/>
              <w:jc w:val="center"/>
              <w:rPr>
                <w:rFonts w:hint="default" w:ascii="宋体" w:hAnsi="宋体" w:eastAsia="宋体" w:cs="宋体"/>
                <w:color w:val="auto"/>
                <w:sz w:val="24"/>
                <w:szCs w:val="24"/>
                <w:highlight w:val="none"/>
                <w:lang w:val="en-US" w:eastAsia="zh-CN"/>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4526" w:type="pct"/>
            <w:vAlign w:val="center"/>
          </w:tcPr>
          <w:p w14:paraId="3439CDEB">
            <w:pPr>
              <w:spacing w:line="440" w:lineRule="exact"/>
              <w:rPr>
                <w:rFonts w:hint="eastAsia" w:ascii="宋体" w:hAnsi="宋体" w:eastAsia="宋体" w:cs="宋体"/>
                <w:color w:val="auto"/>
                <w:sz w:val="24"/>
                <w:szCs w:val="24"/>
                <w:highlight w:val="none"/>
              </w:rPr>
            </w:pPr>
            <w:r>
              <w:rPr>
                <w:rFonts w:hint="eastAsia" w:ascii="宋体" w:hAnsi="宋体" w:eastAsia="宋体" w:cs="宋体"/>
                <w:sz w:val="24"/>
                <w:highlight w:val="none"/>
              </w:rPr>
              <w:t>合同一式陆份，甲乙双方各执叁份。</w:t>
            </w:r>
          </w:p>
        </w:tc>
      </w:tr>
      <w:tr w14:paraId="605EB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vAlign w:val="center"/>
          </w:tcPr>
          <w:p w14:paraId="3958B5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526" w:type="pct"/>
            <w:vAlign w:val="center"/>
          </w:tcPr>
          <w:p w14:paraId="5A80B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乙方须在签订合同后完成与原物业单位的工作对接，以及投入工作的前期与甲方相关对接，做到全员上岗投入使用，不得出现缺岗或岗位缺人等现象，如出现，甲方不予支付任何费用，产生的损失由乙方自负。</w:t>
            </w:r>
          </w:p>
        </w:tc>
      </w:tr>
      <w:tr w14:paraId="73B50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47E65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6" w:type="pct"/>
            <w:vAlign w:val="center"/>
          </w:tcPr>
          <w:p w14:paraId="2AA8A3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（签订合同时可补充）</w:t>
            </w:r>
          </w:p>
        </w:tc>
      </w:tr>
    </w:tbl>
    <w:p w14:paraId="7163A509">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12E336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62"/>
    </w:p>
    <w:p w14:paraId="275F2DE6">
      <w:pPr>
        <w:jc w:val="center"/>
        <w:rPr>
          <w:rFonts w:ascii="宋体" w:hAnsi="宋体"/>
          <w:b/>
          <w:color w:val="auto"/>
          <w:sz w:val="28"/>
          <w:szCs w:val="28"/>
          <w:highlight w:val="none"/>
        </w:rPr>
      </w:pPr>
    </w:p>
    <w:p w14:paraId="5C502E07">
      <w:pPr>
        <w:jc w:val="center"/>
        <w:rPr>
          <w:rFonts w:ascii="宋体" w:hAnsi="宋体"/>
          <w:b/>
          <w:color w:val="auto"/>
          <w:sz w:val="28"/>
          <w:szCs w:val="28"/>
          <w:highlight w:val="none"/>
          <w:bdr w:val="single" w:color="000000" w:sz="4" w:space="0"/>
        </w:rPr>
      </w:pPr>
      <w:r>
        <w:rPr>
          <w:rFonts w:hint="eastAsia" w:ascii="宋体" w:hAnsi="宋体"/>
          <w:b/>
          <w:color w:val="auto"/>
          <w:sz w:val="28"/>
          <w:szCs w:val="28"/>
          <w:highlight w:val="none"/>
        </w:rPr>
        <w:t>一、资信证明格式文件</w:t>
      </w:r>
    </w:p>
    <w:p w14:paraId="77B4EDFE">
      <w:pPr>
        <w:jc w:val="center"/>
        <w:rPr>
          <w:rFonts w:eastAsia="黑体"/>
          <w:color w:val="auto"/>
          <w:sz w:val="20"/>
          <w:highlight w:val="none"/>
        </w:rPr>
      </w:pPr>
    </w:p>
    <w:p w14:paraId="53370046">
      <w:pPr>
        <w:rPr>
          <w:rFonts w:eastAsia="黑体"/>
          <w:color w:val="auto"/>
          <w:sz w:val="20"/>
          <w:highlight w:val="none"/>
        </w:rPr>
      </w:pPr>
    </w:p>
    <w:p w14:paraId="4ED31E68">
      <w:pPr>
        <w:jc w:val="center"/>
        <w:rPr>
          <w:rFonts w:ascii="宋体"/>
          <w:b/>
          <w:color w:val="auto"/>
          <w:sz w:val="44"/>
          <w:szCs w:val="44"/>
          <w:highlight w:val="none"/>
        </w:rPr>
      </w:pPr>
      <w:bookmarkStart w:id="202" w:name="_Toc449028949"/>
      <w:bookmarkStart w:id="203" w:name="_Toc350698753"/>
      <w:r>
        <w:rPr>
          <w:rFonts w:hint="eastAsia" w:ascii="宋体"/>
          <w:b/>
          <w:color w:val="auto"/>
          <w:sz w:val="44"/>
          <w:szCs w:val="44"/>
          <w:highlight w:val="none"/>
        </w:rPr>
        <w:t>资信证明文件</w:t>
      </w:r>
      <w:bookmarkEnd w:id="202"/>
      <w:bookmarkEnd w:id="203"/>
    </w:p>
    <w:p w14:paraId="7395E1AA">
      <w:pPr>
        <w:jc w:val="center"/>
        <w:rPr>
          <w:rFonts w:ascii="宋体"/>
          <w:color w:val="auto"/>
          <w:sz w:val="32"/>
          <w:szCs w:val="32"/>
          <w:highlight w:val="none"/>
        </w:rPr>
      </w:pPr>
      <w:r>
        <w:rPr>
          <w:rFonts w:hint="eastAsia" w:ascii="宋体"/>
          <w:color w:val="auto"/>
          <w:sz w:val="32"/>
          <w:szCs w:val="32"/>
          <w:highlight w:val="none"/>
        </w:rPr>
        <w:t>（投标文件一）</w:t>
      </w:r>
    </w:p>
    <w:p w14:paraId="406BE629">
      <w:pPr>
        <w:jc w:val="center"/>
        <w:rPr>
          <w:rFonts w:eastAsia="黑体"/>
          <w:color w:val="auto"/>
          <w:sz w:val="44"/>
          <w:szCs w:val="44"/>
          <w:highlight w:val="none"/>
        </w:rPr>
      </w:pPr>
    </w:p>
    <w:p w14:paraId="00ECBC02">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373E4BE">
      <w:pPr>
        <w:jc w:val="center"/>
        <w:rPr>
          <w:rFonts w:ascii="宋体"/>
          <w:color w:val="auto"/>
          <w:sz w:val="28"/>
          <w:szCs w:val="28"/>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1F95C326">
      <w:pPr>
        <w:rPr>
          <w:rFonts w:ascii="宋体"/>
          <w:color w:val="auto"/>
          <w:sz w:val="28"/>
          <w:szCs w:val="28"/>
          <w:highlight w:val="none"/>
        </w:rPr>
      </w:pPr>
    </w:p>
    <w:p w14:paraId="23419990">
      <w:pPr>
        <w:rPr>
          <w:rFonts w:ascii="宋体"/>
          <w:color w:val="auto"/>
          <w:sz w:val="28"/>
          <w:szCs w:val="28"/>
          <w:highlight w:val="none"/>
        </w:rPr>
      </w:pPr>
    </w:p>
    <w:p w14:paraId="2FAD936E">
      <w:pPr>
        <w:rPr>
          <w:rFonts w:ascii="宋体"/>
          <w:color w:val="auto"/>
          <w:sz w:val="28"/>
          <w:szCs w:val="28"/>
          <w:highlight w:val="none"/>
        </w:rPr>
      </w:pPr>
    </w:p>
    <w:p w14:paraId="7A386B13">
      <w:pPr>
        <w:rPr>
          <w:rFonts w:ascii="宋体"/>
          <w:color w:val="auto"/>
          <w:sz w:val="28"/>
          <w:szCs w:val="28"/>
          <w:highlight w:val="none"/>
        </w:rPr>
      </w:pPr>
    </w:p>
    <w:p w14:paraId="536DB5C2">
      <w:pPr>
        <w:rPr>
          <w:rFonts w:ascii="宋体"/>
          <w:color w:val="auto"/>
          <w:sz w:val="28"/>
          <w:szCs w:val="28"/>
          <w:highlight w:val="none"/>
        </w:rPr>
      </w:pPr>
    </w:p>
    <w:p w14:paraId="64B78329">
      <w:pPr>
        <w:rPr>
          <w:rFonts w:ascii="宋体"/>
          <w:color w:val="auto"/>
          <w:sz w:val="28"/>
          <w:szCs w:val="28"/>
          <w:highlight w:val="none"/>
        </w:rPr>
      </w:pPr>
    </w:p>
    <w:p w14:paraId="5E4ED565">
      <w:pPr>
        <w:rPr>
          <w:rFonts w:ascii="宋体"/>
          <w:color w:val="auto"/>
          <w:sz w:val="28"/>
          <w:szCs w:val="28"/>
          <w:highlight w:val="none"/>
        </w:rPr>
      </w:pPr>
    </w:p>
    <w:p w14:paraId="77CC0EB0">
      <w:pPr>
        <w:rPr>
          <w:rFonts w:ascii="宋体"/>
          <w:color w:val="auto"/>
          <w:sz w:val="28"/>
          <w:szCs w:val="28"/>
          <w:highlight w:val="none"/>
        </w:rPr>
      </w:pPr>
    </w:p>
    <w:p w14:paraId="7E311EB1">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3ABD9399">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B46E754">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AD0EEF4">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E48BD59">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F2891DC">
      <w:pPr>
        <w:spacing w:line="400" w:lineRule="exact"/>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313CB9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0E498F00">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14935A2C">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0D3BA9B5">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1BF07D4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1DFFEF9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3A8FC7D6">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2D55F668">
      <w:pPr>
        <w:spacing w:line="5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4）中小企业声明函，残疾人福利性企业（格式见附件）；</w:t>
      </w:r>
    </w:p>
    <w:p w14:paraId="7063B373">
      <w:pPr>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（5）省级以上监狱管理局、戒毒管理局（含新疆生产建设兵团）出具的属于监狱企业的证明（如是）；</w:t>
      </w:r>
    </w:p>
    <w:p w14:paraId="4121ADB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）诚信投标承诺书（格式见附件）；</w:t>
      </w:r>
    </w:p>
    <w:p w14:paraId="652F20B7">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）招标文件中要求的资信评审和资信评分的支持资料；</w:t>
      </w:r>
    </w:p>
    <w:p w14:paraId="3E557DCE">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）投标人认为需要提供的其他资信证明材料</w:t>
      </w:r>
      <w:r>
        <w:rPr>
          <w:rFonts w:hint="eastAsia" w:ascii="宋体" w:hAnsi="宋体" w:eastAsia="宋体" w:cs="宋体"/>
          <w:color w:val="auto"/>
          <w:szCs w:val="21"/>
          <w:highlight w:val="none"/>
          <w:lang w:eastAsia="zh-CN"/>
        </w:rPr>
        <w:t>。</w:t>
      </w:r>
    </w:p>
    <w:p w14:paraId="6135B917">
      <w:pPr>
        <w:spacing w:line="500" w:lineRule="exact"/>
        <w:jc w:val="left"/>
        <w:rPr>
          <w:rFonts w:ascii="宋体" w:hAnsi="宋体" w:eastAsia="宋体" w:cs="宋体"/>
          <w:color w:val="auto"/>
          <w:szCs w:val="21"/>
          <w:highlight w:val="none"/>
        </w:rPr>
      </w:pPr>
    </w:p>
    <w:p w14:paraId="4D99D137">
      <w:pPr>
        <w:spacing w:line="360" w:lineRule="auto"/>
        <w:ind w:firstLine="420" w:firstLineChars="200"/>
        <w:rPr>
          <w:rFonts w:ascii="宋体" w:hAnsi="宋体" w:eastAsia="宋体" w:cs="宋体"/>
          <w:color w:val="auto"/>
          <w:szCs w:val="21"/>
          <w:highlight w:val="none"/>
        </w:rPr>
      </w:pPr>
    </w:p>
    <w:p w14:paraId="404DFC4D">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749568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（1）投标人资格声明书 </w:t>
      </w:r>
    </w:p>
    <w:p w14:paraId="42B447B7">
      <w:pPr>
        <w:pStyle w:val="19"/>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08B0799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7A5961A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5A508A8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610A4E6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1178BD0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3ADE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46A4D45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5DB61AE7">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E56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2044AD">
            <w:pPr>
              <w:widowControl/>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68899A03">
            <w:pPr>
              <w:pStyle w:val="13"/>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5D4F9E59">
            <w:pPr>
              <w:pStyle w:val="13"/>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4913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12BF5F">
            <w:pPr>
              <w:pStyle w:val="13"/>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0044792B">
            <w:pPr>
              <w:pStyle w:val="13"/>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4224D7B5">
            <w:pPr>
              <w:pStyle w:val="13"/>
              <w:spacing w:beforeLines="50" w:after="10"/>
              <w:jc w:val="center"/>
              <w:rPr>
                <w:rFonts w:asciiTheme="minorEastAsia" w:hAnsiTheme="minorEastAsia" w:eastAsiaTheme="minorEastAsia" w:cstheme="minorEastAsia"/>
                <w:color w:val="auto"/>
                <w:kern w:val="0"/>
                <w:sz w:val="24"/>
                <w:highlight w:val="none"/>
                <w:lang w:val="en-US"/>
              </w:rPr>
            </w:pPr>
          </w:p>
        </w:tc>
      </w:tr>
      <w:tr w14:paraId="6D82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52B623">
            <w:pPr>
              <w:pStyle w:val="13"/>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5F1CAAEA">
            <w:pPr>
              <w:pStyle w:val="13"/>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1E3EFA36">
            <w:pPr>
              <w:pStyle w:val="13"/>
              <w:spacing w:beforeLines="50" w:after="10"/>
              <w:jc w:val="center"/>
              <w:rPr>
                <w:rFonts w:asciiTheme="minorEastAsia" w:hAnsiTheme="minorEastAsia" w:eastAsiaTheme="minorEastAsia" w:cstheme="minorEastAsia"/>
                <w:color w:val="auto"/>
                <w:kern w:val="0"/>
                <w:sz w:val="24"/>
                <w:highlight w:val="none"/>
                <w:lang w:val="en-US"/>
              </w:rPr>
            </w:pPr>
          </w:p>
        </w:tc>
      </w:tr>
    </w:tbl>
    <w:p w14:paraId="320184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EE4585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9F1E61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BB18E72">
      <w:pPr>
        <w:spacing w:line="360" w:lineRule="auto"/>
        <w:ind w:firstLine="420" w:firstLineChars="200"/>
        <w:rPr>
          <w:rFonts w:ascii="宋体" w:hAnsi="宋体" w:eastAsia="宋体" w:cs="宋体"/>
          <w:color w:val="auto"/>
          <w:szCs w:val="21"/>
          <w:highlight w:val="none"/>
        </w:rPr>
      </w:pPr>
    </w:p>
    <w:p w14:paraId="754CEB31">
      <w:pPr>
        <w:spacing w:line="360" w:lineRule="auto"/>
        <w:ind w:firstLine="420" w:firstLineChars="200"/>
        <w:rPr>
          <w:rFonts w:ascii="宋体" w:hAnsi="宋体" w:eastAsia="宋体" w:cs="宋体"/>
          <w:color w:val="auto"/>
          <w:szCs w:val="21"/>
          <w:highlight w:val="none"/>
        </w:rPr>
      </w:pPr>
    </w:p>
    <w:p w14:paraId="458A17D3">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A21932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）授权书</w:t>
      </w:r>
    </w:p>
    <w:p w14:paraId="46E5EE64">
      <w:pPr>
        <w:pStyle w:val="18"/>
        <w:snapToGrid w:val="0"/>
        <w:spacing w:line="360" w:lineRule="auto"/>
        <w:ind w:firstLine="480" w:firstLineChars="200"/>
        <w:jc w:val="left"/>
        <w:rPr>
          <w:rFonts w:hAnsi="宋体" w:eastAsia="宋体"/>
          <w:color w:val="auto"/>
          <w:sz w:val="24"/>
          <w:szCs w:val="28"/>
          <w:highlight w:val="none"/>
        </w:rPr>
      </w:pPr>
    </w:p>
    <w:p w14:paraId="0CEA7F1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E15294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66BC92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7872D52B">
      <w:pPr>
        <w:spacing w:line="360" w:lineRule="auto"/>
        <w:ind w:firstLine="435"/>
        <w:rPr>
          <w:rFonts w:asciiTheme="minorEastAsia" w:hAnsiTheme="minorEastAsia" w:eastAsiaTheme="minorEastAsia"/>
          <w:color w:val="auto"/>
          <w:sz w:val="24"/>
          <w:highlight w:val="none"/>
        </w:rPr>
      </w:pPr>
    </w:p>
    <w:p w14:paraId="24065087">
      <w:pPr>
        <w:spacing w:line="360" w:lineRule="auto"/>
        <w:ind w:firstLine="435"/>
        <w:rPr>
          <w:rFonts w:asciiTheme="minorEastAsia" w:hAnsiTheme="minorEastAsia" w:eastAsiaTheme="minorEastAsia"/>
          <w:color w:val="auto"/>
          <w:sz w:val="24"/>
          <w:highlight w:val="none"/>
        </w:rPr>
      </w:pPr>
    </w:p>
    <w:p w14:paraId="30256087">
      <w:pPr>
        <w:spacing w:line="360" w:lineRule="auto"/>
        <w:ind w:firstLine="435"/>
        <w:rPr>
          <w:rFonts w:asciiTheme="minorEastAsia" w:hAnsiTheme="minorEastAsia" w:eastAsiaTheme="minorEastAsia"/>
          <w:color w:val="auto"/>
          <w:sz w:val="24"/>
          <w:highlight w:val="none"/>
        </w:rPr>
      </w:pPr>
    </w:p>
    <w:p w14:paraId="17BDB96C">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1ED2D82">
      <w:pPr>
        <w:spacing w:line="360" w:lineRule="auto"/>
        <w:ind w:firstLine="435"/>
        <w:rPr>
          <w:rFonts w:hAnsi="宋体" w:eastAsia="宋体"/>
          <w:color w:val="auto"/>
          <w:sz w:val="24"/>
          <w:szCs w:val="28"/>
          <w:highlight w:val="none"/>
          <w:lang w:val="zh-CN"/>
        </w:rPr>
      </w:pPr>
    </w:p>
    <w:p w14:paraId="0AEDD3A4">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CA334BB">
      <w:pPr>
        <w:spacing w:line="360" w:lineRule="auto"/>
        <w:rPr>
          <w:rFonts w:ascii="宋体" w:hAnsi="宋体" w:eastAsia="宋体"/>
          <w:color w:val="auto"/>
          <w:sz w:val="24"/>
          <w:szCs w:val="28"/>
          <w:highlight w:val="none"/>
        </w:rPr>
      </w:pPr>
    </w:p>
    <w:p w14:paraId="225CD83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2C350D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642093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BE664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AF90A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1051ECF">
      <w:pPr>
        <w:spacing w:line="360" w:lineRule="auto"/>
        <w:ind w:firstLine="420" w:firstLineChars="200"/>
        <w:rPr>
          <w:rFonts w:ascii="宋体" w:hAnsi="宋体" w:eastAsia="宋体" w:cs="宋体"/>
          <w:color w:val="auto"/>
          <w:szCs w:val="21"/>
          <w:highlight w:val="none"/>
        </w:rPr>
      </w:pPr>
    </w:p>
    <w:p w14:paraId="324D923F">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D4AAF3B">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（3）诚信投标承诺书</w:t>
      </w:r>
    </w:p>
    <w:p w14:paraId="25B89C8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471FB14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716308F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70E27A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BA6A37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4F3E7B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0A993BB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val="en-US" w:eastAsia="zh-CN"/>
        </w:rPr>
        <w:t>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58D5ED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74E441B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5A85D41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7DF993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5B4BCFB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5BC9A9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A33A82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19B214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46BBC7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606FD9D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E8E98CC">
      <w:pPr>
        <w:widowControl/>
        <w:jc w:val="left"/>
        <w:rPr>
          <w:rFonts w:asciiTheme="minorEastAsia" w:hAnsiTheme="minorEastAsia" w:eastAsiaTheme="minorEastAsia"/>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7AE6F791">
      <w:pPr>
        <w:rPr>
          <w:rFonts w:asciiTheme="minorEastAsia" w:hAnsiTheme="minorEastAsia" w:eastAsiaTheme="minorEastAsia"/>
          <w:b/>
          <w:color w:val="auto"/>
          <w:sz w:val="24"/>
          <w:highlight w:val="none"/>
        </w:rPr>
      </w:pPr>
      <w:bookmarkStart w:id="204" w:name="_Toc17986"/>
      <w:bookmarkStart w:id="205" w:name="_Toc28960"/>
    </w:p>
    <w:p w14:paraId="5828898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1CF230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（4）中小企业声明函</w:t>
      </w:r>
    </w:p>
    <w:p w14:paraId="1D11D52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3181DD1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F34AB5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9C6BAD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E4A0FB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F724B4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9D2FF6B">
      <w:pPr>
        <w:spacing w:line="360" w:lineRule="auto"/>
        <w:rPr>
          <w:rFonts w:asciiTheme="minorEastAsia" w:hAnsiTheme="minorEastAsia" w:eastAsiaTheme="minorEastAsia"/>
          <w:color w:val="auto"/>
          <w:sz w:val="24"/>
          <w:szCs w:val="24"/>
          <w:highlight w:val="none"/>
        </w:rPr>
      </w:pPr>
    </w:p>
    <w:p w14:paraId="3CC7532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638E19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C7F98E2">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674B7F73">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EAFF25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496CA3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3FB4115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967532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5F2FFB0">
      <w:pPr>
        <w:pStyle w:val="13"/>
        <w:rPr>
          <w:rFonts w:asciiTheme="minorEastAsia" w:hAnsiTheme="minorEastAsia" w:eastAsiaTheme="minorEastAsia"/>
          <w:b/>
          <w:bCs/>
          <w:color w:val="auto"/>
          <w:highlight w:val="none"/>
        </w:rPr>
      </w:pPr>
    </w:p>
    <w:p w14:paraId="5BD9C22D">
      <w:pPr>
        <w:rPr>
          <w:rFonts w:asciiTheme="minorEastAsia" w:hAnsiTheme="minorEastAsia" w:eastAsiaTheme="minorEastAsia"/>
          <w:b/>
          <w:color w:val="auto"/>
          <w:sz w:val="24"/>
          <w:highlight w:val="none"/>
        </w:rPr>
      </w:pPr>
      <w:bookmarkStart w:id="206" w:name="_Toc16713"/>
      <w:bookmarkStart w:id="207" w:name="_Toc17315"/>
    </w:p>
    <w:p w14:paraId="51ECEA60">
      <w:pPr>
        <w:rPr>
          <w:rFonts w:asciiTheme="minorEastAsia" w:hAnsiTheme="minorEastAsia" w:eastAsiaTheme="minorEastAsia"/>
          <w:b/>
          <w:color w:val="auto"/>
          <w:sz w:val="24"/>
          <w:highlight w:val="none"/>
        </w:rPr>
      </w:pPr>
    </w:p>
    <w:p w14:paraId="0FA7F84F">
      <w:pPr>
        <w:ind w:firstLine="1928" w:firstLineChars="8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（5）残疾人福利性单位声明函</w:t>
      </w:r>
      <w:bookmarkEnd w:id="206"/>
      <w:bookmarkEnd w:id="207"/>
    </w:p>
    <w:p w14:paraId="69DC8594">
      <w:pPr>
        <w:pStyle w:val="13"/>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1C99DAF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3E2747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4EEB406">
      <w:pPr>
        <w:spacing w:line="360" w:lineRule="auto"/>
        <w:ind w:firstLine="4228" w:firstLineChars="1762"/>
        <w:rPr>
          <w:rFonts w:asciiTheme="minorEastAsia" w:hAnsiTheme="minorEastAsia" w:eastAsiaTheme="minorEastAsia"/>
          <w:color w:val="auto"/>
          <w:sz w:val="24"/>
          <w:szCs w:val="24"/>
          <w:highlight w:val="none"/>
        </w:rPr>
      </w:pPr>
    </w:p>
    <w:p w14:paraId="63A05635">
      <w:pPr>
        <w:spacing w:line="360" w:lineRule="auto"/>
        <w:ind w:firstLine="4228" w:firstLineChars="1762"/>
        <w:rPr>
          <w:rFonts w:asciiTheme="minorEastAsia" w:hAnsiTheme="minorEastAsia" w:eastAsiaTheme="minorEastAsia"/>
          <w:color w:val="auto"/>
          <w:sz w:val="24"/>
          <w:szCs w:val="24"/>
          <w:highlight w:val="none"/>
        </w:rPr>
      </w:pPr>
    </w:p>
    <w:p w14:paraId="60A9A41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5994E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016543A">
      <w:pPr>
        <w:pageBreakBefore/>
        <w:wordWrap w:val="0"/>
        <w:spacing w:before="100" w:beforeAutospacing="1" w:after="100" w:afterAutospacing="1"/>
        <w:jc w:val="center"/>
        <w:rPr>
          <w:rFonts w:ascii="宋体" w:hAnsi="宋体"/>
          <w:b/>
          <w:color w:val="auto"/>
          <w:sz w:val="28"/>
          <w:szCs w:val="28"/>
          <w:highlight w:val="none"/>
          <w:bdr w:val="single" w:color="000000" w:sz="4" w:space="0"/>
        </w:rPr>
      </w:pPr>
      <w:r>
        <w:rPr>
          <w:rFonts w:hint="eastAsia" w:ascii="宋体" w:hAnsi="宋体"/>
          <w:b/>
          <w:color w:val="auto"/>
          <w:sz w:val="28"/>
          <w:szCs w:val="28"/>
          <w:highlight w:val="none"/>
        </w:rPr>
        <w:t>二、技术标格式文件</w:t>
      </w:r>
    </w:p>
    <w:p w14:paraId="592D741C">
      <w:pPr>
        <w:jc w:val="center"/>
        <w:rPr>
          <w:rFonts w:ascii="宋体"/>
          <w:b/>
          <w:color w:val="auto"/>
          <w:sz w:val="44"/>
          <w:szCs w:val="44"/>
          <w:highlight w:val="none"/>
        </w:rPr>
      </w:pPr>
      <w:bookmarkStart w:id="208" w:name="_Toc387149626"/>
      <w:bookmarkStart w:id="209" w:name="_Toc449028953"/>
    </w:p>
    <w:p w14:paraId="29F8753C">
      <w:pPr>
        <w:jc w:val="center"/>
        <w:rPr>
          <w:rFonts w:ascii="宋体"/>
          <w:b/>
          <w:color w:val="auto"/>
          <w:sz w:val="44"/>
          <w:szCs w:val="44"/>
          <w:highlight w:val="none"/>
        </w:rPr>
      </w:pPr>
      <w:r>
        <w:rPr>
          <w:rFonts w:hint="eastAsia" w:ascii="宋体"/>
          <w:b/>
          <w:color w:val="auto"/>
          <w:sz w:val="44"/>
          <w:szCs w:val="44"/>
          <w:highlight w:val="none"/>
        </w:rPr>
        <w:t>技术标</w:t>
      </w:r>
      <w:bookmarkEnd w:id="208"/>
      <w:bookmarkEnd w:id="209"/>
    </w:p>
    <w:p w14:paraId="60AC9F32">
      <w:pPr>
        <w:jc w:val="center"/>
        <w:rPr>
          <w:rFonts w:ascii="宋体"/>
          <w:color w:val="auto"/>
          <w:sz w:val="32"/>
          <w:szCs w:val="32"/>
          <w:highlight w:val="none"/>
        </w:rPr>
      </w:pPr>
      <w:r>
        <w:rPr>
          <w:rFonts w:hint="eastAsia" w:ascii="宋体"/>
          <w:color w:val="auto"/>
          <w:sz w:val="32"/>
          <w:szCs w:val="32"/>
          <w:highlight w:val="none"/>
        </w:rPr>
        <w:t>（投标文件二）</w:t>
      </w:r>
    </w:p>
    <w:p w14:paraId="741376A2">
      <w:pPr>
        <w:jc w:val="center"/>
        <w:rPr>
          <w:rFonts w:eastAsia="黑体"/>
          <w:color w:val="auto"/>
          <w:sz w:val="44"/>
          <w:szCs w:val="44"/>
          <w:highlight w:val="none"/>
        </w:rPr>
      </w:pPr>
    </w:p>
    <w:p w14:paraId="0891E29D">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0F6F3786">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5549EED">
      <w:pPr>
        <w:rPr>
          <w:rFonts w:ascii="宋体"/>
          <w:color w:val="auto"/>
          <w:sz w:val="28"/>
          <w:szCs w:val="28"/>
          <w:highlight w:val="none"/>
        </w:rPr>
      </w:pPr>
    </w:p>
    <w:p w14:paraId="27ED4613">
      <w:pPr>
        <w:rPr>
          <w:rFonts w:ascii="宋体"/>
          <w:color w:val="auto"/>
          <w:sz w:val="28"/>
          <w:szCs w:val="28"/>
          <w:highlight w:val="none"/>
        </w:rPr>
      </w:pPr>
    </w:p>
    <w:p w14:paraId="3D67EC18">
      <w:pPr>
        <w:tabs>
          <w:tab w:val="left" w:pos="2579"/>
        </w:tabs>
        <w:rPr>
          <w:rFonts w:ascii="宋体"/>
          <w:color w:val="auto"/>
          <w:sz w:val="28"/>
          <w:szCs w:val="28"/>
          <w:highlight w:val="none"/>
        </w:rPr>
      </w:pPr>
      <w:r>
        <w:rPr>
          <w:rFonts w:ascii="宋体"/>
          <w:color w:val="auto"/>
          <w:sz w:val="28"/>
          <w:szCs w:val="28"/>
          <w:highlight w:val="none"/>
        </w:rPr>
        <w:tab/>
      </w:r>
    </w:p>
    <w:p w14:paraId="7C000522">
      <w:pPr>
        <w:rPr>
          <w:rFonts w:ascii="宋体"/>
          <w:color w:val="auto"/>
          <w:sz w:val="28"/>
          <w:szCs w:val="28"/>
          <w:highlight w:val="none"/>
        </w:rPr>
      </w:pPr>
    </w:p>
    <w:p w14:paraId="0E976245">
      <w:pPr>
        <w:rPr>
          <w:rFonts w:ascii="宋体"/>
          <w:color w:val="auto"/>
          <w:sz w:val="28"/>
          <w:szCs w:val="28"/>
          <w:highlight w:val="none"/>
        </w:rPr>
      </w:pPr>
    </w:p>
    <w:p w14:paraId="04A911A9">
      <w:pPr>
        <w:rPr>
          <w:rFonts w:ascii="宋体"/>
          <w:color w:val="auto"/>
          <w:sz w:val="28"/>
          <w:szCs w:val="28"/>
          <w:highlight w:val="none"/>
        </w:rPr>
      </w:pPr>
    </w:p>
    <w:p w14:paraId="1E490CFD">
      <w:pPr>
        <w:rPr>
          <w:rFonts w:ascii="宋体"/>
          <w:color w:val="auto"/>
          <w:sz w:val="28"/>
          <w:szCs w:val="28"/>
          <w:highlight w:val="none"/>
        </w:rPr>
      </w:pPr>
    </w:p>
    <w:p w14:paraId="527CD5F5">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3D8F08B">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4F697D9">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93BDC96">
      <w:pPr>
        <w:rPr>
          <w:rFonts w:asciiTheme="minorEastAsia" w:hAnsiTheme="minorEastAsia" w:eastAsiaTheme="minorEastAsia"/>
          <w:b/>
          <w:color w:val="auto"/>
          <w:sz w:val="24"/>
          <w:highlight w:val="none"/>
        </w:rPr>
      </w:pPr>
    </w:p>
    <w:p w14:paraId="3BA6D55B">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3C901A5">
      <w:pPr>
        <w:pageBreakBefore/>
        <w:spacing w:line="400" w:lineRule="exact"/>
        <w:jc w:val="center"/>
        <w:rPr>
          <w:b/>
          <w:color w:val="auto"/>
          <w:sz w:val="36"/>
          <w:szCs w:val="36"/>
          <w:highlight w:val="none"/>
        </w:rPr>
      </w:pPr>
      <w:r>
        <w:rPr>
          <w:rFonts w:hint="eastAsia"/>
          <w:b/>
          <w:color w:val="auto"/>
          <w:sz w:val="36"/>
          <w:szCs w:val="36"/>
          <w:highlight w:val="none"/>
        </w:rPr>
        <w:t>目   录</w:t>
      </w:r>
    </w:p>
    <w:p w14:paraId="50CEB564">
      <w:pPr>
        <w:spacing w:line="400" w:lineRule="exact"/>
        <w:rPr>
          <w:rFonts w:ascii="宋体"/>
          <w:color w:val="auto"/>
          <w:szCs w:val="21"/>
          <w:highlight w:val="none"/>
        </w:rPr>
      </w:pPr>
    </w:p>
    <w:p w14:paraId="5953A1A9">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（1）投标响应表（格式见附件）；</w:t>
      </w:r>
    </w:p>
    <w:p w14:paraId="35FC6406">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（2）诚信履约承诺函（格式见附件）；</w:t>
      </w:r>
    </w:p>
    <w:p w14:paraId="1AB51762">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（3）招标文件中要求的技术标评审及技术标评分的支持资料；</w:t>
      </w:r>
    </w:p>
    <w:p w14:paraId="1AD6A408">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（4）投标人认为需要提供的其他技术证明材料（如有）。</w:t>
      </w:r>
    </w:p>
    <w:p w14:paraId="073A7296">
      <w:pPr>
        <w:spacing w:line="500" w:lineRule="exact"/>
        <w:rPr>
          <w:rFonts w:ascii="宋体" w:hAnsi="宋体" w:eastAsia="宋体" w:cs="宋体"/>
          <w:b/>
          <w:color w:val="auto"/>
          <w:sz w:val="24"/>
          <w:szCs w:val="24"/>
          <w:highlight w:val="none"/>
        </w:rPr>
      </w:pPr>
    </w:p>
    <w:p w14:paraId="0E97785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rPr>
        <w:t>（1）投标响应表</w:t>
      </w:r>
    </w:p>
    <w:p w14:paraId="4408AD8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32"/>
        <w:gridCol w:w="2649"/>
        <w:gridCol w:w="2730"/>
        <w:gridCol w:w="859"/>
      </w:tblGrid>
      <w:tr w14:paraId="0ED3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3B9458A">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452D49B3">
            <w:pPr>
              <w:pStyle w:val="1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2299B6C">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30A3C32D">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0FC77FAA">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97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94281F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35400FB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1CD35BC">
            <w:pPr>
              <w:jc w:val="center"/>
              <w:rPr>
                <w:rFonts w:asciiTheme="minorEastAsia" w:hAnsiTheme="minorEastAsia" w:eastAsiaTheme="minorEastAsia"/>
                <w:color w:val="auto"/>
                <w:sz w:val="24"/>
                <w:highlight w:val="none"/>
              </w:rPr>
            </w:pPr>
          </w:p>
        </w:tc>
        <w:tc>
          <w:tcPr>
            <w:tcW w:w="1510" w:type="pct"/>
            <w:vAlign w:val="center"/>
          </w:tcPr>
          <w:p w14:paraId="7638CA1F">
            <w:pPr>
              <w:jc w:val="center"/>
              <w:rPr>
                <w:rFonts w:asciiTheme="minorEastAsia" w:hAnsiTheme="minorEastAsia" w:eastAsiaTheme="minorEastAsia"/>
                <w:color w:val="auto"/>
                <w:sz w:val="24"/>
                <w:highlight w:val="none"/>
              </w:rPr>
            </w:pPr>
          </w:p>
        </w:tc>
        <w:tc>
          <w:tcPr>
            <w:tcW w:w="475" w:type="pct"/>
            <w:vAlign w:val="center"/>
          </w:tcPr>
          <w:p w14:paraId="2614BF32">
            <w:pPr>
              <w:jc w:val="center"/>
              <w:rPr>
                <w:rFonts w:asciiTheme="minorEastAsia" w:hAnsiTheme="minorEastAsia" w:eastAsiaTheme="minorEastAsia"/>
                <w:color w:val="auto"/>
                <w:sz w:val="24"/>
                <w:highlight w:val="none"/>
              </w:rPr>
            </w:pPr>
          </w:p>
        </w:tc>
      </w:tr>
      <w:tr w14:paraId="5108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C4A24E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1A4BE41">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75E7D7E0">
            <w:pPr>
              <w:jc w:val="center"/>
              <w:rPr>
                <w:rFonts w:asciiTheme="minorEastAsia" w:hAnsiTheme="minorEastAsia" w:eastAsiaTheme="minorEastAsia"/>
                <w:color w:val="auto"/>
                <w:sz w:val="24"/>
                <w:highlight w:val="none"/>
              </w:rPr>
            </w:pPr>
          </w:p>
        </w:tc>
        <w:tc>
          <w:tcPr>
            <w:tcW w:w="1510" w:type="pct"/>
            <w:vAlign w:val="center"/>
          </w:tcPr>
          <w:p w14:paraId="675080F0">
            <w:pPr>
              <w:jc w:val="center"/>
              <w:rPr>
                <w:rFonts w:asciiTheme="minorEastAsia" w:hAnsiTheme="minorEastAsia" w:eastAsiaTheme="minorEastAsia"/>
                <w:color w:val="auto"/>
                <w:sz w:val="24"/>
                <w:highlight w:val="none"/>
              </w:rPr>
            </w:pPr>
          </w:p>
        </w:tc>
        <w:tc>
          <w:tcPr>
            <w:tcW w:w="475" w:type="pct"/>
            <w:vAlign w:val="center"/>
          </w:tcPr>
          <w:p w14:paraId="57DEE4D3">
            <w:pPr>
              <w:jc w:val="center"/>
              <w:rPr>
                <w:rFonts w:asciiTheme="minorEastAsia" w:hAnsiTheme="minorEastAsia" w:eastAsiaTheme="minorEastAsia"/>
                <w:color w:val="auto"/>
                <w:sz w:val="24"/>
                <w:highlight w:val="none"/>
              </w:rPr>
            </w:pPr>
          </w:p>
        </w:tc>
      </w:tr>
      <w:tr w14:paraId="5FAD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9D8D7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DD693A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19E6D9E">
            <w:pPr>
              <w:jc w:val="center"/>
              <w:rPr>
                <w:rFonts w:asciiTheme="minorEastAsia" w:hAnsiTheme="minorEastAsia" w:eastAsiaTheme="minorEastAsia"/>
                <w:color w:val="auto"/>
                <w:sz w:val="24"/>
                <w:highlight w:val="none"/>
              </w:rPr>
            </w:pPr>
          </w:p>
        </w:tc>
        <w:tc>
          <w:tcPr>
            <w:tcW w:w="1510" w:type="pct"/>
            <w:vAlign w:val="center"/>
          </w:tcPr>
          <w:p w14:paraId="653B2E15">
            <w:pPr>
              <w:pStyle w:val="58"/>
              <w:jc w:val="center"/>
              <w:rPr>
                <w:rFonts w:asciiTheme="minorEastAsia" w:hAnsiTheme="minorEastAsia" w:eastAsiaTheme="minorEastAsia"/>
                <w:color w:val="auto"/>
                <w:highlight w:val="none"/>
              </w:rPr>
            </w:pPr>
          </w:p>
        </w:tc>
        <w:tc>
          <w:tcPr>
            <w:tcW w:w="475" w:type="pct"/>
            <w:vAlign w:val="center"/>
          </w:tcPr>
          <w:p w14:paraId="7E7AB0FB">
            <w:pPr>
              <w:jc w:val="center"/>
              <w:rPr>
                <w:rFonts w:asciiTheme="minorEastAsia" w:hAnsiTheme="minorEastAsia" w:eastAsiaTheme="minorEastAsia"/>
                <w:color w:val="auto"/>
                <w:sz w:val="24"/>
                <w:highlight w:val="none"/>
              </w:rPr>
            </w:pPr>
          </w:p>
        </w:tc>
      </w:tr>
      <w:tr w14:paraId="0776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6" w:type="dxa"/>
            <w:vAlign w:val="center"/>
          </w:tcPr>
          <w:p w14:paraId="79AC1E7D">
            <w:pPr>
              <w:keepNext w:val="0"/>
              <w:keepLines w:val="0"/>
              <w:pageBreakBefore w:val="0"/>
              <w:kinsoku/>
              <w:wordWrap/>
              <w:overflowPunct/>
              <w:topLinePunct w:val="0"/>
              <w:autoSpaceDE/>
              <w:autoSpaceDN/>
              <w:bidi w:val="0"/>
              <w:spacing w:line="440" w:lineRule="exact"/>
              <w:jc w:val="center"/>
              <w:textAlignment w:val="auto"/>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032" w:type="dxa"/>
            <w:vAlign w:val="center"/>
          </w:tcPr>
          <w:p w14:paraId="2EAE7B58">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olor w:val="auto"/>
                <w:sz w:val="24"/>
                <w:highlight w:val="none"/>
              </w:rPr>
            </w:pPr>
            <w:r>
              <w:rPr>
                <w:rFonts w:hint="eastAsia" w:ascii="宋体" w:hAnsi="宋体" w:eastAsia="宋体" w:cs="宋体"/>
                <w:color w:val="auto"/>
                <w:sz w:val="24"/>
                <w:highlight w:val="none"/>
              </w:rPr>
              <w:t>“采购需求”所列的所有内容</w:t>
            </w:r>
          </w:p>
        </w:tc>
        <w:tc>
          <w:tcPr>
            <w:tcW w:w="1465" w:type="pct"/>
            <w:vAlign w:val="center"/>
          </w:tcPr>
          <w:p w14:paraId="594FD621">
            <w:pPr>
              <w:jc w:val="center"/>
              <w:rPr>
                <w:rFonts w:asciiTheme="minorEastAsia" w:hAnsiTheme="minorEastAsia" w:eastAsiaTheme="minorEastAsia"/>
                <w:color w:val="auto"/>
                <w:sz w:val="24"/>
                <w:highlight w:val="none"/>
              </w:rPr>
            </w:pPr>
          </w:p>
        </w:tc>
        <w:tc>
          <w:tcPr>
            <w:tcW w:w="1510" w:type="pct"/>
            <w:vAlign w:val="center"/>
          </w:tcPr>
          <w:p w14:paraId="2EB7C5F3">
            <w:pPr>
              <w:pStyle w:val="58"/>
              <w:jc w:val="center"/>
              <w:rPr>
                <w:rFonts w:asciiTheme="minorEastAsia" w:hAnsiTheme="minorEastAsia" w:eastAsiaTheme="minorEastAsia"/>
                <w:color w:val="auto"/>
                <w:highlight w:val="none"/>
              </w:rPr>
            </w:pPr>
          </w:p>
        </w:tc>
        <w:tc>
          <w:tcPr>
            <w:tcW w:w="475" w:type="pct"/>
            <w:vAlign w:val="center"/>
          </w:tcPr>
          <w:p w14:paraId="43B2789E">
            <w:pPr>
              <w:jc w:val="center"/>
              <w:rPr>
                <w:rFonts w:asciiTheme="minorEastAsia" w:hAnsiTheme="minorEastAsia" w:eastAsiaTheme="minorEastAsia"/>
                <w:color w:val="auto"/>
                <w:sz w:val="24"/>
                <w:highlight w:val="none"/>
              </w:rPr>
            </w:pPr>
          </w:p>
        </w:tc>
      </w:tr>
      <w:tr w14:paraId="0DF9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193E44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4DD33AA">
            <w:pPr>
              <w:jc w:val="center"/>
              <w:rPr>
                <w:rFonts w:ascii="宋体" w:hAnsi="宋体" w:eastAsia="宋体"/>
                <w:color w:val="auto"/>
                <w:sz w:val="24"/>
                <w:highlight w:val="none"/>
              </w:rPr>
            </w:pPr>
          </w:p>
        </w:tc>
        <w:tc>
          <w:tcPr>
            <w:tcW w:w="1465" w:type="pct"/>
            <w:vAlign w:val="center"/>
          </w:tcPr>
          <w:p w14:paraId="15FC10C0">
            <w:pPr>
              <w:jc w:val="center"/>
              <w:rPr>
                <w:rFonts w:asciiTheme="minorEastAsia" w:hAnsiTheme="minorEastAsia" w:eastAsiaTheme="minorEastAsia"/>
                <w:color w:val="auto"/>
                <w:sz w:val="24"/>
                <w:highlight w:val="none"/>
              </w:rPr>
            </w:pPr>
          </w:p>
        </w:tc>
        <w:tc>
          <w:tcPr>
            <w:tcW w:w="1510" w:type="pct"/>
            <w:vAlign w:val="center"/>
          </w:tcPr>
          <w:p w14:paraId="33BF1E10">
            <w:pPr>
              <w:jc w:val="center"/>
              <w:rPr>
                <w:rFonts w:asciiTheme="minorEastAsia" w:hAnsiTheme="minorEastAsia" w:eastAsiaTheme="minorEastAsia"/>
                <w:color w:val="auto"/>
                <w:sz w:val="24"/>
                <w:highlight w:val="none"/>
              </w:rPr>
            </w:pPr>
          </w:p>
        </w:tc>
        <w:tc>
          <w:tcPr>
            <w:tcW w:w="475" w:type="pct"/>
            <w:vAlign w:val="center"/>
          </w:tcPr>
          <w:p w14:paraId="39CD25E5">
            <w:pPr>
              <w:jc w:val="center"/>
              <w:rPr>
                <w:rFonts w:asciiTheme="minorEastAsia" w:hAnsiTheme="minorEastAsia" w:eastAsiaTheme="minorEastAsia"/>
                <w:color w:val="auto"/>
                <w:sz w:val="24"/>
                <w:highlight w:val="none"/>
              </w:rPr>
            </w:pPr>
          </w:p>
        </w:tc>
      </w:tr>
    </w:tbl>
    <w:p w14:paraId="52765EFF">
      <w:pPr>
        <w:spacing w:line="360" w:lineRule="auto"/>
        <w:ind w:firstLine="4800" w:firstLineChars="2000"/>
        <w:rPr>
          <w:rFonts w:hint="eastAsia" w:ascii="宋体" w:hAnsi="宋体" w:eastAsia="宋体"/>
          <w:color w:val="auto"/>
          <w:sz w:val="24"/>
          <w:highlight w:val="none"/>
        </w:rPr>
      </w:pPr>
    </w:p>
    <w:p w14:paraId="6ED400B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0841C01">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24DDB73">
      <w:pPr>
        <w:ind w:firstLine="480" w:firstLineChars="200"/>
        <w:rPr>
          <w:rFonts w:ascii="宋体"/>
          <w:color w:val="auto"/>
          <w:sz w:val="24"/>
          <w:highlight w:val="none"/>
        </w:rPr>
      </w:pPr>
    </w:p>
    <w:p w14:paraId="36BAFD07">
      <w:pPr>
        <w:rPr>
          <w:rFonts w:asciiTheme="minorEastAsia" w:hAnsiTheme="minorEastAsia" w:eastAsiaTheme="minorEastAsia"/>
          <w:b/>
          <w:color w:val="auto"/>
          <w:sz w:val="24"/>
          <w:highlight w:val="none"/>
        </w:rPr>
      </w:pPr>
      <w:bookmarkStart w:id="210" w:name="_Toc26536"/>
      <w:bookmarkStart w:id="211" w:name="_Toc23860"/>
      <w:bookmarkStart w:id="212" w:name="_Hlk11701496"/>
      <w:r>
        <w:rPr>
          <w:rFonts w:hint="eastAsia" w:asciiTheme="minorEastAsia" w:hAnsiTheme="minorEastAsia" w:eastAsiaTheme="minorEastAsia"/>
          <w:b/>
          <w:color w:val="auto"/>
          <w:sz w:val="24"/>
          <w:highlight w:val="none"/>
        </w:rPr>
        <w:br w:type="page"/>
      </w:r>
    </w:p>
    <w:p w14:paraId="2CCC5A1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(2)诚信履约承诺函</w:t>
      </w:r>
      <w:bookmarkEnd w:id="210"/>
      <w:bookmarkEnd w:id="211"/>
    </w:p>
    <w:p w14:paraId="4F4D2455">
      <w:pPr>
        <w:spacing w:line="360" w:lineRule="auto"/>
        <w:rPr>
          <w:rFonts w:asciiTheme="minorEastAsia" w:hAnsiTheme="minorEastAsia" w:eastAsiaTheme="minorEastAsia"/>
          <w:b/>
          <w:bCs/>
          <w:color w:val="auto"/>
          <w:sz w:val="24"/>
          <w:highlight w:val="none"/>
        </w:rPr>
      </w:pPr>
    </w:p>
    <w:p w14:paraId="48AA2AB4">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33064E1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BC1007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952FF7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BDF785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DA11A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6C15C7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D0864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4C0280">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0DEF6D11">
      <w:pPr>
        <w:spacing w:line="360" w:lineRule="auto"/>
        <w:rPr>
          <w:rFonts w:asciiTheme="minorEastAsia" w:hAnsiTheme="minorEastAsia" w:eastAsiaTheme="minorEastAsia"/>
          <w:bCs/>
          <w:color w:val="auto"/>
          <w:sz w:val="24"/>
          <w:highlight w:val="none"/>
        </w:rPr>
      </w:pPr>
    </w:p>
    <w:p w14:paraId="2B09AD79">
      <w:pPr>
        <w:spacing w:line="360" w:lineRule="auto"/>
        <w:rPr>
          <w:rFonts w:asciiTheme="minorEastAsia" w:hAnsiTheme="minorEastAsia" w:eastAsiaTheme="minorEastAsia"/>
          <w:bCs/>
          <w:color w:val="auto"/>
          <w:sz w:val="24"/>
          <w:highlight w:val="none"/>
        </w:rPr>
      </w:pPr>
    </w:p>
    <w:p w14:paraId="0CB47FF1">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BA1F077">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C20E422">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12"/>
    </w:p>
    <w:p w14:paraId="134CA1F3">
      <w:pPr>
        <w:jc w:val="center"/>
        <w:rPr>
          <w:rFonts w:ascii="宋体"/>
          <w:color w:val="auto"/>
          <w:sz w:val="24"/>
          <w:highlight w:val="none"/>
        </w:rPr>
      </w:pPr>
      <w:r>
        <w:rPr>
          <w:rFonts w:hint="eastAsia" w:ascii="宋体" w:hAnsi="宋体"/>
          <w:b/>
          <w:color w:val="auto"/>
          <w:sz w:val="28"/>
          <w:szCs w:val="28"/>
          <w:highlight w:val="none"/>
        </w:rPr>
        <w:t>三、商务标格式文件</w:t>
      </w:r>
    </w:p>
    <w:p w14:paraId="1A152E05">
      <w:pPr>
        <w:jc w:val="center"/>
        <w:rPr>
          <w:rFonts w:eastAsia="黑体"/>
          <w:color w:val="auto"/>
          <w:sz w:val="20"/>
          <w:highlight w:val="none"/>
        </w:rPr>
      </w:pPr>
    </w:p>
    <w:p w14:paraId="41C88055">
      <w:pPr>
        <w:rPr>
          <w:rFonts w:ascii="宋体"/>
          <w:color w:val="auto"/>
          <w:sz w:val="20"/>
          <w:highlight w:val="none"/>
        </w:rPr>
      </w:pPr>
    </w:p>
    <w:p w14:paraId="5AF5E456">
      <w:pPr>
        <w:pStyle w:val="30"/>
        <w:rPr>
          <w:color w:val="auto"/>
          <w:highlight w:val="none"/>
        </w:rPr>
      </w:pPr>
    </w:p>
    <w:p w14:paraId="0905872C">
      <w:pPr>
        <w:jc w:val="center"/>
        <w:rPr>
          <w:rFonts w:ascii="宋体"/>
          <w:b/>
          <w:color w:val="auto"/>
          <w:sz w:val="44"/>
          <w:szCs w:val="44"/>
          <w:highlight w:val="none"/>
        </w:rPr>
      </w:pPr>
      <w:bookmarkStart w:id="213" w:name="_Toc449028954"/>
      <w:r>
        <w:rPr>
          <w:rFonts w:hint="eastAsia" w:ascii="宋体"/>
          <w:b/>
          <w:color w:val="auto"/>
          <w:sz w:val="44"/>
          <w:szCs w:val="44"/>
          <w:highlight w:val="none"/>
        </w:rPr>
        <w:t>商务标</w:t>
      </w:r>
      <w:bookmarkEnd w:id="213"/>
    </w:p>
    <w:p w14:paraId="0D0A3A07">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3E582F45">
      <w:pPr>
        <w:jc w:val="center"/>
        <w:rPr>
          <w:rFonts w:ascii="宋体"/>
          <w:color w:val="auto"/>
          <w:sz w:val="36"/>
          <w:szCs w:val="36"/>
          <w:highlight w:val="none"/>
        </w:rPr>
      </w:pPr>
    </w:p>
    <w:p w14:paraId="38CC783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0D0B630D">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5EE382A">
      <w:pPr>
        <w:rPr>
          <w:rFonts w:ascii="宋体"/>
          <w:color w:val="auto"/>
          <w:sz w:val="28"/>
          <w:szCs w:val="28"/>
          <w:highlight w:val="none"/>
        </w:rPr>
      </w:pPr>
    </w:p>
    <w:p w14:paraId="2F8B65A4">
      <w:pPr>
        <w:rPr>
          <w:rFonts w:ascii="宋体"/>
          <w:color w:val="auto"/>
          <w:sz w:val="28"/>
          <w:szCs w:val="28"/>
          <w:highlight w:val="none"/>
        </w:rPr>
      </w:pPr>
    </w:p>
    <w:p w14:paraId="3130538B">
      <w:pPr>
        <w:rPr>
          <w:rFonts w:ascii="宋体"/>
          <w:color w:val="auto"/>
          <w:sz w:val="28"/>
          <w:szCs w:val="28"/>
          <w:highlight w:val="none"/>
        </w:rPr>
      </w:pPr>
    </w:p>
    <w:p w14:paraId="549C44F7">
      <w:pPr>
        <w:rPr>
          <w:rFonts w:ascii="宋体"/>
          <w:color w:val="auto"/>
          <w:sz w:val="28"/>
          <w:szCs w:val="28"/>
          <w:highlight w:val="none"/>
        </w:rPr>
      </w:pPr>
    </w:p>
    <w:p w14:paraId="1905B48A">
      <w:pPr>
        <w:rPr>
          <w:rFonts w:ascii="宋体"/>
          <w:color w:val="auto"/>
          <w:sz w:val="28"/>
          <w:szCs w:val="28"/>
          <w:highlight w:val="none"/>
        </w:rPr>
      </w:pPr>
    </w:p>
    <w:p w14:paraId="433302B2">
      <w:pPr>
        <w:rPr>
          <w:rFonts w:ascii="宋体"/>
          <w:color w:val="auto"/>
          <w:sz w:val="28"/>
          <w:szCs w:val="28"/>
          <w:highlight w:val="none"/>
        </w:rPr>
      </w:pPr>
    </w:p>
    <w:p w14:paraId="0B28D8A4">
      <w:pPr>
        <w:rPr>
          <w:rFonts w:ascii="宋体"/>
          <w:color w:val="auto"/>
          <w:sz w:val="28"/>
          <w:szCs w:val="28"/>
          <w:highlight w:val="none"/>
        </w:rPr>
      </w:pPr>
    </w:p>
    <w:p w14:paraId="38EE2667">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CE07849">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1B56A78C">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8EF1542">
      <w:pPr>
        <w:spacing w:line="720" w:lineRule="auto"/>
        <w:jc w:val="center"/>
        <w:rPr>
          <w:rFonts w:ascii="宋体"/>
          <w:b/>
          <w:color w:val="auto"/>
          <w:sz w:val="36"/>
          <w:szCs w:val="36"/>
          <w:highlight w:val="none"/>
        </w:rPr>
      </w:pPr>
    </w:p>
    <w:p w14:paraId="6EF00541">
      <w:pPr>
        <w:rPr>
          <w:b/>
          <w:color w:val="auto"/>
          <w:sz w:val="28"/>
          <w:szCs w:val="28"/>
          <w:highlight w:val="none"/>
        </w:rPr>
      </w:pPr>
      <w:r>
        <w:rPr>
          <w:rFonts w:hint="eastAsia"/>
          <w:b/>
          <w:color w:val="auto"/>
          <w:sz w:val="28"/>
          <w:szCs w:val="28"/>
          <w:highlight w:val="none"/>
        </w:rPr>
        <w:br w:type="page"/>
      </w:r>
    </w:p>
    <w:p w14:paraId="77C7973E">
      <w:pPr>
        <w:spacing w:line="400" w:lineRule="exact"/>
        <w:ind w:firstLine="3379" w:firstLineChars="935"/>
        <w:rPr>
          <w:b/>
          <w:color w:val="auto"/>
          <w:sz w:val="36"/>
          <w:szCs w:val="36"/>
          <w:highlight w:val="none"/>
        </w:rPr>
      </w:pPr>
      <w:r>
        <w:rPr>
          <w:rFonts w:hint="eastAsia"/>
          <w:b/>
          <w:color w:val="auto"/>
          <w:sz w:val="36"/>
          <w:szCs w:val="36"/>
          <w:highlight w:val="none"/>
        </w:rPr>
        <w:t>目   录</w:t>
      </w:r>
    </w:p>
    <w:p w14:paraId="4184D12C">
      <w:pPr>
        <w:spacing w:line="400" w:lineRule="exact"/>
        <w:ind w:firstLine="4130" w:firstLineChars="935"/>
        <w:rPr>
          <w:b/>
          <w:color w:val="auto"/>
          <w:sz w:val="44"/>
          <w:szCs w:val="44"/>
          <w:highlight w:val="none"/>
        </w:rPr>
      </w:pPr>
    </w:p>
    <w:p w14:paraId="370513F4">
      <w:pPr>
        <w:spacing w:line="440" w:lineRule="exact"/>
        <w:ind w:left="420"/>
        <w:jc w:val="left"/>
        <w:rPr>
          <w:rFonts w:ascii="宋体" w:hAnsi="宋体" w:eastAsia="宋体"/>
          <w:color w:val="auto"/>
          <w:szCs w:val="21"/>
          <w:highlight w:val="none"/>
        </w:rPr>
      </w:pPr>
      <w:bookmarkStart w:id="214" w:name="_Hlk111065821"/>
      <w:r>
        <w:rPr>
          <w:rFonts w:hint="eastAsia" w:ascii="宋体" w:hAnsi="宋体" w:eastAsia="宋体"/>
          <w:color w:val="auto"/>
          <w:szCs w:val="21"/>
          <w:highlight w:val="none"/>
        </w:rPr>
        <w:t>（1）开标一览表（格式见附件）；</w:t>
      </w:r>
    </w:p>
    <w:p w14:paraId="67292EBA">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14"/>
    <w:p w14:paraId="42EEEA2C">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402D800B">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）投标人认为需要提供的其他材料。</w:t>
      </w:r>
    </w:p>
    <w:p w14:paraId="55FD4434">
      <w:pPr>
        <w:rPr>
          <w:rFonts w:ascii="宋体" w:hAnsi="宋体" w:eastAsia="宋体"/>
          <w:color w:val="auto"/>
          <w:szCs w:val="21"/>
          <w:highlight w:val="none"/>
        </w:rPr>
      </w:pPr>
      <w:r>
        <w:rPr>
          <w:rFonts w:hint="eastAsia" w:ascii="宋体" w:hAnsi="宋体" w:eastAsia="宋体"/>
          <w:color w:val="auto"/>
          <w:szCs w:val="21"/>
          <w:highlight w:val="none"/>
        </w:rPr>
        <w:br w:type="page"/>
      </w:r>
    </w:p>
    <w:p w14:paraId="25667D6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（1）开标一览表</w:t>
      </w:r>
      <w:bookmarkEnd w:id="204"/>
      <w:bookmarkEnd w:id="205"/>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593"/>
      </w:tblGrid>
      <w:tr w14:paraId="2C6F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28989A88">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4814655">
            <w:pPr>
              <w:spacing w:line="360" w:lineRule="exact"/>
              <w:jc w:val="center"/>
              <w:rPr>
                <w:rFonts w:asciiTheme="minorEastAsia" w:hAnsiTheme="minorEastAsia" w:eastAsiaTheme="minorEastAsia"/>
                <w:bCs/>
                <w:color w:val="auto"/>
                <w:sz w:val="24"/>
                <w:highlight w:val="none"/>
                <w:u w:val="single"/>
              </w:rPr>
            </w:pPr>
          </w:p>
        </w:tc>
      </w:tr>
      <w:tr w14:paraId="497C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F35EF17">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2C34A48">
            <w:pPr>
              <w:spacing w:line="360" w:lineRule="auto"/>
              <w:rPr>
                <w:rFonts w:asciiTheme="minorEastAsia" w:hAnsiTheme="minorEastAsia" w:eastAsiaTheme="minorEastAsia"/>
                <w:color w:val="auto"/>
                <w:sz w:val="24"/>
                <w:highlight w:val="none"/>
              </w:rPr>
            </w:pPr>
          </w:p>
        </w:tc>
      </w:tr>
      <w:tr w14:paraId="10AD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AA5BE5F">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03A64B8">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5DC2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51693DD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D97747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228A6814">
            <w:pPr>
              <w:spacing w:line="360" w:lineRule="auto"/>
              <w:ind w:right="-670"/>
              <w:rPr>
                <w:rFonts w:hint="default"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5530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F2C7BA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9301E38">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olor w:val="auto"/>
                <w:sz w:val="24"/>
                <w:szCs w:val="28"/>
                <w:highlight w:val="none"/>
                <w:lang w:val="en-US" w:eastAsia="zh-CN"/>
              </w:rPr>
              <w:t>其中一年投标报价</w:t>
            </w:r>
            <w:r>
              <w:rPr>
                <w:rFonts w:hint="eastAsia" w:ascii="宋体" w:hAnsi="宋体" w:eastAsia="宋体"/>
                <w:color w:val="auto"/>
                <w:sz w:val="24"/>
                <w:szCs w:val="28"/>
                <w:highlight w:val="none"/>
              </w:rPr>
              <w:t>：</w:t>
            </w:r>
            <w:r>
              <w:rPr>
                <w:rFonts w:hint="eastAsia" w:ascii="宋体" w:hAnsi="宋体" w:eastAsia="宋体" w:cs="宋体"/>
                <w:bCs/>
                <w:color w:val="auto"/>
                <w:sz w:val="24"/>
                <w:szCs w:val="24"/>
                <w:highlight w:val="none"/>
              </w:rPr>
              <w:t>大写：</w:t>
            </w:r>
          </w:p>
          <w:p w14:paraId="2C75AD2B">
            <w:pPr>
              <w:spacing w:line="360" w:lineRule="auto"/>
              <w:ind w:firstLine="2160" w:firstLineChars="900"/>
              <w:jc w:val="left"/>
              <w:rPr>
                <w:rFonts w:asciiTheme="minorEastAsia" w:hAnsiTheme="minorEastAsia" w:eastAsiaTheme="minorEastAsia"/>
                <w:color w:val="auto"/>
                <w:sz w:val="24"/>
                <w:szCs w:val="28"/>
                <w:highlight w:val="none"/>
              </w:rPr>
            </w:pPr>
            <w:r>
              <w:rPr>
                <w:rFonts w:hint="eastAsia" w:ascii="宋体" w:hAnsi="宋体" w:eastAsia="宋体" w:cs="宋体"/>
                <w:bCs/>
                <w:color w:val="auto"/>
                <w:sz w:val="24"/>
                <w:szCs w:val="24"/>
                <w:highlight w:val="none"/>
              </w:rPr>
              <w:t>小写：</w:t>
            </w:r>
          </w:p>
        </w:tc>
      </w:tr>
    </w:tbl>
    <w:p w14:paraId="0546732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C350670">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384127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29AF986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FCF15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006EDB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6D6DB51B">
      <w:pPr>
        <w:spacing w:line="360" w:lineRule="auto"/>
        <w:jc w:val="center"/>
        <w:outlineLvl w:val="1"/>
        <w:rPr>
          <w:rFonts w:asciiTheme="minorEastAsia" w:hAnsiTheme="minorEastAsia" w:eastAsiaTheme="minorEastAsia"/>
          <w:b/>
          <w:color w:val="auto"/>
          <w:sz w:val="24"/>
          <w:highlight w:val="none"/>
        </w:rPr>
      </w:pPr>
      <w:bookmarkStart w:id="215" w:name="_Toc6120"/>
      <w:bookmarkStart w:id="216" w:name="_Toc6441"/>
      <w:r>
        <w:rPr>
          <w:rFonts w:hint="eastAsia" w:asciiTheme="minorEastAsia" w:hAnsiTheme="minorEastAsia" w:eastAsiaTheme="minorEastAsia"/>
          <w:b/>
          <w:color w:val="auto"/>
          <w:sz w:val="24"/>
          <w:highlight w:val="none"/>
        </w:rPr>
        <w:t>（2）投标函</w:t>
      </w:r>
      <w:bookmarkEnd w:id="215"/>
      <w:bookmarkEnd w:id="216"/>
    </w:p>
    <w:p w14:paraId="525EF033">
      <w:pPr>
        <w:pStyle w:val="19"/>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F3EB4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265771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64AC8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585CD8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5938D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183C37E">
      <w:pPr>
        <w:spacing w:line="360" w:lineRule="auto"/>
        <w:ind w:firstLine="4800" w:firstLineChars="2000"/>
        <w:rPr>
          <w:rFonts w:ascii="宋体" w:hAnsi="宋体" w:eastAsia="宋体"/>
          <w:color w:val="auto"/>
          <w:sz w:val="24"/>
          <w:highlight w:val="none"/>
        </w:rPr>
      </w:pPr>
    </w:p>
    <w:p w14:paraId="0704493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2305A9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392FD06">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B31AE30">
      <w:pPr>
        <w:spacing w:line="360" w:lineRule="auto"/>
        <w:jc w:val="center"/>
        <w:outlineLvl w:val="1"/>
        <w:rPr>
          <w:rFonts w:asciiTheme="minorEastAsia" w:hAnsiTheme="minorEastAsia" w:eastAsiaTheme="minorEastAsia"/>
          <w:b/>
          <w:color w:val="auto"/>
          <w:sz w:val="24"/>
          <w:highlight w:val="none"/>
        </w:rPr>
      </w:pPr>
      <w:bookmarkStart w:id="217" w:name="_Toc31027"/>
      <w:bookmarkStart w:id="218" w:name="_Toc32226"/>
      <w:r>
        <w:rPr>
          <w:rFonts w:hint="eastAsia" w:asciiTheme="minorEastAsia" w:hAnsiTheme="minorEastAsia" w:eastAsiaTheme="minorEastAsia"/>
          <w:b/>
          <w:color w:val="auto"/>
          <w:sz w:val="24"/>
          <w:highlight w:val="none"/>
        </w:rPr>
        <w:t>（3）投标分项报价表</w:t>
      </w:r>
      <w:bookmarkEnd w:id="217"/>
      <w:bookmarkEnd w:id="218"/>
    </w:p>
    <w:p w14:paraId="4707C545">
      <w:pPr>
        <w:keepNext w:val="0"/>
        <w:keepLines w:val="0"/>
        <w:pageBreakBefore w:val="0"/>
        <w:kinsoku/>
        <w:wordWrap/>
        <w:overflowPunct/>
        <w:topLinePunct w:val="0"/>
        <w:autoSpaceDE/>
        <w:autoSpaceDN/>
        <w:bidi w:val="0"/>
        <w:spacing w:line="440" w:lineRule="exact"/>
        <w:ind w:firstLine="435"/>
        <w:jc w:val="center"/>
        <w:textAlignment w:val="auto"/>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31"/>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55"/>
        <w:gridCol w:w="780"/>
        <w:gridCol w:w="1305"/>
        <w:gridCol w:w="2025"/>
        <w:gridCol w:w="3190"/>
      </w:tblGrid>
      <w:tr w14:paraId="604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1" w:type="dxa"/>
            <w:noWrap w:val="0"/>
            <w:vAlign w:val="center"/>
          </w:tcPr>
          <w:p w14:paraId="15A20E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355" w:type="dxa"/>
            <w:noWrap w:val="0"/>
            <w:vAlign w:val="center"/>
          </w:tcPr>
          <w:p w14:paraId="0CD003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80" w:type="dxa"/>
            <w:noWrap w:val="0"/>
            <w:vAlign w:val="center"/>
          </w:tcPr>
          <w:p w14:paraId="670540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305" w:type="dxa"/>
            <w:noWrap w:val="0"/>
            <w:vAlign w:val="center"/>
          </w:tcPr>
          <w:p w14:paraId="5FD2D2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p w14:paraId="27657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（元/月）</w:t>
            </w:r>
          </w:p>
        </w:tc>
        <w:tc>
          <w:tcPr>
            <w:tcW w:w="2025" w:type="dxa"/>
            <w:noWrap w:val="0"/>
            <w:vAlign w:val="center"/>
          </w:tcPr>
          <w:p w14:paraId="09274F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合价（12个月）</w:t>
            </w:r>
          </w:p>
          <w:p w14:paraId="343FB9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p>
        </w:tc>
        <w:tc>
          <w:tcPr>
            <w:tcW w:w="3190" w:type="dxa"/>
            <w:noWrap w:val="0"/>
            <w:vAlign w:val="center"/>
          </w:tcPr>
          <w:p w14:paraId="1F05F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5D04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32E854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55" w:type="dxa"/>
            <w:noWrap w:val="0"/>
            <w:vAlign w:val="center"/>
          </w:tcPr>
          <w:p w14:paraId="742E07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780" w:type="dxa"/>
            <w:noWrap w:val="0"/>
            <w:vAlign w:val="center"/>
          </w:tcPr>
          <w:p w14:paraId="3F85E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72D25D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2025" w:type="dxa"/>
            <w:noWrap w:val="0"/>
            <w:vAlign w:val="center"/>
          </w:tcPr>
          <w:p w14:paraId="1C39BA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3190" w:type="dxa"/>
            <w:noWrap w:val="0"/>
            <w:vAlign w:val="center"/>
          </w:tcPr>
          <w:p w14:paraId="051C34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r>
      <w:tr w14:paraId="3E11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7C015C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355" w:type="dxa"/>
            <w:noWrap w:val="0"/>
            <w:vAlign w:val="center"/>
          </w:tcPr>
          <w:p w14:paraId="647342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6C92D0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52218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2025" w:type="dxa"/>
            <w:noWrap w:val="0"/>
            <w:vAlign w:val="center"/>
          </w:tcPr>
          <w:p w14:paraId="2F649C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3190" w:type="dxa"/>
            <w:noWrap w:val="0"/>
            <w:vAlign w:val="center"/>
          </w:tcPr>
          <w:p w14:paraId="7DC2A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r>
      <w:tr w14:paraId="0920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517A31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355" w:type="dxa"/>
            <w:noWrap w:val="0"/>
            <w:vAlign w:val="center"/>
          </w:tcPr>
          <w:p w14:paraId="78A5E6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6CAE4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1305" w:type="dxa"/>
            <w:noWrap w:val="0"/>
            <w:vAlign w:val="center"/>
          </w:tcPr>
          <w:p w14:paraId="7CA4B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2025" w:type="dxa"/>
            <w:noWrap w:val="0"/>
            <w:vAlign w:val="center"/>
          </w:tcPr>
          <w:p w14:paraId="62867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3190" w:type="dxa"/>
            <w:noWrap w:val="0"/>
            <w:vAlign w:val="center"/>
          </w:tcPr>
          <w:p w14:paraId="2EAD5E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r>
      <w:tr w14:paraId="3E8C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18E78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355" w:type="dxa"/>
            <w:noWrap w:val="0"/>
            <w:vAlign w:val="center"/>
          </w:tcPr>
          <w:p w14:paraId="6C6302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3F5D94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1305" w:type="dxa"/>
            <w:noWrap w:val="0"/>
            <w:vAlign w:val="center"/>
          </w:tcPr>
          <w:p w14:paraId="3318D6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2025" w:type="dxa"/>
            <w:noWrap w:val="0"/>
            <w:vAlign w:val="center"/>
          </w:tcPr>
          <w:p w14:paraId="69AF5D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3190" w:type="dxa"/>
            <w:noWrap w:val="0"/>
            <w:vAlign w:val="center"/>
          </w:tcPr>
          <w:p w14:paraId="5A7396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r>
      <w:tr w14:paraId="2649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noWrap w:val="0"/>
            <w:vAlign w:val="center"/>
          </w:tcPr>
          <w:p w14:paraId="4723D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355" w:type="dxa"/>
            <w:noWrap w:val="0"/>
            <w:vAlign w:val="center"/>
          </w:tcPr>
          <w:p w14:paraId="284232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税金</w:t>
            </w:r>
          </w:p>
        </w:tc>
        <w:tc>
          <w:tcPr>
            <w:tcW w:w="780" w:type="dxa"/>
            <w:noWrap w:val="0"/>
            <w:vAlign w:val="center"/>
          </w:tcPr>
          <w:p w14:paraId="0492E7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305" w:type="dxa"/>
            <w:noWrap w:val="0"/>
            <w:vAlign w:val="center"/>
          </w:tcPr>
          <w:p w14:paraId="20F0DC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025" w:type="dxa"/>
            <w:noWrap w:val="0"/>
            <w:vAlign w:val="center"/>
          </w:tcPr>
          <w:p w14:paraId="77B7D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c>
          <w:tcPr>
            <w:tcW w:w="3190" w:type="dxa"/>
            <w:noWrap w:val="0"/>
            <w:vAlign w:val="center"/>
          </w:tcPr>
          <w:p w14:paraId="34A896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至...项</w:t>
            </w:r>
            <w:r>
              <w:rPr>
                <w:rFonts w:hint="eastAsia" w:ascii="宋体" w:hAnsi="宋体" w:eastAsia="宋体" w:cs="宋体"/>
                <w:color w:val="auto"/>
                <w:szCs w:val="21"/>
                <w:highlight w:val="none"/>
              </w:rPr>
              <w:t>）合价×6.72%</w:t>
            </w:r>
          </w:p>
        </w:tc>
      </w:tr>
      <w:tr w14:paraId="4ED2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78E7FE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一年</w:t>
            </w:r>
            <w:r>
              <w:rPr>
                <w:rFonts w:hint="eastAsia" w:ascii="宋体" w:hAnsi="宋体" w:eastAsia="宋体" w:cs="宋体"/>
                <w:color w:val="auto"/>
                <w:szCs w:val="21"/>
                <w:highlight w:val="none"/>
              </w:rPr>
              <w:t>投标报价：物业服务费用合计（1</w:t>
            </w:r>
            <w:r>
              <w:rPr>
                <w:rFonts w:hint="eastAsia" w:ascii="宋体" w:hAnsi="宋体" w:eastAsia="宋体" w:cs="宋体"/>
                <w:color w:val="auto"/>
                <w:szCs w:val="21"/>
                <w:highlight w:val="none"/>
                <w:lang w:val="en-US" w:eastAsia="zh-CN"/>
              </w:rPr>
              <w:t>至（...+1）项</w:t>
            </w:r>
            <w:r>
              <w:rPr>
                <w:rFonts w:hint="eastAsia" w:ascii="宋体" w:hAnsi="宋体" w:eastAsia="宋体" w:cs="宋体"/>
                <w:color w:val="auto"/>
                <w:szCs w:val="21"/>
                <w:highlight w:val="none"/>
              </w:rPr>
              <w:t>）（元）</w:t>
            </w:r>
          </w:p>
        </w:tc>
        <w:tc>
          <w:tcPr>
            <w:tcW w:w="5215" w:type="dxa"/>
            <w:gridSpan w:val="2"/>
            <w:noWrap w:val="0"/>
            <w:vAlign w:val="center"/>
          </w:tcPr>
          <w:p w14:paraId="74DEFA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r>
      <w:tr w14:paraId="19B4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35145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三年</w:t>
            </w:r>
            <w:r>
              <w:rPr>
                <w:rFonts w:hint="eastAsia" w:ascii="宋体" w:hAnsi="宋体" w:eastAsia="宋体" w:cs="宋体"/>
                <w:color w:val="auto"/>
                <w:szCs w:val="21"/>
                <w:highlight w:val="none"/>
              </w:rPr>
              <w:t>投标报价：物业服务费用合计（1</w:t>
            </w:r>
            <w:r>
              <w:rPr>
                <w:rFonts w:hint="eastAsia" w:ascii="宋体" w:hAnsi="宋体" w:eastAsia="宋体" w:cs="宋体"/>
                <w:color w:val="auto"/>
                <w:szCs w:val="21"/>
                <w:highlight w:val="none"/>
                <w:lang w:val="en-US" w:eastAsia="zh-CN"/>
              </w:rPr>
              <w:t>至（...+1）项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3年</w:t>
            </w:r>
            <w:r>
              <w:rPr>
                <w:rFonts w:hint="eastAsia" w:ascii="宋体" w:hAnsi="宋体" w:eastAsia="宋体" w:cs="宋体"/>
                <w:color w:val="auto"/>
                <w:szCs w:val="21"/>
                <w:highlight w:val="none"/>
              </w:rPr>
              <w:t>（元）</w:t>
            </w:r>
          </w:p>
        </w:tc>
        <w:tc>
          <w:tcPr>
            <w:tcW w:w="5215" w:type="dxa"/>
            <w:gridSpan w:val="2"/>
            <w:noWrap w:val="0"/>
            <w:vAlign w:val="center"/>
          </w:tcPr>
          <w:p w14:paraId="7F5A93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p>
        </w:tc>
      </w:tr>
    </w:tbl>
    <w:p w14:paraId="0214794F">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D48A58F">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B034DD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4"/>
          <w:szCs w:val="28"/>
          <w:highlight w:val="none"/>
          <w:lang w:eastAsia="zh-CN"/>
        </w:rPr>
      </w:pPr>
    </w:p>
    <w:p w14:paraId="1F786EE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szCs w:val="28"/>
          <w:highlight w:val="none"/>
          <w:lang w:eastAsia="zh-CN"/>
        </w:rPr>
        <w:t>注：</w:t>
      </w:r>
      <w:r>
        <w:rPr>
          <w:rFonts w:hint="eastAsia" w:ascii="宋体" w:hAnsi="宋体" w:eastAsia="宋体" w:cs="宋体"/>
          <w:color w:val="auto"/>
          <w:sz w:val="24"/>
          <w:highlight w:val="none"/>
        </w:rPr>
        <w:t>所列服务为对应本项目需求的全部服务内容。如有漏项或缺项，投标人承担全部责任</w:t>
      </w:r>
      <w:r>
        <w:rPr>
          <w:rFonts w:hint="eastAsia" w:ascii="宋体" w:hAnsi="宋体" w:eastAsia="宋体" w:cs="宋体"/>
          <w:color w:val="auto"/>
          <w:sz w:val="24"/>
          <w:highlight w:val="none"/>
          <w:lang w:eastAsia="zh-CN"/>
        </w:rPr>
        <w:t>。</w:t>
      </w:r>
      <w:bookmarkStart w:id="219" w:name="_Toc2683"/>
    </w:p>
    <w:p w14:paraId="1DC1083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highlight w:val="none"/>
          <w:lang w:eastAsia="zh-CN"/>
        </w:rPr>
      </w:pPr>
    </w:p>
    <w:p w14:paraId="08D0F1E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（4）其他相关证明材料</w:t>
      </w:r>
      <w:bookmarkEnd w:id="219"/>
    </w:p>
    <w:p w14:paraId="5C74016A">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46D305E6">
      <w:pPr>
        <w:widowControl/>
        <w:jc w:val="left"/>
        <w:rPr>
          <w:rFonts w:asciiTheme="minorEastAsia" w:hAnsiTheme="minorEastAsia" w:eastAsiaTheme="minorEastAsia"/>
          <w:color w:val="auto"/>
          <w:sz w:val="24"/>
          <w:highlight w:val="none"/>
        </w:rPr>
      </w:pPr>
    </w:p>
    <w:p w14:paraId="1FD6180C">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084111">
      <w:pPr>
        <w:widowControl/>
        <w:jc w:val="left"/>
        <w:rPr>
          <w:rFonts w:asciiTheme="minorEastAsia" w:hAnsiTheme="minorEastAsia" w:eastAsiaTheme="minorEastAsia"/>
          <w:color w:val="auto"/>
          <w:sz w:val="24"/>
          <w:highlight w:val="none"/>
        </w:rPr>
      </w:pPr>
    </w:p>
    <w:p w14:paraId="5BC1D2F1">
      <w:pPr>
        <w:spacing w:line="360" w:lineRule="auto"/>
        <w:jc w:val="center"/>
        <w:outlineLvl w:val="0"/>
        <w:rPr>
          <w:rFonts w:ascii="宋体" w:hAnsi="宋体" w:eastAsia="宋体"/>
          <w:b/>
          <w:bCs/>
          <w:color w:val="auto"/>
          <w:sz w:val="28"/>
          <w:highlight w:val="none"/>
        </w:rPr>
      </w:pPr>
      <w:bookmarkStart w:id="220" w:name="_Toc6435"/>
      <w:bookmarkStart w:id="221" w:name="_Toc2081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0"/>
      <w:bookmarkEnd w:id="221"/>
    </w:p>
    <w:p w14:paraId="2B2C2C1C">
      <w:pPr>
        <w:spacing w:line="360" w:lineRule="auto"/>
        <w:jc w:val="center"/>
        <w:outlineLvl w:val="1"/>
        <w:rPr>
          <w:rFonts w:ascii="仿宋" w:hAnsi="仿宋" w:eastAsia="仿宋" w:cs="仿宋"/>
          <w:b/>
          <w:bCs/>
          <w:color w:val="auto"/>
          <w:sz w:val="32"/>
          <w:szCs w:val="44"/>
          <w:highlight w:val="none"/>
        </w:rPr>
      </w:pPr>
      <w:bookmarkStart w:id="222" w:name="_Toc27159"/>
      <w:bookmarkStart w:id="223" w:name="_Toc6955"/>
      <w:r>
        <w:rPr>
          <w:rFonts w:hint="eastAsia" w:ascii="仿宋" w:hAnsi="仿宋" w:eastAsia="仿宋" w:cs="仿宋"/>
          <w:b/>
          <w:bCs/>
          <w:color w:val="auto"/>
          <w:sz w:val="32"/>
          <w:szCs w:val="44"/>
          <w:highlight w:val="none"/>
        </w:rPr>
        <w:t>询问函范本</w:t>
      </w:r>
      <w:bookmarkEnd w:id="222"/>
      <w:bookmarkEnd w:id="223"/>
    </w:p>
    <w:p w14:paraId="4226A9BE">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D14265C">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59F0F7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47332D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4" w:name="_Toc13899"/>
      <w:r>
        <w:rPr>
          <w:rFonts w:hint="eastAsia" w:cs="仿宋" w:asciiTheme="minorEastAsia" w:hAnsiTheme="minorEastAsia" w:eastAsiaTheme="minorEastAsia"/>
          <w:color w:val="auto"/>
          <w:sz w:val="24"/>
          <w:szCs w:val="24"/>
          <w:highlight w:val="none"/>
        </w:rPr>
        <w:t>一、(事项一)</w:t>
      </w:r>
      <w:bookmarkEnd w:id="224"/>
    </w:p>
    <w:p w14:paraId="4E4DA11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ADF2ED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17C880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95C91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5" w:name="_Toc3352"/>
      <w:r>
        <w:rPr>
          <w:rFonts w:hint="eastAsia" w:cs="仿宋" w:asciiTheme="minorEastAsia" w:hAnsiTheme="minorEastAsia" w:eastAsiaTheme="minorEastAsia"/>
          <w:color w:val="auto"/>
          <w:sz w:val="24"/>
          <w:szCs w:val="24"/>
          <w:highlight w:val="none"/>
        </w:rPr>
        <w:t>二、(事项二)</w:t>
      </w:r>
      <w:bookmarkEnd w:id="225"/>
    </w:p>
    <w:p w14:paraId="51C6EC8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13BDD9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568F78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A37F1D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29959F8">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CA2512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701D07B">
      <w:pPr>
        <w:jc w:val="center"/>
        <w:outlineLvl w:val="1"/>
        <w:rPr>
          <w:rFonts w:ascii="仿宋" w:hAnsi="仿宋" w:eastAsia="仿宋" w:cs="仿宋"/>
          <w:b/>
          <w:bCs/>
          <w:color w:val="auto"/>
          <w:sz w:val="32"/>
          <w:szCs w:val="44"/>
          <w:highlight w:val="none"/>
        </w:rPr>
      </w:pPr>
      <w:bookmarkStart w:id="226" w:name="_Toc1575"/>
      <w:bookmarkStart w:id="227" w:name="_Toc857"/>
      <w:r>
        <w:rPr>
          <w:rFonts w:hint="eastAsia" w:ascii="仿宋" w:hAnsi="仿宋" w:eastAsia="仿宋" w:cs="仿宋"/>
          <w:b/>
          <w:bCs/>
          <w:color w:val="auto"/>
          <w:sz w:val="32"/>
          <w:szCs w:val="44"/>
          <w:highlight w:val="none"/>
        </w:rPr>
        <w:t>质疑函范本</w:t>
      </w:r>
      <w:bookmarkEnd w:id="226"/>
      <w:bookmarkEnd w:id="227"/>
    </w:p>
    <w:p w14:paraId="20CE202D">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28" w:name="_Toc21381"/>
      <w:r>
        <w:rPr>
          <w:rFonts w:hint="eastAsia" w:cs="仿宋" w:asciiTheme="minorEastAsia" w:hAnsiTheme="minorEastAsia" w:eastAsiaTheme="minorEastAsia"/>
          <w:b/>
          <w:bCs/>
          <w:color w:val="auto"/>
          <w:sz w:val="24"/>
          <w:szCs w:val="24"/>
          <w:highlight w:val="none"/>
        </w:rPr>
        <w:t>一、质疑供应商基本信息</w:t>
      </w:r>
      <w:bookmarkEnd w:id="228"/>
    </w:p>
    <w:p w14:paraId="144CF58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4EDE7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30851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C6647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60CEAA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E153EC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0078DA">
      <w:pPr>
        <w:adjustRightInd w:val="0"/>
        <w:snapToGrid w:val="0"/>
        <w:spacing w:line="360" w:lineRule="auto"/>
        <w:rPr>
          <w:rFonts w:cs="仿宋" w:asciiTheme="minorEastAsia" w:hAnsiTheme="minorEastAsia" w:eastAsiaTheme="minorEastAsia"/>
          <w:b/>
          <w:bCs/>
          <w:color w:val="auto"/>
          <w:sz w:val="24"/>
          <w:szCs w:val="24"/>
          <w:highlight w:val="none"/>
        </w:rPr>
      </w:pPr>
      <w:bookmarkStart w:id="229" w:name="_Toc28415"/>
      <w:r>
        <w:rPr>
          <w:rFonts w:hint="eastAsia" w:cs="仿宋" w:asciiTheme="minorEastAsia" w:hAnsiTheme="minorEastAsia" w:eastAsiaTheme="minorEastAsia"/>
          <w:b/>
          <w:bCs/>
          <w:color w:val="auto"/>
          <w:sz w:val="24"/>
          <w:szCs w:val="24"/>
          <w:highlight w:val="none"/>
        </w:rPr>
        <w:t>二、质疑项目基本情况</w:t>
      </w:r>
      <w:bookmarkEnd w:id="229"/>
    </w:p>
    <w:p w14:paraId="05DEC80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9DAD30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9478A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B19265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6D0E5B6">
      <w:pPr>
        <w:adjustRightInd w:val="0"/>
        <w:snapToGrid w:val="0"/>
        <w:spacing w:line="360" w:lineRule="auto"/>
        <w:rPr>
          <w:rFonts w:cs="仿宋" w:asciiTheme="minorEastAsia" w:hAnsiTheme="minorEastAsia" w:eastAsiaTheme="minorEastAsia"/>
          <w:b/>
          <w:bCs/>
          <w:color w:val="auto"/>
          <w:sz w:val="24"/>
          <w:szCs w:val="24"/>
          <w:highlight w:val="none"/>
        </w:rPr>
      </w:pPr>
      <w:bookmarkStart w:id="230" w:name="_Toc19014"/>
      <w:r>
        <w:rPr>
          <w:rFonts w:hint="eastAsia" w:cs="仿宋" w:asciiTheme="minorEastAsia" w:hAnsiTheme="minorEastAsia" w:eastAsiaTheme="minorEastAsia"/>
          <w:b/>
          <w:bCs/>
          <w:color w:val="auto"/>
          <w:sz w:val="24"/>
          <w:szCs w:val="24"/>
          <w:highlight w:val="none"/>
        </w:rPr>
        <w:t>三、质疑事项具体内容</w:t>
      </w:r>
      <w:bookmarkEnd w:id="230"/>
    </w:p>
    <w:p w14:paraId="21A63DB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79CC4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51187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D7F3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9D561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1B6BC6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43DC8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FA01E62">
      <w:pPr>
        <w:adjustRightInd w:val="0"/>
        <w:snapToGrid w:val="0"/>
        <w:spacing w:line="360" w:lineRule="auto"/>
        <w:rPr>
          <w:rFonts w:cs="仿宋" w:asciiTheme="minorEastAsia" w:hAnsiTheme="minorEastAsia" w:eastAsiaTheme="minorEastAsia"/>
          <w:b/>
          <w:bCs/>
          <w:color w:val="auto"/>
          <w:sz w:val="24"/>
          <w:szCs w:val="24"/>
          <w:highlight w:val="none"/>
        </w:rPr>
      </w:pPr>
      <w:bookmarkStart w:id="231" w:name="_Toc17919"/>
      <w:r>
        <w:rPr>
          <w:rFonts w:hint="eastAsia" w:cs="仿宋" w:asciiTheme="minorEastAsia" w:hAnsiTheme="minorEastAsia" w:eastAsiaTheme="minorEastAsia"/>
          <w:b/>
          <w:bCs/>
          <w:color w:val="auto"/>
          <w:sz w:val="24"/>
          <w:szCs w:val="24"/>
          <w:highlight w:val="none"/>
        </w:rPr>
        <w:t>四、与质疑事项相关的质疑请求</w:t>
      </w:r>
      <w:bookmarkEnd w:id="231"/>
    </w:p>
    <w:p w14:paraId="6DD1CCC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CB5BD2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C2EA08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84748F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D075713">
      <w:pPr>
        <w:outlineLvl w:val="0"/>
        <w:rPr>
          <w:rFonts w:asciiTheme="minorEastAsia" w:hAnsiTheme="minorEastAsia" w:eastAsiaTheme="minorEastAsia"/>
          <w:b/>
          <w:color w:val="auto"/>
          <w:sz w:val="28"/>
          <w:szCs w:val="32"/>
          <w:highlight w:val="none"/>
        </w:rPr>
      </w:pPr>
      <w:bookmarkStart w:id="232" w:name="_Toc22239"/>
      <w:bookmarkStart w:id="233" w:name="_Toc9754"/>
      <w:r>
        <w:rPr>
          <w:rFonts w:hint="eastAsia" w:asciiTheme="minorEastAsia" w:hAnsiTheme="minorEastAsia" w:eastAsiaTheme="minorEastAsia"/>
          <w:b/>
          <w:color w:val="auto"/>
          <w:sz w:val="28"/>
          <w:szCs w:val="32"/>
          <w:highlight w:val="none"/>
        </w:rPr>
        <w:t>质疑函制作说明：</w:t>
      </w:r>
      <w:bookmarkEnd w:id="232"/>
      <w:bookmarkEnd w:id="233"/>
    </w:p>
    <w:p w14:paraId="7EEF4B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935EC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10D2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CD8E7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B9EB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2FA9F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0824C38">
      <w:pPr>
        <w:rPr>
          <w:rFonts w:ascii="宋体" w:hAnsi="宋体" w:eastAsia="宋体" w:cs="宋体"/>
          <w:sz w:val="28"/>
          <w:szCs w:val="28"/>
          <w:highlight w:val="none"/>
        </w:rPr>
      </w:pPr>
      <w:r>
        <w:rPr>
          <w:rFonts w:hint="eastAsia" w:asciiTheme="minorEastAsia" w:hAnsiTheme="minorEastAsia" w:eastAsiaTheme="minorEastAsia"/>
          <w:color w:val="auto"/>
          <w:sz w:val="24"/>
          <w:highlight w:val="none"/>
        </w:rPr>
        <w:br w:type="page"/>
      </w:r>
      <w:r>
        <w:rPr>
          <w:rFonts w:hint="eastAsia" w:ascii="宋体" w:hAnsi="宋体" w:eastAsia="宋体" w:cs="宋体"/>
          <w:b/>
          <w:sz w:val="28"/>
          <w:szCs w:val="28"/>
          <w:highlight w:val="none"/>
          <w:lang w:bidi="ar"/>
        </w:rPr>
        <w:t>附件</w:t>
      </w:r>
      <w:r>
        <w:rPr>
          <w:rFonts w:ascii="Times New Roman" w:hAnsi="Times New Roman" w:eastAsia="宋体" w:cs="Times New Roman"/>
          <w:b/>
          <w:sz w:val="28"/>
          <w:szCs w:val="28"/>
          <w:highlight w:val="none"/>
          <w:lang w:bidi="ar"/>
        </w:rPr>
        <w:t>1</w:t>
      </w:r>
    </w:p>
    <w:p w14:paraId="1A707315">
      <w:pPr>
        <w:jc w:val="center"/>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bidi="ar"/>
        </w:rPr>
        <w:t>关于联合惩戒失信行为加强信用查询管理的通知</w:t>
      </w:r>
    </w:p>
    <w:p w14:paraId="2378C963">
      <w:pPr>
        <w:adjustRightInd w:val="0"/>
        <w:snapToGrid w:val="0"/>
        <w:spacing w:line="5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一、失信行为联合惩戒的范围和查询渠道</w:t>
      </w:r>
    </w:p>
    <w:p w14:paraId="3A6F2C6F">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在我市公共资源交易活动中对存在下列失信行为的投标人、法定代表人及其项目经理（建造师）实施联合惩戒，禁止参与我市公共资源交易活动。</w:t>
      </w:r>
    </w:p>
    <w:p w14:paraId="74C4C673">
      <w:pPr>
        <w:adjustRightInd w:val="0"/>
        <w:snapToGrid w:val="0"/>
        <w:spacing w:line="5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（一）工程建设项目</w:t>
      </w:r>
    </w:p>
    <w:p w14:paraId="2FB86914">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1、“信用中国”网站（www.creditchina.gov.cn）查询</w:t>
      </w:r>
      <w:bookmarkStart w:id="234" w:name="OLE_LINK93"/>
      <w:bookmarkStart w:id="235" w:name="OLE_LINK103"/>
      <w:bookmarkStart w:id="236" w:name="OLE_LINK91"/>
      <w:bookmarkStart w:id="237" w:name="OLE_LINK92"/>
      <w:r>
        <w:rPr>
          <w:rFonts w:hint="eastAsia" w:ascii="宋体" w:hAnsi="宋体" w:eastAsia="宋体" w:cs="宋体"/>
          <w:color w:val="000000" w:themeColor="text1"/>
          <w:sz w:val="24"/>
          <w:szCs w:val="24"/>
          <w:highlight w:val="none"/>
          <w14:textFill>
            <w14:solidFill>
              <w14:schemeClr w14:val="tx1"/>
            </w14:solidFill>
          </w14:textFill>
        </w:rPr>
        <w:t>投标人、法定代表人及其项目经理(建造师)</w:t>
      </w:r>
      <w:bookmarkEnd w:id="234"/>
      <w:bookmarkEnd w:id="235"/>
      <w:bookmarkEnd w:id="236"/>
      <w:bookmarkEnd w:id="237"/>
      <w:r>
        <w:rPr>
          <w:rFonts w:hint="eastAsia" w:ascii="宋体" w:hAnsi="宋体" w:eastAsia="宋体" w:cs="宋体"/>
          <w:color w:val="000000" w:themeColor="text1"/>
          <w:sz w:val="24"/>
          <w:szCs w:val="24"/>
          <w:highlight w:val="none"/>
          <w14:textFill>
            <w14:solidFill>
              <w14:schemeClr w14:val="tx1"/>
            </w14:solidFill>
          </w14:textFill>
        </w:rPr>
        <w:t>以下失信行为：</w:t>
      </w:r>
    </w:p>
    <w:p w14:paraId="2D7F9377">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38" w:name="OLE_LINK3"/>
      <w:bookmarkStart w:id="239" w:name="OLE_LINK94"/>
      <w:bookmarkStart w:id="240" w:name="OLE_LINK87"/>
      <w:bookmarkStart w:id="241" w:name="OLE_LINK119"/>
      <w:bookmarkStart w:id="242" w:name="OLE_LINK86"/>
      <w:r>
        <w:rPr>
          <w:rFonts w:hint="eastAsia" w:ascii="宋体" w:hAnsi="宋体" w:eastAsia="宋体" w:cs="宋体"/>
          <w:color w:val="000000" w:themeColor="text1"/>
          <w:sz w:val="24"/>
          <w:szCs w:val="24"/>
          <w:highlight w:val="none"/>
          <w14:textFill>
            <w14:solidFill>
              <w14:schemeClr w14:val="tx1"/>
            </w14:solidFill>
          </w14:textFill>
        </w:rPr>
        <w:t>①被列入“失信被执行人”的;</w:t>
      </w:r>
    </w:p>
    <w:p w14:paraId="6FB656FD">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②被列入</w:t>
      </w:r>
      <w:bookmarkStart w:id="243" w:name="OLE_LINK118"/>
      <w:bookmarkStart w:id="244" w:name="OLE_LINK117"/>
      <w:bookmarkStart w:id="245" w:name="OLE_LINK115"/>
      <w:bookmarkStart w:id="246" w:name="OLE_LINK116"/>
      <w:r>
        <w:rPr>
          <w:rFonts w:hint="eastAsia" w:ascii="宋体" w:hAnsi="宋体" w:eastAsia="宋体" w:cs="宋体"/>
          <w:color w:val="000000" w:themeColor="text1"/>
          <w:sz w:val="24"/>
          <w:szCs w:val="24"/>
          <w:highlight w:val="none"/>
          <w14:textFill>
            <w14:solidFill>
              <w14:schemeClr w14:val="tx1"/>
            </w14:solidFill>
          </w14:textFill>
        </w:rPr>
        <w:t>“重大税收违法失信主体”</w:t>
      </w:r>
      <w:bookmarkEnd w:id="243"/>
      <w:bookmarkEnd w:id="244"/>
      <w:bookmarkEnd w:id="245"/>
      <w:bookmarkEnd w:id="246"/>
      <w:r>
        <w:rPr>
          <w:rFonts w:hint="eastAsia" w:ascii="宋体" w:hAnsi="宋体" w:eastAsia="宋体" w:cs="宋体"/>
          <w:color w:val="000000" w:themeColor="text1"/>
          <w:sz w:val="24"/>
          <w:szCs w:val="24"/>
          <w:highlight w:val="none"/>
          <w14:textFill>
            <w14:solidFill>
              <w14:schemeClr w14:val="tx1"/>
            </w14:solidFill>
          </w14:textFill>
        </w:rPr>
        <w:t>的；</w:t>
      </w:r>
    </w:p>
    <w:p w14:paraId="2852C461">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47" w:name="OLE_LINK2"/>
      <w:bookmarkStart w:id="248" w:name="OLE_LINK1"/>
      <w:r>
        <w:rPr>
          <w:rFonts w:hint="eastAsia" w:ascii="宋体" w:hAnsi="宋体" w:eastAsia="宋体" w:cs="宋体"/>
          <w:color w:val="000000" w:themeColor="text1"/>
          <w:sz w:val="24"/>
          <w:szCs w:val="24"/>
          <w:highlight w:val="none"/>
          <w14:textFill>
            <w14:solidFill>
              <w14:schemeClr w14:val="tx1"/>
            </w14:solidFill>
          </w14:textFill>
        </w:rPr>
        <w:t>③被列入“拖欠</w:t>
      </w:r>
      <w:bookmarkStart w:id="249" w:name="OLE_LINK84"/>
      <w:bookmarkStart w:id="250" w:name="OLE_LINK85"/>
      <w:r>
        <w:rPr>
          <w:rFonts w:hint="eastAsia" w:ascii="宋体" w:hAnsi="宋体" w:eastAsia="宋体" w:cs="宋体"/>
          <w:color w:val="000000" w:themeColor="text1"/>
          <w:sz w:val="24"/>
          <w:szCs w:val="24"/>
          <w:highlight w:val="none"/>
          <w14:textFill>
            <w14:solidFill>
              <w14:schemeClr w14:val="tx1"/>
            </w14:solidFill>
          </w14:textFill>
        </w:rPr>
        <w:t>农民工工资失信联合惩戒对象</w:t>
      </w:r>
      <w:bookmarkEnd w:id="249"/>
      <w:bookmarkEnd w:id="250"/>
      <w:r>
        <w:rPr>
          <w:rFonts w:hint="eastAsia" w:ascii="宋体" w:hAnsi="宋体" w:eastAsia="宋体" w:cs="宋体"/>
          <w:color w:val="000000" w:themeColor="text1"/>
          <w:sz w:val="24"/>
          <w:szCs w:val="24"/>
          <w:highlight w:val="none"/>
          <w14:textFill>
            <w14:solidFill>
              <w14:schemeClr w14:val="tx1"/>
            </w14:solidFill>
          </w14:textFill>
        </w:rPr>
        <w:t>名单”的；</w:t>
      </w:r>
      <w:bookmarkEnd w:id="247"/>
      <w:bookmarkEnd w:id="248"/>
    </w:p>
    <w:p w14:paraId="503E1A9A">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④被列入 “严重失信主体名单”的；</w:t>
      </w:r>
    </w:p>
    <w:p w14:paraId="361BA169">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⑤在“信用中国”网站上披露的仍在公示期的严重失信行为(具体行为类别及判定依据见附件2)的。</w:t>
      </w:r>
    </w:p>
    <w:bookmarkEnd w:id="238"/>
    <w:bookmarkEnd w:id="239"/>
    <w:bookmarkEnd w:id="240"/>
    <w:bookmarkEnd w:id="241"/>
    <w:bookmarkEnd w:id="242"/>
    <w:p w14:paraId="42A2C8D2">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bookmarkStart w:id="251" w:name="OLE_LINK130"/>
      <w:r>
        <w:rPr>
          <w:rFonts w:hint="eastAsia" w:ascii="宋体" w:hAnsi="宋体" w:eastAsia="宋体" w:cs="宋体"/>
          <w:color w:val="000000" w:themeColor="text1"/>
          <w:sz w:val="24"/>
          <w:szCs w:val="24"/>
          <w:highlight w:val="none"/>
          <w14:textFill>
            <w14:solidFill>
              <w14:schemeClr w14:val="tx1"/>
            </w14:solidFill>
          </w14:textFill>
        </w:rPr>
        <w:t>国家企业信用信息公示系统网站</w:t>
      </w:r>
      <w:bookmarkEnd w:id="251"/>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"http://www.gsxt.gov.cn）查询" </w:instrText>
      </w:r>
      <w:r>
        <w:rPr>
          <w:rFonts w:hint="eastAsia" w:ascii="宋体" w:hAnsi="宋体" w:eastAsia="宋体" w:cs="宋体"/>
          <w:sz w:val="24"/>
          <w:szCs w:val="24"/>
          <w:highlight w:val="none"/>
        </w:rPr>
        <w:fldChar w:fldCharType="separate"/>
      </w:r>
      <w:bookmarkStart w:id="252" w:name="OLE_LINK89"/>
      <w:bookmarkStart w:id="253" w:name="OLE_LINK90"/>
      <w:r>
        <w:rPr>
          <w:rStyle w:val="41"/>
          <w:rFonts w:hint="eastAsia" w:ascii="宋体" w:hAnsi="宋体" w:eastAsia="宋体" w:cs="宋体"/>
          <w:color w:val="000000" w:themeColor="text1"/>
          <w:sz w:val="24"/>
          <w:szCs w:val="24"/>
          <w:highlight w:val="none"/>
          <w14:textFill>
            <w14:solidFill>
              <w14:schemeClr w14:val="tx1"/>
            </w14:solidFill>
          </w14:textFill>
        </w:rPr>
        <w:t>www.gsxt.gov.cn</w:t>
      </w:r>
      <w:bookmarkEnd w:id="252"/>
      <w:bookmarkEnd w:id="253"/>
      <w:r>
        <w:rPr>
          <w:rStyle w:val="41"/>
          <w:rFonts w:hint="eastAsia" w:ascii="宋体" w:hAnsi="宋体" w:eastAsia="宋体" w:cs="宋体"/>
          <w:color w:val="000000" w:themeColor="text1"/>
          <w:sz w:val="24"/>
          <w:szCs w:val="24"/>
          <w:highlight w:val="none"/>
          <w14:textFill>
            <w14:solidFill>
              <w14:schemeClr w14:val="tx1"/>
            </w14:solidFill>
          </w14:textFill>
        </w:rPr>
        <w:t>）</w:t>
      </w:r>
      <w:r>
        <w:rPr>
          <w:rStyle w:val="41"/>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查询投标人以下失信行为：</w:t>
      </w:r>
    </w:p>
    <w:p w14:paraId="7A31A708">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54" w:name="OLE_LINK120"/>
      <w:bookmarkStart w:id="255" w:name="OLE_LINK121"/>
      <w:bookmarkStart w:id="256" w:name="OLE_LINK122"/>
      <w:r>
        <w:rPr>
          <w:rFonts w:hint="eastAsia" w:ascii="宋体" w:hAnsi="宋体" w:eastAsia="宋体" w:cs="宋体"/>
          <w:color w:val="000000" w:themeColor="text1"/>
          <w:sz w:val="24"/>
          <w:szCs w:val="24"/>
          <w:highlight w:val="none"/>
          <w14:textFill>
            <w14:solidFill>
              <w14:schemeClr w14:val="tx1"/>
            </w14:solidFill>
          </w14:textFill>
        </w:rPr>
        <w:t>①被列入“经营异常名录”或者“严重违法失信名单”的。</w:t>
      </w:r>
      <w:bookmarkEnd w:id="254"/>
      <w:bookmarkEnd w:id="255"/>
      <w:bookmarkEnd w:id="256"/>
    </w:p>
    <w:p w14:paraId="7376FE28">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3、由</w:t>
      </w:r>
      <w:r>
        <w:rPr>
          <w:rFonts w:hint="eastAsia" w:ascii="宋体" w:hAnsi="宋体" w:eastAsia="宋体" w:cs="宋体"/>
          <w:color w:val="000000" w:themeColor="text1"/>
          <w:kern w:val="0"/>
          <w:sz w:val="24"/>
          <w:szCs w:val="24"/>
          <w:highlight w:val="none"/>
          <w14:textFill>
            <w14:solidFill>
              <w14:schemeClr w14:val="tx1"/>
            </w14:solidFill>
          </w14:textFill>
        </w:rPr>
        <w:t>投标人、法定代表人及其项目经理(建造师)</w:t>
      </w:r>
      <w:r>
        <w:rPr>
          <w:rFonts w:hint="eastAsia" w:ascii="宋体" w:hAnsi="宋体" w:eastAsia="宋体" w:cs="宋体"/>
          <w:color w:val="000000" w:themeColor="text1"/>
          <w:sz w:val="24"/>
          <w:szCs w:val="24"/>
          <w:highlight w:val="none"/>
          <w14:textFill>
            <w14:solidFill>
              <w14:schemeClr w14:val="tx1"/>
            </w14:solidFill>
          </w14:textFill>
        </w:rPr>
        <w:t>进行承诺，不进行现场网上信用查询的失信行为：</w:t>
      </w:r>
    </w:p>
    <w:p w14:paraId="0E758DDA">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57" w:name="OLE_LINK124"/>
      <w:bookmarkStart w:id="258" w:name="OLE_LINK123"/>
      <w:r>
        <w:rPr>
          <w:rFonts w:hint="eastAsia" w:ascii="宋体" w:hAnsi="宋体" w:eastAsia="宋体" w:cs="宋体"/>
          <w:color w:val="000000" w:themeColor="text1"/>
          <w:sz w:val="24"/>
          <w:szCs w:val="24"/>
          <w:highlight w:val="none"/>
          <w14:textFill>
            <w14:solidFill>
              <w14:schemeClr w14:val="tx1"/>
            </w14:solidFill>
          </w14:textFill>
        </w:rPr>
        <w:t>①前三年有行贿犯罪行为的单位和个人；</w:t>
      </w:r>
    </w:p>
    <w:p w14:paraId="6CE40055">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②被滁州市县两级公管部门取消在一定期限内的投标资格且在取消期限内的；</w:t>
      </w:r>
    </w:p>
    <w:p w14:paraId="1C157461">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③被滁州市县两级各行业主管部门取消在一定期限内的投标资格且在取消期限内的；</w:t>
      </w:r>
    </w:p>
    <w:p w14:paraId="5D29E2F8">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④因拖欠农民工工资被</w:t>
      </w:r>
      <w:bookmarkStart w:id="259" w:name="OLE_LINK107"/>
      <w:bookmarkStart w:id="260" w:name="OLE_LINK108"/>
      <w:r>
        <w:rPr>
          <w:rFonts w:hint="eastAsia" w:ascii="宋体" w:hAnsi="宋体" w:eastAsia="宋体" w:cs="宋体"/>
          <w:color w:val="000000" w:themeColor="text1"/>
          <w:sz w:val="24"/>
          <w:szCs w:val="24"/>
          <w:highlight w:val="none"/>
          <w14:textFill>
            <w14:solidFill>
              <w14:schemeClr w14:val="tx1"/>
            </w14:solidFill>
          </w14:textFill>
        </w:rPr>
        <w:t>县级及以上有关行政主管部门限制投标资格且在限制期限内的</w:t>
      </w:r>
      <w:bookmarkEnd w:id="259"/>
      <w:bookmarkEnd w:id="260"/>
      <w:r>
        <w:rPr>
          <w:rFonts w:hint="eastAsia" w:ascii="宋体" w:hAnsi="宋体" w:eastAsia="宋体" w:cs="宋体"/>
          <w:color w:val="000000" w:themeColor="text1"/>
          <w:sz w:val="24"/>
          <w:szCs w:val="24"/>
          <w:highlight w:val="none"/>
          <w14:textFill>
            <w14:solidFill>
              <w14:schemeClr w14:val="tx1"/>
            </w14:solidFill>
          </w14:textFill>
        </w:rPr>
        <w:t>；</w:t>
      </w:r>
    </w:p>
    <w:p w14:paraId="70DF7291">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57"/>
    <w:bookmarkEnd w:id="258"/>
    <w:p w14:paraId="46197D4B">
      <w:pPr>
        <w:adjustRightInd w:val="0"/>
        <w:snapToGrid w:val="0"/>
        <w:spacing w:line="5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（二）政府采购项目</w:t>
      </w:r>
    </w:p>
    <w:p w14:paraId="125E0F79">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1、“信用中国”网站（</w:t>
      </w:r>
      <w:r>
        <w:rPr>
          <w:rStyle w:val="41"/>
          <w:rFonts w:hint="eastAsia" w:ascii="宋体" w:hAnsi="宋体" w:eastAsia="宋体" w:cs="宋体"/>
          <w:color w:val="000000" w:themeColor="text1"/>
          <w:sz w:val="24"/>
          <w:szCs w:val="24"/>
          <w:highlight w:val="none"/>
          <w14:textFill>
            <w14:solidFill>
              <w14:schemeClr w14:val="tx1"/>
            </w14:solidFill>
          </w14:textFill>
        </w:rPr>
        <w:t>www.creditchina.gov.cn</w:t>
      </w:r>
      <w:r>
        <w:rPr>
          <w:rFonts w:hint="eastAsia" w:ascii="宋体" w:hAnsi="宋体" w:eastAsia="宋体" w:cs="宋体"/>
          <w:color w:val="000000" w:themeColor="text1"/>
          <w:sz w:val="24"/>
          <w:szCs w:val="24"/>
          <w:highlight w:val="none"/>
          <w14:textFill>
            <w14:solidFill>
              <w14:schemeClr w14:val="tx1"/>
            </w14:solidFill>
          </w14:textFill>
        </w:rPr>
        <w:t>）查询供应商、法定代表人及其项目负责人以下失信行为：</w:t>
      </w:r>
    </w:p>
    <w:p w14:paraId="587B565A">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①被列入“失信被执行人”的;</w:t>
      </w:r>
    </w:p>
    <w:p w14:paraId="6449C0B7">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②被列入“重大税收违法失信主体”的；</w:t>
      </w:r>
    </w:p>
    <w:p w14:paraId="0DEF0249">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③被列入 “严重失信主体名单”的；</w:t>
      </w:r>
    </w:p>
    <w:p w14:paraId="5F20AF7F">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④在“信用中国”网站上披露的仍在公示期的严重失信行为(具体行为类别及判定依据见附件2)的。</w:t>
      </w:r>
    </w:p>
    <w:p w14:paraId="4879C9FA">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2、国家企业信用信息公示系统网站（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"http://www.gsxt.gov.cn）查询"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www.gsxt.gov.cn）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查询供应商以下失信行为：</w:t>
      </w:r>
    </w:p>
    <w:p w14:paraId="62651BEC">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bookmarkStart w:id="261" w:name="OLE_LINK101"/>
      <w:bookmarkStart w:id="262" w:name="OLE_LINK100"/>
      <w:bookmarkStart w:id="263" w:name="OLE_LINK102"/>
      <w:r>
        <w:rPr>
          <w:rFonts w:hint="eastAsia" w:ascii="宋体" w:hAnsi="宋体" w:eastAsia="宋体" w:cs="宋体"/>
          <w:color w:val="000000" w:themeColor="text1"/>
          <w:sz w:val="24"/>
          <w:szCs w:val="24"/>
          <w:highlight w:val="none"/>
          <w14:textFill>
            <w14:solidFill>
              <w14:schemeClr w14:val="tx1"/>
            </w14:solidFill>
          </w14:textFill>
        </w:rPr>
        <w:t>被列入“经营异常名录”或者“严重违法失信名单”的</w:t>
      </w:r>
      <w:bookmarkEnd w:id="261"/>
      <w:bookmarkEnd w:id="262"/>
      <w:bookmarkEnd w:id="263"/>
      <w:r>
        <w:rPr>
          <w:rFonts w:hint="eastAsia" w:ascii="宋体" w:hAnsi="宋体" w:eastAsia="宋体" w:cs="宋体"/>
          <w:color w:val="000000" w:themeColor="text1"/>
          <w:sz w:val="24"/>
          <w:szCs w:val="24"/>
          <w:highlight w:val="none"/>
          <w14:textFill>
            <w14:solidFill>
              <w14:schemeClr w14:val="tx1"/>
            </w14:solidFill>
          </w14:textFill>
        </w:rPr>
        <w:t>。</w:t>
      </w:r>
    </w:p>
    <w:p w14:paraId="3A923958">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3、中国政府采购网站（</w:t>
      </w:r>
      <w:bookmarkStart w:id="264" w:name="OLE_LINK96"/>
      <w:bookmarkStart w:id="265" w:name="OLE_LINK95"/>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www.ccgp.gov.cn</w:t>
      </w:r>
      <w:r>
        <w:rPr>
          <w:rFonts w:hint="eastAsia" w:ascii="宋体" w:hAnsi="宋体" w:eastAsia="宋体" w:cs="宋体"/>
          <w:color w:val="000000" w:themeColor="text1"/>
          <w:sz w:val="24"/>
          <w:szCs w:val="24"/>
          <w:highlight w:val="none"/>
          <w14:textFill>
            <w14:solidFill>
              <w14:schemeClr w14:val="tx1"/>
            </w14:solidFill>
          </w14:textFill>
        </w:rPr>
        <w:fldChar w:fldCharType="end"/>
      </w:r>
      <w:bookmarkEnd w:id="264"/>
      <w:bookmarkEnd w:id="265"/>
      <w:r>
        <w:rPr>
          <w:rFonts w:hint="eastAsia" w:ascii="宋体" w:hAnsi="宋体" w:eastAsia="宋体" w:cs="宋体"/>
          <w:color w:val="000000" w:themeColor="text1"/>
          <w:sz w:val="24"/>
          <w:szCs w:val="24"/>
          <w:highlight w:val="none"/>
          <w14:textFill>
            <w14:solidFill>
              <w14:schemeClr w14:val="tx1"/>
            </w14:solidFill>
          </w14:textFill>
        </w:rPr>
        <w:t>）查询以下失信行为：</w:t>
      </w:r>
    </w:p>
    <w:p w14:paraId="35C04349">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bookmarkStart w:id="266" w:name="OLE_LINK104"/>
      <w:bookmarkStart w:id="267" w:name="OLE_LINK105"/>
      <w:bookmarkStart w:id="268" w:name="OLE_LINK106"/>
      <w:r>
        <w:rPr>
          <w:rFonts w:hint="eastAsia" w:ascii="宋体" w:hAnsi="宋体" w:eastAsia="宋体" w:cs="宋体"/>
          <w:color w:val="000000" w:themeColor="text1"/>
          <w:sz w:val="24"/>
          <w:szCs w:val="24"/>
          <w:highlight w:val="none"/>
          <w14:textFill>
            <w14:solidFill>
              <w14:schemeClr w14:val="tx1"/>
            </w14:solidFill>
          </w14:textFill>
        </w:rPr>
        <w:t>被列入“政府采购严重违法失信行为信息记录”的</w:t>
      </w:r>
      <w:bookmarkEnd w:id="266"/>
      <w:bookmarkEnd w:id="267"/>
      <w:bookmarkEnd w:id="268"/>
      <w:r>
        <w:rPr>
          <w:rFonts w:hint="eastAsia" w:ascii="宋体" w:hAnsi="宋体" w:eastAsia="宋体" w:cs="宋体"/>
          <w:color w:val="000000" w:themeColor="text1"/>
          <w:sz w:val="24"/>
          <w:szCs w:val="24"/>
          <w:highlight w:val="none"/>
          <w14:textFill>
            <w14:solidFill>
              <w14:schemeClr w14:val="tx1"/>
            </w14:solidFill>
          </w14:textFill>
        </w:rPr>
        <w:t>。</w:t>
      </w:r>
    </w:p>
    <w:p w14:paraId="6F37C1DB">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4、由竞争主体进行承诺，不进行现场网上信用查询的失信行为：</w:t>
      </w:r>
    </w:p>
    <w:p w14:paraId="3A29A3C0">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①前三年有行贿犯罪行为的单位和个人。</w:t>
      </w:r>
    </w:p>
    <w:p w14:paraId="0AE1AAB9">
      <w:pPr>
        <w:adjustRightInd w:val="0"/>
        <w:snapToGrid w:val="0"/>
        <w:spacing w:line="5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二、在开评标活动中的查询程序</w:t>
      </w:r>
    </w:p>
    <w:p w14:paraId="44F45E2B">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AC8289E">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A5C10AE">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3、项目单位及其委托的代理机构应当做好信用查询结果截图和记录留存。</w:t>
      </w:r>
    </w:p>
    <w:p w14:paraId="0C31672D">
      <w:pPr>
        <w:adjustRightInd w:val="0"/>
        <w:snapToGrid w:val="0"/>
        <w:spacing w:line="5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三、相关要求</w:t>
      </w:r>
    </w:p>
    <w:p w14:paraId="24DE195B">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12B66206">
      <w:pPr>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D16811">
      <w:pPr>
        <w:wordWrap w:val="0"/>
        <w:adjustRightInd w:val="0"/>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"https://credit.ah.gov.cn/xinyong-fuwu/xvbahv/index.html"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https://credit.ah.gov.cn/xinyong-fuwu/xvbahv/index.html</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F8E462">
      <w:pPr>
        <w:adjustRightInd w:val="0"/>
        <w:snapToGrid w:val="0"/>
        <w:spacing w:line="5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2、“信用中国”查询的严重失信行为判定依据为各行业主管部门下发的联合惩戒文件中规定的行为（按附件2执行）。</w:t>
      </w:r>
    </w:p>
    <w:p w14:paraId="36F92A93">
      <w:pPr>
        <w:spacing w:line="440" w:lineRule="exact"/>
        <w:rPr>
          <w:rFonts w:hint="eastAsia" w:ascii="宋体" w:hAnsi="宋体" w:eastAsia="宋体" w:cs="宋体"/>
          <w:b/>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3、资格预审的项目以递交资格预审申请文件截止时间查询为准；资格后审的项目以递交投标文件截止时间查询为准。</w:t>
      </w:r>
      <w:r>
        <w:rPr>
          <w:rFonts w:hint="eastAsia" w:ascii="宋体" w:hAnsi="宋体" w:eastAsia="宋体" w:cs="宋体"/>
          <w:b/>
          <w:sz w:val="24"/>
          <w:szCs w:val="24"/>
          <w:highlight w:val="none"/>
          <w:lang w:bidi="ar"/>
        </w:rPr>
        <w:t xml:space="preserve"> </w:t>
      </w:r>
    </w:p>
    <w:p w14:paraId="4D84AFFE">
      <w:pPr>
        <w:pStyle w:val="30"/>
        <w:ind w:firstLine="420"/>
        <w:rPr>
          <w:highlight w:val="none"/>
        </w:rPr>
      </w:pPr>
      <w:r>
        <w:rPr>
          <w:rFonts w:hint="eastAsia"/>
          <w:highlight w:val="none"/>
        </w:rPr>
        <w:t xml:space="preserve"> </w:t>
      </w:r>
    </w:p>
    <w:p w14:paraId="27ECF83D">
      <w:pPr>
        <w:spacing w:line="440" w:lineRule="exact"/>
        <w:rPr>
          <w:rFonts w:ascii="宋体" w:hAnsi="宋体" w:eastAsia="宋体" w:cs="宋体"/>
          <w:b/>
          <w:sz w:val="24"/>
          <w:szCs w:val="24"/>
          <w:highlight w:val="none"/>
        </w:rPr>
      </w:pPr>
      <w:r>
        <w:rPr>
          <w:rFonts w:hint="eastAsia" w:ascii="宋体" w:hAnsi="宋体" w:eastAsia="宋体" w:cs="宋体"/>
          <w:b/>
          <w:sz w:val="24"/>
          <w:szCs w:val="24"/>
          <w:highlight w:val="none"/>
          <w:lang w:bidi="ar"/>
        </w:rPr>
        <w:br w:type="page"/>
      </w:r>
      <w:r>
        <w:rPr>
          <w:rFonts w:hint="eastAsia" w:ascii="宋体" w:hAnsi="宋体" w:eastAsia="宋体" w:cs="宋体"/>
          <w:b/>
          <w:sz w:val="24"/>
          <w:szCs w:val="24"/>
          <w:highlight w:val="none"/>
          <w:lang w:bidi="ar"/>
        </w:rPr>
        <w:t>附件</w:t>
      </w:r>
      <w:r>
        <w:rPr>
          <w:rFonts w:ascii="Times New Roman" w:hAnsi="Times New Roman" w:eastAsia="宋体" w:cs="Times New Roman"/>
          <w:b/>
          <w:sz w:val="24"/>
          <w:szCs w:val="24"/>
          <w:highlight w:val="none"/>
          <w:lang w:bidi="ar"/>
        </w:rPr>
        <w:t>2</w:t>
      </w:r>
    </w:p>
    <w:p w14:paraId="445565DE">
      <w:pPr>
        <w:adjustRightInd w:val="0"/>
        <w:snapToGrid w:val="0"/>
        <w:spacing w:line="560" w:lineRule="exact"/>
        <w:ind w:firstLine="645"/>
        <w:jc w:val="center"/>
        <w:rPr>
          <w:rFonts w:hint="eastAsia" w:ascii="宋体" w:hAnsi="宋体" w:eastAsia="宋体" w:cs="宋体"/>
          <w:b/>
          <w:sz w:val="24"/>
          <w:szCs w:val="24"/>
          <w:highlight w:val="none"/>
          <w:lang w:eastAsia="zh-CN" w:bidi="ar"/>
        </w:rPr>
      </w:pPr>
      <w:r>
        <w:rPr>
          <w:rFonts w:hint="eastAsia" w:ascii="宋体" w:hAnsi="宋体" w:eastAsia="宋体" w:cs="宋体"/>
          <w:b/>
          <w:sz w:val="24"/>
          <w:szCs w:val="24"/>
          <w:highlight w:val="none"/>
          <w:lang w:eastAsia="zh-CN" w:bidi="ar"/>
        </w:rPr>
        <w:t>“信用中国”查询的严重失信行为类别及判定依据</w:t>
      </w:r>
    </w:p>
    <w:p w14:paraId="2EC3C4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17DD0DC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06B8DD9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37ED0E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2A18EB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566F34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1E1DA3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49F568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72B7868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3C78E1A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77EC91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2636D90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746FD1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47C8C4D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5B27FE0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2D9A91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033D6B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48BD0B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018573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02FE1F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2CE71B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50A8CA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13B8C8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4C29D21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16DA445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55730F7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3EB1517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37E08BE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64B5490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0A47410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69" w:name="OLE_LINK9"/>
      <w:bookmarkStart w:id="270" w:name="OLE_LINK10"/>
      <w:bookmarkStart w:id="271" w:name="OLE_LINK8"/>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69"/>
      <w:bookmarkEnd w:id="270"/>
      <w:bookmarkEnd w:id="271"/>
      <w:r>
        <w:rPr>
          <w:rFonts w:hint="eastAsia" w:ascii="宋体" w:hAnsi="宋体" w:eastAsia="宋体" w:cs="宋体"/>
          <w:b/>
          <w:color w:val="auto"/>
          <w:sz w:val="24"/>
          <w:szCs w:val="24"/>
          <w:highlight w:val="none"/>
        </w:rPr>
        <w:t>》、《</w:t>
      </w:r>
      <w:bookmarkStart w:id="272" w:name="OLE_LINK12"/>
      <w:bookmarkStart w:id="273" w:name="OLE_LINK11"/>
      <w:r>
        <w:rPr>
          <w:rFonts w:hint="eastAsia" w:ascii="宋体" w:hAnsi="宋体" w:eastAsia="宋体" w:cs="宋体"/>
          <w:b/>
          <w:color w:val="auto"/>
          <w:sz w:val="24"/>
          <w:szCs w:val="24"/>
          <w:highlight w:val="none"/>
        </w:rPr>
        <w:t>企业环境信用评价办法（试行）</w:t>
      </w:r>
      <w:bookmarkEnd w:id="272"/>
      <w:bookmarkEnd w:id="273"/>
      <w:r>
        <w:rPr>
          <w:rFonts w:hint="eastAsia" w:ascii="宋体" w:hAnsi="宋体" w:eastAsia="宋体" w:cs="宋体"/>
          <w:b/>
          <w:color w:val="auto"/>
          <w:sz w:val="24"/>
          <w:szCs w:val="24"/>
          <w:highlight w:val="none"/>
        </w:rPr>
        <w:t>》（环发〔2013〕150号）</w:t>
      </w:r>
    </w:p>
    <w:p w14:paraId="7EA63CD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0FE8FF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25D990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0FAA6A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23C291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1BEC90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7D8E21E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DC700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50C7840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F933A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4DCD46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B32362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790475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731602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E0295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3B2C4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4822127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13B75D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6CDAA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676C99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54FB306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74" w:name="OLE_LINK13"/>
      <w:bookmarkStart w:id="275" w:name="OLE_LINK14"/>
      <w:r>
        <w:rPr>
          <w:rFonts w:hint="eastAsia" w:ascii="宋体" w:hAnsi="宋体" w:eastAsia="宋体" w:cs="宋体"/>
          <w:b/>
          <w:color w:val="auto"/>
          <w:sz w:val="24"/>
          <w:szCs w:val="24"/>
          <w:highlight w:val="none"/>
        </w:rPr>
        <w:t>关于对公共资源交易领域严重失信主体开展联合惩戒的备忘录</w:t>
      </w:r>
      <w:bookmarkEnd w:id="274"/>
      <w:bookmarkEnd w:id="275"/>
      <w:r>
        <w:rPr>
          <w:rFonts w:hint="eastAsia" w:ascii="宋体" w:hAnsi="宋体" w:eastAsia="宋体" w:cs="宋体"/>
          <w:b/>
          <w:color w:val="auto"/>
          <w:sz w:val="24"/>
          <w:szCs w:val="24"/>
          <w:highlight w:val="none"/>
        </w:rPr>
        <w:t>》（发改法规〔2018〕457号）</w:t>
      </w:r>
    </w:p>
    <w:p w14:paraId="0CEE45A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488DE6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0D4A89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7D43694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0BAF919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025136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3CAB67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20D9FC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69C9CB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6A19F9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6CF9D8C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76" w:name="OLE_LINK16"/>
      <w:bookmarkStart w:id="277" w:name="OLE_LINK15"/>
      <w:r>
        <w:rPr>
          <w:rFonts w:hint="eastAsia" w:ascii="宋体" w:hAnsi="宋体" w:eastAsia="宋体" w:cs="宋体"/>
          <w:b/>
          <w:color w:val="auto"/>
          <w:sz w:val="24"/>
          <w:szCs w:val="24"/>
          <w:highlight w:val="none"/>
        </w:rPr>
        <w:t>关于对社会保险领域严重失信企业及其有关人员实施联合惩戒的合作备忘录</w:t>
      </w:r>
      <w:bookmarkEnd w:id="276"/>
      <w:bookmarkEnd w:id="277"/>
      <w:r>
        <w:rPr>
          <w:rFonts w:hint="eastAsia" w:ascii="宋体" w:hAnsi="宋体" w:eastAsia="宋体" w:cs="宋体"/>
          <w:b/>
          <w:color w:val="auto"/>
          <w:sz w:val="24"/>
          <w:szCs w:val="24"/>
          <w:highlight w:val="none"/>
        </w:rPr>
        <w:t>》（发改财金〔2018〕1704号）</w:t>
      </w:r>
    </w:p>
    <w:p w14:paraId="2C5DEA7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49F00CF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125095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53DF6B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2CAD7ED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34C47B0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78ECD24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78" w:name="OLE_LINK18"/>
      <w:bookmarkStart w:id="279" w:name="OLE_LINK17"/>
      <w:r>
        <w:rPr>
          <w:rFonts w:hint="eastAsia" w:ascii="宋体" w:hAnsi="宋体" w:eastAsia="宋体" w:cs="宋体"/>
          <w:b/>
          <w:color w:val="auto"/>
          <w:sz w:val="24"/>
          <w:szCs w:val="24"/>
          <w:highlight w:val="none"/>
        </w:rPr>
        <w:t>建筑市场信用管理暂行办法</w:t>
      </w:r>
      <w:bookmarkEnd w:id="278"/>
      <w:bookmarkEnd w:id="279"/>
      <w:r>
        <w:rPr>
          <w:rFonts w:hint="eastAsia" w:ascii="宋体" w:hAnsi="宋体" w:eastAsia="宋体" w:cs="宋体"/>
          <w:b/>
          <w:color w:val="auto"/>
          <w:sz w:val="24"/>
          <w:szCs w:val="24"/>
          <w:highlight w:val="none"/>
        </w:rPr>
        <w:t>》（建市〔2017〕241号）</w:t>
      </w:r>
    </w:p>
    <w:p w14:paraId="63572175">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280" w:name="OLE_LINK20"/>
      <w:bookmarkStart w:id="281" w:name="OLE_LINK19"/>
      <w:r>
        <w:rPr>
          <w:rFonts w:hint="eastAsia" w:ascii="宋体" w:hAnsi="宋体" w:eastAsia="宋体" w:cs="宋体"/>
          <w:b/>
          <w:color w:val="auto"/>
          <w:sz w:val="24"/>
          <w:szCs w:val="24"/>
          <w:highlight w:val="none"/>
        </w:rPr>
        <w:t>政府采购严重失信行为</w:t>
      </w:r>
      <w:bookmarkEnd w:id="280"/>
      <w:bookmarkEnd w:id="281"/>
    </w:p>
    <w:p w14:paraId="2CEC36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4806C2B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08E7ED82">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p w14:paraId="1DFE7479">
      <w:pPr>
        <w:rPr>
          <w:rFonts w:asciiTheme="minorEastAsia" w:hAnsiTheme="minorEastAsia" w:eastAsiaTheme="minorEastAsia"/>
          <w:color w:val="auto"/>
          <w:sz w:val="24"/>
          <w:highlight w:val="none"/>
        </w:rPr>
      </w:pPr>
    </w:p>
    <w:sectPr>
      <w:headerReference r:id="rId5" w:type="default"/>
      <w:footerReference r:id="rId6" w:type="default"/>
      <w:pgSz w:w="11906" w:h="16838"/>
      <w:pgMar w:top="1440" w:right="1286"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6B44">
    <w:pPr>
      <w:pStyle w:val="21"/>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8D83">
    <w:pPr>
      <w:pStyle w:val="21"/>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E36DC3">
                          <w:pPr>
                            <w:pStyle w:val="21"/>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E36DC3">
                    <w:pPr>
                      <w:pStyle w:val="21"/>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0B19">
    <w:pPr>
      <w:pStyle w:val="22"/>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676F">
    <w:pPr>
      <w:pStyle w:val="22"/>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982A"/>
    <w:multiLevelType w:val="singleLevel"/>
    <w:tmpl w:val="87D0982A"/>
    <w:lvl w:ilvl="0" w:tentative="0">
      <w:start w:val="1"/>
      <w:numFmt w:val="decimal"/>
      <w:suff w:val="nothing"/>
      <w:lvlText w:val="（%1）"/>
      <w:lvlJc w:val="left"/>
    </w:lvl>
  </w:abstractNum>
  <w:abstractNum w:abstractNumId="1">
    <w:nsid w:val="B37636F9"/>
    <w:multiLevelType w:val="singleLevel"/>
    <w:tmpl w:val="B37636F9"/>
    <w:lvl w:ilvl="0" w:tentative="0">
      <w:start w:val="2"/>
      <w:numFmt w:val="decimal"/>
      <w:lvlText w:val="%1."/>
      <w:lvlJc w:val="left"/>
      <w:pPr>
        <w:tabs>
          <w:tab w:val="left" w:pos="312"/>
        </w:tabs>
      </w:pPr>
    </w:lvl>
  </w:abstractNum>
  <w:abstractNum w:abstractNumId="2">
    <w:nsid w:val="E5C351F0"/>
    <w:multiLevelType w:val="singleLevel"/>
    <w:tmpl w:val="E5C351F0"/>
    <w:lvl w:ilvl="0" w:tentative="0">
      <w:start w:val="6"/>
      <w:numFmt w:val="chineseCounting"/>
      <w:suff w:val="nothing"/>
      <w:lvlText w:val="%1、"/>
      <w:lvlJc w:val="left"/>
      <w:rPr>
        <w:rFonts w:hint="eastAsia"/>
      </w:rPr>
    </w:lvl>
  </w:abstractNum>
  <w:abstractNum w:abstractNumId="3">
    <w:nsid w:val="11934B18"/>
    <w:multiLevelType w:val="singleLevel"/>
    <w:tmpl w:val="11934B18"/>
    <w:lvl w:ilvl="0" w:tentative="0">
      <w:start w:val="7"/>
      <w:numFmt w:val="decimal"/>
      <w:suff w:val="nothing"/>
      <w:lvlText w:val="（%1）"/>
      <w:lvlJc w:val="left"/>
    </w:lvl>
  </w:abstractNum>
  <w:abstractNum w:abstractNumId="4">
    <w:nsid w:val="2323379E"/>
    <w:multiLevelType w:val="multilevel"/>
    <w:tmpl w:val="2323379E"/>
    <w:lvl w:ilvl="0" w:tentative="0">
      <w:start w:val="1"/>
      <w:numFmt w:val="chineseCountingThousand"/>
      <w:pStyle w:val="27"/>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064A37"/>
    <w:multiLevelType w:val="singleLevel"/>
    <w:tmpl w:val="2A064A37"/>
    <w:lvl w:ilvl="0" w:tentative="0">
      <w:start w:val="3"/>
      <w:numFmt w:val="chineseCounting"/>
      <w:suff w:val="space"/>
      <w:lvlText w:val="第%1章"/>
      <w:lvlJc w:val="left"/>
      <w:rPr>
        <w:rFonts w:hint="eastAsia"/>
      </w:rPr>
    </w:lvl>
  </w:abstractNum>
  <w:abstractNum w:abstractNumId="6">
    <w:nsid w:val="2F000003"/>
    <w:multiLevelType w:val="multilevel"/>
    <w:tmpl w:val="2F00000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hint="default" w:cs="Times New Roman"/>
      </w:rPr>
    </w:lvl>
    <w:lvl w:ilvl="2" w:tentative="0">
      <w:start w:val="1"/>
      <w:numFmt w:val="lowerRoman"/>
      <w:lvlText w:val="%3."/>
      <w:lvlJc w:val="right"/>
      <w:pPr>
        <w:ind w:left="1260" w:hanging="420"/>
      </w:pPr>
      <w:rPr>
        <w:rFonts w:hint="default" w:cs="Times New Roman"/>
      </w:rPr>
    </w:lvl>
    <w:lvl w:ilvl="3" w:tentative="0">
      <w:start w:val="1"/>
      <w:numFmt w:val="decimal"/>
      <w:lvlText w:val="%4."/>
      <w:lvlJc w:val="left"/>
      <w:pPr>
        <w:ind w:left="1680" w:hanging="420"/>
      </w:pPr>
      <w:rPr>
        <w:rFonts w:hint="default" w:cs="Times New Roman"/>
      </w:rPr>
    </w:lvl>
    <w:lvl w:ilvl="4" w:tentative="0">
      <w:start w:val="1"/>
      <w:numFmt w:val="lowerLetter"/>
      <w:lvlText w:val="%5)"/>
      <w:lvlJc w:val="left"/>
      <w:pPr>
        <w:ind w:left="2100" w:hanging="420"/>
      </w:pPr>
      <w:rPr>
        <w:rFonts w:hint="default" w:cs="Times New Roman"/>
      </w:rPr>
    </w:lvl>
    <w:lvl w:ilvl="5" w:tentative="0">
      <w:start w:val="1"/>
      <w:numFmt w:val="lowerRoman"/>
      <w:lvlText w:val="%6."/>
      <w:lvlJc w:val="right"/>
      <w:pPr>
        <w:ind w:left="2520" w:hanging="420"/>
      </w:pPr>
      <w:rPr>
        <w:rFonts w:hint="default" w:cs="Times New Roman"/>
      </w:rPr>
    </w:lvl>
    <w:lvl w:ilvl="6" w:tentative="0">
      <w:start w:val="1"/>
      <w:numFmt w:val="decimal"/>
      <w:lvlText w:val="%7."/>
      <w:lvlJc w:val="left"/>
      <w:pPr>
        <w:ind w:left="2940" w:hanging="420"/>
      </w:pPr>
      <w:rPr>
        <w:rFonts w:hint="default" w:cs="Times New Roman"/>
      </w:rPr>
    </w:lvl>
    <w:lvl w:ilvl="7" w:tentative="0">
      <w:start w:val="1"/>
      <w:numFmt w:val="lowerLetter"/>
      <w:lvlText w:val="%8)"/>
      <w:lvlJc w:val="left"/>
      <w:pPr>
        <w:ind w:left="3360" w:hanging="420"/>
      </w:pPr>
      <w:rPr>
        <w:rFonts w:hint="default" w:cs="Times New Roman"/>
      </w:rPr>
    </w:lvl>
    <w:lvl w:ilvl="8" w:tentative="0">
      <w:start w:val="1"/>
      <w:numFmt w:val="lowerRoman"/>
      <w:lvlText w:val="%9."/>
      <w:lvlJc w:val="right"/>
      <w:pPr>
        <w:ind w:left="3780" w:hanging="420"/>
      </w:pPr>
      <w:rPr>
        <w:rFonts w:hint="default" w:cs="Times New Roman"/>
      </w:rPr>
    </w:lvl>
  </w:abstractNum>
  <w:abstractNum w:abstractNumId="7">
    <w:nsid w:val="2F000004"/>
    <w:multiLevelType w:val="multilevel"/>
    <w:tmpl w:val="2F00000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hint="default" w:cs="Times New Roman"/>
      </w:rPr>
    </w:lvl>
    <w:lvl w:ilvl="2" w:tentative="0">
      <w:start w:val="1"/>
      <w:numFmt w:val="lowerRoman"/>
      <w:lvlText w:val="%3."/>
      <w:lvlJc w:val="right"/>
      <w:pPr>
        <w:ind w:left="1260" w:hanging="420"/>
      </w:pPr>
      <w:rPr>
        <w:rFonts w:hint="default" w:cs="Times New Roman"/>
      </w:rPr>
    </w:lvl>
    <w:lvl w:ilvl="3" w:tentative="0">
      <w:start w:val="1"/>
      <w:numFmt w:val="decimal"/>
      <w:lvlText w:val="%4."/>
      <w:lvlJc w:val="left"/>
      <w:pPr>
        <w:ind w:left="1680" w:hanging="420"/>
      </w:pPr>
      <w:rPr>
        <w:rFonts w:hint="default" w:cs="Times New Roman"/>
      </w:rPr>
    </w:lvl>
    <w:lvl w:ilvl="4" w:tentative="0">
      <w:start w:val="1"/>
      <w:numFmt w:val="lowerLetter"/>
      <w:lvlText w:val="%5)"/>
      <w:lvlJc w:val="left"/>
      <w:pPr>
        <w:ind w:left="2100" w:hanging="420"/>
      </w:pPr>
      <w:rPr>
        <w:rFonts w:hint="default" w:cs="Times New Roman"/>
      </w:rPr>
    </w:lvl>
    <w:lvl w:ilvl="5" w:tentative="0">
      <w:start w:val="1"/>
      <w:numFmt w:val="lowerRoman"/>
      <w:lvlText w:val="%6."/>
      <w:lvlJc w:val="right"/>
      <w:pPr>
        <w:ind w:left="2520" w:hanging="420"/>
      </w:pPr>
      <w:rPr>
        <w:rFonts w:hint="default" w:cs="Times New Roman"/>
      </w:rPr>
    </w:lvl>
    <w:lvl w:ilvl="6" w:tentative="0">
      <w:start w:val="1"/>
      <w:numFmt w:val="decimal"/>
      <w:lvlText w:val="%7."/>
      <w:lvlJc w:val="left"/>
      <w:pPr>
        <w:ind w:left="2940" w:hanging="420"/>
      </w:pPr>
      <w:rPr>
        <w:rFonts w:hint="default" w:cs="Times New Roman"/>
      </w:rPr>
    </w:lvl>
    <w:lvl w:ilvl="7" w:tentative="0">
      <w:start w:val="1"/>
      <w:numFmt w:val="lowerLetter"/>
      <w:lvlText w:val="%8)"/>
      <w:lvlJc w:val="left"/>
      <w:pPr>
        <w:ind w:left="3360" w:hanging="420"/>
      </w:pPr>
      <w:rPr>
        <w:rFonts w:hint="default" w:cs="Times New Roman"/>
      </w:rPr>
    </w:lvl>
    <w:lvl w:ilvl="8" w:tentative="0">
      <w:start w:val="1"/>
      <w:numFmt w:val="lowerRoman"/>
      <w:lvlText w:val="%9."/>
      <w:lvlJc w:val="right"/>
      <w:pPr>
        <w:ind w:left="3780" w:hanging="420"/>
      </w:pPr>
      <w:rPr>
        <w:rFonts w:hint="default" w:cs="Times New Roman"/>
      </w:rPr>
    </w:lvl>
  </w:abstractNum>
  <w:num w:numId="1">
    <w:abstractNumId w:val="4"/>
  </w:num>
  <w:num w:numId="2">
    <w:abstractNumId w:val="0"/>
  </w:num>
  <w:num w:numId="3">
    <w:abstractNumId w:val="5"/>
  </w:num>
  <w:num w:numId="4">
    <w:abstractNumId w:val="1"/>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2YxMTcxYWY0NzdhNzczZWE3YWVlZTNkZmNiZjQ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F70"/>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3E5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4959"/>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1B2"/>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35CE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DF5"/>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313"/>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AFF"/>
    <w:rsid w:val="00847B0F"/>
    <w:rsid w:val="00852994"/>
    <w:rsid w:val="00873D89"/>
    <w:rsid w:val="00876659"/>
    <w:rsid w:val="00876677"/>
    <w:rsid w:val="0087734C"/>
    <w:rsid w:val="00882141"/>
    <w:rsid w:val="00887E3B"/>
    <w:rsid w:val="008922A8"/>
    <w:rsid w:val="008953F8"/>
    <w:rsid w:val="00895728"/>
    <w:rsid w:val="00895BD5"/>
    <w:rsid w:val="0089742B"/>
    <w:rsid w:val="008A16C4"/>
    <w:rsid w:val="008A4883"/>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77B14"/>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87C1F"/>
    <w:rsid w:val="00A9176A"/>
    <w:rsid w:val="00A91CA2"/>
    <w:rsid w:val="00A92FB8"/>
    <w:rsid w:val="00A948F1"/>
    <w:rsid w:val="00AA1D7D"/>
    <w:rsid w:val="00AA7525"/>
    <w:rsid w:val="00AB0EA9"/>
    <w:rsid w:val="00AB139D"/>
    <w:rsid w:val="00AB2C46"/>
    <w:rsid w:val="00AB3904"/>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0A04"/>
    <w:rsid w:val="00B1406E"/>
    <w:rsid w:val="00B22838"/>
    <w:rsid w:val="00B27D52"/>
    <w:rsid w:val="00B32BC1"/>
    <w:rsid w:val="00B33E95"/>
    <w:rsid w:val="00B34EE1"/>
    <w:rsid w:val="00B35B5E"/>
    <w:rsid w:val="00B361F2"/>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1E6B"/>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6920"/>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994"/>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6633"/>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4260"/>
    <w:rsid w:val="00E772DB"/>
    <w:rsid w:val="00E84814"/>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C7B2B"/>
    <w:rsid w:val="00ED15FA"/>
    <w:rsid w:val="00ED1E00"/>
    <w:rsid w:val="00ED3BD8"/>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2C1C"/>
    <w:rsid w:val="00FE348D"/>
    <w:rsid w:val="00FE51C8"/>
    <w:rsid w:val="00FE53B6"/>
    <w:rsid w:val="00FE72A6"/>
    <w:rsid w:val="00FF0ABF"/>
    <w:rsid w:val="00FF0DA7"/>
    <w:rsid w:val="00FF44E0"/>
    <w:rsid w:val="00FF4CB6"/>
    <w:rsid w:val="00FF5834"/>
    <w:rsid w:val="00FF6C72"/>
    <w:rsid w:val="010F1ED6"/>
    <w:rsid w:val="010F3B4F"/>
    <w:rsid w:val="01102F32"/>
    <w:rsid w:val="011D4A64"/>
    <w:rsid w:val="012F5F9F"/>
    <w:rsid w:val="018502B5"/>
    <w:rsid w:val="01B5564B"/>
    <w:rsid w:val="01E02A9D"/>
    <w:rsid w:val="01E50D53"/>
    <w:rsid w:val="0214602E"/>
    <w:rsid w:val="02355837"/>
    <w:rsid w:val="026E4052"/>
    <w:rsid w:val="026E6F9B"/>
    <w:rsid w:val="02816CCE"/>
    <w:rsid w:val="029F0F02"/>
    <w:rsid w:val="02B26E88"/>
    <w:rsid w:val="02B726F0"/>
    <w:rsid w:val="02FF5E45"/>
    <w:rsid w:val="03100052"/>
    <w:rsid w:val="03125B78"/>
    <w:rsid w:val="0319731C"/>
    <w:rsid w:val="032558AB"/>
    <w:rsid w:val="032B1647"/>
    <w:rsid w:val="03367AB9"/>
    <w:rsid w:val="0337738D"/>
    <w:rsid w:val="03486B27"/>
    <w:rsid w:val="035166A0"/>
    <w:rsid w:val="03522419"/>
    <w:rsid w:val="035E0DBD"/>
    <w:rsid w:val="038A570F"/>
    <w:rsid w:val="03CF3A69"/>
    <w:rsid w:val="03E05C76"/>
    <w:rsid w:val="03E77005"/>
    <w:rsid w:val="04096F7B"/>
    <w:rsid w:val="040A094E"/>
    <w:rsid w:val="040A2CF3"/>
    <w:rsid w:val="040A684F"/>
    <w:rsid w:val="041476CE"/>
    <w:rsid w:val="04192E67"/>
    <w:rsid w:val="04447FB3"/>
    <w:rsid w:val="0449381C"/>
    <w:rsid w:val="04506958"/>
    <w:rsid w:val="04642123"/>
    <w:rsid w:val="04706FFA"/>
    <w:rsid w:val="04830DD3"/>
    <w:rsid w:val="04A96068"/>
    <w:rsid w:val="04B40AA7"/>
    <w:rsid w:val="04D071EB"/>
    <w:rsid w:val="04DB510E"/>
    <w:rsid w:val="04E36C96"/>
    <w:rsid w:val="05045994"/>
    <w:rsid w:val="05087233"/>
    <w:rsid w:val="050F1CF0"/>
    <w:rsid w:val="05241B93"/>
    <w:rsid w:val="052A244B"/>
    <w:rsid w:val="05360CCD"/>
    <w:rsid w:val="054162A1"/>
    <w:rsid w:val="05490FE9"/>
    <w:rsid w:val="05571F68"/>
    <w:rsid w:val="056800F4"/>
    <w:rsid w:val="056F201D"/>
    <w:rsid w:val="057228FE"/>
    <w:rsid w:val="05792ED8"/>
    <w:rsid w:val="05B664D4"/>
    <w:rsid w:val="05C06CFC"/>
    <w:rsid w:val="05D17A96"/>
    <w:rsid w:val="05E27A84"/>
    <w:rsid w:val="06304C93"/>
    <w:rsid w:val="063A78C0"/>
    <w:rsid w:val="06447952"/>
    <w:rsid w:val="065714D5"/>
    <w:rsid w:val="06604E4C"/>
    <w:rsid w:val="06620BC5"/>
    <w:rsid w:val="068A2439"/>
    <w:rsid w:val="069915C7"/>
    <w:rsid w:val="06AC6EC4"/>
    <w:rsid w:val="06EC048E"/>
    <w:rsid w:val="07076C01"/>
    <w:rsid w:val="071C12AC"/>
    <w:rsid w:val="072B0FB7"/>
    <w:rsid w:val="074E07B0"/>
    <w:rsid w:val="074E231E"/>
    <w:rsid w:val="07675A5B"/>
    <w:rsid w:val="076E3C75"/>
    <w:rsid w:val="078968DF"/>
    <w:rsid w:val="078D7EC3"/>
    <w:rsid w:val="07A934B3"/>
    <w:rsid w:val="07B54D24"/>
    <w:rsid w:val="07CA4C73"/>
    <w:rsid w:val="07EC6998"/>
    <w:rsid w:val="08002443"/>
    <w:rsid w:val="08017F69"/>
    <w:rsid w:val="080A3F49"/>
    <w:rsid w:val="08183C31"/>
    <w:rsid w:val="082D6FB0"/>
    <w:rsid w:val="0834033F"/>
    <w:rsid w:val="08365E65"/>
    <w:rsid w:val="0848170D"/>
    <w:rsid w:val="084A7B62"/>
    <w:rsid w:val="084C591C"/>
    <w:rsid w:val="086329D2"/>
    <w:rsid w:val="08752E31"/>
    <w:rsid w:val="089C002C"/>
    <w:rsid w:val="089F1C5C"/>
    <w:rsid w:val="08B15E54"/>
    <w:rsid w:val="08B337F4"/>
    <w:rsid w:val="08BD20E2"/>
    <w:rsid w:val="08DF64FD"/>
    <w:rsid w:val="09102B5A"/>
    <w:rsid w:val="091F64A7"/>
    <w:rsid w:val="094E71DE"/>
    <w:rsid w:val="09500798"/>
    <w:rsid w:val="0980799C"/>
    <w:rsid w:val="098552F6"/>
    <w:rsid w:val="098826F0"/>
    <w:rsid w:val="098A6B88"/>
    <w:rsid w:val="099D3A04"/>
    <w:rsid w:val="09BD2026"/>
    <w:rsid w:val="09E3201C"/>
    <w:rsid w:val="0A026946"/>
    <w:rsid w:val="0A0F6376"/>
    <w:rsid w:val="0A1B2CDB"/>
    <w:rsid w:val="0A353CEA"/>
    <w:rsid w:val="0A3B1117"/>
    <w:rsid w:val="0A3F5921"/>
    <w:rsid w:val="0A430D0D"/>
    <w:rsid w:val="0A6A18DB"/>
    <w:rsid w:val="0A6C649F"/>
    <w:rsid w:val="0A71587A"/>
    <w:rsid w:val="0AD57BB7"/>
    <w:rsid w:val="0AEF3828"/>
    <w:rsid w:val="0B0E131B"/>
    <w:rsid w:val="0B1539A9"/>
    <w:rsid w:val="0B1A49D7"/>
    <w:rsid w:val="0B1F7084"/>
    <w:rsid w:val="0B224DC6"/>
    <w:rsid w:val="0B6F49AF"/>
    <w:rsid w:val="0B96019A"/>
    <w:rsid w:val="0B9C1F49"/>
    <w:rsid w:val="0BBB665B"/>
    <w:rsid w:val="0BC87582"/>
    <w:rsid w:val="0BFF2A12"/>
    <w:rsid w:val="0C1B4058"/>
    <w:rsid w:val="0C1D0E18"/>
    <w:rsid w:val="0C2110D0"/>
    <w:rsid w:val="0C272694"/>
    <w:rsid w:val="0C2B3807"/>
    <w:rsid w:val="0C4B07B3"/>
    <w:rsid w:val="0C8B236E"/>
    <w:rsid w:val="0CB7664E"/>
    <w:rsid w:val="0CD143AE"/>
    <w:rsid w:val="0D15073F"/>
    <w:rsid w:val="0D444B80"/>
    <w:rsid w:val="0D6F4BBB"/>
    <w:rsid w:val="0D814026"/>
    <w:rsid w:val="0D857E41"/>
    <w:rsid w:val="0D9C2C0E"/>
    <w:rsid w:val="0DA4444E"/>
    <w:rsid w:val="0DC07702"/>
    <w:rsid w:val="0DD95C10"/>
    <w:rsid w:val="0E033B6C"/>
    <w:rsid w:val="0E060087"/>
    <w:rsid w:val="0E0F4284"/>
    <w:rsid w:val="0E1053AA"/>
    <w:rsid w:val="0E56100F"/>
    <w:rsid w:val="0E6361CE"/>
    <w:rsid w:val="0E644B12"/>
    <w:rsid w:val="0E680D42"/>
    <w:rsid w:val="0E770F85"/>
    <w:rsid w:val="0E816EC5"/>
    <w:rsid w:val="0E9A4882"/>
    <w:rsid w:val="0EAA425E"/>
    <w:rsid w:val="0EBB519A"/>
    <w:rsid w:val="0EC727EE"/>
    <w:rsid w:val="0EEA6FC1"/>
    <w:rsid w:val="0F2904D1"/>
    <w:rsid w:val="0F2A424A"/>
    <w:rsid w:val="0F5E3AD6"/>
    <w:rsid w:val="0F670FFA"/>
    <w:rsid w:val="0F753717"/>
    <w:rsid w:val="0F76123D"/>
    <w:rsid w:val="0F954485"/>
    <w:rsid w:val="0FBF344F"/>
    <w:rsid w:val="0FD22917"/>
    <w:rsid w:val="0FEB1C2B"/>
    <w:rsid w:val="10150EEE"/>
    <w:rsid w:val="10182B28"/>
    <w:rsid w:val="101D790A"/>
    <w:rsid w:val="102B64CB"/>
    <w:rsid w:val="10505F32"/>
    <w:rsid w:val="105A27E6"/>
    <w:rsid w:val="106602BF"/>
    <w:rsid w:val="10727C56"/>
    <w:rsid w:val="107C2883"/>
    <w:rsid w:val="10A81616"/>
    <w:rsid w:val="10E741A0"/>
    <w:rsid w:val="10EA1EE2"/>
    <w:rsid w:val="10F16DCD"/>
    <w:rsid w:val="10F91159"/>
    <w:rsid w:val="11056D1C"/>
    <w:rsid w:val="114C66F9"/>
    <w:rsid w:val="119B0711"/>
    <w:rsid w:val="11A402E3"/>
    <w:rsid w:val="11D30BC8"/>
    <w:rsid w:val="12197477"/>
    <w:rsid w:val="12211934"/>
    <w:rsid w:val="122D2087"/>
    <w:rsid w:val="12465CFA"/>
    <w:rsid w:val="12491A36"/>
    <w:rsid w:val="12543AB7"/>
    <w:rsid w:val="12893054"/>
    <w:rsid w:val="128D6FC9"/>
    <w:rsid w:val="12B74046"/>
    <w:rsid w:val="12B85451"/>
    <w:rsid w:val="12D544CC"/>
    <w:rsid w:val="12E0359D"/>
    <w:rsid w:val="12E12E71"/>
    <w:rsid w:val="12E666D9"/>
    <w:rsid w:val="13070B2A"/>
    <w:rsid w:val="133128D5"/>
    <w:rsid w:val="1339201A"/>
    <w:rsid w:val="13587E2C"/>
    <w:rsid w:val="13675A6C"/>
    <w:rsid w:val="136A013D"/>
    <w:rsid w:val="13750189"/>
    <w:rsid w:val="137A6E8E"/>
    <w:rsid w:val="138562A3"/>
    <w:rsid w:val="13AC347F"/>
    <w:rsid w:val="13B27223"/>
    <w:rsid w:val="13B50586"/>
    <w:rsid w:val="13DF5603"/>
    <w:rsid w:val="140B464A"/>
    <w:rsid w:val="140D6614"/>
    <w:rsid w:val="141D437D"/>
    <w:rsid w:val="145E3CF0"/>
    <w:rsid w:val="1466407E"/>
    <w:rsid w:val="146855F8"/>
    <w:rsid w:val="14805C1B"/>
    <w:rsid w:val="14834E28"/>
    <w:rsid w:val="148E7D65"/>
    <w:rsid w:val="14957497"/>
    <w:rsid w:val="14ED3D4F"/>
    <w:rsid w:val="151D4243"/>
    <w:rsid w:val="15231BF9"/>
    <w:rsid w:val="15340AF3"/>
    <w:rsid w:val="154047C7"/>
    <w:rsid w:val="15424EBD"/>
    <w:rsid w:val="15724254"/>
    <w:rsid w:val="158A3C94"/>
    <w:rsid w:val="158A3D24"/>
    <w:rsid w:val="159266A5"/>
    <w:rsid w:val="15950B80"/>
    <w:rsid w:val="15AC4BCD"/>
    <w:rsid w:val="15DA1B6E"/>
    <w:rsid w:val="15F96E46"/>
    <w:rsid w:val="16104199"/>
    <w:rsid w:val="161672D6"/>
    <w:rsid w:val="16184DFC"/>
    <w:rsid w:val="1619387E"/>
    <w:rsid w:val="163D40A6"/>
    <w:rsid w:val="164D3D9D"/>
    <w:rsid w:val="16732913"/>
    <w:rsid w:val="167E55A7"/>
    <w:rsid w:val="167E73DC"/>
    <w:rsid w:val="16D36F75"/>
    <w:rsid w:val="16DC407B"/>
    <w:rsid w:val="174B2975"/>
    <w:rsid w:val="174B2FAF"/>
    <w:rsid w:val="176127D3"/>
    <w:rsid w:val="17622036"/>
    <w:rsid w:val="1776002C"/>
    <w:rsid w:val="178A3AD7"/>
    <w:rsid w:val="17982698"/>
    <w:rsid w:val="179F5278"/>
    <w:rsid w:val="17AE3C6A"/>
    <w:rsid w:val="17B737AF"/>
    <w:rsid w:val="17B80644"/>
    <w:rsid w:val="17E46C81"/>
    <w:rsid w:val="17FF44C5"/>
    <w:rsid w:val="18003D99"/>
    <w:rsid w:val="18095344"/>
    <w:rsid w:val="186E33F9"/>
    <w:rsid w:val="18983BDA"/>
    <w:rsid w:val="18C24EA7"/>
    <w:rsid w:val="1912647A"/>
    <w:rsid w:val="19157D18"/>
    <w:rsid w:val="191C4C03"/>
    <w:rsid w:val="191C4EEE"/>
    <w:rsid w:val="19237EB1"/>
    <w:rsid w:val="19467ED2"/>
    <w:rsid w:val="194A5C14"/>
    <w:rsid w:val="196640D0"/>
    <w:rsid w:val="199944A6"/>
    <w:rsid w:val="19A90B8D"/>
    <w:rsid w:val="19B906A4"/>
    <w:rsid w:val="19D61256"/>
    <w:rsid w:val="1A147FD0"/>
    <w:rsid w:val="1A152E4E"/>
    <w:rsid w:val="1A2C2418"/>
    <w:rsid w:val="1A3B68AA"/>
    <w:rsid w:val="1A3E1C1E"/>
    <w:rsid w:val="1A642D06"/>
    <w:rsid w:val="1AB5530F"/>
    <w:rsid w:val="1ABD3333"/>
    <w:rsid w:val="1ACD710D"/>
    <w:rsid w:val="1AE6196C"/>
    <w:rsid w:val="1AED4B38"/>
    <w:rsid w:val="1AFA0F74"/>
    <w:rsid w:val="1B1F3BFD"/>
    <w:rsid w:val="1B4072CF"/>
    <w:rsid w:val="1B416BA3"/>
    <w:rsid w:val="1B522B5E"/>
    <w:rsid w:val="1B5763C6"/>
    <w:rsid w:val="1BA710FC"/>
    <w:rsid w:val="1BAF6202"/>
    <w:rsid w:val="1BC17CE4"/>
    <w:rsid w:val="1BF12377"/>
    <w:rsid w:val="1BF6798D"/>
    <w:rsid w:val="1C067E96"/>
    <w:rsid w:val="1C141836"/>
    <w:rsid w:val="1C273FEB"/>
    <w:rsid w:val="1C297D63"/>
    <w:rsid w:val="1C606DBD"/>
    <w:rsid w:val="1CD75A11"/>
    <w:rsid w:val="1CEB5018"/>
    <w:rsid w:val="1CEE4B08"/>
    <w:rsid w:val="1D3577F5"/>
    <w:rsid w:val="1D3764AF"/>
    <w:rsid w:val="1D385D84"/>
    <w:rsid w:val="1D525097"/>
    <w:rsid w:val="1D6D1ED1"/>
    <w:rsid w:val="1D743260"/>
    <w:rsid w:val="1D8334A3"/>
    <w:rsid w:val="1D927B8A"/>
    <w:rsid w:val="1DA33B45"/>
    <w:rsid w:val="1DBB6AE0"/>
    <w:rsid w:val="1DC51D0D"/>
    <w:rsid w:val="1DD12460"/>
    <w:rsid w:val="1DE4439A"/>
    <w:rsid w:val="1E0F4D36"/>
    <w:rsid w:val="1E230902"/>
    <w:rsid w:val="1E5170FD"/>
    <w:rsid w:val="1E6B6A14"/>
    <w:rsid w:val="1E6C2189"/>
    <w:rsid w:val="1E8F1157"/>
    <w:rsid w:val="1E9B2A6E"/>
    <w:rsid w:val="1EA41923"/>
    <w:rsid w:val="1EC41FC5"/>
    <w:rsid w:val="1ED0096A"/>
    <w:rsid w:val="1EE6018D"/>
    <w:rsid w:val="1EF7781E"/>
    <w:rsid w:val="1F092214"/>
    <w:rsid w:val="1F2A6360"/>
    <w:rsid w:val="1F332CA6"/>
    <w:rsid w:val="1F680BA2"/>
    <w:rsid w:val="1F721A21"/>
    <w:rsid w:val="1F737547"/>
    <w:rsid w:val="1F980D5B"/>
    <w:rsid w:val="1FA15E62"/>
    <w:rsid w:val="1FD47FE6"/>
    <w:rsid w:val="1FDC333E"/>
    <w:rsid w:val="1FF708C8"/>
    <w:rsid w:val="20052895"/>
    <w:rsid w:val="20550D9A"/>
    <w:rsid w:val="2059673D"/>
    <w:rsid w:val="20653333"/>
    <w:rsid w:val="206F41B2"/>
    <w:rsid w:val="2088473D"/>
    <w:rsid w:val="209B4FA7"/>
    <w:rsid w:val="20AC0F62"/>
    <w:rsid w:val="20BB11A5"/>
    <w:rsid w:val="210107EB"/>
    <w:rsid w:val="21091F11"/>
    <w:rsid w:val="210952AE"/>
    <w:rsid w:val="21207D7A"/>
    <w:rsid w:val="213827F6"/>
    <w:rsid w:val="214D44F3"/>
    <w:rsid w:val="215018EE"/>
    <w:rsid w:val="21702AE9"/>
    <w:rsid w:val="21714B53"/>
    <w:rsid w:val="21772DE2"/>
    <w:rsid w:val="217B0422"/>
    <w:rsid w:val="218E2416"/>
    <w:rsid w:val="21A8172A"/>
    <w:rsid w:val="21D93EE2"/>
    <w:rsid w:val="21DF2C72"/>
    <w:rsid w:val="21F14776"/>
    <w:rsid w:val="221F59DD"/>
    <w:rsid w:val="22251665"/>
    <w:rsid w:val="222A213F"/>
    <w:rsid w:val="224C47AB"/>
    <w:rsid w:val="225A0C09"/>
    <w:rsid w:val="226915FE"/>
    <w:rsid w:val="22853819"/>
    <w:rsid w:val="229D1011"/>
    <w:rsid w:val="22E14C32"/>
    <w:rsid w:val="23333275"/>
    <w:rsid w:val="235A4CA6"/>
    <w:rsid w:val="23671171"/>
    <w:rsid w:val="23981BEB"/>
    <w:rsid w:val="239A1546"/>
    <w:rsid w:val="239A7798"/>
    <w:rsid w:val="23B60A53"/>
    <w:rsid w:val="23BA3996"/>
    <w:rsid w:val="23ED1676"/>
    <w:rsid w:val="23F52C20"/>
    <w:rsid w:val="23FE1AD5"/>
    <w:rsid w:val="24170DE9"/>
    <w:rsid w:val="241C01AD"/>
    <w:rsid w:val="24284DA4"/>
    <w:rsid w:val="246A16BA"/>
    <w:rsid w:val="24860DA2"/>
    <w:rsid w:val="24AF1021"/>
    <w:rsid w:val="24B97929"/>
    <w:rsid w:val="24EC5DD1"/>
    <w:rsid w:val="2500362B"/>
    <w:rsid w:val="250255F5"/>
    <w:rsid w:val="250655AA"/>
    <w:rsid w:val="2510510F"/>
    <w:rsid w:val="25113A8A"/>
    <w:rsid w:val="25131B32"/>
    <w:rsid w:val="2520252D"/>
    <w:rsid w:val="25284930"/>
    <w:rsid w:val="252A1332"/>
    <w:rsid w:val="252C08C4"/>
    <w:rsid w:val="252E1BAE"/>
    <w:rsid w:val="253432D4"/>
    <w:rsid w:val="253B5F7F"/>
    <w:rsid w:val="257A518B"/>
    <w:rsid w:val="257C53A7"/>
    <w:rsid w:val="259A75DB"/>
    <w:rsid w:val="25D302BF"/>
    <w:rsid w:val="25DC4098"/>
    <w:rsid w:val="25DC7BF4"/>
    <w:rsid w:val="25F211C5"/>
    <w:rsid w:val="25F3072A"/>
    <w:rsid w:val="25FC0296"/>
    <w:rsid w:val="260929B3"/>
    <w:rsid w:val="26163BC1"/>
    <w:rsid w:val="26192BF6"/>
    <w:rsid w:val="26633E71"/>
    <w:rsid w:val="26681488"/>
    <w:rsid w:val="267F67D1"/>
    <w:rsid w:val="26BE379D"/>
    <w:rsid w:val="26E4179F"/>
    <w:rsid w:val="26E74AA2"/>
    <w:rsid w:val="26F62F37"/>
    <w:rsid w:val="26F8591E"/>
    <w:rsid w:val="27076EF2"/>
    <w:rsid w:val="27321A96"/>
    <w:rsid w:val="273A7AA7"/>
    <w:rsid w:val="27513F47"/>
    <w:rsid w:val="27595274"/>
    <w:rsid w:val="27734537"/>
    <w:rsid w:val="27772E4C"/>
    <w:rsid w:val="277F117F"/>
    <w:rsid w:val="27895B59"/>
    <w:rsid w:val="27A26C1B"/>
    <w:rsid w:val="27BC7018"/>
    <w:rsid w:val="27D35FBF"/>
    <w:rsid w:val="27D86AE1"/>
    <w:rsid w:val="27DA63B5"/>
    <w:rsid w:val="27E95599"/>
    <w:rsid w:val="280C5191"/>
    <w:rsid w:val="282011E6"/>
    <w:rsid w:val="28481571"/>
    <w:rsid w:val="284D54B9"/>
    <w:rsid w:val="28553C8E"/>
    <w:rsid w:val="285F40CA"/>
    <w:rsid w:val="28643ED1"/>
    <w:rsid w:val="28773C04"/>
    <w:rsid w:val="289C3BD0"/>
    <w:rsid w:val="289C43E6"/>
    <w:rsid w:val="289E73E3"/>
    <w:rsid w:val="28B539A5"/>
    <w:rsid w:val="28C01ECB"/>
    <w:rsid w:val="28DE1ED5"/>
    <w:rsid w:val="28EC3ECC"/>
    <w:rsid w:val="290F6532"/>
    <w:rsid w:val="29117FC5"/>
    <w:rsid w:val="292957C6"/>
    <w:rsid w:val="2935002E"/>
    <w:rsid w:val="2955005F"/>
    <w:rsid w:val="298505A2"/>
    <w:rsid w:val="29883BEF"/>
    <w:rsid w:val="299407E6"/>
    <w:rsid w:val="29BB3091"/>
    <w:rsid w:val="29BF71E3"/>
    <w:rsid w:val="29CA4207"/>
    <w:rsid w:val="29F51284"/>
    <w:rsid w:val="2A110088"/>
    <w:rsid w:val="2A127B63"/>
    <w:rsid w:val="2A1473E4"/>
    <w:rsid w:val="2A1C0F07"/>
    <w:rsid w:val="2A3C5105"/>
    <w:rsid w:val="2A467FFA"/>
    <w:rsid w:val="2A4B17EC"/>
    <w:rsid w:val="2A50295E"/>
    <w:rsid w:val="2A946CEF"/>
    <w:rsid w:val="2AAA4765"/>
    <w:rsid w:val="2AAD7DB1"/>
    <w:rsid w:val="2AC21606"/>
    <w:rsid w:val="2AC661D7"/>
    <w:rsid w:val="2AD67C6B"/>
    <w:rsid w:val="2AEF03B2"/>
    <w:rsid w:val="2AF63C5E"/>
    <w:rsid w:val="2AF7727E"/>
    <w:rsid w:val="2B157DC4"/>
    <w:rsid w:val="2B2D0EF2"/>
    <w:rsid w:val="2B7D3C27"/>
    <w:rsid w:val="2B7E7608"/>
    <w:rsid w:val="2B7F04E9"/>
    <w:rsid w:val="2B840654"/>
    <w:rsid w:val="2BC058C2"/>
    <w:rsid w:val="2BC25ADE"/>
    <w:rsid w:val="2C0B2688"/>
    <w:rsid w:val="2C305555"/>
    <w:rsid w:val="2C465FBF"/>
    <w:rsid w:val="2C680433"/>
    <w:rsid w:val="2C840FE5"/>
    <w:rsid w:val="2C9A21B9"/>
    <w:rsid w:val="2CA451E4"/>
    <w:rsid w:val="2CB573F1"/>
    <w:rsid w:val="2CE20523"/>
    <w:rsid w:val="2CE657FC"/>
    <w:rsid w:val="2D0637A8"/>
    <w:rsid w:val="2D430559"/>
    <w:rsid w:val="2D496D68"/>
    <w:rsid w:val="2D6E1073"/>
    <w:rsid w:val="2D7050C6"/>
    <w:rsid w:val="2D83129D"/>
    <w:rsid w:val="2D8A262B"/>
    <w:rsid w:val="2D93624A"/>
    <w:rsid w:val="2D9C7B4C"/>
    <w:rsid w:val="2DA631BF"/>
    <w:rsid w:val="2DB17BB8"/>
    <w:rsid w:val="2DE12E03"/>
    <w:rsid w:val="2DF52CAD"/>
    <w:rsid w:val="2DFE26D1"/>
    <w:rsid w:val="2E2B796A"/>
    <w:rsid w:val="2E62292E"/>
    <w:rsid w:val="2E6672CB"/>
    <w:rsid w:val="2E786928"/>
    <w:rsid w:val="2E7A48DE"/>
    <w:rsid w:val="2E7D7A9A"/>
    <w:rsid w:val="2E8B665B"/>
    <w:rsid w:val="2E9372BE"/>
    <w:rsid w:val="2EA20B6C"/>
    <w:rsid w:val="2EDC3ED8"/>
    <w:rsid w:val="2F1E03A7"/>
    <w:rsid w:val="2F210D6D"/>
    <w:rsid w:val="2F2D046C"/>
    <w:rsid w:val="2F2D3580"/>
    <w:rsid w:val="2F364819"/>
    <w:rsid w:val="2F427853"/>
    <w:rsid w:val="2F511653"/>
    <w:rsid w:val="2F6351B4"/>
    <w:rsid w:val="2F7E0750"/>
    <w:rsid w:val="2FBE0D5C"/>
    <w:rsid w:val="2FCF199E"/>
    <w:rsid w:val="2FDEB184"/>
    <w:rsid w:val="2FF43D8C"/>
    <w:rsid w:val="302B26C5"/>
    <w:rsid w:val="30483E83"/>
    <w:rsid w:val="304E16EE"/>
    <w:rsid w:val="309B06AC"/>
    <w:rsid w:val="30A63C99"/>
    <w:rsid w:val="30A752A2"/>
    <w:rsid w:val="30AA0E97"/>
    <w:rsid w:val="30B05F05"/>
    <w:rsid w:val="30D065A7"/>
    <w:rsid w:val="30DB3CBC"/>
    <w:rsid w:val="30F003F4"/>
    <w:rsid w:val="30FB50D7"/>
    <w:rsid w:val="311346E6"/>
    <w:rsid w:val="311566B0"/>
    <w:rsid w:val="313905F0"/>
    <w:rsid w:val="313A1394"/>
    <w:rsid w:val="31440D43"/>
    <w:rsid w:val="314B61E0"/>
    <w:rsid w:val="3176095A"/>
    <w:rsid w:val="318B03C9"/>
    <w:rsid w:val="3192385D"/>
    <w:rsid w:val="31A1652F"/>
    <w:rsid w:val="31C83722"/>
    <w:rsid w:val="31CF2E66"/>
    <w:rsid w:val="31E542D4"/>
    <w:rsid w:val="32270449"/>
    <w:rsid w:val="3240775C"/>
    <w:rsid w:val="326F1DF0"/>
    <w:rsid w:val="32B53CA7"/>
    <w:rsid w:val="32D87995"/>
    <w:rsid w:val="32EF6B65"/>
    <w:rsid w:val="32F2679F"/>
    <w:rsid w:val="33016EEC"/>
    <w:rsid w:val="33062754"/>
    <w:rsid w:val="33152997"/>
    <w:rsid w:val="331A1CBA"/>
    <w:rsid w:val="331A61FF"/>
    <w:rsid w:val="331C7D8A"/>
    <w:rsid w:val="33244988"/>
    <w:rsid w:val="3342442A"/>
    <w:rsid w:val="33461C55"/>
    <w:rsid w:val="33482D6D"/>
    <w:rsid w:val="334E4CD8"/>
    <w:rsid w:val="33530283"/>
    <w:rsid w:val="33550FE6"/>
    <w:rsid w:val="337551E4"/>
    <w:rsid w:val="33BB353F"/>
    <w:rsid w:val="33F00D0E"/>
    <w:rsid w:val="33F46A50"/>
    <w:rsid w:val="33FE78CF"/>
    <w:rsid w:val="342F5CDB"/>
    <w:rsid w:val="343C0775"/>
    <w:rsid w:val="34AA76A9"/>
    <w:rsid w:val="34BE0057"/>
    <w:rsid w:val="34C44C99"/>
    <w:rsid w:val="34DC02AC"/>
    <w:rsid w:val="35411821"/>
    <w:rsid w:val="35633E8E"/>
    <w:rsid w:val="35634259"/>
    <w:rsid w:val="35677650"/>
    <w:rsid w:val="356C50EC"/>
    <w:rsid w:val="357A2F85"/>
    <w:rsid w:val="357D65D2"/>
    <w:rsid w:val="358F4C83"/>
    <w:rsid w:val="35F04FF6"/>
    <w:rsid w:val="361108CD"/>
    <w:rsid w:val="361A099F"/>
    <w:rsid w:val="361A2DEE"/>
    <w:rsid w:val="36687858"/>
    <w:rsid w:val="36A53C9E"/>
    <w:rsid w:val="36AA789A"/>
    <w:rsid w:val="36D36DF1"/>
    <w:rsid w:val="36E52680"/>
    <w:rsid w:val="36EC7EB3"/>
    <w:rsid w:val="3700166C"/>
    <w:rsid w:val="37076A9B"/>
    <w:rsid w:val="371D1CBE"/>
    <w:rsid w:val="3727617F"/>
    <w:rsid w:val="372C4753"/>
    <w:rsid w:val="37384EA6"/>
    <w:rsid w:val="375969FE"/>
    <w:rsid w:val="375F2433"/>
    <w:rsid w:val="376E6B1A"/>
    <w:rsid w:val="37735EDE"/>
    <w:rsid w:val="3784633D"/>
    <w:rsid w:val="37926F3A"/>
    <w:rsid w:val="37A4078E"/>
    <w:rsid w:val="37B7226F"/>
    <w:rsid w:val="37CA2739"/>
    <w:rsid w:val="37D04BCE"/>
    <w:rsid w:val="37F7266B"/>
    <w:rsid w:val="381551E7"/>
    <w:rsid w:val="38213B8C"/>
    <w:rsid w:val="3837515E"/>
    <w:rsid w:val="38402882"/>
    <w:rsid w:val="384D672F"/>
    <w:rsid w:val="38651CCB"/>
    <w:rsid w:val="38694EE9"/>
    <w:rsid w:val="387C7014"/>
    <w:rsid w:val="388A7983"/>
    <w:rsid w:val="38A04AB1"/>
    <w:rsid w:val="38C70290"/>
    <w:rsid w:val="38CD4F7A"/>
    <w:rsid w:val="38DE2FBA"/>
    <w:rsid w:val="39072D82"/>
    <w:rsid w:val="391159AF"/>
    <w:rsid w:val="39333B77"/>
    <w:rsid w:val="393873DF"/>
    <w:rsid w:val="39657AA9"/>
    <w:rsid w:val="39665CFB"/>
    <w:rsid w:val="39AC56D7"/>
    <w:rsid w:val="39E66E3B"/>
    <w:rsid w:val="39F23A32"/>
    <w:rsid w:val="39F72DF7"/>
    <w:rsid w:val="3A006968"/>
    <w:rsid w:val="3A127963"/>
    <w:rsid w:val="3A2D05C6"/>
    <w:rsid w:val="3A3C2EFF"/>
    <w:rsid w:val="3A3E4582"/>
    <w:rsid w:val="3A3E4831"/>
    <w:rsid w:val="3A554B9C"/>
    <w:rsid w:val="3A9230C7"/>
    <w:rsid w:val="3AA0348E"/>
    <w:rsid w:val="3AD2116E"/>
    <w:rsid w:val="3AED7D56"/>
    <w:rsid w:val="3AEF7F72"/>
    <w:rsid w:val="3B111C96"/>
    <w:rsid w:val="3B133C60"/>
    <w:rsid w:val="3B2714BA"/>
    <w:rsid w:val="3B365CC9"/>
    <w:rsid w:val="3B3E6803"/>
    <w:rsid w:val="3B583D69"/>
    <w:rsid w:val="3B7731EE"/>
    <w:rsid w:val="3B9A7B88"/>
    <w:rsid w:val="3B9C1EA7"/>
    <w:rsid w:val="3BA64AD4"/>
    <w:rsid w:val="3BAC19BF"/>
    <w:rsid w:val="3BC114FF"/>
    <w:rsid w:val="3BC1546A"/>
    <w:rsid w:val="3BC3291F"/>
    <w:rsid w:val="3BCB0097"/>
    <w:rsid w:val="3C2660C6"/>
    <w:rsid w:val="3C2B6D87"/>
    <w:rsid w:val="3C2D2A7E"/>
    <w:rsid w:val="3C4B11D8"/>
    <w:rsid w:val="3C544530"/>
    <w:rsid w:val="3C6221B7"/>
    <w:rsid w:val="3C644CAB"/>
    <w:rsid w:val="3C925059"/>
    <w:rsid w:val="3CB20103"/>
    <w:rsid w:val="3D033860"/>
    <w:rsid w:val="3D14773A"/>
    <w:rsid w:val="3D2A34E3"/>
    <w:rsid w:val="3D2C7AC8"/>
    <w:rsid w:val="3D4445A5"/>
    <w:rsid w:val="3D6469F5"/>
    <w:rsid w:val="3D855D12"/>
    <w:rsid w:val="3D8B42FF"/>
    <w:rsid w:val="3D8C02DD"/>
    <w:rsid w:val="3D8C7CFA"/>
    <w:rsid w:val="3D9A41C5"/>
    <w:rsid w:val="3DA07301"/>
    <w:rsid w:val="3DC20089"/>
    <w:rsid w:val="3DF31B27"/>
    <w:rsid w:val="3DF36A6E"/>
    <w:rsid w:val="3E302100"/>
    <w:rsid w:val="3E5D7C51"/>
    <w:rsid w:val="3E601CBE"/>
    <w:rsid w:val="3E860BED"/>
    <w:rsid w:val="3EA00335"/>
    <w:rsid w:val="3EE80F60"/>
    <w:rsid w:val="3EE85404"/>
    <w:rsid w:val="3F00274D"/>
    <w:rsid w:val="3F1138E1"/>
    <w:rsid w:val="3F1E0E25"/>
    <w:rsid w:val="3F276EEF"/>
    <w:rsid w:val="3F4C14EF"/>
    <w:rsid w:val="3F516B05"/>
    <w:rsid w:val="3F792F1E"/>
    <w:rsid w:val="3F7D5B4C"/>
    <w:rsid w:val="3F87243F"/>
    <w:rsid w:val="3F953563"/>
    <w:rsid w:val="3FAE21A9"/>
    <w:rsid w:val="3FDF6807"/>
    <w:rsid w:val="3FE77469"/>
    <w:rsid w:val="3FEF631E"/>
    <w:rsid w:val="40013E1D"/>
    <w:rsid w:val="403F2E01"/>
    <w:rsid w:val="40512B35"/>
    <w:rsid w:val="405D772B"/>
    <w:rsid w:val="406960D0"/>
    <w:rsid w:val="4079782F"/>
    <w:rsid w:val="407E7DCE"/>
    <w:rsid w:val="40824826"/>
    <w:rsid w:val="408F1FDB"/>
    <w:rsid w:val="409A44DC"/>
    <w:rsid w:val="409C4B0E"/>
    <w:rsid w:val="409D7865"/>
    <w:rsid w:val="40AB0497"/>
    <w:rsid w:val="40CD48B1"/>
    <w:rsid w:val="40D21EC7"/>
    <w:rsid w:val="40DA4E83"/>
    <w:rsid w:val="40E63923"/>
    <w:rsid w:val="410A340F"/>
    <w:rsid w:val="4114603C"/>
    <w:rsid w:val="41625231"/>
    <w:rsid w:val="41742F7F"/>
    <w:rsid w:val="41782A6F"/>
    <w:rsid w:val="418E2292"/>
    <w:rsid w:val="41962EF5"/>
    <w:rsid w:val="41974966"/>
    <w:rsid w:val="41C563B6"/>
    <w:rsid w:val="41CE69E6"/>
    <w:rsid w:val="41F0527A"/>
    <w:rsid w:val="41FA16D6"/>
    <w:rsid w:val="42254279"/>
    <w:rsid w:val="42341853"/>
    <w:rsid w:val="424741EF"/>
    <w:rsid w:val="42530DE6"/>
    <w:rsid w:val="42786A9F"/>
    <w:rsid w:val="427B20EB"/>
    <w:rsid w:val="4283791D"/>
    <w:rsid w:val="428B4A24"/>
    <w:rsid w:val="428C28BD"/>
    <w:rsid w:val="42902DFD"/>
    <w:rsid w:val="429F5DD9"/>
    <w:rsid w:val="42B15B0D"/>
    <w:rsid w:val="42B443F4"/>
    <w:rsid w:val="42B83327"/>
    <w:rsid w:val="42B850ED"/>
    <w:rsid w:val="42BC2FBE"/>
    <w:rsid w:val="42BD2703"/>
    <w:rsid w:val="42CF2B62"/>
    <w:rsid w:val="42D716E6"/>
    <w:rsid w:val="42F43FD4"/>
    <w:rsid w:val="42FC5A4F"/>
    <w:rsid w:val="42FE0D52"/>
    <w:rsid w:val="4326474D"/>
    <w:rsid w:val="4339116D"/>
    <w:rsid w:val="4348021F"/>
    <w:rsid w:val="437454B8"/>
    <w:rsid w:val="43780DD9"/>
    <w:rsid w:val="4392593E"/>
    <w:rsid w:val="439B7F19"/>
    <w:rsid w:val="43A91E5B"/>
    <w:rsid w:val="43C31F9B"/>
    <w:rsid w:val="43CE2E1A"/>
    <w:rsid w:val="43FB7987"/>
    <w:rsid w:val="441B1DD7"/>
    <w:rsid w:val="44904320"/>
    <w:rsid w:val="44A616A1"/>
    <w:rsid w:val="44BC3308"/>
    <w:rsid w:val="44BD4C3D"/>
    <w:rsid w:val="44C24001"/>
    <w:rsid w:val="44C668B8"/>
    <w:rsid w:val="44FF0DB1"/>
    <w:rsid w:val="453F38A4"/>
    <w:rsid w:val="4545710C"/>
    <w:rsid w:val="457C68A6"/>
    <w:rsid w:val="45824D6D"/>
    <w:rsid w:val="458952EB"/>
    <w:rsid w:val="45A843DC"/>
    <w:rsid w:val="45A858ED"/>
    <w:rsid w:val="45AD6A5F"/>
    <w:rsid w:val="45AF27D7"/>
    <w:rsid w:val="45BA48DB"/>
    <w:rsid w:val="45F5776D"/>
    <w:rsid w:val="462C02CC"/>
    <w:rsid w:val="462C62CE"/>
    <w:rsid w:val="46342CDD"/>
    <w:rsid w:val="463A3650"/>
    <w:rsid w:val="46607F75"/>
    <w:rsid w:val="46780E1B"/>
    <w:rsid w:val="467852BF"/>
    <w:rsid w:val="467D28D5"/>
    <w:rsid w:val="467D4684"/>
    <w:rsid w:val="46996EF4"/>
    <w:rsid w:val="469F0116"/>
    <w:rsid w:val="46B65723"/>
    <w:rsid w:val="47086643"/>
    <w:rsid w:val="47095F17"/>
    <w:rsid w:val="471A0124"/>
    <w:rsid w:val="47321912"/>
    <w:rsid w:val="47443414"/>
    <w:rsid w:val="474A3CBE"/>
    <w:rsid w:val="475259B7"/>
    <w:rsid w:val="47541888"/>
    <w:rsid w:val="47573126"/>
    <w:rsid w:val="47653A95"/>
    <w:rsid w:val="476C7652"/>
    <w:rsid w:val="47887784"/>
    <w:rsid w:val="478C7274"/>
    <w:rsid w:val="479B1265"/>
    <w:rsid w:val="47CD163B"/>
    <w:rsid w:val="47EA3F9B"/>
    <w:rsid w:val="47FA1247"/>
    <w:rsid w:val="480037BE"/>
    <w:rsid w:val="480C5CBF"/>
    <w:rsid w:val="482E20D9"/>
    <w:rsid w:val="48390A7E"/>
    <w:rsid w:val="483A5ADB"/>
    <w:rsid w:val="485633DE"/>
    <w:rsid w:val="48592ECE"/>
    <w:rsid w:val="48653621"/>
    <w:rsid w:val="48831CF9"/>
    <w:rsid w:val="48914416"/>
    <w:rsid w:val="48956BA4"/>
    <w:rsid w:val="48AF3E79"/>
    <w:rsid w:val="48BD345D"/>
    <w:rsid w:val="48C26CC5"/>
    <w:rsid w:val="48F80780"/>
    <w:rsid w:val="48FF50DD"/>
    <w:rsid w:val="4929464F"/>
    <w:rsid w:val="49415E3C"/>
    <w:rsid w:val="495C2C76"/>
    <w:rsid w:val="49910EF2"/>
    <w:rsid w:val="49A165B8"/>
    <w:rsid w:val="49B1408D"/>
    <w:rsid w:val="49E113CD"/>
    <w:rsid w:val="49EA0282"/>
    <w:rsid w:val="49EF4039"/>
    <w:rsid w:val="4A064990"/>
    <w:rsid w:val="4A2117CA"/>
    <w:rsid w:val="4A2B43F6"/>
    <w:rsid w:val="4A630034"/>
    <w:rsid w:val="4A783AE0"/>
    <w:rsid w:val="4A7D4FD2"/>
    <w:rsid w:val="4A8534A3"/>
    <w:rsid w:val="4A895CED"/>
    <w:rsid w:val="4A902F86"/>
    <w:rsid w:val="4A913C9A"/>
    <w:rsid w:val="4A9A1CA8"/>
    <w:rsid w:val="4AA04873"/>
    <w:rsid w:val="4AC22FAD"/>
    <w:rsid w:val="4AE22D2F"/>
    <w:rsid w:val="4B1F70AC"/>
    <w:rsid w:val="4B240F94"/>
    <w:rsid w:val="4B35552D"/>
    <w:rsid w:val="4B386AE5"/>
    <w:rsid w:val="4B386DCB"/>
    <w:rsid w:val="4B5160DF"/>
    <w:rsid w:val="4B6C4CC7"/>
    <w:rsid w:val="4B7C13AE"/>
    <w:rsid w:val="4B8169C4"/>
    <w:rsid w:val="4B865D88"/>
    <w:rsid w:val="4B9461B9"/>
    <w:rsid w:val="4BA75287"/>
    <w:rsid w:val="4BCE772F"/>
    <w:rsid w:val="4BEA7E5D"/>
    <w:rsid w:val="4BED70D6"/>
    <w:rsid w:val="4C0513A3"/>
    <w:rsid w:val="4C1E4213"/>
    <w:rsid w:val="4C2865F6"/>
    <w:rsid w:val="4C3C565C"/>
    <w:rsid w:val="4C734A4E"/>
    <w:rsid w:val="4CBE1552"/>
    <w:rsid w:val="4CC254E6"/>
    <w:rsid w:val="4CCC79C7"/>
    <w:rsid w:val="4CE62060"/>
    <w:rsid w:val="4CF11927"/>
    <w:rsid w:val="4CF13D3C"/>
    <w:rsid w:val="4D113D78"/>
    <w:rsid w:val="4D1F0243"/>
    <w:rsid w:val="4D502AF2"/>
    <w:rsid w:val="4D50664E"/>
    <w:rsid w:val="4D602609"/>
    <w:rsid w:val="4D7555C7"/>
    <w:rsid w:val="4DA30E74"/>
    <w:rsid w:val="4DA364FA"/>
    <w:rsid w:val="4DAD1CF2"/>
    <w:rsid w:val="4DB017E2"/>
    <w:rsid w:val="4DB92CEA"/>
    <w:rsid w:val="4E151645"/>
    <w:rsid w:val="4E314717"/>
    <w:rsid w:val="4E4D04CA"/>
    <w:rsid w:val="4E6C5709"/>
    <w:rsid w:val="4E7C428F"/>
    <w:rsid w:val="4E8A3DE2"/>
    <w:rsid w:val="4E99647F"/>
    <w:rsid w:val="4EA2624A"/>
    <w:rsid w:val="4EAA4484"/>
    <w:rsid w:val="4EAE6DA0"/>
    <w:rsid w:val="4EB90223"/>
    <w:rsid w:val="4EDB63EB"/>
    <w:rsid w:val="4EF42274"/>
    <w:rsid w:val="4F4E12B3"/>
    <w:rsid w:val="4F500D19"/>
    <w:rsid w:val="4FC155E1"/>
    <w:rsid w:val="4FD037EF"/>
    <w:rsid w:val="4FF04118"/>
    <w:rsid w:val="50132E64"/>
    <w:rsid w:val="5016514B"/>
    <w:rsid w:val="501F21A0"/>
    <w:rsid w:val="502857C7"/>
    <w:rsid w:val="50414974"/>
    <w:rsid w:val="50476D3D"/>
    <w:rsid w:val="5066262C"/>
    <w:rsid w:val="50715259"/>
    <w:rsid w:val="50BE5FC4"/>
    <w:rsid w:val="50D41344"/>
    <w:rsid w:val="50D91050"/>
    <w:rsid w:val="50E13A61"/>
    <w:rsid w:val="50F17913"/>
    <w:rsid w:val="511F5B2C"/>
    <w:rsid w:val="512D76C0"/>
    <w:rsid w:val="51361FFF"/>
    <w:rsid w:val="51752B27"/>
    <w:rsid w:val="51907961"/>
    <w:rsid w:val="51AC406F"/>
    <w:rsid w:val="51B82A14"/>
    <w:rsid w:val="51C770FB"/>
    <w:rsid w:val="51CB1C78"/>
    <w:rsid w:val="51FC4FF6"/>
    <w:rsid w:val="51FD6A51"/>
    <w:rsid w:val="52271947"/>
    <w:rsid w:val="523E560F"/>
    <w:rsid w:val="52432C25"/>
    <w:rsid w:val="52662470"/>
    <w:rsid w:val="526B680A"/>
    <w:rsid w:val="52756B57"/>
    <w:rsid w:val="527903F5"/>
    <w:rsid w:val="52846D9A"/>
    <w:rsid w:val="528F19C6"/>
    <w:rsid w:val="529F5982"/>
    <w:rsid w:val="52B4142D"/>
    <w:rsid w:val="52BA1ECF"/>
    <w:rsid w:val="52CF44B9"/>
    <w:rsid w:val="52F42171"/>
    <w:rsid w:val="52F932E4"/>
    <w:rsid w:val="53150D15"/>
    <w:rsid w:val="533B7889"/>
    <w:rsid w:val="53407165"/>
    <w:rsid w:val="53456529"/>
    <w:rsid w:val="5352083E"/>
    <w:rsid w:val="535249BA"/>
    <w:rsid w:val="537868FE"/>
    <w:rsid w:val="539A4AC7"/>
    <w:rsid w:val="53AB6CD4"/>
    <w:rsid w:val="53AE0BF6"/>
    <w:rsid w:val="53BB4A3D"/>
    <w:rsid w:val="53D25B99"/>
    <w:rsid w:val="5415414D"/>
    <w:rsid w:val="541A5D30"/>
    <w:rsid w:val="543F566E"/>
    <w:rsid w:val="546649A9"/>
    <w:rsid w:val="54921C42"/>
    <w:rsid w:val="549E4CB1"/>
    <w:rsid w:val="54A6749B"/>
    <w:rsid w:val="551408A9"/>
    <w:rsid w:val="55142657"/>
    <w:rsid w:val="552D196B"/>
    <w:rsid w:val="553E632F"/>
    <w:rsid w:val="556829A3"/>
    <w:rsid w:val="556C5A2B"/>
    <w:rsid w:val="5579070C"/>
    <w:rsid w:val="55CF657E"/>
    <w:rsid w:val="55E0078B"/>
    <w:rsid w:val="55F068CD"/>
    <w:rsid w:val="55F304BE"/>
    <w:rsid w:val="56026953"/>
    <w:rsid w:val="56486A5C"/>
    <w:rsid w:val="566C3136"/>
    <w:rsid w:val="56724F1A"/>
    <w:rsid w:val="56811F6E"/>
    <w:rsid w:val="56831367"/>
    <w:rsid w:val="568D04F2"/>
    <w:rsid w:val="56B75990"/>
    <w:rsid w:val="56C0507C"/>
    <w:rsid w:val="56D20841"/>
    <w:rsid w:val="56D7393C"/>
    <w:rsid w:val="56DA167E"/>
    <w:rsid w:val="56DB78D0"/>
    <w:rsid w:val="56E04EE6"/>
    <w:rsid w:val="57032983"/>
    <w:rsid w:val="572D5C52"/>
    <w:rsid w:val="5737262D"/>
    <w:rsid w:val="57415259"/>
    <w:rsid w:val="57454D4A"/>
    <w:rsid w:val="57541431"/>
    <w:rsid w:val="575612E0"/>
    <w:rsid w:val="577B4C0F"/>
    <w:rsid w:val="57825F9E"/>
    <w:rsid w:val="57A777B2"/>
    <w:rsid w:val="57BB41F2"/>
    <w:rsid w:val="57DD4F82"/>
    <w:rsid w:val="57E25535"/>
    <w:rsid w:val="58063528"/>
    <w:rsid w:val="5829466B"/>
    <w:rsid w:val="585E0A21"/>
    <w:rsid w:val="586B4C84"/>
    <w:rsid w:val="588D6DD7"/>
    <w:rsid w:val="589715D5"/>
    <w:rsid w:val="58F24A5D"/>
    <w:rsid w:val="592D325B"/>
    <w:rsid w:val="59540CE2"/>
    <w:rsid w:val="59611BE3"/>
    <w:rsid w:val="59682F71"/>
    <w:rsid w:val="596D09B6"/>
    <w:rsid w:val="5974646C"/>
    <w:rsid w:val="598F6750"/>
    <w:rsid w:val="599E4BE5"/>
    <w:rsid w:val="59A57D21"/>
    <w:rsid w:val="59A87812"/>
    <w:rsid w:val="59A92DE6"/>
    <w:rsid w:val="59BD0655"/>
    <w:rsid w:val="59F40CA9"/>
    <w:rsid w:val="5A3B68D8"/>
    <w:rsid w:val="5A4E03B9"/>
    <w:rsid w:val="5A526582"/>
    <w:rsid w:val="5A5F5C77"/>
    <w:rsid w:val="5A966592"/>
    <w:rsid w:val="5AEE74A6"/>
    <w:rsid w:val="5B0867BA"/>
    <w:rsid w:val="5B1026A9"/>
    <w:rsid w:val="5B2D7FCE"/>
    <w:rsid w:val="5B3A6FD8"/>
    <w:rsid w:val="5B3D5E39"/>
    <w:rsid w:val="5B557525"/>
    <w:rsid w:val="5B5C6B06"/>
    <w:rsid w:val="5B615ECA"/>
    <w:rsid w:val="5B647768"/>
    <w:rsid w:val="5B7B3430"/>
    <w:rsid w:val="5B834092"/>
    <w:rsid w:val="5B8D3163"/>
    <w:rsid w:val="5BBE39CD"/>
    <w:rsid w:val="5BC11A60"/>
    <w:rsid w:val="5BD90156"/>
    <w:rsid w:val="5C022C25"/>
    <w:rsid w:val="5C074CC3"/>
    <w:rsid w:val="5C5123E2"/>
    <w:rsid w:val="5C553C81"/>
    <w:rsid w:val="5C645C72"/>
    <w:rsid w:val="5C6C0FCA"/>
    <w:rsid w:val="5C797243"/>
    <w:rsid w:val="5C7A4D54"/>
    <w:rsid w:val="5CA644DC"/>
    <w:rsid w:val="5CBD35D4"/>
    <w:rsid w:val="5CD23B73"/>
    <w:rsid w:val="5CDF354A"/>
    <w:rsid w:val="5CE45005"/>
    <w:rsid w:val="5CED210B"/>
    <w:rsid w:val="5D296EBB"/>
    <w:rsid w:val="5D49348E"/>
    <w:rsid w:val="5D603E95"/>
    <w:rsid w:val="5D6972B8"/>
    <w:rsid w:val="5D791F1C"/>
    <w:rsid w:val="5D8365CC"/>
    <w:rsid w:val="5D9E3405"/>
    <w:rsid w:val="5D9F2CDA"/>
    <w:rsid w:val="5DA87DE0"/>
    <w:rsid w:val="5DF43025"/>
    <w:rsid w:val="5E1767ED"/>
    <w:rsid w:val="5E341674"/>
    <w:rsid w:val="5E3873B6"/>
    <w:rsid w:val="5E5147B7"/>
    <w:rsid w:val="5E6A3A96"/>
    <w:rsid w:val="5E6E2DD8"/>
    <w:rsid w:val="5E7303EE"/>
    <w:rsid w:val="5E895E64"/>
    <w:rsid w:val="5E8C3D9C"/>
    <w:rsid w:val="5E8E347A"/>
    <w:rsid w:val="5EA66A16"/>
    <w:rsid w:val="5EAC1B52"/>
    <w:rsid w:val="5EAD1CBA"/>
    <w:rsid w:val="5ECE1AC8"/>
    <w:rsid w:val="5ED03A93"/>
    <w:rsid w:val="5EE72B8A"/>
    <w:rsid w:val="5F074FDA"/>
    <w:rsid w:val="5F0D295A"/>
    <w:rsid w:val="5F127819"/>
    <w:rsid w:val="5F166FCB"/>
    <w:rsid w:val="5F17346F"/>
    <w:rsid w:val="5F610B8F"/>
    <w:rsid w:val="5F63752A"/>
    <w:rsid w:val="5F6B37BB"/>
    <w:rsid w:val="5F781A34"/>
    <w:rsid w:val="5F8E3006"/>
    <w:rsid w:val="5FA12D39"/>
    <w:rsid w:val="5FA36AB1"/>
    <w:rsid w:val="5FAC5743"/>
    <w:rsid w:val="5FC058B5"/>
    <w:rsid w:val="5FDA624B"/>
    <w:rsid w:val="5FDE33CF"/>
    <w:rsid w:val="5FEE26C6"/>
    <w:rsid w:val="5FF67529"/>
    <w:rsid w:val="600F2399"/>
    <w:rsid w:val="601E082E"/>
    <w:rsid w:val="604A33D1"/>
    <w:rsid w:val="604B09DF"/>
    <w:rsid w:val="60536729"/>
    <w:rsid w:val="606764C3"/>
    <w:rsid w:val="60770692"/>
    <w:rsid w:val="608F34D9"/>
    <w:rsid w:val="60BD3BA3"/>
    <w:rsid w:val="60DB227B"/>
    <w:rsid w:val="60E530F9"/>
    <w:rsid w:val="60F1503F"/>
    <w:rsid w:val="61025188"/>
    <w:rsid w:val="61057D5F"/>
    <w:rsid w:val="61490B3E"/>
    <w:rsid w:val="614D4977"/>
    <w:rsid w:val="61572249"/>
    <w:rsid w:val="61736957"/>
    <w:rsid w:val="618B1EF3"/>
    <w:rsid w:val="61A62889"/>
    <w:rsid w:val="61B8631B"/>
    <w:rsid w:val="61BE4076"/>
    <w:rsid w:val="61DA69D6"/>
    <w:rsid w:val="61F950AE"/>
    <w:rsid w:val="62031A89"/>
    <w:rsid w:val="62165C60"/>
    <w:rsid w:val="622163B3"/>
    <w:rsid w:val="62854B94"/>
    <w:rsid w:val="62B114E5"/>
    <w:rsid w:val="62B74D35"/>
    <w:rsid w:val="62C51434"/>
    <w:rsid w:val="62D96C8E"/>
    <w:rsid w:val="62E53458"/>
    <w:rsid w:val="62EC076F"/>
    <w:rsid w:val="62EF64B1"/>
    <w:rsid w:val="63021D41"/>
    <w:rsid w:val="6311467A"/>
    <w:rsid w:val="631B1054"/>
    <w:rsid w:val="63316ACA"/>
    <w:rsid w:val="63475C67"/>
    <w:rsid w:val="63700648"/>
    <w:rsid w:val="638C3D00"/>
    <w:rsid w:val="639A2E85"/>
    <w:rsid w:val="63C60FC0"/>
    <w:rsid w:val="63E1404C"/>
    <w:rsid w:val="63F672D6"/>
    <w:rsid w:val="64203A5A"/>
    <w:rsid w:val="642841DC"/>
    <w:rsid w:val="642F3009"/>
    <w:rsid w:val="64757015"/>
    <w:rsid w:val="64852C29"/>
    <w:rsid w:val="649C61C5"/>
    <w:rsid w:val="64AF414A"/>
    <w:rsid w:val="64BA3D7A"/>
    <w:rsid w:val="64C23E7D"/>
    <w:rsid w:val="64CE2822"/>
    <w:rsid w:val="64E831B8"/>
    <w:rsid w:val="64F179BC"/>
    <w:rsid w:val="64F47DAF"/>
    <w:rsid w:val="65222B6E"/>
    <w:rsid w:val="65393A14"/>
    <w:rsid w:val="656767D3"/>
    <w:rsid w:val="65B0017A"/>
    <w:rsid w:val="65B732B6"/>
    <w:rsid w:val="65C94C55"/>
    <w:rsid w:val="65DD0843"/>
    <w:rsid w:val="65DD458E"/>
    <w:rsid w:val="65F067C8"/>
    <w:rsid w:val="65F555EF"/>
    <w:rsid w:val="665704D3"/>
    <w:rsid w:val="668533B4"/>
    <w:rsid w:val="66886A01"/>
    <w:rsid w:val="668D04BB"/>
    <w:rsid w:val="66A51361"/>
    <w:rsid w:val="66B21CD0"/>
    <w:rsid w:val="66B62D4C"/>
    <w:rsid w:val="66C20165"/>
    <w:rsid w:val="66CF63DE"/>
    <w:rsid w:val="66DD6AFD"/>
    <w:rsid w:val="66E005EB"/>
    <w:rsid w:val="672C1A82"/>
    <w:rsid w:val="673148E2"/>
    <w:rsid w:val="67401089"/>
    <w:rsid w:val="6751773B"/>
    <w:rsid w:val="675445CD"/>
    <w:rsid w:val="675608AD"/>
    <w:rsid w:val="676A25AA"/>
    <w:rsid w:val="676B07FC"/>
    <w:rsid w:val="67753429"/>
    <w:rsid w:val="67BA52E0"/>
    <w:rsid w:val="67BD092C"/>
    <w:rsid w:val="67C065A4"/>
    <w:rsid w:val="67C21D51"/>
    <w:rsid w:val="67D359C9"/>
    <w:rsid w:val="680C5410"/>
    <w:rsid w:val="684352D5"/>
    <w:rsid w:val="68550B65"/>
    <w:rsid w:val="689169E2"/>
    <w:rsid w:val="68922AAC"/>
    <w:rsid w:val="68A015B4"/>
    <w:rsid w:val="68C77CB4"/>
    <w:rsid w:val="68D9049F"/>
    <w:rsid w:val="68E02B24"/>
    <w:rsid w:val="68FE36DD"/>
    <w:rsid w:val="6902510A"/>
    <w:rsid w:val="69164798"/>
    <w:rsid w:val="694E60FC"/>
    <w:rsid w:val="69594684"/>
    <w:rsid w:val="69AE2A5F"/>
    <w:rsid w:val="69BF6BDD"/>
    <w:rsid w:val="69EF4042"/>
    <w:rsid w:val="69F61ED3"/>
    <w:rsid w:val="6A130CD7"/>
    <w:rsid w:val="6A4E61B3"/>
    <w:rsid w:val="6A5C6604"/>
    <w:rsid w:val="6A5F3F1C"/>
    <w:rsid w:val="6A876FCF"/>
    <w:rsid w:val="6ACF34E9"/>
    <w:rsid w:val="6AD13942"/>
    <w:rsid w:val="6AD541DF"/>
    <w:rsid w:val="6AEA5EDC"/>
    <w:rsid w:val="6B225676"/>
    <w:rsid w:val="6B3929BF"/>
    <w:rsid w:val="6B3B79B5"/>
    <w:rsid w:val="6B596BBE"/>
    <w:rsid w:val="6B625A72"/>
    <w:rsid w:val="6B79100E"/>
    <w:rsid w:val="6B9320D0"/>
    <w:rsid w:val="6BC524A5"/>
    <w:rsid w:val="6BD050D2"/>
    <w:rsid w:val="6BE7241B"/>
    <w:rsid w:val="6C042FCD"/>
    <w:rsid w:val="6C101972"/>
    <w:rsid w:val="6C1D408F"/>
    <w:rsid w:val="6C342BE3"/>
    <w:rsid w:val="6C410A63"/>
    <w:rsid w:val="6C507FC1"/>
    <w:rsid w:val="6C5C4BB7"/>
    <w:rsid w:val="6C5F0204"/>
    <w:rsid w:val="6C645430"/>
    <w:rsid w:val="6C675CE6"/>
    <w:rsid w:val="6C6A001C"/>
    <w:rsid w:val="6C88775B"/>
    <w:rsid w:val="6C9C1458"/>
    <w:rsid w:val="6CA1081C"/>
    <w:rsid w:val="6CAD5CE9"/>
    <w:rsid w:val="6CCF5389"/>
    <w:rsid w:val="6CD04C5E"/>
    <w:rsid w:val="6CEF35AF"/>
    <w:rsid w:val="6CFD6537"/>
    <w:rsid w:val="6D327139"/>
    <w:rsid w:val="6D4F4321"/>
    <w:rsid w:val="6D527D69"/>
    <w:rsid w:val="6D616FB1"/>
    <w:rsid w:val="6DC36570"/>
    <w:rsid w:val="6DFA4688"/>
    <w:rsid w:val="6DFF7360"/>
    <w:rsid w:val="6E064026"/>
    <w:rsid w:val="6E0F1884"/>
    <w:rsid w:val="6E3C680C"/>
    <w:rsid w:val="6E5378F4"/>
    <w:rsid w:val="6E7A5F73"/>
    <w:rsid w:val="6E810905"/>
    <w:rsid w:val="6EA85E09"/>
    <w:rsid w:val="6EB760D5"/>
    <w:rsid w:val="6EC26971"/>
    <w:rsid w:val="6EF01996"/>
    <w:rsid w:val="6F152DFC"/>
    <w:rsid w:val="6F2E3798"/>
    <w:rsid w:val="6F45239A"/>
    <w:rsid w:val="6F7B35A7"/>
    <w:rsid w:val="6F7C2E7B"/>
    <w:rsid w:val="6F865AA7"/>
    <w:rsid w:val="6FA473CD"/>
    <w:rsid w:val="6FD1766A"/>
    <w:rsid w:val="6FD44A65"/>
    <w:rsid w:val="6FD74228"/>
    <w:rsid w:val="6FDB2297"/>
    <w:rsid w:val="6FE560DA"/>
    <w:rsid w:val="6FFE1AE2"/>
    <w:rsid w:val="700C06A3"/>
    <w:rsid w:val="7015527E"/>
    <w:rsid w:val="705A140E"/>
    <w:rsid w:val="70765B1C"/>
    <w:rsid w:val="70AC59E2"/>
    <w:rsid w:val="70DA254F"/>
    <w:rsid w:val="70E17439"/>
    <w:rsid w:val="70E433CD"/>
    <w:rsid w:val="70ED1C4A"/>
    <w:rsid w:val="70F63D72"/>
    <w:rsid w:val="70FE5EDF"/>
    <w:rsid w:val="70FF3D63"/>
    <w:rsid w:val="71010BEA"/>
    <w:rsid w:val="711D41EA"/>
    <w:rsid w:val="712D6B22"/>
    <w:rsid w:val="712E4649"/>
    <w:rsid w:val="71431EA2"/>
    <w:rsid w:val="71436346"/>
    <w:rsid w:val="71633091"/>
    <w:rsid w:val="717C53B4"/>
    <w:rsid w:val="718D136F"/>
    <w:rsid w:val="71A52B5D"/>
    <w:rsid w:val="71B0505E"/>
    <w:rsid w:val="71B67097"/>
    <w:rsid w:val="71BC0EEE"/>
    <w:rsid w:val="722E0369"/>
    <w:rsid w:val="723E669B"/>
    <w:rsid w:val="727E0B3C"/>
    <w:rsid w:val="72A76461"/>
    <w:rsid w:val="72DA4A88"/>
    <w:rsid w:val="73081CA5"/>
    <w:rsid w:val="73131D48"/>
    <w:rsid w:val="734B1A98"/>
    <w:rsid w:val="737E1B01"/>
    <w:rsid w:val="738006B8"/>
    <w:rsid w:val="73B0235A"/>
    <w:rsid w:val="73B61051"/>
    <w:rsid w:val="741915E0"/>
    <w:rsid w:val="7439758C"/>
    <w:rsid w:val="744523D5"/>
    <w:rsid w:val="74545B7C"/>
    <w:rsid w:val="7487762D"/>
    <w:rsid w:val="748A6FEC"/>
    <w:rsid w:val="7496678D"/>
    <w:rsid w:val="74AE71F4"/>
    <w:rsid w:val="74AF784E"/>
    <w:rsid w:val="74BE7708"/>
    <w:rsid w:val="74BE7A92"/>
    <w:rsid w:val="74E25967"/>
    <w:rsid w:val="74EE4141"/>
    <w:rsid w:val="75271ADB"/>
    <w:rsid w:val="752D7B49"/>
    <w:rsid w:val="75385498"/>
    <w:rsid w:val="75395FF8"/>
    <w:rsid w:val="753C37D8"/>
    <w:rsid w:val="75AB6268"/>
    <w:rsid w:val="75E31EA6"/>
    <w:rsid w:val="75F96FD3"/>
    <w:rsid w:val="764D731F"/>
    <w:rsid w:val="76593F16"/>
    <w:rsid w:val="7662726E"/>
    <w:rsid w:val="7684269F"/>
    <w:rsid w:val="769962BD"/>
    <w:rsid w:val="76BC207F"/>
    <w:rsid w:val="76E47C83"/>
    <w:rsid w:val="76EB4904"/>
    <w:rsid w:val="77185B7F"/>
    <w:rsid w:val="773109EF"/>
    <w:rsid w:val="776B2153"/>
    <w:rsid w:val="777378F5"/>
    <w:rsid w:val="777A2D3C"/>
    <w:rsid w:val="779A47E6"/>
    <w:rsid w:val="779E42D6"/>
    <w:rsid w:val="77A411C1"/>
    <w:rsid w:val="77BE03D4"/>
    <w:rsid w:val="77C67389"/>
    <w:rsid w:val="77C875A5"/>
    <w:rsid w:val="77CE623E"/>
    <w:rsid w:val="77D23F80"/>
    <w:rsid w:val="77E45A61"/>
    <w:rsid w:val="77F51A1C"/>
    <w:rsid w:val="78204AE1"/>
    <w:rsid w:val="78481843"/>
    <w:rsid w:val="78537BEA"/>
    <w:rsid w:val="78542BE7"/>
    <w:rsid w:val="786D5A56"/>
    <w:rsid w:val="78731D64"/>
    <w:rsid w:val="78762B5D"/>
    <w:rsid w:val="7880578A"/>
    <w:rsid w:val="78827754"/>
    <w:rsid w:val="78BD69DE"/>
    <w:rsid w:val="78C87FE8"/>
    <w:rsid w:val="78DF4BA6"/>
    <w:rsid w:val="78E5566F"/>
    <w:rsid w:val="78E71CAD"/>
    <w:rsid w:val="79074B81"/>
    <w:rsid w:val="7927654D"/>
    <w:rsid w:val="79372EBE"/>
    <w:rsid w:val="793F3897"/>
    <w:rsid w:val="79404F19"/>
    <w:rsid w:val="794C278F"/>
    <w:rsid w:val="794F0939"/>
    <w:rsid w:val="79565D8C"/>
    <w:rsid w:val="79654980"/>
    <w:rsid w:val="79A25BD4"/>
    <w:rsid w:val="79A84CD5"/>
    <w:rsid w:val="79AF0FCA"/>
    <w:rsid w:val="79C97604"/>
    <w:rsid w:val="79E61F64"/>
    <w:rsid w:val="79E85CDC"/>
    <w:rsid w:val="79EF2560"/>
    <w:rsid w:val="79FA5A10"/>
    <w:rsid w:val="7A0F3269"/>
    <w:rsid w:val="7A1F0FD2"/>
    <w:rsid w:val="7A232671"/>
    <w:rsid w:val="7A4F18B8"/>
    <w:rsid w:val="7A92650D"/>
    <w:rsid w:val="7AA601DA"/>
    <w:rsid w:val="7ADB139D"/>
    <w:rsid w:val="7AF9279C"/>
    <w:rsid w:val="7AFA3A80"/>
    <w:rsid w:val="7B256ABC"/>
    <w:rsid w:val="7B51340D"/>
    <w:rsid w:val="7B5B1068"/>
    <w:rsid w:val="7B876E2F"/>
    <w:rsid w:val="7B914152"/>
    <w:rsid w:val="7B916A31"/>
    <w:rsid w:val="7BC9569A"/>
    <w:rsid w:val="7BCC0CE6"/>
    <w:rsid w:val="7BE349AD"/>
    <w:rsid w:val="7C1032C9"/>
    <w:rsid w:val="7C1D1542"/>
    <w:rsid w:val="7C305719"/>
    <w:rsid w:val="7C991FAB"/>
    <w:rsid w:val="7CA57EB5"/>
    <w:rsid w:val="7CB41EA6"/>
    <w:rsid w:val="7CBE0F77"/>
    <w:rsid w:val="7CC51958"/>
    <w:rsid w:val="7CEC40B6"/>
    <w:rsid w:val="7CF84488"/>
    <w:rsid w:val="7D0F532E"/>
    <w:rsid w:val="7D1943FF"/>
    <w:rsid w:val="7D1F702E"/>
    <w:rsid w:val="7D2708CA"/>
    <w:rsid w:val="7D2C4132"/>
    <w:rsid w:val="7D2F59D0"/>
    <w:rsid w:val="7D344D95"/>
    <w:rsid w:val="7D3B4375"/>
    <w:rsid w:val="7D3E79C1"/>
    <w:rsid w:val="7D4637E2"/>
    <w:rsid w:val="7D5611AF"/>
    <w:rsid w:val="7D776399"/>
    <w:rsid w:val="7D871368"/>
    <w:rsid w:val="7D9B1948"/>
    <w:rsid w:val="7DBD06C3"/>
    <w:rsid w:val="7E12157A"/>
    <w:rsid w:val="7E156974"/>
    <w:rsid w:val="7E2936C3"/>
    <w:rsid w:val="7E2E365C"/>
    <w:rsid w:val="7E352599"/>
    <w:rsid w:val="7E3D4BB2"/>
    <w:rsid w:val="7E5C45A3"/>
    <w:rsid w:val="7E61605D"/>
    <w:rsid w:val="7E6411B9"/>
    <w:rsid w:val="7E685463"/>
    <w:rsid w:val="7E6B47E6"/>
    <w:rsid w:val="7EA853CE"/>
    <w:rsid w:val="7ECA3C03"/>
    <w:rsid w:val="7ECB1729"/>
    <w:rsid w:val="7EF03473"/>
    <w:rsid w:val="7EF90044"/>
    <w:rsid w:val="7F111831"/>
    <w:rsid w:val="7F1660D5"/>
    <w:rsid w:val="7F390D88"/>
    <w:rsid w:val="7F552A10"/>
    <w:rsid w:val="7F7E8F98"/>
    <w:rsid w:val="7F8A5140"/>
    <w:rsid w:val="7F8C19FC"/>
    <w:rsid w:val="7F8F2756"/>
    <w:rsid w:val="7F9528CA"/>
    <w:rsid w:val="7FA04963"/>
    <w:rsid w:val="7FDF2133"/>
    <w:rsid w:val="7FEC212C"/>
    <w:rsid w:val="7FEE3921"/>
    <w:rsid w:val="7FF732E9"/>
    <w:rsid w:val="7FFD45BD"/>
    <w:rsid w:val="AFEE3667"/>
    <w:rsid w:val="BF68F871"/>
    <w:rsid w:val="D77C7624"/>
    <w:rsid w:val="DFBFDC12"/>
    <w:rsid w:val="DFD6A647"/>
    <w:rsid w:val="ECFC3713"/>
    <w:rsid w:val="EE7DC556"/>
    <w:rsid w:val="FBFFD9E8"/>
    <w:rsid w:val="FEDF750A"/>
    <w:rsid w:val="FFEF27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67"/>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72"/>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customStyle="1" w:styleId="5">
    <w:name w:val="Í¼±íÕýÎÄ"/>
    <w:basedOn w:val="1"/>
    <w:next w:val="6"/>
    <w:qFormat/>
    <w:uiPriority w:val="0"/>
    <w:pPr>
      <w:ind w:firstLine="420" w:firstLineChars="200"/>
    </w:pPr>
    <w:rPr>
      <w:rFonts w:eastAsia="仿宋"/>
      <w:sz w:val="28"/>
    </w:r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toc 7"/>
    <w:basedOn w:val="1"/>
    <w:next w:val="1"/>
    <w:unhideWhenUsed/>
    <w:qFormat/>
    <w:uiPriority w:val="39"/>
    <w:pPr>
      <w:ind w:left="1260"/>
      <w:jc w:val="left"/>
    </w:pPr>
    <w:rPr>
      <w:rFonts w:ascii="Calibri" w:hAnsi="Calibri" w:cs="Calibri"/>
      <w:sz w:val="18"/>
      <w:szCs w:val="18"/>
    </w:rPr>
  </w:style>
  <w:style w:type="paragraph" w:styleId="10">
    <w:name w:val="table of authorities"/>
    <w:basedOn w:val="1"/>
    <w:next w:val="1"/>
    <w:unhideWhenUsed/>
    <w:qFormat/>
    <w:uiPriority w:val="99"/>
    <w:pPr>
      <w:ind w:left="420" w:leftChars="200"/>
    </w:pPr>
  </w:style>
  <w:style w:type="paragraph" w:styleId="11">
    <w:name w:val="Document Map"/>
    <w:basedOn w:val="1"/>
    <w:next w:val="1"/>
    <w:qFormat/>
    <w:uiPriority w:val="0"/>
    <w:pPr>
      <w:shd w:val="clear" w:color="auto" w:fill="000080"/>
      <w:spacing w:line="360" w:lineRule="auto"/>
      <w:ind w:firstLine="562" w:firstLineChars="200"/>
    </w:pPr>
    <w:rPr>
      <w:sz w:val="28"/>
    </w:rPr>
  </w:style>
  <w:style w:type="paragraph" w:styleId="12">
    <w:name w:val="annotation text"/>
    <w:basedOn w:val="1"/>
    <w:link w:val="64"/>
    <w:qFormat/>
    <w:uiPriority w:val="0"/>
    <w:pPr>
      <w:jc w:val="left"/>
    </w:pPr>
    <w:rPr>
      <w:rFonts w:ascii="Arial" w:hAnsi="Arial" w:eastAsia="黑体" w:cs="Arial"/>
    </w:rPr>
  </w:style>
  <w:style w:type="paragraph" w:styleId="13">
    <w:name w:val="Body Text"/>
    <w:basedOn w:val="1"/>
    <w:qFormat/>
    <w:uiPriority w:val="0"/>
    <w:pPr>
      <w:spacing w:after="120"/>
    </w:pPr>
    <w:rPr>
      <w:rFonts w:ascii="@微软简标宋" w:hAnsi="@微软简标宋" w:eastAsia="@微软简标宋" w:cs="@微软简标宋"/>
      <w:szCs w:val="24"/>
      <w:lang w:val="zh-CN"/>
    </w:rPr>
  </w:style>
  <w:style w:type="paragraph" w:styleId="14">
    <w:name w:val="Body Text Indent"/>
    <w:basedOn w:val="1"/>
    <w:next w:val="15"/>
    <w:unhideWhenUsed/>
    <w:qFormat/>
    <w:uiPriority w:val="0"/>
    <w:pPr>
      <w:spacing w:after="120"/>
      <w:ind w:left="420" w:leftChars="200"/>
    </w:pPr>
    <w:rPr>
      <w:rFonts w:asciiTheme="minorHAnsi" w:hAnsiTheme="minorHAnsi"/>
      <w:szCs w:val="22"/>
    </w:rPr>
  </w:style>
  <w:style w:type="paragraph" w:styleId="15">
    <w:name w:val="envelope return"/>
    <w:basedOn w:val="1"/>
    <w:next w:val="9"/>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4"/>
    <w:qFormat/>
    <w:uiPriority w:val="99"/>
    <w:rPr>
      <w:rFonts w:ascii="宋体" w:hAnsi="Courier New" w:eastAsiaTheme="minorEastAsia" w:cstheme="minorBidi"/>
      <w:szCs w:val="22"/>
    </w:rPr>
  </w:style>
  <w:style w:type="paragraph" w:styleId="19">
    <w:name w:val="Date"/>
    <w:basedOn w:val="1"/>
    <w:next w:val="1"/>
    <w:link w:val="61"/>
    <w:qFormat/>
    <w:uiPriority w:val="0"/>
    <w:rPr>
      <w:rFonts w:ascii="Arial" w:hAnsi="Arial" w:eastAsia="宋体" w:cs="Arial"/>
      <w:b/>
      <w:sz w:val="28"/>
    </w:rPr>
  </w:style>
  <w:style w:type="paragraph" w:styleId="20">
    <w:name w:val="Balloon Text"/>
    <w:basedOn w:val="1"/>
    <w:link w:val="48"/>
    <w:semiHidden/>
    <w:unhideWhenUsed/>
    <w:qFormat/>
    <w:uiPriority w:val="99"/>
    <w:rPr>
      <w:sz w:val="18"/>
      <w:szCs w:val="18"/>
    </w:rPr>
  </w:style>
  <w:style w:type="paragraph" w:styleId="21">
    <w:name w:val="footer"/>
    <w:basedOn w:val="1"/>
    <w:link w:val="53"/>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5">
    <w:name w:val="Normal (Web)"/>
    <w:basedOn w:val="1"/>
    <w:autoRedefine/>
    <w:qFormat/>
    <w:uiPriority w:val="0"/>
    <w:pPr>
      <w:spacing w:before="100" w:beforeAutospacing="1" w:after="100" w:afterAutospacing="1"/>
      <w:jc w:val="left"/>
    </w:pPr>
    <w:rPr>
      <w:rFonts w:cs="Times New Roman"/>
      <w:kern w:val="0"/>
      <w:sz w:val="24"/>
    </w:rPr>
  </w:style>
  <w:style w:type="paragraph" w:styleId="26">
    <w:name w:val="index 1"/>
    <w:basedOn w:val="1"/>
    <w:next w:val="1"/>
    <w:autoRedefine/>
    <w:qFormat/>
    <w:uiPriority w:val="0"/>
    <w:pPr>
      <w:jc w:val="center"/>
    </w:pPr>
    <w:rPr>
      <w:rFonts w:ascii="Arial" w:hAnsi="Arial" w:eastAsia="Arial" w:cs="Arial"/>
      <w:b/>
      <w:bCs/>
      <w:sz w:val="28"/>
    </w:rPr>
  </w:style>
  <w:style w:type="paragraph" w:styleId="27">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8">
    <w:name w:val="annotation subject"/>
    <w:basedOn w:val="12"/>
    <w:next w:val="12"/>
    <w:link w:val="75"/>
    <w:autoRedefine/>
    <w:semiHidden/>
    <w:unhideWhenUsed/>
    <w:qFormat/>
    <w:uiPriority w:val="99"/>
    <w:rPr>
      <w:rFonts w:ascii="@仿宋_GB2312" w:hAnsi="@仿宋_GB2312" w:eastAsia="@仿宋_GB2312" w:cs="@仿宋_GB2312"/>
      <w:b/>
      <w:bCs/>
    </w:rPr>
  </w:style>
  <w:style w:type="paragraph" w:styleId="29">
    <w:name w:val="Body Text First Indent"/>
    <w:basedOn w:val="13"/>
    <w:next w:val="1"/>
    <w:unhideWhenUsed/>
    <w:qFormat/>
    <w:uiPriority w:val="99"/>
    <w:pPr>
      <w:ind w:firstLine="420" w:firstLineChars="100"/>
    </w:pPr>
  </w:style>
  <w:style w:type="paragraph" w:styleId="30">
    <w:name w:val="Body Text First Indent 2"/>
    <w:basedOn w:val="14"/>
    <w:next w:val="1"/>
    <w:autoRedefine/>
    <w:qFormat/>
    <w:uiPriority w:val="0"/>
    <w:pPr>
      <w:spacing w:line="360" w:lineRule="auto"/>
      <w:ind w:firstLine="200"/>
    </w:pPr>
  </w:style>
  <w:style w:type="table" w:styleId="32">
    <w:name w:val="Table Grid"/>
    <w:basedOn w:val="3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rPr>
  </w:style>
  <w:style w:type="character" w:styleId="35">
    <w:name w:val="FollowedHyperlink"/>
    <w:basedOn w:val="33"/>
    <w:autoRedefine/>
    <w:semiHidden/>
    <w:unhideWhenUsed/>
    <w:qFormat/>
    <w:uiPriority w:val="99"/>
    <w:rPr>
      <w:color w:val="5C5C5C"/>
      <w:u w:val="none"/>
    </w:rPr>
  </w:style>
  <w:style w:type="character" w:styleId="36">
    <w:name w:val="Emphasis"/>
    <w:basedOn w:val="33"/>
    <w:autoRedefine/>
    <w:qFormat/>
    <w:uiPriority w:val="20"/>
    <w:rPr>
      <w:b/>
      <w:bCs/>
    </w:rPr>
  </w:style>
  <w:style w:type="character" w:styleId="37">
    <w:name w:val="HTML Definition"/>
    <w:basedOn w:val="33"/>
    <w:autoRedefine/>
    <w:semiHidden/>
    <w:unhideWhenUsed/>
    <w:qFormat/>
    <w:uiPriority w:val="99"/>
  </w:style>
  <w:style w:type="character" w:styleId="38">
    <w:name w:val="HTML Typewriter"/>
    <w:basedOn w:val="33"/>
    <w:autoRedefine/>
    <w:semiHidden/>
    <w:unhideWhenUsed/>
    <w:qFormat/>
    <w:uiPriority w:val="99"/>
    <w:rPr>
      <w:rFonts w:hint="default" w:ascii="monospace" w:hAnsi="monospace" w:eastAsia="monospace" w:cs="monospace"/>
      <w:sz w:val="20"/>
    </w:rPr>
  </w:style>
  <w:style w:type="character" w:styleId="39">
    <w:name w:val="HTML Acronym"/>
    <w:basedOn w:val="33"/>
    <w:autoRedefine/>
    <w:semiHidden/>
    <w:unhideWhenUsed/>
    <w:qFormat/>
    <w:uiPriority w:val="99"/>
  </w:style>
  <w:style w:type="character" w:styleId="40">
    <w:name w:val="HTML Variable"/>
    <w:basedOn w:val="33"/>
    <w:autoRedefine/>
    <w:semiHidden/>
    <w:unhideWhenUsed/>
    <w:qFormat/>
    <w:uiPriority w:val="99"/>
  </w:style>
  <w:style w:type="character" w:styleId="41">
    <w:name w:val="Hyperlink"/>
    <w:basedOn w:val="33"/>
    <w:autoRedefine/>
    <w:unhideWhenUsed/>
    <w:qFormat/>
    <w:uiPriority w:val="99"/>
    <w:rPr>
      <w:color w:val="0000FF" w:themeColor="hyperlink"/>
      <w:u w:val="single"/>
      <w14:textFill>
        <w14:solidFill>
          <w14:schemeClr w14:val="hlink"/>
        </w14:solidFill>
      </w14:textFill>
    </w:rPr>
  </w:style>
  <w:style w:type="character" w:styleId="42">
    <w:name w:val="HTML Code"/>
    <w:basedOn w:val="33"/>
    <w:autoRedefine/>
    <w:semiHidden/>
    <w:unhideWhenUsed/>
    <w:qFormat/>
    <w:uiPriority w:val="99"/>
    <w:rPr>
      <w:rFonts w:hint="default" w:ascii="monospace" w:hAnsi="monospace" w:eastAsia="monospace" w:cs="monospace"/>
      <w:sz w:val="20"/>
    </w:rPr>
  </w:style>
  <w:style w:type="character" w:styleId="43">
    <w:name w:val="annotation reference"/>
    <w:basedOn w:val="33"/>
    <w:autoRedefine/>
    <w:semiHidden/>
    <w:unhideWhenUsed/>
    <w:qFormat/>
    <w:uiPriority w:val="99"/>
    <w:rPr>
      <w:sz w:val="21"/>
      <w:szCs w:val="21"/>
    </w:rPr>
  </w:style>
  <w:style w:type="character" w:styleId="44">
    <w:name w:val="HTML Cite"/>
    <w:basedOn w:val="33"/>
    <w:autoRedefine/>
    <w:semiHidden/>
    <w:unhideWhenUsed/>
    <w:qFormat/>
    <w:uiPriority w:val="99"/>
  </w:style>
  <w:style w:type="character" w:styleId="45">
    <w:name w:val="HTML Keyboard"/>
    <w:basedOn w:val="33"/>
    <w:autoRedefine/>
    <w:semiHidden/>
    <w:unhideWhenUsed/>
    <w:qFormat/>
    <w:uiPriority w:val="99"/>
    <w:rPr>
      <w:rFonts w:hint="default" w:ascii="monospace" w:hAnsi="monospace" w:eastAsia="monospace" w:cs="monospace"/>
      <w:sz w:val="20"/>
    </w:rPr>
  </w:style>
  <w:style w:type="character" w:styleId="46">
    <w:name w:val="HTML Sample"/>
    <w:basedOn w:val="33"/>
    <w:autoRedefine/>
    <w:semiHidden/>
    <w:unhideWhenUsed/>
    <w:qFormat/>
    <w:uiPriority w:val="99"/>
    <w:rPr>
      <w:rFonts w:ascii="monospace" w:hAnsi="monospace" w:eastAsia="monospace" w:cs="monospace"/>
    </w:rPr>
  </w:style>
  <w:style w:type="paragraph" w:customStyle="1" w:styleId="47">
    <w:name w:val="表格文字"/>
    <w:basedOn w:val="14"/>
    <w:next w:val="13"/>
    <w:autoRedefine/>
    <w:qFormat/>
    <w:uiPriority w:val="0"/>
    <w:pPr>
      <w:ind w:firstLine="200"/>
    </w:pPr>
    <w:rPr>
      <w:rFonts w:ascii="Arial" w:hAnsi="Arial"/>
      <w:spacing w:val="-5"/>
      <w:kern w:val="0"/>
      <w:szCs w:val="20"/>
    </w:rPr>
  </w:style>
  <w:style w:type="character" w:customStyle="1" w:styleId="48">
    <w:name w:val="批注框文本 Char"/>
    <w:basedOn w:val="33"/>
    <w:link w:val="20"/>
    <w:autoRedefine/>
    <w:semiHidden/>
    <w:qFormat/>
    <w:uiPriority w:val="99"/>
    <w:rPr>
      <w:rFonts w:ascii="@仿宋_GB2312" w:hAnsi="@仿宋_GB2312" w:eastAsia="@仿宋_GB2312" w:cs="@仿宋_GB2312"/>
      <w:sz w:val="18"/>
      <w:szCs w:val="18"/>
    </w:rPr>
  </w:style>
  <w:style w:type="paragraph" w:customStyle="1" w:styleId="4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1">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3"/>
    <w:link w:val="22"/>
    <w:autoRedefine/>
    <w:qFormat/>
    <w:uiPriority w:val="99"/>
    <w:rPr>
      <w:rFonts w:ascii="@仿宋_GB2312" w:hAnsi="@仿宋_GB2312" w:eastAsia="@仿宋_GB2312" w:cs="@仿宋_GB2312"/>
      <w:sz w:val="18"/>
      <w:szCs w:val="18"/>
    </w:rPr>
  </w:style>
  <w:style w:type="character" w:customStyle="1" w:styleId="53">
    <w:name w:val="页脚 Char"/>
    <w:basedOn w:val="33"/>
    <w:link w:val="21"/>
    <w:autoRedefine/>
    <w:qFormat/>
    <w:uiPriority w:val="99"/>
    <w:rPr>
      <w:rFonts w:ascii="@仿宋_GB2312" w:hAnsi="@仿宋_GB2312" w:eastAsia="@仿宋_GB2312" w:cs="@仿宋_GB2312"/>
      <w:sz w:val="18"/>
      <w:szCs w:val="18"/>
    </w:rPr>
  </w:style>
  <w:style w:type="character" w:customStyle="1" w:styleId="54">
    <w:name w:val="纯文本 Char"/>
    <w:link w:val="18"/>
    <w:qFormat/>
    <w:uiPriority w:val="0"/>
    <w:rPr>
      <w:rFonts w:ascii="宋体" w:hAnsi="Courier New"/>
    </w:rPr>
  </w:style>
  <w:style w:type="character" w:customStyle="1" w:styleId="55">
    <w:name w:val="纯文本 字符1"/>
    <w:basedOn w:val="33"/>
    <w:autoRedefine/>
    <w:semiHidden/>
    <w:qFormat/>
    <w:uiPriority w:val="99"/>
    <w:rPr>
      <w:rFonts w:hAnsi="Courier New" w:cs="Courier New" w:asciiTheme="minorEastAsia"/>
      <w:szCs w:val="20"/>
    </w:rPr>
  </w:style>
  <w:style w:type="character" w:customStyle="1" w:styleId="56">
    <w:name w:val="未处理的提及1"/>
    <w:basedOn w:val="33"/>
    <w:autoRedefine/>
    <w:semiHidden/>
    <w:unhideWhenUsed/>
    <w:qFormat/>
    <w:uiPriority w:val="99"/>
    <w:rPr>
      <w:color w:val="605E5C"/>
      <w:shd w:val="clear" w:color="auto" w:fill="E1DFDD"/>
    </w:rPr>
  </w:style>
  <w:style w:type="paragraph" w:styleId="57">
    <w:name w:val="List Paragraph"/>
    <w:basedOn w:val="1"/>
    <w:qFormat/>
    <w:uiPriority w:val="34"/>
    <w:pPr>
      <w:ind w:firstLine="420" w:firstLineChars="200"/>
    </w:pPr>
  </w:style>
  <w:style w:type="paragraph" w:customStyle="1" w:styleId="58">
    <w:name w:val="Char Char Char Char Char Char Char1 Char"/>
    <w:basedOn w:val="1"/>
    <w:autoRedefine/>
    <w:qFormat/>
    <w:uiPriority w:val="0"/>
    <w:rPr>
      <w:rFonts w:ascii="Arial" w:hAnsi="Arial" w:eastAsia="宋体" w:cs="Arial"/>
      <w:sz w:val="24"/>
    </w:rPr>
  </w:style>
  <w:style w:type="table" w:customStyle="1" w:styleId="59">
    <w:name w:val="网格表 1 浅色1"/>
    <w:basedOn w:val="3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3"/>
    <w:autoRedefine/>
    <w:semiHidden/>
    <w:qFormat/>
    <w:uiPriority w:val="99"/>
    <w:rPr>
      <w:rFonts w:ascii="@仿宋_GB2312" w:hAnsi="@仿宋_GB2312" w:eastAsia="@仿宋_GB2312" w:cs="@仿宋_GB2312"/>
      <w:szCs w:val="20"/>
    </w:rPr>
  </w:style>
  <w:style w:type="character" w:customStyle="1" w:styleId="61">
    <w:name w:val="日期 Char"/>
    <w:link w:val="19"/>
    <w:autoRedefine/>
    <w:qFormat/>
    <w:uiPriority w:val="0"/>
    <w:rPr>
      <w:rFonts w:ascii="Arial" w:hAnsi="Arial" w:eastAsia="宋体" w:cs="Arial"/>
      <w:b/>
      <w:sz w:val="28"/>
      <w:szCs w:val="20"/>
    </w:rPr>
  </w:style>
  <w:style w:type="character" w:customStyle="1" w:styleId="62">
    <w:name w:val="纯文本 Char1"/>
    <w:autoRedefine/>
    <w:qFormat/>
    <w:locked/>
    <w:uiPriority w:val="99"/>
    <w:rPr>
      <w:rFonts w:ascii="Arial" w:hAnsi="Arial" w:eastAsia="Arial"/>
      <w:kern w:val="2"/>
      <w:sz w:val="21"/>
      <w:lang w:val="en-US" w:eastAsia="zh-CN" w:bidi="ar-SA"/>
    </w:rPr>
  </w:style>
  <w:style w:type="character" w:customStyle="1" w:styleId="63">
    <w:name w:val="批注文字 Char"/>
    <w:basedOn w:val="33"/>
    <w:autoRedefine/>
    <w:semiHidden/>
    <w:qFormat/>
    <w:uiPriority w:val="99"/>
    <w:rPr>
      <w:rFonts w:ascii="@仿宋_GB2312" w:hAnsi="@仿宋_GB2312" w:eastAsia="@仿宋_GB2312" w:cs="@仿宋_GB2312"/>
      <w:szCs w:val="20"/>
    </w:rPr>
  </w:style>
  <w:style w:type="character" w:customStyle="1" w:styleId="64">
    <w:name w:val="批注文字 Char1"/>
    <w:link w:val="12"/>
    <w:autoRedefine/>
    <w:qFormat/>
    <w:uiPriority w:val="0"/>
    <w:rPr>
      <w:rFonts w:ascii="Arial" w:hAnsi="Arial" w:eastAsia="黑体" w:cs="Arial"/>
      <w:szCs w:val="20"/>
    </w:rPr>
  </w:style>
  <w:style w:type="character" w:customStyle="1" w:styleId="65">
    <w:name w:val="标题 1 Char"/>
    <w:basedOn w:val="33"/>
    <w:link w:val="3"/>
    <w:autoRedefine/>
    <w:qFormat/>
    <w:uiPriority w:val="9"/>
    <w:rPr>
      <w:rFonts w:ascii="@仿宋_GB2312" w:hAnsi="@仿宋_GB2312" w:eastAsia="@仿宋_GB2312" w:cs="@仿宋_GB2312"/>
      <w:b/>
      <w:bCs/>
      <w:kern w:val="44"/>
      <w:sz w:val="44"/>
      <w:szCs w:val="44"/>
    </w:rPr>
  </w:style>
  <w:style w:type="paragraph" w:customStyle="1" w:styleId="6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标题 3 Char"/>
    <w:basedOn w:val="33"/>
    <w:link w:val="7"/>
    <w:autoRedefine/>
    <w:semiHidden/>
    <w:qFormat/>
    <w:uiPriority w:val="9"/>
    <w:rPr>
      <w:rFonts w:ascii="@仿宋_GB2312" w:hAnsi="@仿宋_GB2312" w:eastAsia="@仿宋_GB2312" w:cs="@仿宋_GB2312"/>
      <w:b/>
      <w:bCs/>
      <w:sz w:val="32"/>
      <w:szCs w:val="32"/>
    </w:rPr>
  </w:style>
  <w:style w:type="character" w:customStyle="1" w:styleId="68">
    <w:name w:val="fontstyle01"/>
    <w:basedOn w:val="33"/>
    <w:autoRedefine/>
    <w:qFormat/>
    <w:uiPriority w:val="0"/>
    <w:rPr>
      <w:rFonts w:hint="eastAsia" w:ascii="宋体" w:hAnsi="宋体" w:eastAsia="宋体"/>
      <w:color w:val="000000"/>
      <w:sz w:val="22"/>
      <w:szCs w:val="22"/>
    </w:rPr>
  </w:style>
  <w:style w:type="character" w:customStyle="1" w:styleId="69">
    <w:name w:val="fontstyle21"/>
    <w:basedOn w:val="33"/>
    <w:autoRedefine/>
    <w:qFormat/>
    <w:uiPriority w:val="0"/>
    <w:rPr>
      <w:rFonts w:hint="default" w:ascii="TimesNewRomanPSMT" w:hAnsi="TimesNewRomanPSMT"/>
      <w:color w:val="000000"/>
      <w:sz w:val="22"/>
      <w:szCs w:val="22"/>
    </w:rPr>
  </w:style>
  <w:style w:type="character" w:customStyle="1" w:styleId="7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3"/>
    <w:autoRedefine/>
    <w:semiHidden/>
    <w:qFormat/>
    <w:uiPriority w:val="9"/>
    <w:rPr>
      <w:rFonts w:asciiTheme="majorHAnsi" w:hAnsiTheme="majorHAnsi" w:eastAsiaTheme="majorEastAsia" w:cstheme="majorBidi"/>
      <w:b/>
      <w:bCs/>
      <w:sz w:val="28"/>
      <w:szCs w:val="28"/>
    </w:rPr>
  </w:style>
  <w:style w:type="character" w:customStyle="1" w:styleId="72">
    <w:name w:val="标题 4 Char1"/>
    <w:link w:val="8"/>
    <w:qFormat/>
    <w:uiPriority w:val="0"/>
    <w:rPr>
      <w:rFonts w:ascii="@仿宋_GB2312" w:hAnsi="@仿宋_GB2312" w:eastAsia="@仿宋_GB2312" w:cs="@仿宋_GB2312"/>
      <w:b/>
      <w:bCs/>
      <w:sz w:val="28"/>
      <w:szCs w:val="28"/>
    </w:rPr>
  </w:style>
  <w:style w:type="character" w:customStyle="1" w:styleId="73">
    <w:name w:val="标题 4 Char"/>
    <w:qFormat/>
    <w:uiPriority w:val="0"/>
    <w:rPr>
      <w:rFonts w:ascii="Arial" w:hAnsi="Arial" w:eastAsia="Arial"/>
      <w:b/>
      <w:bCs/>
      <w:kern w:val="2"/>
      <w:sz w:val="28"/>
      <w:szCs w:val="28"/>
      <w:lang w:val="en-US" w:eastAsia="zh-CN" w:bidi="ar-SA"/>
    </w:rPr>
  </w:style>
  <w:style w:type="table" w:customStyle="1" w:styleId="74">
    <w:name w:val="网格型1"/>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批注主题 Char"/>
    <w:basedOn w:val="64"/>
    <w:link w:val="28"/>
    <w:autoRedefine/>
    <w:semiHidden/>
    <w:qFormat/>
    <w:uiPriority w:val="99"/>
    <w:rPr>
      <w:rFonts w:ascii="@仿宋_GB2312" w:hAnsi="@仿宋_GB2312" w:eastAsia="@仿宋_GB2312" w:cs="@仿宋_GB2312"/>
      <w:b/>
      <w:bCs/>
      <w:szCs w:val="20"/>
    </w:rPr>
  </w:style>
  <w:style w:type="table" w:customStyle="1" w:styleId="76">
    <w:name w:val="Table Normal"/>
    <w:autoRedefine/>
    <w:semiHidden/>
    <w:unhideWhenUsed/>
    <w:qFormat/>
    <w:uiPriority w:val="0"/>
    <w:tblPr>
      <w:tblCellMar>
        <w:top w:w="0" w:type="dxa"/>
        <w:left w:w="0" w:type="dxa"/>
        <w:bottom w:w="0" w:type="dxa"/>
        <w:right w:w="0" w:type="dxa"/>
      </w:tblCellMar>
    </w:tblPr>
  </w:style>
  <w:style w:type="paragraph" w:customStyle="1" w:styleId="77">
    <w:name w:val="Table Text"/>
    <w:basedOn w:val="1"/>
    <w:autoRedefine/>
    <w:semiHidden/>
    <w:qFormat/>
    <w:uiPriority w:val="0"/>
    <w:rPr>
      <w:rFonts w:ascii="Arial" w:hAnsi="Arial" w:eastAsia="Arial" w:cs="Arial"/>
      <w:szCs w:val="21"/>
      <w:lang w:eastAsia="en-US"/>
    </w:rPr>
  </w:style>
  <w:style w:type="paragraph" w:customStyle="1" w:styleId="78">
    <w:name w:val="正文样式"/>
    <w:basedOn w:val="30"/>
    <w:autoRedefine/>
    <w:qFormat/>
    <w:uiPriority w:val="0"/>
    <w:pPr>
      <w:autoSpaceDE w:val="0"/>
      <w:autoSpaceDN w:val="0"/>
      <w:adjustRightInd w:val="0"/>
      <w:spacing w:after="0"/>
      <w:ind w:left="0" w:leftChars="0"/>
      <w:jc w:val="left"/>
    </w:pPr>
    <w:rPr>
      <w:rFonts w:cs="宋体"/>
      <w:color w:val="000000"/>
      <w:lang w:val="zh-CN"/>
    </w:rPr>
  </w:style>
  <w:style w:type="character" w:customStyle="1" w:styleId="79">
    <w:name w:val="hover"/>
    <w:basedOn w:val="33"/>
    <w:qFormat/>
    <w:uiPriority w:val="0"/>
  </w:style>
  <w:style w:type="character" w:customStyle="1" w:styleId="80">
    <w:name w:val="hover1"/>
    <w:basedOn w:val="33"/>
    <w:autoRedefine/>
    <w:qFormat/>
    <w:uiPriority w:val="0"/>
    <w:rPr>
      <w:color w:val="2590EB"/>
    </w:rPr>
  </w:style>
  <w:style w:type="character" w:customStyle="1" w:styleId="81">
    <w:name w:val="hover2"/>
    <w:basedOn w:val="33"/>
    <w:qFormat/>
    <w:uiPriority w:val="0"/>
    <w:rPr>
      <w:color w:val="2590EB"/>
    </w:rPr>
  </w:style>
  <w:style w:type="character" w:customStyle="1" w:styleId="82">
    <w:name w:val="hover3"/>
    <w:basedOn w:val="33"/>
    <w:autoRedefine/>
    <w:qFormat/>
    <w:uiPriority w:val="0"/>
    <w:rPr>
      <w:color w:val="2590EB"/>
      <w:shd w:val="clear" w:fill="E9F4FD"/>
    </w:rPr>
  </w:style>
  <w:style w:type="character" w:customStyle="1" w:styleId="83">
    <w:name w:val="hover4"/>
    <w:basedOn w:val="33"/>
    <w:autoRedefine/>
    <w:qFormat/>
    <w:uiPriority w:val="0"/>
    <w:rPr>
      <w:color w:val="2590EB"/>
      <w:shd w:val="clear" w:fill="E9F4FD"/>
    </w:rPr>
  </w:style>
  <w:style w:type="paragraph" w:styleId="84">
    <w:name w:val="No Spacing"/>
    <w:basedOn w:val="1"/>
    <w:qFormat/>
    <w:uiPriority w:val="1"/>
    <w:pPr>
      <w:widowControl w:val="0"/>
      <w:spacing w:line="360" w:lineRule="auto"/>
      <w:jc w:val="both"/>
    </w:pPr>
    <w:rPr>
      <w:rFonts w:ascii="宋体" w:hAnsi="宋体" w:eastAsia="宋体" w:cstheme="minorBidi"/>
      <w:kern w:val="2"/>
      <w:sz w:val="24"/>
      <w:szCs w:val="24"/>
      <w:lang w:val="en-US" w:eastAsia="zh-CN" w:bidi="ar-SA"/>
    </w:rPr>
  </w:style>
  <w:style w:type="paragraph" w:customStyle="1" w:styleId="85">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6">
    <w:name w:val="纯文本1"/>
    <w:basedOn w:val="1"/>
    <w:autoRedefine/>
    <w:qFormat/>
    <w:uiPriority w:val="0"/>
    <w:rPr>
      <w:rFonts w:ascii="Arial" w:hAnsi="Arial" w:eastAsia="Arial" w:cstheme="minorBidi"/>
      <w:szCs w:val="22"/>
    </w:rPr>
  </w:style>
  <w:style w:type="character" w:customStyle="1" w:styleId="87">
    <w:name w:val="mini-outputtext1"/>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akoosky</Company>
  <Pages>103</Pages>
  <Words>2873</Words>
  <Characters>3274</Characters>
  <Lines>315</Lines>
  <Paragraphs>88</Paragraphs>
  <TotalTime>0</TotalTime>
  <ScaleCrop>false</ScaleCrop>
  <LinksUpToDate>false</LinksUpToDate>
  <CharactersWithSpaces>3373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2019-05-07T06:32:00Z</dcterms:created>
  <dc:creator>Anakin</dc:creator>
  <cp:lastModifiedBy>傻傻一辈子</cp:lastModifiedBy>
  <cp:lastPrinted>2024-11-20T07:00:00Z</cp:lastPrinted>
  <dcterms:modified xsi:type="dcterms:W3CDTF">2025-05-19T11:30:31Z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650237A8C58546B39AB303B98AF524CA_13</vt:lpwstr>
  </property>
  <property fmtid="{D5CDD505-2E9C-101B-9397-08002B2CF9AE}" pid="4" name="KSOTemplateDocerSaveRecord">
    <vt:lpwstr>eyJoZGlkIjoiMTljMDcwYWJmYjExZWQzNTVmZDAzZTYwM2JlMzJmZDYiLCJ1c2VySWQiOiIzODU2Mzk2OTQifQ==</vt:lpwstr>
  </property>
</Properties>
</file>