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7D945">
      <w:pPr>
        <w:pStyle w:val="35"/>
        <w:ind w:left="0" w:leftChars="0" w:firstLineChars="0"/>
        <w:jc w:val="center"/>
        <w:rPr>
          <w:rFonts w:hint="eastAsia" w:ascii="新宋体" w:hAnsi="新宋体" w:eastAsia="新宋体"/>
          <w:b/>
          <w:color w:val="auto"/>
          <w:sz w:val="44"/>
          <w:szCs w:val="44"/>
          <w:highlight w:val="none"/>
        </w:rPr>
      </w:pPr>
      <w:bookmarkStart w:id="0" w:name="OLE_LINK1"/>
    </w:p>
    <w:p w14:paraId="1B605333">
      <w:pPr>
        <w:keepNext w:val="0"/>
        <w:keepLines w:val="0"/>
        <w:pageBreakBefore w:val="0"/>
        <w:widowControl w:val="0"/>
        <w:kinsoku/>
        <w:wordWrap/>
        <w:overflowPunct/>
        <w:topLinePunct w:val="0"/>
        <w:autoSpaceDE/>
        <w:autoSpaceDN/>
        <w:bidi w:val="0"/>
        <w:adjustRightInd/>
        <w:snapToGrid/>
        <w:spacing w:before="313" w:beforeLines="100" w:after="313" w:afterLines="100" w:line="720" w:lineRule="exact"/>
        <w:ind w:left="-850" w:leftChars="-405" w:right="-624"/>
        <w:jc w:val="center"/>
        <w:textAlignment w:val="auto"/>
        <w:rPr>
          <w:rFonts w:hint="default" w:ascii="新宋体" w:hAnsi="新宋体" w:eastAsia="新宋体"/>
          <w:b/>
          <w:color w:val="auto"/>
          <w:sz w:val="40"/>
          <w:szCs w:val="40"/>
          <w:highlight w:val="none"/>
          <w:lang w:val="en-US" w:eastAsia="zh-CN"/>
        </w:rPr>
      </w:pPr>
      <w:r>
        <w:rPr>
          <w:rFonts w:hint="eastAsia" w:ascii="新宋体" w:hAnsi="新宋体" w:eastAsia="新宋体"/>
          <w:b/>
          <w:color w:val="auto"/>
          <w:sz w:val="40"/>
          <w:szCs w:val="40"/>
          <w:highlight w:val="none"/>
          <w:lang w:val="en-US" w:eastAsia="zh-CN"/>
        </w:rPr>
        <w:t>滁州市兴滁实业有限公司智能称重系统服务采购项目（二次）</w:t>
      </w:r>
    </w:p>
    <w:p w14:paraId="51B61EA3">
      <w:pPr>
        <w:spacing w:before="156" w:beforeLines="50" w:after="156" w:afterLines="50"/>
        <w:ind w:left="-850" w:leftChars="-405" w:right="-625"/>
        <w:jc w:val="center"/>
        <w:rPr>
          <w:rFonts w:hint="eastAsia" w:ascii="宋体" w:hAnsi="宋体"/>
          <w:color w:val="auto"/>
          <w:sz w:val="40"/>
          <w:szCs w:val="36"/>
          <w:highlight w:val="none"/>
        </w:rPr>
      </w:pPr>
      <w:r>
        <w:rPr>
          <w:rFonts w:hint="eastAsia" w:ascii="宋体" w:hAnsi="宋体"/>
          <w:color w:val="auto"/>
          <w:sz w:val="40"/>
          <w:szCs w:val="36"/>
          <w:highlight w:val="none"/>
        </w:rPr>
        <w:t>（电子招标投标）</w:t>
      </w:r>
    </w:p>
    <w:p w14:paraId="33CCBE3D">
      <w:pPr>
        <w:pStyle w:val="35"/>
        <w:ind w:left="0" w:leftChars="0" w:firstLine="2880" w:firstLineChars="1200"/>
        <w:rPr>
          <w:rFonts w:hint="eastAsia" w:eastAsia="宋体"/>
          <w:color w:val="auto"/>
          <w:sz w:val="24"/>
          <w:highlight w:val="none"/>
          <w:lang w:val="en-US" w:eastAsia="zh-CN"/>
        </w:rPr>
      </w:pPr>
      <w:r>
        <w:rPr>
          <w:rFonts w:hint="eastAsia"/>
          <w:color w:val="auto"/>
          <w:sz w:val="24"/>
          <w:highlight w:val="none"/>
        </w:rPr>
        <w:t>项目编号：HXJY1110001065252001</w:t>
      </w:r>
      <w:r>
        <w:rPr>
          <w:rFonts w:hint="eastAsia"/>
          <w:color w:val="auto"/>
          <w:sz w:val="24"/>
          <w:highlight w:val="none"/>
          <w:lang w:val="en-US" w:eastAsia="zh-CN"/>
        </w:rPr>
        <w:t xml:space="preserve"> </w:t>
      </w:r>
    </w:p>
    <w:p w14:paraId="216F799A">
      <w:pPr>
        <w:pStyle w:val="54"/>
        <w:ind w:firstLine="0" w:firstLineChars="0"/>
        <w:rPr>
          <w:rFonts w:hint="eastAsia"/>
          <w:color w:val="auto"/>
          <w:highlight w:val="none"/>
        </w:rPr>
      </w:pPr>
    </w:p>
    <w:p w14:paraId="3AC38706">
      <w:pPr>
        <w:pStyle w:val="54"/>
        <w:ind w:firstLine="480"/>
        <w:rPr>
          <w:rFonts w:hint="eastAsia"/>
          <w:color w:val="auto"/>
          <w:highlight w:val="none"/>
        </w:rPr>
      </w:pPr>
    </w:p>
    <w:p w14:paraId="709B84C5">
      <w:pPr>
        <w:rPr>
          <w:rFonts w:hint="eastAsia" w:ascii="宋体"/>
          <w:bCs/>
          <w:color w:val="auto"/>
          <w:szCs w:val="21"/>
          <w:highlight w:val="none"/>
        </w:rPr>
      </w:pPr>
    </w:p>
    <w:p w14:paraId="1FEF534C">
      <w:pPr>
        <w:spacing w:line="312" w:lineRule="auto"/>
        <w:jc w:val="center"/>
        <w:rPr>
          <w:rFonts w:ascii="宋体" w:hAnsi="宋体"/>
          <w:b/>
          <w:color w:val="auto"/>
          <w:sz w:val="84"/>
          <w:szCs w:val="84"/>
          <w:highlight w:val="none"/>
        </w:rPr>
      </w:pPr>
      <w:r>
        <w:rPr>
          <w:rFonts w:hint="eastAsia" w:ascii="宋体" w:hAnsi="宋体"/>
          <w:b/>
          <w:color w:val="auto"/>
          <w:sz w:val="84"/>
          <w:szCs w:val="84"/>
          <w:highlight w:val="none"/>
        </w:rPr>
        <w:t>招 标 文 件</w:t>
      </w:r>
    </w:p>
    <w:p w14:paraId="0EE464DE">
      <w:pPr>
        <w:rPr>
          <w:rFonts w:hint="eastAsia" w:ascii="宋体"/>
          <w:bCs/>
          <w:color w:val="auto"/>
          <w:szCs w:val="21"/>
          <w:highlight w:val="none"/>
        </w:rPr>
      </w:pPr>
    </w:p>
    <w:p w14:paraId="45AA546C">
      <w:pPr>
        <w:rPr>
          <w:rFonts w:hint="eastAsia" w:ascii="宋体" w:hAnsi="宋体" w:eastAsia="宋体"/>
          <w:b/>
          <w:color w:val="auto"/>
          <w:sz w:val="84"/>
          <w:szCs w:val="84"/>
          <w:highlight w:val="none"/>
          <w:lang w:val="en-US" w:eastAsia="zh-CN"/>
        </w:rPr>
      </w:pPr>
      <w:r>
        <w:rPr>
          <w:rFonts w:hint="eastAsia" w:ascii="宋体" w:hAnsi="宋体"/>
          <w:b/>
          <w:color w:val="auto"/>
          <w:sz w:val="84"/>
          <w:szCs w:val="84"/>
          <w:highlight w:val="none"/>
          <w:lang w:val="en-US" w:eastAsia="zh-CN"/>
        </w:rPr>
        <w:t xml:space="preserve"> </w:t>
      </w:r>
    </w:p>
    <w:p w14:paraId="7B49D7DD">
      <w:pPr>
        <w:pStyle w:val="15"/>
        <w:ind w:left="420"/>
        <w:rPr>
          <w:rFonts w:hint="eastAsia"/>
          <w:color w:val="auto"/>
          <w:highlight w:val="none"/>
        </w:rPr>
      </w:pPr>
    </w:p>
    <w:p w14:paraId="1CBF342A">
      <w:pPr>
        <w:rPr>
          <w:rFonts w:hint="eastAsia"/>
          <w:color w:val="auto"/>
          <w:highlight w:val="none"/>
        </w:rPr>
      </w:pPr>
    </w:p>
    <w:p w14:paraId="1A5B88F5">
      <w:pPr>
        <w:pStyle w:val="35"/>
        <w:ind w:firstLine="400"/>
        <w:rPr>
          <w:rFonts w:hint="eastAsia"/>
          <w:color w:val="auto"/>
          <w:highlight w:val="none"/>
        </w:rPr>
      </w:pPr>
    </w:p>
    <w:p w14:paraId="19691AFF">
      <w:pPr>
        <w:spacing w:before="312" w:beforeLines="100" w:after="312" w:afterLines="100" w:line="360" w:lineRule="auto"/>
        <w:jc w:val="left"/>
        <w:rPr>
          <w:rFonts w:hint="eastAsia" w:ascii="宋体"/>
          <w:b/>
          <w:color w:val="auto"/>
          <w:sz w:val="32"/>
          <w:szCs w:val="32"/>
          <w:highlight w:val="none"/>
        </w:rPr>
      </w:pPr>
    </w:p>
    <w:p w14:paraId="174D4958">
      <w:pPr>
        <w:spacing w:before="312" w:beforeLines="100" w:after="312" w:afterLines="100" w:line="360" w:lineRule="auto"/>
        <w:jc w:val="left"/>
        <w:rPr>
          <w:rFonts w:hint="eastAsia" w:ascii="宋体"/>
          <w:b/>
          <w:color w:val="auto"/>
          <w:sz w:val="32"/>
          <w:szCs w:val="32"/>
          <w:highlight w:val="none"/>
        </w:rPr>
      </w:pPr>
    </w:p>
    <w:p w14:paraId="6043E391">
      <w:pPr>
        <w:pStyle w:val="35"/>
        <w:rPr>
          <w:rFonts w:hint="eastAsia"/>
          <w:color w:val="auto"/>
          <w:highlight w:val="none"/>
        </w:rPr>
      </w:pPr>
    </w:p>
    <w:p w14:paraId="318B7911">
      <w:pPr>
        <w:keepNext w:val="0"/>
        <w:keepLines w:val="0"/>
        <w:pageBreakBefore w:val="0"/>
        <w:widowControl/>
        <w:kinsoku/>
        <w:wordWrap/>
        <w:overflowPunct/>
        <w:topLinePunct w:val="0"/>
        <w:autoSpaceDE/>
        <w:autoSpaceDN/>
        <w:bidi w:val="0"/>
        <w:adjustRightInd/>
        <w:snapToGrid/>
        <w:spacing w:before="157" w:beforeLines="50" w:after="157" w:afterLines="50" w:line="640" w:lineRule="exact"/>
        <w:ind w:firstLine="0" w:firstLineChars="0"/>
        <w:jc w:val="center"/>
        <w:textAlignment w:val="baseline"/>
        <w:rPr>
          <w:rFonts w:hint="eastAsia" w:ascii="宋体" w:hAnsi="宋体" w:cs="宋体"/>
          <w:b/>
          <w:bCs/>
          <w:color w:val="auto"/>
          <w:sz w:val="32"/>
          <w:szCs w:val="32"/>
          <w:highlight w:val="none"/>
        </w:rPr>
      </w:pPr>
      <w:r>
        <w:rPr>
          <w:rFonts w:hint="eastAsia" w:ascii="宋体"/>
          <w:b/>
          <w:color w:val="auto"/>
          <w:sz w:val="32"/>
          <w:szCs w:val="32"/>
          <w:highlight w:val="none"/>
          <w:lang w:val="en-US" w:eastAsia="zh-CN"/>
        </w:rPr>
        <w:t xml:space="preserve">    </w:t>
      </w:r>
      <w:r>
        <w:rPr>
          <w:rFonts w:hint="eastAsia" w:ascii="宋体"/>
          <w:b/>
          <w:color w:val="auto"/>
          <w:sz w:val="32"/>
          <w:szCs w:val="32"/>
          <w:highlight w:val="none"/>
        </w:rPr>
        <w:t>招标人：</w:t>
      </w:r>
      <w:r>
        <w:rPr>
          <w:rFonts w:hint="eastAsia" w:ascii="宋体" w:hAnsi="宋体" w:cs="宋体"/>
          <w:b/>
          <w:bCs/>
          <w:color w:val="auto"/>
          <w:sz w:val="32"/>
          <w:szCs w:val="32"/>
          <w:highlight w:val="none"/>
          <w:u w:val="single"/>
          <w:lang w:val="en-US" w:eastAsia="zh-CN"/>
        </w:rPr>
        <w:t>滁州市兴滁实业有限公司</w:t>
      </w:r>
      <w:r>
        <w:rPr>
          <w:rFonts w:hint="eastAsia" w:ascii="宋体" w:hAnsi="宋体" w:cs="宋体"/>
          <w:b/>
          <w:bCs/>
          <w:color w:val="auto"/>
          <w:sz w:val="32"/>
          <w:szCs w:val="32"/>
          <w:highlight w:val="none"/>
        </w:rPr>
        <w:t>（盖章）</w:t>
      </w:r>
    </w:p>
    <w:p w14:paraId="5BB4618C">
      <w:pPr>
        <w:spacing w:before="312" w:beforeLines="100" w:after="312" w:afterLines="100" w:line="480" w:lineRule="auto"/>
        <w:ind w:firstLine="964" w:firstLineChars="300"/>
        <w:rPr>
          <w:rFonts w:hint="eastAsia" w:ascii="宋体"/>
          <w:b/>
          <w:color w:val="auto"/>
          <w:sz w:val="32"/>
          <w:szCs w:val="32"/>
          <w:highlight w:val="none"/>
          <w:u w:val="single"/>
        </w:rPr>
      </w:pPr>
      <w:r>
        <w:rPr>
          <w:rFonts w:hint="eastAsia" w:ascii="宋体"/>
          <w:b/>
          <w:color w:val="auto"/>
          <w:sz w:val="32"/>
          <w:szCs w:val="32"/>
          <w:highlight w:val="none"/>
        </w:rPr>
        <w:t>代理机构：</w:t>
      </w:r>
      <w:r>
        <w:rPr>
          <w:rFonts w:hint="eastAsia" w:ascii="宋体"/>
          <w:b/>
          <w:color w:val="auto"/>
          <w:sz w:val="32"/>
          <w:szCs w:val="32"/>
          <w:highlight w:val="none"/>
          <w:u w:val="single"/>
        </w:rPr>
        <w:t>滁州市城投工程咨询管理有限公司</w:t>
      </w:r>
      <w:r>
        <w:rPr>
          <w:rFonts w:hint="eastAsia" w:ascii="宋体"/>
          <w:b/>
          <w:color w:val="auto"/>
          <w:sz w:val="32"/>
          <w:szCs w:val="32"/>
          <w:highlight w:val="none"/>
        </w:rPr>
        <w:t>（盖章）</w:t>
      </w:r>
    </w:p>
    <w:p w14:paraId="55E78F6C">
      <w:pPr>
        <w:spacing w:before="312" w:beforeLines="100" w:after="312" w:afterLines="100" w:line="480" w:lineRule="auto"/>
        <w:jc w:val="center"/>
        <w:rPr>
          <w:rFonts w:hint="eastAsia" w:ascii="宋体"/>
          <w:b/>
          <w:color w:val="auto"/>
          <w:sz w:val="32"/>
          <w:szCs w:val="32"/>
          <w:highlight w:val="none"/>
        </w:rPr>
      </w:pPr>
      <w:r>
        <w:rPr>
          <w:rFonts w:hint="eastAsia" w:ascii="宋体"/>
          <w:b/>
          <w:color w:val="auto"/>
          <w:sz w:val="32"/>
          <w:szCs w:val="32"/>
          <w:highlight w:val="none"/>
          <w:u w:val="single"/>
        </w:rPr>
        <w:t>202</w:t>
      </w:r>
      <w:r>
        <w:rPr>
          <w:rFonts w:hint="eastAsia" w:ascii="宋体"/>
          <w:b/>
          <w:color w:val="auto"/>
          <w:sz w:val="32"/>
          <w:szCs w:val="32"/>
          <w:highlight w:val="none"/>
          <w:u w:val="single"/>
          <w:lang w:val="en-US" w:eastAsia="zh-CN"/>
        </w:rPr>
        <w:t>6</w:t>
      </w:r>
      <w:r>
        <w:rPr>
          <w:rFonts w:hint="eastAsia" w:ascii="宋体"/>
          <w:b/>
          <w:color w:val="auto"/>
          <w:sz w:val="32"/>
          <w:szCs w:val="32"/>
          <w:highlight w:val="none"/>
        </w:rPr>
        <w:t>年</w:t>
      </w:r>
      <w:r>
        <w:rPr>
          <w:rFonts w:hint="eastAsia" w:ascii="宋体"/>
          <w:b/>
          <w:color w:val="auto"/>
          <w:sz w:val="32"/>
          <w:szCs w:val="32"/>
          <w:highlight w:val="none"/>
          <w:u w:val="single"/>
          <w:lang w:val="en-US" w:eastAsia="zh-CN"/>
        </w:rPr>
        <w:t>10</w:t>
      </w:r>
      <w:r>
        <w:rPr>
          <w:rFonts w:hint="eastAsia" w:ascii="宋体"/>
          <w:b/>
          <w:color w:val="auto"/>
          <w:sz w:val="32"/>
          <w:szCs w:val="32"/>
          <w:highlight w:val="none"/>
        </w:rPr>
        <w:t>月</w:t>
      </w:r>
    </w:p>
    <w:p w14:paraId="39F74082">
      <w:pPr>
        <w:pStyle w:val="15"/>
        <w:ind w:left="0" w:leftChars="0" w:firstLine="0" w:firstLineChars="0"/>
        <w:rPr>
          <w:rFonts w:hint="eastAsia"/>
          <w:color w:val="auto"/>
          <w:highlight w:val="none"/>
        </w:rPr>
      </w:pPr>
    </w:p>
    <w:p w14:paraId="53F4FBFB">
      <w:pPr>
        <w:spacing w:line="360" w:lineRule="exact"/>
        <w:jc w:val="center"/>
        <w:rPr>
          <w:rFonts w:hint="eastAsia"/>
          <w:b/>
          <w:color w:val="auto"/>
          <w:sz w:val="36"/>
          <w:highlight w:val="none"/>
        </w:rPr>
      </w:pPr>
    </w:p>
    <w:p w14:paraId="071BEA33">
      <w:pPr>
        <w:spacing w:line="360" w:lineRule="auto"/>
        <w:jc w:val="center"/>
        <w:rPr>
          <w:rFonts w:hint="eastAsia"/>
          <w:b/>
          <w:color w:val="auto"/>
          <w:sz w:val="36"/>
          <w:highlight w:val="none"/>
        </w:rPr>
      </w:pPr>
      <w:r>
        <w:rPr>
          <w:rFonts w:hint="eastAsia"/>
          <w:b/>
          <w:color w:val="auto"/>
          <w:sz w:val="44"/>
          <w:szCs w:val="32"/>
          <w:highlight w:val="none"/>
        </w:rPr>
        <w:t>目  录</w:t>
      </w:r>
    </w:p>
    <w:p w14:paraId="7864DC8A">
      <w:pPr>
        <w:pStyle w:val="25"/>
        <w:tabs>
          <w:tab w:val="right" w:leader="dot" w:pos="9072"/>
        </w:tabs>
        <w:spacing w:line="700" w:lineRule="exact"/>
        <w:rPr>
          <w:rFonts w:hint="eastAsia" w:ascii="宋体" w:hAnsi="宋体" w:cs="宋体"/>
          <w:color w:val="auto"/>
          <w:sz w:val="30"/>
          <w:szCs w:val="30"/>
          <w:highlight w:val="none"/>
        </w:rPr>
      </w:pP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TOC \o "1-3" \h \z \u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HYPERLINK \l _Toc17328 </w:instrText>
      </w:r>
      <w:r>
        <w:rPr>
          <w:rFonts w:hint="eastAsia" w:ascii="宋体" w:hAnsi="宋体" w:cs="宋体"/>
          <w:color w:val="auto"/>
          <w:sz w:val="30"/>
          <w:szCs w:val="30"/>
          <w:highlight w:val="none"/>
        </w:rPr>
        <w:fldChar w:fldCharType="separate"/>
      </w:r>
      <w:r>
        <w:rPr>
          <w:rFonts w:hint="eastAsia" w:ascii="宋体" w:hAnsi="宋体" w:cs="宋体"/>
          <w:bCs/>
          <w:color w:val="auto"/>
          <w:sz w:val="30"/>
          <w:szCs w:val="30"/>
          <w:highlight w:val="none"/>
        </w:rPr>
        <w:t>第一章 招标公告</w:t>
      </w:r>
      <w:r>
        <w:rPr>
          <w:rFonts w:hint="eastAsia" w:ascii="宋体" w:hAnsi="宋体" w:cs="宋体"/>
          <w:color w:val="auto"/>
          <w:sz w:val="30"/>
          <w:szCs w:val="30"/>
          <w:highlight w:val="none"/>
        </w:rPr>
        <w:tab/>
      </w:r>
      <w:r>
        <w:rPr>
          <w:rFonts w:hint="eastAsia" w:ascii="宋体" w:hAnsi="宋体" w:cs="宋体"/>
          <w:color w:val="auto"/>
          <w:sz w:val="30"/>
          <w:szCs w:val="30"/>
          <w:highlight w:val="none"/>
          <w:lang w:val="en-US" w:eastAsia="zh-CN"/>
        </w:rPr>
        <w:t>3</w:t>
      </w:r>
      <w:r>
        <w:rPr>
          <w:rFonts w:hint="eastAsia" w:ascii="宋体" w:hAnsi="宋体" w:cs="宋体"/>
          <w:color w:val="auto"/>
          <w:sz w:val="30"/>
          <w:szCs w:val="30"/>
          <w:highlight w:val="none"/>
        </w:rPr>
        <w:fldChar w:fldCharType="end"/>
      </w:r>
    </w:p>
    <w:p w14:paraId="6A8F6AEB">
      <w:pPr>
        <w:pStyle w:val="25"/>
        <w:tabs>
          <w:tab w:val="right" w:leader="dot" w:pos="9072"/>
        </w:tabs>
        <w:spacing w:line="700" w:lineRule="exact"/>
        <w:rPr>
          <w:rFonts w:hint="eastAsia" w:ascii="宋体" w:hAnsi="宋体" w:eastAsia="宋体" w:cs="宋体"/>
          <w:color w:val="auto"/>
          <w:sz w:val="30"/>
          <w:szCs w:val="30"/>
          <w:highlight w:val="none"/>
          <w:lang w:val="en-US" w:eastAsia="zh-CN"/>
        </w:rPr>
      </w:pP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HYPERLINK \l _Toc20364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第二章 投标人须知</w:t>
      </w:r>
      <w:r>
        <w:rPr>
          <w:rFonts w:hint="eastAsia" w:ascii="宋体" w:hAnsi="宋体" w:cs="宋体"/>
          <w:color w:val="auto"/>
          <w:sz w:val="30"/>
          <w:szCs w:val="30"/>
          <w:highlight w:val="none"/>
        </w:rPr>
        <w:tab/>
      </w:r>
      <w:r>
        <w:rPr>
          <w:rFonts w:hint="eastAsia" w:ascii="宋体" w:hAnsi="宋体" w:cs="宋体"/>
          <w:color w:val="auto"/>
          <w:sz w:val="30"/>
          <w:szCs w:val="30"/>
          <w:highlight w:val="none"/>
          <w:lang w:val="en-US" w:eastAsia="zh-CN"/>
        </w:rPr>
        <w:t>8</w:t>
      </w:r>
      <w:r>
        <w:rPr>
          <w:rFonts w:hint="eastAsia" w:ascii="宋体" w:hAnsi="宋体" w:cs="宋体"/>
          <w:color w:val="auto"/>
          <w:sz w:val="30"/>
          <w:szCs w:val="30"/>
          <w:highlight w:val="none"/>
        </w:rPr>
        <w:fldChar w:fldCharType="end"/>
      </w:r>
    </w:p>
    <w:p w14:paraId="66C872C9">
      <w:pPr>
        <w:pStyle w:val="25"/>
        <w:tabs>
          <w:tab w:val="right" w:leader="dot" w:pos="9072"/>
        </w:tabs>
        <w:spacing w:line="700" w:lineRule="exact"/>
        <w:rPr>
          <w:rFonts w:hint="eastAsia" w:ascii="宋体" w:hAnsi="宋体" w:eastAsia="宋体" w:cs="宋体"/>
          <w:color w:val="auto"/>
          <w:sz w:val="30"/>
          <w:szCs w:val="30"/>
          <w:highlight w:val="none"/>
          <w:lang w:eastAsia="zh-CN"/>
        </w:rPr>
      </w:pP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HYPERLINK \l _Toc28871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第三章 评标办法（综合评分法）</w:t>
      </w:r>
      <w:r>
        <w:rPr>
          <w:rFonts w:hint="eastAsia" w:ascii="宋体" w:hAnsi="宋体" w:cs="宋体"/>
          <w:color w:val="auto"/>
          <w:sz w:val="30"/>
          <w:szCs w:val="30"/>
          <w:highlight w:val="none"/>
        </w:rPr>
        <w:tab/>
      </w:r>
      <w:r>
        <w:rPr>
          <w:rFonts w:hint="eastAsia" w:ascii="宋体" w:hAnsi="宋体" w:cs="宋体"/>
          <w:color w:val="auto"/>
          <w:sz w:val="30"/>
          <w:szCs w:val="30"/>
          <w:highlight w:val="none"/>
          <w:lang w:val="en-US" w:eastAsia="zh-CN"/>
        </w:rPr>
        <w:t>2</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lang w:val="en-US" w:eastAsia="zh-CN"/>
        </w:rPr>
        <w:t>5</w:t>
      </w:r>
    </w:p>
    <w:p w14:paraId="143DD72E">
      <w:pPr>
        <w:pStyle w:val="25"/>
        <w:tabs>
          <w:tab w:val="right" w:leader="dot" w:pos="9072"/>
        </w:tabs>
        <w:spacing w:line="700" w:lineRule="exact"/>
        <w:rPr>
          <w:rFonts w:hint="eastAsia" w:ascii="宋体" w:hAnsi="宋体" w:eastAsia="宋体" w:cs="宋体"/>
          <w:color w:val="auto"/>
          <w:sz w:val="30"/>
          <w:szCs w:val="30"/>
          <w:highlight w:val="none"/>
          <w:lang w:eastAsia="zh-CN"/>
        </w:rPr>
      </w:pP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HYPERLINK \l _Toc28444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第四章 采购内容及技术要求</w:t>
      </w:r>
      <w:r>
        <w:rPr>
          <w:rFonts w:hint="eastAsia" w:ascii="宋体" w:hAnsi="宋体" w:cs="宋体"/>
          <w:color w:val="auto"/>
          <w:sz w:val="30"/>
          <w:szCs w:val="30"/>
          <w:highlight w:val="none"/>
        </w:rPr>
        <w:tab/>
      </w:r>
      <w:r>
        <w:rPr>
          <w:rFonts w:hint="eastAsia" w:ascii="宋体" w:hAnsi="宋体" w:cs="宋体"/>
          <w:color w:val="auto"/>
          <w:sz w:val="30"/>
          <w:szCs w:val="30"/>
          <w:highlight w:val="none"/>
          <w:lang w:val="en-US" w:eastAsia="zh-CN"/>
        </w:rPr>
        <w:t>3</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lang w:val="en-US" w:eastAsia="zh-CN"/>
        </w:rPr>
        <w:t>2</w:t>
      </w:r>
    </w:p>
    <w:p w14:paraId="6069ED15">
      <w:pPr>
        <w:pStyle w:val="25"/>
        <w:tabs>
          <w:tab w:val="right" w:leader="dot" w:pos="9072"/>
        </w:tabs>
        <w:spacing w:line="700" w:lineRule="exact"/>
        <w:rPr>
          <w:rFonts w:hint="default" w:ascii="宋体" w:hAnsi="宋体" w:eastAsia="宋体" w:cs="宋体"/>
          <w:color w:val="auto"/>
          <w:sz w:val="30"/>
          <w:szCs w:val="30"/>
          <w:highlight w:val="none"/>
          <w:lang w:val="en-US" w:eastAsia="zh-CN"/>
        </w:rPr>
      </w:pP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HYPERLINK \l _Toc22340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第五章 合同条款及格式</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lang w:val="en-US" w:eastAsia="zh-CN"/>
        </w:rPr>
        <w:t>40</w:t>
      </w:r>
    </w:p>
    <w:p w14:paraId="28AE326F">
      <w:pPr>
        <w:pStyle w:val="25"/>
        <w:tabs>
          <w:tab w:val="right" w:leader="dot" w:pos="9072"/>
        </w:tabs>
        <w:spacing w:line="700" w:lineRule="exact"/>
        <w:rPr>
          <w:rFonts w:hint="eastAsia" w:ascii="宋体" w:hAnsi="宋体" w:eastAsia="宋体" w:cs="宋体"/>
          <w:color w:val="auto"/>
          <w:sz w:val="30"/>
          <w:szCs w:val="30"/>
          <w:highlight w:val="none"/>
          <w:lang w:val="en-US" w:eastAsia="zh-CN"/>
        </w:rPr>
      </w:pP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HYPERLINK \l _Toc8628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第六章 投标文件格式</w:t>
      </w:r>
      <w:r>
        <w:rPr>
          <w:rFonts w:hint="eastAsia" w:ascii="宋体" w:hAnsi="宋体" w:cs="宋体"/>
          <w:color w:val="auto"/>
          <w:sz w:val="30"/>
          <w:szCs w:val="30"/>
          <w:highlight w:val="none"/>
        </w:rPr>
        <w:tab/>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lang w:val="en-US" w:eastAsia="zh-CN"/>
        </w:rPr>
        <w:t>51</w:t>
      </w:r>
    </w:p>
    <w:p w14:paraId="573110DE">
      <w:pPr>
        <w:pStyle w:val="25"/>
        <w:tabs>
          <w:tab w:val="right" w:leader="dot" w:pos="9072"/>
        </w:tabs>
        <w:spacing w:line="700" w:lineRule="exact"/>
        <w:rPr>
          <w:rFonts w:hint="eastAsia" w:ascii="宋体" w:hAnsi="宋体" w:eastAsia="宋体" w:cs="宋体"/>
          <w:color w:val="auto"/>
          <w:sz w:val="30"/>
          <w:szCs w:val="30"/>
          <w:highlight w:val="none"/>
          <w:lang w:val="en-US" w:eastAsia="zh-CN"/>
        </w:rPr>
      </w:pPr>
      <w:r>
        <w:rPr>
          <w:rFonts w:hint="eastAsia" w:ascii="宋体" w:hAnsi="宋体" w:cs="宋体"/>
          <w:color w:val="auto"/>
          <w:sz w:val="30"/>
          <w:szCs w:val="30"/>
          <w:highlight w:val="none"/>
        </w:rPr>
        <w:t xml:space="preserve">第七章 </w:t>
      </w:r>
      <w:r>
        <w:rPr>
          <w:rFonts w:hint="eastAsia" w:ascii="宋体" w:hAnsi="宋体" w:cs="宋体"/>
          <w:color w:val="auto"/>
          <w:sz w:val="30"/>
          <w:szCs w:val="30"/>
          <w:highlight w:val="none"/>
        </w:rPr>
        <w:fldChar w:fldCharType="begin"/>
      </w:r>
      <w:r>
        <w:rPr>
          <w:rFonts w:hint="eastAsia" w:ascii="宋体" w:hAnsi="宋体" w:cs="宋体"/>
          <w:color w:val="auto"/>
          <w:sz w:val="30"/>
          <w:szCs w:val="30"/>
          <w:highlight w:val="none"/>
        </w:rPr>
        <w:instrText xml:space="preserve"> HYPERLINK \l _Toc25631 </w:instrText>
      </w:r>
      <w:r>
        <w:rPr>
          <w:rFonts w:hint="eastAsia" w:ascii="宋体" w:hAnsi="宋体" w:cs="宋体"/>
          <w:color w:val="auto"/>
          <w:sz w:val="30"/>
          <w:szCs w:val="30"/>
          <w:highlight w:val="none"/>
        </w:rPr>
        <w:fldChar w:fldCharType="separate"/>
      </w:r>
      <w:r>
        <w:rPr>
          <w:rFonts w:hint="eastAsia" w:ascii="宋体" w:hAnsi="宋体" w:cs="宋体"/>
          <w:color w:val="auto"/>
          <w:sz w:val="30"/>
          <w:szCs w:val="30"/>
          <w:highlight w:val="none"/>
        </w:rPr>
        <w:t>招标人、招标代理机构对本招标文件的确认</w:t>
      </w:r>
      <w:r>
        <w:rPr>
          <w:rFonts w:hint="eastAsia" w:ascii="宋体" w:hAnsi="宋体" w:cs="宋体"/>
          <w:color w:val="auto"/>
          <w:sz w:val="30"/>
          <w:szCs w:val="30"/>
          <w:highlight w:val="none"/>
        </w:rPr>
        <w:tab/>
      </w:r>
      <w:r>
        <w:rPr>
          <w:rFonts w:hint="eastAsia" w:ascii="宋体" w:hAnsi="宋体" w:cs="宋体"/>
          <w:color w:val="auto"/>
          <w:sz w:val="30"/>
          <w:szCs w:val="30"/>
          <w:highlight w:val="none"/>
          <w:lang w:val="en-US" w:eastAsia="zh-CN"/>
        </w:rPr>
        <w:t>6</w:t>
      </w:r>
      <w:r>
        <w:rPr>
          <w:rFonts w:hint="eastAsia" w:ascii="宋体" w:hAnsi="宋体" w:cs="宋体"/>
          <w:color w:val="auto"/>
          <w:sz w:val="30"/>
          <w:szCs w:val="30"/>
          <w:highlight w:val="none"/>
        </w:rPr>
        <w:fldChar w:fldCharType="end"/>
      </w:r>
      <w:r>
        <w:rPr>
          <w:rFonts w:hint="eastAsia" w:ascii="宋体" w:hAnsi="宋体" w:cs="宋体"/>
          <w:color w:val="auto"/>
          <w:sz w:val="30"/>
          <w:szCs w:val="30"/>
          <w:highlight w:val="none"/>
          <w:lang w:val="en-US" w:eastAsia="zh-CN"/>
        </w:rPr>
        <w:t>5</w:t>
      </w:r>
    </w:p>
    <w:p w14:paraId="2C3B34E0">
      <w:pPr>
        <w:pStyle w:val="25"/>
        <w:tabs>
          <w:tab w:val="right" w:leader="dot" w:pos="8296"/>
        </w:tabs>
        <w:adjustRightInd w:val="0"/>
        <w:snapToGrid w:val="0"/>
        <w:spacing w:line="700" w:lineRule="exact"/>
        <w:ind w:left="150" w:hanging="150" w:hangingChars="50"/>
        <w:jc w:val="center"/>
        <w:rPr>
          <w:rFonts w:hint="eastAsia" w:ascii="宋体" w:hAnsi="宋体" w:cs="宋体"/>
          <w:b/>
          <w:bCs/>
          <w:color w:val="auto"/>
          <w:sz w:val="30"/>
          <w:szCs w:val="30"/>
          <w:highlight w:val="none"/>
        </w:rPr>
        <w:sectPr>
          <w:headerReference r:id="rId3" w:type="default"/>
          <w:footerReference r:id="rId4" w:type="default"/>
          <w:pgSz w:w="11906" w:h="16838"/>
          <w:pgMar w:top="1440" w:right="1417" w:bottom="1417" w:left="1417"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eastAsia" w:ascii="宋体" w:hAnsi="宋体" w:cs="宋体"/>
          <w:color w:val="auto"/>
          <w:sz w:val="30"/>
          <w:szCs w:val="30"/>
          <w:highlight w:val="none"/>
        </w:rPr>
        <w:fldChar w:fldCharType="end"/>
      </w:r>
    </w:p>
    <w:p w14:paraId="1D55CB6C">
      <w:pPr>
        <w:pStyle w:val="2"/>
        <w:tabs>
          <w:tab w:val="left" w:pos="0"/>
          <w:tab w:val="left" w:pos="3165"/>
          <w:tab w:val="center" w:pos="4153"/>
        </w:tabs>
        <w:autoSpaceDE w:val="0"/>
        <w:autoSpaceDN w:val="0"/>
        <w:adjustRightInd w:val="0"/>
        <w:spacing w:before="0" w:after="0" w:line="240" w:lineRule="auto"/>
        <w:rPr>
          <w:rFonts w:hint="eastAsia" w:ascii="黑体" w:hAnsi="黑体" w:cs="宋体"/>
          <w:b w:val="0"/>
          <w:color w:val="auto"/>
          <w:sz w:val="28"/>
          <w:szCs w:val="28"/>
          <w:highlight w:val="none"/>
        </w:rPr>
      </w:pPr>
      <w:bookmarkStart w:id="1" w:name="_Toc17328"/>
      <w:r>
        <w:rPr>
          <w:rFonts w:hint="eastAsia" w:ascii="华文中宋" w:hAnsi="华文中宋" w:eastAsia="华文中宋"/>
          <w:color w:val="auto"/>
          <w:highlight w:val="none"/>
        </w:rPr>
        <w:t xml:space="preserve">第一章 </w:t>
      </w:r>
      <w:bookmarkEnd w:id="1"/>
      <w:r>
        <w:rPr>
          <w:rFonts w:hint="eastAsia" w:ascii="华文中宋" w:hAnsi="华文中宋" w:eastAsia="华文中宋"/>
          <w:color w:val="auto"/>
          <w:highlight w:val="none"/>
        </w:rPr>
        <w:t>招标公告</w:t>
      </w:r>
      <w:bookmarkStart w:id="2" w:name="_Toc28359079"/>
      <w:bookmarkStart w:id="3" w:name="_Toc28359002"/>
      <w:bookmarkStart w:id="4" w:name="_Toc35393621"/>
      <w:bookmarkStart w:id="5" w:name="_Toc35393790"/>
      <w:bookmarkStart w:id="6" w:name="_Hlk24379207"/>
    </w:p>
    <w:p w14:paraId="7B52C805">
      <w:pPr>
        <w:keepNext/>
        <w:keepLines/>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项目概况</w:t>
      </w:r>
    </w:p>
    <w:p w14:paraId="5A26AAAC">
      <w:pPr>
        <w:keepNext/>
        <w:keepLines/>
        <w:ind w:firstLine="560" w:firstLineChars="200"/>
        <w:jc w:val="left"/>
        <w:rPr>
          <w:rFonts w:hint="eastAsia" w:ascii="黑体" w:hAnsi="黑体" w:cs="宋体"/>
          <w:color w:val="auto"/>
          <w:sz w:val="28"/>
          <w:szCs w:val="28"/>
          <w:highlight w:val="none"/>
        </w:rPr>
      </w:pPr>
      <w:r>
        <w:rPr>
          <w:rFonts w:hint="eastAsia" w:ascii="仿宋" w:hAnsi="仿宋" w:eastAsia="仿宋" w:cs="仿宋"/>
          <w:color w:val="auto"/>
          <w:sz w:val="28"/>
          <w:szCs w:val="28"/>
          <w:highlight w:val="none"/>
          <w:u w:val="single"/>
          <w:lang w:eastAsia="zh-CN"/>
        </w:rPr>
        <w:t>滁州市兴滁实业有限公司智能称重系统服务采购项目（</w:t>
      </w:r>
      <w:r>
        <w:rPr>
          <w:rFonts w:hint="eastAsia" w:ascii="仿宋" w:hAnsi="仿宋" w:eastAsia="仿宋" w:cs="仿宋"/>
          <w:color w:val="auto"/>
          <w:sz w:val="28"/>
          <w:szCs w:val="28"/>
          <w:highlight w:val="none"/>
          <w:u w:val="single"/>
          <w:lang w:val="en-US" w:eastAsia="zh-CN"/>
        </w:rPr>
        <w:t>二次）</w:t>
      </w:r>
      <w:r>
        <w:rPr>
          <w:rFonts w:hint="eastAsia" w:ascii="仿宋" w:hAnsi="仿宋" w:eastAsia="仿宋" w:cs="仿宋"/>
          <w:color w:val="auto"/>
          <w:sz w:val="28"/>
          <w:szCs w:val="28"/>
          <w:highlight w:val="none"/>
        </w:rPr>
        <w:t>招标项目的潜在投标人应在</w:t>
      </w:r>
      <w:r>
        <w:rPr>
          <w:rFonts w:hint="eastAsia" w:ascii="仿宋" w:hAnsi="仿宋" w:eastAsia="仿宋" w:cs="仿宋"/>
          <w:color w:val="auto"/>
          <w:sz w:val="28"/>
          <w:szCs w:val="28"/>
          <w:highlight w:val="none"/>
          <w:u w:val="single"/>
        </w:rPr>
        <w:t>滁州市兴滁矿业投资集团有限公司</w:t>
      </w:r>
      <w:r>
        <w:rPr>
          <w:rFonts w:hint="eastAsia" w:ascii="仿宋" w:hAnsi="仿宋" w:eastAsia="仿宋" w:cs="仿宋"/>
          <w:color w:val="auto"/>
          <w:sz w:val="28"/>
          <w:szCs w:val="28"/>
          <w:highlight w:val="none"/>
          <w:u w:val="single"/>
          <w:lang w:eastAsia="zh-CN"/>
        </w:rPr>
        <w:t>（http://www.xckytz.com/）</w:t>
      </w:r>
      <w:r>
        <w:rPr>
          <w:rFonts w:hint="eastAsia" w:ascii="仿宋" w:hAnsi="仿宋" w:eastAsia="仿宋" w:cs="仿宋"/>
          <w:color w:val="auto"/>
          <w:sz w:val="28"/>
          <w:szCs w:val="28"/>
          <w:highlight w:val="none"/>
          <w:u w:val="single"/>
        </w:rPr>
        <w:t>、滁州市城投工程咨询管理有限公司网站（https://www.czctgczx.com/）</w:t>
      </w:r>
      <w:r>
        <w:rPr>
          <w:rFonts w:hint="eastAsia" w:ascii="仿宋" w:hAnsi="仿宋" w:eastAsia="仿宋" w:cs="仿宋"/>
          <w:color w:val="auto"/>
          <w:sz w:val="28"/>
          <w:szCs w:val="28"/>
          <w:highlight w:val="none"/>
        </w:rPr>
        <w:t>获取招标文件，并于</w:t>
      </w:r>
      <w:r>
        <w:rPr>
          <w:rFonts w:hint="eastAsia" w:ascii="仿宋" w:hAnsi="仿宋" w:eastAsia="仿宋" w:cs="仿宋"/>
          <w:color w:val="auto"/>
          <w:sz w:val="28"/>
          <w:szCs w:val="28"/>
          <w:highlight w:val="none"/>
          <w:u w:val="single"/>
        </w:rPr>
        <w:t>202</w:t>
      </w:r>
      <w:r>
        <w:rPr>
          <w:rFonts w:hint="eastAsia" w:ascii="仿宋" w:hAnsi="仿宋" w:eastAsia="仿宋" w:cs="仿宋"/>
          <w:color w:val="auto"/>
          <w:sz w:val="28"/>
          <w:szCs w:val="28"/>
          <w:highlight w:val="none"/>
          <w:u w:val="single"/>
          <w:lang w:val="en-US" w:eastAsia="zh-CN"/>
        </w:rPr>
        <w:t>6</w:t>
      </w:r>
      <w:r>
        <w:rPr>
          <w:rFonts w:hint="eastAsia" w:ascii="仿宋" w:hAnsi="仿宋" w:eastAsia="仿宋" w:cs="仿宋"/>
          <w:color w:val="auto"/>
          <w:sz w:val="28"/>
          <w:szCs w:val="28"/>
          <w:highlight w:val="none"/>
          <w:u w:val="single"/>
        </w:rPr>
        <w:t>年</w:t>
      </w:r>
      <w:r>
        <w:rPr>
          <w:rFonts w:hint="eastAsia" w:ascii="仿宋" w:hAnsi="仿宋" w:eastAsia="仿宋" w:cs="仿宋"/>
          <w:color w:val="auto"/>
          <w:sz w:val="28"/>
          <w:szCs w:val="28"/>
          <w:highlight w:val="none"/>
          <w:u w:val="single"/>
          <w:lang w:val="en-US" w:eastAsia="zh-CN"/>
        </w:rPr>
        <w:t>10</w:t>
      </w:r>
      <w:r>
        <w:rPr>
          <w:rFonts w:hint="eastAsia" w:ascii="仿宋" w:hAnsi="仿宋" w:eastAsia="仿宋" w:cs="仿宋"/>
          <w:color w:val="auto"/>
          <w:sz w:val="28"/>
          <w:szCs w:val="28"/>
          <w:highlight w:val="none"/>
          <w:u w:val="single"/>
        </w:rPr>
        <w:t>月</w:t>
      </w:r>
      <w:r>
        <w:rPr>
          <w:rFonts w:hint="eastAsia" w:ascii="仿宋" w:hAnsi="仿宋" w:eastAsia="仿宋" w:cs="仿宋"/>
          <w:color w:val="auto"/>
          <w:sz w:val="28"/>
          <w:szCs w:val="28"/>
          <w:highlight w:val="none"/>
          <w:u w:val="single"/>
          <w:lang w:val="en-US" w:eastAsia="zh-CN"/>
        </w:rPr>
        <w:t>26</w:t>
      </w:r>
      <w:r>
        <w:rPr>
          <w:rFonts w:hint="eastAsia" w:ascii="仿宋" w:hAnsi="仿宋" w:eastAsia="仿宋" w:cs="仿宋"/>
          <w:color w:val="auto"/>
          <w:sz w:val="28"/>
          <w:szCs w:val="28"/>
          <w:highlight w:val="none"/>
          <w:u w:val="single"/>
        </w:rPr>
        <w:t>日</w:t>
      </w:r>
      <w:r>
        <w:rPr>
          <w:rFonts w:hint="eastAsia" w:ascii="仿宋" w:hAnsi="仿宋" w:eastAsia="仿宋" w:cs="仿宋"/>
          <w:color w:val="auto"/>
          <w:sz w:val="28"/>
          <w:szCs w:val="28"/>
          <w:highlight w:val="none"/>
          <w:u w:val="single"/>
          <w:lang w:val="en-US" w:eastAsia="zh-CN"/>
        </w:rPr>
        <w:t>9</w:t>
      </w:r>
      <w:r>
        <w:rPr>
          <w:rFonts w:hint="eastAsia" w:ascii="仿宋" w:hAnsi="仿宋" w:eastAsia="仿宋" w:cs="仿宋"/>
          <w:color w:val="auto"/>
          <w:sz w:val="28"/>
          <w:szCs w:val="28"/>
          <w:highlight w:val="none"/>
          <w:u w:val="single"/>
        </w:rPr>
        <w:t>点</w:t>
      </w:r>
      <w:r>
        <w:rPr>
          <w:rFonts w:hint="eastAsia" w:ascii="仿宋" w:hAnsi="仿宋" w:eastAsia="仿宋" w:cs="仿宋"/>
          <w:color w:val="auto"/>
          <w:sz w:val="28"/>
          <w:szCs w:val="28"/>
          <w:highlight w:val="none"/>
          <w:u w:val="single"/>
          <w:lang w:val="en-US" w:eastAsia="zh-CN"/>
        </w:rPr>
        <w:t>00</w:t>
      </w:r>
      <w:r>
        <w:rPr>
          <w:rFonts w:hint="eastAsia" w:ascii="仿宋" w:hAnsi="仿宋" w:eastAsia="仿宋" w:cs="仿宋"/>
          <w:color w:val="auto"/>
          <w:sz w:val="28"/>
          <w:szCs w:val="28"/>
          <w:highlight w:val="none"/>
          <w:u w:val="single"/>
        </w:rPr>
        <w:t>分</w:t>
      </w:r>
      <w:r>
        <w:rPr>
          <w:rFonts w:hint="eastAsia" w:ascii="仿宋" w:hAnsi="仿宋" w:eastAsia="仿宋" w:cs="仿宋"/>
          <w:color w:val="auto"/>
          <w:sz w:val="28"/>
          <w:szCs w:val="28"/>
          <w:highlight w:val="none"/>
        </w:rPr>
        <w:t>（北京时间）前递交投标文件。</w:t>
      </w:r>
    </w:p>
    <w:p w14:paraId="749EEA6C">
      <w:pPr>
        <w:keepNext/>
        <w:keepLines/>
        <w:spacing w:before="260" w:after="26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一、项目基本情况</w:t>
      </w:r>
      <w:bookmarkEnd w:id="2"/>
      <w:bookmarkEnd w:id="3"/>
      <w:bookmarkEnd w:id="4"/>
      <w:bookmarkEnd w:id="5"/>
    </w:p>
    <w:p w14:paraId="2E64C445">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项目编号：HXJY1110001065252001</w:t>
      </w:r>
      <w:r>
        <w:rPr>
          <w:rFonts w:hint="eastAsia" w:ascii="仿宋" w:hAnsi="仿宋" w:eastAsia="仿宋"/>
          <w:color w:val="auto"/>
          <w:sz w:val="28"/>
          <w:szCs w:val="28"/>
          <w:highlight w:val="none"/>
          <w:lang w:val="en-US" w:eastAsia="zh-CN"/>
        </w:rPr>
        <w:t xml:space="preserve"> </w:t>
      </w:r>
    </w:p>
    <w:p w14:paraId="7F9EF3A7">
      <w:pPr>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项目名称：</w:t>
      </w:r>
      <w:bookmarkEnd w:id="6"/>
      <w:r>
        <w:rPr>
          <w:rFonts w:hint="eastAsia" w:ascii="仿宋" w:hAnsi="仿宋" w:eastAsia="仿宋"/>
          <w:color w:val="auto"/>
          <w:sz w:val="28"/>
          <w:szCs w:val="28"/>
          <w:highlight w:val="none"/>
          <w:lang w:eastAsia="zh-CN"/>
        </w:rPr>
        <w:t>滁州市兴滁实业有限公司智能称重系统服务采购项目（</w:t>
      </w:r>
      <w:r>
        <w:rPr>
          <w:rFonts w:hint="eastAsia" w:ascii="仿宋" w:hAnsi="仿宋" w:eastAsia="仿宋"/>
          <w:color w:val="auto"/>
          <w:sz w:val="28"/>
          <w:szCs w:val="28"/>
          <w:highlight w:val="none"/>
          <w:lang w:val="en-US" w:eastAsia="zh-CN"/>
        </w:rPr>
        <w:t>二次）</w:t>
      </w:r>
    </w:p>
    <w:p w14:paraId="1BFC4728">
      <w:pPr>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eastAsia="zh-CN"/>
        </w:rPr>
        <w:t>预算金额：</w:t>
      </w:r>
      <w:r>
        <w:rPr>
          <w:rFonts w:hint="eastAsia" w:ascii="仿宋" w:hAnsi="仿宋" w:eastAsia="仿宋"/>
          <w:color w:val="auto"/>
          <w:sz w:val="28"/>
          <w:szCs w:val="28"/>
          <w:highlight w:val="none"/>
          <w:lang w:val="en-US" w:eastAsia="zh-CN"/>
        </w:rPr>
        <w:t>259000.00元</w:t>
      </w:r>
    </w:p>
    <w:p w14:paraId="510DFA64">
      <w:pPr>
        <w:ind w:firstLine="560" w:firstLineChars="200"/>
        <w:rPr>
          <w:rFonts w:hint="default" w:ascii="仿宋" w:hAnsi="仿宋" w:eastAsia="仿宋"/>
          <w:color w:val="auto"/>
          <w:sz w:val="28"/>
          <w:szCs w:val="28"/>
          <w:highlight w:val="none"/>
          <w:lang w:val="en-US"/>
        </w:rPr>
      </w:pPr>
      <w:r>
        <w:rPr>
          <w:rFonts w:hint="eastAsia" w:ascii="仿宋" w:hAnsi="仿宋" w:eastAsia="仿宋"/>
          <w:color w:val="auto"/>
          <w:sz w:val="28"/>
          <w:szCs w:val="28"/>
          <w:highlight w:val="none"/>
          <w:lang w:val="en-US" w:eastAsia="zh-CN"/>
        </w:rPr>
        <w:t>最高</w:t>
      </w:r>
      <w:r>
        <w:rPr>
          <w:rFonts w:hint="eastAsia" w:ascii="仿宋" w:hAnsi="仿宋" w:eastAsia="仿宋"/>
          <w:color w:val="auto"/>
          <w:sz w:val="28"/>
          <w:szCs w:val="28"/>
          <w:highlight w:val="none"/>
          <w:lang w:eastAsia="zh-CN"/>
        </w:rPr>
        <w:t>限价：</w:t>
      </w:r>
      <w:r>
        <w:rPr>
          <w:rFonts w:hint="eastAsia" w:ascii="仿宋" w:hAnsi="仿宋" w:eastAsia="仿宋"/>
          <w:color w:val="auto"/>
          <w:sz w:val="28"/>
          <w:szCs w:val="28"/>
          <w:highlight w:val="none"/>
          <w:lang w:val="en-US" w:eastAsia="zh-CN"/>
        </w:rPr>
        <w:t>259000.00元</w:t>
      </w:r>
    </w:p>
    <w:p w14:paraId="1B5F0CF9">
      <w:pPr>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具体详见第四章</w:t>
      </w:r>
    </w:p>
    <w:p w14:paraId="3561F937">
      <w:pPr>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合同履行期限：合同签订之日起</w:t>
      </w:r>
      <w:r>
        <w:rPr>
          <w:rFonts w:hint="eastAsia" w:ascii="仿宋" w:hAnsi="仿宋" w:eastAsia="仿宋"/>
          <w:color w:val="auto"/>
          <w:sz w:val="28"/>
          <w:szCs w:val="28"/>
          <w:highlight w:val="none"/>
          <w:lang w:val="en-US" w:eastAsia="zh-CN"/>
        </w:rPr>
        <w:t>10个日历天内完成中控及软件部分（不含APP开发）及2个汽车衡无人值守部分供货、安装、调试及验收</w:t>
      </w:r>
      <w:r>
        <w:rPr>
          <w:rFonts w:hint="eastAsia" w:ascii="仿宋" w:hAnsi="仿宋" w:eastAsia="仿宋"/>
          <w:color w:val="auto"/>
          <w:sz w:val="28"/>
          <w:szCs w:val="28"/>
          <w:highlight w:val="none"/>
        </w:rPr>
        <w:t>。</w:t>
      </w:r>
    </w:p>
    <w:p w14:paraId="057C5F6E">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本项目不接受联合体投标。</w:t>
      </w:r>
      <w:r>
        <w:rPr>
          <w:rFonts w:hint="eastAsia" w:ascii="仿宋" w:hAnsi="仿宋" w:eastAsia="仿宋"/>
          <w:color w:val="auto"/>
          <w:sz w:val="28"/>
          <w:szCs w:val="28"/>
          <w:highlight w:val="none"/>
          <w:lang w:val="en-US" w:eastAsia="zh-CN"/>
        </w:rPr>
        <w:t xml:space="preserve"> </w:t>
      </w:r>
    </w:p>
    <w:p w14:paraId="74379E10">
      <w:pPr>
        <w:keepNext/>
        <w:keepLines/>
        <w:spacing w:before="260" w:after="260"/>
        <w:rPr>
          <w:rFonts w:hint="eastAsia" w:ascii="黑体" w:hAnsi="黑体" w:eastAsia="黑体" w:cs="黑体"/>
          <w:color w:val="auto"/>
          <w:sz w:val="28"/>
          <w:szCs w:val="28"/>
          <w:highlight w:val="none"/>
        </w:rPr>
      </w:pPr>
      <w:bookmarkStart w:id="7" w:name="_Toc28359080"/>
      <w:bookmarkStart w:id="8" w:name="_Toc35393622"/>
      <w:bookmarkStart w:id="9" w:name="_Toc28359003"/>
      <w:bookmarkStart w:id="10" w:name="_Toc35393791"/>
      <w:r>
        <w:rPr>
          <w:rFonts w:hint="eastAsia" w:ascii="黑体" w:hAnsi="黑体" w:eastAsia="黑体" w:cs="黑体"/>
          <w:color w:val="auto"/>
          <w:sz w:val="28"/>
          <w:szCs w:val="28"/>
          <w:highlight w:val="none"/>
        </w:rPr>
        <w:t>二、申请人的资格要求</w:t>
      </w:r>
      <w:bookmarkEnd w:id="7"/>
      <w:bookmarkEnd w:id="8"/>
      <w:bookmarkEnd w:id="9"/>
      <w:bookmarkEnd w:id="10"/>
    </w:p>
    <w:p w14:paraId="5A6B6FB9">
      <w:pPr>
        <w:ind w:firstLine="560" w:firstLineChars="200"/>
        <w:rPr>
          <w:rFonts w:hint="default" w:ascii="仿宋" w:hAnsi="仿宋" w:eastAsia="仿宋" w:cs="Times New Roman"/>
          <w:color w:val="auto"/>
          <w:sz w:val="28"/>
          <w:szCs w:val="28"/>
          <w:highlight w:val="none"/>
          <w:lang w:val="en-US" w:eastAsia="zh-CN"/>
        </w:rPr>
      </w:pPr>
      <w:bookmarkStart w:id="11" w:name="_Toc28359081"/>
      <w:bookmarkStart w:id="12" w:name="_Toc28359004"/>
      <w:bookmarkStart w:id="13" w:name="_Toc35393792"/>
      <w:bookmarkStart w:id="14" w:name="_Toc35393623"/>
      <w:r>
        <w:rPr>
          <w:rFonts w:hint="eastAsia" w:ascii="仿宋" w:hAnsi="仿宋" w:eastAsia="仿宋"/>
          <w:color w:val="auto"/>
          <w:sz w:val="28"/>
          <w:szCs w:val="28"/>
          <w:highlight w:val="none"/>
        </w:rPr>
        <w:t>1.</w:t>
      </w:r>
      <w:r>
        <w:rPr>
          <w:rFonts w:hint="eastAsia" w:ascii="仿宋" w:hAnsi="仿宋" w:eastAsia="仿宋"/>
          <w:color w:val="auto"/>
          <w:sz w:val="28"/>
          <w:szCs w:val="28"/>
          <w:highlight w:val="none"/>
          <w:lang w:val="en-US" w:eastAsia="zh-CN"/>
        </w:rPr>
        <w:t>投标人</w:t>
      </w:r>
      <w:r>
        <w:rPr>
          <w:rFonts w:hint="eastAsia" w:ascii="仿宋" w:hAnsi="仿宋" w:eastAsia="仿宋"/>
          <w:color w:val="auto"/>
          <w:sz w:val="28"/>
          <w:szCs w:val="28"/>
          <w:highlight w:val="none"/>
        </w:rPr>
        <w:t>要求：</w:t>
      </w:r>
      <w:r>
        <w:rPr>
          <w:rFonts w:hint="eastAsia" w:ascii="仿宋" w:hAnsi="仿宋" w:eastAsia="仿宋" w:cs="Times New Roman"/>
          <w:color w:val="auto"/>
          <w:sz w:val="28"/>
          <w:szCs w:val="28"/>
          <w:highlight w:val="none"/>
          <w:lang w:val="en-US" w:eastAsia="zh-CN"/>
        </w:rPr>
        <w:t>具有独立承担民事责任能力且具有有效的营业执照。</w:t>
      </w:r>
    </w:p>
    <w:p w14:paraId="5646B9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2.信誉要求：投标人存在以下情形之一的，不得被确定为中标人：</w:t>
      </w:r>
    </w:p>
    <w:p w14:paraId="5BEA0683">
      <w:pPr>
        <w:ind w:firstLine="560" w:firstLineChars="2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rPr>
        <w:t>①被列入“信用中国”网站（www.creditchina.gov.cn）“失信被执行人”的</w:t>
      </w:r>
      <w:r>
        <w:rPr>
          <w:rFonts w:hint="eastAsia" w:ascii="仿宋" w:hAnsi="仿宋" w:eastAsia="仿宋" w:cs="Times New Roman"/>
          <w:color w:val="auto"/>
          <w:sz w:val="28"/>
          <w:szCs w:val="28"/>
          <w:highlight w:val="none"/>
          <w:lang w:eastAsia="zh-CN"/>
        </w:rPr>
        <w:t>；</w:t>
      </w:r>
    </w:p>
    <w:p w14:paraId="662297E6">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②被列入“信用中国”网站（www.creditchina.gov.cn）“重大税收违法失信主体”的；</w:t>
      </w:r>
    </w:p>
    <w:p w14:paraId="1BB46184">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③被列入“信用中国”网站（www.creditchina.gov.cn）“拖欠农民工工资失信联合惩戒对象名单”的；</w:t>
      </w:r>
    </w:p>
    <w:p w14:paraId="152CC991">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④被列入“信用中国”网站（www.creditchina.gov.cn） “</w:t>
      </w:r>
      <w:r>
        <w:rPr>
          <w:rFonts w:hint="eastAsia" w:ascii="仿宋" w:hAnsi="仿宋" w:eastAsia="仿宋" w:cs="Times New Roman"/>
          <w:color w:val="auto"/>
          <w:sz w:val="28"/>
          <w:szCs w:val="28"/>
          <w:highlight w:val="none"/>
          <w:lang w:eastAsia="zh-CN"/>
        </w:rPr>
        <w:t>安全生产严重失信主体名单</w:t>
      </w:r>
      <w:r>
        <w:rPr>
          <w:rFonts w:hint="eastAsia" w:ascii="仿宋" w:hAnsi="仿宋" w:eastAsia="仿宋" w:cs="Times New Roman"/>
          <w:color w:val="auto"/>
          <w:sz w:val="28"/>
          <w:szCs w:val="28"/>
          <w:highlight w:val="none"/>
        </w:rPr>
        <w:t>”的；</w:t>
      </w:r>
    </w:p>
    <w:p w14:paraId="200F0E70">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⑤</w:t>
      </w:r>
      <w:bookmarkStart w:id="15" w:name="OLE_LINK113"/>
      <w:bookmarkStart w:id="16" w:name="OLE_LINK114"/>
      <w:r>
        <w:rPr>
          <w:rFonts w:hint="eastAsia" w:ascii="仿宋" w:hAnsi="仿宋" w:eastAsia="仿宋" w:cs="Times New Roman"/>
          <w:color w:val="auto"/>
          <w:sz w:val="28"/>
          <w:szCs w:val="28"/>
          <w:highlight w:val="none"/>
        </w:rPr>
        <w:t>被列入国家企业信用信息公示系统网站（</w:t>
      </w:r>
      <w:r>
        <w:rPr>
          <w:rFonts w:hint="eastAsia" w:ascii="仿宋" w:hAnsi="仿宋" w:eastAsia="仿宋" w:cs="Times New Roman"/>
          <w:color w:val="auto"/>
          <w:sz w:val="28"/>
          <w:szCs w:val="28"/>
          <w:highlight w:val="none"/>
        </w:rPr>
        <w:fldChar w:fldCharType="begin"/>
      </w:r>
      <w:r>
        <w:rPr>
          <w:rFonts w:hint="eastAsia" w:ascii="仿宋" w:hAnsi="仿宋" w:eastAsia="仿宋" w:cs="Times New Roman"/>
          <w:color w:val="auto"/>
          <w:sz w:val="28"/>
          <w:szCs w:val="28"/>
          <w:highlight w:val="none"/>
        </w:rPr>
        <w:instrText xml:space="preserve"> HYPERLINK "http://www.gsxt.gov.cn）查询" </w:instrText>
      </w:r>
      <w:r>
        <w:rPr>
          <w:rFonts w:hint="eastAsia" w:ascii="仿宋" w:hAnsi="仿宋" w:eastAsia="仿宋" w:cs="Times New Roman"/>
          <w:color w:val="auto"/>
          <w:sz w:val="28"/>
          <w:szCs w:val="28"/>
          <w:highlight w:val="none"/>
        </w:rPr>
        <w:fldChar w:fldCharType="separate"/>
      </w:r>
      <w:r>
        <w:rPr>
          <w:rFonts w:hint="eastAsia" w:ascii="仿宋" w:hAnsi="仿宋" w:eastAsia="仿宋" w:cs="Times New Roman"/>
          <w:color w:val="auto"/>
          <w:sz w:val="28"/>
          <w:szCs w:val="28"/>
          <w:highlight w:val="none"/>
        </w:rPr>
        <w:t>www.gsxt.gov.cn）</w:t>
      </w:r>
      <w:r>
        <w:rPr>
          <w:rFonts w:hint="eastAsia" w:ascii="仿宋" w:hAnsi="仿宋" w:eastAsia="仿宋" w:cs="Times New Roman"/>
          <w:color w:val="auto"/>
          <w:sz w:val="28"/>
          <w:szCs w:val="28"/>
          <w:highlight w:val="none"/>
        </w:rPr>
        <w:fldChar w:fldCharType="end"/>
      </w:r>
      <w:r>
        <w:rPr>
          <w:rFonts w:hint="eastAsia" w:ascii="仿宋" w:hAnsi="仿宋" w:eastAsia="仿宋" w:cs="Times New Roman"/>
          <w:color w:val="auto"/>
          <w:sz w:val="28"/>
          <w:szCs w:val="28"/>
          <w:highlight w:val="none"/>
        </w:rPr>
        <w:t>“严重违法失信名单”的</w:t>
      </w:r>
      <w:bookmarkEnd w:id="15"/>
      <w:bookmarkEnd w:id="16"/>
      <w:r>
        <w:rPr>
          <w:rFonts w:hint="eastAsia" w:ascii="仿宋" w:hAnsi="仿宋" w:eastAsia="仿宋" w:cs="Times New Roman"/>
          <w:color w:val="auto"/>
          <w:sz w:val="28"/>
          <w:szCs w:val="28"/>
          <w:highlight w:val="none"/>
          <w:lang w:eastAsia="zh-CN"/>
        </w:rPr>
        <w:t>。</w:t>
      </w:r>
    </w:p>
    <w:p w14:paraId="1AD127AD">
      <w:pPr>
        <w:ind w:firstLine="560" w:firstLineChars="2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3.投标人所属分公司、办事处等分支机构存在第</w:t>
      </w:r>
      <w:r>
        <w:rPr>
          <w:rFonts w:hint="eastAsia" w:ascii="仿宋" w:hAnsi="仿宋" w:eastAsia="仿宋" w:cs="Times New Roman"/>
          <w:color w:val="auto"/>
          <w:sz w:val="28"/>
          <w:szCs w:val="28"/>
          <w:highlight w:val="none"/>
          <w:lang w:val="en-US" w:eastAsia="zh-CN"/>
        </w:rPr>
        <w:t>2</w:t>
      </w:r>
      <w:r>
        <w:rPr>
          <w:rFonts w:hint="eastAsia" w:ascii="仿宋" w:hAnsi="仿宋" w:eastAsia="仿宋" w:cs="Times New Roman"/>
          <w:color w:val="auto"/>
          <w:sz w:val="28"/>
          <w:szCs w:val="28"/>
          <w:highlight w:val="none"/>
        </w:rPr>
        <w:t>条信誉要求①-⑤项情形之一的</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接受其被确定为中标人。</w:t>
      </w:r>
    </w:p>
    <w:p w14:paraId="133C6370">
      <w:pPr>
        <w:ind w:firstLine="560" w:firstLineChars="2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三、获取招标文件</w:t>
      </w:r>
      <w:bookmarkEnd w:id="11"/>
      <w:bookmarkEnd w:id="12"/>
      <w:bookmarkEnd w:id="13"/>
      <w:bookmarkEnd w:id="14"/>
    </w:p>
    <w:p w14:paraId="0689DFF9">
      <w:pPr>
        <w:ind w:firstLine="540"/>
        <w:rPr>
          <w:rFonts w:hint="eastAsia" w:ascii="仿宋" w:hAnsi="仿宋" w:eastAsia="仿宋" w:cs="宋体"/>
          <w:iCs/>
          <w:color w:val="auto"/>
          <w:sz w:val="28"/>
          <w:szCs w:val="28"/>
          <w:highlight w:val="none"/>
          <w:u w:val="single"/>
          <w:lang w:val="en-US" w:eastAsia="zh-CN"/>
        </w:rPr>
      </w:pPr>
      <w:r>
        <w:rPr>
          <w:rFonts w:hint="eastAsia" w:ascii="仿宋" w:hAnsi="仿宋" w:eastAsia="仿宋" w:cs="宋体"/>
          <w:color w:val="auto"/>
          <w:sz w:val="28"/>
          <w:szCs w:val="28"/>
          <w:highlight w:val="none"/>
        </w:rPr>
        <w:t>时间：</w:t>
      </w:r>
      <w:r>
        <w:rPr>
          <w:rFonts w:hint="eastAsia" w:ascii="仿宋" w:hAnsi="仿宋" w:eastAsia="仿宋" w:cs="宋体"/>
          <w:color w:val="auto"/>
          <w:sz w:val="28"/>
          <w:szCs w:val="28"/>
          <w:highlight w:val="none"/>
          <w:u w:val="single"/>
        </w:rPr>
        <w:t>202</w:t>
      </w:r>
      <w:r>
        <w:rPr>
          <w:rFonts w:hint="eastAsia" w:ascii="仿宋" w:hAnsi="仿宋" w:eastAsia="仿宋" w:cs="宋体"/>
          <w:color w:val="auto"/>
          <w:sz w:val="28"/>
          <w:szCs w:val="28"/>
          <w:highlight w:val="none"/>
          <w:u w:val="single"/>
          <w:lang w:val="en-US" w:eastAsia="zh-CN"/>
        </w:rPr>
        <w:t>6</w:t>
      </w:r>
      <w:r>
        <w:rPr>
          <w:rFonts w:hint="eastAsia" w:ascii="仿宋" w:hAnsi="仿宋" w:eastAsia="仿宋" w:cs="宋体"/>
          <w:color w:val="auto"/>
          <w:sz w:val="28"/>
          <w:szCs w:val="28"/>
          <w:highlight w:val="none"/>
          <w:u w:val="single"/>
        </w:rPr>
        <w:t>年</w:t>
      </w:r>
      <w:r>
        <w:rPr>
          <w:rFonts w:hint="eastAsia" w:ascii="仿宋" w:hAnsi="仿宋" w:eastAsia="仿宋" w:cs="宋体"/>
          <w:color w:val="auto"/>
          <w:sz w:val="28"/>
          <w:szCs w:val="28"/>
          <w:highlight w:val="none"/>
          <w:u w:val="single"/>
          <w:lang w:val="en-US" w:eastAsia="zh-CN"/>
        </w:rPr>
        <w:t>10</w:t>
      </w:r>
      <w:r>
        <w:rPr>
          <w:rFonts w:hint="eastAsia" w:ascii="仿宋" w:hAnsi="仿宋" w:eastAsia="仿宋" w:cs="宋体"/>
          <w:color w:val="auto"/>
          <w:sz w:val="28"/>
          <w:szCs w:val="28"/>
          <w:highlight w:val="none"/>
          <w:u w:val="single"/>
        </w:rPr>
        <w:t>月</w:t>
      </w:r>
      <w:r>
        <w:rPr>
          <w:rFonts w:hint="eastAsia" w:ascii="仿宋" w:hAnsi="仿宋" w:eastAsia="仿宋" w:cs="宋体"/>
          <w:color w:val="auto"/>
          <w:sz w:val="28"/>
          <w:szCs w:val="28"/>
          <w:highlight w:val="none"/>
          <w:u w:val="single"/>
          <w:lang w:val="en-US" w:eastAsia="zh-CN"/>
        </w:rPr>
        <w:t>20</w:t>
      </w:r>
      <w:r>
        <w:rPr>
          <w:rFonts w:hint="eastAsia" w:ascii="仿宋" w:hAnsi="仿宋" w:eastAsia="仿宋" w:cs="宋体"/>
          <w:color w:val="auto"/>
          <w:sz w:val="28"/>
          <w:szCs w:val="28"/>
          <w:highlight w:val="none"/>
          <w:u w:val="single"/>
        </w:rPr>
        <w:t>日</w:t>
      </w:r>
      <w:r>
        <w:rPr>
          <w:rFonts w:hint="eastAsia" w:ascii="仿宋" w:hAnsi="仿宋" w:eastAsia="仿宋" w:cs="宋体"/>
          <w:color w:val="auto"/>
          <w:sz w:val="28"/>
          <w:szCs w:val="28"/>
          <w:highlight w:val="none"/>
        </w:rPr>
        <w:t>至</w:t>
      </w:r>
      <w:r>
        <w:rPr>
          <w:rFonts w:hint="eastAsia" w:ascii="仿宋" w:hAnsi="仿宋" w:eastAsia="仿宋" w:cs="宋体"/>
          <w:color w:val="auto"/>
          <w:sz w:val="28"/>
          <w:szCs w:val="28"/>
          <w:highlight w:val="none"/>
          <w:u w:val="single"/>
        </w:rPr>
        <w:t xml:space="preserve"> 202</w:t>
      </w:r>
      <w:r>
        <w:rPr>
          <w:rFonts w:hint="eastAsia" w:ascii="仿宋" w:hAnsi="仿宋" w:eastAsia="仿宋" w:cs="宋体"/>
          <w:color w:val="auto"/>
          <w:sz w:val="28"/>
          <w:szCs w:val="28"/>
          <w:highlight w:val="none"/>
          <w:u w:val="single"/>
          <w:lang w:val="en-US" w:eastAsia="zh-CN"/>
        </w:rPr>
        <w:t>6</w:t>
      </w:r>
      <w:r>
        <w:rPr>
          <w:rFonts w:hint="eastAsia" w:ascii="仿宋" w:hAnsi="仿宋" w:eastAsia="仿宋" w:cs="宋体"/>
          <w:color w:val="auto"/>
          <w:sz w:val="28"/>
          <w:szCs w:val="28"/>
          <w:highlight w:val="none"/>
          <w:u w:val="single"/>
        </w:rPr>
        <w:t>年</w:t>
      </w:r>
      <w:r>
        <w:rPr>
          <w:rFonts w:hint="eastAsia" w:ascii="仿宋" w:hAnsi="仿宋" w:eastAsia="仿宋" w:cs="宋体"/>
          <w:color w:val="auto"/>
          <w:sz w:val="28"/>
          <w:szCs w:val="28"/>
          <w:highlight w:val="none"/>
          <w:u w:val="single"/>
          <w:lang w:val="en-US" w:eastAsia="zh-CN"/>
        </w:rPr>
        <w:t>10</w:t>
      </w:r>
      <w:r>
        <w:rPr>
          <w:rFonts w:hint="eastAsia" w:ascii="仿宋" w:hAnsi="仿宋" w:eastAsia="仿宋" w:cs="宋体"/>
          <w:color w:val="auto"/>
          <w:sz w:val="28"/>
          <w:szCs w:val="28"/>
          <w:highlight w:val="none"/>
          <w:u w:val="single"/>
        </w:rPr>
        <w:t>月</w:t>
      </w:r>
      <w:r>
        <w:rPr>
          <w:rFonts w:hint="eastAsia" w:ascii="仿宋" w:hAnsi="仿宋" w:eastAsia="仿宋" w:cs="宋体"/>
          <w:color w:val="auto"/>
          <w:sz w:val="28"/>
          <w:szCs w:val="28"/>
          <w:highlight w:val="none"/>
          <w:u w:val="single"/>
          <w:lang w:val="en-US" w:eastAsia="zh-CN"/>
        </w:rPr>
        <w:t>26</w:t>
      </w:r>
      <w:r>
        <w:rPr>
          <w:rFonts w:hint="eastAsia" w:ascii="仿宋" w:hAnsi="仿宋" w:eastAsia="仿宋" w:cs="宋体"/>
          <w:color w:val="auto"/>
          <w:sz w:val="28"/>
          <w:szCs w:val="28"/>
          <w:highlight w:val="none"/>
          <w:u w:val="single"/>
        </w:rPr>
        <w:t>日</w:t>
      </w:r>
      <w:r>
        <w:rPr>
          <w:rFonts w:hint="eastAsia" w:ascii="仿宋" w:hAnsi="仿宋" w:eastAsia="仿宋" w:cs="宋体"/>
          <w:iCs/>
          <w:color w:val="auto"/>
          <w:sz w:val="28"/>
          <w:szCs w:val="28"/>
          <w:highlight w:val="none"/>
          <w:u w:val="single"/>
          <w:lang w:val="en-US" w:eastAsia="zh-CN"/>
        </w:rPr>
        <w:t xml:space="preserve"> </w:t>
      </w:r>
    </w:p>
    <w:p w14:paraId="675A4963">
      <w:pPr>
        <w:ind w:firstLine="540"/>
        <w:rPr>
          <w:rFonts w:ascii="仿宋" w:hAnsi="仿宋" w:eastAsia="仿宋" w:cs="宋体"/>
          <w:color w:val="auto"/>
          <w:sz w:val="28"/>
          <w:szCs w:val="28"/>
          <w:highlight w:val="none"/>
          <w:u w:val="single"/>
        </w:rPr>
      </w:pPr>
      <w:r>
        <w:rPr>
          <w:rFonts w:hint="eastAsia" w:ascii="仿宋" w:hAnsi="仿宋" w:eastAsia="仿宋" w:cs="宋体"/>
          <w:color w:val="auto"/>
          <w:sz w:val="28"/>
          <w:szCs w:val="28"/>
          <w:highlight w:val="none"/>
        </w:rPr>
        <w:t>地点：滁州市兴滁矿业投资集团有限公司（http://www.xckytz.com/）、滁州市城投工程咨询管理有限公司网站（https://www.czctgczx.com/）</w:t>
      </w:r>
    </w:p>
    <w:p w14:paraId="56BA6F9C">
      <w:pPr>
        <w:ind w:firstLine="540"/>
        <w:rPr>
          <w:rFonts w:ascii="仿宋" w:hAnsi="仿宋" w:eastAsia="仿宋" w:cs="宋体"/>
          <w:color w:val="auto"/>
          <w:sz w:val="28"/>
          <w:szCs w:val="28"/>
          <w:highlight w:val="none"/>
          <w:u w:val="single"/>
        </w:rPr>
      </w:pPr>
      <w:r>
        <w:rPr>
          <w:rFonts w:hint="eastAsia" w:ascii="仿宋" w:hAnsi="仿宋" w:eastAsia="仿宋" w:cs="宋体"/>
          <w:color w:val="auto"/>
          <w:sz w:val="28"/>
          <w:szCs w:val="28"/>
          <w:highlight w:val="none"/>
        </w:rPr>
        <w:t>方式：网上下载</w:t>
      </w:r>
    </w:p>
    <w:p w14:paraId="161CA3A8">
      <w:pPr>
        <w:ind w:firstLine="540"/>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售价：0元</w:t>
      </w:r>
    </w:p>
    <w:p w14:paraId="65935EC2">
      <w:pPr>
        <w:pStyle w:val="3"/>
        <w:numPr>
          <w:ilvl w:val="0"/>
          <w:numId w:val="0"/>
        </w:numPr>
        <w:spacing w:line="240" w:lineRule="auto"/>
        <w:rPr>
          <w:rFonts w:hint="eastAsia" w:ascii="黑体" w:hAnsi="黑体" w:eastAsia="黑体" w:cs="黑体"/>
          <w:color w:val="auto"/>
          <w:kern w:val="2"/>
          <w:sz w:val="28"/>
          <w:szCs w:val="28"/>
          <w:highlight w:val="none"/>
        </w:rPr>
      </w:pPr>
      <w:bookmarkStart w:id="17" w:name="_Toc28359005"/>
      <w:bookmarkStart w:id="18" w:name="_Toc28359082"/>
      <w:bookmarkStart w:id="19" w:name="_Toc35393624"/>
      <w:bookmarkStart w:id="20" w:name="_Toc35393793"/>
      <w:r>
        <w:rPr>
          <w:rFonts w:hint="eastAsia" w:ascii="黑体" w:hAnsi="黑体" w:eastAsia="黑体" w:cs="黑体"/>
          <w:color w:val="auto"/>
          <w:kern w:val="2"/>
          <w:sz w:val="28"/>
          <w:szCs w:val="28"/>
          <w:highlight w:val="none"/>
        </w:rPr>
        <w:t>四、提交投标文件</w:t>
      </w:r>
      <w:bookmarkEnd w:id="17"/>
      <w:bookmarkEnd w:id="18"/>
      <w:r>
        <w:rPr>
          <w:rFonts w:hint="eastAsia" w:ascii="黑体" w:hAnsi="黑体" w:eastAsia="黑体" w:cs="黑体"/>
          <w:color w:val="auto"/>
          <w:kern w:val="2"/>
          <w:sz w:val="28"/>
          <w:szCs w:val="28"/>
          <w:highlight w:val="none"/>
        </w:rPr>
        <w:t>截止时间、开标时间和地点</w:t>
      </w:r>
      <w:bookmarkEnd w:id="19"/>
      <w:bookmarkEnd w:id="20"/>
    </w:p>
    <w:p w14:paraId="2DDE7558">
      <w:pPr>
        <w:ind w:firstLine="560" w:firstLineChars="200"/>
        <w:rPr>
          <w:rFonts w:ascii="仿宋" w:hAnsi="仿宋" w:eastAsia="仿宋"/>
          <w:bCs/>
          <w:iCs/>
          <w:color w:val="auto"/>
          <w:sz w:val="28"/>
          <w:szCs w:val="28"/>
          <w:highlight w:val="none"/>
        </w:rPr>
      </w:pPr>
      <w:r>
        <w:rPr>
          <w:rFonts w:hint="eastAsia" w:ascii="仿宋" w:hAnsi="仿宋" w:eastAsia="仿宋" w:cs="宋体"/>
          <w:color w:val="auto"/>
          <w:sz w:val="28"/>
          <w:szCs w:val="28"/>
          <w:highlight w:val="none"/>
          <w:u w:val="none"/>
          <w:lang w:val="en-US" w:eastAsia="zh-CN"/>
        </w:rPr>
        <w:t>时间：</w:t>
      </w:r>
      <w:r>
        <w:rPr>
          <w:rFonts w:hint="eastAsia" w:ascii="仿宋" w:hAnsi="仿宋" w:eastAsia="仿宋" w:cs="宋体"/>
          <w:color w:val="auto"/>
          <w:sz w:val="28"/>
          <w:szCs w:val="28"/>
          <w:highlight w:val="none"/>
          <w:u w:val="single"/>
        </w:rPr>
        <w:t>202</w:t>
      </w:r>
      <w:r>
        <w:rPr>
          <w:rFonts w:hint="eastAsia" w:ascii="仿宋" w:hAnsi="仿宋" w:eastAsia="仿宋" w:cs="宋体"/>
          <w:color w:val="auto"/>
          <w:sz w:val="28"/>
          <w:szCs w:val="28"/>
          <w:highlight w:val="none"/>
          <w:u w:val="single"/>
          <w:lang w:val="en-US" w:eastAsia="zh-CN"/>
        </w:rPr>
        <w:t>6</w:t>
      </w:r>
      <w:r>
        <w:rPr>
          <w:rFonts w:hint="eastAsia" w:ascii="仿宋" w:hAnsi="仿宋" w:eastAsia="仿宋" w:cs="宋体"/>
          <w:color w:val="auto"/>
          <w:sz w:val="28"/>
          <w:szCs w:val="28"/>
          <w:highlight w:val="none"/>
          <w:u w:val="single"/>
        </w:rPr>
        <w:t>年</w:t>
      </w:r>
      <w:r>
        <w:rPr>
          <w:rFonts w:hint="eastAsia" w:ascii="仿宋" w:hAnsi="仿宋" w:eastAsia="仿宋" w:cs="宋体"/>
          <w:color w:val="auto"/>
          <w:sz w:val="28"/>
          <w:szCs w:val="28"/>
          <w:highlight w:val="none"/>
          <w:u w:val="single"/>
          <w:lang w:val="en-US" w:eastAsia="zh-CN"/>
        </w:rPr>
        <w:t>10</w:t>
      </w:r>
      <w:r>
        <w:rPr>
          <w:rFonts w:hint="eastAsia" w:ascii="仿宋" w:hAnsi="仿宋" w:eastAsia="仿宋" w:cs="宋体"/>
          <w:color w:val="auto"/>
          <w:sz w:val="28"/>
          <w:szCs w:val="28"/>
          <w:highlight w:val="none"/>
          <w:u w:val="single"/>
        </w:rPr>
        <w:t>月</w:t>
      </w:r>
      <w:r>
        <w:rPr>
          <w:rFonts w:hint="eastAsia" w:ascii="仿宋" w:hAnsi="仿宋" w:eastAsia="仿宋" w:cs="宋体"/>
          <w:color w:val="auto"/>
          <w:sz w:val="28"/>
          <w:szCs w:val="28"/>
          <w:highlight w:val="none"/>
          <w:u w:val="single"/>
          <w:lang w:val="en-US" w:eastAsia="zh-CN"/>
        </w:rPr>
        <w:t>26</w:t>
      </w:r>
      <w:r>
        <w:rPr>
          <w:rFonts w:hint="eastAsia" w:ascii="仿宋" w:hAnsi="仿宋" w:eastAsia="仿宋" w:cs="宋体"/>
          <w:color w:val="auto"/>
          <w:sz w:val="28"/>
          <w:szCs w:val="28"/>
          <w:highlight w:val="none"/>
          <w:u w:val="single"/>
        </w:rPr>
        <w:t>日</w:t>
      </w:r>
      <w:r>
        <w:rPr>
          <w:rFonts w:hint="eastAsia" w:ascii="仿宋" w:hAnsi="仿宋" w:eastAsia="仿宋" w:cs="宋体"/>
          <w:color w:val="auto"/>
          <w:sz w:val="28"/>
          <w:szCs w:val="28"/>
          <w:highlight w:val="none"/>
          <w:u w:val="single"/>
          <w:lang w:val="en-US" w:eastAsia="zh-CN"/>
        </w:rPr>
        <w:t>9</w:t>
      </w:r>
      <w:r>
        <w:rPr>
          <w:rFonts w:hint="eastAsia" w:ascii="仿宋" w:hAnsi="仿宋" w:eastAsia="仿宋"/>
          <w:bCs/>
          <w:color w:val="auto"/>
          <w:sz w:val="28"/>
          <w:szCs w:val="28"/>
          <w:highlight w:val="none"/>
          <w:u w:val="single"/>
        </w:rPr>
        <w:t>点</w:t>
      </w:r>
      <w:r>
        <w:rPr>
          <w:rFonts w:hint="eastAsia" w:ascii="仿宋" w:hAnsi="仿宋" w:eastAsia="仿宋"/>
          <w:bCs/>
          <w:color w:val="auto"/>
          <w:sz w:val="28"/>
          <w:szCs w:val="28"/>
          <w:highlight w:val="none"/>
          <w:u w:val="single"/>
          <w:lang w:val="en-US" w:eastAsia="zh-CN"/>
        </w:rPr>
        <w:t>00</w:t>
      </w:r>
      <w:r>
        <w:rPr>
          <w:rFonts w:hint="eastAsia" w:ascii="仿宋" w:hAnsi="仿宋" w:eastAsia="仿宋"/>
          <w:bCs/>
          <w:color w:val="auto"/>
          <w:sz w:val="28"/>
          <w:szCs w:val="28"/>
          <w:highlight w:val="none"/>
          <w:u w:val="single"/>
        </w:rPr>
        <w:t>分</w:t>
      </w:r>
      <w:r>
        <w:rPr>
          <w:rFonts w:hint="eastAsia" w:ascii="仿宋" w:hAnsi="仿宋" w:eastAsia="仿宋"/>
          <w:bCs/>
          <w:color w:val="auto"/>
          <w:sz w:val="28"/>
          <w:szCs w:val="28"/>
          <w:highlight w:val="none"/>
        </w:rPr>
        <w:t>（北京时间）</w:t>
      </w:r>
    </w:p>
    <w:p w14:paraId="77B50E81">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地点：新点电子交易平台【滁州专区】</w:t>
      </w:r>
    </w:p>
    <w:p w14:paraId="3F46CA04">
      <w:pPr>
        <w:keepNext/>
        <w:keepLines/>
        <w:spacing w:before="260" w:after="26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五</w:t>
      </w:r>
      <w:r>
        <w:rPr>
          <w:rFonts w:hint="eastAsia" w:ascii="黑体" w:hAnsi="黑体" w:eastAsia="黑体" w:cs="黑体"/>
          <w:color w:val="auto"/>
          <w:sz w:val="28"/>
          <w:szCs w:val="28"/>
          <w:highlight w:val="none"/>
        </w:rPr>
        <w:t>、投标保证金金额及缴纳账户</w:t>
      </w:r>
    </w:p>
    <w:p w14:paraId="44E0A722">
      <w:pPr>
        <w:pStyle w:val="120"/>
        <w:rPr>
          <w:color w:val="auto"/>
          <w:highlight w:val="none"/>
        </w:rPr>
      </w:pPr>
      <w:bookmarkStart w:id="21" w:name="_Toc35393626"/>
      <w:bookmarkStart w:id="22" w:name="_Toc35393795"/>
      <w:r>
        <w:rPr>
          <w:color w:val="auto"/>
          <w:highlight w:val="none"/>
        </w:rPr>
        <w:t>窗体顶端</w:t>
      </w:r>
    </w:p>
    <w:p w14:paraId="50506EB0">
      <w:pPr>
        <w:pStyle w:val="35"/>
        <w:spacing w:after="0"/>
        <w:ind w:left="0" w:leftChars="0" w:firstLine="560"/>
        <w:jc w:val="left"/>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投标保证金的金额：</w:t>
      </w:r>
      <w:r>
        <w:rPr>
          <w:rFonts w:hint="eastAsia" w:ascii="仿宋" w:hAnsi="仿宋" w:eastAsia="仿宋"/>
          <w:color w:val="auto"/>
          <w:sz w:val="28"/>
          <w:szCs w:val="28"/>
          <w:highlight w:val="none"/>
          <w:lang w:val="en-US" w:eastAsia="zh-CN"/>
        </w:rPr>
        <w:t>5100</w:t>
      </w:r>
      <w:r>
        <w:rPr>
          <w:rFonts w:hint="eastAsia" w:ascii="仿宋" w:hAnsi="仿宋" w:eastAsia="仿宋"/>
          <w:color w:val="auto"/>
          <w:sz w:val="28"/>
          <w:szCs w:val="28"/>
          <w:highlight w:val="none"/>
        </w:rPr>
        <w:t>元，要求投标人提交投标保证金。</w:t>
      </w:r>
    </w:p>
    <w:p w14:paraId="10A4287E">
      <w:pPr>
        <w:pStyle w:val="35"/>
        <w:spacing w:after="0"/>
        <w:ind w:left="0" w:leftChars="0" w:firstLine="560"/>
        <w:jc w:val="left"/>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投标保证金应当从投标人基本存款账户转出，投标保证金的到账截止时间为投标截止时间。投标保证金转出账户与投标人投标文件提供的基本存款账户不一致的，视为未按照招标文件规定提交投标保证金。提交投标保证金的开户银行及账号如下：</w:t>
      </w:r>
    </w:p>
    <w:p w14:paraId="298B1D84">
      <w:pPr>
        <w:pStyle w:val="35"/>
        <w:spacing w:after="0"/>
        <w:ind w:left="0" w:leftChars="0" w:firstLine="560"/>
        <w:jc w:val="left"/>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 xml:space="preserve">户名：滁州市城投工程咨询管理有限公司  </w:t>
      </w:r>
    </w:p>
    <w:p w14:paraId="72FC8265">
      <w:pPr>
        <w:pStyle w:val="35"/>
        <w:spacing w:after="0"/>
        <w:ind w:left="0" w:leftChars="0" w:firstLine="560"/>
        <w:jc w:val="left"/>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开户行：中国银行滁州分行营业部</w:t>
      </w:r>
    </w:p>
    <w:p w14:paraId="6AC187FA">
      <w:pPr>
        <w:pStyle w:val="35"/>
        <w:spacing w:after="0"/>
        <w:ind w:left="0" w:leftChars="0" w:firstLine="560"/>
        <w:jc w:val="left"/>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账  号：184256514737</w:t>
      </w:r>
    </w:p>
    <w:p w14:paraId="5E85D041">
      <w:pPr>
        <w:pStyle w:val="35"/>
        <w:spacing w:after="0"/>
        <w:ind w:left="0" w:leftChars="0" w:firstLine="560"/>
        <w:jc w:val="left"/>
        <w:rPr>
          <w:rFonts w:hint="eastAsia" w:ascii="仿宋" w:hAnsi="仿宋" w:eastAsia="仿宋" w:cs="Times New Roman"/>
          <w:color w:val="auto"/>
          <w:sz w:val="28"/>
          <w:szCs w:val="28"/>
          <w:highlight w:val="none"/>
          <w:lang w:val="en-US" w:eastAsia="zh-CN"/>
        </w:rPr>
      </w:pPr>
      <w:r>
        <w:rPr>
          <w:rFonts w:hint="eastAsia" w:ascii="仿宋" w:hAnsi="仿宋" w:eastAsia="仿宋"/>
          <w:color w:val="auto"/>
          <w:sz w:val="28"/>
          <w:szCs w:val="28"/>
          <w:highlight w:val="none"/>
        </w:rPr>
        <w:t>采用现金形式缴纳保证金时须在交易附言中注明“滁州市兴滁实业有限公司智能称重系统服务采购项目（二次）投标保证金</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项目名称可简写）</w:t>
      </w:r>
      <w:r>
        <w:rPr>
          <w:rFonts w:hint="eastAsia" w:ascii="仿宋" w:hAnsi="仿宋" w:eastAsia="仿宋"/>
          <w:color w:val="auto"/>
          <w:sz w:val="28"/>
          <w:szCs w:val="28"/>
          <w:highlight w:val="none"/>
        </w:rPr>
        <w:t>”。</w:t>
      </w:r>
    </w:p>
    <w:p w14:paraId="622E00F1">
      <w:pPr>
        <w:pStyle w:val="121"/>
        <w:rPr>
          <w:color w:val="auto"/>
          <w:highlight w:val="none"/>
        </w:rPr>
      </w:pPr>
      <w:r>
        <w:rPr>
          <w:rFonts w:hint="eastAsia" w:ascii="仿宋" w:hAnsi="仿宋" w:eastAsia="仿宋" w:cs="Times New Roman"/>
          <w:color w:val="auto"/>
          <w:sz w:val="28"/>
          <w:szCs w:val="28"/>
          <w:highlight w:val="none"/>
        </w:rPr>
        <w:t>本项目不缴纳投标保证金条款仅针对在投标过程中未违反本招标文件第二章“投标人须知”中第</w:t>
      </w:r>
      <w:r>
        <w:rPr>
          <w:rFonts w:hint="eastAsia" w:ascii="仿宋" w:hAnsi="仿宋" w:eastAsia="仿宋" w:cs="Times New Roman"/>
          <w:color w:val="auto"/>
          <w:sz w:val="28"/>
          <w:szCs w:val="28"/>
          <w:highlight w:val="none"/>
          <w:lang w:val="en-US" w:eastAsia="zh-CN"/>
        </w:rPr>
        <w:t>23.4</w:t>
      </w:r>
      <w:r>
        <w:rPr>
          <w:rFonts w:hint="eastAsia" w:ascii="仿宋" w:hAnsi="仿宋" w:eastAsia="仿宋" w:cs="Times New Roman"/>
          <w:color w:val="auto"/>
          <w:sz w:val="28"/>
          <w:szCs w:val="28"/>
          <w:highlight w:val="none"/>
        </w:rPr>
        <w:t>项约定的投标人。如在投标过程中投标人存在本招标文件第二章“投标人须知”中第</w:t>
      </w:r>
      <w:r>
        <w:rPr>
          <w:rFonts w:hint="eastAsia" w:ascii="仿宋" w:hAnsi="仿宋" w:eastAsia="仿宋" w:cs="Times New Roman"/>
          <w:color w:val="auto"/>
          <w:sz w:val="28"/>
          <w:szCs w:val="28"/>
          <w:highlight w:val="none"/>
          <w:lang w:val="en-US" w:eastAsia="zh-CN"/>
        </w:rPr>
        <w:t>23</w:t>
      </w:r>
      <w:r>
        <w:rPr>
          <w:rFonts w:hint="eastAsia"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rPr>
        <w:t>项约定情形，则无条件按招标人要求的金额、时间、账号缴纳投标保证金。</w:t>
      </w:r>
      <w:r>
        <w:rPr>
          <w:color w:val="auto"/>
          <w:highlight w:val="none"/>
        </w:rPr>
        <w:t>窗体底端</w:t>
      </w:r>
    </w:p>
    <w:p w14:paraId="055BD6F4">
      <w:pPr>
        <w:keepNext/>
        <w:keepLines/>
        <w:spacing w:before="260" w:after="26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六</w:t>
      </w:r>
      <w:r>
        <w:rPr>
          <w:rFonts w:hint="eastAsia" w:ascii="黑体" w:hAnsi="黑体" w:eastAsia="黑体" w:cs="黑体"/>
          <w:color w:val="auto"/>
          <w:sz w:val="28"/>
          <w:szCs w:val="28"/>
          <w:highlight w:val="none"/>
        </w:rPr>
        <w:t>、其他补充事宜</w:t>
      </w:r>
      <w:bookmarkEnd w:id="21"/>
      <w:bookmarkEnd w:id="22"/>
    </w:p>
    <w:p w14:paraId="75ED998D">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1.投标人从滁州市城投工程咨询管理有限公司（https://www.czctgczx.com/）下载。投标人自行承担因未按要求获取招标文件导致无法上传电子投标文件的风险。</w:t>
      </w:r>
    </w:p>
    <w:p w14:paraId="6E4ED157">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2CC2509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投标人登录新点电子交易平台【滁州专区】获取询价文件及其它资料（含澄清和补充说明等）。如在招标文件获取过程中遇到系统问题，请拨打技术支持服务热线0512-58151515（工作日）或者网站首页在线客服。</w:t>
      </w:r>
    </w:p>
    <w:p w14:paraId="317DAA02">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2.招标文件及相关资料售价：人民币0元/套。</w:t>
      </w:r>
    </w:p>
    <w:p w14:paraId="3D870F51">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07A69CA4">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4.本项目采用不见面开标，投标人登录滁州市城投工程咨询</w:t>
      </w:r>
      <w:r>
        <w:rPr>
          <w:rFonts w:hint="eastAsia" w:ascii="仿宋" w:hAnsi="仿宋" w:eastAsia="仿宋" w:cs="Times New Roman"/>
          <w:color w:val="auto"/>
          <w:sz w:val="28"/>
          <w:szCs w:val="28"/>
          <w:highlight w:val="none"/>
          <w:lang w:val="en-US" w:eastAsia="zh-CN"/>
        </w:rPr>
        <w:t>管理</w:t>
      </w:r>
      <w:r>
        <w:rPr>
          <w:rFonts w:hint="eastAsia" w:ascii="仿宋" w:hAnsi="仿宋" w:eastAsia="仿宋" w:cs="Times New Roman"/>
          <w:color w:val="auto"/>
          <w:sz w:val="28"/>
          <w:szCs w:val="28"/>
          <w:highlight w:val="none"/>
        </w:rPr>
        <w:t>有限公司不见面开标系统参与网上开标（网址：http://js.etrading.cn/EpointBidOpening/bidopeninghallaction/hall/login）。</w:t>
      </w:r>
    </w:p>
    <w:p w14:paraId="46DE3890">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投标人应在投标截止时间之前，登录新点电子交易平台【滁州专区】上传投标文件</w:t>
      </w:r>
    </w:p>
    <w:p w14:paraId="651C609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5.本项目仅接受加密电子投标文件投标人在投标截止时间前通过新点电子交易平台后在【滁州专区】</w:t>
      </w:r>
    </w:p>
    <w:p w14:paraId="0D74A0D7">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（https://www.etrading.cn/BREpointSSO/login/oauth2login?regioncode=DQ_ChuZhou）交易系统递交电子投标文件。</w:t>
      </w:r>
    </w:p>
    <w:p w14:paraId="1A947375">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6.投标软件制作工具下载：</w:t>
      </w:r>
    </w:p>
    <w:p w14:paraId="0C952C78">
      <w:pPr>
        <w:ind w:firstLine="560" w:firstLineChars="200"/>
        <w:rPr>
          <w:rFonts w:hint="default" w:ascii="黑体" w:hAnsi="黑体" w:eastAsia="黑体" w:cs="黑体"/>
          <w:color w:val="auto"/>
          <w:sz w:val="28"/>
          <w:szCs w:val="28"/>
          <w:highlight w:val="none"/>
          <w:lang w:val="en-US" w:eastAsia="zh-CN"/>
        </w:rPr>
      </w:pPr>
      <w:r>
        <w:rPr>
          <w:rFonts w:hint="eastAsia" w:ascii="仿宋" w:hAnsi="仿宋" w:eastAsia="仿宋" w:cs="Times New Roman"/>
          <w:color w:val="auto"/>
          <w:sz w:val="28"/>
          <w:szCs w:val="28"/>
          <w:highlight w:val="none"/>
        </w:rPr>
        <w:t>https://download.bqpoint.com/download/downloaddetail.html?SourceFrom=Ztb&amp;ZtbSoftXiaQuCode=0128&amp;ZtbSoftType=tballinclusive</w:t>
      </w:r>
    </w:p>
    <w:p w14:paraId="74C69905">
      <w:pPr>
        <w:keepNext/>
        <w:keepLines/>
        <w:spacing w:before="260" w:after="26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七</w:t>
      </w:r>
      <w:r>
        <w:rPr>
          <w:rFonts w:hint="eastAsia" w:ascii="黑体" w:hAnsi="黑体" w:eastAsia="黑体" w:cs="黑体"/>
          <w:color w:val="auto"/>
          <w:sz w:val="28"/>
          <w:szCs w:val="28"/>
          <w:highlight w:val="none"/>
        </w:rPr>
        <w:t>、对本次招标提出询问，请按以下方式联系</w:t>
      </w:r>
    </w:p>
    <w:p w14:paraId="25363789">
      <w:pPr>
        <w:pStyle w:val="3"/>
        <w:numPr>
          <w:ilvl w:val="0"/>
          <w:numId w:val="0"/>
        </w:numPr>
        <w:adjustRightInd/>
        <w:spacing w:line="240" w:lineRule="auto"/>
        <w:ind w:left="-199" w:leftChars="-95" w:firstLine="560" w:firstLineChars="2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　1.招标人信息</w:t>
      </w:r>
    </w:p>
    <w:p w14:paraId="7682FBC4">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lang w:eastAsia="zh-CN"/>
        </w:rPr>
        <w:t>滁州市兴滁实业有限公司</w:t>
      </w:r>
      <w:r>
        <w:rPr>
          <w:rFonts w:hint="eastAsia" w:ascii="仿宋" w:hAnsi="仿宋" w:eastAsia="仿宋" w:cs="仿宋"/>
          <w:color w:val="auto"/>
          <w:sz w:val="28"/>
          <w:szCs w:val="28"/>
          <w:highlight w:val="none"/>
          <w:u w:val="single"/>
        </w:rPr>
        <w:t xml:space="preserve">  </w:t>
      </w:r>
    </w:p>
    <w:p w14:paraId="0E980CE4">
      <w:pPr>
        <w:ind w:left="-199" w:leftChars="-95" w:firstLine="840" w:firstLineChars="300"/>
        <w:jc w:val="left"/>
        <w:rPr>
          <w:rFonts w:hint="default"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lang w:val="en-US" w:eastAsia="zh-CN"/>
        </w:rPr>
        <w:t>安徽省滁州市南谯区中都大道1598号城投大厦7楼</w:t>
      </w:r>
    </w:p>
    <w:p w14:paraId="2CAD7035">
      <w:pPr>
        <w:ind w:left="-199" w:leftChars="-95" w:firstLine="840" w:firstLineChars="300"/>
        <w:jc w:val="left"/>
        <w:rPr>
          <w:rFonts w:hint="default"/>
          <w:color w:val="auto"/>
          <w:highlight w:val="none"/>
          <w:u w:val="single"/>
          <w:lang w:val="en-US"/>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lang w:eastAsia="zh-CN"/>
        </w:rPr>
        <w:t>18705500220</w:t>
      </w:r>
    </w:p>
    <w:p w14:paraId="66A19F57">
      <w:pPr>
        <w:pStyle w:val="3"/>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2.代理机构信息</w:t>
      </w:r>
    </w:p>
    <w:p w14:paraId="41D91C55">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rPr>
        <w:t>滁州市城投工程咨询管理有限公司</w:t>
      </w:r>
    </w:p>
    <w:p w14:paraId="322B203B">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rPr>
        <w:t>滁州市龙蟠大道109号房产大厦6楼</w:t>
      </w:r>
    </w:p>
    <w:p w14:paraId="2C3C29BE">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rPr>
        <w:t>0550-3519590、18005501210</w:t>
      </w:r>
    </w:p>
    <w:p w14:paraId="40EF0942">
      <w:pPr>
        <w:pStyle w:val="3"/>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3.项目联系方式</w:t>
      </w:r>
    </w:p>
    <w:p w14:paraId="37DBCC98">
      <w:pPr>
        <w:pStyle w:val="18"/>
        <w:ind w:left="-199" w:leftChars="-95" w:firstLine="840" w:firstLineChars="300"/>
        <w:jc w:val="left"/>
        <w:rPr>
          <w:rFonts w:hint="eastAsia" w:ascii="仿宋" w:hAnsi="仿宋" w:eastAsia="仿宋" w:cs="仿宋"/>
          <w:color w:val="auto"/>
          <w:sz w:val="28"/>
          <w:szCs w:val="28"/>
          <w:highlight w:val="none"/>
          <w:u w:val="single" w:color="auto"/>
        </w:rPr>
      </w:pPr>
      <w:r>
        <w:rPr>
          <w:rFonts w:hint="eastAsia" w:ascii="仿宋" w:hAnsi="仿宋" w:eastAsia="仿宋" w:cs="仿宋"/>
          <w:color w:val="auto"/>
          <w:sz w:val="28"/>
          <w:szCs w:val="28"/>
          <w:highlight w:val="none"/>
        </w:rPr>
        <w:t>项目联系人</w:t>
      </w:r>
      <w:r>
        <w:rPr>
          <w:rFonts w:hint="eastAsia" w:ascii="仿宋" w:hAnsi="仿宋" w:eastAsia="仿宋" w:cs="仿宋"/>
          <w:color w:val="auto"/>
          <w:sz w:val="28"/>
          <w:szCs w:val="28"/>
          <w:highlight w:val="none"/>
          <w:u w:val="none" w:color="auto"/>
        </w:rPr>
        <w:t>：</w:t>
      </w:r>
      <w:r>
        <w:rPr>
          <w:rFonts w:hint="eastAsia" w:ascii="仿宋" w:hAnsi="仿宋" w:eastAsia="仿宋" w:cs="仿宋"/>
          <w:color w:val="auto"/>
          <w:sz w:val="28"/>
          <w:szCs w:val="28"/>
          <w:highlight w:val="none"/>
          <w:u w:val="single" w:color="auto"/>
          <w:lang w:val="en-US" w:eastAsia="zh-CN"/>
        </w:rPr>
        <w:t>张达理、</w:t>
      </w:r>
      <w:r>
        <w:rPr>
          <w:rFonts w:hint="eastAsia" w:ascii="仿宋" w:hAnsi="仿宋" w:eastAsia="仿宋" w:cs="仿宋"/>
          <w:color w:val="auto"/>
          <w:sz w:val="28"/>
          <w:szCs w:val="28"/>
          <w:highlight w:val="none"/>
          <w:u w:val="single" w:color="auto"/>
        </w:rPr>
        <w:t>杨韦</w:t>
      </w:r>
    </w:p>
    <w:p w14:paraId="2E11348D">
      <w:pPr>
        <w:ind w:left="-199" w:leftChars="-95" w:firstLine="840" w:firstLineChars="300"/>
        <w:jc w:val="left"/>
        <w:rPr>
          <w:rFonts w:ascii="仿宋" w:hAnsi="仿宋" w:eastAsia="仿宋"/>
          <w:color w:val="auto"/>
          <w:sz w:val="28"/>
          <w:szCs w:val="28"/>
          <w:highlight w:val="none"/>
          <w:u w:val="single"/>
        </w:rPr>
      </w:pPr>
      <w:r>
        <w:rPr>
          <w:rFonts w:hint="eastAsia" w:ascii="仿宋" w:hAnsi="仿宋" w:eastAsia="仿宋" w:cs="仿宋"/>
          <w:color w:val="auto"/>
          <w:sz w:val="28"/>
          <w:szCs w:val="28"/>
          <w:highlight w:val="none"/>
        </w:rPr>
        <w:t>电　　 话</w:t>
      </w:r>
      <w:r>
        <w:rPr>
          <w:rFonts w:hint="eastAsia" w:ascii="仿宋" w:hAnsi="仿宋" w:eastAsia="仿宋" w:cs="仿宋"/>
          <w:color w:val="auto"/>
          <w:sz w:val="28"/>
          <w:szCs w:val="28"/>
          <w:highlight w:val="none"/>
          <w:u w:val="none"/>
          <w:lang w:eastAsia="zh-CN"/>
        </w:rPr>
        <w:t>：</w:t>
      </w:r>
      <w:r>
        <w:rPr>
          <w:rFonts w:hint="eastAsia" w:ascii="仿宋" w:hAnsi="仿宋" w:eastAsia="仿宋" w:cs="仿宋"/>
          <w:color w:val="auto"/>
          <w:sz w:val="28"/>
          <w:szCs w:val="28"/>
          <w:highlight w:val="none"/>
          <w:u w:val="single"/>
          <w:lang w:eastAsia="zh-CN"/>
        </w:rPr>
        <w:t>18705500220</w:t>
      </w:r>
      <w:r>
        <w:rPr>
          <w:rFonts w:hint="eastAsia" w:ascii="仿宋" w:hAnsi="仿宋" w:eastAsia="仿宋" w:cs="仿宋"/>
          <w:color w:val="auto"/>
          <w:sz w:val="28"/>
          <w:szCs w:val="28"/>
          <w:highlight w:val="none"/>
          <w:u w:val="single"/>
          <w:lang w:val="en-US" w:eastAsia="zh-CN"/>
        </w:rPr>
        <w:t>、</w:t>
      </w:r>
      <w:r>
        <w:rPr>
          <w:rFonts w:hint="eastAsia" w:ascii="仿宋" w:hAnsi="仿宋" w:eastAsia="仿宋" w:cs="仿宋"/>
          <w:color w:val="auto"/>
          <w:sz w:val="28"/>
          <w:szCs w:val="28"/>
          <w:highlight w:val="none"/>
          <w:u w:val="single"/>
          <w:lang w:eastAsia="zh-CN"/>
        </w:rPr>
        <w:t>055</w:t>
      </w:r>
      <w:r>
        <w:rPr>
          <w:rFonts w:hint="eastAsia" w:ascii="仿宋" w:hAnsi="仿宋" w:eastAsia="仿宋" w:cs="仿宋"/>
          <w:color w:val="auto"/>
          <w:sz w:val="28"/>
          <w:szCs w:val="28"/>
          <w:highlight w:val="none"/>
          <w:u w:val="single"/>
        </w:rPr>
        <w:t xml:space="preserve">0-3519590 </w:t>
      </w:r>
    </w:p>
    <w:p w14:paraId="140D0912">
      <w:pPr>
        <w:rPr>
          <w:rFonts w:hint="eastAsia"/>
          <w:color w:val="auto"/>
          <w:highlight w:val="none"/>
        </w:rPr>
      </w:pPr>
      <w:bookmarkStart w:id="23" w:name="_Toc20364"/>
      <w:r>
        <w:rPr>
          <w:rFonts w:hint="eastAsia"/>
          <w:color w:val="auto"/>
          <w:highlight w:val="none"/>
        </w:rPr>
        <w:br w:type="page"/>
      </w:r>
    </w:p>
    <w:p w14:paraId="4E06D583">
      <w:pPr>
        <w:pStyle w:val="2"/>
        <w:keepNext/>
        <w:keepLines/>
        <w:pageBreakBefore w:val="0"/>
        <w:widowControl w:val="0"/>
        <w:kinsoku/>
        <w:wordWrap/>
        <w:overflowPunct/>
        <w:topLinePunct w:val="0"/>
        <w:autoSpaceDE/>
        <w:autoSpaceDN/>
        <w:bidi w:val="0"/>
        <w:adjustRightInd/>
        <w:snapToGrid/>
        <w:spacing w:before="156" w:beforeLines="50" w:after="156" w:afterLines="50" w:line="500" w:lineRule="exact"/>
        <w:textAlignment w:val="auto"/>
        <w:rPr>
          <w:rFonts w:hint="eastAsia" w:ascii="宋体"/>
          <w:b w:val="0"/>
          <w:color w:val="auto"/>
          <w:szCs w:val="32"/>
          <w:highlight w:val="none"/>
        </w:rPr>
      </w:pPr>
      <w:r>
        <w:rPr>
          <w:rFonts w:hint="eastAsia"/>
          <w:color w:val="auto"/>
          <w:highlight w:val="none"/>
        </w:rPr>
        <w:t>第二章 投标人须知</w:t>
      </w:r>
      <w:bookmarkEnd w:id="23"/>
    </w:p>
    <w:p w14:paraId="05CB2504">
      <w:pPr>
        <w:snapToGrid w:val="0"/>
        <w:spacing w:line="440" w:lineRule="exact"/>
        <w:jc w:val="center"/>
        <w:outlineLvl w:val="1"/>
        <w:rPr>
          <w:rFonts w:hint="eastAsia" w:ascii="宋体"/>
          <w:b/>
          <w:color w:val="auto"/>
          <w:sz w:val="28"/>
          <w:szCs w:val="28"/>
          <w:highlight w:val="none"/>
        </w:rPr>
      </w:pPr>
      <w:bookmarkStart w:id="24" w:name="_Toc58430314"/>
      <w:bookmarkStart w:id="25" w:name="_Toc449028865"/>
      <w:bookmarkStart w:id="26" w:name="_Toc1019"/>
      <w:r>
        <w:rPr>
          <w:rFonts w:hint="eastAsia" w:ascii="宋体"/>
          <w:b/>
          <w:color w:val="auto"/>
          <w:sz w:val="32"/>
          <w:szCs w:val="32"/>
          <w:highlight w:val="none"/>
        </w:rPr>
        <w:t>一、</w:t>
      </w:r>
      <w:r>
        <w:rPr>
          <w:rFonts w:hint="eastAsia" w:ascii="宋体"/>
          <w:b/>
          <w:color w:val="auto"/>
          <w:sz w:val="28"/>
          <w:szCs w:val="28"/>
          <w:highlight w:val="none"/>
        </w:rPr>
        <w:t>投标人须知前附表</w:t>
      </w:r>
      <w:bookmarkEnd w:id="24"/>
      <w:bookmarkEnd w:id="25"/>
      <w:bookmarkEnd w:id="26"/>
    </w:p>
    <w:tbl>
      <w:tblPr>
        <w:tblStyle w:val="36"/>
        <w:tblW w:w="10033" w:type="dxa"/>
        <w:tblInd w:w="-501"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990"/>
        <w:gridCol w:w="1171"/>
        <w:gridCol w:w="1109"/>
        <w:gridCol w:w="6763"/>
      </w:tblGrid>
      <w:tr w14:paraId="4EE8AD0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6" w:hRule="atLeast"/>
        </w:trPr>
        <w:tc>
          <w:tcPr>
            <w:tcW w:w="990" w:type="dxa"/>
            <w:noWrap w:val="0"/>
            <w:vAlign w:val="center"/>
          </w:tcPr>
          <w:p w14:paraId="15CEC65B">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2280" w:type="dxa"/>
            <w:gridSpan w:val="2"/>
            <w:noWrap w:val="0"/>
            <w:vAlign w:val="center"/>
          </w:tcPr>
          <w:p w14:paraId="5553C49F">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内容</w:t>
            </w:r>
          </w:p>
        </w:tc>
        <w:tc>
          <w:tcPr>
            <w:tcW w:w="6763" w:type="dxa"/>
            <w:noWrap w:val="0"/>
            <w:vAlign w:val="center"/>
          </w:tcPr>
          <w:p w14:paraId="7FAE6257">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说明与要求</w:t>
            </w:r>
          </w:p>
        </w:tc>
      </w:tr>
      <w:tr w14:paraId="1B79EB7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49" w:hRule="atLeast"/>
        </w:trPr>
        <w:tc>
          <w:tcPr>
            <w:tcW w:w="990" w:type="dxa"/>
            <w:noWrap w:val="0"/>
            <w:vAlign w:val="center"/>
          </w:tcPr>
          <w:p w14:paraId="7AE7E669">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280" w:type="dxa"/>
            <w:gridSpan w:val="2"/>
            <w:noWrap w:val="0"/>
            <w:vAlign w:val="center"/>
          </w:tcPr>
          <w:p w14:paraId="75B67584">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763" w:type="dxa"/>
            <w:noWrap w:val="0"/>
            <w:vAlign w:val="center"/>
          </w:tcPr>
          <w:p w14:paraId="464D76D8">
            <w:pPr>
              <w:pStyle w:val="18"/>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rPr>
            </w:pPr>
            <w:r>
              <w:rPr>
                <w:rFonts w:hint="eastAsia" w:hAnsi="宋体" w:cs="宋体"/>
                <w:color w:val="auto"/>
                <w:sz w:val="21"/>
                <w:szCs w:val="21"/>
                <w:highlight w:val="none"/>
                <w:lang w:eastAsia="zh-CN"/>
              </w:rPr>
              <w:t>滁州市兴滁实业有限公司智能称重系统服务采购项目（</w:t>
            </w:r>
            <w:r>
              <w:rPr>
                <w:rFonts w:hint="eastAsia" w:hAnsi="宋体" w:cs="宋体"/>
                <w:color w:val="auto"/>
                <w:sz w:val="21"/>
                <w:szCs w:val="21"/>
                <w:highlight w:val="none"/>
                <w:lang w:val="en-US" w:eastAsia="zh-CN"/>
              </w:rPr>
              <w:t>二次）</w:t>
            </w:r>
          </w:p>
        </w:tc>
      </w:tr>
      <w:tr w14:paraId="1582A4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9" w:hRule="atLeast"/>
        </w:trPr>
        <w:tc>
          <w:tcPr>
            <w:tcW w:w="990" w:type="dxa"/>
            <w:noWrap w:val="0"/>
            <w:vAlign w:val="center"/>
          </w:tcPr>
          <w:p w14:paraId="0B8CD01E">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280" w:type="dxa"/>
            <w:gridSpan w:val="2"/>
            <w:noWrap w:val="0"/>
            <w:vAlign w:val="center"/>
          </w:tcPr>
          <w:p w14:paraId="68A81843">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项目编号</w:t>
            </w:r>
          </w:p>
        </w:tc>
        <w:tc>
          <w:tcPr>
            <w:tcW w:w="6763" w:type="dxa"/>
            <w:noWrap w:val="0"/>
            <w:vAlign w:val="center"/>
          </w:tcPr>
          <w:p w14:paraId="2E23593F">
            <w:pPr>
              <w:pStyle w:val="18"/>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HXJY1110001065252001</w:t>
            </w:r>
          </w:p>
        </w:tc>
      </w:tr>
      <w:tr w14:paraId="44AA63A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0" w:hRule="atLeast"/>
        </w:trPr>
        <w:tc>
          <w:tcPr>
            <w:tcW w:w="990" w:type="dxa"/>
            <w:noWrap w:val="0"/>
            <w:vAlign w:val="center"/>
          </w:tcPr>
          <w:p w14:paraId="07603EC1">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280" w:type="dxa"/>
            <w:gridSpan w:val="2"/>
            <w:noWrap w:val="0"/>
            <w:vAlign w:val="center"/>
          </w:tcPr>
          <w:p w14:paraId="126543AC">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合同履行期限</w:t>
            </w:r>
          </w:p>
        </w:tc>
        <w:tc>
          <w:tcPr>
            <w:tcW w:w="6763" w:type="dxa"/>
            <w:noWrap w:val="0"/>
            <w:vAlign w:val="center"/>
          </w:tcPr>
          <w:p w14:paraId="6DA7B7F3">
            <w:pPr>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合同签订之日起10个日历天内完成中控及软件部分（不含APP开发）及2个汽车衡无人值守部分供货、安装、调试及验收。</w:t>
            </w:r>
          </w:p>
        </w:tc>
      </w:tr>
      <w:tr w14:paraId="7A7431C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9" w:hRule="atLeast"/>
        </w:trPr>
        <w:tc>
          <w:tcPr>
            <w:tcW w:w="990" w:type="dxa"/>
            <w:noWrap w:val="0"/>
            <w:vAlign w:val="center"/>
          </w:tcPr>
          <w:p w14:paraId="7C3649C4">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280" w:type="dxa"/>
            <w:gridSpan w:val="2"/>
            <w:noWrap w:val="0"/>
            <w:vAlign w:val="center"/>
          </w:tcPr>
          <w:p w14:paraId="09D0C898">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服务地点</w:t>
            </w:r>
          </w:p>
        </w:tc>
        <w:tc>
          <w:tcPr>
            <w:tcW w:w="6763" w:type="dxa"/>
            <w:noWrap w:val="0"/>
            <w:vAlign w:val="center"/>
          </w:tcPr>
          <w:p w14:paraId="01585A78">
            <w:pPr>
              <w:pStyle w:val="18"/>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滁州市内，招标人指定地点</w:t>
            </w:r>
          </w:p>
        </w:tc>
      </w:tr>
      <w:tr w14:paraId="566AB1D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8" w:hRule="atLeast"/>
        </w:trPr>
        <w:tc>
          <w:tcPr>
            <w:tcW w:w="990" w:type="dxa"/>
            <w:noWrap w:val="0"/>
            <w:vAlign w:val="center"/>
          </w:tcPr>
          <w:p w14:paraId="48B57503">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280" w:type="dxa"/>
            <w:gridSpan w:val="2"/>
            <w:noWrap w:val="0"/>
            <w:vAlign w:val="center"/>
          </w:tcPr>
          <w:p w14:paraId="614B13D7">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招标人联系人及电话</w:t>
            </w:r>
          </w:p>
        </w:tc>
        <w:tc>
          <w:tcPr>
            <w:tcW w:w="6763" w:type="dxa"/>
            <w:noWrap w:val="0"/>
            <w:vAlign w:val="center"/>
          </w:tcPr>
          <w:p w14:paraId="4355B9CB">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val="en-US" w:eastAsia="zh-CN"/>
              </w:rPr>
              <w:t>张达理</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hAnsi="宋体" w:cs="宋体"/>
                <w:color w:val="auto"/>
                <w:sz w:val="21"/>
                <w:szCs w:val="21"/>
                <w:highlight w:val="none"/>
                <w:lang w:val="en-US" w:eastAsia="zh-CN"/>
              </w:rPr>
              <w:t xml:space="preserve">18705500220 </w:t>
            </w:r>
          </w:p>
        </w:tc>
      </w:tr>
      <w:tr w14:paraId="6A93D61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800" w:hRule="atLeast"/>
        </w:trPr>
        <w:tc>
          <w:tcPr>
            <w:tcW w:w="990" w:type="dxa"/>
            <w:noWrap w:val="0"/>
            <w:vAlign w:val="center"/>
          </w:tcPr>
          <w:p w14:paraId="075BAB1B">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280" w:type="dxa"/>
            <w:gridSpan w:val="2"/>
            <w:noWrap w:val="0"/>
            <w:vAlign w:val="center"/>
          </w:tcPr>
          <w:p w14:paraId="33CACCB9">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采购代理机构联系人及电话</w:t>
            </w:r>
          </w:p>
        </w:tc>
        <w:tc>
          <w:tcPr>
            <w:tcW w:w="6763" w:type="dxa"/>
            <w:noWrap w:val="0"/>
            <w:vAlign w:val="center"/>
          </w:tcPr>
          <w:p w14:paraId="1234B95F">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联系人：杨韦       </w:t>
            </w:r>
            <w:r>
              <w:rPr>
                <w:rFonts w:hint="eastAsia"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电话0550-3519590   18005501210</w:t>
            </w:r>
          </w:p>
        </w:tc>
      </w:tr>
      <w:tr w14:paraId="14D7FE8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5" w:hRule="atLeast"/>
        </w:trPr>
        <w:tc>
          <w:tcPr>
            <w:tcW w:w="990" w:type="dxa"/>
            <w:noWrap w:val="0"/>
            <w:vAlign w:val="center"/>
          </w:tcPr>
          <w:p w14:paraId="3A866B48">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280" w:type="dxa"/>
            <w:gridSpan w:val="2"/>
            <w:noWrap w:val="0"/>
            <w:vAlign w:val="center"/>
          </w:tcPr>
          <w:p w14:paraId="21703FF3">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资金来源                                                                                                                                                                 </w:t>
            </w:r>
          </w:p>
        </w:tc>
        <w:tc>
          <w:tcPr>
            <w:tcW w:w="6763" w:type="dxa"/>
            <w:noWrap w:val="0"/>
            <w:vAlign w:val="center"/>
          </w:tcPr>
          <w:p w14:paraId="6A3B86F5">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自筹资金</w:t>
            </w:r>
          </w:p>
        </w:tc>
      </w:tr>
      <w:tr w14:paraId="6BFF785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2" w:hRule="atLeast"/>
        </w:trPr>
        <w:tc>
          <w:tcPr>
            <w:tcW w:w="990" w:type="dxa"/>
            <w:noWrap w:val="0"/>
            <w:vAlign w:val="center"/>
          </w:tcPr>
          <w:p w14:paraId="6C6535C7">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280" w:type="dxa"/>
            <w:gridSpan w:val="2"/>
            <w:noWrap w:val="0"/>
            <w:vAlign w:val="center"/>
          </w:tcPr>
          <w:p w14:paraId="5B8A4A6F">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采购预算</w:t>
            </w:r>
          </w:p>
        </w:tc>
        <w:tc>
          <w:tcPr>
            <w:tcW w:w="6763" w:type="dxa"/>
            <w:noWrap w:val="0"/>
            <w:vAlign w:val="center"/>
          </w:tcPr>
          <w:p w14:paraId="045103C1">
            <w:pPr>
              <w:pStyle w:val="18"/>
              <w:keepNext w:val="0"/>
              <w:keepLines w:val="0"/>
              <w:pageBreakBefore w:val="0"/>
              <w:kinsoku/>
              <w:overflowPunct/>
              <w:autoSpaceDE/>
              <w:autoSpaceDN/>
              <w:bidi w:val="0"/>
              <w:spacing w:line="500" w:lineRule="exact"/>
              <w:textAlignment w:val="auto"/>
              <w:rPr>
                <w:rFonts w:hint="default" w:ascii="宋体" w:hAnsi="宋体" w:eastAsia="宋体" w:cs="宋体"/>
                <w:color w:val="auto"/>
                <w:kern w:val="2"/>
                <w:sz w:val="21"/>
                <w:szCs w:val="21"/>
                <w:highlight w:val="none"/>
                <w:u w:val="none" w:color="000000"/>
                <w:lang w:val="en-US" w:eastAsia="zh-CN" w:bidi="ar-SA"/>
              </w:rPr>
            </w:pPr>
            <w:r>
              <w:rPr>
                <w:rFonts w:hint="eastAsia" w:hAnsi="宋体" w:cs="宋体"/>
                <w:color w:val="auto"/>
                <w:kern w:val="2"/>
                <w:sz w:val="21"/>
                <w:szCs w:val="21"/>
                <w:highlight w:val="none"/>
                <w:u w:val="none" w:color="000000"/>
                <w:lang w:val="en-US" w:eastAsia="zh-CN" w:bidi="ar-SA"/>
              </w:rPr>
              <w:t>259000.00</w:t>
            </w:r>
            <w:r>
              <w:rPr>
                <w:rFonts w:hint="default" w:ascii="宋体" w:hAnsi="宋体" w:eastAsia="宋体" w:cs="宋体"/>
                <w:color w:val="auto"/>
                <w:kern w:val="2"/>
                <w:sz w:val="21"/>
                <w:szCs w:val="21"/>
                <w:highlight w:val="none"/>
                <w:u w:val="none" w:color="000000"/>
                <w:lang w:val="en-US" w:eastAsia="zh-CN" w:bidi="ar-SA"/>
              </w:rPr>
              <w:t>元</w:t>
            </w:r>
          </w:p>
        </w:tc>
      </w:tr>
      <w:tr w14:paraId="2C93876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990" w:type="dxa"/>
            <w:noWrap w:val="0"/>
            <w:vAlign w:val="center"/>
          </w:tcPr>
          <w:p w14:paraId="0008574E">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280" w:type="dxa"/>
            <w:gridSpan w:val="2"/>
            <w:noWrap w:val="0"/>
            <w:vAlign w:val="center"/>
          </w:tcPr>
          <w:p w14:paraId="2D629750">
            <w:pPr>
              <w:pStyle w:val="18"/>
              <w:keepNext w:val="0"/>
              <w:keepLines w:val="0"/>
              <w:pageBreakBefore w:val="0"/>
              <w:kinsoku/>
              <w:overflowPunct/>
              <w:autoSpaceDE/>
              <w:autoSpaceDN/>
              <w:bidi w:val="0"/>
              <w:spacing w:line="500" w:lineRule="exact"/>
              <w:jc w:val="lef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最高限价</w:t>
            </w:r>
          </w:p>
        </w:tc>
        <w:tc>
          <w:tcPr>
            <w:tcW w:w="6763" w:type="dxa"/>
            <w:noWrap w:val="0"/>
            <w:vAlign w:val="center"/>
          </w:tcPr>
          <w:p w14:paraId="668FF66C">
            <w:pPr>
              <w:keepNext w:val="0"/>
              <w:keepLines w:val="0"/>
              <w:pageBreakBefore w:val="0"/>
              <w:kinsoku/>
              <w:overflowPunct/>
              <w:autoSpaceDE/>
              <w:autoSpaceDN/>
              <w:bidi w:val="0"/>
              <w:spacing w:line="500" w:lineRule="exact"/>
              <w:textAlignment w:val="auto"/>
              <w:rPr>
                <w:rFonts w:hint="eastAsia" w:ascii="宋体" w:hAnsi="宋体" w:eastAsia="宋体" w:cs="宋体"/>
                <w:color w:val="auto"/>
                <w:kern w:val="2"/>
                <w:sz w:val="21"/>
                <w:szCs w:val="21"/>
                <w:highlight w:val="none"/>
                <w:u w:val="none" w:color="000000"/>
                <w:lang w:val="en-US" w:eastAsia="zh-CN" w:bidi="ar-SA"/>
              </w:rPr>
            </w:pPr>
            <w:r>
              <w:rPr>
                <w:rFonts w:hint="eastAsia" w:ascii="宋体" w:hAnsi="宋体" w:cs="宋体"/>
                <w:color w:val="auto"/>
                <w:szCs w:val="21"/>
                <w:highlight w:val="none"/>
                <w:u w:val="none" w:color="000000"/>
                <w:lang w:val="en-US" w:eastAsia="zh-CN"/>
              </w:rPr>
              <w:t>259000.00元，</w:t>
            </w:r>
            <w:r>
              <w:rPr>
                <w:rFonts w:hint="eastAsia"/>
                <w:color w:val="auto"/>
                <w:highlight w:val="none"/>
                <w:lang w:val="en-US" w:eastAsia="zh-CN"/>
              </w:rPr>
              <w:t>报价均</w:t>
            </w:r>
            <w:r>
              <w:rPr>
                <w:rFonts w:hint="eastAsia" w:eastAsia="宋体"/>
                <w:color w:val="auto"/>
                <w:highlight w:val="none"/>
              </w:rPr>
              <w:t>保留两位小数，第三位四舍五入</w:t>
            </w:r>
            <w:r>
              <w:rPr>
                <w:rFonts w:hint="eastAsia"/>
                <w:color w:val="auto"/>
                <w:highlight w:val="none"/>
                <w:lang w:eastAsia="zh-CN"/>
              </w:rPr>
              <w:t>。</w:t>
            </w:r>
          </w:p>
        </w:tc>
      </w:tr>
      <w:tr w14:paraId="1021CD5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80" w:hRule="atLeast"/>
        </w:trPr>
        <w:tc>
          <w:tcPr>
            <w:tcW w:w="990" w:type="dxa"/>
            <w:noWrap w:val="0"/>
            <w:vAlign w:val="center"/>
          </w:tcPr>
          <w:p w14:paraId="55DF0AE1">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280" w:type="dxa"/>
            <w:gridSpan w:val="2"/>
            <w:noWrap w:val="0"/>
            <w:vAlign w:val="center"/>
          </w:tcPr>
          <w:p w14:paraId="6CF77162">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采购内容</w:t>
            </w:r>
          </w:p>
        </w:tc>
        <w:tc>
          <w:tcPr>
            <w:tcW w:w="6763" w:type="dxa"/>
            <w:noWrap w:val="0"/>
            <w:vAlign w:val="center"/>
          </w:tcPr>
          <w:p w14:paraId="78F93E5B">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具体详见《采购内容及技术要求》</w:t>
            </w:r>
          </w:p>
        </w:tc>
      </w:tr>
      <w:tr w14:paraId="388F84B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990" w:type="dxa"/>
            <w:noWrap w:val="0"/>
            <w:vAlign w:val="center"/>
          </w:tcPr>
          <w:p w14:paraId="7272BBAC">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2280" w:type="dxa"/>
            <w:gridSpan w:val="2"/>
            <w:noWrap w:val="0"/>
            <w:vAlign w:val="center"/>
          </w:tcPr>
          <w:p w14:paraId="7FE2BA82">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标包划分</w:t>
            </w:r>
          </w:p>
        </w:tc>
        <w:tc>
          <w:tcPr>
            <w:tcW w:w="6763" w:type="dxa"/>
            <w:noWrap w:val="0"/>
            <w:vAlign w:val="center"/>
          </w:tcPr>
          <w:p w14:paraId="638A188D">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本项目划分为</w:t>
            </w:r>
            <w:r>
              <w:rPr>
                <w:rFonts w:hint="eastAsia" w:ascii="宋体" w:hAnsi="宋体" w:eastAsia="宋体" w:cs="宋体"/>
                <w:color w:val="auto"/>
                <w:sz w:val="21"/>
                <w:szCs w:val="21"/>
                <w:highlight w:val="none"/>
                <w:u w:val="single"/>
              </w:rPr>
              <w:t xml:space="preserve"> 1</w:t>
            </w:r>
            <w:r>
              <w:rPr>
                <w:rFonts w:hint="eastAsia" w:ascii="宋体" w:hAnsi="宋体" w:eastAsia="宋体" w:cs="宋体"/>
                <w:color w:val="auto"/>
                <w:sz w:val="21"/>
                <w:szCs w:val="21"/>
                <w:highlight w:val="none"/>
              </w:rPr>
              <w:t>个标包</w:t>
            </w:r>
          </w:p>
        </w:tc>
      </w:tr>
      <w:tr w14:paraId="6EF4D30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0" w:hRule="atLeast"/>
        </w:trPr>
        <w:tc>
          <w:tcPr>
            <w:tcW w:w="990" w:type="dxa"/>
            <w:noWrap w:val="0"/>
            <w:vAlign w:val="center"/>
          </w:tcPr>
          <w:p w14:paraId="167D1971">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w:t>
            </w:r>
          </w:p>
        </w:tc>
        <w:tc>
          <w:tcPr>
            <w:tcW w:w="2280" w:type="dxa"/>
            <w:gridSpan w:val="2"/>
            <w:noWrap w:val="0"/>
            <w:vAlign w:val="center"/>
          </w:tcPr>
          <w:p w14:paraId="0DE3BB8B">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招标方式</w:t>
            </w:r>
          </w:p>
        </w:tc>
        <w:tc>
          <w:tcPr>
            <w:tcW w:w="6763" w:type="dxa"/>
            <w:noWrap w:val="0"/>
            <w:vAlign w:val="center"/>
          </w:tcPr>
          <w:p w14:paraId="24B5EB72">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公开招标</w:t>
            </w:r>
          </w:p>
        </w:tc>
      </w:tr>
      <w:tr w14:paraId="4F128EB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3" w:hRule="atLeast"/>
        </w:trPr>
        <w:tc>
          <w:tcPr>
            <w:tcW w:w="990" w:type="dxa"/>
            <w:noWrap w:val="0"/>
            <w:vAlign w:val="center"/>
          </w:tcPr>
          <w:p w14:paraId="662D4158">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p>
        </w:tc>
        <w:tc>
          <w:tcPr>
            <w:tcW w:w="2280" w:type="dxa"/>
            <w:gridSpan w:val="2"/>
            <w:noWrap w:val="0"/>
            <w:vAlign w:val="center"/>
          </w:tcPr>
          <w:p w14:paraId="2893D7D9">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投标人资格条件及其他要求</w:t>
            </w:r>
          </w:p>
        </w:tc>
        <w:tc>
          <w:tcPr>
            <w:tcW w:w="6763" w:type="dxa"/>
            <w:noWrap w:val="0"/>
            <w:vAlign w:val="center"/>
          </w:tcPr>
          <w:p w14:paraId="3BDA729D">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1C49265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trPr>
        <w:tc>
          <w:tcPr>
            <w:tcW w:w="990" w:type="dxa"/>
            <w:noWrap w:val="0"/>
            <w:vAlign w:val="center"/>
          </w:tcPr>
          <w:p w14:paraId="25CEC60E">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c>
          <w:tcPr>
            <w:tcW w:w="2280" w:type="dxa"/>
            <w:gridSpan w:val="2"/>
            <w:noWrap w:val="0"/>
            <w:vAlign w:val="center"/>
          </w:tcPr>
          <w:p w14:paraId="1AAC71BB">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踏勘现场</w:t>
            </w:r>
          </w:p>
        </w:tc>
        <w:tc>
          <w:tcPr>
            <w:tcW w:w="6763" w:type="dxa"/>
            <w:noWrap w:val="0"/>
            <w:vAlign w:val="center"/>
          </w:tcPr>
          <w:p w14:paraId="26F60FA8">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不组织,投标人自行踏勘。</w:t>
            </w:r>
          </w:p>
        </w:tc>
      </w:tr>
      <w:tr w14:paraId="601CB6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trPr>
        <w:tc>
          <w:tcPr>
            <w:tcW w:w="990" w:type="dxa"/>
            <w:noWrap w:val="0"/>
            <w:vAlign w:val="center"/>
          </w:tcPr>
          <w:p w14:paraId="09429FCF">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w:t>
            </w:r>
          </w:p>
        </w:tc>
        <w:tc>
          <w:tcPr>
            <w:tcW w:w="2280" w:type="dxa"/>
            <w:gridSpan w:val="2"/>
            <w:noWrap w:val="0"/>
            <w:vAlign w:val="center"/>
          </w:tcPr>
          <w:p w14:paraId="7AC19732">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投标预备会</w:t>
            </w:r>
          </w:p>
        </w:tc>
        <w:tc>
          <w:tcPr>
            <w:tcW w:w="6763" w:type="dxa"/>
            <w:noWrap w:val="0"/>
            <w:vAlign w:val="center"/>
          </w:tcPr>
          <w:p w14:paraId="1CB31937">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不召开</w:t>
            </w:r>
          </w:p>
        </w:tc>
      </w:tr>
      <w:tr w14:paraId="305E983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trPr>
        <w:tc>
          <w:tcPr>
            <w:tcW w:w="990" w:type="dxa"/>
            <w:noWrap w:val="0"/>
            <w:vAlign w:val="center"/>
          </w:tcPr>
          <w:p w14:paraId="41D4BD18">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w:t>
            </w:r>
          </w:p>
        </w:tc>
        <w:tc>
          <w:tcPr>
            <w:tcW w:w="2280" w:type="dxa"/>
            <w:gridSpan w:val="2"/>
            <w:noWrap w:val="0"/>
            <w:vAlign w:val="center"/>
          </w:tcPr>
          <w:p w14:paraId="04CD0285">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投标人提出</w:t>
            </w:r>
            <w:r>
              <w:rPr>
                <w:rFonts w:hint="eastAsia" w:ascii="宋体" w:hAnsi="宋体" w:eastAsia="宋体" w:cs="宋体"/>
                <w:color w:val="auto"/>
                <w:sz w:val="21"/>
                <w:szCs w:val="21"/>
                <w:highlight w:val="none"/>
                <w:u w:val="none" w:color="auto"/>
              </w:rPr>
              <w:t>疑问</w:t>
            </w:r>
            <w:r>
              <w:rPr>
                <w:rFonts w:hint="eastAsia" w:ascii="宋体" w:hAnsi="宋体" w:eastAsia="宋体" w:cs="宋体"/>
                <w:color w:val="auto"/>
                <w:sz w:val="21"/>
                <w:szCs w:val="21"/>
                <w:highlight w:val="none"/>
              </w:rPr>
              <w:t>的截止时间及方式</w:t>
            </w:r>
          </w:p>
        </w:tc>
        <w:tc>
          <w:tcPr>
            <w:tcW w:w="6763" w:type="dxa"/>
            <w:noWrap w:val="0"/>
            <w:vAlign w:val="center"/>
          </w:tcPr>
          <w:p w14:paraId="78C0B83B">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color="auto"/>
              </w:rPr>
              <w:t>如投标人对招标文件有疑问，请于</w:t>
            </w:r>
            <w:r>
              <w:rPr>
                <w:rFonts w:hint="eastAsia" w:ascii="宋体" w:hAnsi="宋体" w:eastAsia="宋体" w:cs="宋体"/>
                <w:b/>
                <w:bCs/>
                <w:color w:val="auto"/>
                <w:sz w:val="21"/>
                <w:szCs w:val="21"/>
                <w:highlight w:val="none"/>
                <w:u w:val="none" w:color="auto"/>
              </w:rPr>
              <w:t>202</w:t>
            </w:r>
            <w:r>
              <w:rPr>
                <w:rFonts w:hint="eastAsia" w:hAnsi="宋体" w:cs="宋体"/>
                <w:b/>
                <w:bCs/>
                <w:color w:val="auto"/>
                <w:sz w:val="21"/>
                <w:szCs w:val="21"/>
                <w:highlight w:val="none"/>
                <w:u w:val="none" w:color="auto"/>
                <w:lang w:val="en-US" w:eastAsia="zh-CN"/>
              </w:rPr>
              <w:t>6</w:t>
            </w:r>
            <w:r>
              <w:rPr>
                <w:rFonts w:hint="eastAsia" w:ascii="宋体" w:hAnsi="宋体" w:eastAsia="宋体" w:cs="宋体"/>
                <w:b/>
                <w:bCs/>
                <w:color w:val="auto"/>
                <w:sz w:val="21"/>
                <w:szCs w:val="21"/>
                <w:highlight w:val="none"/>
                <w:u w:val="none" w:color="auto"/>
              </w:rPr>
              <w:t>年</w:t>
            </w:r>
            <w:r>
              <w:rPr>
                <w:rFonts w:hint="eastAsia" w:hAnsi="宋体" w:cs="宋体"/>
                <w:b/>
                <w:bCs/>
                <w:color w:val="auto"/>
                <w:sz w:val="21"/>
                <w:szCs w:val="21"/>
                <w:highlight w:val="none"/>
                <w:u w:val="none" w:color="auto"/>
                <w:lang w:val="en-US" w:eastAsia="zh-CN"/>
              </w:rPr>
              <w:t>10</w:t>
            </w:r>
            <w:r>
              <w:rPr>
                <w:rFonts w:hint="eastAsia" w:ascii="宋体" w:hAnsi="宋体" w:eastAsia="宋体" w:cs="宋体"/>
                <w:b/>
                <w:bCs/>
                <w:color w:val="auto"/>
                <w:sz w:val="21"/>
                <w:szCs w:val="21"/>
                <w:highlight w:val="none"/>
                <w:u w:val="none" w:color="auto"/>
              </w:rPr>
              <w:t>月</w:t>
            </w:r>
            <w:r>
              <w:rPr>
                <w:rFonts w:hint="eastAsia" w:hAnsi="宋体" w:cs="宋体"/>
                <w:b/>
                <w:bCs/>
                <w:color w:val="auto"/>
                <w:sz w:val="21"/>
                <w:szCs w:val="21"/>
                <w:highlight w:val="none"/>
                <w:u w:val="none" w:color="auto"/>
                <w:lang w:val="en-US" w:eastAsia="zh-CN"/>
              </w:rPr>
              <w:t>21</w:t>
            </w:r>
            <w:r>
              <w:rPr>
                <w:rFonts w:hint="eastAsia" w:ascii="宋体" w:hAnsi="宋体" w:eastAsia="宋体" w:cs="宋体"/>
                <w:b/>
                <w:bCs/>
                <w:color w:val="auto"/>
                <w:sz w:val="21"/>
                <w:szCs w:val="21"/>
                <w:highlight w:val="none"/>
                <w:u w:val="none" w:color="auto"/>
              </w:rPr>
              <w:t>日</w:t>
            </w:r>
            <w:r>
              <w:rPr>
                <w:rFonts w:hint="eastAsia" w:hAnsi="宋体" w:cs="宋体"/>
                <w:b/>
                <w:bCs/>
                <w:color w:val="auto"/>
                <w:sz w:val="21"/>
                <w:szCs w:val="21"/>
                <w:highlight w:val="none"/>
                <w:u w:val="none" w:color="auto"/>
                <w:lang w:val="en-US" w:eastAsia="zh-CN"/>
              </w:rPr>
              <w:t>17</w:t>
            </w:r>
            <w:r>
              <w:rPr>
                <w:rFonts w:hint="eastAsia" w:ascii="宋体" w:hAnsi="宋体" w:eastAsia="宋体" w:cs="宋体"/>
                <w:b/>
                <w:bCs/>
                <w:color w:val="auto"/>
                <w:sz w:val="21"/>
                <w:szCs w:val="21"/>
                <w:highlight w:val="none"/>
                <w:u w:val="none" w:color="auto"/>
              </w:rPr>
              <w:t>时</w:t>
            </w:r>
            <w:r>
              <w:rPr>
                <w:rFonts w:hint="eastAsia" w:hAnsi="宋体" w:cs="宋体"/>
                <w:b/>
                <w:bCs/>
                <w:color w:val="auto"/>
                <w:sz w:val="21"/>
                <w:szCs w:val="21"/>
                <w:highlight w:val="none"/>
                <w:u w:val="none" w:color="auto"/>
                <w:lang w:val="en-US" w:eastAsia="zh-CN"/>
              </w:rPr>
              <w:t>30分</w:t>
            </w:r>
            <w:r>
              <w:rPr>
                <w:rFonts w:hint="eastAsia" w:ascii="宋体" w:hAnsi="宋体" w:eastAsia="宋体" w:cs="宋体"/>
                <w:color w:val="auto"/>
                <w:sz w:val="21"/>
                <w:szCs w:val="21"/>
                <w:highlight w:val="none"/>
                <w:u w:val="none" w:color="auto"/>
              </w:rPr>
              <w:t>前</w:t>
            </w:r>
            <w:r>
              <w:rPr>
                <w:rFonts w:hint="eastAsia" w:ascii="宋体" w:hAnsi="宋体" w:eastAsia="宋体" w:cs="宋体"/>
                <w:color w:val="auto"/>
                <w:sz w:val="21"/>
                <w:szCs w:val="21"/>
                <w:highlight w:val="none"/>
                <w:u w:val="none" w:color="auto"/>
                <w:lang w:val="en-US" w:eastAsia="zh-CN"/>
              </w:rPr>
              <w:t>将疑问内容通过登录新点电子交易平台【滁州专区】线上提出异议</w:t>
            </w:r>
          </w:p>
        </w:tc>
      </w:tr>
      <w:tr w14:paraId="63E1006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trPr>
        <w:tc>
          <w:tcPr>
            <w:tcW w:w="990" w:type="dxa"/>
            <w:noWrap w:val="0"/>
            <w:vAlign w:val="center"/>
          </w:tcPr>
          <w:p w14:paraId="3A60B3EB">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w:t>
            </w:r>
          </w:p>
        </w:tc>
        <w:tc>
          <w:tcPr>
            <w:tcW w:w="2280" w:type="dxa"/>
            <w:gridSpan w:val="2"/>
            <w:noWrap w:val="0"/>
            <w:vAlign w:val="center"/>
          </w:tcPr>
          <w:p w14:paraId="1ED00A52">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招标人澄清的时间及方式</w:t>
            </w:r>
          </w:p>
        </w:tc>
        <w:tc>
          <w:tcPr>
            <w:tcW w:w="6763" w:type="dxa"/>
            <w:noWrap w:val="0"/>
            <w:vAlign w:val="center"/>
          </w:tcPr>
          <w:p w14:paraId="3824FE5C">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u w:val="none" w:color="000000"/>
              </w:rPr>
              <w:t>202</w:t>
            </w:r>
            <w:r>
              <w:rPr>
                <w:rFonts w:hint="eastAsia" w:ascii="宋体" w:hAnsi="宋体" w:cs="宋体"/>
                <w:b/>
                <w:bCs/>
                <w:color w:val="auto"/>
                <w:sz w:val="21"/>
                <w:szCs w:val="21"/>
                <w:highlight w:val="none"/>
                <w:u w:val="none" w:color="000000"/>
                <w:lang w:val="en-US" w:eastAsia="zh-CN"/>
              </w:rPr>
              <w:t>6</w:t>
            </w:r>
            <w:r>
              <w:rPr>
                <w:rFonts w:hint="eastAsia" w:ascii="宋体" w:hAnsi="宋体" w:eastAsia="宋体" w:cs="宋体"/>
                <w:b/>
                <w:bCs/>
                <w:color w:val="auto"/>
                <w:sz w:val="21"/>
                <w:szCs w:val="21"/>
                <w:highlight w:val="none"/>
                <w:u w:val="none" w:color="000000"/>
              </w:rPr>
              <w:t>年</w:t>
            </w:r>
            <w:r>
              <w:rPr>
                <w:rFonts w:hint="eastAsia" w:ascii="宋体" w:hAnsi="宋体" w:cs="宋体"/>
                <w:b/>
                <w:bCs/>
                <w:color w:val="auto"/>
                <w:sz w:val="21"/>
                <w:szCs w:val="21"/>
                <w:highlight w:val="none"/>
                <w:u w:val="none" w:color="000000"/>
                <w:lang w:val="en-US" w:eastAsia="zh-CN"/>
              </w:rPr>
              <w:t>10</w:t>
            </w:r>
            <w:r>
              <w:rPr>
                <w:rFonts w:hint="eastAsia" w:ascii="宋体" w:hAnsi="宋体" w:eastAsia="宋体" w:cs="宋体"/>
                <w:b/>
                <w:bCs/>
                <w:color w:val="auto"/>
                <w:sz w:val="21"/>
                <w:szCs w:val="21"/>
                <w:highlight w:val="none"/>
                <w:u w:val="none" w:color="000000"/>
              </w:rPr>
              <w:t>月</w:t>
            </w:r>
            <w:r>
              <w:rPr>
                <w:rFonts w:hint="eastAsia" w:ascii="宋体" w:hAnsi="宋体" w:cs="宋体"/>
                <w:b/>
                <w:bCs/>
                <w:color w:val="auto"/>
                <w:sz w:val="21"/>
                <w:szCs w:val="21"/>
                <w:highlight w:val="none"/>
                <w:u w:val="none" w:color="000000"/>
                <w:lang w:val="en-US" w:eastAsia="zh-CN"/>
              </w:rPr>
              <w:t>22</w:t>
            </w:r>
            <w:r>
              <w:rPr>
                <w:rFonts w:hint="eastAsia" w:ascii="宋体" w:hAnsi="宋体" w:eastAsia="宋体" w:cs="宋体"/>
                <w:b/>
                <w:bCs/>
                <w:color w:val="auto"/>
                <w:sz w:val="21"/>
                <w:szCs w:val="21"/>
                <w:highlight w:val="none"/>
                <w:u w:val="none" w:color="000000"/>
              </w:rPr>
              <w:t>日17时</w:t>
            </w:r>
            <w:r>
              <w:rPr>
                <w:rFonts w:hint="eastAsia" w:ascii="宋体" w:hAnsi="宋体" w:eastAsia="宋体" w:cs="宋体"/>
                <w:b/>
                <w:bCs/>
                <w:color w:val="auto"/>
                <w:sz w:val="21"/>
                <w:szCs w:val="21"/>
                <w:highlight w:val="none"/>
              </w:rPr>
              <w:t>前</w:t>
            </w:r>
            <w:r>
              <w:rPr>
                <w:rFonts w:hint="eastAsia" w:ascii="宋体" w:hAnsi="宋体" w:eastAsia="宋体" w:cs="宋体"/>
                <w:color w:val="auto"/>
                <w:sz w:val="21"/>
                <w:szCs w:val="21"/>
                <w:highlight w:val="none"/>
              </w:rPr>
              <w:t>以澄清公告形式在</w:t>
            </w:r>
            <w:r>
              <w:rPr>
                <w:rFonts w:hint="eastAsia" w:ascii="宋体" w:hAnsi="宋体" w:cs="宋体"/>
                <w:color w:val="auto"/>
                <w:sz w:val="21"/>
                <w:szCs w:val="21"/>
                <w:highlight w:val="none"/>
                <w:lang w:eastAsia="zh-CN"/>
              </w:rPr>
              <w:t>滁州市兴滁矿业投资集团有限公司（http://www.xckytz.com/）</w:t>
            </w:r>
            <w:r>
              <w:rPr>
                <w:rFonts w:hint="eastAsia" w:ascii="宋体" w:hAnsi="宋体" w:eastAsia="宋体" w:cs="宋体"/>
                <w:color w:val="auto"/>
                <w:sz w:val="21"/>
                <w:szCs w:val="21"/>
                <w:highlight w:val="none"/>
              </w:rPr>
              <w:t>、滁州市城投工程咨询管理有限公司网站（https://www.czctgczx.com/）予以公告。</w:t>
            </w:r>
          </w:p>
        </w:tc>
      </w:tr>
      <w:tr w14:paraId="7AA9CBD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7" w:hRule="atLeast"/>
        </w:trPr>
        <w:tc>
          <w:tcPr>
            <w:tcW w:w="990" w:type="dxa"/>
            <w:noWrap w:val="0"/>
            <w:vAlign w:val="center"/>
          </w:tcPr>
          <w:p w14:paraId="72DEC790">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2280" w:type="dxa"/>
            <w:gridSpan w:val="2"/>
            <w:noWrap w:val="0"/>
            <w:vAlign w:val="center"/>
          </w:tcPr>
          <w:p w14:paraId="094E2F38">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w:t>
            </w:r>
          </w:p>
        </w:tc>
        <w:tc>
          <w:tcPr>
            <w:tcW w:w="6763" w:type="dxa"/>
            <w:noWrap w:val="0"/>
            <w:vAlign w:val="center"/>
          </w:tcPr>
          <w:p w14:paraId="2769C1DF">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本次招标</w:t>
            </w:r>
            <w:r>
              <w:rPr>
                <w:rFonts w:hint="eastAsia" w:ascii="宋体" w:hAnsi="宋体" w:eastAsia="宋体" w:cs="宋体"/>
                <w:color w:val="auto"/>
                <w:sz w:val="21"/>
                <w:szCs w:val="21"/>
                <w:highlight w:val="none"/>
                <w:u w:val="none" w:color="auto"/>
              </w:rPr>
              <w:t>不接受</w:t>
            </w:r>
            <w:r>
              <w:rPr>
                <w:rFonts w:hint="eastAsia" w:ascii="宋体" w:hAnsi="宋体" w:eastAsia="宋体" w:cs="宋体"/>
                <w:color w:val="auto"/>
                <w:sz w:val="21"/>
                <w:szCs w:val="21"/>
                <w:highlight w:val="none"/>
              </w:rPr>
              <w:t>联合体投标</w:t>
            </w:r>
          </w:p>
        </w:tc>
      </w:tr>
      <w:tr w14:paraId="58F735F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990" w:type="dxa"/>
            <w:noWrap w:val="0"/>
            <w:vAlign w:val="center"/>
          </w:tcPr>
          <w:p w14:paraId="68FDC28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2280" w:type="dxa"/>
            <w:gridSpan w:val="2"/>
            <w:noWrap w:val="0"/>
            <w:vAlign w:val="center"/>
          </w:tcPr>
          <w:p w14:paraId="6A09B796">
            <w:pPr>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招标代理费</w:t>
            </w:r>
          </w:p>
        </w:tc>
        <w:tc>
          <w:tcPr>
            <w:tcW w:w="6763" w:type="dxa"/>
            <w:noWrap w:val="0"/>
            <w:vAlign w:val="center"/>
          </w:tcPr>
          <w:p w14:paraId="154D5E54">
            <w:pPr>
              <w:keepNext w:val="0"/>
              <w:keepLines w:val="0"/>
              <w:pageBreakBefore w:val="0"/>
              <w:suppressLineNumbers w:val="0"/>
              <w:kinsoku/>
              <w:overflowPunct/>
              <w:autoSpaceDE/>
              <w:autoSpaceDN/>
              <w:bidi w:val="0"/>
              <w:adjustRightInd/>
              <w:spacing w:before="0" w:beforeAutospacing="0" w:afterAutospacing="0" w:line="500" w:lineRule="exact"/>
              <w:ind w:left="0" w:righ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代理服务费金额：</w:t>
            </w:r>
            <w:r>
              <w:rPr>
                <w:rFonts w:hint="eastAsia" w:ascii="宋体" w:hAnsi="宋体" w:cs="宋体"/>
                <w:color w:val="auto"/>
                <w:sz w:val="21"/>
                <w:szCs w:val="21"/>
                <w:highlight w:val="none"/>
                <w:lang w:val="en-US" w:eastAsia="zh-CN"/>
              </w:rPr>
              <w:t>3000</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p>
          <w:p w14:paraId="34FD9A70">
            <w:pPr>
              <w:keepNext w:val="0"/>
              <w:keepLines w:val="0"/>
              <w:pageBreakBefore w:val="0"/>
              <w:suppressLineNumbers w:val="0"/>
              <w:kinsoku/>
              <w:overflowPunct/>
              <w:autoSpaceDE/>
              <w:autoSpaceDN/>
              <w:bidi w:val="0"/>
              <w:adjustRightInd/>
              <w:spacing w:before="0" w:beforeAutospacing="0" w:afterAutospacing="0" w:line="50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w:t>
            </w:r>
            <w:r>
              <w:rPr>
                <w:rFonts w:hint="eastAsia" w:ascii="宋体" w:hAnsi="宋体" w:eastAsia="宋体" w:cs="宋体"/>
                <w:color w:val="auto"/>
                <w:sz w:val="21"/>
                <w:szCs w:val="21"/>
                <w:highlight w:val="none"/>
                <w:lang w:val="en-US" w:eastAsia="zh-CN"/>
              </w:rPr>
              <w:t>支付主体</w:t>
            </w:r>
            <w:r>
              <w:rPr>
                <w:rFonts w:hint="eastAsia" w:ascii="宋体" w:hAnsi="宋体" w:eastAsia="宋体" w:cs="宋体"/>
                <w:color w:val="auto"/>
                <w:sz w:val="21"/>
                <w:szCs w:val="21"/>
                <w:highlight w:val="none"/>
              </w:rPr>
              <w:t>：中标单位</w:t>
            </w:r>
            <w:r>
              <w:rPr>
                <w:rFonts w:hint="eastAsia" w:ascii="宋体" w:hAnsi="宋体" w:cs="宋体"/>
                <w:color w:val="auto"/>
                <w:sz w:val="21"/>
                <w:szCs w:val="21"/>
                <w:highlight w:val="none"/>
                <w:lang w:eastAsia="zh-CN"/>
              </w:rPr>
              <w:t>，</w:t>
            </w:r>
            <w:r>
              <w:rPr>
                <w:rFonts w:hint="eastAsia" w:ascii="宋体" w:hAnsi="宋体" w:eastAsia="宋体" w:cs="宋体"/>
                <w:color w:val="auto"/>
                <w:highlight w:val="none"/>
              </w:rPr>
              <w:t>中标单位在获取中标通知书时一次性支付给代理机构。</w:t>
            </w:r>
          </w:p>
          <w:p w14:paraId="057AEA41">
            <w:pPr>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专家评审费支付主体：</w:t>
            </w:r>
            <w:r>
              <w:rPr>
                <w:rFonts w:hint="eastAsia" w:ascii="宋体" w:hAnsi="宋体" w:cs="宋体"/>
                <w:color w:val="auto"/>
                <w:sz w:val="21"/>
                <w:szCs w:val="21"/>
                <w:highlight w:val="none"/>
                <w:lang w:val="en-US" w:eastAsia="zh-CN"/>
              </w:rPr>
              <w:t>中标单位</w:t>
            </w:r>
          </w:p>
        </w:tc>
      </w:tr>
      <w:tr w14:paraId="38B3886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225" w:hRule="atLeast"/>
        </w:trPr>
        <w:tc>
          <w:tcPr>
            <w:tcW w:w="990" w:type="dxa"/>
            <w:noWrap w:val="0"/>
            <w:vAlign w:val="center"/>
          </w:tcPr>
          <w:p w14:paraId="5739663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16.3</w:t>
            </w:r>
          </w:p>
        </w:tc>
        <w:tc>
          <w:tcPr>
            <w:tcW w:w="2280" w:type="dxa"/>
            <w:gridSpan w:val="2"/>
            <w:noWrap w:val="0"/>
            <w:vAlign w:val="center"/>
          </w:tcPr>
          <w:p w14:paraId="03588E31">
            <w:pPr>
              <w:keepNext w:val="0"/>
              <w:keepLines w:val="0"/>
              <w:pageBreakBefore w:val="0"/>
              <w:kinsoku/>
              <w:overflowPunct/>
              <w:autoSpaceDE/>
              <w:autoSpaceDN/>
              <w:bidi w:val="0"/>
              <w:spacing w:line="500" w:lineRule="exact"/>
              <w:ind w:right="-27" w:rightChars="-13"/>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投标人要求澄清招标文件的截止时间及方式</w:t>
            </w:r>
          </w:p>
        </w:tc>
        <w:tc>
          <w:tcPr>
            <w:tcW w:w="6763" w:type="dxa"/>
            <w:noWrap w:val="0"/>
            <w:vAlign w:val="center"/>
          </w:tcPr>
          <w:p w14:paraId="4FECF828">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同表10.2款</w:t>
            </w:r>
          </w:p>
        </w:tc>
      </w:tr>
      <w:tr w14:paraId="22C6562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trPr>
        <w:tc>
          <w:tcPr>
            <w:tcW w:w="990" w:type="dxa"/>
            <w:noWrap w:val="0"/>
            <w:vAlign w:val="center"/>
          </w:tcPr>
          <w:p w14:paraId="08FC4CD4">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23.1</w:t>
            </w:r>
          </w:p>
        </w:tc>
        <w:tc>
          <w:tcPr>
            <w:tcW w:w="2280" w:type="dxa"/>
            <w:gridSpan w:val="2"/>
            <w:noWrap w:val="0"/>
            <w:vAlign w:val="center"/>
          </w:tcPr>
          <w:p w14:paraId="65A368D6">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763" w:type="dxa"/>
            <w:noWrap w:val="0"/>
            <w:vAlign w:val="center"/>
          </w:tcPr>
          <w:p w14:paraId="1DF2EE27">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90  </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2B32857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5" w:hRule="atLeast"/>
        </w:trPr>
        <w:tc>
          <w:tcPr>
            <w:tcW w:w="990" w:type="dxa"/>
            <w:noWrap w:val="0"/>
            <w:vAlign w:val="center"/>
          </w:tcPr>
          <w:p w14:paraId="707463D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2280" w:type="dxa"/>
            <w:gridSpan w:val="2"/>
            <w:noWrap w:val="0"/>
            <w:vAlign w:val="center"/>
          </w:tcPr>
          <w:p w14:paraId="2900F1D0">
            <w:pPr>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763" w:type="dxa"/>
            <w:noWrap w:val="0"/>
            <w:vAlign w:val="top"/>
          </w:tcPr>
          <w:p w14:paraId="3E846791">
            <w:pPr>
              <w:keepNext w:val="0"/>
              <w:keepLines w:val="0"/>
              <w:pageBreakBefore w:val="0"/>
              <w:widowControl/>
              <w:shd w:val="clear" w:color="auto" w:fill="FFFFFF"/>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color="000000"/>
              </w:rPr>
              <w:t>详见第一章“招标公告”</w:t>
            </w:r>
          </w:p>
        </w:tc>
      </w:tr>
      <w:tr w14:paraId="4D5346E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990" w:type="dxa"/>
            <w:noWrap w:val="0"/>
            <w:vAlign w:val="center"/>
          </w:tcPr>
          <w:p w14:paraId="7967E44C">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25.1</w:t>
            </w:r>
          </w:p>
        </w:tc>
        <w:tc>
          <w:tcPr>
            <w:tcW w:w="2280" w:type="dxa"/>
            <w:gridSpan w:val="2"/>
            <w:noWrap w:val="0"/>
            <w:vAlign w:val="center"/>
          </w:tcPr>
          <w:p w14:paraId="10016A4F">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投标文件数量</w:t>
            </w:r>
          </w:p>
        </w:tc>
        <w:tc>
          <w:tcPr>
            <w:tcW w:w="6763" w:type="dxa"/>
            <w:noWrap w:val="0"/>
            <w:vAlign w:val="center"/>
          </w:tcPr>
          <w:p w14:paraId="50019388">
            <w:pPr>
              <w:keepNext w:val="0"/>
              <w:keepLines w:val="0"/>
              <w:pageBreakBefore w:val="0"/>
              <w:widowControl/>
              <w:kinsoku/>
              <w:overflowPunct/>
              <w:autoSpaceDE/>
              <w:autoSpaceDN/>
              <w:bidi w:val="0"/>
              <w:spacing w:line="500" w:lineRule="exact"/>
              <w:ind w:firstLine="88" w:firstLineChars="42"/>
              <w:jc w:val="left"/>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网上递交的电子投标文件：一份。以投标人在投标截止时间前网上递交的电子投标文件为准，逾期提交的，投标文件将被拒绝。</w:t>
            </w:r>
          </w:p>
          <w:p w14:paraId="603EA522">
            <w:pPr>
              <w:keepNext w:val="0"/>
              <w:keepLines w:val="0"/>
              <w:pageBreakBefore w:val="0"/>
              <w:widowControl/>
              <w:kinsoku/>
              <w:overflowPunct/>
              <w:autoSpaceDE/>
              <w:autoSpaceDN/>
              <w:bidi w:val="0"/>
              <w:spacing w:line="500" w:lineRule="exact"/>
              <w:ind w:firstLine="88" w:firstLineChars="42"/>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kern w:val="0"/>
                <w:sz w:val="21"/>
                <w:szCs w:val="21"/>
                <w:highlight w:val="none"/>
              </w:rPr>
              <w:t>（投标单位中标后须递交与网上电子投标文件完全一致的纸质版投标文件，并按要求加盖公章；份数：正本1份，副本</w:t>
            </w:r>
            <w:r>
              <w:rPr>
                <w:rFonts w:hint="eastAsia" w:ascii="宋体" w:hAnsi="宋体" w:cs="宋体"/>
                <w:bCs/>
                <w:color w:val="auto"/>
                <w:kern w:val="0"/>
                <w:sz w:val="21"/>
                <w:szCs w:val="21"/>
                <w:highlight w:val="none"/>
                <w:lang w:val="en-US" w:eastAsia="zh-CN"/>
              </w:rPr>
              <w:t>1</w:t>
            </w:r>
            <w:r>
              <w:rPr>
                <w:rFonts w:hint="eastAsia" w:ascii="宋体" w:hAnsi="宋体" w:eastAsia="宋体" w:cs="宋体"/>
                <w:bCs/>
                <w:color w:val="auto"/>
                <w:kern w:val="0"/>
                <w:sz w:val="21"/>
                <w:szCs w:val="21"/>
                <w:highlight w:val="none"/>
              </w:rPr>
              <w:t>份；中标单位领取中标通知书时，一并递交给代理机构）</w:t>
            </w:r>
          </w:p>
        </w:tc>
      </w:tr>
      <w:tr w14:paraId="0D25E4D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trPr>
        <w:tc>
          <w:tcPr>
            <w:tcW w:w="990" w:type="dxa"/>
            <w:noWrap w:val="0"/>
            <w:vAlign w:val="center"/>
          </w:tcPr>
          <w:p w14:paraId="32935B60">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25.2</w:t>
            </w:r>
          </w:p>
        </w:tc>
        <w:tc>
          <w:tcPr>
            <w:tcW w:w="2280" w:type="dxa"/>
            <w:gridSpan w:val="2"/>
            <w:noWrap w:val="0"/>
            <w:vAlign w:val="center"/>
          </w:tcPr>
          <w:p w14:paraId="10CF3CC9">
            <w:pPr>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6763" w:type="dxa"/>
            <w:noWrap w:val="0"/>
            <w:vAlign w:val="center"/>
          </w:tcPr>
          <w:p w14:paraId="5D275024">
            <w:pPr>
              <w:keepNext w:val="0"/>
              <w:keepLines w:val="0"/>
              <w:pageBreakBefore w:val="0"/>
              <w:widowControl/>
              <w:kinsoku/>
              <w:overflowPunct/>
              <w:autoSpaceDE/>
              <w:autoSpaceDN/>
              <w:bidi w:val="0"/>
              <w:spacing w:line="500" w:lineRule="exact"/>
              <w:jc w:val="left"/>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电子投标文件须按格式文件要求签字或盖章（电子签章），招标文件格式中要求“签章”部位，指电子签章或盖章后扫描上传均可。</w:t>
            </w:r>
          </w:p>
          <w:p w14:paraId="7D95F064">
            <w:pPr>
              <w:keepNext w:val="0"/>
              <w:keepLines w:val="0"/>
              <w:pageBreakBefore w:val="0"/>
              <w:widowControl/>
              <w:kinsoku/>
              <w:overflowPunct/>
              <w:autoSpaceDE/>
              <w:autoSpaceDN/>
              <w:bidi w:val="0"/>
              <w:spacing w:line="500" w:lineRule="exact"/>
              <w:ind w:firstLine="88" w:firstLineChars="42"/>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kern w:val="0"/>
                <w:sz w:val="21"/>
                <w:szCs w:val="21"/>
                <w:highlight w:val="none"/>
              </w:rPr>
              <w:t>否则经评委会一致认定后，按照无效投标处理。</w:t>
            </w:r>
          </w:p>
        </w:tc>
      </w:tr>
      <w:tr w14:paraId="7D3645A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3" w:hRule="atLeast"/>
        </w:trPr>
        <w:tc>
          <w:tcPr>
            <w:tcW w:w="990" w:type="dxa"/>
            <w:noWrap w:val="0"/>
            <w:vAlign w:val="center"/>
          </w:tcPr>
          <w:p w14:paraId="0A58C62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w:t>
            </w:r>
          </w:p>
        </w:tc>
        <w:tc>
          <w:tcPr>
            <w:tcW w:w="2280" w:type="dxa"/>
            <w:gridSpan w:val="2"/>
            <w:noWrap w:val="0"/>
            <w:vAlign w:val="center"/>
          </w:tcPr>
          <w:p w14:paraId="4477348E">
            <w:pPr>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投标文件提交截止时间</w:t>
            </w:r>
          </w:p>
        </w:tc>
        <w:tc>
          <w:tcPr>
            <w:tcW w:w="6763" w:type="dxa"/>
            <w:noWrap w:val="0"/>
            <w:vAlign w:val="center"/>
          </w:tcPr>
          <w:p w14:paraId="7CE670B6">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网上递交投标文件截止时间：</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26</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点</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rPr>
              <w:t>分（北京时间）</w:t>
            </w:r>
          </w:p>
          <w:p w14:paraId="4E8698BF">
            <w:pPr>
              <w:keepNext w:val="0"/>
              <w:keepLines w:val="0"/>
              <w:pageBreakBefore w:val="0"/>
              <w:kinsoku/>
              <w:overflowPunct/>
              <w:autoSpaceDE/>
              <w:autoSpaceDN/>
              <w:bidi w:val="0"/>
              <w:spacing w:line="500" w:lineRule="exact"/>
              <w:textAlignment w:val="auto"/>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注：以投标人在投标截止时间前网上递交的电子投标文件为准，逾期提交的，投标文件将被拒绝。</w:t>
            </w:r>
          </w:p>
          <w:p w14:paraId="57F82D13">
            <w:pPr>
              <w:keepNext w:val="0"/>
              <w:keepLines w:val="0"/>
              <w:pageBreakBefore w:val="0"/>
              <w:kinsoku/>
              <w:wordWrap w:val="0"/>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1.解密程序开始后</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分钟内（以本项目网上招投标系统解密倒计时为准）。</w:t>
            </w:r>
          </w:p>
          <w:p w14:paraId="467F62D3">
            <w:pPr>
              <w:keepNext w:val="0"/>
              <w:keepLines w:val="0"/>
              <w:pageBreakBefore w:val="0"/>
              <w:kinsoku/>
              <w:wordWrap w:val="0"/>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2.解密时间为202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26</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点</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rPr>
              <w:t>分至202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26</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点</w:t>
            </w:r>
            <w:r>
              <w:rPr>
                <w:rFonts w:hint="eastAsia" w:ascii="宋体" w:hAnsi="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w:t>
            </w:r>
          </w:p>
        </w:tc>
      </w:tr>
      <w:tr w14:paraId="40AF82F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93" w:hRule="atLeast"/>
        </w:trPr>
        <w:tc>
          <w:tcPr>
            <w:tcW w:w="990" w:type="dxa"/>
            <w:noWrap w:val="0"/>
            <w:vAlign w:val="center"/>
          </w:tcPr>
          <w:p w14:paraId="7053BEB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27.3</w:t>
            </w:r>
          </w:p>
        </w:tc>
        <w:tc>
          <w:tcPr>
            <w:tcW w:w="2280" w:type="dxa"/>
            <w:gridSpan w:val="2"/>
            <w:noWrap w:val="0"/>
            <w:vAlign w:val="center"/>
          </w:tcPr>
          <w:p w14:paraId="5E09FEC3">
            <w:pPr>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是否退还投标文件</w:t>
            </w:r>
          </w:p>
        </w:tc>
        <w:tc>
          <w:tcPr>
            <w:tcW w:w="6763" w:type="dxa"/>
            <w:noWrap w:val="0"/>
            <w:vAlign w:val="center"/>
          </w:tcPr>
          <w:p w14:paraId="68B850B1">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否</w:t>
            </w:r>
          </w:p>
        </w:tc>
      </w:tr>
      <w:tr w14:paraId="473E332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trPr>
        <w:tc>
          <w:tcPr>
            <w:tcW w:w="990" w:type="dxa"/>
            <w:noWrap w:val="0"/>
            <w:vAlign w:val="center"/>
          </w:tcPr>
          <w:p w14:paraId="25A7114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w:t>
            </w:r>
          </w:p>
        </w:tc>
        <w:tc>
          <w:tcPr>
            <w:tcW w:w="2280" w:type="dxa"/>
            <w:gridSpan w:val="2"/>
            <w:noWrap w:val="0"/>
            <w:vAlign w:val="center"/>
          </w:tcPr>
          <w:p w14:paraId="73D35E36">
            <w:pPr>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6763" w:type="dxa"/>
            <w:noWrap w:val="0"/>
            <w:vAlign w:val="center"/>
          </w:tcPr>
          <w:p w14:paraId="6ABB467E">
            <w:pPr>
              <w:keepNext w:val="0"/>
              <w:keepLines w:val="0"/>
              <w:pageBreakBefore w:val="0"/>
              <w:kinsoku/>
              <w:overflowPunct/>
              <w:autoSpaceDE/>
              <w:autoSpaceDN/>
              <w:bidi w:val="0"/>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开标时间：</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26</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点</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rPr>
              <w:t>分（北京时间）</w:t>
            </w:r>
          </w:p>
          <w:p w14:paraId="17DC36CC">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开标地点：新点电子交易平台后在【滁州专区】</w:t>
            </w:r>
          </w:p>
        </w:tc>
      </w:tr>
      <w:tr w14:paraId="3649F60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90" w:type="dxa"/>
            <w:noWrap w:val="0"/>
            <w:vAlign w:val="center"/>
          </w:tcPr>
          <w:p w14:paraId="41CAE7B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28.3</w:t>
            </w:r>
          </w:p>
        </w:tc>
        <w:tc>
          <w:tcPr>
            <w:tcW w:w="2280" w:type="dxa"/>
            <w:gridSpan w:val="2"/>
            <w:noWrap w:val="0"/>
            <w:vAlign w:val="center"/>
          </w:tcPr>
          <w:p w14:paraId="6A1FEC08">
            <w:pPr>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开标程序</w:t>
            </w:r>
          </w:p>
        </w:tc>
        <w:tc>
          <w:tcPr>
            <w:tcW w:w="6763" w:type="dxa"/>
            <w:noWrap w:val="0"/>
            <w:vAlign w:val="center"/>
          </w:tcPr>
          <w:p w14:paraId="647B32F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开标顺序：解密电子投标文件后，由评标委员会评审。</w:t>
            </w:r>
          </w:p>
        </w:tc>
      </w:tr>
      <w:tr w14:paraId="77C46E1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4" w:hRule="atLeast"/>
        </w:trPr>
        <w:tc>
          <w:tcPr>
            <w:tcW w:w="990" w:type="dxa"/>
            <w:noWrap w:val="0"/>
            <w:vAlign w:val="center"/>
          </w:tcPr>
          <w:p w14:paraId="2BAD96C0">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29.1</w:t>
            </w:r>
          </w:p>
        </w:tc>
        <w:tc>
          <w:tcPr>
            <w:tcW w:w="2280" w:type="dxa"/>
            <w:gridSpan w:val="2"/>
            <w:noWrap w:val="0"/>
            <w:vAlign w:val="center"/>
          </w:tcPr>
          <w:p w14:paraId="75DDD623">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6763" w:type="dxa"/>
            <w:noWrap w:val="0"/>
            <w:vAlign w:val="top"/>
          </w:tcPr>
          <w:p w14:paraId="3543BAA3">
            <w:pPr>
              <w:keepNext w:val="0"/>
              <w:keepLines w:val="0"/>
              <w:pageBreakBefore w:val="0"/>
              <w:suppressLineNumbers w:val="0"/>
              <w:kinsoku/>
              <w:overflowPunct/>
              <w:topLinePunct w:val="0"/>
              <w:autoSpaceDE/>
              <w:autoSpaceDN/>
              <w:bidi w:val="0"/>
              <w:adjustRightInd/>
              <w:spacing w:before="0" w:beforeAutospacing="0" w:afterAutospacing="0" w:line="500" w:lineRule="exact"/>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评标委员会构成：</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人，其中招标人代表</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rPr>
              <w:t>人，评标专家</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人。</w:t>
            </w:r>
          </w:p>
          <w:p w14:paraId="27748DB4">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评标专家确定方式：随机抽取。</w:t>
            </w:r>
          </w:p>
        </w:tc>
      </w:tr>
      <w:tr w14:paraId="591EBC2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4" w:hRule="atLeast"/>
        </w:trPr>
        <w:tc>
          <w:tcPr>
            <w:tcW w:w="990" w:type="dxa"/>
            <w:noWrap w:val="0"/>
            <w:vAlign w:val="center"/>
          </w:tcPr>
          <w:p w14:paraId="683CDA41">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32.1.1</w:t>
            </w:r>
          </w:p>
        </w:tc>
        <w:tc>
          <w:tcPr>
            <w:tcW w:w="2280" w:type="dxa"/>
            <w:gridSpan w:val="2"/>
            <w:noWrap w:val="0"/>
            <w:vAlign w:val="center"/>
          </w:tcPr>
          <w:p w14:paraId="06F6F938">
            <w:pPr>
              <w:pStyle w:val="18"/>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是否授权评标委员会确定中标候选人</w:t>
            </w:r>
          </w:p>
        </w:tc>
        <w:tc>
          <w:tcPr>
            <w:tcW w:w="6763" w:type="dxa"/>
            <w:noWrap w:val="0"/>
            <w:vAlign w:val="center"/>
          </w:tcPr>
          <w:p w14:paraId="31DEBBA7">
            <w:pPr>
              <w:pStyle w:val="18"/>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是，评标委员会推荐</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名中标候选人。</w:t>
            </w:r>
          </w:p>
        </w:tc>
      </w:tr>
      <w:tr w14:paraId="3E693FC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35" w:hRule="atLeast"/>
        </w:trPr>
        <w:tc>
          <w:tcPr>
            <w:tcW w:w="990" w:type="dxa"/>
            <w:noWrap w:val="0"/>
            <w:vAlign w:val="center"/>
          </w:tcPr>
          <w:p w14:paraId="6B832CBB">
            <w:pPr>
              <w:pStyle w:val="18"/>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32.1.2</w:t>
            </w:r>
          </w:p>
        </w:tc>
        <w:tc>
          <w:tcPr>
            <w:tcW w:w="2280" w:type="dxa"/>
            <w:gridSpan w:val="2"/>
            <w:noWrap w:val="0"/>
            <w:vAlign w:val="center"/>
          </w:tcPr>
          <w:p w14:paraId="377E543C">
            <w:pPr>
              <w:pStyle w:val="18"/>
              <w:keepNext w:val="0"/>
              <w:keepLines w:val="0"/>
              <w:pageBreakBefore w:val="0"/>
              <w:suppressLineNumbers w:val="0"/>
              <w:kinsoku/>
              <w:overflowPunct/>
              <w:topLinePunct w:val="0"/>
              <w:autoSpaceDE/>
              <w:autoSpaceDN/>
              <w:bidi w:val="0"/>
              <w:adjustRightInd/>
              <w:spacing w:before="0" w:beforeAutospacing="0" w:afterAutospacing="0" w:line="50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中标结果公告媒介</w:t>
            </w:r>
            <w:r>
              <w:rPr>
                <w:rFonts w:hint="eastAsia" w:ascii="宋体" w:hAnsi="宋体" w:eastAsia="宋体" w:cs="宋体"/>
                <w:color w:val="auto"/>
                <w:sz w:val="21"/>
                <w:szCs w:val="21"/>
                <w:highlight w:val="none"/>
                <w:lang w:val="en-US" w:eastAsia="zh-CN"/>
              </w:rPr>
              <w:t>及期限</w:t>
            </w:r>
          </w:p>
        </w:tc>
        <w:tc>
          <w:tcPr>
            <w:tcW w:w="6763" w:type="dxa"/>
            <w:noWrap w:val="0"/>
            <w:vAlign w:val="top"/>
          </w:tcPr>
          <w:p w14:paraId="07048C6C">
            <w:pPr>
              <w:pStyle w:val="18"/>
              <w:keepNext w:val="0"/>
              <w:keepLines w:val="0"/>
              <w:pageBreakBefore w:val="0"/>
              <w:suppressLineNumbers w:val="0"/>
              <w:kinsoku/>
              <w:overflowPunct/>
              <w:topLinePunct w:val="0"/>
              <w:autoSpaceDE/>
              <w:autoSpaceDN/>
              <w:bidi w:val="0"/>
              <w:adjustRightInd/>
              <w:spacing w:before="0" w:beforeAutospacing="0" w:afterAutospacing="0" w:line="500" w:lineRule="exact"/>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公示媒介：同招标公告发布媒介</w:t>
            </w:r>
          </w:p>
          <w:p w14:paraId="00B11C24">
            <w:pPr>
              <w:pStyle w:val="18"/>
              <w:keepNext w:val="0"/>
              <w:keepLines w:val="0"/>
              <w:pageBreakBefore w:val="0"/>
              <w:suppressLineNumbers w:val="0"/>
              <w:kinsoku/>
              <w:overflowPunct/>
              <w:topLinePunct w:val="0"/>
              <w:autoSpaceDE/>
              <w:autoSpaceDN/>
              <w:bidi w:val="0"/>
              <w:adjustRightInd/>
              <w:spacing w:before="0" w:beforeAutospacing="0" w:afterAutospacing="0" w:line="500" w:lineRule="exact"/>
              <w:ind w:left="0" w:leftChars="0" w:right="0" w:rightChars="0"/>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z w:val="21"/>
                <w:szCs w:val="21"/>
                <w:highlight w:val="none"/>
              </w:rPr>
              <w:t>公示期限：公示发布次日起3日（如公示第三日为休息日或节假日，则顺延至休息日或节假日后第一个工作日）</w:t>
            </w:r>
          </w:p>
        </w:tc>
      </w:tr>
      <w:tr w14:paraId="580D581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5" w:hRule="atLeast"/>
        </w:trPr>
        <w:tc>
          <w:tcPr>
            <w:tcW w:w="990" w:type="dxa"/>
            <w:vMerge w:val="restart"/>
            <w:noWrap w:val="0"/>
            <w:vAlign w:val="center"/>
          </w:tcPr>
          <w:p w14:paraId="69982C7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32.2</w:t>
            </w:r>
          </w:p>
        </w:tc>
        <w:tc>
          <w:tcPr>
            <w:tcW w:w="2280" w:type="dxa"/>
            <w:gridSpan w:val="2"/>
            <w:noWrap w:val="0"/>
            <w:vAlign w:val="center"/>
          </w:tcPr>
          <w:p w14:paraId="6037B194">
            <w:pPr>
              <w:keepNext w:val="0"/>
              <w:keepLines w:val="0"/>
              <w:pageBreakBefore w:val="0"/>
              <w:suppressLineNumbers w:val="0"/>
              <w:kinsoku/>
              <w:overflowPunct/>
              <w:autoSpaceDE/>
              <w:autoSpaceDN/>
              <w:bidi w:val="0"/>
              <w:spacing w:before="0" w:beforeAutospacing="0" w:afterAutospacing="0" w:line="50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w:t>
            </w:r>
          </w:p>
        </w:tc>
        <w:tc>
          <w:tcPr>
            <w:tcW w:w="6763" w:type="dxa"/>
            <w:noWrap w:val="0"/>
            <w:vAlign w:val="center"/>
          </w:tcPr>
          <w:p w14:paraId="0AFE232E">
            <w:pPr>
              <w:keepNext w:val="0"/>
              <w:keepLines w:val="0"/>
              <w:pageBreakBefore w:val="0"/>
              <w:suppressLineNumbers w:val="0"/>
              <w:kinsoku/>
              <w:overflowPunct/>
              <w:autoSpaceDE/>
              <w:autoSpaceDN/>
              <w:bidi w:val="0"/>
              <w:spacing w:before="0" w:beforeAutospacing="0" w:afterAutospacing="0" w:line="50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中标通知书须加盖</w:t>
            </w:r>
            <w:r>
              <w:rPr>
                <w:rFonts w:hint="eastAsia" w:ascii="宋体" w:hAnsi="宋体" w:cs="宋体"/>
                <w:color w:val="auto"/>
                <w:sz w:val="21"/>
                <w:szCs w:val="21"/>
                <w:highlight w:val="none"/>
                <w:lang w:val="en-US" w:eastAsia="zh-CN"/>
              </w:rPr>
              <w:t>招标人及代理机构公</w:t>
            </w:r>
            <w:r>
              <w:rPr>
                <w:rFonts w:hint="eastAsia" w:ascii="宋体" w:hAnsi="宋体" w:eastAsia="宋体" w:cs="宋体"/>
                <w:color w:val="auto"/>
                <w:sz w:val="21"/>
                <w:szCs w:val="21"/>
                <w:highlight w:val="none"/>
              </w:rPr>
              <w:t>章后方可发出。</w:t>
            </w:r>
          </w:p>
        </w:tc>
      </w:tr>
      <w:tr w14:paraId="2DB9191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5" w:hRule="atLeast"/>
        </w:trPr>
        <w:tc>
          <w:tcPr>
            <w:tcW w:w="990" w:type="dxa"/>
            <w:vMerge w:val="continue"/>
            <w:noWrap w:val="0"/>
            <w:vAlign w:val="center"/>
          </w:tcPr>
          <w:p w14:paraId="72CD02C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280" w:type="dxa"/>
            <w:gridSpan w:val="2"/>
            <w:noWrap w:val="0"/>
            <w:vAlign w:val="center"/>
          </w:tcPr>
          <w:p w14:paraId="0D0D29ED">
            <w:pPr>
              <w:keepNext w:val="0"/>
              <w:keepLines w:val="0"/>
              <w:pageBreakBefore w:val="0"/>
              <w:suppressLineNumbers w:val="0"/>
              <w:kinsoku/>
              <w:overflowPunct/>
              <w:autoSpaceDE/>
              <w:autoSpaceDN/>
              <w:bidi w:val="0"/>
              <w:spacing w:before="0" w:beforeAutospacing="0" w:afterAutospacing="0" w:line="50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中标通知书发出形式</w:t>
            </w:r>
          </w:p>
        </w:tc>
        <w:tc>
          <w:tcPr>
            <w:tcW w:w="6763" w:type="dxa"/>
            <w:noWrap w:val="0"/>
            <w:vAlign w:val="center"/>
          </w:tcPr>
          <w:p w14:paraId="365BE8DE">
            <w:pPr>
              <w:keepNext w:val="0"/>
              <w:keepLines w:val="0"/>
              <w:pageBreakBefore w:val="0"/>
              <w:suppressLineNumbers w:val="0"/>
              <w:kinsoku/>
              <w:overflowPunct/>
              <w:autoSpaceDE/>
              <w:autoSpaceDN/>
              <w:bidi w:val="0"/>
              <w:spacing w:before="0" w:beforeAutospacing="0" w:afterAutospacing="0" w:line="50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纸质形式</w:t>
            </w:r>
          </w:p>
        </w:tc>
      </w:tr>
      <w:tr w14:paraId="5205973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94" w:hRule="atLeast"/>
        </w:trPr>
        <w:tc>
          <w:tcPr>
            <w:tcW w:w="990" w:type="dxa"/>
            <w:noWrap w:val="0"/>
            <w:vAlign w:val="center"/>
          </w:tcPr>
          <w:p w14:paraId="39C6B4A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36.1</w:t>
            </w:r>
          </w:p>
        </w:tc>
        <w:tc>
          <w:tcPr>
            <w:tcW w:w="2280" w:type="dxa"/>
            <w:gridSpan w:val="2"/>
            <w:noWrap w:val="0"/>
            <w:vAlign w:val="center"/>
          </w:tcPr>
          <w:p w14:paraId="1335C4C5">
            <w:pPr>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6763" w:type="dxa"/>
            <w:noWrap w:val="0"/>
            <w:vAlign w:val="center"/>
          </w:tcPr>
          <w:p w14:paraId="506C4C93">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要求中标人提交履约保证金。</w:t>
            </w:r>
          </w:p>
          <w:p w14:paraId="1BEAB75E">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形式：支持银行转账、银行电汇、银行保函、担保机构担保、保证保险使用。</w:t>
            </w:r>
          </w:p>
          <w:p w14:paraId="64DFF945">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金   额：</w:t>
            </w:r>
            <w:r>
              <w:rPr>
                <w:rFonts w:hint="eastAsia" w:ascii="宋体" w:hAnsi="宋体" w:cs="宋体"/>
                <w:color w:val="auto"/>
                <w:sz w:val="21"/>
                <w:szCs w:val="21"/>
                <w:highlight w:val="none"/>
                <w:lang w:val="en-US" w:eastAsia="zh-CN"/>
              </w:rPr>
              <w:t>中标价</w:t>
            </w:r>
            <w:r>
              <w:rPr>
                <w:rFonts w:hint="default" w:ascii="宋体" w:hAnsi="宋体" w:eastAsia="宋体" w:cs="宋体"/>
                <w:color w:val="auto"/>
                <w:sz w:val="21"/>
                <w:szCs w:val="21"/>
                <w:highlight w:val="none"/>
                <w:lang w:val="en-US" w:eastAsia="zh-CN"/>
              </w:rPr>
              <w:t>*2%</w:t>
            </w:r>
          </w:p>
          <w:p w14:paraId="551EA239">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收款单位：中标后另行通知</w:t>
            </w:r>
          </w:p>
          <w:p w14:paraId="3E298DA8">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开户银行：中标后另行通知</w:t>
            </w:r>
          </w:p>
          <w:p w14:paraId="636C516D">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银行账号：中标后另行通知</w:t>
            </w:r>
          </w:p>
          <w:p w14:paraId="5FA4FA8B">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缴纳时限：签订合同前缴纳</w:t>
            </w:r>
          </w:p>
          <w:p w14:paraId="084AEBEA">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注：汇款务必注明缴款人名称及用途。</w:t>
            </w:r>
          </w:p>
          <w:p w14:paraId="66B6F71A">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履约保证金退还时限：</w:t>
            </w:r>
            <w:r>
              <w:rPr>
                <w:rFonts w:hint="eastAsia" w:ascii="宋体" w:hAnsi="宋体" w:cs="宋体"/>
                <w:color w:val="auto"/>
                <w:sz w:val="21"/>
                <w:szCs w:val="21"/>
                <w:highlight w:val="none"/>
                <w:lang w:val="en-US" w:eastAsia="zh-CN"/>
              </w:rPr>
              <w:t>除APP开发外，验收合格后一次性退还</w:t>
            </w:r>
            <w:r>
              <w:rPr>
                <w:rFonts w:hint="default" w:ascii="宋体" w:hAnsi="宋体" w:eastAsia="宋体" w:cs="宋体"/>
                <w:color w:val="auto"/>
                <w:sz w:val="21"/>
                <w:szCs w:val="21"/>
                <w:highlight w:val="none"/>
                <w:lang w:val="en-US" w:eastAsia="zh-CN"/>
              </w:rPr>
              <w:t>。</w:t>
            </w:r>
          </w:p>
          <w:p w14:paraId="4E96CCEB">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其他相关要求：满足招标人要求</w:t>
            </w:r>
            <w:r>
              <w:rPr>
                <w:rFonts w:hint="eastAsia" w:ascii="宋体" w:hAnsi="宋体" w:cs="宋体"/>
                <w:color w:val="auto"/>
                <w:sz w:val="21"/>
                <w:szCs w:val="21"/>
                <w:highlight w:val="none"/>
                <w:lang w:val="en-US" w:eastAsia="zh-CN"/>
              </w:rPr>
              <w:t>。</w:t>
            </w:r>
          </w:p>
        </w:tc>
      </w:tr>
      <w:tr w14:paraId="320FDB7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rPr>
        <w:tc>
          <w:tcPr>
            <w:tcW w:w="2161" w:type="dxa"/>
            <w:gridSpan w:val="2"/>
            <w:shd w:val="clear" w:color="FFFFFF" w:themeColor="background1" w:fill="auto"/>
            <w:noWrap w:val="0"/>
            <w:vAlign w:val="center"/>
          </w:tcPr>
          <w:p w14:paraId="38E78669">
            <w:pPr>
              <w:keepNext w:val="0"/>
              <w:keepLines w:val="0"/>
              <w:pageBreakBefore w:val="0"/>
              <w:kinsoku/>
              <w:overflowPunct/>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付款方式、时间、条件</w:t>
            </w:r>
          </w:p>
        </w:tc>
        <w:tc>
          <w:tcPr>
            <w:tcW w:w="7872" w:type="dxa"/>
            <w:gridSpan w:val="2"/>
            <w:shd w:val="clear" w:color="FFFFFF" w:themeColor="background1" w:fill="auto"/>
            <w:noWrap w:val="0"/>
            <w:vAlign w:val="center"/>
          </w:tcPr>
          <w:p w14:paraId="50B738BA">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default" w:ascii="宋体" w:hAnsi="宋体" w:cs="宋体"/>
                <w:color w:val="auto"/>
                <w:sz w:val="21"/>
                <w:szCs w:val="21"/>
                <w:highlight w:val="none"/>
                <w:lang w:val="en-US" w:eastAsia="zh-CN"/>
              </w:rPr>
              <w:t>全部内容供货、安装、调试、试运行，经双方确认验收合格且</w:t>
            </w:r>
            <w:r>
              <w:rPr>
                <w:rFonts w:hint="eastAsia" w:ascii="宋体" w:hAnsi="宋体" w:cs="宋体"/>
                <w:color w:val="auto"/>
                <w:sz w:val="21"/>
                <w:szCs w:val="21"/>
                <w:highlight w:val="none"/>
                <w:lang w:val="en-US" w:eastAsia="zh-CN"/>
              </w:rPr>
              <w:t>招标人</w:t>
            </w:r>
            <w:r>
              <w:rPr>
                <w:rFonts w:hint="default" w:ascii="宋体" w:hAnsi="宋体" w:cs="宋体"/>
                <w:color w:val="auto"/>
                <w:sz w:val="21"/>
                <w:szCs w:val="21"/>
                <w:highlight w:val="none"/>
                <w:lang w:val="en-US" w:eastAsia="zh-CN"/>
              </w:rPr>
              <w:t>收到合规发票后支付至合同价的95%（不含APP开发费用，含云服务器、</w:t>
            </w:r>
            <w:r>
              <w:rPr>
                <w:rFonts w:hint="eastAsia" w:ascii="宋体" w:hAnsi="宋体" w:cs="宋体"/>
                <w:color w:val="auto"/>
                <w:sz w:val="21"/>
                <w:szCs w:val="21"/>
                <w:highlight w:val="none"/>
                <w:lang w:val="en-US" w:eastAsia="zh-CN"/>
              </w:rPr>
              <w:t>MySQL服务</w:t>
            </w:r>
            <w:r>
              <w:rPr>
                <w:rFonts w:hint="default" w:ascii="宋体" w:hAnsi="宋体" w:cs="宋体"/>
                <w:color w:val="auto"/>
                <w:sz w:val="21"/>
                <w:szCs w:val="21"/>
                <w:highlight w:val="none"/>
                <w:lang w:val="en-US" w:eastAsia="zh-CN"/>
              </w:rPr>
              <w:t>、小程序服务费和SSL证书首年费用），剩余</w:t>
            </w:r>
            <w:bookmarkStart w:id="108" w:name="_GoBack"/>
            <w:r>
              <w:rPr>
                <w:rFonts w:hint="default" w:ascii="宋体" w:hAnsi="宋体" w:cs="宋体"/>
                <w:color w:val="auto"/>
                <w:sz w:val="21"/>
                <w:szCs w:val="21"/>
                <w:highlight w:val="none"/>
                <w:lang w:val="en-US" w:eastAsia="zh-CN"/>
              </w:rPr>
              <w:t>合同</w:t>
            </w:r>
            <w:bookmarkEnd w:id="108"/>
            <w:r>
              <w:rPr>
                <w:rFonts w:hint="default" w:ascii="宋体" w:hAnsi="宋体" w:cs="宋体"/>
                <w:color w:val="auto"/>
                <w:sz w:val="21"/>
                <w:szCs w:val="21"/>
                <w:highlight w:val="none"/>
                <w:lang w:val="en-US" w:eastAsia="zh-CN"/>
              </w:rPr>
              <w:t>价的5%（不含APP开发费用，含云服务器、</w:t>
            </w:r>
            <w:r>
              <w:rPr>
                <w:rFonts w:hint="eastAsia" w:ascii="宋体" w:hAnsi="宋体" w:cs="宋体"/>
                <w:color w:val="auto"/>
                <w:sz w:val="21"/>
                <w:szCs w:val="21"/>
                <w:highlight w:val="none"/>
                <w:lang w:val="en-US" w:eastAsia="zh-CN"/>
              </w:rPr>
              <w:t>MySQL服务</w:t>
            </w:r>
            <w:r>
              <w:rPr>
                <w:rFonts w:hint="default" w:ascii="宋体" w:hAnsi="宋体" w:cs="宋体"/>
                <w:color w:val="auto"/>
                <w:sz w:val="21"/>
                <w:szCs w:val="21"/>
                <w:highlight w:val="none"/>
                <w:lang w:val="en-US" w:eastAsia="zh-CN"/>
              </w:rPr>
              <w:t>、小程序服务费和SSL证书首年费用）作为质量保证金，质保期（自验收合格之日起1年）满后一次性付清余款。</w:t>
            </w:r>
          </w:p>
          <w:p w14:paraId="5C90F3CB">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w:t>
            </w:r>
            <w:r>
              <w:rPr>
                <w:rFonts w:hint="default" w:ascii="宋体" w:hAnsi="宋体" w:cs="宋体"/>
                <w:color w:val="auto"/>
                <w:sz w:val="21"/>
                <w:szCs w:val="21"/>
                <w:highlight w:val="none"/>
                <w:lang w:val="en-US" w:eastAsia="zh-CN"/>
              </w:rPr>
              <w:t xml:space="preserve"> APP开发付款方式：按</w:t>
            </w:r>
            <w:r>
              <w:rPr>
                <w:rFonts w:hint="eastAsia" w:ascii="宋体" w:hAnsi="宋体" w:cs="宋体"/>
                <w:color w:val="auto"/>
                <w:sz w:val="21"/>
                <w:szCs w:val="21"/>
                <w:highlight w:val="none"/>
                <w:lang w:val="en-US" w:eastAsia="zh-CN"/>
              </w:rPr>
              <w:t>招标人</w:t>
            </w:r>
            <w:r>
              <w:rPr>
                <w:rFonts w:hint="default" w:ascii="宋体" w:hAnsi="宋体" w:cs="宋体"/>
                <w:color w:val="auto"/>
                <w:sz w:val="21"/>
                <w:szCs w:val="21"/>
                <w:highlight w:val="none"/>
                <w:lang w:val="en-US" w:eastAsia="zh-CN"/>
              </w:rPr>
              <w:t>实际需要开发，具体开发时间由</w:t>
            </w:r>
            <w:r>
              <w:rPr>
                <w:rFonts w:hint="eastAsia" w:ascii="宋体" w:hAnsi="宋体" w:cs="宋体"/>
                <w:color w:val="auto"/>
                <w:sz w:val="21"/>
                <w:szCs w:val="21"/>
                <w:highlight w:val="none"/>
                <w:lang w:val="en-US" w:eastAsia="zh-CN"/>
              </w:rPr>
              <w:t>招标人</w:t>
            </w:r>
            <w:r>
              <w:rPr>
                <w:rFonts w:hint="default" w:ascii="宋体" w:hAnsi="宋体" w:cs="宋体"/>
                <w:color w:val="auto"/>
                <w:sz w:val="21"/>
                <w:szCs w:val="21"/>
                <w:highlight w:val="none"/>
                <w:lang w:val="en-US" w:eastAsia="zh-CN"/>
              </w:rPr>
              <w:t>另行通知，APP开发完成、调试、上线运行后，经双方确认验收合格且</w:t>
            </w:r>
            <w:r>
              <w:rPr>
                <w:rFonts w:hint="eastAsia" w:ascii="宋体" w:hAnsi="宋体" w:cs="宋体"/>
                <w:color w:val="auto"/>
                <w:sz w:val="21"/>
                <w:szCs w:val="21"/>
                <w:highlight w:val="none"/>
                <w:lang w:val="en-US" w:eastAsia="zh-CN"/>
              </w:rPr>
              <w:t>招标人</w:t>
            </w:r>
            <w:r>
              <w:rPr>
                <w:rFonts w:hint="default" w:ascii="宋体" w:hAnsi="宋体" w:cs="宋体"/>
                <w:color w:val="auto"/>
                <w:sz w:val="21"/>
                <w:szCs w:val="21"/>
                <w:highlight w:val="none"/>
                <w:lang w:val="en-US" w:eastAsia="zh-CN"/>
              </w:rPr>
              <w:t>收到合规发票后一次性支付至APP开发费用的95%，剩余5%作为质量保证金，质保期（自验收合格之日起1年）满后一次性付清余款。</w:t>
            </w:r>
          </w:p>
          <w:p w14:paraId="6F3CE06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w:t>
            </w:r>
            <w:r>
              <w:rPr>
                <w:rFonts w:hint="default" w:ascii="宋体" w:hAnsi="宋体" w:cs="宋体"/>
                <w:color w:val="auto"/>
                <w:sz w:val="21"/>
                <w:szCs w:val="21"/>
                <w:highlight w:val="none"/>
                <w:lang w:val="en-US" w:eastAsia="zh-CN"/>
              </w:rPr>
              <w:t>云服务器、</w:t>
            </w:r>
            <w:r>
              <w:rPr>
                <w:rFonts w:hint="eastAsia" w:ascii="宋体" w:hAnsi="宋体" w:cs="宋体"/>
                <w:color w:val="auto"/>
                <w:sz w:val="21"/>
                <w:szCs w:val="21"/>
                <w:highlight w:val="none"/>
                <w:lang w:val="en-US" w:eastAsia="zh-CN"/>
              </w:rPr>
              <w:t>MySQL服务</w:t>
            </w:r>
            <w:r>
              <w:rPr>
                <w:rFonts w:hint="default" w:ascii="宋体" w:hAnsi="宋体" w:cs="宋体"/>
                <w:color w:val="auto"/>
                <w:sz w:val="21"/>
                <w:szCs w:val="21"/>
                <w:highlight w:val="none"/>
                <w:lang w:val="en-US" w:eastAsia="zh-CN"/>
              </w:rPr>
              <w:t>、小程序服务费和SSL证书次年起续费费用，在每年期满前支付，</w:t>
            </w:r>
            <w:r>
              <w:rPr>
                <w:rFonts w:hint="eastAsia" w:ascii="宋体" w:hAnsi="宋体" w:cs="宋体"/>
                <w:color w:val="auto"/>
                <w:sz w:val="21"/>
                <w:szCs w:val="21"/>
                <w:highlight w:val="none"/>
                <w:lang w:val="en-US" w:eastAsia="zh-CN"/>
              </w:rPr>
              <w:t>招标人</w:t>
            </w:r>
            <w:r>
              <w:rPr>
                <w:rFonts w:hint="default" w:ascii="宋体" w:hAnsi="宋体" w:cs="宋体"/>
                <w:color w:val="auto"/>
                <w:sz w:val="21"/>
                <w:szCs w:val="21"/>
                <w:highlight w:val="none"/>
                <w:lang w:val="en-US" w:eastAsia="zh-CN"/>
              </w:rPr>
              <w:t>收到合规发票后一次性支付续费费用，日期自验收合格之日起算。</w:t>
            </w:r>
          </w:p>
        </w:tc>
      </w:tr>
      <w:tr w14:paraId="2672126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0" w:hRule="atLeast"/>
        </w:trPr>
        <w:tc>
          <w:tcPr>
            <w:tcW w:w="2161" w:type="dxa"/>
            <w:gridSpan w:val="2"/>
            <w:noWrap w:val="0"/>
            <w:vAlign w:val="center"/>
          </w:tcPr>
          <w:p w14:paraId="24F7052A">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招标文件获取方式和时间</w:t>
            </w:r>
          </w:p>
        </w:tc>
        <w:tc>
          <w:tcPr>
            <w:tcW w:w="7872" w:type="dxa"/>
            <w:gridSpan w:val="2"/>
            <w:noWrap w:val="0"/>
            <w:vAlign w:val="top"/>
          </w:tcPr>
          <w:p w14:paraId="09E65554">
            <w:pPr>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招标文件获取方式：网上下载；</w:t>
            </w:r>
          </w:p>
          <w:p w14:paraId="2E38D369">
            <w:pPr>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获取时间：招标文件发布至投标截止时间。</w:t>
            </w:r>
          </w:p>
        </w:tc>
      </w:tr>
    </w:tbl>
    <w:p w14:paraId="3B3ADF5B">
      <w:pPr>
        <w:keepNext w:val="0"/>
        <w:keepLines w:val="0"/>
        <w:pageBreakBefore/>
        <w:widowControl w:val="0"/>
        <w:kinsoku/>
        <w:wordWrap/>
        <w:overflowPunct/>
        <w:topLinePunct w:val="0"/>
        <w:autoSpaceDE/>
        <w:autoSpaceDN/>
        <w:bidi w:val="0"/>
        <w:spacing w:before="312" w:beforeLines="100" w:after="312" w:afterLines="100" w:line="500" w:lineRule="exact"/>
        <w:jc w:val="center"/>
        <w:textAlignment w:val="auto"/>
        <w:outlineLvl w:val="1"/>
        <w:rPr>
          <w:rFonts w:hint="eastAsia" w:ascii="宋体"/>
          <w:b/>
          <w:color w:val="auto"/>
          <w:sz w:val="28"/>
          <w:szCs w:val="32"/>
          <w:highlight w:val="none"/>
        </w:rPr>
      </w:pPr>
      <w:bookmarkStart w:id="27" w:name="_Toc58430315"/>
      <w:bookmarkStart w:id="28" w:name="_Toc449028866"/>
      <w:bookmarkStart w:id="29" w:name="_Toc28397"/>
      <w:r>
        <w:rPr>
          <w:rFonts w:hint="eastAsia" w:ascii="宋体"/>
          <w:b/>
          <w:color w:val="auto"/>
          <w:sz w:val="28"/>
          <w:szCs w:val="28"/>
          <w:highlight w:val="none"/>
        </w:rPr>
        <w:t>二、投标人须知</w:t>
      </w:r>
      <w:bookmarkEnd w:id="27"/>
      <w:bookmarkEnd w:id="28"/>
      <w:bookmarkEnd w:id="29"/>
    </w:p>
    <w:p w14:paraId="3828F999">
      <w:pPr>
        <w:keepNext w:val="0"/>
        <w:keepLines w:val="0"/>
        <w:widowControl w:val="0"/>
        <w:kinsoku/>
        <w:wordWrap/>
        <w:overflowPunct/>
        <w:topLinePunct w:val="0"/>
        <w:autoSpaceDE/>
        <w:autoSpaceDN/>
        <w:bidi w:val="0"/>
        <w:spacing w:before="156" w:beforeLines="50" w:after="156" w:afterLines="50" w:line="500" w:lineRule="exact"/>
        <w:jc w:val="center"/>
        <w:textAlignment w:val="auto"/>
        <w:rPr>
          <w:rFonts w:hint="eastAsia" w:ascii="宋体" w:hAnsi="宋体" w:cs="宋体"/>
          <w:color w:val="auto"/>
          <w:sz w:val="28"/>
          <w:szCs w:val="28"/>
          <w:highlight w:val="none"/>
        </w:rPr>
      </w:pPr>
      <w:bookmarkStart w:id="30" w:name="_Toc449028867"/>
      <w:r>
        <w:rPr>
          <w:rFonts w:hint="eastAsia" w:ascii="宋体" w:hAnsi="宋体" w:cs="宋体"/>
          <w:b/>
          <w:color w:val="auto"/>
          <w:sz w:val="28"/>
          <w:szCs w:val="28"/>
          <w:highlight w:val="none"/>
        </w:rPr>
        <w:t>（一）总  则</w:t>
      </w:r>
      <w:bookmarkEnd w:id="30"/>
    </w:p>
    <w:p w14:paraId="2615EED1">
      <w:pPr>
        <w:keepNext w:val="0"/>
        <w:keepLines w:val="0"/>
        <w:widowControl w:val="0"/>
        <w:kinsoku/>
        <w:wordWrap/>
        <w:overflowPunct/>
        <w:topLinePunct w:val="0"/>
        <w:autoSpaceDE/>
        <w:autoSpaceDN/>
        <w:bidi w:val="0"/>
        <w:snapToGrid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1.项目概况</w:t>
      </w:r>
    </w:p>
    <w:p w14:paraId="40F3ECDA">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1.1本次招标采购项目名称：见投标人须知前附表。</w:t>
      </w:r>
    </w:p>
    <w:p w14:paraId="1F1B383F">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 xml:space="preserve">               项目编号：见投标人须知前附表。</w:t>
      </w:r>
    </w:p>
    <w:p w14:paraId="5576BA49">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 xml:space="preserve">               招 标 人：见投标人须知前附表。</w:t>
      </w:r>
    </w:p>
    <w:p w14:paraId="444FBDE3">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 xml:space="preserve">               供货期：见投标人须知前附表。</w:t>
      </w:r>
    </w:p>
    <w:p w14:paraId="445D0D05">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 xml:space="preserve">               供货地点：见投标人须知前附表。</w:t>
      </w:r>
    </w:p>
    <w:p w14:paraId="3E1120C7">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1.2招标人及联系人: 见投标人须知前附表。</w:t>
      </w:r>
    </w:p>
    <w:p w14:paraId="18BCC25F">
      <w:pPr>
        <w:keepNext w:val="0"/>
        <w:keepLines w:val="0"/>
        <w:widowControl w:val="0"/>
        <w:kinsoku/>
        <w:wordWrap/>
        <w:overflowPunct/>
        <w:topLinePunct w:val="0"/>
        <w:autoSpaceDE/>
        <w:autoSpaceDN/>
        <w:bidi w:val="0"/>
        <w:snapToGrid w:val="0"/>
        <w:spacing w:line="500" w:lineRule="exact"/>
        <w:ind w:firstLine="525" w:firstLineChars="25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 xml:space="preserve">  采购代理机构及联系人: 见投标人须知前附表。</w:t>
      </w:r>
    </w:p>
    <w:p w14:paraId="1562297F">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1.3资金来源：见投标人须知前附表。</w:t>
      </w:r>
    </w:p>
    <w:p w14:paraId="6A274FFD">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1.4本项目预算：见投标人须知前附表。</w:t>
      </w:r>
    </w:p>
    <w:p w14:paraId="549AAA95">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1.5本项目最高限价：见投标人须知前附表。</w:t>
      </w:r>
    </w:p>
    <w:p w14:paraId="5EB37319">
      <w:pPr>
        <w:keepNext w:val="0"/>
        <w:keepLines w:val="0"/>
        <w:widowControl w:val="0"/>
        <w:kinsoku/>
        <w:wordWrap/>
        <w:overflowPunct/>
        <w:topLinePunct w:val="0"/>
        <w:autoSpaceDE/>
        <w:autoSpaceDN/>
        <w:bidi w:val="0"/>
        <w:snapToGrid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2.招标范围：</w:t>
      </w:r>
    </w:p>
    <w:p w14:paraId="710B942B">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2.1 采购内容：详见《采购内容及技术要求》。</w:t>
      </w:r>
    </w:p>
    <w:p w14:paraId="5CC88A00">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2.2 技术要求：详见《采购内容及技术要求》。</w:t>
      </w:r>
    </w:p>
    <w:p w14:paraId="15683BDD">
      <w:pPr>
        <w:keepNext w:val="0"/>
        <w:keepLines w:val="0"/>
        <w:widowControl w:val="0"/>
        <w:kinsoku/>
        <w:wordWrap/>
        <w:overflowPunct/>
        <w:topLinePunct w:val="0"/>
        <w:autoSpaceDE/>
        <w:autoSpaceDN/>
        <w:bidi w:val="0"/>
        <w:snapToGrid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3.标包划分：</w:t>
      </w:r>
    </w:p>
    <w:p w14:paraId="2EB33DDE">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3.1本项目划分：见投标人须知前附表。</w:t>
      </w:r>
    </w:p>
    <w:p w14:paraId="04A28851">
      <w:pPr>
        <w:keepNext w:val="0"/>
        <w:keepLines w:val="0"/>
        <w:widowControl w:val="0"/>
        <w:kinsoku/>
        <w:wordWrap/>
        <w:overflowPunct/>
        <w:topLinePunct w:val="0"/>
        <w:autoSpaceDE/>
        <w:autoSpaceDN/>
        <w:bidi w:val="0"/>
        <w:snapToGrid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4.招标方式：</w:t>
      </w:r>
    </w:p>
    <w:p w14:paraId="5C21E3CF">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4.1本项目招标方式：见投标人须知前附表。</w:t>
      </w:r>
    </w:p>
    <w:p w14:paraId="2D18212F">
      <w:pPr>
        <w:keepNext w:val="0"/>
        <w:keepLines w:val="0"/>
        <w:widowControl w:val="0"/>
        <w:kinsoku/>
        <w:wordWrap/>
        <w:overflowPunct/>
        <w:topLinePunct w:val="0"/>
        <w:autoSpaceDE/>
        <w:autoSpaceDN/>
        <w:bidi w:val="0"/>
        <w:snapToGrid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5.计价方式：</w:t>
      </w:r>
    </w:p>
    <w:p w14:paraId="22F6B613">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5.1本次招标项目合同采用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单价合同</w:t>
      </w:r>
      <w:r>
        <w:rPr>
          <w:rFonts w:hint="eastAsia" w:ascii="宋体" w:hAnsi="宋体" w:cs="宋体"/>
          <w:color w:val="auto"/>
          <w:szCs w:val="21"/>
          <w:highlight w:val="none"/>
          <w:u w:val="single"/>
        </w:rPr>
        <w:t xml:space="preserve"> 。</w:t>
      </w:r>
    </w:p>
    <w:p w14:paraId="5094BB49">
      <w:pPr>
        <w:keepNext w:val="0"/>
        <w:keepLines w:val="0"/>
        <w:widowControl w:val="0"/>
        <w:kinsoku/>
        <w:wordWrap/>
        <w:overflowPunct/>
        <w:topLinePunct w:val="0"/>
        <w:autoSpaceDE/>
        <w:autoSpaceDN/>
        <w:bidi w:val="0"/>
        <w:snapToGrid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6.评标办法：</w:t>
      </w:r>
    </w:p>
    <w:p w14:paraId="1CDB0268">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6.1本次招标评标采用</w:t>
      </w:r>
      <w:r>
        <w:rPr>
          <w:rFonts w:hint="eastAsia" w:ascii="宋体" w:hAnsi="宋体" w:cs="宋体"/>
          <w:color w:val="auto"/>
          <w:szCs w:val="21"/>
          <w:highlight w:val="none"/>
          <w:u w:val="single"/>
        </w:rPr>
        <w:t xml:space="preserve">  综合评分法  </w:t>
      </w:r>
      <w:r>
        <w:rPr>
          <w:rFonts w:hint="eastAsia" w:ascii="宋体" w:hAnsi="宋体" w:cs="宋体"/>
          <w:color w:val="auto"/>
          <w:szCs w:val="21"/>
          <w:highlight w:val="none"/>
        </w:rPr>
        <w:t>（详见第三章评标办法）</w:t>
      </w:r>
    </w:p>
    <w:p w14:paraId="4F78502A">
      <w:pPr>
        <w:keepNext w:val="0"/>
        <w:keepLines w:val="0"/>
        <w:widowControl w:val="0"/>
        <w:kinsoku/>
        <w:wordWrap/>
        <w:overflowPunct/>
        <w:topLinePunct w:val="0"/>
        <w:autoSpaceDE/>
        <w:autoSpaceDN/>
        <w:bidi w:val="0"/>
        <w:snapToGrid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7.投标人资格：</w:t>
      </w:r>
    </w:p>
    <w:p w14:paraId="58F16810">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7.1</w:t>
      </w:r>
      <w:r>
        <w:rPr>
          <w:rFonts w:hint="eastAsia" w:ascii="宋体"/>
          <w:color w:val="auto"/>
          <w:szCs w:val="21"/>
          <w:highlight w:val="none"/>
        </w:rPr>
        <w:t>详见投标人须知前附表。</w:t>
      </w:r>
    </w:p>
    <w:p w14:paraId="78B1D79A">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8. 投标费用</w:t>
      </w:r>
    </w:p>
    <w:p w14:paraId="2EF6A889">
      <w:pPr>
        <w:keepNext w:val="0"/>
        <w:keepLines w:val="0"/>
        <w:widowControl w:val="0"/>
        <w:kinsoku/>
        <w:wordWrap/>
        <w:overflowPunct/>
        <w:topLinePunct w:val="0"/>
        <w:autoSpaceDE/>
        <w:autoSpaceDN/>
        <w:bidi w:val="0"/>
        <w:snapToGrid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8.1投标人准备和参加投标活动发生的费用自理。</w:t>
      </w:r>
    </w:p>
    <w:p w14:paraId="371454FD">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9.</w:t>
      </w:r>
      <w:bookmarkStart w:id="31" w:name="_Toc152042315"/>
      <w:bookmarkStart w:id="32" w:name="_Toc247527563"/>
      <w:bookmarkStart w:id="33" w:name="_Toc296602429"/>
      <w:bookmarkStart w:id="34" w:name="_Toc152045539"/>
      <w:bookmarkStart w:id="35" w:name="_Toc144974507"/>
      <w:bookmarkStart w:id="36" w:name="_Toc247513962"/>
      <w:bookmarkStart w:id="37" w:name="_Toc247592876"/>
      <w:r>
        <w:rPr>
          <w:rFonts w:hint="eastAsia" w:ascii="宋体" w:hAnsi="宋体" w:cs="宋体"/>
          <w:b/>
          <w:color w:val="auto"/>
          <w:szCs w:val="21"/>
          <w:highlight w:val="none"/>
        </w:rPr>
        <w:t xml:space="preserve"> 踏勘现场</w:t>
      </w:r>
      <w:bookmarkEnd w:id="31"/>
      <w:bookmarkEnd w:id="32"/>
      <w:bookmarkEnd w:id="33"/>
      <w:bookmarkEnd w:id="34"/>
      <w:bookmarkEnd w:id="35"/>
      <w:bookmarkEnd w:id="36"/>
      <w:bookmarkEnd w:id="37"/>
    </w:p>
    <w:p w14:paraId="44E5D883">
      <w:pPr>
        <w:keepNext w:val="0"/>
        <w:keepLines w:val="0"/>
        <w:widowControl w:val="0"/>
        <w:kinsoku/>
        <w:wordWrap/>
        <w:overflowPunct/>
        <w:topLinePunct w:val="0"/>
        <w:autoSpaceDE/>
        <w:autoSpaceDN/>
        <w:bidi w:val="0"/>
        <w:spacing w:line="500" w:lineRule="exact"/>
        <w:ind w:firstLine="409" w:firstLineChars="195"/>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9.1投标人须知前附表规定组织踏勘现场的，招标人按投标人须知前附表规定的时间、地点组织投标人踏勘项目现场。 </w:t>
      </w:r>
    </w:p>
    <w:p w14:paraId="087A1C60">
      <w:pPr>
        <w:keepNext w:val="0"/>
        <w:keepLines w:val="0"/>
        <w:widowControl w:val="0"/>
        <w:kinsoku/>
        <w:wordWrap/>
        <w:overflowPunct/>
        <w:topLinePunct w:val="0"/>
        <w:autoSpaceDE/>
        <w:autoSpaceDN/>
        <w:bidi w:val="0"/>
        <w:spacing w:line="500" w:lineRule="exact"/>
        <w:ind w:firstLine="409" w:firstLineChars="195"/>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9.2 投标人踏勘现场发生的费用自理。</w:t>
      </w:r>
    </w:p>
    <w:p w14:paraId="7B5E485C">
      <w:pPr>
        <w:keepNext w:val="0"/>
        <w:keepLines w:val="0"/>
        <w:widowControl w:val="0"/>
        <w:kinsoku/>
        <w:wordWrap/>
        <w:overflowPunct/>
        <w:topLinePunct w:val="0"/>
        <w:autoSpaceDE/>
        <w:autoSpaceDN/>
        <w:bidi w:val="0"/>
        <w:spacing w:line="500" w:lineRule="exact"/>
        <w:ind w:firstLine="409" w:firstLineChars="195"/>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9.3 除招标人的原因外，投标人自行负责在踏勘现场中所发生的人员伤亡和财产损失。</w:t>
      </w:r>
    </w:p>
    <w:p w14:paraId="42E882E6">
      <w:pPr>
        <w:keepNext w:val="0"/>
        <w:keepLines w:val="0"/>
        <w:widowControl w:val="0"/>
        <w:kinsoku/>
        <w:wordWrap/>
        <w:overflowPunct/>
        <w:topLinePunct w:val="0"/>
        <w:autoSpaceDE/>
        <w:autoSpaceDN/>
        <w:bidi w:val="0"/>
        <w:spacing w:line="500" w:lineRule="exact"/>
        <w:ind w:firstLine="409" w:firstLineChars="195"/>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9.4 招标人在踏勘现场中介绍的场地和相关的周边环境情况，供投标人在编制投标文件时参考，招标人不对投标人据此作出的判断和决策负责。</w:t>
      </w:r>
      <w:bookmarkStart w:id="38" w:name="_Toc152042316"/>
      <w:bookmarkStart w:id="39" w:name="_Toc152045540"/>
      <w:bookmarkStart w:id="40" w:name="_Toc247513963"/>
      <w:bookmarkStart w:id="41" w:name="_Toc296602430"/>
      <w:bookmarkStart w:id="42" w:name="_Toc247592877"/>
      <w:bookmarkStart w:id="43" w:name="_Toc247527564"/>
      <w:bookmarkStart w:id="44" w:name="_Toc144974508"/>
    </w:p>
    <w:p w14:paraId="712C4F49">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10. 投标预备会</w:t>
      </w:r>
      <w:bookmarkEnd w:id="38"/>
      <w:bookmarkEnd w:id="39"/>
      <w:bookmarkEnd w:id="40"/>
      <w:bookmarkEnd w:id="41"/>
      <w:bookmarkEnd w:id="42"/>
      <w:bookmarkEnd w:id="43"/>
      <w:bookmarkEnd w:id="44"/>
      <w:r>
        <w:rPr>
          <w:rFonts w:hint="eastAsia" w:ascii="宋体" w:hAnsi="宋体" w:cs="宋体"/>
          <w:b/>
          <w:color w:val="auto"/>
          <w:szCs w:val="21"/>
          <w:highlight w:val="none"/>
        </w:rPr>
        <w:t>（本项目不采用）</w:t>
      </w:r>
    </w:p>
    <w:p w14:paraId="347EC024">
      <w:pPr>
        <w:keepNext w:val="0"/>
        <w:keepLines w:val="0"/>
        <w:widowControl w:val="0"/>
        <w:kinsoku/>
        <w:wordWrap/>
        <w:overflowPunct/>
        <w:topLinePunct w:val="0"/>
        <w:autoSpaceDE/>
        <w:autoSpaceDN/>
        <w:bidi w:val="0"/>
        <w:spacing w:line="500" w:lineRule="exact"/>
        <w:ind w:firstLine="409" w:firstLineChars="195"/>
        <w:textAlignment w:val="auto"/>
        <w:rPr>
          <w:rFonts w:hint="eastAsia" w:ascii="宋体"/>
          <w:color w:val="auto"/>
          <w:szCs w:val="21"/>
          <w:highlight w:val="none"/>
        </w:rPr>
      </w:pPr>
      <w:r>
        <w:rPr>
          <w:rFonts w:hint="eastAsia" w:ascii="宋体"/>
          <w:color w:val="auto"/>
          <w:szCs w:val="21"/>
          <w:highlight w:val="none"/>
        </w:rPr>
        <w:t>10.1投标人须知前附表规定召开投标预备会的，招标人按投标人须知前附表规定的时间和地点召开投标预备会，澄清投标人提出的问题。</w:t>
      </w:r>
    </w:p>
    <w:p w14:paraId="022B3409">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11. 联合投标(本项目不采用）</w:t>
      </w:r>
    </w:p>
    <w:p w14:paraId="012380DF">
      <w:pPr>
        <w:keepNext w:val="0"/>
        <w:keepLines w:val="0"/>
        <w:widowControl w:val="0"/>
        <w:kinsoku/>
        <w:wordWrap/>
        <w:overflowPunct/>
        <w:topLinePunct w:val="0"/>
        <w:autoSpaceDE/>
        <w:autoSpaceDN/>
        <w:bidi w:val="0"/>
        <w:spacing w:line="500" w:lineRule="exact"/>
        <w:ind w:firstLine="409" w:firstLineChars="195"/>
        <w:textAlignment w:val="auto"/>
        <w:rPr>
          <w:rFonts w:hint="eastAsia" w:ascii="宋体"/>
          <w:color w:val="auto"/>
          <w:szCs w:val="21"/>
          <w:highlight w:val="none"/>
        </w:rPr>
      </w:pPr>
      <w:r>
        <w:rPr>
          <w:rFonts w:hint="eastAsia" w:ascii="宋体" w:hAnsi="宋体" w:cs="宋体"/>
          <w:color w:val="auto"/>
          <w:szCs w:val="21"/>
          <w:highlight w:val="none"/>
        </w:rPr>
        <w:t xml:space="preserve">11.1 </w:t>
      </w:r>
      <w:r>
        <w:rPr>
          <w:rFonts w:hint="eastAsia" w:ascii="宋体"/>
          <w:bCs/>
          <w:color w:val="auto"/>
          <w:szCs w:val="21"/>
          <w:highlight w:val="none"/>
        </w:rPr>
        <w:t>本项</w:t>
      </w:r>
      <w:r>
        <w:rPr>
          <w:rFonts w:hint="eastAsia"/>
          <w:bCs/>
          <w:color w:val="auto"/>
          <w:szCs w:val="21"/>
          <w:highlight w:val="none"/>
        </w:rPr>
        <w:t>目不接受联合体投标。</w:t>
      </w:r>
    </w:p>
    <w:p w14:paraId="75006443">
      <w:pPr>
        <w:keepNext w:val="0"/>
        <w:keepLines w:val="0"/>
        <w:widowControl w:val="0"/>
        <w:kinsoku/>
        <w:wordWrap/>
        <w:overflowPunct/>
        <w:topLinePunct w:val="0"/>
        <w:autoSpaceDE/>
        <w:autoSpaceDN/>
        <w:bidi w:val="0"/>
        <w:spacing w:line="500" w:lineRule="exact"/>
        <w:ind w:firstLine="413" w:firstLineChars="196"/>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12.招标代理费</w:t>
      </w:r>
    </w:p>
    <w:p w14:paraId="6B470126">
      <w:pPr>
        <w:keepNext w:val="0"/>
        <w:keepLines w:val="0"/>
        <w:widowControl w:val="0"/>
        <w:kinsoku/>
        <w:wordWrap/>
        <w:overflowPunct/>
        <w:topLinePunct w:val="0"/>
        <w:autoSpaceDE/>
        <w:autoSpaceDN/>
        <w:bidi w:val="0"/>
        <w:spacing w:line="500" w:lineRule="exact"/>
        <w:ind w:firstLine="210" w:firstLineChars="100"/>
        <w:jc w:val="left"/>
        <w:textAlignment w:val="auto"/>
        <w:rPr>
          <w:rFonts w:hint="eastAsia" w:ascii="宋体"/>
          <w:color w:val="auto"/>
          <w:szCs w:val="21"/>
          <w:highlight w:val="none"/>
        </w:rPr>
      </w:pPr>
      <w:r>
        <w:rPr>
          <w:rFonts w:hint="eastAsia" w:ascii="宋体"/>
          <w:bCs/>
          <w:color w:val="auto"/>
          <w:szCs w:val="21"/>
          <w:highlight w:val="none"/>
        </w:rPr>
        <w:t xml:space="preserve">  12.1</w:t>
      </w:r>
      <w:r>
        <w:rPr>
          <w:rFonts w:ascii="宋体"/>
          <w:bCs/>
          <w:color w:val="auto"/>
          <w:szCs w:val="21"/>
          <w:highlight w:val="none"/>
        </w:rPr>
        <w:t xml:space="preserve"> </w:t>
      </w:r>
      <w:r>
        <w:rPr>
          <w:rFonts w:hint="eastAsia" w:ascii="宋体"/>
          <w:bCs/>
          <w:color w:val="auto"/>
          <w:szCs w:val="21"/>
          <w:highlight w:val="none"/>
        </w:rPr>
        <w:t>招标代理费：</w:t>
      </w:r>
      <w:r>
        <w:rPr>
          <w:rFonts w:hint="eastAsia" w:ascii="宋体"/>
          <w:color w:val="auto"/>
          <w:szCs w:val="21"/>
          <w:highlight w:val="none"/>
        </w:rPr>
        <w:t>见投标人须知前附表。</w:t>
      </w:r>
    </w:p>
    <w:p w14:paraId="58174AE2">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bCs/>
          <w:color w:val="auto"/>
          <w:szCs w:val="21"/>
          <w:highlight w:val="none"/>
        </w:rPr>
        <w:t>12.2</w:t>
      </w:r>
      <w:r>
        <w:rPr>
          <w:rFonts w:ascii="宋体"/>
          <w:bCs/>
          <w:color w:val="auto"/>
          <w:szCs w:val="21"/>
          <w:highlight w:val="none"/>
        </w:rPr>
        <w:t xml:space="preserve"> </w:t>
      </w:r>
      <w:r>
        <w:rPr>
          <w:rFonts w:hint="eastAsia" w:ascii="宋体"/>
          <w:bCs/>
          <w:color w:val="auto"/>
          <w:szCs w:val="21"/>
          <w:highlight w:val="none"/>
        </w:rPr>
        <w:t>专家评审劳务费：</w:t>
      </w:r>
      <w:r>
        <w:rPr>
          <w:rFonts w:hint="eastAsia" w:ascii="宋体"/>
          <w:color w:val="auto"/>
          <w:szCs w:val="21"/>
          <w:highlight w:val="none"/>
        </w:rPr>
        <w:t>见投标人须知前附表。</w:t>
      </w:r>
    </w:p>
    <w:p w14:paraId="6C7C4579">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13.投标人应注意的事项</w:t>
      </w:r>
    </w:p>
    <w:p w14:paraId="3BB0FD92">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13.1投标人一旦按规定参加投标，即被认为接受了本招标文件中的所有条件和规定。投标人必须严格按招标文件的要求编制投标文件，以便评委审核。否则，由此产生的一切后果由投标人承担。</w:t>
      </w:r>
    </w:p>
    <w:p w14:paraId="6BFAEDAA">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13.2投标人对采购内容及技术要求中规定的技术参数、规格、数量和要求等必须最大限度的满足招标文件的相关要求。</w:t>
      </w:r>
    </w:p>
    <w:p w14:paraId="791CCA39">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13.3推荐品牌有助于投标人选择所投产品，仅供参考，并无限制性，可以选择性能不低于推荐品牌的产品，但所投产品的技术参数，要满足</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rPr>
        <w:t>招标文件提供的详细参数。</w:t>
      </w:r>
    </w:p>
    <w:p w14:paraId="0A0DA98F">
      <w:pPr>
        <w:keepNext w:val="0"/>
        <w:keepLines w:val="0"/>
        <w:widowControl w:val="0"/>
        <w:kinsoku/>
        <w:wordWrap/>
        <w:overflowPunct/>
        <w:topLinePunct w:val="0"/>
        <w:autoSpaceDE/>
        <w:autoSpaceDN/>
        <w:bidi w:val="0"/>
        <w:spacing w:line="500" w:lineRule="exact"/>
        <w:ind w:firstLine="411" w:firstLineChars="196"/>
        <w:jc w:val="left"/>
        <w:textAlignment w:val="auto"/>
        <w:rPr>
          <w:rFonts w:hint="eastAsia" w:ascii="宋体" w:hAnsi="宋体" w:cs="宋体"/>
          <w:b w:val="0"/>
          <w:bCs/>
          <w:color w:val="auto"/>
          <w:szCs w:val="21"/>
          <w:highlight w:val="none"/>
        </w:rPr>
      </w:pPr>
      <w:r>
        <w:rPr>
          <w:rFonts w:hint="eastAsia" w:ascii="宋体" w:hAnsi="宋体" w:cs="宋体"/>
          <w:color w:val="auto"/>
          <w:szCs w:val="21"/>
          <w:highlight w:val="none"/>
        </w:rPr>
        <w:t>13.4 所有投标人的投标保证金都应在投标文件规定的投标保证金缴纳截止时间前缴纳，以资金到账时间为准</w:t>
      </w:r>
      <w:r>
        <w:rPr>
          <w:rFonts w:hint="eastAsia" w:ascii="宋体" w:hAnsi="宋体" w:cs="宋体"/>
          <w:b w:val="0"/>
          <w:bCs/>
          <w:color w:val="auto"/>
          <w:szCs w:val="21"/>
          <w:highlight w:val="none"/>
        </w:rPr>
        <w:t>（采用支票、汇票、本票、保函等的，以支票、汇票、本票、保函等递交的时间为准）。</w:t>
      </w:r>
    </w:p>
    <w:p w14:paraId="22DF5F9B">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13.5</w:t>
      </w:r>
      <w:r>
        <w:rPr>
          <w:rFonts w:hint="eastAsia" w:ascii="宋体" w:hAnsi="宋体" w:cs="宋体"/>
          <w:bCs/>
          <w:color w:val="auto"/>
          <w:szCs w:val="21"/>
          <w:highlight w:val="none"/>
        </w:rPr>
        <w:t>单位负责人为同一人或者存在直接控股、管理关系的不同投标人，不得参加同一合同项下的采购活动。</w:t>
      </w:r>
      <w:r>
        <w:rPr>
          <w:rFonts w:hint="eastAsia" w:ascii="宋体" w:hAnsi="宋体" w:cs="宋体"/>
          <w:color w:val="auto"/>
          <w:szCs w:val="21"/>
          <w:highlight w:val="none"/>
        </w:rPr>
        <w:t>为采购项目提供整体设计、规范编制或者项目管理、监理、检测等服务的投标人，不得再参加该采购项目的其他采购活动。</w:t>
      </w:r>
    </w:p>
    <w:p w14:paraId="3E385BA4">
      <w:pPr>
        <w:keepNext w:val="0"/>
        <w:keepLines w:val="0"/>
        <w:widowControl w:val="0"/>
        <w:kinsoku/>
        <w:wordWrap/>
        <w:overflowPunct/>
        <w:topLinePunct w:val="0"/>
        <w:autoSpaceDE/>
        <w:autoSpaceDN/>
        <w:bidi w:val="0"/>
        <w:spacing w:line="500" w:lineRule="exact"/>
        <w:ind w:firstLine="417" w:firstLineChars="199"/>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13.6投标人被视为充分熟悉本招标项目所在地的与履行合同有关的各种情况，包括但不限于：</w:t>
      </w:r>
    </w:p>
    <w:p w14:paraId="7CCCDC9D">
      <w:pPr>
        <w:keepNext w:val="0"/>
        <w:keepLines w:val="0"/>
        <w:widowControl w:val="0"/>
        <w:kinsoku/>
        <w:wordWrap/>
        <w:overflowPunct/>
        <w:topLinePunct w:val="0"/>
        <w:autoSpaceDE/>
        <w:autoSpaceDN/>
        <w:bidi w:val="0"/>
        <w:spacing w:line="500" w:lineRule="exact"/>
        <w:ind w:firstLine="315" w:firstLineChars="1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（1）国家对本次投标货物和服务的生产、安装调试、验收、维修等有关法律、法规及行业管理标准；</w:t>
      </w:r>
    </w:p>
    <w:p w14:paraId="311D83F2">
      <w:pPr>
        <w:keepNext w:val="0"/>
        <w:keepLines w:val="0"/>
        <w:widowControl w:val="0"/>
        <w:kinsoku/>
        <w:wordWrap/>
        <w:overflowPunct/>
        <w:topLinePunct w:val="0"/>
        <w:autoSpaceDE/>
        <w:autoSpaceDN/>
        <w:bidi w:val="0"/>
        <w:spacing w:line="500" w:lineRule="exact"/>
        <w:ind w:firstLine="315" w:firstLineChars="1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（2）安徽省及滁州市等有关管理部门的相关规定；</w:t>
      </w:r>
    </w:p>
    <w:p w14:paraId="23064E36">
      <w:pPr>
        <w:keepNext w:val="0"/>
        <w:keepLines w:val="0"/>
        <w:widowControl w:val="0"/>
        <w:kinsoku/>
        <w:wordWrap/>
        <w:overflowPunct/>
        <w:topLinePunct w:val="0"/>
        <w:autoSpaceDE/>
        <w:autoSpaceDN/>
        <w:bidi w:val="0"/>
        <w:spacing w:line="500" w:lineRule="exact"/>
        <w:ind w:firstLine="315" w:firstLineChars="1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（3）招标人的相关场地情况、基础建设、电力供应情况及相关设计标准。</w:t>
      </w:r>
    </w:p>
    <w:p w14:paraId="58AD6A69">
      <w:pPr>
        <w:keepNext w:val="0"/>
        <w:keepLines w:val="0"/>
        <w:widowControl w:val="0"/>
        <w:kinsoku/>
        <w:wordWrap/>
        <w:overflowPunct/>
        <w:topLinePunct w:val="0"/>
        <w:autoSpaceDE/>
        <w:autoSpaceDN/>
        <w:bidi w:val="0"/>
        <w:spacing w:line="500" w:lineRule="exact"/>
        <w:ind w:firstLine="315" w:firstLineChars="1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本招标文件不再对上述情况进行描述。</w:t>
      </w:r>
    </w:p>
    <w:p w14:paraId="59CCFBB8">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14.保密</w:t>
      </w:r>
    </w:p>
    <w:p w14:paraId="0D7146D9">
      <w:pPr>
        <w:pStyle w:val="35"/>
        <w:keepNext w:val="0"/>
        <w:keepLines w:val="0"/>
        <w:widowControl w:val="0"/>
        <w:kinsoku/>
        <w:wordWrap/>
        <w:overflowPunct/>
        <w:topLinePunct w:val="0"/>
        <w:autoSpaceDE/>
        <w:autoSpaceDN/>
        <w:bidi w:val="0"/>
        <w:spacing w:after="0" w:line="500" w:lineRule="exact"/>
        <w:ind w:left="0" w:leftChars="0"/>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参与招标投标活动的各方应对招标文件和投标文件中的商业和技术等秘密保密，违者应对由此造成的后果承担法律责任。 </w:t>
      </w:r>
    </w:p>
    <w:p w14:paraId="09F9A179">
      <w:pPr>
        <w:keepNext w:val="0"/>
        <w:keepLines w:val="0"/>
        <w:widowControl w:val="0"/>
        <w:kinsoku/>
        <w:wordWrap/>
        <w:overflowPunct/>
        <w:topLinePunct w:val="0"/>
        <w:autoSpaceDE/>
        <w:autoSpaceDN/>
        <w:bidi w:val="0"/>
        <w:spacing w:before="156" w:beforeLines="50" w:after="156" w:afterLines="50" w:line="500" w:lineRule="exact"/>
        <w:jc w:val="center"/>
        <w:textAlignment w:val="auto"/>
        <w:rPr>
          <w:rFonts w:hint="eastAsia" w:ascii="宋体" w:hAnsi="宋体" w:cs="宋体"/>
          <w:b/>
          <w:color w:val="auto"/>
          <w:sz w:val="28"/>
          <w:szCs w:val="28"/>
          <w:highlight w:val="none"/>
        </w:rPr>
      </w:pPr>
      <w:bookmarkStart w:id="45" w:name="_Toc449028868"/>
      <w:r>
        <w:rPr>
          <w:rFonts w:hint="eastAsia" w:ascii="宋体" w:hAnsi="宋体" w:cs="宋体"/>
          <w:b/>
          <w:color w:val="auto"/>
          <w:sz w:val="28"/>
          <w:szCs w:val="28"/>
          <w:highlight w:val="none"/>
        </w:rPr>
        <w:t>（二）</w:t>
      </w:r>
      <w:bookmarkEnd w:id="45"/>
      <w:r>
        <w:rPr>
          <w:rFonts w:hint="eastAsia" w:ascii="宋体" w:hAnsi="宋体" w:cs="宋体"/>
          <w:b/>
          <w:color w:val="auto"/>
          <w:sz w:val="28"/>
          <w:szCs w:val="28"/>
          <w:highlight w:val="none"/>
        </w:rPr>
        <w:t>招标文件</w:t>
      </w:r>
    </w:p>
    <w:p w14:paraId="145D248F">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15. 招标文件的编制依据</w:t>
      </w:r>
    </w:p>
    <w:p w14:paraId="31342AA2">
      <w:pPr>
        <w:keepNext w:val="0"/>
        <w:keepLines w:val="0"/>
        <w:widowControl w:val="0"/>
        <w:kinsoku/>
        <w:wordWrap/>
        <w:overflowPunct/>
        <w:topLinePunct w:val="0"/>
        <w:autoSpaceDE/>
        <w:autoSpaceDN/>
        <w:bidi w:val="0"/>
        <w:spacing w:line="500" w:lineRule="exact"/>
        <w:ind w:firstLine="420" w:firstLineChars="200"/>
        <w:textAlignment w:val="auto"/>
        <w:rPr>
          <w:rFonts w:hint="eastAsia" w:ascii="宋体"/>
          <w:color w:val="auto"/>
          <w:szCs w:val="21"/>
          <w:highlight w:val="none"/>
        </w:rPr>
      </w:pPr>
      <w:r>
        <w:rPr>
          <w:rFonts w:hint="eastAsia" w:ascii="宋体"/>
          <w:color w:val="auto"/>
          <w:szCs w:val="21"/>
          <w:highlight w:val="none"/>
        </w:rPr>
        <w:t>根据</w:t>
      </w:r>
      <w:r>
        <w:rPr>
          <w:rFonts w:hint="eastAsia" w:ascii="宋体"/>
          <w:color w:val="auto"/>
          <w:spacing w:val="-2"/>
          <w:szCs w:val="21"/>
          <w:highlight w:val="none"/>
        </w:rPr>
        <w:t>相关法律法规和规章及部、省、市级规范性文件的规定，编制本招标文件。</w:t>
      </w:r>
    </w:p>
    <w:p w14:paraId="5A895353">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16. 招标文件的组成</w:t>
      </w:r>
    </w:p>
    <w:p w14:paraId="472135BB">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16.1 招标文件包括内容：</w:t>
      </w:r>
    </w:p>
    <w:p w14:paraId="501514E9">
      <w:pPr>
        <w:keepNext w:val="0"/>
        <w:keepLines w:val="0"/>
        <w:widowControl w:val="0"/>
        <w:kinsoku/>
        <w:wordWrap/>
        <w:overflowPunct/>
        <w:topLinePunct w:val="0"/>
        <w:autoSpaceDE/>
        <w:autoSpaceDN/>
        <w:bidi w:val="0"/>
        <w:spacing w:line="500" w:lineRule="exact"/>
        <w:ind w:firstLine="1470" w:firstLineChars="7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第一章  招标公告</w:t>
      </w:r>
    </w:p>
    <w:p w14:paraId="268C50A4">
      <w:pPr>
        <w:keepNext w:val="0"/>
        <w:keepLines w:val="0"/>
        <w:widowControl w:val="0"/>
        <w:kinsoku/>
        <w:wordWrap/>
        <w:overflowPunct/>
        <w:topLinePunct w:val="0"/>
        <w:autoSpaceDE/>
        <w:autoSpaceDN/>
        <w:bidi w:val="0"/>
        <w:spacing w:line="500" w:lineRule="exact"/>
        <w:ind w:firstLine="1470" w:firstLineChars="7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第二章  投标人须知</w:t>
      </w:r>
    </w:p>
    <w:p w14:paraId="3D35206C">
      <w:pPr>
        <w:keepNext w:val="0"/>
        <w:keepLines w:val="0"/>
        <w:widowControl w:val="0"/>
        <w:kinsoku/>
        <w:wordWrap/>
        <w:overflowPunct/>
        <w:topLinePunct w:val="0"/>
        <w:autoSpaceDE/>
        <w:autoSpaceDN/>
        <w:bidi w:val="0"/>
        <w:spacing w:line="500" w:lineRule="exact"/>
        <w:ind w:firstLine="1470" w:firstLineChars="7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第三章  评标办法</w:t>
      </w:r>
    </w:p>
    <w:p w14:paraId="7A6131F8">
      <w:pPr>
        <w:keepNext w:val="0"/>
        <w:keepLines w:val="0"/>
        <w:widowControl w:val="0"/>
        <w:kinsoku/>
        <w:wordWrap/>
        <w:overflowPunct/>
        <w:topLinePunct w:val="0"/>
        <w:autoSpaceDE/>
        <w:autoSpaceDN/>
        <w:bidi w:val="0"/>
        <w:spacing w:line="500" w:lineRule="exact"/>
        <w:ind w:firstLine="1470" w:firstLineChars="7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第四章  采购内容及技术要求</w:t>
      </w:r>
    </w:p>
    <w:p w14:paraId="6CCAF591">
      <w:pPr>
        <w:keepNext w:val="0"/>
        <w:keepLines w:val="0"/>
        <w:widowControl w:val="0"/>
        <w:kinsoku/>
        <w:wordWrap/>
        <w:overflowPunct/>
        <w:topLinePunct w:val="0"/>
        <w:autoSpaceDE/>
        <w:autoSpaceDN/>
        <w:bidi w:val="0"/>
        <w:spacing w:line="500" w:lineRule="exact"/>
        <w:ind w:firstLine="1470" w:firstLineChars="7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第五章  合同条款及格式</w:t>
      </w:r>
    </w:p>
    <w:p w14:paraId="05F1316D">
      <w:pPr>
        <w:keepNext w:val="0"/>
        <w:keepLines w:val="0"/>
        <w:widowControl w:val="0"/>
        <w:kinsoku/>
        <w:wordWrap/>
        <w:overflowPunct/>
        <w:topLinePunct w:val="0"/>
        <w:autoSpaceDE/>
        <w:autoSpaceDN/>
        <w:bidi w:val="0"/>
        <w:spacing w:line="500" w:lineRule="exact"/>
        <w:ind w:firstLine="1470" w:firstLineChars="7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第六章  投标文件格式</w:t>
      </w:r>
    </w:p>
    <w:p w14:paraId="36C15C60">
      <w:pPr>
        <w:keepNext w:val="0"/>
        <w:keepLines w:val="0"/>
        <w:widowControl w:val="0"/>
        <w:kinsoku/>
        <w:wordWrap/>
        <w:overflowPunct/>
        <w:topLinePunct w:val="0"/>
        <w:autoSpaceDE/>
        <w:autoSpaceDN/>
        <w:bidi w:val="0"/>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16.2 除16.1款内容外，招标答疑亦为招标文件的组成部分，对招标人和投标人起约束作用。</w:t>
      </w:r>
    </w:p>
    <w:p w14:paraId="27D73E34">
      <w:pPr>
        <w:keepNext w:val="0"/>
        <w:keepLines w:val="0"/>
        <w:widowControl w:val="0"/>
        <w:kinsoku/>
        <w:wordWrap/>
        <w:overflowPunct/>
        <w:topLinePunct w:val="0"/>
        <w:autoSpaceDE/>
        <w:autoSpaceDN/>
        <w:bidi w:val="0"/>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16.3投标人应仔细阅读和检查招标文件的全部内容。如发现缺页或附件不全，应及时向招标人提出，以便补齐。</w:t>
      </w:r>
    </w:p>
    <w:p w14:paraId="3802D219">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16.4投标人可以通过电子交易系统对招标文件提出澄清（质疑）。招标文件的澄清将在</w:t>
      </w:r>
      <w:r>
        <w:rPr>
          <w:rFonts w:hint="eastAsia" w:ascii="宋体" w:hAnsi="宋体" w:cs="宋体"/>
          <w:color w:val="auto"/>
          <w:szCs w:val="21"/>
          <w:highlight w:val="none"/>
          <w:lang w:eastAsia="zh-CN"/>
        </w:rPr>
        <w:t>滁州市兴滁矿业投资集团有限公司（http://www.xckytz.com/）</w:t>
      </w:r>
      <w:r>
        <w:rPr>
          <w:rFonts w:hint="eastAsia" w:ascii="宋体" w:hAnsi="宋体" w:cs="宋体"/>
          <w:color w:val="auto"/>
          <w:szCs w:val="21"/>
          <w:highlight w:val="none"/>
        </w:rPr>
        <w:t>、滁州市城投工程咨询管理有限公司网站（https://www.czctgczx.com/）发布，但不指明澄清问题的来源。如果澄清内容影响投标文件编制的，将相应延长投标截止时间。</w:t>
      </w:r>
    </w:p>
    <w:p w14:paraId="6F3CABE3">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17.招标文件的异议、澄清</w:t>
      </w:r>
    </w:p>
    <w:p w14:paraId="5DFC0577">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17.1投标人或其他利害关系人投标人应仔细阅读和检查招标文件的全部内容，对招标文件有异议的，应在</w:t>
      </w:r>
      <w:r>
        <w:rPr>
          <w:rFonts w:hint="eastAsia" w:ascii="宋体" w:hAnsi="宋体" w:cs="宋体"/>
          <w:color w:val="auto"/>
          <w:szCs w:val="21"/>
          <w:highlight w:val="none"/>
          <w:lang w:val="en-US" w:eastAsia="zh-CN"/>
        </w:rPr>
        <w:t>规定时间</w:t>
      </w:r>
      <w:r>
        <w:rPr>
          <w:rFonts w:hint="eastAsia" w:ascii="宋体" w:hAnsi="宋体" w:cs="宋体"/>
          <w:color w:val="auto"/>
          <w:szCs w:val="21"/>
          <w:highlight w:val="none"/>
        </w:rPr>
        <w:t>前以投标人须知前附表规定形式提出。招标人将在</w:t>
      </w:r>
      <w:r>
        <w:rPr>
          <w:rFonts w:hint="eastAsia" w:ascii="宋体" w:hAnsi="宋体" w:cs="宋体"/>
          <w:color w:val="auto"/>
          <w:szCs w:val="21"/>
          <w:highlight w:val="none"/>
          <w:lang w:val="en-US" w:eastAsia="zh-CN"/>
        </w:rPr>
        <w:t>规定时间内</w:t>
      </w:r>
      <w:r>
        <w:rPr>
          <w:rFonts w:hint="eastAsia" w:ascii="宋体" w:hAnsi="宋体" w:cs="宋体"/>
          <w:color w:val="auto"/>
          <w:szCs w:val="21"/>
          <w:highlight w:val="none"/>
        </w:rPr>
        <w:t>作出答复；作出答复前，将暂停招标投标活动。</w:t>
      </w:r>
    </w:p>
    <w:p w14:paraId="60B39551">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17.2招标人可以澄清招标文件，并以投标人须知前附表规定澄清的方式在</w:t>
      </w:r>
      <w:r>
        <w:rPr>
          <w:rFonts w:hint="eastAsia" w:ascii="宋体" w:hAnsi="宋体" w:cs="宋体"/>
          <w:bCs/>
          <w:color w:val="auto"/>
          <w:szCs w:val="21"/>
          <w:highlight w:val="none"/>
          <w:lang w:eastAsia="zh-CN"/>
        </w:rPr>
        <w:t>滁州市兴滁矿业投资集团有限公司（http://www.xckytz.com/）</w:t>
      </w:r>
      <w:r>
        <w:rPr>
          <w:rFonts w:hint="eastAsia" w:ascii="宋体" w:hAnsi="宋体" w:cs="宋体"/>
          <w:bCs/>
          <w:color w:val="auto"/>
          <w:szCs w:val="21"/>
          <w:highlight w:val="none"/>
        </w:rPr>
        <w:t>、滁州市城投工程咨询管理有限公司网站（https://www.czctgczx.com/）发布。</w:t>
      </w:r>
    </w:p>
    <w:p w14:paraId="6AAFCF04">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18.</w:t>
      </w:r>
      <w:r>
        <w:rPr>
          <w:rFonts w:hint="eastAsia" w:ascii="宋体" w:hAnsi="宋体" w:eastAsia="宋体" w:cs="宋体"/>
          <w:b/>
          <w:bCs/>
          <w:color w:val="auto"/>
          <w:szCs w:val="21"/>
          <w:highlight w:val="none"/>
        </w:rPr>
        <w:t>招标文件的解释</w:t>
      </w:r>
    </w:p>
    <w:p w14:paraId="7D6C28C8">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（1）构成本招标文件的各个组成文件应互为解释，互为说明；</w:t>
      </w:r>
    </w:p>
    <w:p w14:paraId="21A2BC6E">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（2）同一组成文件中就同一事项的规定或约定不一致的，以编排顺序在后者为准；</w:t>
      </w:r>
    </w:p>
    <w:p w14:paraId="182D9E64">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（3）如有不明确或不一致，构成合同文件组成内容的，以合同文件约定内容为准，且以专用合同条款约定的合同文件优先顺序解释；</w:t>
      </w:r>
    </w:p>
    <w:p w14:paraId="35526534">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（4）系统中提供的表格（或格式文件）与招标文件中不一致时，以招标文件中提供的为准；</w:t>
      </w:r>
    </w:p>
    <w:p w14:paraId="099013C2">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（5）按本款前述规定仍不能形成结论的，由招标人（或其委托的采购代理机构）负责解释。</w:t>
      </w:r>
    </w:p>
    <w:p w14:paraId="0B31E7BB">
      <w:pPr>
        <w:keepNext w:val="0"/>
        <w:keepLines w:val="0"/>
        <w:widowControl w:val="0"/>
        <w:kinsoku/>
        <w:wordWrap/>
        <w:overflowPunct/>
        <w:topLinePunct w:val="0"/>
        <w:autoSpaceDE/>
        <w:autoSpaceDN/>
        <w:bidi w:val="0"/>
        <w:spacing w:line="500" w:lineRule="exact"/>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 xml:space="preserve">    1</w:t>
      </w:r>
      <w:r>
        <w:rPr>
          <w:rFonts w:hint="eastAsia" w:ascii="宋体" w:hAnsi="宋体" w:cs="宋体"/>
          <w:b/>
          <w:color w:val="auto"/>
          <w:szCs w:val="21"/>
          <w:highlight w:val="none"/>
          <w:lang w:val="en-US" w:eastAsia="zh-CN"/>
        </w:rPr>
        <w:t>9</w:t>
      </w:r>
      <w:r>
        <w:rPr>
          <w:rFonts w:hint="eastAsia" w:ascii="宋体" w:hAnsi="宋体" w:cs="宋体"/>
          <w:b/>
          <w:color w:val="auto"/>
          <w:szCs w:val="21"/>
          <w:highlight w:val="none"/>
        </w:rPr>
        <w:t>. 招标文件的发出</w:t>
      </w:r>
    </w:p>
    <w:p w14:paraId="54AF67D5">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.1招标文件、招标文件的澄清、修改、补充及招标答疑等均应报</w:t>
      </w:r>
      <w:r>
        <w:rPr>
          <w:rFonts w:hint="eastAsia" w:ascii="宋体" w:hAnsi="宋体" w:cs="宋体"/>
          <w:color w:val="auto"/>
          <w:szCs w:val="21"/>
          <w:highlight w:val="none"/>
          <w:lang w:val="en-US" w:eastAsia="zh-CN"/>
        </w:rPr>
        <w:t>招标人</w:t>
      </w:r>
      <w:r>
        <w:rPr>
          <w:rFonts w:hint="eastAsia" w:ascii="宋体" w:hAnsi="宋体" w:cs="宋体"/>
          <w:color w:val="auto"/>
          <w:szCs w:val="21"/>
          <w:highlight w:val="none"/>
        </w:rPr>
        <w:t>备案后，方可发出。</w:t>
      </w:r>
    </w:p>
    <w:p w14:paraId="45499DE5">
      <w:pPr>
        <w:keepNext w:val="0"/>
        <w:keepLines w:val="0"/>
        <w:widowControl w:val="0"/>
        <w:kinsoku/>
        <w:wordWrap/>
        <w:overflowPunct/>
        <w:topLinePunct w:val="0"/>
        <w:autoSpaceDE/>
        <w:autoSpaceDN/>
        <w:bidi w:val="0"/>
        <w:spacing w:before="156" w:beforeLines="50" w:after="156" w:afterLines="50" w:line="500" w:lineRule="exact"/>
        <w:jc w:val="center"/>
        <w:textAlignment w:val="auto"/>
        <w:rPr>
          <w:rFonts w:hint="eastAsia" w:ascii="宋体" w:hAnsi="宋体" w:cs="宋体"/>
          <w:b/>
          <w:color w:val="auto"/>
          <w:sz w:val="28"/>
          <w:szCs w:val="28"/>
          <w:highlight w:val="none"/>
        </w:rPr>
      </w:pPr>
      <w:bookmarkStart w:id="46" w:name="_Toc449028869"/>
      <w:r>
        <w:rPr>
          <w:rFonts w:hint="eastAsia" w:ascii="宋体" w:hAnsi="宋体" w:cs="宋体"/>
          <w:b/>
          <w:color w:val="auto"/>
          <w:sz w:val="28"/>
          <w:szCs w:val="28"/>
          <w:highlight w:val="none"/>
        </w:rPr>
        <w:t>（三）投标文件的编制</w:t>
      </w:r>
      <w:bookmarkEnd w:id="46"/>
    </w:p>
    <w:p w14:paraId="553ABA4C">
      <w:pPr>
        <w:keepNext w:val="0"/>
        <w:keepLines w:val="0"/>
        <w:widowControl w:val="0"/>
        <w:kinsoku/>
        <w:wordWrap/>
        <w:overflowPunct/>
        <w:topLinePunct w:val="0"/>
        <w:autoSpaceDE/>
        <w:autoSpaceDN/>
        <w:bidi w:val="0"/>
        <w:spacing w:line="500" w:lineRule="exact"/>
        <w:ind w:firstLine="211" w:firstLineChars="1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20.投标的语言及度量衡单位</w:t>
      </w:r>
    </w:p>
    <w:p w14:paraId="5F4B94EC">
      <w:pPr>
        <w:keepNext w:val="0"/>
        <w:keepLines w:val="0"/>
        <w:widowControl w:val="0"/>
        <w:kinsoku/>
        <w:wordWrap/>
        <w:overflowPunct/>
        <w:topLinePunct w:val="0"/>
        <w:autoSpaceDE/>
        <w:autoSpaceDN/>
        <w:bidi w:val="0"/>
        <w:spacing w:line="500" w:lineRule="exact"/>
        <w:ind w:firstLine="210" w:firstLineChars="1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20.1投标人的投标文件、以及投标人与招标人就投标的所有往来函电，均须使用简体中文。</w:t>
      </w:r>
    </w:p>
    <w:p w14:paraId="75FEFF56">
      <w:pPr>
        <w:keepNext w:val="0"/>
        <w:keepLines w:val="0"/>
        <w:widowControl w:val="0"/>
        <w:kinsoku/>
        <w:wordWrap/>
        <w:overflowPunct/>
        <w:topLinePunct w:val="0"/>
        <w:autoSpaceDE/>
        <w:autoSpaceDN/>
        <w:bidi w:val="0"/>
        <w:spacing w:line="500" w:lineRule="exact"/>
        <w:ind w:firstLine="210" w:firstLineChars="1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20.2除招标文件中另有规定外，投标文件所使用的度量衡均须采用法定计量单位。</w:t>
      </w:r>
    </w:p>
    <w:p w14:paraId="314120BA">
      <w:pPr>
        <w:keepNext w:val="0"/>
        <w:keepLines w:val="0"/>
        <w:widowControl w:val="0"/>
        <w:kinsoku/>
        <w:wordWrap/>
        <w:overflowPunct/>
        <w:topLinePunct w:val="0"/>
        <w:autoSpaceDE/>
        <w:autoSpaceDN/>
        <w:bidi w:val="0"/>
        <w:spacing w:line="500" w:lineRule="exact"/>
        <w:ind w:firstLine="211" w:firstLineChars="1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21.投标文件的组成、上传说明</w:t>
      </w:r>
    </w:p>
    <w:p w14:paraId="282C9962">
      <w:pPr>
        <w:keepNext w:val="0"/>
        <w:keepLines w:val="0"/>
        <w:widowControl w:val="0"/>
        <w:kinsoku/>
        <w:wordWrap/>
        <w:overflowPunct/>
        <w:topLinePunct w:val="0"/>
        <w:autoSpaceDE/>
        <w:autoSpaceDN/>
        <w:bidi w:val="0"/>
        <w:spacing w:line="500" w:lineRule="exact"/>
        <w:ind w:firstLine="211" w:firstLineChars="100"/>
        <w:jc w:val="left"/>
        <w:textAlignment w:val="auto"/>
        <w:rPr>
          <w:rFonts w:hint="eastAsia" w:ascii="宋体" w:hAnsi="宋体" w:cs="宋体"/>
          <w:color w:val="auto"/>
          <w:szCs w:val="21"/>
          <w:highlight w:val="none"/>
        </w:rPr>
      </w:pPr>
      <w:r>
        <w:rPr>
          <w:rFonts w:hint="eastAsia" w:ascii="宋体" w:hAnsi="宋体" w:cs="宋体"/>
          <w:b/>
          <w:color w:val="auto"/>
          <w:szCs w:val="21"/>
          <w:highlight w:val="none"/>
        </w:rPr>
        <w:t>21.1投标文件的组成</w:t>
      </w:r>
    </w:p>
    <w:p w14:paraId="64F765DD">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投标文件由投标文件一（资信证明文件）、投标文件二（技术标）和投标文件三（商务标）三部分组成。</w:t>
      </w:r>
      <w:r>
        <w:rPr>
          <w:rFonts w:hint="eastAsia" w:ascii="宋体" w:hAnsi="宋体" w:cs="宋体"/>
          <w:b/>
          <w:bCs/>
          <w:color w:val="auto"/>
          <w:szCs w:val="21"/>
          <w:highlight w:val="none"/>
        </w:rPr>
        <w:t>具体内容详见第六章投标文件格式内容。</w:t>
      </w:r>
    </w:p>
    <w:p w14:paraId="4184321C">
      <w:pPr>
        <w:keepNext w:val="0"/>
        <w:keepLines w:val="0"/>
        <w:widowControl w:val="0"/>
        <w:kinsoku/>
        <w:wordWrap/>
        <w:overflowPunct/>
        <w:topLinePunct w:val="0"/>
        <w:autoSpaceDE/>
        <w:autoSpaceDN/>
        <w:bidi w:val="0"/>
        <w:spacing w:line="500" w:lineRule="exact"/>
        <w:ind w:firstLine="211" w:firstLineChars="1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21.2投标文件的上传</w:t>
      </w:r>
    </w:p>
    <w:p w14:paraId="61370081">
      <w:pPr>
        <w:keepNext w:val="0"/>
        <w:keepLines w:val="0"/>
        <w:widowControl w:val="0"/>
        <w:numPr>
          <w:ilvl w:val="0"/>
          <w:numId w:val="8"/>
        </w:numPr>
        <w:kinsoku/>
        <w:wordWrap/>
        <w:overflowPunct/>
        <w:topLinePunct w:val="0"/>
        <w:autoSpaceDE/>
        <w:autoSpaceDN/>
        <w:bidi w:val="0"/>
        <w:spacing w:line="500" w:lineRule="exact"/>
        <w:ind w:firstLine="315" w:firstLineChars="1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投标文件由投标人使用电子交易系统提供的“新点电子交易平台专用投标文件制作软件”制作生成。请供应商在“新点电子交易平台”常用下载专区下载“新点电子交易平台专用投标文件制作软件”、“新点驱动（安徽省互联互通版）”，仔细阅读招标文件要求和相关操作手册，以免影响投标文件编制，因投标人未及时关注相关信息对开标造成的不利后果由其自行承担。</w:t>
      </w:r>
    </w:p>
    <w:p w14:paraId="7E72A597">
      <w:pPr>
        <w:keepNext w:val="0"/>
        <w:keepLines w:val="0"/>
        <w:widowControl w:val="0"/>
        <w:numPr>
          <w:ilvl w:val="0"/>
          <w:numId w:val="0"/>
        </w:numPr>
        <w:kinsoku/>
        <w:wordWrap/>
        <w:overflowPunct/>
        <w:topLinePunct w:val="0"/>
        <w:autoSpaceDE/>
        <w:autoSpaceDN/>
        <w:bidi w:val="0"/>
        <w:spacing w:line="500" w:lineRule="exact"/>
        <w:ind w:firstLine="210" w:firstLineChars="1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（2）如果一个项目有多个标段，则需按标段下载对应标段招标文件分别生成对应的投标文件，通过系统“上传投标文件”按标段分别上传到系统中。</w:t>
      </w:r>
    </w:p>
    <w:p w14:paraId="2B1AF34D">
      <w:pPr>
        <w:keepNext w:val="0"/>
        <w:keepLines w:val="0"/>
        <w:widowControl w:val="0"/>
        <w:kinsoku/>
        <w:wordWrap/>
        <w:overflowPunct/>
        <w:topLinePunct w:val="0"/>
        <w:autoSpaceDE/>
        <w:autoSpaceDN/>
        <w:bidi w:val="0"/>
        <w:spacing w:line="500" w:lineRule="exact"/>
        <w:ind w:firstLine="315" w:firstLineChars="1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（3）请投标人通过系统下载投标工具制作投标文件，并利用CA数字证书进行上传投标文件，上传已加密的投标文件，务必通过此方式上传投标文件。</w:t>
      </w:r>
    </w:p>
    <w:p w14:paraId="2B5120C4">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21.3投标文件的编制</w:t>
      </w:r>
    </w:p>
    <w:p w14:paraId="6E008257">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（1）投标文件应按第六章“投标文件格式”进行编写，如有必要，可以增加附页，作为投标文件的组成部分。</w:t>
      </w:r>
    </w:p>
    <w:p w14:paraId="3C950680">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（2）本次招标投标不需要提供纸质投标文件，投标人应按照电子招标投标的要求，在投标人的会员系统中制作、电子签章、上传投标文件。</w:t>
      </w:r>
    </w:p>
    <w:p w14:paraId="06752A2F">
      <w:pPr>
        <w:keepNext w:val="0"/>
        <w:keepLines w:val="0"/>
        <w:widowControl w:val="0"/>
        <w:kinsoku/>
        <w:wordWrap/>
        <w:overflowPunct/>
        <w:topLinePunct w:val="0"/>
        <w:autoSpaceDE/>
        <w:autoSpaceDN/>
        <w:bidi w:val="0"/>
        <w:spacing w:line="500" w:lineRule="exact"/>
        <w:ind w:left="-9" w:right="-199" w:rightChars="-95"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（3）网上递交的电子投标文件制作工具等要求详见系统内帮助模块。</w:t>
      </w:r>
    </w:p>
    <w:p w14:paraId="0110216F">
      <w:pPr>
        <w:keepNext w:val="0"/>
        <w:keepLines w:val="0"/>
        <w:widowControl w:val="0"/>
        <w:kinsoku/>
        <w:wordWrap/>
        <w:overflowPunct/>
        <w:topLinePunct w:val="0"/>
        <w:autoSpaceDE/>
        <w:autoSpaceDN/>
        <w:bidi w:val="0"/>
        <w:spacing w:line="500" w:lineRule="exact"/>
        <w:ind w:firstLine="424" w:firstLineChars="202"/>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（4）网上递交的电子投标文件应按招标文件规定的格式由投标人的法定代表人和投标人分别签章。</w:t>
      </w:r>
    </w:p>
    <w:p w14:paraId="220F066D">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cs="宋体"/>
          <w:color w:val="auto"/>
          <w:szCs w:val="21"/>
          <w:highlight w:val="none"/>
        </w:rPr>
      </w:pPr>
      <w:r>
        <w:rPr>
          <w:rFonts w:hint="eastAsia" w:ascii="宋体" w:hAnsi="宋体" w:cs="宋体"/>
          <w:b/>
          <w:color w:val="auto"/>
          <w:szCs w:val="21"/>
          <w:highlight w:val="none"/>
        </w:rPr>
        <w:t>22</w:t>
      </w:r>
      <w:r>
        <w:rPr>
          <w:rFonts w:hint="eastAsia" w:ascii="宋体" w:hAnsi="宋体" w:cs="宋体"/>
          <w:color w:val="auto"/>
          <w:szCs w:val="21"/>
          <w:highlight w:val="none"/>
        </w:rPr>
        <w:t>.</w:t>
      </w:r>
      <w:r>
        <w:rPr>
          <w:rFonts w:hint="eastAsia" w:ascii="宋体" w:hAnsi="宋体" w:cs="宋体"/>
          <w:b/>
          <w:color w:val="auto"/>
          <w:szCs w:val="21"/>
          <w:highlight w:val="none"/>
        </w:rPr>
        <w:t>投标报价</w:t>
      </w:r>
    </w:p>
    <w:p w14:paraId="0DAD967A">
      <w:pPr>
        <w:keepNext w:val="0"/>
        <w:keepLines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22.1</w:t>
      </w:r>
      <w:r>
        <w:rPr>
          <w:rFonts w:hint="eastAsia" w:ascii="宋体" w:hAnsi="宋体" w:eastAsia="宋体" w:cs="宋体"/>
          <w:color w:val="auto"/>
          <w:szCs w:val="21"/>
          <w:highlight w:val="none"/>
        </w:rPr>
        <w:t>投标报价文件中的单价和总价全部采用人民币表示。投标人的报价应含有货物、利润、税金、政策性文件规定及合同包含的所有风险、责任、义务等，即为完成招标文件要求的货物内容所包含的一切应有费用，</w:t>
      </w:r>
      <w:r>
        <w:rPr>
          <w:rFonts w:hint="eastAsia" w:ascii="宋体" w:hAnsi="宋体" w:eastAsia="宋体" w:cs="宋体"/>
          <w:color w:val="auto"/>
          <w:szCs w:val="21"/>
          <w:highlight w:val="none"/>
          <w:lang w:val="en-US" w:eastAsia="zh-CN"/>
        </w:rPr>
        <w:t>中标价格</w:t>
      </w:r>
      <w:r>
        <w:rPr>
          <w:rFonts w:hint="eastAsia" w:ascii="宋体" w:hAnsi="宋体" w:eastAsia="宋体" w:cs="宋体"/>
          <w:color w:val="auto"/>
          <w:szCs w:val="21"/>
          <w:highlight w:val="none"/>
        </w:rPr>
        <w:t>今后将不作任何调整</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招标人</w:t>
      </w:r>
      <w:r>
        <w:rPr>
          <w:rFonts w:hint="eastAsia" w:ascii="宋体" w:hAnsi="宋体" w:eastAsia="宋体" w:cs="宋体"/>
          <w:color w:val="auto"/>
          <w:szCs w:val="21"/>
          <w:highlight w:val="none"/>
        </w:rPr>
        <w:t>后期不再追加费用，投标</w:t>
      </w:r>
      <w:r>
        <w:rPr>
          <w:rFonts w:hint="eastAsia" w:ascii="宋体" w:hAnsi="宋体" w:eastAsia="宋体" w:cs="宋体"/>
          <w:color w:val="auto"/>
          <w:szCs w:val="21"/>
          <w:highlight w:val="none"/>
          <w:lang w:val="en-US" w:eastAsia="zh-CN"/>
        </w:rPr>
        <w:t>人</w:t>
      </w:r>
      <w:r>
        <w:rPr>
          <w:rFonts w:hint="eastAsia" w:ascii="宋体" w:hAnsi="宋体" w:eastAsia="宋体" w:cs="宋体"/>
          <w:color w:val="auto"/>
          <w:szCs w:val="21"/>
          <w:highlight w:val="none"/>
        </w:rPr>
        <w:t>自行考虑投标风险。</w:t>
      </w:r>
    </w:p>
    <w:p w14:paraId="4C4CC5B8">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投标人只允许有一个方案、一个报价。</w:t>
      </w:r>
    </w:p>
    <w:p w14:paraId="7D37C686">
      <w:pPr>
        <w:keepNext w:val="0"/>
        <w:keepLines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22.3投标人应按“采购内容及技术要求”所列货物进行报价，并最终按货物总量乘以货物单价报总价，不得采用总价下浮的方式进行报价。投标报价包括国家对中标单位征收的各种税费等所有一切费用，综合单价今后将不作任何调整。投标人应当保持单项价格的合理性，严禁出现不平衡报价的情况，项目采购结束后，采购人有权对各单项价格进行核查，对于严重超过市场价格的单价，将在正式合同中明确：对于认定为不平衡报价的单项，如果发生数量变动，将按照有利于招标人的单价进行认价。</w:t>
      </w:r>
    </w:p>
    <w:p w14:paraId="628B3AB7">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技术要求中规定的安装、调试和培训费用应包括在投标价格中。投标文件报价为含税价，采购人不再为此次招标支付任何费用。</w:t>
      </w:r>
    </w:p>
    <w:p w14:paraId="700281EA">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22.</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投标报价应由法定代表人或被授权人签署</w:t>
      </w:r>
      <w:r>
        <w:rPr>
          <w:rFonts w:hint="eastAsia" w:ascii="宋体" w:hAnsi="宋体" w:cs="宋体"/>
          <w:color w:val="auto"/>
          <w:szCs w:val="21"/>
          <w:highlight w:val="none"/>
        </w:rPr>
        <w:t>。</w:t>
      </w:r>
    </w:p>
    <w:p w14:paraId="43E1B52A">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bCs/>
          <w:color w:val="auto"/>
          <w:szCs w:val="21"/>
          <w:highlight w:val="none"/>
        </w:rPr>
        <w:t>22.</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投标人的报价不得</w:t>
      </w:r>
      <w:r>
        <w:rPr>
          <w:rFonts w:hint="eastAsia" w:ascii="宋体" w:hAnsi="宋体" w:cs="宋体"/>
          <w:bCs/>
          <w:color w:val="auto"/>
          <w:szCs w:val="21"/>
          <w:highlight w:val="none"/>
          <w:lang w:val="en-US" w:eastAsia="zh-CN"/>
        </w:rPr>
        <w:t>高于最高限价</w:t>
      </w:r>
      <w:r>
        <w:rPr>
          <w:rFonts w:hint="eastAsia" w:ascii="宋体" w:hAnsi="宋体" w:cs="宋体"/>
          <w:b/>
          <w:color w:val="auto"/>
          <w:szCs w:val="21"/>
          <w:highlight w:val="none"/>
        </w:rPr>
        <w:t>，</w:t>
      </w:r>
      <w:r>
        <w:rPr>
          <w:rFonts w:hint="eastAsia" w:ascii="宋体" w:hAnsi="宋体" w:cs="宋体"/>
          <w:b/>
          <w:bCs/>
          <w:color w:val="auto"/>
          <w:szCs w:val="21"/>
          <w:highlight w:val="none"/>
        </w:rPr>
        <w:t>否则将作为无效投标处理。</w:t>
      </w:r>
    </w:p>
    <w:p w14:paraId="3A83D83D">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22.</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如投标文件中未列明全面实现投标货物功能而必须配置的配套或辅助设施及相应技术措施的费用，这些费用将被视为已包含在总投标价中。</w:t>
      </w:r>
    </w:p>
    <w:p w14:paraId="6211134F">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22.</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总投标价中不得包含招标文件要求以外的内容，否则，在评标时不予核减，但在授予合同时，采购人有权将这部分价格从其中标价格中扣除。</w:t>
      </w:r>
    </w:p>
    <w:p w14:paraId="3FB23BBB">
      <w:pPr>
        <w:keepNext w:val="0"/>
        <w:keepLines w:val="0"/>
        <w:widowControl w:val="0"/>
        <w:kinsoku/>
        <w:wordWrap/>
        <w:overflowPunct/>
        <w:topLinePunct w:val="0"/>
        <w:autoSpaceDE/>
        <w:autoSpaceDN/>
        <w:bidi w:val="0"/>
        <w:spacing w:line="500" w:lineRule="exact"/>
        <w:ind w:firstLine="403" w:firstLineChars="192"/>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22.</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总投标价中不得缺漏招标文件所要求的内容，否则，评标时将有效投标中该项内容的最高价计入其评标总价，但在授予合同时，缺漏项目的报价视作已含在其他项目的报价中，这些项目将作为免费赠送而包含在合同内。</w:t>
      </w:r>
    </w:p>
    <w:p w14:paraId="47F3FB4F">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23. 投标有效期</w:t>
      </w:r>
    </w:p>
    <w:p w14:paraId="6F426214">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23.1 除投标人须知前附表另有规定外，投标有效期为90天。</w:t>
      </w:r>
    </w:p>
    <w:p w14:paraId="01E1F048">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23.2在投标有效期内，投标人撤销或修改其投标文件的，应承担招标文件和法律规定的责任。</w:t>
      </w:r>
    </w:p>
    <w:p w14:paraId="3D57D9D3">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23.3</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0A845446">
      <w:pPr>
        <w:keepNext w:val="0"/>
        <w:keepLines w:val="0"/>
        <w:widowControl w:val="0"/>
        <w:kinsoku/>
        <w:wordWrap/>
        <w:overflowPunct/>
        <w:topLinePunct w:val="0"/>
        <w:autoSpaceDE/>
        <w:autoSpaceDN/>
        <w:bidi w:val="0"/>
        <w:spacing w:line="500" w:lineRule="exact"/>
        <w:ind w:firstLine="405" w:firstLineChars="192"/>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24. 投标保证金</w:t>
      </w:r>
    </w:p>
    <w:p w14:paraId="0A9547D9">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47" w:name="_Toc449028870"/>
      <w:r>
        <w:rPr>
          <w:rFonts w:hint="eastAsia" w:ascii="宋体" w:hAnsi="宋体" w:eastAsia="宋体" w:cs="宋体"/>
          <w:color w:val="auto"/>
          <w:szCs w:val="21"/>
          <w:highlight w:val="none"/>
        </w:rPr>
        <w:t>24.1投标人须知前附表规定递交投标保证金的，投标人在递交投标文件的同时，应按投标人须知前附表规定的金额、担保形式和</w:t>
      </w:r>
      <w:r>
        <w:rPr>
          <w:rFonts w:hint="eastAsia" w:ascii="宋体" w:hAnsi="宋体" w:eastAsia="宋体" w:cs="宋体"/>
          <w:color w:val="auto"/>
          <w:szCs w:val="21"/>
          <w:highlight w:val="none"/>
          <w:lang w:val="en-US" w:eastAsia="zh-CN"/>
        </w:rPr>
        <w:t>招标文件</w:t>
      </w:r>
      <w:r>
        <w:rPr>
          <w:rFonts w:hint="eastAsia" w:ascii="宋体" w:hAnsi="宋体" w:eastAsia="宋体" w:cs="宋体"/>
          <w:color w:val="auto"/>
          <w:szCs w:val="21"/>
          <w:highlight w:val="none"/>
        </w:rPr>
        <w:t>规定的或者事先经过招标人认可的保证金格式递交保证金，并作为其投标文件的组成部分。</w:t>
      </w:r>
    </w:p>
    <w:p w14:paraId="1A3C9C75">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无论采取何种形式的投标保证金，投标保证金有效期均应与投标有效期一致（采用投标电子保函的保证期截止时间不得早于该项目投标有效期的截止时间）。招标人如果按本章第</w:t>
      </w:r>
      <w:r>
        <w:rPr>
          <w:rFonts w:hint="eastAsia" w:ascii="宋体" w:hAnsi="宋体" w:eastAsia="宋体" w:cs="宋体"/>
          <w:color w:val="auto"/>
          <w:szCs w:val="21"/>
          <w:highlight w:val="none"/>
          <w:lang w:val="en-US" w:eastAsia="zh-CN"/>
        </w:rPr>
        <w:t>23.3</w:t>
      </w:r>
      <w:r>
        <w:rPr>
          <w:rFonts w:hint="eastAsia" w:ascii="宋体" w:hAnsi="宋体" w:eastAsia="宋体" w:cs="宋体"/>
          <w:color w:val="auto"/>
          <w:szCs w:val="21"/>
          <w:highlight w:val="none"/>
        </w:rPr>
        <w:t>项的规定延长了投标有效期，则投标保证金的有效期也相应延长。</w:t>
      </w:r>
    </w:p>
    <w:p w14:paraId="5162EA67">
      <w:pPr>
        <w:keepNext w:val="0"/>
        <w:keepLines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24.2</w:t>
      </w:r>
      <w:r>
        <w:rPr>
          <w:rFonts w:hint="eastAsia" w:ascii="宋体" w:hAnsi="宋体" w:eastAsia="宋体" w:cs="宋体"/>
          <w:color w:val="auto"/>
          <w:szCs w:val="21"/>
          <w:highlight w:val="none"/>
        </w:rPr>
        <w:t>投标人不按本章第</w:t>
      </w:r>
      <w:r>
        <w:rPr>
          <w:rFonts w:hint="eastAsia" w:ascii="宋体" w:hAnsi="宋体" w:eastAsia="宋体" w:cs="宋体"/>
          <w:color w:val="auto"/>
          <w:szCs w:val="21"/>
          <w:highlight w:val="none"/>
          <w:lang w:val="en-US" w:eastAsia="zh-CN"/>
        </w:rPr>
        <w:t>24.1</w:t>
      </w:r>
      <w:r>
        <w:rPr>
          <w:rFonts w:hint="eastAsia" w:ascii="宋体" w:hAnsi="宋体" w:eastAsia="宋体" w:cs="宋体"/>
          <w:color w:val="auto"/>
          <w:szCs w:val="21"/>
          <w:highlight w:val="none"/>
        </w:rPr>
        <w:t>项要求提交投标保证金的，评标委员会将否决其投标。</w:t>
      </w:r>
    </w:p>
    <w:p w14:paraId="144F8758">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24.4有下列情形之一的，投标保证金将不予退还： </w:t>
      </w:r>
    </w:p>
    <w:p w14:paraId="2BA2D500">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（1）投标截止后投标人撤销投标文件的；</w:t>
      </w:r>
    </w:p>
    <w:p w14:paraId="3CD75BF7">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（2）中标人无正当理由不与招标人订立合同，在签订合同时向招标人提出附加条件，或者不按照招标文件要求提交履约保证金的。</w:t>
      </w:r>
    </w:p>
    <w:p w14:paraId="47FA373B">
      <w:pPr>
        <w:keepNext w:val="0"/>
        <w:keepLines w:val="0"/>
        <w:widowControl w:val="0"/>
        <w:kinsoku/>
        <w:wordWrap/>
        <w:overflowPunct/>
        <w:topLinePunct w:val="0"/>
        <w:autoSpaceDE/>
        <w:autoSpaceDN/>
        <w:bidi w:val="0"/>
        <w:spacing w:before="156" w:beforeLines="50" w:after="156" w:afterLines="50" w:line="500" w:lineRule="exact"/>
        <w:jc w:val="center"/>
        <w:textAlignment w:val="auto"/>
        <w:rPr>
          <w:rFonts w:hint="eastAsia" w:ascii="宋体" w:hAnsi="宋体" w:cs="宋体"/>
          <w:b/>
          <w:color w:val="auto"/>
          <w:sz w:val="28"/>
          <w:szCs w:val="28"/>
          <w:highlight w:val="none"/>
        </w:rPr>
      </w:pPr>
      <w:r>
        <w:rPr>
          <w:rFonts w:hint="eastAsia" w:ascii="宋体" w:hAnsi="宋体" w:cs="宋体"/>
          <w:b/>
          <w:color w:val="auto"/>
          <w:sz w:val="28"/>
          <w:szCs w:val="28"/>
          <w:highlight w:val="none"/>
        </w:rPr>
        <w:t>（四）投标文件的递交</w:t>
      </w:r>
      <w:bookmarkEnd w:id="47"/>
    </w:p>
    <w:p w14:paraId="308EECC9">
      <w:pPr>
        <w:keepNext w:val="0"/>
        <w:keepLines w:val="0"/>
        <w:widowControl w:val="0"/>
        <w:kinsoku/>
        <w:wordWrap/>
        <w:overflowPunct/>
        <w:topLinePunct w:val="0"/>
        <w:autoSpaceDE/>
        <w:autoSpaceDN/>
        <w:bidi w:val="0"/>
        <w:spacing w:line="500" w:lineRule="exact"/>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 xml:space="preserve">   25. 投标文件的份数和签署</w:t>
      </w:r>
    </w:p>
    <w:p w14:paraId="35CE0152">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bookmarkStart w:id="48" w:name="_Toc449028871"/>
      <w:r>
        <w:rPr>
          <w:rFonts w:hint="eastAsia" w:ascii="宋体" w:hAnsi="宋体" w:cs="宋体"/>
          <w:color w:val="auto"/>
          <w:szCs w:val="21"/>
          <w:highlight w:val="none"/>
        </w:rPr>
        <w:t>25.1投标人中标后须递交与网上电子投标文件完全一致的纸质版和电子版投标文件，在领取中标通知书时，一并递交给招标代理机构。</w:t>
      </w:r>
    </w:p>
    <w:p w14:paraId="53E28C38">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25.2电子投标文件须按格式文件要求签字或盖章（电子签章），否则经评委会一致认定后, 按照无效投标处理。</w:t>
      </w:r>
    </w:p>
    <w:p w14:paraId="1E2DE4C5">
      <w:pPr>
        <w:keepNext w:val="0"/>
        <w:keepLines w:val="0"/>
        <w:widowControl w:val="0"/>
        <w:kinsoku/>
        <w:wordWrap/>
        <w:overflowPunct/>
        <w:topLinePunct w:val="0"/>
        <w:autoSpaceDE/>
        <w:autoSpaceDN/>
        <w:bidi w:val="0"/>
        <w:spacing w:line="500" w:lineRule="exact"/>
        <w:ind w:firstLine="312" w:firstLineChars="148"/>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26. 投标文件的提交</w:t>
      </w:r>
    </w:p>
    <w:p w14:paraId="55592A55">
      <w:pPr>
        <w:keepNext w:val="0"/>
        <w:keepLines w:val="0"/>
        <w:widowControl w:val="0"/>
        <w:kinsoku/>
        <w:wordWrap/>
        <w:overflowPunct/>
        <w:topLinePunct w:val="0"/>
        <w:autoSpaceDE/>
        <w:autoSpaceDN/>
        <w:bidi w:val="0"/>
        <w:spacing w:line="500" w:lineRule="exact"/>
        <w:ind w:firstLine="310" w:firstLineChars="148"/>
        <w:jc w:val="left"/>
        <w:textAlignment w:val="auto"/>
        <w:rPr>
          <w:rFonts w:hint="eastAsia" w:ascii="宋体" w:hAnsi="宋体" w:cs="宋体"/>
          <w:b/>
          <w:color w:val="auto"/>
          <w:szCs w:val="21"/>
          <w:highlight w:val="none"/>
        </w:rPr>
      </w:pPr>
      <w:r>
        <w:rPr>
          <w:rFonts w:hint="eastAsia" w:ascii="宋体" w:hAnsi="宋体" w:cs="宋体"/>
          <w:color w:val="auto"/>
          <w:szCs w:val="21"/>
          <w:highlight w:val="none"/>
        </w:rPr>
        <w:t>26.1投标人应在投标人须知前附表规定的投标截止时间前在网上递交投标文件。未在开标截止时间前通过网上招标投标系统递交有效电子投标文件的，开标系统不予接收，投标将被拒绝。</w:t>
      </w:r>
    </w:p>
    <w:p w14:paraId="1EA5C20E">
      <w:pPr>
        <w:keepNext w:val="0"/>
        <w:keepLines w:val="0"/>
        <w:widowControl w:val="0"/>
        <w:kinsoku/>
        <w:wordWrap/>
        <w:overflowPunct/>
        <w:topLinePunct w:val="0"/>
        <w:autoSpaceDE/>
        <w:autoSpaceDN/>
        <w:bidi w:val="0"/>
        <w:spacing w:line="500" w:lineRule="exact"/>
        <w:ind w:firstLine="314" w:firstLineChars="149"/>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27．投标文件的修改与撤回</w:t>
      </w:r>
    </w:p>
    <w:p w14:paraId="3B423365">
      <w:pPr>
        <w:keepNext w:val="0"/>
        <w:keepLines w:val="0"/>
        <w:widowControl w:val="0"/>
        <w:kinsoku/>
        <w:wordWrap/>
        <w:overflowPunct/>
        <w:topLinePunct w:val="0"/>
        <w:autoSpaceDE/>
        <w:autoSpaceDN/>
        <w:bidi w:val="0"/>
        <w:spacing w:line="500" w:lineRule="exact"/>
        <w:ind w:firstLine="310" w:firstLineChars="148"/>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27.1采用网上招投标的，在规定的投标截止时间前，投标人可以自行从网上招投标系统撤回已递交的投标文件，并可修改后重新上传，开标时以投标截止时间前投标人最终上传的投标文件为准。</w:t>
      </w:r>
    </w:p>
    <w:p w14:paraId="4AEBA7E0">
      <w:pPr>
        <w:keepNext w:val="0"/>
        <w:keepLines w:val="0"/>
        <w:widowControl w:val="0"/>
        <w:kinsoku/>
        <w:wordWrap/>
        <w:overflowPunct/>
        <w:topLinePunct w:val="0"/>
        <w:autoSpaceDE/>
        <w:autoSpaceDN/>
        <w:bidi w:val="0"/>
        <w:spacing w:line="500" w:lineRule="exact"/>
        <w:ind w:firstLine="421"/>
        <w:jc w:val="left"/>
        <w:textAlignment w:val="auto"/>
        <w:rPr>
          <w:rFonts w:hint="eastAsia" w:ascii="宋体"/>
          <w:b/>
          <w:color w:val="auto"/>
          <w:szCs w:val="21"/>
          <w:highlight w:val="none"/>
        </w:rPr>
      </w:pPr>
      <w:r>
        <w:rPr>
          <w:rFonts w:hint="eastAsia" w:ascii="宋体"/>
          <w:b/>
          <w:color w:val="auto"/>
          <w:szCs w:val="21"/>
          <w:highlight w:val="none"/>
        </w:rPr>
        <w:t>28.偏离</w:t>
      </w:r>
    </w:p>
    <w:p w14:paraId="38FA224B">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28.1投标文件偏离招标文件某些要求，视为投标文件存在偏差。偏差包括重大偏差和细微偏差。</w:t>
      </w:r>
    </w:p>
    <w:p w14:paraId="0C38DFF9">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28.1.1投标文件应对招标文件的实质性要求和条件作出满足性或更有利于招标人的响应，否则，视为投标文件存在重大偏差，投标人的投标将被否决。</w:t>
      </w:r>
    </w:p>
    <w:p w14:paraId="6315AE28">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投标文件存在第三章“评标办法”中所列任一无效投标情形的，均属于存在重大偏差。</w:t>
      </w:r>
    </w:p>
    <w:p w14:paraId="31F8DC66">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28.1.2投标文件中的下列偏差为细微偏差：</w:t>
      </w:r>
    </w:p>
    <w:p w14:paraId="13ECBB5F">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在按照第四章“评标办法”的规定对投标价进行算术性错误修正及其他错误修正后，最终投标报价未超过最高投标限价（如有）或未被否决投标的情况下，出现第四章“评标办法”规定的算术性错误和投标报价的其他错误；</w:t>
      </w:r>
    </w:p>
    <w:p w14:paraId="109B37EB">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（2）投标文件个别文字有遗漏错误等不影响投标文件实质性内容的偏差。</w:t>
      </w:r>
    </w:p>
    <w:p w14:paraId="162DFB5D">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28.1.3评标委员会对投标文件中的细微偏差按如下规定处理：</w:t>
      </w:r>
    </w:p>
    <w:p w14:paraId="270475BE">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对于本章第28.1.2 项（1）目所述的细微偏差，按照第四章“评标办法”的规定予以修正并要求投标人进行澄清；</w:t>
      </w:r>
    </w:p>
    <w:p w14:paraId="47B91DDB">
      <w:pPr>
        <w:keepNext w:val="0"/>
        <w:keepLines w:val="0"/>
        <w:widowControl w:val="0"/>
        <w:kinsoku/>
        <w:wordWrap/>
        <w:overflowPunct/>
        <w:topLinePunct w:val="0"/>
        <w:autoSpaceDE/>
        <w:autoSpaceDN/>
        <w:bidi w:val="0"/>
        <w:spacing w:before="156" w:beforeLines="50" w:after="156" w:afterLines="50" w:line="500" w:lineRule="exact"/>
        <w:ind w:firstLine="420" w:firstLineChars="200"/>
        <w:textAlignment w:val="auto"/>
        <w:rPr>
          <w:rFonts w:hint="eastAsia" w:ascii="宋体" w:hAnsi="宋体" w:cs="宋体"/>
          <w:b/>
          <w:color w:val="auto"/>
          <w:sz w:val="28"/>
          <w:szCs w:val="28"/>
          <w:highlight w:val="none"/>
        </w:rPr>
      </w:pPr>
      <w:r>
        <w:rPr>
          <w:rFonts w:hint="eastAsia" w:ascii="宋体" w:hAnsi="宋体" w:cs="宋体"/>
          <w:color w:val="auto"/>
          <w:szCs w:val="21"/>
          <w:highlight w:val="none"/>
        </w:rPr>
        <w:t>对于本章第28.1.2 项（2）目所述的细微偏差，可要求投标人对细微偏差进行澄清。</w:t>
      </w:r>
    </w:p>
    <w:p w14:paraId="4F920611">
      <w:pPr>
        <w:keepNext w:val="0"/>
        <w:keepLines w:val="0"/>
        <w:widowControl w:val="0"/>
        <w:kinsoku/>
        <w:wordWrap/>
        <w:overflowPunct/>
        <w:topLinePunct w:val="0"/>
        <w:autoSpaceDE/>
        <w:autoSpaceDN/>
        <w:bidi w:val="0"/>
        <w:spacing w:before="156" w:beforeLines="50" w:after="156" w:afterLines="50" w:line="500" w:lineRule="exact"/>
        <w:jc w:val="center"/>
        <w:textAlignment w:val="auto"/>
        <w:rPr>
          <w:rFonts w:hint="eastAsia" w:ascii="宋体" w:hAnsi="宋体" w:cs="宋体"/>
          <w:b/>
          <w:color w:val="auto"/>
          <w:sz w:val="28"/>
          <w:szCs w:val="28"/>
          <w:highlight w:val="none"/>
        </w:rPr>
      </w:pPr>
      <w:r>
        <w:rPr>
          <w:rFonts w:hint="eastAsia" w:ascii="宋体" w:hAnsi="宋体" w:cs="宋体"/>
          <w:b/>
          <w:color w:val="auto"/>
          <w:sz w:val="28"/>
          <w:szCs w:val="28"/>
          <w:highlight w:val="none"/>
        </w:rPr>
        <w:t>（五）开标、评标和定标</w:t>
      </w:r>
      <w:bookmarkEnd w:id="48"/>
    </w:p>
    <w:p w14:paraId="2AB5941A">
      <w:pPr>
        <w:keepNext w:val="0"/>
        <w:keepLines w:val="0"/>
        <w:widowControl w:val="0"/>
        <w:kinsoku/>
        <w:wordWrap/>
        <w:overflowPunct/>
        <w:topLinePunct w:val="0"/>
        <w:autoSpaceDE/>
        <w:autoSpaceDN/>
        <w:bidi w:val="0"/>
        <w:spacing w:line="500" w:lineRule="exact"/>
        <w:ind w:firstLine="421"/>
        <w:jc w:val="left"/>
        <w:textAlignment w:val="auto"/>
        <w:rPr>
          <w:rFonts w:hint="eastAsia" w:ascii="宋体"/>
          <w:b/>
          <w:color w:val="auto"/>
          <w:szCs w:val="21"/>
          <w:highlight w:val="none"/>
        </w:rPr>
      </w:pPr>
      <w:r>
        <w:rPr>
          <w:rFonts w:hint="eastAsia" w:ascii="宋体"/>
          <w:b/>
          <w:color w:val="auto"/>
          <w:szCs w:val="21"/>
          <w:highlight w:val="none"/>
        </w:rPr>
        <w:t>29. 开标</w:t>
      </w:r>
    </w:p>
    <w:p w14:paraId="0BDA0B2F">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29.1 开标的时间和地点</w:t>
      </w:r>
    </w:p>
    <w:p w14:paraId="049DE124">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29.1.1招标人</w:t>
      </w:r>
      <w:r>
        <w:rPr>
          <w:rFonts w:hint="eastAsia" w:ascii="宋体"/>
          <w:color w:val="auto"/>
          <w:szCs w:val="21"/>
          <w:highlight w:val="none"/>
        </w:rPr>
        <w:t>按招标公告中的开标时间和地点公开开标，并邀请所有投标人参加。</w:t>
      </w:r>
    </w:p>
    <w:p w14:paraId="13D649EF">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29.2 参与开标的监督部门</w:t>
      </w:r>
    </w:p>
    <w:p w14:paraId="146C0618">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29.2.1招标人可以邀请相关监管部门参加。</w:t>
      </w:r>
    </w:p>
    <w:p w14:paraId="179CE005">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29.3开标程序</w:t>
      </w:r>
    </w:p>
    <w:p w14:paraId="09217A80">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开标会议由采购代理机构主持。</w:t>
      </w:r>
    </w:p>
    <w:p w14:paraId="2BB28039">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（1）宣布开标纪律；</w:t>
      </w:r>
    </w:p>
    <w:p w14:paraId="0114DF5D">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（2）宣布招标人、代理机构主持人等有关人员姓名；</w:t>
      </w:r>
    </w:p>
    <w:p w14:paraId="7F5F65B0">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（3）公布投标截止时间前，系统递交加密投标文件的投标人名称情况等； </w:t>
      </w:r>
    </w:p>
    <w:p w14:paraId="6FB21991">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（4）投标人在投标截止时间后，规定时间内完成投标文件解密工作；</w:t>
      </w:r>
    </w:p>
    <w:p w14:paraId="6B686686">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（5）公布投标人投标报价、质量目标、工期及其他内容，并记录在案；</w:t>
      </w:r>
    </w:p>
    <w:p w14:paraId="6B182CC5">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（6）开标结束。多标段项目按照标段顺序按以上程序依次开标。</w:t>
      </w:r>
    </w:p>
    <w:p w14:paraId="5268268F">
      <w:pPr>
        <w:keepNext w:val="0"/>
        <w:keepLines w:val="0"/>
        <w:widowControl w:val="0"/>
        <w:kinsoku/>
        <w:wordWrap/>
        <w:overflowPunct/>
        <w:topLinePunct w:val="0"/>
        <w:autoSpaceDE/>
        <w:autoSpaceDN/>
        <w:bidi w:val="0"/>
        <w:spacing w:line="500" w:lineRule="exact"/>
        <w:ind w:right="-155" w:rightChars="-74" w:firstLine="420" w:firstLineChars="200"/>
        <w:jc w:val="left"/>
        <w:textAlignment w:val="auto"/>
        <w:rPr>
          <w:rFonts w:hint="eastAsia" w:ascii="宋体"/>
          <w:color w:val="auto"/>
          <w:szCs w:val="21"/>
          <w:highlight w:val="none"/>
        </w:rPr>
      </w:pPr>
      <w:r>
        <w:rPr>
          <w:rFonts w:hint="eastAsia" w:ascii="宋体"/>
          <w:color w:val="auto"/>
          <w:szCs w:val="21"/>
          <w:highlight w:val="none"/>
        </w:rPr>
        <w:t>29.4开标异议</w:t>
      </w:r>
    </w:p>
    <w:p w14:paraId="4E2E2C31">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投标人对开标有异议的，应当在开标现场提出，招标人当场作出答复，并制作记录。异议与答复应通过电子交易系统进行。</w:t>
      </w:r>
    </w:p>
    <w:p w14:paraId="03A0D5DB">
      <w:pPr>
        <w:keepNext w:val="0"/>
        <w:keepLines w:val="0"/>
        <w:widowControl w:val="0"/>
        <w:kinsoku/>
        <w:wordWrap/>
        <w:overflowPunct/>
        <w:topLinePunct w:val="0"/>
        <w:autoSpaceDE/>
        <w:autoSpaceDN/>
        <w:bidi w:val="0"/>
        <w:spacing w:line="500" w:lineRule="exact"/>
        <w:ind w:firstLine="421"/>
        <w:jc w:val="left"/>
        <w:textAlignment w:val="auto"/>
        <w:rPr>
          <w:rFonts w:hint="eastAsia" w:ascii="宋体"/>
          <w:b/>
          <w:color w:val="auto"/>
          <w:szCs w:val="21"/>
          <w:highlight w:val="none"/>
        </w:rPr>
      </w:pPr>
      <w:r>
        <w:rPr>
          <w:rFonts w:hint="eastAsia" w:ascii="宋体"/>
          <w:b/>
          <w:color w:val="auto"/>
          <w:szCs w:val="21"/>
          <w:highlight w:val="none"/>
        </w:rPr>
        <w:t>30.评标委员会</w:t>
      </w:r>
    </w:p>
    <w:p w14:paraId="18A488BB">
      <w:pPr>
        <w:keepNext w:val="0"/>
        <w:keepLines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color w:val="auto"/>
          <w:szCs w:val="21"/>
          <w:highlight w:val="none"/>
        </w:rPr>
        <w:t>30.1</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581B24F1">
      <w:pPr>
        <w:keepNext w:val="0"/>
        <w:keepLines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30</w:t>
      </w:r>
      <w:r>
        <w:rPr>
          <w:rFonts w:ascii="宋体" w:hAnsi="宋体" w:cs="宋体"/>
          <w:color w:val="auto"/>
          <w:szCs w:val="21"/>
          <w:highlight w:val="none"/>
        </w:rPr>
        <w:t>.2</w:t>
      </w:r>
      <w:r>
        <w:rPr>
          <w:rFonts w:hint="eastAsia" w:ascii="宋体" w:hAnsi="宋体" w:cs="宋体"/>
          <w:color w:val="auto"/>
          <w:szCs w:val="21"/>
          <w:highlight w:val="none"/>
        </w:rPr>
        <w:t>评标委员会成员有下列情形之一的，应当回避：</w:t>
      </w:r>
    </w:p>
    <w:p w14:paraId="41C3FA23">
      <w:pPr>
        <w:keepNext w:val="0"/>
        <w:keepLines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6949AA2E">
      <w:pPr>
        <w:keepNext w:val="0"/>
        <w:keepLines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38F5E75B">
      <w:pPr>
        <w:keepNext w:val="0"/>
        <w:keepLines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4BF55E74">
      <w:pPr>
        <w:keepNext w:val="0"/>
        <w:keepLines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5AEA5294">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（5）存在其他法定回避情形的。</w:t>
      </w:r>
    </w:p>
    <w:p w14:paraId="5B0AA388">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项目实施主体及其子公司、下属单位、上级主管部门或者控股公司的工作人员或者退休人员不得以专家身份参与本单位或者代理项目的评标评审。 </w:t>
      </w:r>
    </w:p>
    <w:p w14:paraId="3F4F49D3">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评标委员会或评审机构成员有前两款规定情形的，应当主动提出回避；已经进入的应当更换，被更换的成员评标评审意见无效。 </w:t>
      </w:r>
    </w:p>
    <w:p w14:paraId="5549DE9D">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30.3评标过程中，评标委员会成员有回避事由、擅离职守或因健康等原因不能继续评标的， 招标人有权更换。被更换的评标委员会成员作出的评审结论无效，由更换后的评标委员会成员重新进行评审。</w:t>
      </w:r>
    </w:p>
    <w:p w14:paraId="5382954D">
      <w:pPr>
        <w:keepNext w:val="0"/>
        <w:keepLines w:val="0"/>
        <w:widowControl w:val="0"/>
        <w:kinsoku/>
        <w:wordWrap/>
        <w:overflowPunct/>
        <w:topLinePunct w:val="0"/>
        <w:autoSpaceDE/>
        <w:autoSpaceDN/>
        <w:bidi w:val="0"/>
        <w:spacing w:line="500" w:lineRule="exact"/>
        <w:ind w:firstLine="421"/>
        <w:jc w:val="left"/>
        <w:textAlignment w:val="auto"/>
        <w:rPr>
          <w:rFonts w:hint="eastAsia" w:ascii="宋体"/>
          <w:b/>
          <w:color w:val="auto"/>
          <w:szCs w:val="21"/>
          <w:highlight w:val="none"/>
        </w:rPr>
      </w:pPr>
      <w:r>
        <w:rPr>
          <w:rFonts w:hint="eastAsia" w:ascii="宋体"/>
          <w:b/>
          <w:color w:val="auto"/>
          <w:szCs w:val="21"/>
          <w:highlight w:val="none"/>
        </w:rPr>
        <w:t>31.评标</w:t>
      </w:r>
    </w:p>
    <w:p w14:paraId="2E70D71A">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31.1评标委员会按照第三章“评标办法”规定的方法、评审因素、标准和程序对投标文件进行评审。第三章“评标办法”没有规定的方法、评审因素和标准，不作为评标依据。</w:t>
      </w:r>
    </w:p>
    <w:p w14:paraId="61EB956E">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bookmarkStart w:id="49" w:name="_Toc449028873"/>
      <w:r>
        <w:rPr>
          <w:rFonts w:hint="eastAsia" w:ascii="宋体" w:hAnsi="宋体" w:cs="宋体"/>
          <w:color w:val="auto"/>
          <w:szCs w:val="21"/>
          <w:highlight w:val="none"/>
        </w:rPr>
        <w:t>31.2评标完成后，评标委员会应向招标人提交书面评标报告和中标候选人名单。评标委员会推荐中标候选人的人数见投标人须知前附表。</w:t>
      </w:r>
    </w:p>
    <w:p w14:paraId="4A67A798">
      <w:pPr>
        <w:keepNext w:val="0"/>
        <w:keepLines w:val="0"/>
        <w:widowControl w:val="0"/>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31.3评标原则：遵循公平、公正、科学和择优的原则。</w:t>
      </w:r>
    </w:p>
    <w:p w14:paraId="26F17486">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31.4投标文件的澄清</w:t>
      </w:r>
    </w:p>
    <w:p w14:paraId="1BAE8759">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31.4.1在评标过程中，评标委员会认为需要，在</w:t>
      </w:r>
      <w:r>
        <w:rPr>
          <w:rFonts w:hint="eastAsia" w:ascii="宋体"/>
          <w:color w:val="auto"/>
          <w:szCs w:val="21"/>
          <w:highlight w:val="none"/>
          <w:lang w:val="en-US" w:eastAsia="zh-CN"/>
        </w:rPr>
        <w:t>招标人</w:t>
      </w:r>
      <w:r>
        <w:rPr>
          <w:rFonts w:hint="eastAsia" w:ascii="宋体"/>
          <w:color w:val="auto"/>
          <w:szCs w:val="21"/>
          <w:highlight w:val="none"/>
        </w:rPr>
        <w:t>监督下，可要求投标人对投标文件中的有关问题进行澄清或提供补充说明及有关资料，投标人应做出书面答复。</w:t>
      </w:r>
    </w:p>
    <w:p w14:paraId="165DFD65">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31.4.2书面答复须经投标人法定代表人或其委托代理人签字或盖章，签字或盖章的书面答复将被视为投标文件的组成部分。</w:t>
      </w:r>
    </w:p>
    <w:p w14:paraId="6CAF4E05">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31.5报价合理性的判断</w:t>
      </w:r>
    </w:p>
    <w:p w14:paraId="2DA2CFD7">
      <w:pPr>
        <w:keepNext w:val="0"/>
        <w:keepLines w:val="0"/>
        <w:widowControl w:val="0"/>
        <w:kinsoku/>
        <w:wordWrap/>
        <w:overflowPunct/>
        <w:topLinePunct w:val="0"/>
        <w:autoSpaceDE/>
        <w:autoSpaceDN/>
        <w:bidi w:val="0"/>
        <w:spacing w:line="500" w:lineRule="exact"/>
        <w:ind w:firstLine="422" w:firstLineChars="200"/>
        <w:jc w:val="left"/>
        <w:textAlignment w:val="auto"/>
        <w:rPr>
          <w:rFonts w:hint="eastAsia" w:ascii="宋体" w:hAnsi="宋体"/>
          <w:b/>
          <w:bCs/>
          <w:color w:val="auto"/>
          <w:szCs w:val="21"/>
          <w:highlight w:val="none"/>
        </w:rPr>
      </w:pPr>
      <w:r>
        <w:rPr>
          <w:rFonts w:hint="eastAsia" w:ascii="宋体" w:hAnsi="宋体"/>
          <w:b/>
          <w:bCs/>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8F4DC66">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31.6评审意见分歧的处理办法</w:t>
      </w:r>
    </w:p>
    <w:p w14:paraId="02B40815">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（1）评标委员会应当对投标人提供的报告、证明材料及详细说明认真研究。对存在意见分歧的，可采用投票方式表决决定（按多数评委意见为准）；</w:t>
      </w:r>
    </w:p>
    <w:p w14:paraId="20DCD1E3">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31.7评标报告的签署</w:t>
      </w:r>
    </w:p>
    <w:p w14:paraId="6DA4A811">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31.7.1评标委员会应当编制书面评标报告,所有成员应签字确认。对评标结论持有异议的评标委员会成员可以书面方式阐述其不同意见和理由。评标委员会成员拒绝在评标报告上签字且不陈述其不同意见和理由的，视为同意评标结论。</w:t>
      </w:r>
    </w:p>
    <w:p w14:paraId="054F7FE7">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31.8评标过程的保密</w:t>
      </w:r>
    </w:p>
    <w:p w14:paraId="43F76A1B">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评标委员会成员和与评标活动有关的工作人员不得透露对投标文件的评审和比较、中标人的推荐情况以及与评标有关的其他情况。</w:t>
      </w:r>
    </w:p>
    <w:p w14:paraId="478A8E4A">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31.9评标结果公告</w:t>
      </w:r>
    </w:p>
    <w:p w14:paraId="7C4947FF">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color w:val="auto"/>
          <w:highlight w:val="none"/>
        </w:rPr>
      </w:pPr>
      <w:r>
        <w:rPr>
          <w:rFonts w:hint="eastAsia" w:ascii="宋体"/>
          <w:color w:val="auto"/>
          <w:szCs w:val="21"/>
          <w:highlight w:val="none"/>
        </w:rPr>
        <w:t>招标人应将中标人的情况在</w:t>
      </w:r>
      <w:r>
        <w:rPr>
          <w:rFonts w:hint="eastAsia" w:ascii="宋体"/>
          <w:color w:val="auto"/>
          <w:szCs w:val="21"/>
          <w:highlight w:val="none"/>
          <w:lang w:eastAsia="zh-CN"/>
        </w:rPr>
        <w:t>滁州市兴滁矿业投资集团有限公司（http://www.xckytz.com/）</w:t>
      </w:r>
      <w:r>
        <w:rPr>
          <w:rFonts w:hint="eastAsia" w:ascii="宋体"/>
          <w:color w:val="auto"/>
          <w:szCs w:val="21"/>
          <w:highlight w:val="none"/>
        </w:rPr>
        <w:t>、滁州市城投工程咨询管理有限公司网站（https://www.czctgczx.com/）上予以公告，公告期为3日。</w:t>
      </w:r>
    </w:p>
    <w:p w14:paraId="76B128E7">
      <w:pPr>
        <w:keepNext w:val="0"/>
        <w:keepLines w:val="0"/>
        <w:widowControl w:val="0"/>
        <w:kinsoku/>
        <w:wordWrap/>
        <w:overflowPunct/>
        <w:topLinePunct w:val="0"/>
        <w:autoSpaceDE/>
        <w:autoSpaceDN/>
        <w:bidi w:val="0"/>
        <w:spacing w:line="500" w:lineRule="exact"/>
        <w:ind w:firstLine="421"/>
        <w:jc w:val="left"/>
        <w:textAlignment w:val="auto"/>
        <w:rPr>
          <w:rFonts w:hint="eastAsia" w:ascii="宋体"/>
          <w:b/>
          <w:color w:val="auto"/>
          <w:szCs w:val="21"/>
          <w:highlight w:val="none"/>
        </w:rPr>
      </w:pPr>
      <w:r>
        <w:rPr>
          <w:rFonts w:hint="eastAsia" w:ascii="宋体"/>
          <w:b/>
          <w:color w:val="auto"/>
          <w:szCs w:val="21"/>
          <w:highlight w:val="none"/>
        </w:rPr>
        <w:t>32.定标</w:t>
      </w:r>
    </w:p>
    <w:p w14:paraId="2C160958">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32.1中标人的确定</w:t>
      </w:r>
    </w:p>
    <w:p w14:paraId="6C4A750C">
      <w:pPr>
        <w:keepNext w:val="0"/>
        <w:keepLines w:val="0"/>
        <w:pageBreakBefore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32.1.1招标人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529012A8">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32.1.2中标人确定后，招标人应将中标信息在</w:t>
      </w:r>
      <w:r>
        <w:rPr>
          <w:rFonts w:hint="eastAsia" w:ascii="宋体"/>
          <w:color w:val="auto"/>
          <w:szCs w:val="21"/>
          <w:highlight w:val="none"/>
          <w:lang w:eastAsia="zh-CN"/>
        </w:rPr>
        <w:t>滁州市兴滁矿业投资集团有限公司（http://www.xckytz.com/）</w:t>
      </w:r>
      <w:r>
        <w:rPr>
          <w:rFonts w:hint="eastAsia" w:ascii="宋体"/>
          <w:color w:val="auto"/>
          <w:szCs w:val="21"/>
          <w:highlight w:val="none"/>
        </w:rPr>
        <w:t>、滁州市城投工程咨询管理有限公司网站（https://www.czctgczx.com/）上公告。</w:t>
      </w:r>
    </w:p>
    <w:p w14:paraId="17E0A064">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32.2 中标通知书</w:t>
      </w:r>
    </w:p>
    <w:p w14:paraId="6D7C16AF">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32.2.1招标人或代理机构应在中标人确定之日起2个工作日内，在</w:t>
      </w:r>
      <w:r>
        <w:rPr>
          <w:rFonts w:hint="eastAsia" w:ascii="宋体"/>
          <w:color w:val="auto"/>
          <w:szCs w:val="21"/>
          <w:highlight w:val="none"/>
          <w:lang w:eastAsia="zh-CN"/>
        </w:rPr>
        <w:t>滁州市兴滁矿业投资集团有限公司（http://www.xckytz.com/）</w:t>
      </w:r>
      <w:r>
        <w:rPr>
          <w:rFonts w:hint="eastAsia" w:ascii="宋体"/>
          <w:color w:val="auto"/>
          <w:szCs w:val="21"/>
          <w:highlight w:val="none"/>
        </w:rPr>
        <w:t>、滁州市城投工程咨询管理有限公司网站（https://www.czctgczx.com/）公告中标结果并同时向中标人发出中标通知书。</w:t>
      </w:r>
    </w:p>
    <w:p w14:paraId="4D3605A2">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32.2.2中标通知书须加盖招标人、代理机构公章后，方可发出。</w:t>
      </w:r>
    </w:p>
    <w:p w14:paraId="00E1F7B2">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32.2.3招标人将在发出中标通知书的同时，向未通过资格审查的投标人告知其未通过的原因。</w:t>
      </w:r>
    </w:p>
    <w:p w14:paraId="7EF77203">
      <w:pPr>
        <w:keepNext w:val="0"/>
        <w:keepLines w:val="0"/>
        <w:widowControl w:val="0"/>
        <w:kinsoku/>
        <w:wordWrap/>
        <w:overflowPunct/>
        <w:topLinePunct w:val="0"/>
        <w:autoSpaceDE/>
        <w:autoSpaceDN/>
        <w:bidi w:val="0"/>
        <w:spacing w:line="500" w:lineRule="exact"/>
        <w:ind w:firstLine="421"/>
        <w:jc w:val="left"/>
        <w:textAlignment w:val="auto"/>
        <w:rPr>
          <w:rFonts w:hint="eastAsia" w:ascii="宋体"/>
          <w:b/>
          <w:color w:val="auto"/>
          <w:szCs w:val="21"/>
          <w:highlight w:val="none"/>
        </w:rPr>
      </w:pPr>
      <w:r>
        <w:rPr>
          <w:rFonts w:hint="eastAsia" w:ascii="宋体"/>
          <w:b/>
          <w:color w:val="auto"/>
          <w:szCs w:val="21"/>
          <w:highlight w:val="none"/>
        </w:rPr>
        <w:t>33.开评标异常情况处理</w:t>
      </w:r>
    </w:p>
    <w:p w14:paraId="2FDA2F5C">
      <w:pPr>
        <w:keepNext w:val="0"/>
        <w:keepLines w:val="0"/>
        <w:widowControl w:val="0"/>
        <w:kinsoku/>
        <w:wordWrap/>
        <w:overflowPunct/>
        <w:topLinePunct w:val="0"/>
        <w:autoSpaceDE/>
        <w:autoSpaceDN/>
        <w:bidi w:val="0"/>
        <w:spacing w:line="500" w:lineRule="exact"/>
        <w:ind w:firstLine="421"/>
        <w:jc w:val="left"/>
        <w:textAlignment w:val="auto"/>
        <w:rPr>
          <w:rFonts w:hint="eastAsia" w:ascii="宋体"/>
          <w:b/>
          <w:color w:val="auto"/>
          <w:szCs w:val="21"/>
          <w:highlight w:val="none"/>
        </w:rPr>
      </w:pPr>
      <w:r>
        <w:rPr>
          <w:rFonts w:hint="eastAsia" w:ascii="宋体"/>
          <w:color w:val="auto"/>
          <w:kern w:val="10"/>
          <w:szCs w:val="21"/>
          <w:highlight w:val="none"/>
        </w:rPr>
        <w:t>33.1</w:t>
      </w:r>
      <w:r>
        <w:rPr>
          <w:rFonts w:hint="eastAsia" w:ascii="宋体"/>
          <w:b/>
          <w:color w:val="auto"/>
          <w:szCs w:val="21"/>
          <w:highlight w:val="none"/>
        </w:rPr>
        <w:t xml:space="preserve">重新招标 </w:t>
      </w:r>
    </w:p>
    <w:p w14:paraId="7BD8D08C">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r>
        <w:rPr>
          <w:rFonts w:hint="eastAsia" w:ascii="宋体"/>
          <w:color w:val="auto"/>
          <w:szCs w:val="21"/>
          <w:highlight w:val="none"/>
        </w:rPr>
        <w:t>项目有下列情形之一的，招标人将重新招标：</w:t>
      </w:r>
    </w:p>
    <w:p w14:paraId="660C42D0">
      <w:pPr>
        <w:keepNext w:val="0"/>
        <w:keepLines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color w:val="auto"/>
          <w:kern w:val="10"/>
          <w:szCs w:val="21"/>
          <w:highlight w:val="none"/>
        </w:rPr>
      </w:pPr>
      <w:r>
        <w:rPr>
          <w:rFonts w:hint="eastAsia" w:ascii="宋体"/>
          <w:color w:val="auto"/>
          <w:kern w:val="10"/>
          <w:szCs w:val="21"/>
          <w:highlight w:val="none"/>
        </w:rPr>
        <w:t xml:space="preserve">(1)投标截止时间止，投标人少于三个的； </w:t>
      </w:r>
    </w:p>
    <w:p w14:paraId="5AE8FE98">
      <w:pPr>
        <w:keepNext w:val="0"/>
        <w:keepLines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color w:val="auto"/>
          <w:kern w:val="10"/>
          <w:szCs w:val="21"/>
          <w:highlight w:val="none"/>
        </w:rPr>
      </w:pPr>
      <w:r>
        <w:rPr>
          <w:rFonts w:hint="eastAsia" w:ascii="宋体"/>
          <w:color w:val="auto"/>
          <w:kern w:val="10"/>
          <w:szCs w:val="21"/>
          <w:highlight w:val="none"/>
        </w:rPr>
        <w:t>(2)符合专业条件的供应商或者对招标文件作实质响应的供应商不足三家的；</w:t>
      </w:r>
    </w:p>
    <w:p w14:paraId="453064DB">
      <w:pPr>
        <w:keepNext w:val="0"/>
        <w:keepLines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color w:val="auto"/>
          <w:kern w:val="10"/>
          <w:szCs w:val="21"/>
          <w:highlight w:val="none"/>
        </w:rPr>
      </w:pPr>
      <w:r>
        <w:rPr>
          <w:rFonts w:hint="eastAsia" w:ascii="宋体"/>
          <w:color w:val="auto"/>
          <w:kern w:val="10"/>
          <w:szCs w:val="21"/>
          <w:highlight w:val="none"/>
        </w:rPr>
        <w:t>(3)出现影响招标公正的违法、违规行为的；</w:t>
      </w:r>
    </w:p>
    <w:p w14:paraId="5B711E88">
      <w:pPr>
        <w:keepNext w:val="0"/>
        <w:keepLines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color w:val="auto"/>
          <w:kern w:val="10"/>
          <w:szCs w:val="21"/>
          <w:highlight w:val="none"/>
        </w:rPr>
      </w:pPr>
      <w:r>
        <w:rPr>
          <w:rFonts w:hint="eastAsia" w:ascii="宋体"/>
          <w:color w:val="auto"/>
          <w:kern w:val="10"/>
          <w:szCs w:val="21"/>
          <w:highlight w:val="none"/>
        </w:rPr>
        <w:t>(4)投标人的报价均脱离实际且无充分证据的；</w:t>
      </w:r>
    </w:p>
    <w:p w14:paraId="73CB2A09">
      <w:pPr>
        <w:keepNext w:val="0"/>
        <w:keepLines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color w:val="auto"/>
          <w:kern w:val="10"/>
          <w:szCs w:val="21"/>
          <w:highlight w:val="none"/>
        </w:rPr>
      </w:pPr>
      <w:r>
        <w:rPr>
          <w:rFonts w:hint="eastAsia" w:ascii="宋体"/>
          <w:color w:val="auto"/>
          <w:kern w:val="10"/>
          <w:szCs w:val="21"/>
          <w:highlight w:val="none"/>
        </w:rPr>
        <w:t>(5)技术标暗标项目，所有投标人的技术标均能反映投标人信息的；</w:t>
      </w:r>
    </w:p>
    <w:p w14:paraId="322A9312">
      <w:pPr>
        <w:keepNext w:val="0"/>
        <w:keepLines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color w:val="auto"/>
          <w:kern w:val="10"/>
          <w:szCs w:val="21"/>
          <w:highlight w:val="none"/>
        </w:rPr>
      </w:pPr>
      <w:r>
        <w:rPr>
          <w:rFonts w:hint="eastAsia" w:ascii="宋体"/>
          <w:color w:val="auto"/>
          <w:kern w:val="10"/>
          <w:szCs w:val="21"/>
          <w:highlight w:val="none"/>
        </w:rPr>
        <w:t>(6)因重大变故，采购任务取消的。</w:t>
      </w:r>
    </w:p>
    <w:p w14:paraId="7ED88B95">
      <w:pPr>
        <w:keepNext w:val="0"/>
        <w:keepLines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color w:val="auto"/>
          <w:kern w:val="10"/>
          <w:szCs w:val="21"/>
          <w:highlight w:val="none"/>
        </w:rPr>
      </w:pPr>
      <w:r>
        <w:rPr>
          <w:rFonts w:hint="eastAsia" w:ascii="宋体"/>
          <w:color w:val="auto"/>
          <w:kern w:val="10"/>
          <w:szCs w:val="21"/>
          <w:highlight w:val="none"/>
        </w:rPr>
        <w:t>33.2变更采购方式</w:t>
      </w:r>
    </w:p>
    <w:p w14:paraId="4192E810">
      <w:pPr>
        <w:keepNext w:val="0"/>
        <w:keepLines w:val="0"/>
        <w:widowControl w:val="0"/>
        <w:tabs>
          <w:tab w:val="left" w:pos="720"/>
        </w:tabs>
        <w:kinsoku/>
        <w:wordWrap/>
        <w:overflowPunct/>
        <w:topLinePunct w:val="0"/>
        <w:autoSpaceDE/>
        <w:autoSpaceDN/>
        <w:bidi w:val="0"/>
        <w:spacing w:line="500" w:lineRule="exact"/>
        <w:ind w:firstLine="420" w:firstLineChars="200"/>
        <w:jc w:val="left"/>
        <w:textAlignment w:val="auto"/>
        <w:rPr>
          <w:rFonts w:hint="eastAsia" w:ascii="宋体"/>
          <w:color w:val="auto"/>
          <w:szCs w:val="21"/>
          <w:highlight w:val="none"/>
        </w:rPr>
      </w:pPr>
      <w:bookmarkStart w:id="50" w:name="_Toc449028872"/>
      <w:r>
        <w:rPr>
          <w:rFonts w:hint="eastAsia" w:ascii="宋体"/>
          <w:color w:val="auto"/>
          <w:szCs w:val="21"/>
          <w:highlight w:val="none"/>
        </w:rPr>
        <w:t>按照相关规定执行。</w:t>
      </w:r>
      <w:bookmarkEnd w:id="50"/>
    </w:p>
    <w:p w14:paraId="2A60196A">
      <w:pPr>
        <w:keepNext w:val="0"/>
        <w:keepLines w:val="0"/>
        <w:widowControl w:val="0"/>
        <w:kinsoku/>
        <w:wordWrap/>
        <w:overflowPunct/>
        <w:topLinePunct w:val="0"/>
        <w:autoSpaceDE/>
        <w:autoSpaceDN/>
        <w:bidi w:val="0"/>
        <w:spacing w:line="500" w:lineRule="exact"/>
        <w:jc w:val="center"/>
        <w:textAlignment w:val="auto"/>
        <w:rPr>
          <w:rFonts w:hint="eastAsia" w:ascii="黑体" w:eastAsia="黑体"/>
          <w:color w:val="auto"/>
          <w:sz w:val="24"/>
          <w:highlight w:val="none"/>
        </w:rPr>
      </w:pPr>
      <w:r>
        <w:rPr>
          <w:rFonts w:hint="eastAsia" w:ascii="黑体" w:eastAsia="黑体"/>
          <w:color w:val="auto"/>
          <w:sz w:val="28"/>
          <w:szCs w:val="28"/>
          <w:highlight w:val="none"/>
        </w:rPr>
        <w:t>（六）合同的授予</w:t>
      </w:r>
      <w:bookmarkEnd w:id="49"/>
    </w:p>
    <w:p w14:paraId="1FFF3C66">
      <w:pPr>
        <w:keepNext w:val="0"/>
        <w:keepLines w:val="0"/>
        <w:widowControl w:val="0"/>
        <w:kinsoku/>
        <w:wordWrap/>
        <w:overflowPunct/>
        <w:topLinePunct w:val="0"/>
        <w:autoSpaceDE/>
        <w:autoSpaceDN/>
        <w:bidi w:val="0"/>
        <w:spacing w:line="500" w:lineRule="exact"/>
        <w:ind w:firstLine="521" w:firstLineChars="247"/>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34.合同授予标准</w:t>
      </w:r>
    </w:p>
    <w:p w14:paraId="0A2BDD59">
      <w:pPr>
        <w:keepNext w:val="0"/>
        <w:keepLines w:val="0"/>
        <w:widowControl w:val="0"/>
        <w:kinsoku/>
        <w:wordWrap/>
        <w:overflowPunct/>
        <w:topLinePunct w:val="0"/>
        <w:autoSpaceDE/>
        <w:autoSpaceDN/>
        <w:bidi w:val="0"/>
        <w:spacing w:line="500" w:lineRule="exact"/>
        <w:ind w:firstLine="525" w:firstLineChars="2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34.1本招标项目的合同将授予按本投标须知第32.1.1条规定所确定的中标人。</w:t>
      </w:r>
    </w:p>
    <w:p w14:paraId="0364D53F">
      <w:pPr>
        <w:keepNext w:val="0"/>
        <w:keepLines w:val="0"/>
        <w:widowControl w:val="0"/>
        <w:kinsoku/>
        <w:wordWrap/>
        <w:overflowPunct/>
        <w:topLinePunct w:val="0"/>
        <w:autoSpaceDE/>
        <w:autoSpaceDN/>
        <w:bidi w:val="0"/>
        <w:spacing w:line="500" w:lineRule="exact"/>
        <w:ind w:firstLine="521" w:firstLineChars="247"/>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35.合同协议书的签订</w:t>
      </w:r>
    </w:p>
    <w:p w14:paraId="7FCE9ACE">
      <w:pPr>
        <w:keepNext w:val="0"/>
        <w:keepLines w:val="0"/>
        <w:widowControl w:val="0"/>
        <w:kinsoku/>
        <w:wordWrap/>
        <w:overflowPunct/>
        <w:topLinePunct w:val="0"/>
        <w:autoSpaceDE/>
        <w:autoSpaceDN/>
        <w:bidi w:val="0"/>
        <w:spacing w:line="500" w:lineRule="exact"/>
        <w:ind w:firstLine="525" w:firstLineChars="25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35.1招标人与中标人将于中标通知书发出之日起</w:t>
      </w:r>
      <w:r>
        <w:rPr>
          <w:rFonts w:hint="eastAsia" w:ascii="宋体" w:hAnsi="宋体" w:cs="宋体"/>
          <w:color w:val="auto"/>
          <w:szCs w:val="21"/>
          <w:highlight w:val="none"/>
          <w:lang w:val="en-US" w:eastAsia="zh-CN"/>
        </w:rPr>
        <w:t>5个工作</w:t>
      </w:r>
      <w:r>
        <w:rPr>
          <w:rFonts w:hint="eastAsia" w:ascii="宋体" w:hAnsi="宋体" w:eastAsia="宋体" w:cs="宋体"/>
          <w:color w:val="auto"/>
          <w:szCs w:val="21"/>
          <w:highlight w:val="none"/>
        </w:rPr>
        <w:t>日内，按照招标文件和中标人的投标文件订立书面采购合同。招标人和中标人不得再行订立背离合同实质性内容的其他协议。</w:t>
      </w:r>
    </w:p>
    <w:p w14:paraId="7E56508C">
      <w:pPr>
        <w:keepNext w:val="0"/>
        <w:keepLines w:val="0"/>
        <w:widowControl w:val="0"/>
        <w:kinsoku/>
        <w:wordWrap/>
        <w:overflowPunct/>
        <w:topLinePunct w:val="0"/>
        <w:autoSpaceDE/>
        <w:autoSpaceDN/>
        <w:bidi w:val="0"/>
        <w:spacing w:line="500" w:lineRule="exact"/>
        <w:ind w:firstLine="525" w:firstLineChars="25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35.2</w:t>
      </w:r>
      <w:r>
        <w:rPr>
          <w:rFonts w:hint="eastAsia" w:ascii="宋体" w:hAnsi="宋体" w:eastAsia="宋体" w:cs="宋体"/>
          <w:color w:val="auto"/>
          <w:szCs w:val="21"/>
          <w:highlight w:val="none"/>
        </w:rPr>
        <w:t>发出中标通知书后，招标人无正当理由拒签合同的，招标人向中标人退还投标保证金；给中标人造成损失的，还应当赔偿损失。</w:t>
      </w:r>
    </w:p>
    <w:p w14:paraId="7BE759BB">
      <w:pPr>
        <w:keepNext w:val="0"/>
        <w:keepLines w:val="0"/>
        <w:widowControl w:val="0"/>
        <w:kinsoku/>
        <w:wordWrap/>
        <w:overflowPunct/>
        <w:topLinePunct w:val="0"/>
        <w:autoSpaceDE/>
        <w:autoSpaceDN/>
        <w:bidi w:val="0"/>
        <w:spacing w:line="500" w:lineRule="exact"/>
        <w:ind w:firstLine="525" w:firstLineChars="25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除中标人以外的其他投标人存在串通投标、弄虚作假、行贿情形且在评标过程中未被发现的，视为对中标结果没有造成实质性影响，招标人可以依法继续开展招标活动。</w:t>
      </w:r>
    </w:p>
    <w:p w14:paraId="2A2C97DF">
      <w:pPr>
        <w:keepNext w:val="0"/>
        <w:keepLines w:val="0"/>
        <w:widowControl w:val="0"/>
        <w:kinsoku/>
        <w:wordWrap/>
        <w:overflowPunct/>
        <w:topLinePunct w:val="0"/>
        <w:autoSpaceDE/>
        <w:autoSpaceDN/>
        <w:bidi w:val="0"/>
        <w:spacing w:line="500" w:lineRule="exact"/>
        <w:textAlignment w:val="auto"/>
        <w:rPr>
          <w:rFonts w:hint="eastAsia" w:ascii="宋体" w:hAnsi="宋体" w:cs="宋体"/>
          <w:b/>
          <w:color w:val="auto"/>
          <w:szCs w:val="21"/>
          <w:highlight w:val="none"/>
        </w:rPr>
      </w:pPr>
      <w:r>
        <w:rPr>
          <w:rFonts w:hint="eastAsia" w:ascii="宋体" w:hAnsi="宋体" w:cs="宋体"/>
          <w:color w:val="auto"/>
          <w:szCs w:val="21"/>
          <w:highlight w:val="none"/>
        </w:rPr>
        <w:t xml:space="preserve">    36.</w:t>
      </w:r>
      <w:bookmarkStart w:id="51" w:name="_Toc217446068"/>
      <w:r>
        <w:rPr>
          <w:rFonts w:hint="eastAsia" w:ascii="宋体" w:hAnsi="宋体" w:cs="宋体"/>
          <w:b/>
          <w:color w:val="auto"/>
          <w:szCs w:val="21"/>
          <w:highlight w:val="none"/>
        </w:rPr>
        <w:t>履约</w:t>
      </w:r>
      <w:bookmarkEnd w:id="51"/>
      <w:r>
        <w:rPr>
          <w:rFonts w:hint="eastAsia" w:ascii="宋体" w:hAnsi="宋体" w:cs="宋体"/>
          <w:b/>
          <w:color w:val="auto"/>
          <w:szCs w:val="21"/>
          <w:highlight w:val="none"/>
        </w:rPr>
        <w:t>担保</w:t>
      </w:r>
    </w:p>
    <w:p w14:paraId="1382A7BC">
      <w:pPr>
        <w:keepNext w:val="0"/>
        <w:keepLines w:val="0"/>
        <w:widowControl w:val="0"/>
        <w:kinsoku/>
        <w:wordWrap/>
        <w:overflowPunct/>
        <w:topLinePunct w:val="0"/>
        <w:autoSpaceDE/>
        <w:autoSpaceDN/>
        <w:bidi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36.1在签订合同前，中标人应按投标人须知前附表规定的担保形式、金额和招标文件第五章“合同条款及格式”规定的或者事先经过招标人书面认可的履约担保格式向招标人提交履约担保。</w:t>
      </w:r>
    </w:p>
    <w:p w14:paraId="3A7A8A2A">
      <w:pPr>
        <w:keepNext w:val="0"/>
        <w:keepLines w:val="0"/>
        <w:widowControl w:val="0"/>
        <w:kinsoku/>
        <w:wordWrap/>
        <w:overflowPunct/>
        <w:topLinePunct w:val="0"/>
        <w:autoSpaceDE/>
        <w:autoSpaceDN/>
        <w:bidi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36.2中标人不能按本章第36.1项要求提交履约担保的，视为放弃中标，其投标保证金不予退还，</w:t>
      </w:r>
      <w:r>
        <w:rPr>
          <w:rFonts w:hint="eastAsia" w:ascii="宋体" w:hAnsi="宋体" w:cs="宋体"/>
          <w:color w:val="auto"/>
          <w:szCs w:val="21"/>
          <w:highlight w:val="none"/>
          <w:shd w:val="clear" w:color="auto" w:fill="FFFFFF"/>
        </w:rPr>
        <w:t>给招标人造成损失的，依法承担民事责任</w:t>
      </w:r>
      <w:r>
        <w:rPr>
          <w:rFonts w:hint="eastAsia" w:ascii="宋体" w:hAnsi="宋体" w:cs="宋体"/>
          <w:color w:val="auto"/>
          <w:szCs w:val="21"/>
          <w:highlight w:val="none"/>
        </w:rPr>
        <w:t>。</w:t>
      </w:r>
    </w:p>
    <w:p w14:paraId="1BA9B298">
      <w:pPr>
        <w:keepNext w:val="0"/>
        <w:keepLines w:val="0"/>
        <w:widowControl w:val="0"/>
        <w:kinsoku/>
        <w:wordWrap/>
        <w:overflowPunct/>
        <w:topLinePunct w:val="0"/>
        <w:autoSpaceDE/>
        <w:autoSpaceDN/>
        <w:bidi w:val="0"/>
        <w:spacing w:before="312" w:beforeLines="100" w:after="312" w:afterLines="100" w:line="500" w:lineRule="exact"/>
        <w:jc w:val="center"/>
        <w:textAlignment w:val="auto"/>
        <w:rPr>
          <w:rFonts w:hint="eastAsia" w:ascii="宋体" w:hAnsi="Times New Roman" w:eastAsia="宋体" w:cs="Times New Roman"/>
          <w:b/>
          <w:color w:val="auto"/>
          <w:sz w:val="28"/>
          <w:szCs w:val="28"/>
          <w:highlight w:val="none"/>
        </w:rPr>
      </w:pPr>
      <w:bookmarkStart w:id="52" w:name="_Toc449028874"/>
      <w:r>
        <w:rPr>
          <w:rFonts w:hint="eastAsia" w:ascii="宋体" w:hAnsi="Times New Roman" w:eastAsia="宋体" w:cs="Times New Roman"/>
          <w:b/>
          <w:color w:val="auto"/>
          <w:sz w:val="28"/>
          <w:szCs w:val="28"/>
          <w:highlight w:val="none"/>
        </w:rPr>
        <w:t>（七）纪律和监督</w:t>
      </w:r>
      <w:bookmarkEnd w:id="52"/>
    </w:p>
    <w:p w14:paraId="2FB81EF7">
      <w:pPr>
        <w:keepNext w:val="0"/>
        <w:keepLines w:val="0"/>
        <w:widowControl w:val="0"/>
        <w:kinsoku/>
        <w:wordWrap/>
        <w:overflowPunct/>
        <w:topLinePunct w:val="0"/>
        <w:autoSpaceDE/>
        <w:autoSpaceDN/>
        <w:bidi w:val="0"/>
        <w:spacing w:line="500" w:lineRule="exact"/>
        <w:ind w:firstLine="310" w:firstLineChars="147"/>
        <w:jc w:val="left"/>
        <w:textAlignment w:val="auto"/>
        <w:rPr>
          <w:rFonts w:hint="eastAsia" w:ascii="宋体"/>
          <w:b/>
          <w:color w:val="auto"/>
          <w:szCs w:val="21"/>
          <w:highlight w:val="none"/>
        </w:rPr>
      </w:pPr>
      <w:r>
        <w:rPr>
          <w:rFonts w:hint="eastAsia" w:ascii="宋体"/>
          <w:b/>
          <w:color w:val="auto"/>
          <w:szCs w:val="21"/>
          <w:highlight w:val="none"/>
        </w:rPr>
        <w:t xml:space="preserve">37.对招标人的纪律要求 </w:t>
      </w:r>
    </w:p>
    <w:p w14:paraId="44CAF792">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color w:val="auto"/>
          <w:kern w:val="10"/>
          <w:szCs w:val="21"/>
          <w:highlight w:val="none"/>
        </w:rPr>
      </w:pPr>
      <w:r>
        <w:rPr>
          <w:rFonts w:hint="eastAsia" w:ascii="宋体"/>
          <w:color w:val="auto"/>
          <w:kern w:val="10"/>
          <w:szCs w:val="21"/>
          <w:highlight w:val="none"/>
        </w:rPr>
        <w:t xml:space="preserve">37.1招标人不得泄漏招标投标活动中应当保密的情况和资料，不得与投标人串通损害国家利益，社会公共利益或者他人合法权益。 </w:t>
      </w:r>
    </w:p>
    <w:p w14:paraId="06CBA933">
      <w:pPr>
        <w:keepNext w:val="0"/>
        <w:keepLines w:val="0"/>
        <w:widowControl w:val="0"/>
        <w:kinsoku/>
        <w:wordWrap/>
        <w:overflowPunct/>
        <w:topLinePunct w:val="0"/>
        <w:autoSpaceDE/>
        <w:autoSpaceDN/>
        <w:bidi w:val="0"/>
        <w:spacing w:line="500" w:lineRule="exact"/>
        <w:ind w:firstLine="310" w:firstLineChars="147"/>
        <w:jc w:val="left"/>
        <w:textAlignment w:val="auto"/>
        <w:rPr>
          <w:rFonts w:hint="eastAsia" w:ascii="宋体"/>
          <w:b/>
          <w:color w:val="auto"/>
          <w:szCs w:val="21"/>
          <w:highlight w:val="none"/>
        </w:rPr>
      </w:pPr>
      <w:r>
        <w:rPr>
          <w:rFonts w:hint="eastAsia" w:ascii="宋体"/>
          <w:b/>
          <w:color w:val="auto"/>
          <w:szCs w:val="21"/>
          <w:highlight w:val="none"/>
        </w:rPr>
        <w:t xml:space="preserve">38.对投标人的纪律要求 </w:t>
      </w:r>
    </w:p>
    <w:p w14:paraId="568ED2C9">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color w:val="auto"/>
          <w:kern w:val="10"/>
          <w:szCs w:val="21"/>
          <w:highlight w:val="none"/>
        </w:rPr>
      </w:pPr>
      <w:r>
        <w:rPr>
          <w:rFonts w:hint="eastAsia" w:ascii="宋体"/>
          <w:color w:val="auto"/>
          <w:kern w:val="10"/>
          <w:szCs w:val="21"/>
          <w:highlight w:val="none"/>
        </w:rPr>
        <w:t>38.1投标人不得相互串通投标或者与招标人串通投标，不得向招标人或者评标委员会成员行贿谋取中标，不得以他人名义投标或者以其他方式弄虚作假骗取中标；投标人不得以任何方式干扰、影响评标工作。</w:t>
      </w:r>
    </w:p>
    <w:p w14:paraId="6032A3DA">
      <w:pPr>
        <w:keepNext w:val="0"/>
        <w:keepLines w:val="0"/>
        <w:widowControl w:val="0"/>
        <w:kinsoku/>
        <w:wordWrap/>
        <w:overflowPunct/>
        <w:topLinePunct w:val="0"/>
        <w:autoSpaceDE/>
        <w:autoSpaceDN/>
        <w:bidi w:val="0"/>
        <w:spacing w:line="500" w:lineRule="exact"/>
        <w:ind w:firstLine="310" w:firstLineChars="147"/>
        <w:jc w:val="left"/>
        <w:textAlignment w:val="auto"/>
        <w:rPr>
          <w:rFonts w:hint="eastAsia" w:ascii="宋体"/>
          <w:b/>
          <w:color w:val="auto"/>
          <w:szCs w:val="21"/>
          <w:highlight w:val="none"/>
        </w:rPr>
      </w:pPr>
      <w:r>
        <w:rPr>
          <w:rFonts w:hint="eastAsia" w:ascii="宋体"/>
          <w:b/>
          <w:color w:val="auto"/>
          <w:szCs w:val="21"/>
          <w:highlight w:val="none"/>
        </w:rPr>
        <w:t xml:space="preserve">39.对评标委员会成员的纪律要求 </w:t>
      </w:r>
    </w:p>
    <w:p w14:paraId="14D4C5C3">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color w:val="auto"/>
          <w:kern w:val="10"/>
          <w:szCs w:val="21"/>
          <w:highlight w:val="none"/>
        </w:rPr>
      </w:pPr>
      <w:r>
        <w:rPr>
          <w:rFonts w:hint="eastAsia" w:ascii="宋体"/>
          <w:color w:val="auto"/>
          <w:kern w:val="10"/>
          <w:szCs w:val="21"/>
          <w:highlight w:val="none"/>
        </w:rPr>
        <w:t>39.1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160F23B6">
      <w:pPr>
        <w:keepNext w:val="0"/>
        <w:keepLines w:val="0"/>
        <w:widowControl w:val="0"/>
        <w:kinsoku/>
        <w:wordWrap/>
        <w:overflowPunct/>
        <w:topLinePunct w:val="0"/>
        <w:autoSpaceDE/>
        <w:autoSpaceDN/>
        <w:bidi w:val="0"/>
        <w:spacing w:line="500" w:lineRule="exact"/>
        <w:ind w:firstLine="310" w:firstLineChars="147"/>
        <w:jc w:val="left"/>
        <w:textAlignment w:val="auto"/>
        <w:rPr>
          <w:rFonts w:hint="eastAsia" w:ascii="宋体"/>
          <w:b/>
          <w:color w:val="auto"/>
          <w:szCs w:val="21"/>
          <w:highlight w:val="none"/>
        </w:rPr>
      </w:pPr>
      <w:r>
        <w:rPr>
          <w:rFonts w:hint="eastAsia" w:ascii="宋体"/>
          <w:b/>
          <w:color w:val="auto"/>
          <w:szCs w:val="21"/>
          <w:highlight w:val="none"/>
        </w:rPr>
        <w:t xml:space="preserve">40.对与评标活动有关的工作人员的纪律要求 </w:t>
      </w:r>
    </w:p>
    <w:p w14:paraId="480EE5D4">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color w:val="auto"/>
          <w:kern w:val="10"/>
          <w:szCs w:val="21"/>
          <w:highlight w:val="none"/>
        </w:rPr>
      </w:pPr>
      <w:r>
        <w:rPr>
          <w:rFonts w:hint="eastAsia" w:ascii="宋体"/>
          <w:color w:val="auto"/>
          <w:kern w:val="10"/>
          <w:szCs w:val="21"/>
          <w:highlight w:val="none"/>
        </w:rPr>
        <w:t>40.1与评标活动有关的工作人员不得收受他人的财物或者其他好处，不得向他人透漏对投标文件的评审和比较、中标人的推荐情况以及评标有关的其他情况。在评标活动中，与评标活动有关的工作人员不得擅离职守，影响评标程序正常进行。</w:t>
      </w:r>
    </w:p>
    <w:p w14:paraId="17FC2BF6">
      <w:pPr>
        <w:keepNext w:val="0"/>
        <w:keepLines w:val="0"/>
        <w:widowControl w:val="0"/>
        <w:kinsoku/>
        <w:wordWrap/>
        <w:overflowPunct/>
        <w:topLinePunct w:val="0"/>
        <w:autoSpaceDE/>
        <w:autoSpaceDN/>
        <w:bidi w:val="0"/>
        <w:spacing w:before="312" w:beforeLines="100" w:after="312" w:afterLines="100" w:line="500" w:lineRule="exact"/>
        <w:jc w:val="center"/>
        <w:textAlignment w:val="auto"/>
        <w:rPr>
          <w:rFonts w:hint="eastAsia" w:ascii="宋体"/>
          <w:b/>
          <w:color w:val="auto"/>
          <w:sz w:val="28"/>
          <w:szCs w:val="28"/>
          <w:highlight w:val="none"/>
        </w:rPr>
      </w:pPr>
      <w:r>
        <w:rPr>
          <w:rFonts w:hint="eastAsia" w:ascii="宋体"/>
          <w:b/>
          <w:color w:val="auto"/>
          <w:sz w:val="28"/>
          <w:szCs w:val="28"/>
          <w:highlight w:val="none"/>
        </w:rPr>
        <w:t>（八）投诉</w:t>
      </w:r>
    </w:p>
    <w:p w14:paraId="10B781C3">
      <w:pPr>
        <w:spacing w:line="44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lang w:val="en-US" w:eastAsia="zh-CN"/>
        </w:rPr>
        <w:t>41</w:t>
      </w:r>
      <w:r>
        <w:rPr>
          <w:rFonts w:hint="eastAsia" w:ascii="宋体" w:hAnsi="宋体"/>
          <w:b/>
          <w:color w:val="auto"/>
          <w:szCs w:val="21"/>
          <w:highlight w:val="none"/>
        </w:rPr>
        <w:t>. 异议</w:t>
      </w:r>
    </w:p>
    <w:p w14:paraId="619F45D8">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lang w:val="en-US" w:eastAsia="zh-CN"/>
        </w:rPr>
        <w:t>41</w:t>
      </w:r>
      <w:r>
        <w:rPr>
          <w:rFonts w:hint="eastAsia" w:ascii="宋体" w:hAnsi="Times New Roman" w:eastAsia="宋体" w:cs="Times New Roman"/>
          <w:color w:val="auto"/>
          <w:kern w:val="10"/>
          <w:szCs w:val="21"/>
          <w:highlight w:val="none"/>
        </w:rPr>
        <w:t>.1 若投标人或者其他利害关系人对中标结果有异议，可在公示期内以书面形式，并在工作时间内（上午8:00-12:00,下午2:30-5:30）向招标人或招标代理机构提出异议。</w:t>
      </w:r>
    </w:p>
    <w:p w14:paraId="5E84DB3D">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异议应以书面形式实名提出，也可以通过电子交易系统使用电子印章在线提出异议，书面异议材料应当包括以下内容： </w:t>
      </w:r>
    </w:p>
    <w:p w14:paraId="52CF6B05">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  （1）异议人的名称、地址、有效联系方式； </w:t>
      </w:r>
    </w:p>
    <w:p w14:paraId="0289586E">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  （2）项目名称、项目编号、标段号（如有）； </w:t>
      </w:r>
    </w:p>
    <w:p w14:paraId="6A67F752">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  （3）被异议人名称； </w:t>
      </w:r>
    </w:p>
    <w:p w14:paraId="4FBC4DBA">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  （4）具体的异议事项、基本事实及必要的证明材料； </w:t>
      </w:r>
    </w:p>
    <w:p w14:paraId="592C3678">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  （5）明确的请求及主张； </w:t>
      </w:r>
    </w:p>
    <w:p w14:paraId="01193D5F">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  （6）提起异议的日期。 </w:t>
      </w:r>
    </w:p>
    <w:p w14:paraId="02FE9B04">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  （7）异议人为法人的，应当由法定代表人或授权代表签字并加盖公章；为其他组织或个人的，异议材料须由其主要负责人或者异议人本人签字，并附有效身份证明复印件。 </w:t>
      </w:r>
    </w:p>
    <w:p w14:paraId="30897893">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  （8）异议人需要修改、补充异议材料的，应当在招标人或招标代理机构规定的期限内提交修改或补充材料。 </w:t>
      </w:r>
    </w:p>
    <w:p w14:paraId="0DCD3FA7">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lang w:val="en-US" w:eastAsia="zh-CN"/>
        </w:rPr>
        <w:t>41</w:t>
      </w:r>
      <w:r>
        <w:rPr>
          <w:rFonts w:hint="eastAsia" w:ascii="宋体" w:hAnsi="Times New Roman" w:eastAsia="宋体" w:cs="Times New Roman"/>
          <w:color w:val="auto"/>
          <w:kern w:val="10"/>
          <w:szCs w:val="21"/>
          <w:highlight w:val="none"/>
        </w:rPr>
        <w:t xml:space="preserve">.2 有下列情形之一的，不予受理： </w:t>
      </w:r>
    </w:p>
    <w:p w14:paraId="14CB03F0">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  （1）提出异议的主体不是所异议项目投标人或者其他利害关系人的；</w:t>
      </w:r>
    </w:p>
    <w:p w14:paraId="6CD9AD6C">
      <w:pPr>
        <w:keepNext w:val="0"/>
        <w:keepLines w:val="0"/>
        <w:widowControl w:val="0"/>
        <w:kinsoku/>
        <w:wordWrap/>
        <w:overflowPunct/>
        <w:topLinePunct w:val="0"/>
        <w:autoSpaceDE/>
        <w:autoSpaceDN/>
        <w:bidi w:val="0"/>
        <w:adjustRightInd w:val="0"/>
        <w:snapToGrid w:val="0"/>
        <w:spacing w:line="500" w:lineRule="exact"/>
        <w:ind w:firstLine="525" w:firstLineChars="2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（2）对于依法必须招标的项目，未在公示期间提出异议的；</w:t>
      </w:r>
    </w:p>
    <w:p w14:paraId="32B85A5F">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  （3）异议材料不完整的； </w:t>
      </w:r>
    </w:p>
    <w:p w14:paraId="1007847C">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  （4）异议事项含有主观猜测等内容且未提供有效线索、难以查证的； </w:t>
      </w:r>
    </w:p>
    <w:p w14:paraId="250F3D03">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  （5）对其他投标人的投标文件详细内容异议，无法提供合法来源渠道的； </w:t>
      </w:r>
    </w:p>
    <w:p w14:paraId="05D0EDAD">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rPr>
        <w:t xml:space="preserve">  （6）异议事项已进入投诉处理、行政复议或行政诉讼程序的。</w:t>
      </w:r>
    </w:p>
    <w:p w14:paraId="60518F5A">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lang w:val="en-US" w:eastAsia="zh-CN"/>
        </w:rPr>
        <w:t>41</w:t>
      </w:r>
      <w:r>
        <w:rPr>
          <w:rFonts w:hint="eastAsia" w:ascii="宋体" w:hAnsi="Times New Roman" w:eastAsia="宋体" w:cs="Times New Roman"/>
          <w:color w:val="auto"/>
          <w:kern w:val="10"/>
          <w:szCs w:val="21"/>
          <w:highlight w:val="none"/>
        </w:rPr>
        <w:t>.3 投标人或其他利害关系人对招标文件有异议的，应在</w:t>
      </w:r>
      <w:r>
        <w:rPr>
          <w:rFonts w:hint="eastAsia" w:ascii="宋体" w:cs="Times New Roman"/>
          <w:color w:val="auto"/>
          <w:kern w:val="10"/>
          <w:szCs w:val="21"/>
          <w:highlight w:val="none"/>
          <w:lang w:val="en-US" w:eastAsia="zh-CN"/>
        </w:rPr>
        <w:t>规定时间</w:t>
      </w:r>
      <w:r>
        <w:rPr>
          <w:rFonts w:hint="eastAsia" w:ascii="宋体" w:hAnsi="Times New Roman" w:eastAsia="宋体" w:cs="Times New Roman"/>
          <w:color w:val="auto"/>
          <w:kern w:val="10"/>
          <w:szCs w:val="21"/>
          <w:highlight w:val="none"/>
        </w:rPr>
        <w:t>前以网上留言或书面形式（包括信函、电报、传真等可以有形的表现所载内容的形式，下同）提出。招标人将在</w:t>
      </w:r>
      <w:r>
        <w:rPr>
          <w:rFonts w:hint="eastAsia" w:ascii="宋体" w:cs="Times New Roman"/>
          <w:color w:val="auto"/>
          <w:kern w:val="10"/>
          <w:szCs w:val="21"/>
          <w:highlight w:val="none"/>
          <w:lang w:val="en-US" w:eastAsia="zh-CN"/>
        </w:rPr>
        <w:t>规定时间</w:t>
      </w:r>
      <w:r>
        <w:rPr>
          <w:rFonts w:hint="eastAsia" w:ascii="宋体" w:hAnsi="Times New Roman" w:eastAsia="宋体" w:cs="Times New Roman"/>
          <w:color w:val="auto"/>
          <w:kern w:val="10"/>
          <w:szCs w:val="21"/>
          <w:highlight w:val="none"/>
        </w:rPr>
        <w:t>内作出答复。</w:t>
      </w:r>
    </w:p>
    <w:p w14:paraId="5EE4ED0F">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lang w:val="en-US" w:eastAsia="zh-CN"/>
        </w:rPr>
        <w:t>41</w:t>
      </w:r>
      <w:r>
        <w:rPr>
          <w:rFonts w:hint="eastAsia" w:ascii="宋体" w:hAnsi="Times New Roman" w:eastAsia="宋体" w:cs="Times New Roman"/>
          <w:color w:val="auto"/>
          <w:kern w:val="10"/>
          <w:szCs w:val="21"/>
          <w:highlight w:val="none"/>
        </w:rPr>
        <w:t>.4投标人对开标有异议的，应当在开标现场提出，招标人当场作出答复，并制作记录。异议与答复应通过电子交易系统进行。</w:t>
      </w:r>
    </w:p>
    <w:p w14:paraId="696EBECE">
      <w:pPr>
        <w:wordWrap w:val="0"/>
        <w:spacing w:line="440" w:lineRule="exact"/>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4</w:t>
      </w:r>
      <w:r>
        <w:rPr>
          <w:rFonts w:hint="eastAsia" w:ascii="宋体" w:hAnsi="宋体" w:cs="宋体"/>
          <w:b/>
          <w:color w:val="auto"/>
          <w:szCs w:val="21"/>
          <w:highlight w:val="none"/>
          <w:lang w:val="en-US" w:eastAsia="zh-CN"/>
        </w:rPr>
        <w:t>42</w:t>
      </w:r>
      <w:r>
        <w:rPr>
          <w:rFonts w:hint="eastAsia" w:ascii="宋体" w:hAnsi="宋体" w:cs="宋体"/>
          <w:b/>
          <w:color w:val="auto"/>
          <w:szCs w:val="21"/>
          <w:highlight w:val="none"/>
        </w:rPr>
        <w:t>. 投诉</w:t>
      </w:r>
    </w:p>
    <w:p w14:paraId="5C638886">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hAnsi="Times New Roman" w:eastAsia="宋体" w:cs="Times New Roman"/>
          <w:color w:val="auto"/>
          <w:kern w:val="10"/>
          <w:szCs w:val="21"/>
          <w:highlight w:val="none"/>
        </w:rPr>
      </w:pPr>
      <w:r>
        <w:rPr>
          <w:rFonts w:hint="eastAsia" w:ascii="宋体" w:hAnsi="Times New Roman" w:eastAsia="宋体" w:cs="Times New Roman"/>
          <w:color w:val="auto"/>
          <w:kern w:val="10"/>
          <w:szCs w:val="21"/>
          <w:highlight w:val="none"/>
          <w:lang w:val="en-US" w:eastAsia="zh-CN"/>
        </w:rPr>
        <w:t>42</w:t>
      </w:r>
      <w:r>
        <w:rPr>
          <w:rFonts w:hint="eastAsia" w:ascii="宋体" w:hAnsi="Times New Roman" w:eastAsia="宋体" w:cs="Times New Roman"/>
          <w:color w:val="auto"/>
          <w:kern w:val="10"/>
          <w:szCs w:val="21"/>
          <w:highlight w:val="none"/>
        </w:rPr>
        <w:t>.1投标人和其他利害关系人认为本次招标活动违反法律、法规和规章规定的，有权向有关行政监督部门投诉。投诉应当有明确的请求和必要的证明材料。</w:t>
      </w:r>
    </w:p>
    <w:p w14:paraId="0FA621D6">
      <w:pPr>
        <w:keepNext w:val="0"/>
        <w:keepLines w:val="0"/>
        <w:widowControl w:val="0"/>
        <w:kinsoku/>
        <w:wordWrap/>
        <w:overflowPunct/>
        <w:topLinePunct w:val="0"/>
        <w:autoSpaceDE/>
        <w:autoSpaceDN/>
        <w:bidi w:val="0"/>
        <w:adjustRightInd w:val="0"/>
        <w:snapToGrid w:val="0"/>
        <w:spacing w:line="500" w:lineRule="exact"/>
        <w:ind w:firstLine="315" w:firstLineChars="150"/>
        <w:textAlignment w:val="auto"/>
        <w:rPr>
          <w:rFonts w:hint="eastAsia" w:ascii="宋体"/>
          <w:color w:val="auto"/>
          <w:kern w:val="10"/>
          <w:szCs w:val="21"/>
          <w:highlight w:val="none"/>
        </w:rPr>
      </w:pPr>
      <w:r>
        <w:rPr>
          <w:rFonts w:hint="eastAsia" w:ascii="宋体" w:hAnsi="Times New Roman" w:eastAsia="宋体" w:cs="Times New Roman"/>
          <w:color w:val="auto"/>
          <w:kern w:val="10"/>
          <w:szCs w:val="21"/>
          <w:highlight w:val="none"/>
        </w:rPr>
        <w:t>4</w:t>
      </w:r>
      <w:r>
        <w:rPr>
          <w:rFonts w:hint="eastAsia" w:ascii="宋体" w:hAnsi="Times New Roman" w:eastAsia="宋体" w:cs="Times New Roman"/>
          <w:color w:val="auto"/>
          <w:kern w:val="10"/>
          <w:szCs w:val="21"/>
          <w:highlight w:val="none"/>
          <w:lang w:val="en-US" w:eastAsia="zh-CN"/>
        </w:rPr>
        <w:t>2</w:t>
      </w:r>
      <w:r>
        <w:rPr>
          <w:rFonts w:hint="eastAsia" w:ascii="宋体" w:hAnsi="Times New Roman" w:eastAsia="宋体" w:cs="Times New Roman"/>
          <w:color w:val="auto"/>
          <w:kern w:val="10"/>
          <w:szCs w:val="21"/>
          <w:highlight w:val="none"/>
        </w:rPr>
        <w:t>.2投标人和其他利害关系人对评标结果等事项投诉的，应当在开标期间或中标结果公示期间，先向招标人提出异议。</w:t>
      </w:r>
      <w:r>
        <w:rPr>
          <w:rFonts w:hint="eastAsia" w:ascii="宋体" w:hAnsi="Times New Roman" w:eastAsia="宋体" w:cs="Times New Roman"/>
          <w:b/>
          <w:bCs/>
          <w:color w:val="auto"/>
          <w:kern w:val="10"/>
          <w:szCs w:val="21"/>
          <w:highlight w:val="none"/>
        </w:rPr>
        <w:t>注：一份质疑（异议）函只能针对一个项目提出质疑（异议），且针对同一招标采购程序环节的质疑（异议）应当一次性提出。</w:t>
      </w:r>
    </w:p>
    <w:p w14:paraId="3313C28A">
      <w:pPr>
        <w:pStyle w:val="2"/>
        <w:spacing w:line="280" w:lineRule="exact"/>
        <w:jc w:val="center"/>
        <w:rPr>
          <w:rFonts w:hint="eastAsia" w:ascii="宋体"/>
          <w:b w:val="0"/>
          <w:color w:val="auto"/>
          <w:szCs w:val="32"/>
          <w:highlight w:val="none"/>
        </w:rPr>
      </w:pPr>
      <w:r>
        <w:rPr>
          <w:rFonts w:ascii="宋体"/>
          <w:b w:val="0"/>
          <w:color w:val="auto"/>
          <w:szCs w:val="32"/>
          <w:highlight w:val="none"/>
        </w:rPr>
        <w:br w:type="page"/>
      </w:r>
      <w:bookmarkStart w:id="53" w:name="_Toc28871"/>
      <w:r>
        <w:rPr>
          <w:rFonts w:hint="eastAsia" w:ascii="宋体"/>
          <w:bCs w:val="0"/>
          <w:color w:val="auto"/>
          <w:szCs w:val="32"/>
          <w:highlight w:val="none"/>
        </w:rPr>
        <w:t>第三章 评标办法（综合评分法）</w:t>
      </w:r>
      <w:bookmarkEnd w:id="53"/>
    </w:p>
    <w:p w14:paraId="7EF2958B">
      <w:pPr>
        <w:keepNext w:val="0"/>
        <w:keepLines w:val="0"/>
        <w:pageBreakBefore w:val="0"/>
        <w:widowControl w:val="0"/>
        <w:kinsoku/>
        <w:wordWrap/>
        <w:overflowPunct/>
        <w:topLinePunct w:val="0"/>
        <w:autoSpaceDE/>
        <w:autoSpaceDN/>
        <w:bidi w:val="0"/>
        <w:adjustRightInd/>
        <w:snapToGrid/>
        <w:spacing w:before="156" w:beforeLines="50" w:after="156" w:afterLines="50" w:line="500" w:lineRule="exact"/>
        <w:jc w:val="center"/>
        <w:textAlignment w:val="auto"/>
        <w:outlineLvl w:val="1"/>
        <w:rPr>
          <w:rFonts w:hint="eastAsia" w:ascii="宋体" w:hAnsi="宋体" w:eastAsia="宋体" w:cs="宋体"/>
          <w:b/>
          <w:color w:val="auto"/>
          <w:sz w:val="28"/>
          <w:szCs w:val="28"/>
          <w:highlight w:val="none"/>
        </w:rPr>
      </w:pPr>
      <w:bookmarkStart w:id="54" w:name="_Toc20697"/>
      <w:bookmarkStart w:id="55" w:name="_Toc362983801"/>
      <w:bookmarkStart w:id="56" w:name="_Toc58430317"/>
      <w:bookmarkStart w:id="57" w:name="_Toc449028877"/>
      <w:bookmarkStart w:id="58" w:name="_Toc267320058"/>
      <w:bookmarkStart w:id="59" w:name="_Toc363135205"/>
      <w:r>
        <w:rPr>
          <w:rFonts w:hint="eastAsia" w:ascii="宋体" w:hAnsi="宋体" w:eastAsia="宋体" w:cs="宋体"/>
          <w:b/>
          <w:color w:val="auto"/>
          <w:sz w:val="28"/>
          <w:szCs w:val="28"/>
          <w:highlight w:val="none"/>
        </w:rPr>
        <w:t>一、总则</w:t>
      </w:r>
      <w:bookmarkEnd w:id="54"/>
      <w:bookmarkEnd w:id="55"/>
      <w:bookmarkEnd w:id="56"/>
      <w:bookmarkEnd w:id="57"/>
    </w:p>
    <w:p w14:paraId="4E6A22D1">
      <w:pPr>
        <w:keepNext w:val="0"/>
        <w:keepLines w:val="0"/>
        <w:pageBreakBefore w:val="0"/>
        <w:kinsoku/>
        <w:overflowPunct/>
        <w:topLinePunct w:val="0"/>
        <w:autoSpaceDE/>
        <w:autoSpaceDN/>
        <w:bidi w:val="0"/>
        <w:adjustRightInd/>
        <w:snapToGrid/>
        <w:spacing w:line="500" w:lineRule="exact"/>
        <w:ind w:firstLine="316" w:firstLineChars="15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 1. 本次评标采用综合评分法</w:t>
      </w:r>
    </w:p>
    <w:p w14:paraId="272D8D97">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1.1综合评分法是指投标文件满足招标文件全部实质性要求且按照评审因素的量化指标评审总得分从高到低的供应商为中标候选人的评标方法。</w:t>
      </w:r>
    </w:p>
    <w:p w14:paraId="5391C2AB">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1.2综合评分法一般适用于较为复杂、评价指标难以量化且价格为非主要因素的非标准定制商品和非通用服务项目的项目评审。</w:t>
      </w:r>
    </w:p>
    <w:p w14:paraId="69D2704D">
      <w:pPr>
        <w:keepNext w:val="0"/>
        <w:keepLines w:val="0"/>
        <w:pageBreakBefore w:val="0"/>
        <w:kinsoku/>
        <w:overflowPunct/>
        <w:topLinePunct w:val="0"/>
        <w:autoSpaceDE/>
        <w:autoSpaceDN/>
        <w:bidi w:val="0"/>
        <w:adjustRightInd/>
        <w:snapToGrid/>
        <w:spacing w:line="500" w:lineRule="exact"/>
        <w:ind w:firstLine="422"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2．评标程序</w:t>
      </w:r>
    </w:p>
    <w:p w14:paraId="282E4EA9">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2.1投标文件的初审</w:t>
      </w:r>
    </w:p>
    <w:p w14:paraId="725D457B">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2.1.1资格性检查。依据法律法规和招标文件的规定，对投标文件中的资格证明、投标保证金等进行审查，以确定投标人是否具备投标资格。 </w:t>
      </w:r>
    </w:p>
    <w:p w14:paraId="0ACCF393">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2.1.2符合性检查。依据招标文件的规定，从投标文件的有效性、完整性和对招标文件的响应程度进行审查，以确定投标人是否对招标文件的实质性要求作出响应。</w:t>
      </w:r>
    </w:p>
    <w:p w14:paraId="77021C7A">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2.2投标文件的澄清</w:t>
      </w:r>
    </w:p>
    <w:p w14:paraId="4E3398FE">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2.2.1在评标过程中，评标委员会认为需要，可要求投标人对投标文件中的有关问题进行澄清或提供补充说明及有关资料，投标人应做出书面答复。书面答复中不得变更价格、供货期、自报质量等实质性内容。</w:t>
      </w:r>
    </w:p>
    <w:p w14:paraId="40721524">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书面答复须经投标人法定代理人或其授权委托代理人的签字或印鉴，签字或盖印鉴的书面答复将视为投标文件的组成部分。投标截止时间后，投标人对投标报价或其它实质性内容修正的函件和增加的任何优惠条件，一律不得作为评标、定标的依据。</w:t>
      </w:r>
    </w:p>
    <w:p w14:paraId="699D3B3B">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2.2.3 招标人不接受投标人主动提出的澄清。</w:t>
      </w:r>
    </w:p>
    <w:p w14:paraId="455A0A7A">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2.3比较与评价</w:t>
      </w:r>
    </w:p>
    <w:p w14:paraId="5AEEEA7F">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2．3.1按招标文件中规定的评标方法和标准，对资格性检查和符合性检查合格的投标文件进行商务和技术评估，综合比较与评价。 </w:t>
      </w:r>
    </w:p>
    <w:p w14:paraId="5925AEFF">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2.4推荐中标候选人名单</w:t>
      </w:r>
    </w:p>
    <w:p w14:paraId="283A272F">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2.4.1中标候选人数量应当根据采购需要确定，但必须按顺序排列中标候选人。</w:t>
      </w:r>
    </w:p>
    <w:p w14:paraId="01C99A3B">
      <w:pPr>
        <w:keepNext w:val="0"/>
        <w:keepLines w:val="0"/>
        <w:pageBreakBefore w:val="0"/>
        <w:kinsoku/>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2.5在投标文件的审查、澄清、评价和比较以及授予合同过程中，投标人对招标人和评标委员会成员施加影响的任何行为，都将导致取消其中标资格。</w:t>
      </w:r>
      <w:bookmarkStart w:id="60" w:name="_Toc58430318"/>
      <w:bookmarkStart w:id="61" w:name="_Toc449028878"/>
      <w:bookmarkStart w:id="62" w:name="_Toc362983802"/>
    </w:p>
    <w:p w14:paraId="0A8A5E82">
      <w:pPr>
        <w:keepNext w:val="0"/>
        <w:keepLines w:val="0"/>
        <w:pageBreakBefore w:val="0"/>
        <w:widowControl w:val="0"/>
        <w:kinsoku/>
        <w:wordWrap/>
        <w:overflowPunct/>
        <w:topLinePunct w:val="0"/>
        <w:autoSpaceDE/>
        <w:autoSpaceDN/>
        <w:bidi w:val="0"/>
        <w:adjustRightInd/>
        <w:snapToGrid/>
        <w:spacing w:before="156" w:beforeLines="50" w:after="156" w:afterLines="50" w:line="500" w:lineRule="exact"/>
        <w:jc w:val="center"/>
        <w:textAlignment w:val="auto"/>
        <w:outlineLvl w:val="1"/>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二、投标文件初审</w:t>
      </w:r>
      <w:bookmarkEnd w:id="60"/>
      <w:bookmarkEnd w:id="61"/>
      <w:bookmarkEnd w:id="62"/>
    </w:p>
    <w:p w14:paraId="024ECF41">
      <w:pPr>
        <w:keepNext w:val="0"/>
        <w:keepLines w:val="0"/>
        <w:pageBreakBefore w:val="0"/>
        <w:kinsoku/>
        <w:overflowPunct/>
        <w:topLinePunct w:val="0"/>
        <w:autoSpaceDE/>
        <w:autoSpaceDN/>
        <w:bidi w:val="0"/>
        <w:adjustRightInd/>
        <w:snapToGrid/>
        <w:spacing w:line="500" w:lineRule="exact"/>
        <w:ind w:firstLine="310" w:firstLineChars="147"/>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3.资格性审查:</w:t>
      </w:r>
    </w:p>
    <w:p w14:paraId="6F3453ED">
      <w:pPr>
        <w:keepNext w:val="0"/>
        <w:keepLines w:val="0"/>
        <w:pageBreakBefore w:val="0"/>
        <w:kinsoku/>
        <w:overflowPunct/>
        <w:topLinePunct w:val="0"/>
        <w:autoSpaceDE/>
        <w:autoSpaceDN/>
        <w:bidi w:val="0"/>
        <w:adjustRightInd/>
        <w:snapToGrid/>
        <w:spacing w:line="500" w:lineRule="exact"/>
        <w:ind w:firstLine="308" w:firstLineChars="147"/>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3.1评审细则</w:t>
      </w:r>
    </w:p>
    <w:tbl>
      <w:tblPr>
        <w:tblStyle w:val="36"/>
        <w:tblW w:w="9926" w:type="dxa"/>
        <w:tblInd w:w="-4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725"/>
        <w:gridCol w:w="4305"/>
        <w:gridCol w:w="3176"/>
      </w:tblGrid>
      <w:tr w14:paraId="0016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20" w:type="dxa"/>
            <w:noWrap w:val="0"/>
            <w:vAlign w:val="center"/>
          </w:tcPr>
          <w:p w14:paraId="0D487E45">
            <w:pPr>
              <w:keepNext w:val="0"/>
              <w:keepLines w:val="0"/>
              <w:pageBreakBefore w:val="0"/>
              <w:kinsoku/>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6030" w:type="dxa"/>
            <w:gridSpan w:val="2"/>
            <w:noWrap w:val="0"/>
            <w:vAlign w:val="center"/>
          </w:tcPr>
          <w:p w14:paraId="3FE11266">
            <w:pPr>
              <w:keepNext w:val="0"/>
              <w:keepLines w:val="0"/>
              <w:pageBreakBefore w:val="0"/>
              <w:kinsoku/>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评审因素</w:t>
            </w:r>
          </w:p>
        </w:tc>
        <w:tc>
          <w:tcPr>
            <w:tcW w:w="3176" w:type="dxa"/>
            <w:noWrap w:val="0"/>
            <w:vAlign w:val="center"/>
          </w:tcPr>
          <w:p w14:paraId="2465DDBA">
            <w:pPr>
              <w:keepNext w:val="0"/>
              <w:keepLines w:val="0"/>
              <w:pageBreakBefore w:val="0"/>
              <w:kinsoku/>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评审标准</w:t>
            </w:r>
          </w:p>
        </w:tc>
      </w:tr>
      <w:tr w14:paraId="752DE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20" w:type="dxa"/>
            <w:noWrap w:val="0"/>
            <w:vAlign w:val="center"/>
          </w:tcPr>
          <w:p w14:paraId="648199F9">
            <w:pPr>
              <w:keepNext w:val="0"/>
              <w:keepLines w:val="0"/>
              <w:pageBreakBefore w:val="0"/>
              <w:kinsoku/>
              <w:overflowPunct/>
              <w:topLinePunct w:val="0"/>
              <w:autoSpaceDE/>
              <w:autoSpaceDN/>
              <w:bidi w:val="0"/>
              <w:adjustRightInd/>
              <w:snapToGrid/>
              <w:spacing w:line="5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725" w:type="dxa"/>
            <w:noWrap w:val="0"/>
            <w:vAlign w:val="center"/>
          </w:tcPr>
          <w:p w14:paraId="2D80C8BF">
            <w:pPr>
              <w:keepNext w:val="0"/>
              <w:keepLines w:val="0"/>
              <w:pageBreakBefore w:val="0"/>
              <w:kinsoku/>
              <w:overflowPunct/>
              <w:topLinePunct w:val="0"/>
              <w:autoSpaceDE/>
              <w:autoSpaceDN/>
              <w:bidi w:val="0"/>
              <w:adjustRightInd/>
              <w:snapToGrid/>
              <w:spacing w:line="5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重要要求</w:t>
            </w:r>
          </w:p>
        </w:tc>
        <w:tc>
          <w:tcPr>
            <w:tcW w:w="4305" w:type="dxa"/>
            <w:noWrap w:val="0"/>
            <w:vAlign w:val="center"/>
          </w:tcPr>
          <w:p w14:paraId="0C9F220B">
            <w:pPr>
              <w:keepNext w:val="0"/>
              <w:keepLines w:val="0"/>
              <w:pageBreakBefore w:val="0"/>
              <w:kinsoku/>
              <w:overflowPunct/>
              <w:topLinePunct w:val="0"/>
              <w:autoSpaceDE/>
              <w:autoSpaceDN/>
              <w:bidi w:val="0"/>
              <w:adjustRightInd/>
              <w:snapToGrid/>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（1）法定代表人身份证明和本人有效身份证(或法定代表人授权委托书和委托代理人有效身份证)</w:t>
            </w:r>
          </w:p>
        </w:tc>
        <w:tc>
          <w:tcPr>
            <w:tcW w:w="3176" w:type="dxa"/>
            <w:noWrap w:val="0"/>
            <w:vAlign w:val="center"/>
          </w:tcPr>
          <w:p w14:paraId="6DDDDC33">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检验电子标书</w:t>
            </w:r>
          </w:p>
        </w:tc>
      </w:tr>
      <w:tr w14:paraId="036E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5" w:hRule="atLeast"/>
        </w:trPr>
        <w:tc>
          <w:tcPr>
            <w:tcW w:w="720" w:type="dxa"/>
            <w:vMerge w:val="restart"/>
            <w:noWrap w:val="0"/>
            <w:vAlign w:val="center"/>
          </w:tcPr>
          <w:p w14:paraId="1CD7ADA7">
            <w:pPr>
              <w:keepNext w:val="0"/>
              <w:keepLines w:val="0"/>
              <w:pageBreakBefore w:val="0"/>
              <w:kinsoku/>
              <w:overflowPunct/>
              <w:topLinePunct w:val="0"/>
              <w:autoSpaceDE/>
              <w:autoSpaceDN/>
              <w:bidi w:val="0"/>
              <w:adjustRightInd/>
              <w:snapToGrid/>
              <w:spacing w:line="5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725" w:type="dxa"/>
            <w:vMerge w:val="restart"/>
            <w:noWrap w:val="0"/>
            <w:vAlign w:val="center"/>
          </w:tcPr>
          <w:p w14:paraId="6A87C2C8">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投标人应符合的基本资格条件</w:t>
            </w:r>
          </w:p>
        </w:tc>
        <w:tc>
          <w:tcPr>
            <w:tcW w:w="4305" w:type="dxa"/>
            <w:noWrap w:val="0"/>
            <w:vAlign w:val="center"/>
          </w:tcPr>
          <w:p w14:paraId="0ECD13F8">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具有独立承担民事责任能力</w:t>
            </w:r>
          </w:p>
        </w:tc>
        <w:tc>
          <w:tcPr>
            <w:tcW w:w="3176" w:type="dxa"/>
            <w:noWrap w:val="0"/>
            <w:vAlign w:val="center"/>
          </w:tcPr>
          <w:p w14:paraId="71ADBC66">
            <w:pPr>
              <w:keepNext w:val="0"/>
              <w:keepLines w:val="0"/>
              <w:pageBreakBefore w:val="0"/>
              <w:kinsoku/>
              <w:overflowPunct/>
              <w:topLinePunct w:val="0"/>
              <w:autoSpaceDE/>
              <w:autoSpaceDN/>
              <w:bidi w:val="0"/>
              <w:adjustRightInd/>
              <w:snapToGrid/>
              <w:spacing w:line="500" w:lineRule="exact"/>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评审核验电子标书中的下列证书、证明材料：</w:t>
            </w:r>
          </w:p>
          <w:p w14:paraId="7E6BFB1A">
            <w:pPr>
              <w:keepNext w:val="0"/>
              <w:keepLines w:val="0"/>
              <w:pageBreakBefore w:val="0"/>
              <w:kinsoku/>
              <w:overflowPunct/>
              <w:topLinePunct w:val="0"/>
              <w:autoSpaceDE/>
              <w:autoSpaceDN/>
              <w:bidi w:val="0"/>
              <w:adjustRightInd/>
              <w:snapToGrid/>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投标人有效的营业执照（或三证合一证书）</w:t>
            </w:r>
          </w:p>
        </w:tc>
      </w:tr>
      <w:tr w14:paraId="2EC1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20" w:type="dxa"/>
            <w:vMerge w:val="continue"/>
            <w:noWrap w:val="0"/>
            <w:vAlign w:val="center"/>
          </w:tcPr>
          <w:p w14:paraId="1260B7F5">
            <w:pPr>
              <w:keepNext w:val="0"/>
              <w:keepLines w:val="0"/>
              <w:pageBreakBefore w:val="0"/>
              <w:kinsoku/>
              <w:overflowPunct/>
              <w:topLinePunct w:val="0"/>
              <w:autoSpaceDE/>
              <w:autoSpaceDN/>
              <w:bidi w:val="0"/>
              <w:adjustRightInd/>
              <w:snapToGrid/>
              <w:spacing w:line="500" w:lineRule="exact"/>
              <w:jc w:val="center"/>
              <w:textAlignment w:val="auto"/>
              <w:rPr>
                <w:rFonts w:hint="eastAsia" w:ascii="宋体" w:hAnsi="宋体" w:eastAsia="宋体" w:cs="宋体"/>
                <w:color w:val="auto"/>
                <w:szCs w:val="21"/>
                <w:highlight w:val="none"/>
              </w:rPr>
            </w:pPr>
          </w:p>
        </w:tc>
        <w:tc>
          <w:tcPr>
            <w:tcW w:w="1725" w:type="dxa"/>
            <w:vMerge w:val="continue"/>
            <w:noWrap w:val="0"/>
            <w:vAlign w:val="center"/>
          </w:tcPr>
          <w:p w14:paraId="69CC4E5B">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p>
        </w:tc>
        <w:tc>
          <w:tcPr>
            <w:tcW w:w="4305" w:type="dxa"/>
            <w:shd w:val="clear" w:color="auto" w:fill="auto"/>
            <w:noWrap w:val="0"/>
            <w:vAlign w:val="center"/>
          </w:tcPr>
          <w:p w14:paraId="092C0E87">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）诚信投标承诺书</w:t>
            </w:r>
            <w:r>
              <w:rPr>
                <w:rFonts w:hint="eastAsia" w:ascii="宋体" w:hAnsi="宋体" w:eastAsia="宋体" w:cs="宋体"/>
                <w:color w:val="auto"/>
                <w:szCs w:val="21"/>
                <w:highlight w:val="none"/>
                <w:lang w:val="en-US" w:eastAsia="zh-CN"/>
              </w:rPr>
              <w:t>或</w:t>
            </w:r>
            <w:r>
              <w:rPr>
                <w:rFonts w:hint="eastAsia" w:ascii="宋体" w:hAnsi="宋体" w:eastAsia="宋体" w:cs="宋体"/>
                <w:color w:val="auto"/>
                <w:szCs w:val="21"/>
                <w:highlight w:val="none"/>
              </w:rPr>
              <w:t>公共信用信息报告（无违法违规证明版或核查版）</w:t>
            </w:r>
          </w:p>
        </w:tc>
        <w:tc>
          <w:tcPr>
            <w:tcW w:w="3176" w:type="dxa"/>
            <w:shd w:val="clear" w:color="auto" w:fill="auto"/>
            <w:noWrap w:val="0"/>
            <w:vAlign w:val="center"/>
          </w:tcPr>
          <w:p w14:paraId="29282A75">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color w:val="auto"/>
                <w:szCs w:val="21"/>
                <w:highlight w:val="none"/>
              </w:rPr>
              <w:t>格式见附件，检验电子标书</w:t>
            </w:r>
          </w:p>
        </w:tc>
      </w:tr>
    </w:tbl>
    <w:p w14:paraId="01A2936E">
      <w:pPr>
        <w:keepNext w:val="0"/>
        <w:keepLines w:val="0"/>
        <w:pageBreakBefore w:val="0"/>
        <w:kinsoku/>
        <w:overflowPunct/>
        <w:topLinePunct w:val="0"/>
        <w:autoSpaceDE/>
        <w:autoSpaceDN/>
        <w:bidi w:val="0"/>
        <w:adjustRightInd/>
        <w:snapToGrid/>
        <w:spacing w:line="500" w:lineRule="exact"/>
        <w:ind w:right="-164" w:rightChars="-78" w:firstLine="508" w:firstLineChars="241"/>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w:t>
      </w:r>
      <w:r>
        <w:rPr>
          <w:rFonts w:hint="eastAsia" w:ascii="宋体" w:hAnsi="宋体" w:cs="宋体"/>
          <w:b/>
          <w:color w:val="auto"/>
          <w:szCs w:val="21"/>
          <w:highlight w:val="none"/>
          <w:lang w:val="en-US" w:eastAsia="zh-CN"/>
        </w:rPr>
        <w:t>2</w:t>
      </w:r>
      <w:r>
        <w:rPr>
          <w:rFonts w:hint="eastAsia" w:ascii="宋体" w:hAnsi="宋体" w:eastAsia="宋体" w:cs="宋体"/>
          <w:b/>
          <w:color w:val="auto"/>
          <w:szCs w:val="21"/>
          <w:highlight w:val="none"/>
        </w:rPr>
        <w:t>如评标专家在检验电子投标文件过程中，如果由于投标人自身原因导致评标专家无法查看并检验电子投标文件中相关资料的，否决其投标。即使投标人将原件携带至现场的，同样按否决投标处理。</w:t>
      </w:r>
    </w:p>
    <w:p w14:paraId="3763E6F8">
      <w:pPr>
        <w:keepNext w:val="0"/>
        <w:keepLines w:val="0"/>
        <w:pageBreakBefore w:val="0"/>
        <w:kinsoku/>
        <w:overflowPunct/>
        <w:topLinePunct w:val="0"/>
        <w:autoSpaceDE/>
        <w:autoSpaceDN/>
        <w:bidi w:val="0"/>
        <w:adjustRightInd/>
        <w:snapToGrid/>
        <w:spacing w:line="500" w:lineRule="exact"/>
        <w:ind w:firstLine="310" w:firstLineChars="147"/>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4.符合性审查</w:t>
      </w:r>
    </w:p>
    <w:p w14:paraId="2CD59433">
      <w:pPr>
        <w:keepNext w:val="0"/>
        <w:keepLines w:val="0"/>
        <w:pageBreakBefore w:val="0"/>
        <w:kinsoku/>
        <w:overflowPunct/>
        <w:topLinePunct w:val="0"/>
        <w:autoSpaceDE/>
        <w:autoSpaceDN/>
        <w:bidi w:val="0"/>
        <w:adjustRightInd/>
        <w:snapToGrid/>
        <w:spacing w:line="500" w:lineRule="exact"/>
        <w:ind w:firstLine="315" w:firstLineChars="15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4.1评审细则</w:t>
      </w:r>
    </w:p>
    <w:tbl>
      <w:tblPr>
        <w:tblStyle w:val="36"/>
        <w:tblW w:w="0" w:type="auto"/>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318"/>
        <w:gridCol w:w="2931"/>
        <w:gridCol w:w="4691"/>
      </w:tblGrid>
      <w:tr w14:paraId="6D36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35" w:type="dxa"/>
            <w:noWrap w:val="0"/>
            <w:vAlign w:val="center"/>
          </w:tcPr>
          <w:p w14:paraId="40D76283">
            <w:pPr>
              <w:keepNext w:val="0"/>
              <w:keepLines w:val="0"/>
              <w:pageBreakBefore w:val="0"/>
              <w:kinsoku/>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序号</w:t>
            </w:r>
          </w:p>
        </w:tc>
        <w:tc>
          <w:tcPr>
            <w:tcW w:w="4249" w:type="dxa"/>
            <w:gridSpan w:val="2"/>
            <w:noWrap w:val="0"/>
            <w:vAlign w:val="center"/>
          </w:tcPr>
          <w:p w14:paraId="76769715">
            <w:pPr>
              <w:keepNext w:val="0"/>
              <w:keepLines w:val="0"/>
              <w:pageBreakBefore w:val="0"/>
              <w:kinsoku/>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审查因素</w:t>
            </w:r>
          </w:p>
        </w:tc>
        <w:tc>
          <w:tcPr>
            <w:tcW w:w="4691" w:type="dxa"/>
            <w:noWrap w:val="0"/>
            <w:vAlign w:val="center"/>
          </w:tcPr>
          <w:p w14:paraId="0AE4C923">
            <w:pPr>
              <w:keepNext w:val="0"/>
              <w:keepLines w:val="0"/>
              <w:pageBreakBefore w:val="0"/>
              <w:kinsoku/>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审查内容</w:t>
            </w:r>
          </w:p>
        </w:tc>
      </w:tr>
      <w:tr w14:paraId="4270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5" w:type="dxa"/>
            <w:vMerge w:val="restart"/>
            <w:noWrap w:val="0"/>
            <w:vAlign w:val="center"/>
          </w:tcPr>
          <w:p w14:paraId="16FFF87D">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318" w:type="dxa"/>
            <w:vMerge w:val="restart"/>
            <w:noWrap w:val="0"/>
            <w:vAlign w:val="center"/>
          </w:tcPr>
          <w:p w14:paraId="0CC65124">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投标文件的有效性</w:t>
            </w:r>
          </w:p>
        </w:tc>
        <w:tc>
          <w:tcPr>
            <w:tcW w:w="2931" w:type="dxa"/>
            <w:noWrap w:val="0"/>
            <w:vAlign w:val="center"/>
          </w:tcPr>
          <w:p w14:paraId="35453C6C">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（1）投标文件签署</w:t>
            </w:r>
          </w:p>
        </w:tc>
        <w:tc>
          <w:tcPr>
            <w:tcW w:w="4691" w:type="dxa"/>
            <w:noWrap w:val="0"/>
            <w:vAlign w:val="center"/>
          </w:tcPr>
          <w:p w14:paraId="1E827793">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签字、盖章符合要求。</w:t>
            </w:r>
          </w:p>
        </w:tc>
      </w:tr>
      <w:tr w14:paraId="6266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735" w:type="dxa"/>
            <w:vMerge w:val="continue"/>
            <w:noWrap w:val="0"/>
            <w:vAlign w:val="center"/>
          </w:tcPr>
          <w:p w14:paraId="7F80040C">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p>
        </w:tc>
        <w:tc>
          <w:tcPr>
            <w:tcW w:w="1318" w:type="dxa"/>
            <w:vMerge w:val="continue"/>
            <w:noWrap w:val="0"/>
            <w:vAlign w:val="center"/>
          </w:tcPr>
          <w:p w14:paraId="1EA7C3AD">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p>
        </w:tc>
        <w:tc>
          <w:tcPr>
            <w:tcW w:w="2931" w:type="dxa"/>
            <w:noWrap w:val="0"/>
            <w:vAlign w:val="center"/>
          </w:tcPr>
          <w:p w14:paraId="6E40D1A8">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（2）投标方案</w:t>
            </w:r>
          </w:p>
        </w:tc>
        <w:tc>
          <w:tcPr>
            <w:tcW w:w="4691" w:type="dxa"/>
            <w:noWrap w:val="0"/>
            <w:vAlign w:val="center"/>
          </w:tcPr>
          <w:p w14:paraId="260A367A">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每个分包只能有一个方案投标。</w:t>
            </w:r>
          </w:p>
        </w:tc>
      </w:tr>
      <w:tr w14:paraId="4A9E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5" w:type="dxa"/>
            <w:vMerge w:val="continue"/>
            <w:noWrap w:val="0"/>
            <w:vAlign w:val="center"/>
          </w:tcPr>
          <w:p w14:paraId="298505DC">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p>
        </w:tc>
        <w:tc>
          <w:tcPr>
            <w:tcW w:w="1318" w:type="dxa"/>
            <w:vMerge w:val="continue"/>
            <w:noWrap w:val="0"/>
            <w:vAlign w:val="center"/>
          </w:tcPr>
          <w:p w14:paraId="3F8E5D57">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p>
        </w:tc>
        <w:tc>
          <w:tcPr>
            <w:tcW w:w="2931" w:type="dxa"/>
            <w:noWrap w:val="0"/>
            <w:vAlign w:val="center"/>
          </w:tcPr>
          <w:p w14:paraId="151D96B4">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（3）报价唯一</w:t>
            </w:r>
          </w:p>
        </w:tc>
        <w:tc>
          <w:tcPr>
            <w:tcW w:w="4691" w:type="dxa"/>
            <w:noWrap w:val="0"/>
            <w:vAlign w:val="center"/>
          </w:tcPr>
          <w:p w14:paraId="76BB2BF9">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只能在限价范围内报价，</w:t>
            </w:r>
            <w:r>
              <w:rPr>
                <w:rFonts w:hint="eastAsia" w:ascii="宋体" w:hAnsi="宋体" w:eastAsia="宋体" w:cs="宋体"/>
                <w:color w:val="auto"/>
                <w:szCs w:val="21"/>
                <w:highlight w:val="none"/>
              </w:rPr>
              <w:t>只能有一个有效报价，不得提交选择性报价。</w:t>
            </w:r>
          </w:p>
        </w:tc>
      </w:tr>
      <w:tr w14:paraId="4230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trPr>
        <w:tc>
          <w:tcPr>
            <w:tcW w:w="735" w:type="dxa"/>
            <w:vMerge w:val="continue"/>
            <w:noWrap w:val="0"/>
            <w:vAlign w:val="center"/>
          </w:tcPr>
          <w:p w14:paraId="79074638">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p>
        </w:tc>
        <w:tc>
          <w:tcPr>
            <w:tcW w:w="1318" w:type="dxa"/>
            <w:vMerge w:val="continue"/>
            <w:noWrap w:val="0"/>
            <w:vAlign w:val="center"/>
          </w:tcPr>
          <w:p w14:paraId="6F44D52E">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p>
        </w:tc>
        <w:tc>
          <w:tcPr>
            <w:tcW w:w="2931" w:type="dxa"/>
            <w:noWrap w:val="0"/>
            <w:vAlign w:val="center"/>
          </w:tcPr>
          <w:p w14:paraId="6C52594A">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(4) 投标文件的有效期</w:t>
            </w:r>
          </w:p>
        </w:tc>
        <w:tc>
          <w:tcPr>
            <w:tcW w:w="4691" w:type="dxa"/>
            <w:noWrap w:val="0"/>
            <w:vAlign w:val="center"/>
          </w:tcPr>
          <w:p w14:paraId="70A45BE0">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完全响应。</w:t>
            </w:r>
          </w:p>
        </w:tc>
      </w:tr>
      <w:tr w14:paraId="07DA9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735" w:type="dxa"/>
            <w:vMerge w:val="restart"/>
            <w:noWrap w:val="0"/>
            <w:vAlign w:val="center"/>
          </w:tcPr>
          <w:p w14:paraId="6DDEA34F">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318" w:type="dxa"/>
            <w:vMerge w:val="restart"/>
            <w:noWrap w:val="0"/>
            <w:vAlign w:val="center"/>
          </w:tcPr>
          <w:p w14:paraId="32EE3EB5">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投标文件的完整性</w:t>
            </w:r>
          </w:p>
        </w:tc>
        <w:tc>
          <w:tcPr>
            <w:tcW w:w="2931" w:type="dxa"/>
            <w:noWrap w:val="0"/>
            <w:vAlign w:val="center"/>
          </w:tcPr>
          <w:p w14:paraId="7DCC6431">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（5）投标文件份数</w:t>
            </w:r>
          </w:p>
        </w:tc>
        <w:tc>
          <w:tcPr>
            <w:tcW w:w="4691" w:type="dxa"/>
            <w:noWrap w:val="0"/>
            <w:vAlign w:val="center"/>
          </w:tcPr>
          <w:p w14:paraId="1BE43C41">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网上递交的电子投标文件：一份； </w:t>
            </w:r>
          </w:p>
        </w:tc>
      </w:tr>
      <w:tr w14:paraId="1308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trPr>
        <w:tc>
          <w:tcPr>
            <w:tcW w:w="735" w:type="dxa"/>
            <w:vMerge w:val="continue"/>
            <w:noWrap w:val="0"/>
            <w:vAlign w:val="center"/>
          </w:tcPr>
          <w:p w14:paraId="5DD867CC">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p>
        </w:tc>
        <w:tc>
          <w:tcPr>
            <w:tcW w:w="1318" w:type="dxa"/>
            <w:vMerge w:val="continue"/>
            <w:noWrap w:val="0"/>
            <w:vAlign w:val="center"/>
          </w:tcPr>
          <w:p w14:paraId="7BC0F10D">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p>
        </w:tc>
        <w:tc>
          <w:tcPr>
            <w:tcW w:w="2931" w:type="dxa"/>
            <w:noWrap w:val="0"/>
            <w:vAlign w:val="center"/>
          </w:tcPr>
          <w:p w14:paraId="7F0C6E29">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（6）投标文件形式内容</w:t>
            </w:r>
          </w:p>
        </w:tc>
        <w:tc>
          <w:tcPr>
            <w:tcW w:w="4691" w:type="dxa"/>
            <w:noWrap w:val="0"/>
            <w:vAlign w:val="center"/>
          </w:tcPr>
          <w:p w14:paraId="7D04EA98">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投标文件内容清晰、齐全无遗漏。</w:t>
            </w:r>
          </w:p>
        </w:tc>
      </w:tr>
      <w:tr w14:paraId="3360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35" w:type="dxa"/>
            <w:vMerge w:val="restart"/>
            <w:noWrap w:val="0"/>
            <w:vAlign w:val="center"/>
          </w:tcPr>
          <w:p w14:paraId="16ABA9A5">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318" w:type="dxa"/>
            <w:vMerge w:val="restart"/>
            <w:noWrap w:val="0"/>
            <w:vAlign w:val="center"/>
          </w:tcPr>
          <w:p w14:paraId="33355584">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投标文件的响应程度</w:t>
            </w:r>
          </w:p>
        </w:tc>
        <w:tc>
          <w:tcPr>
            <w:tcW w:w="2931" w:type="dxa"/>
            <w:noWrap w:val="0"/>
            <w:vAlign w:val="center"/>
          </w:tcPr>
          <w:p w14:paraId="7ECE28CB">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（7）技术参数响应程度</w:t>
            </w:r>
          </w:p>
        </w:tc>
        <w:tc>
          <w:tcPr>
            <w:tcW w:w="4691" w:type="dxa"/>
            <w:noWrap w:val="0"/>
            <w:vAlign w:val="center"/>
          </w:tcPr>
          <w:p w14:paraId="1DC44340">
            <w:pPr>
              <w:keepNext w:val="0"/>
              <w:keepLines w:val="0"/>
              <w:pageBreakBefore w:val="0"/>
              <w:kinsoku/>
              <w:overflowPunct/>
              <w:topLinePunct w:val="0"/>
              <w:autoSpaceDE/>
              <w:autoSpaceDN/>
              <w:bidi w:val="0"/>
              <w:adjustRightInd/>
              <w:snapToGrid/>
              <w:spacing w:line="500" w:lineRule="exact"/>
              <w:jc w:val="left"/>
              <w:textAlignment w:val="auto"/>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完全响应或优于招标文件要求。</w:t>
            </w:r>
          </w:p>
        </w:tc>
      </w:tr>
      <w:tr w14:paraId="151D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5" w:type="dxa"/>
            <w:vMerge w:val="continue"/>
            <w:noWrap w:val="0"/>
            <w:vAlign w:val="center"/>
          </w:tcPr>
          <w:p w14:paraId="3522BD57">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p>
        </w:tc>
        <w:tc>
          <w:tcPr>
            <w:tcW w:w="1318" w:type="dxa"/>
            <w:vMerge w:val="continue"/>
            <w:noWrap w:val="0"/>
            <w:vAlign w:val="center"/>
          </w:tcPr>
          <w:p w14:paraId="29B3C6D8">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rPr>
            </w:pPr>
          </w:p>
        </w:tc>
        <w:tc>
          <w:tcPr>
            <w:tcW w:w="2931" w:type="dxa"/>
            <w:noWrap w:val="0"/>
            <w:vAlign w:val="center"/>
          </w:tcPr>
          <w:p w14:paraId="7D59E45B">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（8）商务条款响应程度（包括不限于业绩、</w:t>
            </w:r>
            <w:r>
              <w:rPr>
                <w:rFonts w:hint="eastAsia" w:ascii="宋体" w:hAnsi="宋体" w:eastAsia="宋体" w:cs="宋体"/>
                <w:color w:val="auto"/>
                <w:szCs w:val="21"/>
                <w:highlight w:val="none"/>
              </w:rPr>
              <w:t>供货</w:t>
            </w:r>
            <w:r>
              <w:rPr>
                <w:rFonts w:hint="eastAsia" w:ascii="宋体" w:hAnsi="宋体" w:eastAsia="宋体" w:cs="宋体"/>
                <w:color w:val="auto"/>
                <w:szCs w:val="21"/>
                <w:highlight w:val="none"/>
                <w:lang w:val="zh-CN"/>
              </w:rPr>
              <w:t>期、售后服务、技术培训等）</w:t>
            </w:r>
          </w:p>
        </w:tc>
        <w:tc>
          <w:tcPr>
            <w:tcW w:w="4691" w:type="dxa"/>
            <w:noWrap w:val="0"/>
            <w:vAlign w:val="center"/>
          </w:tcPr>
          <w:p w14:paraId="2F218664">
            <w:pPr>
              <w:keepNext w:val="0"/>
              <w:keepLines w:val="0"/>
              <w:pageBreakBefore w:val="0"/>
              <w:kinsoku/>
              <w:overflowPunct/>
              <w:topLinePunct w:val="0"/>
              <w:autoSpaceDE/>
              <w:autoSpaceDN/>
              <w:bidi w:val="0"/>
              <w:adjustRightInd/>
              <w:snapToGrid/>
              <w:spacing w:line="500" w:lineRule="exact"/>
              <w:jc w:val="left"/>
              <w:textAlignment w:val="auto"/>
              <w:rPr>
                <w:rFonts w:hint="eastAsia" w:ascii="宋体" w:hAnsi="宋体" w:eastAsia="宋体" w:cs="宋体"/>
                <w:color w:val="auto"/>
                <w:szCs w:val="21"/>
                <w:highlight w:val="none"/>
                <w:lang w:val="zh-CN"/>
              </w:rPr>
            </w:pPr>
            <w:r>
              <w:rPr>
                <w:rFonts w:hint="eastAsia" w:ascii="宋体" w:hAnsi="宋体" w:cs="宋体"/>
                <w:color w:val="auto"/>
                <w:highlight w:val="none"/>
                <w:lang w:val="en-US" w:eastAsia="zh-CN"/>
              </w:rPr>
              <w:t>完全</w:t>
            </w:r>
            <w:r>
              <w:rPr>
                <w:rFonts w:hint="eastAsia" w:ascii="宋体" w:hAnsi="宋体" w:eastAsia="宋体" w:cs="宋体"/>
                <w:color w:val="auto"/>
                <w:highlight w:val="none"/>
              </w:rPr>
              <w:t>响应</w:t>
            </w:r>
            <w:r>
              <w:rPr>
                <w:rFonts w:hint="eastAsia" w:ascii="宋体" w:hAnsi="宋体" w:cs="宋体"/>
                <w:color w:val="auto"/>
                <w:highlight w:val="none"/>
                <w:lang w:val="en-US" w:eastAsia="zh-CN"/>
              </w:rPr>
              <w:t>或优于</w:t>
            </w:r>
            <w:r>
              <w:rPr>
                <w:rFonts w:hint="eastAsia" w:ascii="宋体" w:hAnsi="宋体" w:eastAsia="宋体" w:cs="宋体"/>
                <w:color w:val="auto"/>
                <w:highlight w:val="none"/>
                <w:lang w:val="zh-CN"/>
              </w:rPr>
              <w:t>招标文件要求。</w:t>
            </w:r>
          </w:p>
        </w:tc>
      </w:tr>
    </w:tbl>
    <w:p w14:paraId="431B6F33">
      <w:pPr>
        <w:keepNext w:val="0"/>
        <w:keepLines w:val="0"/>
        <w:pageBreakBefore w:val="0"/>
        <w:kinsoku/>
        <w:overflowPunct/>
        <w:topLinePunct w:val="0"/>
        <w:autoSpaceDE/>
        <w:autoSpaceDN/>
        <w:bidi w:val="0"/>
        <w:adjustRightInd/>
        <w:snapToGrid/>
        <w:spacing w:line="500" w:lineRule="exact"/>
        <w:ind w:right="36" w:rightChars="17" w:firstLine="506" w:firstLineChars="241"/>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4.2资格审查及评分细则中涉及的有关证明材料及相关证书，电子投标文件中须按招标文件要求上传扫描件，以供审查。</w:t>
      </w:r>
    </w:p>
    <w:p w14:paraId="4387B2A3">
      <w:pPr>
        <w:keepNext w:val="0"/>
        <w:keepLines w:val="0"/>
        <w:pageBreakBefore w:val="0"/>
        <w:kinsoku/>
        <w:overflowPunct/>
        <w:topLinePunct w:val="0"/>
        <w:autoSpaceDE/>
        <w:autoSpaceDN/>
        <w:bidi w:val="0"/>
        <w:adjustRightInd/>
        <w:snapToGrid/>
        <w:spacing w:line="500" w:lineRule="exact"/>
        <w:ind w:right="36" w:rightChars="17" w:firstLine="506" w:firstLineChars="241"/>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4.3评标委员会判定投标文件的响应性只根据投标文件本身的内容，而不寻求外部的证据，但投标有不真实不正确的内容时除外。</w:t>
      </w:r>
    </w:p>
    <w:p w14:paraId="44D2FA3D">
      <w:pPr>
        <w:keepNext w:val="0"/>
        <w:keepLines w:val="0"/>
        <w:pageBreakBefore w:val="0"/>
        <w:kinsoku/>
        <w:overflowPunct/>
        <w:topLinePunct w:val="0"/>
        <w:autoSpaceDE/>
        <w:autoSpaceDN/>
        <w:bidi w:val="0"/>
        <w:adjustRightInd/>
        <w:snapToGrid/>
        <w:spacing w:line="500" w:lineRule="exact"/>
        <w:ind w:right="36" w:rightChars="17" w:firstLine="506" w:firstLineChars="241"/>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0BCF7B17">
      <w:pPr>
        <w:keepNext w:val="0"/>
        <w:keepLines w:val="0"/>
        <w:pageBreakBefore w:val="0"/>
        <w:kinsoku/>
        <w:overflowPunct/>
        <w:topLinePunct w:val="0"/>
        <w:autoSpaceDE/>
        <w:autoSpaceDN/>
        <w:bidi w:val="0"/>
        <w:adjustRightInd/>
        <w:snapToGrid/>
        <w:spacing w:line="500" w:lineRule="exact"/>
        <w:ind w:right="36" w:rightChars="17"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4.5投标人可在现场20分钟内对评标委员会的评审结论提出质疑，评标委员会根据招标文件及有关规定对投标人的质疑进行复议。</w:t>
      </w:r>
    </w:p>
    <w:p w14:paraId="038A954C">
      <w:pPr>
        <w:keepNext w:val="0"/>
        <w:keepLines w:val="0"/>
        <w:pageBreakBefore w:val="0"/>
        <w:kinsoku/>
        <w:overflowPunct/>
        <w:topLinePunct w:val="0"/>
        <w:autoSpaceDE/>
        <w:autoSpaceDN/>
        <w:bidi w:val="0"/>
        <w:adjustRightInd/>
        <w:snapToGrid/>
        <w:spacing w:line="500" w:lineRule="exact"/>
        <w:ind w:right="36" w:rightChars="17" w:firstLine="525" w:firstLineChars="25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4.6只有通过初审的投标人才能进入下一步程序。</w:t>
      </w:r>
    </w:p>
    <w:p w14:paraId="414E14D9">
      <w:pPr>
        <w:keepNext w:val="0"/>
        <w:keepLines w:val="0"/>
        <w:pageBreakBefore w:val="0"/>
        <w:kinsoku/>
        <w:overflowPunct/>
        <w:topLinePunct w:val="0"/>
        <w:autoSpaceDE/>
        <w:autoSpaceDN/>
        <w:bidi w:val="0"/>
        <w:adjustRightInd/>
        <w:snapToGrid/>
        <w:spacing w:line="500" w:lineRule="exact"/>
        <w:ind w:right="36" w:rightChars="17"/>
        <w:jc w:val="left"/>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温馨提示：投标文件资格审查资料请精心准备,如评标专家在检验电子投标文件过程中，如果由于投标人自身原因导致评标专家无法查看并检验电子投标文件中以上相关资料的，按无效投标处理。即使投标人将原件携带至现场的，同样按无效投标处理。</w:t>
      </w:r>
    </w:p>
    <w:p w14:paraId="1602B5E0">
      <w:pPr>
        <w:keepNext w:val="0"/>
        <w:keepLines w:val="0"/>
        <w:pageBreakBefore w:val="0"/>
        <w:widowControl w:val="0"/>
        <w:kinsoku/>
        <w:wordWrap/>
        <w:overflowPunct/>
        <w:topLinePunct w:val="0"/>
        <w:autoSpaceDE/>
        <w:autoSpaceDN/>
        <w:bidi w:val="0"/>
        <w:adjustRightInd/>
        <w:snapToGrid/>
        <w:spacing w:before="156" w:beforeLines="50" w:after="156" w:afterLines="50" w:line="500" w:lineRule="exact"/>
        <w:jc w:val="center"/>
        <w:textAlignment w:val="auto"/>
        <w:outlineLvl w:val="1"/>
        <w:rPr>
          <w:rFonts w:hint="eastAsia" w:ascii="宋体"/>
          <w:b/>
          <w:color w:val="auto"/>
          <w:sz w:val="28"/>
          <w:szCs w:val="28"/>
          <w:highlight w:val="none"/>
        </w:rPr>
      </w:pPr>
      <w:bookmarkStart w:id="63" w:name="_Toc449028879"/>
      <w:bookmarkStart w:id="64" w:name="_Toc58430319"/>
      <w:bookmarkStart w:id="65" w:name="_Toc362983803"/>
      <w:bookmarkStart w:id="66" w:name="_Toc14002"/>
      <w:r>
        <w:rPr>
          <w:rFonts w:hint="eastAsia" w:ascii="宋体"/>
          <w:b/>
          <w:color w:val="auto"/>
          <w:sz w:val="28"/>
          <w:szCs w:val="28"/>
          <w:highlight w:val="none"/>
        </w:rPr>
        <w:t>三、投标文件的澄清和补正</w:t>
      </w:r>
      <w:bookmarkEnd w:id="63"/>
      <w:bookmarkEnd w:id="64"/>
      <w:bookmarkEnd w:id="65"/>
      <w:bookmarkEnd w:id="66"/>
    </w:p>
    <w:p w14:paraId="02C99671">
      <w:pPr>
        <w:keepNext w:val="0"/>
        <w:keepLines w:val="0"/>
        <w:pageBreakBefore w:val="0"/>
        <w:widowControl w:val="0"/>
        <w:kinsoku/>
        <w:wordWrap/>
        <w:overflowPunct/>
        <w:topLinePunct w:val="0"/>
        <w:autoSpaceDE/>
        <w:autoSpaceDN/>
        <w:bidi w:val="0"/>
        <w:adjustRightInd/>
        <w:snapToGrid/>
        <w:spacing w:line="500" w:lineRule="exact"/>
        <w:ind w:right="36" w:rightChars="17"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5.1评审阶段，评委可能会要求有关投标人就其投标文件中含义不明确、同类问题表述不一致或者有明显文字和计算错误的内容进行澄清。投标人必须在规定时间内进行回复，</w:t>
      </w:r>
      <w:r>
        <w:rPr>
          <w:rFonts w:hint="eastAsia" w:ascii="宋体" w:hAnsi="宋体" w:cs="宋体"/>
          <w:b/>
          <w:bCs/>
          <w:color w:val="auto"/>
          <w:szCs w:val="21"/>
          <w:highlight w:val="none"/>
          <w:lang w:bidi="ar"/>
        </w:rPr>
        <w:t>如因投标人未参加开标导致开评标过程中无法澄清、说明或补正的，视同投标人放弃该权利。</w:t>
      </w:r>
    </w:p>
    <w:p w14:paraId="6DD91EAE">
      <w:pPr>
        <w:keepNext w:val="0"/>
        <w:keepLines w:val="0"/>
        <w:pageBreakBefore w:val="0"/>
        <w:widowControl w:val="0"/>
        <w:kinsoku/>
        <w:wordWrap/>
        <w:overflowPunct/>
        <w:topLinePunct w:val="0"/>
        <w:autoSpaceDE/>
        <w:autoSpaceDN/>
        <w:bidi w:val="0"/>
        <w:adjustRightInd/>
        <w:snapToGrid/>
        <w:spacing w:line="500" w:lineRule="exact"/>
        <w:ind w:right="36" w:rightChars="17" w:firstLine="525" w:firstLineChars="2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5.2本项目采用远程开标，投标人的澄清、说明或者补正应当在系统进行，但不得超出投标书的范围或者改变投标书的实质性内容。</w:t>
      </w:r>
    </w:p>
    <w:p w14:paraId="372574E5">
      <w:pPr>
        <w:keepNext w:val="0"/>
        <w:keepLines w:val="0"/>
        <w:pageBreakBefore w:val="0"/>
        <w:widowControl w:val="0"/>
        <w:kinsoku/>
        <w:wordWrap/>
        <w:overflowPunct/>
        <w:topLinePunct w:val="0"/>
        <w:autoSpaceDE/>
        <w:autoSpaceDN/>
        <w:bidi w:val="0"/>
        <w:adjustRightInd/>
        <w:snapToGrid/>
        <w:spacing w:line="500" w:lineRule="exact"/>
        <w:ind w:right="36" w:rightChars="17" w:firstLine="525" w:firstLineChars="2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5.3评委会修正错误的原则：</w:t>
      </w:r>
    </w:p>
    <w:p w14:paraId="35389036">
      <w:pPr>
        <w:keepNext w:val="0"/>
        <w:keepLines w:val="0"/>
        <w:pageBreakBefore w:val="0"/>
        <w:widowControl w:val="0"/>
        <w:kinsoku/>
        <w:wordWrap/>
        <w:overflowPunct/>
        <w:topLinePunct w:val="0"/>
        <w:autoSpaceDE/>
        <w:autoSpaceDN/>
        <w:bidi w:val="0"/>
        <w:adjustRightInd/>
        <w:snapToGrid/>
        <w:spacing w:line="500" w:lineRule="exact"/>
        <w:ind w:right="36" w:rightChars="17" w:firstLine="525" w:firstLineChars="2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4486DE1A">
      <w:pPr>
        <w:keepNext w:val="0"/>
        <w:keepLines w:val="0"/>
        <w:pageBreakBefore w:val="0"/>
        <w:widowControl w:val="0"/>
        <w:kinsoku/>
        <w:wordWrap/>
        <w:overflowPunct/>
        <w:topLinePunct w:val="0"/>
        <w:autoSpaceDE/>
        <w:autoSpaceDN/>
        <w:bidi w:val="0"/>
        <w:adjustRightInd/>
        <w:snapToGrid/>
        <w:spacing w:line="500" w:lineRule="exact"/>
        <w:ind w:right="36" w:rightChars="17" w:firstLine="525" w:firstLineChars="25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5.3.2如果单价与数量的乘积和总价不一致，以单价为准，修正总价及开标一览表；当单价小数点有明显的错位时，评委会将以总价为准，并修正其单价；投标的数量与招标的数量不一致时，以招标数量为准。</w:t>
      </w:r>
    </w:p>
    <w:p w14:paraId="4C23F428">
      <w:pPr>
        <w:keepNext w:val="0"/>
        <w:keepLines w:val="0"/>
        <w:pageBreakBefore w:val="0"/>
        <w:widowControl w:val="0"/>
        <w:kinsoku/>
        <w:wordWrap/>
        <w:overflowPunct/>
        <w:topLinePunct w:val="0"/>
        <w:autoSpaceDE/>
        <w:autoSpaceDN/>
        <w:bidi w:val="0"/>
        <w:adjustRightInd/>
        <w:snapToGrid/>
        <w:spacing w:line="500" w:lineRule="exact"/>
        <w:ind w:right="36" w:rightChars="17" w:firstLine="403" w:firstLineChars="192"/>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 5.4评委会将按上述修正错误的方法调整投标文件中的投标报价，调整后的价格应对投标人具有约束力。无论投标人是接受或是拒绝调整后的价格，都应当由法定代表人（或委托代理人）签字予以书面确认。投标人拒绝对投标文件出现的错漏按上述原则进行修正、澄清、说明，评标委员会应当否决其投标。</w:t>
      </w:r>
    </w:p>
    <w:bookmarkEnd w:id="58"/>
    <w:p w14:paraId="6DA1F5B4">
      <w:pPr>
        <w:spacing w:before="156" w:beforeLines="50" w:after="156" w:afterLines="50"/>
        <w:jc w:val="center"/>
        <w:outlineLvl w:val="1"/>
        <w:rPr>
          <w:rFonts w:hint="eastAsia" w:ascii="宋体"/>
          <w:b/>
          <w:color w:val="auto"/>
          <w:sz w:val="28"/>
          <w:szCs w:val="28"/>
          <w:highlight w:val="none"/>
        </w:rPr>
      </w:pPr>
      <w:bookmarkStart w:id="67" w:name="_Toc58430320"/>
      <w:bookmarkStart w:id="68" w:name="_Toc3630"/>
      <w:bookmarkStart w:id="69" w:name="_Toc449028880"/>
      <w:bookmarkStart w:id="70" w:name="_Hlk101517174"/>
      <w:r>
        <w:rPr>
          <w:rFonts w:hint="eastAsia" w:ascii="宋体"/>
          <w:b/>
          <w:color w:val="auto"/>
          <w:sz w:val="28"/>
          <w:szCs w:val="28"/>
          <w:highlight w:val="none"/>
        </w:rPr>
        <w:t>四、比较与评价</w:t>
      </w:r>
      <w:bookmarkEnd w:id="67"/>
      <w:bookmarkEnd w:id="68"/>
      <w:bookmarkEnd w:id="69"/>
    </w:p>
    <w:p w14:paraId="0952BFD5">
      <w:pPr>
        <w:keepNext w:val="0"/>
        <w:keepLines w:val="0"/>
        <w:pageBreakBefore w:val="0"/>
        <w:kinsoku/>
        <w:wordWrap/>
        <w:overflowPunct/>
        <w:topLinePunct w:val="0"/>
        <w:autoSpaceDE/>
        <w:autoSpaceDN/>
        <w:bidi w:val="0"/>
        <w:spacing w:line="500" w:lineRule="exact"/>
        <w:ind w:right="36" w:rightChars="17" w:firstLine="417" w:firstLineChars="198"/>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 xml:space="preserve"> 6.</w:t>
      </w:r>
      <w:bookmarkStart w:id="71" w:name="_Toc362983805"/>
      <w:r>
        <w:rPr>
          <w:rFonts w:hint="eastAsia" w:ascii="宋体" w:hAnsi="宋体" w:eastAsia="宋体" w:cs="宋体"/>
          <w:b/>
          <w:color w:val="auto"/>
          <w:szCs w:val="21"/>
          <w:highlight w:val="none"/>
        </w:rPr>
        <w:t>详细评审即按招标文件中规定的评标方法和标准，评标委员会将对通过初审的投标文件，进行技术和商务部分评估、综合比较与评价。</w:t>
      </w:r>
    </w:p>
    <w:bookmarkEnd w:id="70"/>
    <w:p w14:paraId="627E591A">
      <w:pPr>
        <w:keepNext w:val="0"/>
        <w:keepLines w:val="0"/>
        <w:pageBreakBefore w:val="0"/>
        <w:kinsoku/>
        <w:wordWrap/>
        <w:overflowPunct/>
        <w:topLinePunct w:val="0"/>
        <w:autoSpaceDE/>
        <w:autoSpaceDN/>
        <w:bidi w:val="0"/>
        <w:adjustRightInd w:val="0"/>
        <w:snapToGrid w:val="0"/>
        <w:spacing w:line="500" w:lineRule="exact"/>
        <w:ind w:firstLine="422" w:firstLineChars="200"/>
        <w:jc w:val="left"/>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6.1资信标评分细则（10分）</w:t>
      </w:r>
    </w:p>
    <w:tbl>
      <w:tblPr>
        <w:tblStyle w:val="36"/>
        <w:tblW w:w="101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152"/>
        <w:gridCol w:w="825"/>
        <w:gridCol w:w="7518"/>
      </w:tblGrid>
      <w:tr w14:paraId="784A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97" w:type="dxa"/>
            <w:noWrap w:val="0"/>
            <w:vAlign w:val="center"/>
          </w:tcPr>
          <w:p w14:paraId="1253C55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152" w:type="dxa"/>
            <w:noWrap w:val="0"/>
            <w:vAlign w:val="center"/>
          </w:tcPr>
          <w:p w14:paraId="2C23009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评分因素</w:t>
            </w:r>
          </w:p>
        </w:tc>
        <w:tc>
          <w:tcPr>
            <w:tcW w:w="825" w:type="dxa"/>
            <w:noWrap w:val="0"/>
            <w:vAlign w:val="center"/>
          </w:tcPr>
          <w:p w14:paraId="6E3378A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分值</w:t>
            </w:r>
          </w:p>
        </w:tc>
        <w:tc>
          <w:tcPr>
            <w:tcW w:w="7518" w:type="dxa"/>
            <w:noWrap w:val="0"/>
            <w:vAlign w:val="center"/>
          </w:tcPr>
          <w:p w14:paraId="74656BE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评审细则</w:t>
            </w:r>
          </w:p>
        </w:tc>
      </w:tr>
      <w:tr w14:paraId="216DC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97" w:type="dxa"/>
            <w:noWrap w:val="0"/>
            <w:vAlign w:val="center"/>
          </w:tcPr>
          <w:p w14:paraId="3CA5620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1152" w:type="dxa"/>
            <w:noWrap w:val="0"/>
            <w:vAlign w:val="center"/>
          </w:tcPr>
          <w:p w14:paraId="13B01852">
            <w:pPr>
              <w:pStyle w:val="132"/>
              <w:keepNext w:val="0"/>
              <w:keepLines w:val="0"/>
              <w:pageBreakBefore w:val="0"/>
              <w:widowControl w:val="0"/>
              <w:kinsoku/>
              <w:wordWrap/>
              <w:overflowPunct/>
              <w:topLinePunct w:val="0"/>
              <w:autoSpaceDE/>
              <w:autoSpaceDN/>
              <w:bidi w:val="0"/>
              <w:adjustRightInd/>
              <w:snapToGrid/>
              <w:spacing w:before="0" w:line="500" w:lineRule="exact"/>
              <w:ind w:left="0" w:leftChars="0" w:right="0" w:rightChars="0" w:firstLine="0" w:firstLineChars="0"/>
              <w:jc w:val="center"/>
              <w:textAlignment w:val="auto"/>
              <w:outlineLvl w:val="9"/>
              <w:rPr>
                <w:rFonts w:hint="default" w:ascii="宋体" w:hAnsi="宋体" w:eastAsia="宋体"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企业业绩</w:t>
            </w:r>
          </w:p>
        </w:tc>
        <w:tc>
          <w:tcPr>
            <w:tcW w:w="825" w:type="dxa"/>
            <w:noWrap w:val="0"/>
            <w:vAlign w:val="center"/>
          </w:tcPr>
          <w:p w14:paraId="43BABF29">
            <w:pPr>
              <w:keepNext w:val="0"/>
              <w:keepLines w:val="0"/>
              <w:pageBreakBefore w:val="0"/>
              <w:widowControl w:val="0"/>
              <w:kinsoku/>
              <w:wordWrap/>
              <w:overflowPunct/>
              <w:topLinePunct w:val="0"/>
              <w:autoSpaceDE/>
              <w:autoSpaceDN/>
              <w:bidi w:val="0"/>
              <w:adjustRightInd/>
              <w:snapToGrid/>
              <w:spacing w:before="0" w:line="500" w:lineRule="exact"/>
              <w:ind w:left="0" w:leftChars="0" w:right="0" w:rightChars="0" w:firstLine="0" w:firstLineChars="0"/>
              <w:jc w:val="center"/>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7518" w:type="dxa"/>
            <w:noWrap w:val="0"/>
            <w:vAlign w:val="center"/>
          </w:tcPr>
          <w:p w14:paraId="131E9356">
            <w:pPr>
              <w:pStyle w:val="35"/>
              <w:keepNext w:val="0"/>
              <w:keepLines w:val="0"/>
              <w:pageBreakBefore w:val="0"/>
              <w:kinsoku/>
              <w:wordWrap/>
              <w:overflowPunct/>
              <w:topLinePunct w:val="0"/>
              <w:autoSpaceDE/>
              <w:autoSpaceDN/>
              <w:bidi w:val="0"/>
              <w:adjustRightInd/>
              <w:snapToGrid/>
              <w:spacing w:after="0" w:afterLines="0" w:line="50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自2021年9月1日至投标截止日（以合同签订时间为准），投标人具有称重系统采购业绩，每提供一个业绩得5分，满分10分。</w:t>
            </w:r>
          </w:p>
          <w:p w14:paraId="454F586A">
            <w:pPr>
              <w:pStyle w:val="35"/>
              <w:keepNext w:val="0"/>
              <w:keepLines w:val="0"/>
              <w:pageBreakBefore w:val="0"/>
              <w:kinsoku/>
              <w:wordWrap/>
              <w:overflowPunct/>
              <w:topLinePunct w:val="0"/>
              <w:autoSpaceDE/>
              <w:autoSpaceDN/>
              <w:bidi w:val="0"/>
              <w:adjustRightInd/>
              <w:snapToGrid/>
              <w:spacing w:after="0" w:afterLines="0" w:line="500" w:lineRule="exact"/>
              <w:ind w:left="0" w:leftChars="0" w:firstLine="0" w:firstLineChars="0"/>
              <w:jc w:val="left"/>
              <w:textAlignment w:val="auto"/>
              <w:rPr>
                <w:color w:val="auto"/>
                <w:highlight w:val="none"/>
              </w:rPr>
            </w:pPr>
            <w:r>
              <w:rPr>
                <w:rFonts w:hint="eastAsia" w:ascii="宋体" w:hAnsi="宋体" w:eastAsia="宋体" w:cs="宋体"/>
                <w:b/>
                <w:bCs/>
                <w:color w:val="auto"/>
                <w:sz w:val="21"/>
                <w:szCs w:val="21"/>
                <w:highlight w:val="none"/>
                <w:lang w:val="en-US" w:eastAsia="zh-CN"/>
              </w:rPr>
              <w:t>注：同时提供下列资料扫描件：①</w:t>
            </w:r>
            <w:r>
              <w:rPr>
                <w:rFonts w:hint="eastAsia" w:ascii="宋体" w:hAnsi="宋体" w:cs="宋体"/>
                <w:b/>
                <w:bCs/>
                <w:color w:val="auto"/>
                <w:sz w:val="21"/>
                <w:szCs w:val="21"/>
                <w:highlight w:val="none"/>
                <w:lang w:val="en-US" w:eastAsia="zh-CN"/>
              </w:rPr>
              <w:t>合同</w:t>
            </w:r>
            <w:r>
              <w:rPr>
                <w:rFonts w:hint="eastAsia" w:ascii="宋体" w:hAnsi="宋体" w:eastAsia="宋体" w:cs="宋体"/>
                <w:b/>
                <w:bCs/>
                <w:color w:val="auto"/>
                <w:sz w:val="21"/>
                <w:szCs w:val="21"/>
                <w:highlight w:val="none"/>
                <w:lang w:val="en-US" w:eastAsia="zh-CN"/>
              </w:rPr>
              <w:t>；②</w:t>
            </w:r>
            <w:r>
              <w:rPr>
                <w:rFonts w:hint="eastAsia" w:ascii="宋体" w:hAnsi="宋体" w:cs="宋体"/>
                <w:b/>
                <w:bCs/>
                <w:color w:val="auto"/>
                <w:sz w:val="21"/>
                <w:szCs w:val="21"/>
                <w:highlight w:val="none"/>
                <w:lang w:val="en-US" w:eastAsia="zh-CN"/>
              </w:rPr>
              <w:t>合同项下任意发票。如上述材料中体现不出合同内容等评审因素的，须另提供业绩甲方出具的证明材料。</w:t>
            </w:r>
          </w:p>
        </w:tc>
      </w:tr>
      <w:tr w14:paraId="65F3B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192" w:type="dxa"/>
            <w:gridSpan w:val="4"/>
            <w:noWrap w:val="0"/>
            <w:vAlign w:val="center"/>
          </w:tcPr>
          <w:p w14:paraId="382A0F3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lang w:val="en-US" w:eastAsia="zh-CN" w:bidi="ar"/>
              </w:rPr>
              <w:t>注：各评委得分的平均值为投标人</w:t>
            </w:r>
            <w:r>
              <w:rPr>
                <w:rFonts w:hint="eastAsia" w:ascii="宋体" w:hAnsi="宋体" w:cs="宋体"/>
                <w:color w:val="auto"/>
                <w:kern w:val="0"/>
                <w:sz w:val="21"/>
                <w:szCs w:val="21"/>
                <w:highlight w:val="none"/>
                <w:lang w:val="en-US" w:eastAsia="zh-CN" w:bidi="ar"/>
              </w:rPr>
              <w:t>资信标</w:t>
            </w:r>
            <w:r>
              <w:rPr>
                <w:rFonts w:hint="eastAsia" w:ascii="宋体" w:hAnsi="宋体" w:eastAsia="宋体" w:cs="宋体"/>
                <w:color w:val="auto"/>
                <w:kern w:val="0"/>
                <w:sz w:val="21"/>
                <w:szCs w:val="21"/>
                <w:highlight w:val="none"/>
                <w:lang w:val="en-US" w:eastAsia="zh-CN" w:bidi="ar"/>
              </w:rPr>
              <w:t>得分，分值保留两位小数点，第三位四舍五入。</w:t>
            </w:r>
          </w:p>
        </w:tc>
      </w:tr>
    </w:tbl>
    <w:p w14:paraId="7D00DDCD">
      <w:pPr>
        <w:keepNext w:val="0"/>
        <w:keepLines w:val="0"/>
        <w:pageBreakBefore w:val="0"/>
        <w:kinsoku/>
        <w:wordWrap/>
        <w:overflowPunct/>
        <w:topLinePunct w:val="0"/>
        <w:autoSpaceDE/>
        <w:autoSpaceDN/>
        <w:bidi w:val="0"/>
        <w:adjustRightInd w:val="0"/>
        <w:snapToGrid w:val="0"/>
        <w:spacing w:line="500" w:lineRule="exact"/>
        <w:ind w:firstLine="422" w:firstLineChars="200"/>
        <w:jc w:val="left"/>
        <w:textAlignment w:val="auto"/>
        <w:rPr>
          <w:rFonts w:hint="default"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6.</w:t>
      </w:r>
      <w:r>
        <w:rPr>
          <w:rFonts w:hint="eastAsia" w:ascii="宋体" w:hAnsi="宋体" w:cs="宋体"/>
          <w:b/>
          <w:bCs/>
          <w:color w:val="auto"/>
          <w:szCs w:val="21"/>
          <w:highlight w:val="none"/>
          <w:lang w:val="en-US" w:eastAsia="zh-CN"/>
        </w:rPr>
        <w:t>2技术标</w:t>
      </w:r>
      <w:r>
        <w:rPr>
          <w:rFonts w:hint="eastAsia" w:ascii="宋体" w:hAnsi="宋体" w:eastAsia="宋体" w:cs="宋体"/>
          <w:b/>
          <w:bCs/>
          <w:color w:val="auto"/>
          <w:szCs w:val="21"/>
          <w:highlight w:val="none"/>
          <w:lang w:val="en-US" w:eastAsia="zh-CN"/>
        </w:rPr>
        <w:t>评分细则（</w:t>
      </w:r>
      <w:r>
        <w:rPr>
          <w:rFonts w:hint="eastAsia" w:ascii="宋体" w:hAnsi="宋体" w:cs="宋体"/>
          <w:b/>
          <w:bCs/>
          <w:color w:val="auto"/>
          <w:szCs w:val="21"/>
          <w:highlight w:val="none"/>
          <w:lang w:val="en-US" w:eastAsia="zh-CN"/>
        </w:rPr>
        <w:t>30</w:t>
      </w:r>
      <w:r>
        <w:rPr>
          <w:rFonts w:hint="eastAsia" w:ascii="宋体" w:hAnsi="宋体" w:eastAsia="宋体" w:cs="宋体"/>
          <w:b/>
          <w:bCs/>
          <w:color w:val="auto"/>
          <w:szCs w:val="21"/>
          <w:highlight w:val="none"/>
          <w:lang w:val="en-US" w:eastAsia="zh-CN"/>
        </w:rPr>
        <w:t>分</w:t>
      </w:r>
      <w:r>
        <w:rPr>
          <w:rFonts w:hint="eastAsia" w:ascii="宋体" w:hAnsi="宋体" w:cs="宋体"/>
          <w:b/>
          <w:bCs/>
          <w:color w:val="auto"/>
          <w:szCs w:val="21"/>
          <w:highlight w:val="none"/>
          <w:lang w:val="en-US" w:eastAsia="zh-CN"/>
        </w:rPr>
        <w:t>）</w:t>
      </w:r>
    </w:p>
    <w:tbl>
      <w:tblPr>
        <w:tblStyle w:val="36"/>
        <w:tblW w:w="101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152"/>
        <w:gridCol w:w="825"/>
        <w:gridCol w:w="7518"/>
      </w:tblGrid>
      <w:tr w14:paraId="5260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97" w:type="dxa"/>
            <w:noWrap w:val="0"/>
            <w:vAlign w:val="center"/>
          </w:tcPr>
          <w:p w14:paraId="48EED94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152" w:type="dxa"/>
            <w:noWrap w:val="0"/>
            <w:vAlign w:val="center"/>
          </w:tcPr>
          <w:p w14:paraId="17F80AF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评分因素</w:t>
            </w:r>
          </w:p>
        </w:tc>
        <w:tc>
          <w:tcPr>
            <w:tcW w:w="825" w:type="dxa"/>
            <w:noWrap w:val="0"/>
            <w:vAlign w:val="center"/>
          </w:tcPr>
          <w:p w14:paraId="43BEF5A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分值</w:t>
            </w:r>
          </w:p>
        </w:tc>
        <w:tc>
          <w:tcPr>
            <w:tcW w:w="7518" w:type="dxa"/>
            <w:noWrap w:val="0"/>
            <w:vAlign w:val="center"/>
          </w:tcPr>
          <w:p w14:paraId="370119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评审细则</w:t>
            </w:r>
          </w:p>
        </w:tc>
      </w:tr>
      <w:tr w14:paraId="278C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97" w:type="dxa"/>
            <w:shd w:val="clear" w:color="auto" w:fill="FFFFFF" w:themeFill="background1"/>
            <w:noWrap w:val="0"/>
            <w:vAlign w:val="center"/>
          </w:tcPr>
          <w:p w14:paraId="6D20446B">
            <w:pPr>
              <w:pStyle w:val="14"/>
              <w:keepNext w:val="0"/>
              <w:keepLines w:val="0"/>
              <w:pageBreakBefore w:val="0"/>
              <w:widowControl w:val="0"/>
              <w:kinsoku/>
              <w:wordWrap/>
              <w:overflowPunct/>
              <w:topLinePunct w:val="0"/>
              <w:autoSpaceDE/>
              <w:autoSpaceDN/>
              <w:bidi w:val="0"/>
              <w:adjustRightInd/>
              <w:snapToGrid/>
              <w:spacing w:after="0" w:afterLines="0"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color w:val="auto"/>
                <w:highlight w:val="none"/>
                <w:lang w:val="en-US" w:eastAsia="zh-CN"/>
              </w:rPr>
              <w:t>1</w:t>
            </w:r>
          </w:p>
        </w:tc>
        <w:tc>
          <w:tcPr>
            <w:tcW w:w="1152" w:type="dxa"/>
            <w:shd w:val="clear" w:color="auto" w:fill="FFFFFF" w:themeFill="background1"/>
            <w:noWrap w:val="0"/>
            <w:vAlign w:val="center"/>
          </w:tcPr>
          <w:p w14:paraId="1A0364FA">
            <w:pPr>
              <w:pStyle w:val="132"/>
              <w:keepNext w:val="0"/>
              <w:keepLines w:val="0"/>
              <w:pageBreakBefore w:val="0"/>
              <w:widowControl w:val="0"/>
              <w:kinsoku/>
              <w:wordWrap/>
              <w:overflowPunct/>
              <w:topLinePunct w:val="0"/>
              <w:autoSpaceDE/>
              <w:autoSpaceDN/>
              <w:bidi w:val="0"/>
              <w:adjustRightInd/>
              <w:snapToGrid/>
              <w:spacing w:before="0" w:line="500" w:lineRule="exact"/>
              <w:ind w:left="0" w:leftChars="0" w:right="0" w:rightChars="0" w:firstLine="0" w:firstLineChars="0"/>
              <w:textAlignment w:val="auto"/>
              <w:outlineLvl w:val="9"/>
              <w:rPr>
                <w:rFonts w:hint="eastAsia" w:ascii="宋体" w:hAnsi="宋体" w:eastAsia="宋体" w:cs="宋体"/>
                <w:b w:val="0"/>
                <w:bCs w:val="0"/>
                <w:color w:val="auto"/>
                <w:kern w:val="2"/>
                <w:sz w:val="21"/>
                <w:szCs w:val="21"/>
                <w:highlight w:val="none"/>
                <w:lang w:val="en-US" w:eastAsia="zh-CN" w:bidi="ar-SA"/>
              </w:rPr>
            </w:pPr>
            <w:r>
              <w:rPr>
                <w:color w:val="auto"/>
                <w:sz w:val="21"/>
                <w:szCs w:val="21"/>
                <w:highlight w:val="none"/>
              </w:rPr>
              <w:t>项目理解</w:t>
            </w:r>
          </w:p>
        </w:tc>
        <w:tc>
          <w:tcPr>
            <w:tcW w:w="825" w:type="dxa"/>
            <w:shd w:val="clear" w:color="auto" w:fill="FFFFFF" w:themeFill="background1"/>
            <w:noWrap w:val="0"/>
            <w:vAlign w:val="center"/>
          </w:tcPr>
          <w:p w14:paraId="493A5E73">
            <w:pPr>
              <w:keepNext w:val="0"/>
              <w:keepLines w:val="0"/>
              <w:pageBreakBefore w:val="0"/>
              <w:widowControl w:val="0"/>
              <w:kinsoku/>
              <w:wordWrap/>
              <w:overflowPunct/>
              <w:topLinePunct w:val="0"/>
              <w:autoSpaceDE/>
              <w:autoSpaceDN/>
              <w:bidi w:val="0"/>
              <w:adjustRightInd/>
              <w:snapToGrid/>
              <w:spacing w:before="0" w:line="500" w:lineRule="exact"/>
              <w:ind w:left="0" w:leftChars="0" w:right="0" w:rightChars="0" w:firstLine="0" w:firstLineChars="0"/>
              <w:jc w:val="center"/>
              <w:textAlignment w:val="auto"/>
              <w:outlineLvl w:val="9"/>
              <w:rPr>
                <w:rFonts w:hint="eastAsia" w:ascii="宋体" w:hAnsi="宋体" w:eastAsia="宋体" w:cs="宋体"/>
                <w:b w:val="0"/>
                <w:bCs w:val="0"/>
                <w:color w:val="auto"/>
                <w:kern w:val="2"/>
                <w:sz w:val="21"/>
                <w:szCs w:val="21"/>
                <w:highlight w:val="none"/>
                <w:lang w:val="en-US" w:eastAsia="zh-CN" w:bidi="ar-SA"/>
              </w:rPr>
            </w:pPr>
            <w:r>
              <w:rPr>
                <w:color w:val="auto"/>
                <w:highlight w:val="none"/>
              </w:rPr>
              <w:t>10分</w:t>
            </w:r>
          </w:p>
        </w:tc>
        <w:tc>
          <w:tcPr>
            <w:tcW w:w="7518" w:type="dxa"/>
            <w:shd w:val="clear" w:color="auto" w:fill="FFFFFF" w:themeFill="background1"/>
            <w:noWrap w:val="0"/>
            <w:vAlign w:val="top"/>
          </w:tcPr>
          <w:p w14:paraId="317E103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投标人对本项目智能称重业务全流程（客商开户充值、计划单多级审批、派车调度、现场核验、无人值守过磅、磅单结算对账、用友U8C财务对接）的理解深度，及对关键技术环节（车牌识别与限位校验、皮重比对防作弊、过磅状态机自动流转、断网边缘自治、视频抓拍留证）的认识程度。</w:t>
            </w:r>
          </w:p>
          <w:p w14:paraId="2EEE3C0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（1）对业务流程和关键技术环节理解深入、准确</w:t>
            </w: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方案贴合项目实际的得10分；</w:t>
            </w:r>
          </w:p>
          <w:p w14:paraId="2E013AE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（2）理解较深入、基本贴合项目实际的得8分；</w:t>
            </w:r>
          </w:p>
          <w:p w14:paraId="0299693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（3）理解一般、内容较浅的得6分；</w:t>
            </w:r>
          </w:p>
          <w:p w14:paraId="35AEF526">
            <w:pPr>
              <w:keepNext w:val="0"/>
              <w:keepLines w:val="0"/>
              <w:pageBreakBefore w:val="0"/>
              <w:kinsoku/>
              <w:wordWrap/>
              <w:overflowPunct/>
              <w:topLinePunct w:val="0"/>
              <w:autoSpaceDE/>
              <w:autoSpaceDN/>
              <w:bidi w:val="0"/>
              <w:adjustRightInd/>
              <w:snapToGrid/>
              <w:spacing w:line="500" w:lineRule="exact"/>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kern w:val="0"/>
                <w:sz w:val="21"/>
                <w:szCs w:val="21"/>
                <w:highlight w:val="none"/>
                <w:lang w:val="en-US" w:eastAsia="zh-CN"/>
              </w:rPr>
              <w:t>（4）未提供不得分。</w:t>
            </w:r>
          </w:p>
        </w:tc>
      </w:tr>
      <w:tr w14:paraId="7B5CE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97" w:type="dxa"/>
            <w:noWrap w:val="0"/>
            <w:vAlign w:val="center"/>
          </w:tcPr>
          <w:p w14:paraId="4B98D63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2</w:t>
            </w:r>
          </w:p>
        </w:tc>
        <w:tc>
          <w:tcPr>
            <w:tcW w:w="1152" w:type="dxa"/>
            <w:noWrap w:val="0"/>
            <w:vAlign w:val="center"/>
          </w:tcPr>
          <w:p w14:paraId="3D617728">
            <w:pPr>
              <w:pStyle w:val="132"/>
              <w:keepNext w:val="0"/>
              <w:keepLines w:val="0"/>
              <w:pageBreakBefore w:val="0"/>
              <w:widowControl w:val="0"/>
              <w:kinsoku/>
              <w:wordWrap/>
              <w:overflowPunct/>
              <w:topLinePunct w:val="0"/>
              <w:autoSpaceDE/>
              <w:autoSpaceDN/>
              <w:bidi w:val="0"/>
              <w:adjustRightInd/>
              <w:snapToGrid/>
              <w:spacing w:before="0" w:line="500" w:lineRule="exact"/>
              <w:ind w:left="0" w:leftChars="0" w:right="0" w:rightChars="0" w:firstLine="0" w:firstLineChars="0"/>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技术实施方案</w:t>
            </w:r>
          </w:p>
        </w:tc>
        <w:tc>
          <w:tcPr>
            <w:tcW w:w="825" w:type="dxa"/>
            <w:noWrap w:val="0"/>
            <w:vAlign w:val="center"/>
          </w:tcPr>
          <w:p w14:paraId="27DD2348">
            <w:pPr>
              <w:keepNext w:val="0"/>
              <w:keepLines w:val="0"/>
              <w:pageBreakBefore w:val="0"/>
              <w:widowControl w:val="0"/>
              <w:kinsoku/>
              <w:wordWrap/>
              <w:overflowPunct/>
              <w:topLinePunct w:val="0"/>
              <w:autoSpaceDE/>
              <w:autoSpaceDN/>
              <w:bidi w:val="0"/>
              <w:adjustRightInd/>
              <w:snapToGrid/>
              <w:spacing w:before="0" w:line="500" w:lineRule="exact"/>
              <w:ind w:left="0" w:leftChars="0" w:right="0" w:rightChars="0" w:firstLine="0" w:firstLineChars="0"/>
              <w:jc w:val="center"/>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7518" w:type="dxa"/>
            <w:noWrap w:val="0"/>
            <w:vAlign w:val="top"/>
          </w:tcPr>
          <w:p w14:paraId="301F9319">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技术实施方案</w:t>
            </w:r>
            <w:r>
              <w:rPr>
                <w:rFonts w:hint="eastAsia" w:ascii="宋体" w:hAnsi="宋体" w:eastAsia="宋体" w:cs="宋体"/>
                <w:color w:val="auto"/>
                <w:sz w:val="21"/>
                <w:szCs w:val="21"/>
                <w:highlight w:val="none"/>
              </w:rPr>
              <w:t>工作范围清晰，质量管理和保证措施完善，技术管理和保证措施周密，进度管理和保证措施合理，综合管理和保证措施完备。</w:t>
            </w:r>
          </w:p>
          <w:p w14:paraId="2F458706">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（1）方案详实，内容符合项目实际，可行性高的得</w:t>
            </w:r>
            <w:r>
              <w:rPr>
                <w:rFonts w:hint="eastAsia" w:ascii="宋体" w:hAnsi="宋体" w:cs="宋体"/>
                <w:bCs/>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 xml:space="preserve">分； </w:t>
            </w:r>
          </w:p>
          <w:p w14:paraId="0F93DDF7">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（2）方案较详实，内容较符合项目实际，可行性较高的得</w:t>
            </w:r>
            <w:r>
              <w:rPr>
                <w:rFonts w:hint="eastAsia" w:ascii="宋体" w:hAnsi="宋体" w:cs="宋体"/>
                <w:bCs/>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 xml:space="preserve">分； </w:t>
            </w:r>
          </w:p>
          <w:p w14:paraId="280C5A76">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（3）方案不够详实，内容不够符合项目实际，可行性不够高的得</w:t>
            </w:r>
            <w:r>
              <w:rPr>
                <w:rFonts w:hint="eastAsia" w:ascii="宋体" w:hAnsi="宋体" w:cs="宋体"/>
                <w:bCs/>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 xml:space="preserve">分； </w:t>
            </w:r>
          </w:p>
          <w:p w14:paraId="2F32292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（4）未提供不得分。</w:t>
            </w:r>
            <w:r>
              <w:rPr>
                <w:rFonts w:hint="eastAsia" w:ascii="宋体" w:hAnsi="宋体" w:eastAsia="宋体" w:cs="宋体"/>
                <w:color w:val="auto"/>
                <w:kern w:val="0"/>
                <w:sz w:val="21"/>
                <w:szCs w:val="21"/>
                <w:highlight w:val="none"/>
              </w:rPr>
              <w:t xml:space="preserve">                                       </w:t>
            </w:r>
          </w:p>
        </w:tc>
      </w:tr>
      <w:tr w14:paraId="27F1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97" w:type="dxa"/>
            <w:noWrap w:val="0"/>
            <w:vAlign w:val="center"/>
          </w:tcPr>
          <w:p w14:paraId="058ACB70">
            <w:pPr>
              <w:pStyle w:val="14"/>
              <w:keepNext w:val="0"/>
              <w:keepLines w:val="0"/>
              <w:pageBreakBefore w:val="0"/>
              <w:widowControl w:val="0"/>
              <w:kinsoku/>
              <w:wordWrap/>
              <w:overflowPunct/>
              <w:topLinePunct w:val="0"/>
              <w:autoSpaceDE/>
              <w:autoSpaceDN/>
              <w:bidi w:val="0"/>
              <w:adjustRightInd/>
              <w:snapToGrid/>
              <w:spacing w:after="0" w:afterLines="0"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1152" w:type="dxa"/>
            <w:noWrap w:val="0"/>
            <w:vAlign w:val="center"/>
          </w:tcPr>
          <w:p w14:paraId="053004EA">
            <w:pPr>
              <w:pStyle w:val="132"/>
              <w:keepNext w:val="0"/>
              <w:keepLines w:val="0"/>
              <w:pageBreakBefore w:val="0"/>
              <w:widowControl w:val="0"/>
              <w:kinsoku/>
              <w:wordWrap/>
              <w:overflowPunct/>
              <w:topLinePunct w:val="0"/>
              <w:autoSpaceDE/>
              <w:autoSpaceDN/>
              <w:bidi w:val="0"/>
              <w:adjustRightInd/>
              <w:snapToGrid/>
              <w:spacing w:before="0" w:line="500" w:lineRule="exact"/>
              <w:ind w:left="0" w:leftChars="0" w:right="0" w:rightChars="0" w:firstLine="0" w:firstLineChars="0"/>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售后服务方案</w:t>
            </w:r>
          </w:p>
        </w:tc>
        <w:tc>
          <w:tcPr>
            <w:tcW w:w="825" w:type="dxa"/>
            <w:noWrap w:val="0"/>
            <w:vAlign w:val="center"/>
          </w:tcPr>
          <w:p w14:paraId="73D16BF8">
            <w:pPr>
              <w:keepNext w:val="0"/>
              <w:keepLines w:val="0"/>
              <w:pageBreakBefore w:val="0"/>
              <w:widowControl w:val="0"/>
              <w:kinsoku/>
              <w:wordWrap/>
              <w:overflowPunct/>
              <w:topLinePunct w:val="0"/>
              <w:autoSpaceDE/>
              <w:autoSpaceDN/>
              <w:bidi w:val="0"/>
              <w:adjustRightInd/>
              <w:snapToGrid/>
              <w:spacing w:before="0" w:line="500" w:lineRule="exact"/>
              <w:ind w:left="0" w:leftChars="0" w:right="0" w:rightChars="0" w:firstLine="0" w:firstLineChars="0"/>
              <w:jc w:val="center"/>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7518" w:type="dxa"/>
            <w:noWrap w:val="0"/>
            <w:vAlign w:val="top"/>
          </w:tcPr>
          <w:p w14:paraId="152E7D2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针对本项目的售后服务方案，由评委会进行综合评审。方案包括但不限于售后人员工作安排，应急措施及响应时间等。 </w:t>
            </w:r>
          </w:p>
          <w:p w14:paraId="37B1546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（1）售后服务及维保体系完备、制度健全，售后技术服务和维保服务（包括售后响应时间、质保期、质保内容、持续免费的备品备件供应等）完整的</w:t>
            </w:r>
            <w:r>
              <w:rPr>
                <w:rFonts w:hint="eastAsia" w:ascii="宋体" w:hAnsi="宋体" w:eastAsia="宋体" w:cs="宋体"/>
                <w:color w:val="auto"/>
                <w:sz w:val="21"/>
                <w:szCs w:val="21"/>
                <w:highlight w:val="none"/>
                <w:lang w:val="en-US" w:eastAsia="zh-CN"/>
              </w:rPr>
              <w:t>得</w:t>
            </w:r>
            <w:r>
              <w:rPr>
                <w:rFonts w:hint="eastAsia" w:ascii="宋体" w:hAnsi="宋体" w:cs="宋体"/>
                <w:bCs/>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kern w:val="0"/>
                <w:sz w:val="21"/>
                <w:szCs w:val="21"/>
                <w:highlight w:val="none"/>
                <w:lang w:val="en-US" w:eastAsia="zh-CN"/>
              </w:rPr>
              <w:t xml:space="preserve">； </w:t>
            </w:r>
          </w:p>
          <w:p w14:paraId="4F5810B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（2）体系基本较完备、制度较健全，较完整</w:t>
            </w:r>
            <w:r>
              <w:rPr>
                <w:rFonts w:hint="eastAsia" w:ascii="宋体" w:hAnsi="宋体" w:eastAsia="宋体" w:cs="宋体"/>
                <w:color w:val="auto"/>
                <w:sz w:val="21"/>
                <w:szCs w:val="21"/>
                <w:highlight w:val="none"/>
                <w:lang w:val="en-US" w:eastAsia="zh-CN"/>
              </w:rPr>
              <w:t>的得</w:t>
            </w:r>
            <w:r>
              <w:rPr>
                <w:rFonts w:hint="eastAsia" w:ascii="宋体" w:hAnsi="宋体" w:cs="宋体"/>
                <w:bCs/>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kern w:val="0"/>
                <w:sz w:val="21"/>
                <w:szCs w:val="21"/>
                <w:highlight w:val="none"/>
                <w:lang w:val="en-US" w:eastAsia="zh-CN"/>
              </w:rPr>
              <w:t xml:space="preserve">； </w:t>
            </w:r>
          </w:p>
          <w:p w14:paraId="3DF44AE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（3）体系、制度，不完整的得</w:t>
            </w:r>
            <w:r>
              <w:rPr>
                <w:rFonts w:hint="eastAsia" w:ascii="宋体" w:hAnsi="宋体" w:cs="宋体"/>
                <w:bCs/>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kern w:val="0"/>
                <w:sz w:val="21"/>
                <w:szCs w:val="21"/>
                <w:highlight w:val="none"/>
                <w:lang w:val="en-US" w:eastAsia="zh-CN"/>
              </w:rPr>
              <w:t>；</w:t>
            </w:r>
          </w:p>
          <w:p w14:paraId="5468843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（4）未提供的不得分。</w:t>
            </w:r>
          </w:p>
        </w:tc>
      </w:tr>
      <w:tr w14:paraId="0518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192" w:type="dxa"/>
            <w:gridSpan w:val="4"/>
            <w:noWrap w:val="0"/>
            <w:vAlign w:val="center"/>
          </w:tcPr>
          <w:p w14:paraId="2195AAED">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lang w:val="en-US" w:eastAsia="zh-CN" w:bidi="ar"/>
              </w:rPr>
              <w:t>注：各评委得分的平均值为投标人技术标得分，分值保留两位小数点，第三位四舍五入。</w:t>
            </w:r>
          </w:p>
        </w:tc>
      </w:tr>
    </w:tbl>
    <w:p w14:paraId="04A1FC28">
      <w:pPr>
        <w:keepNext w:val="0"/>
        <w:keepLines w:val="0"/>
        <w:pageBreakBefore w:val="0"/>
        <w:numPr>
          <w:ilvl w:val="0"/>
          <w:numId w:val="0"/>
        </w:numPr>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6.</w:t>
      </w:r>
      <w:r>
        <w:rPr>
          <w:rFonts w:hint="eastAsia" w:ascii="宋体" w:hAnsi="宋体" w:cs="宋体"/>
          <w:b/>
          <w:bCs/>
          <w:color w:val="auto"/>
          <w:szCs w:val="21"/>
          <w:highlight w:val="none"/>
          <w:lang w:val="en-US" w:eastAsia="zh-CN"/>
        </w:rPr>
        <w:t>3</w:t>
      </w:r>
      <w:r>
        <w:rPr>
          <w:rFonts w:hint="eastAsia" w:ascii="宋体" w:hAnsi="宋体" w:eastAsia="宋体" w:cs="宋体"/>
          <w:b/>
          <w:bCs/>
          <w:color w:val="auto"/>
          <w:szCs w:val="21"/>
          <w:highlight w:val="none"/>
        </w:rPr>
        <w:t>商务标评审细则（</w:t>
      </w:r>
      <w:r>
        <w:rPr>
          <w:rFonts w:hint="eastAsia" w:ascii="宋体" w:hAnsi="宋体" w:cs="宋体"/>
          <w:b/>
          <w:bCs/>
          <w:color w:val="auto"/>
          <w:szCs w:val="21"/>
          <w:highlight w:val="none"/>
          <w:lang w:val="en-US" w:eastAsia="zh-CN"/>
        </w:rPr>
        <w:t>60</w:t>
      </w:r>
      <w:r>
        <w:rPr>
          <w:rFonts w:hint="eastAsia" w:ascii="宋体" w:hAnsi="宋体" w:eastAsia="宋体" w:cs="宋体"/>
          <w:b/>
          <w:bCs/>
          <w:color w:val="auto"/>
          <w:szCs w:val="21"/>
          <w:highlight w:val="none"/>
        </w:rPr>
        <w:t>分）</w:t>
      </w:r>
    </w:p>
    <w:tbl>
      <w:tblPr>
        <w:tblStyle w:val="36"/>
        <w:tblW w:w="99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5"/>
        <w:gridCol w:w="8584"/>
      </w:tblGrid>
      <w:tr w14:paraId="38FC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5" w:type="dxa"/>
            <w:noWrap w:val="0"/>
            <w:vAlign w:val="center"/>
          </w:tcPr>
          <w:p w14:paraId="6C363217">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b/>
                <w:bCs/>
                <w:color w:val="auto"/>
                <w:highlight w:val="none"/>
              </w:rPr>
            </w:pPr>
            <w:bookmarkStart w:id="72" w:name="_Toc23311"/>
            <w:bookmarkStart w:id="73" w:name="_Toc58430321"/>
            <w:bookmarkStart w:id="74" w:name="_Toc449028881"/>
            <w:r>
              <w:rPr>
                <w:rFonts w:hint="eastAsia" w:ascii="宋体" w:hAnsi="宋体" w:eastAsia="宋体" w:cs="宋体"/>
                <w:b/>
                <w:bCs/>
                <w:color w:val="auto"/>
                <w:highlight w:val="none"/>
              </w:rPr>
              <w:t>评分因素</w:t>
            </w:r>
          </w:p>
        </w:tc>
        <w:tc>
          <w:tcPr>
            <w:tcW w:w="8584" w:type="dxa"/>
            <w:noWrap w:val="0"/>
            <w:vAlign w:val="center"/>
          </w:tcPr>
          <w:p w14:paraId="1906BF80">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评审细则</w:t>
            </w:r>
          </w:p>
        </w:tc>
      </w:tr>
      <w:tr w14:paraId="7EBC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345" w:type="dxa"/>
            <w:noWrap w:val="0"/>
            <w:vAlign w:val="center"/>
          </w:tcPr>
          <w:p w14:paraId="00FEA937">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商务标</w:t>
            </w:r>
          </w:p>
          <w:p w14:paraId="7963EB03">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60</w:t>
            </w:r>
            <w:r>
              <w:rPr>
                <w:rFonts w:hint="eastAsia" w:ascii="宋体" w:hAnsi="宋体" w:eastAsia="宋体" w:cs="宋体"/>
                <w:color w:val="auto"/>
                <w:szCs w:val="21"/>
                <w:highlight w:val="none"/>
                <w:lang w:val="en-US" w:eastAsia="zh-CN"/>
              </w:rPr>
              <w:t>分）</w:t>
            </w:r>
          </w:p>
        </w:tc>
        <w:tc>
          <w:tcPr>
            <w:tcW w:w="8584" w:type="dxa"/>
            <w:noWrap w:val="0"/>
            <w:vAlign w:val="top"/>
          </w:tcPr>
          <w:p w14:paraId="6A15DFA9">
            <w:pPr>
              <w:keepNext w:val="0"/>
              <w:keepLines w:val="0"/>
              <w:pageBreakBefore w:val="0"/>
              <w:tabs>
                <w:tab w:val="left" w:pos="1080"/>
              </w:tabs>
              <w:kinsoku/>
              <w:wordWrap/>
              <w:overflowPunct/>
              <w:topLinePunct w:val="0"/>
              <w:autoSpaceDE/>
              <w:autoSpaceDN/>
              <w:bidi w:val="0"/>
              <w:spacing w:line="500" w:lineRule="exact"/>
              <w:jc w:val="left"/>
              <w:textAlignment w:val="auto"/>
              <w:rPr>
                <w:rFonts w:hint="default" w:eastAsia="宋体"/>
                <w:color w:val="auto"/>
                <w:highlight w:val="none"/>
                <w:lang w:val="en-US" w:eastAsia="zh-CN"/>
              </w:rPr>
            </w:pPr>
            <w:r>
              <w:rPr>
                <w:rFonts w:hint="default" w:eastAsia="宋体"/>
                <w:color w:val="auto"/>
                <w:highlight w:val="none"/>
                <w:lang w:val="en-US" w:eastAsia="zh-CN"/>
              </w:rPr>
              <w:t>价格分统一采用低价优先法，即满足招标文件要求且投标价格最低的投标报价为评标基准价，其价格分为满分</w:t>
            </w:r>
            <w:r>
              <w:rPr>
                <w:rFonts w:hint="eastAsia"/>
                <w:color w:val="auto"/>
                <w:highlight w:val="none"/>
                <w:lang w:val="en-US" w:eastAsia="zh-CN"/>
              </w:rPr>
              <w:t>60</w:t>
            </w:r>
            <w:r>
              <w:rPr>
                <w:rFonts w:hint="default" w:eastAsia="宋体"/>
                <w:color w:val="auto"/>
                <w:highlight w:val="none"/>
                <w:lang w:val="en-US" w:eastAsia="zh-CN"/>
              </w:rPr>
              <w:t>分。其他投标人的价格分统一按照下列公式计算：</w:t>
            </w:r>
          </w:p>
          <w:p w14:paraId="1E055154">
            <w:pPr>
              <w:keepNext w:val="0"/>
              <w:keepLines w:val="0"/>
              <w:pageBreakBefore w:val="0"/>
              <w:tabs>
                <w:tab w:val="left" w:pos="1080"/>
              </w:tabs>
              <w:kinsoku/>
              <w:wordWrap/>
              <w:overflowPunct/>
              <w:topLinePunct w:val="0"/>
              <w:autoSpaceDE/>
              <w:autoSpaceDN/>
              <w:bidi w:val="0"/>
              <w:spacing w:line="500" w:lineRule="exact"/>
              <w:jc w:val="left"/>
              <w:textAlignment w:val="auto"/>
              <w:rPr>
                <w:rFonts w:hint="default" w:eastAsia="宋体"/>
                <w:color w:val="auto"/>
                <w:highlight w:val="none"/>
                <w:lang w:val="en-US" w:eastAsia="zh-CN"/>
              </w:rPr>
            </w:pPr>
            <w:r>
              <w:rPr>
                <w:rFonts w:hint="default" w:eastAsia="宋体"/>
                <w:color w:val="auto"/>
                <w:highlight w:val="none"/>
                <w:lang w:val="en-US" w:eastAsia="zh-CN"/>
              </w:rPr>
              <w:t>投标报价得分＝（评标基准价/投标报价）×</w:t>
            </w:r>
            <w:r>
              <w:rPr>
                <w:rFonts w:hint="eastAsia"/>
                <w:color w:val="auto"/>
                <w:highlight w:val="none"/>
                <w:lang w:val="en-US" w:eastAsia="zh-CN"/>
              </w:rPr>
              <w:t>60</w:t>
            </w:r>
            <w:r>
              <w:rPr>
                <w:rFonts w:hint="default" w:eastAsia="宋体"/>
                <w:color w:val="auto"/>
                <w:highlight w:val="none"/>
                <w:lang w:val="en-US" w:eastAsia="zh-CN"/>
              </w:rPr>
              <w:t>％×100</w:t>
            </w:r>
          </w:p>
        </w:tc>
      </w:tr>
    </w:tbl>
    <w:p w14:paraId="10B918C0">
      <w:pPr>
        <w:keepNext w:val="0"/>
        <w:keepLines w:val="0"/>
        <w:pageBreakBefore w:val="0"/>
        <w:kinsoku/>
        <w:wordWrap/>
        <w:overflowPunct/>
        <w:topLinePunct w:val="0"/>
        <w:autoSpaceDE/>
        <w:autoSpaceDN/>
        <w:bidi w:val="0"/>
        <w:spacing w:before="156" w:beforeLines="50" w:after="156" w:afterLines="50" w:line="500" w:lineRule="exact"/>
        <w:jc w:val="center"/>
        <w:textAlignment w:val="auto"/>
        <w:outlineLvl w:val="1"/>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五、推荐中标候选人</w:t>
      </w:r>
      <w:bookmarkEnd w:id="71"/>
      <w:bookmarkEnd w:id="72"/>
      <w:bookmarkEnd w:id="73"/>
      <w:bookmarkEnd w:id="74"/>
    </w:p>
    <w:p w14:paraId="356336CB">
      <w:pPr>
        <w:keepNext w:val="0"/>
        <w:keepLines w:val="0"/>
        <w:pageBreakBefore w:val="0"/>
        <w:kinsoku/>
        <w:wordWrap/>
        <w:overflowPunct/>
        <w:topLinePunct w:val="0"/>
        <w:autoSpaceDE/>
        <w:autoSpaceDN/>
        <w:bidi w:val="0"/>
        <w:snapToGrid w:val="0"/>
        <w:spacing w:line="500" w:lineRule="exact"/>
        <w:ind w:right="-212" w:rightChars="-101"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7.评标委员会按</w:t>
      </w:r>
      <w:r>
        <w:rPr>
          <w:rFonts w:hint="eastAsia" w:ascii="宋体" w:hAnsi="宋体" w:cs="宋体"/>
          <w:color w:val="auto"/>
          <w:szCs w:val="21"/>
          <w:highlight w:val="none"/>
          <w:lang w:val="en-US" w:eastAsia="zh-CN"/>
        </w:rPr>
        <w:t>资信、</w:t>
      </w:r>
      <w:r>
        <w:rPr>
          <w:rFonts w:hint="eastAsia" w:ascii="宋体" w:hAnsi="宋体" w:eastAsia="宋体" w:cs="宋体"/>
          <w:color w:val="auto"/>
          <w:szCs w:val="21"/>
          <w:highlight w:val="none"/>
          <w:lang w:val="en-US" w:eastAsia="zh-CN"/>
        </w:rPr>
        <w:t>技术</w:t>
      </w:r>
      <w:r>
        <w:rPr>
          <w:rFonts w:hint="eastAsia" w:ascii="宋体" w:hAnsi="宋体" w:eastAsia="宋体" w:cs="宋体"/>
          <w:color w:val="auto"/>
          <w:szCs w:val="21"/>
          <w:highlight w:val="none"/>
        </w:rPr>
        <w:t>及商务得分之和从高到低按顺序，推荐</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 xml:space="preserve">名中标候选人。 </w:t>
      </w:r>
    </w:p>
    <w:p w14:paraId="36401D25">
      <w:pPr>
        <w:keepNext w:val="0"/>
        <w:keepLines w:val="0"/>
        <w:pageBreakBefore w:val="0"/>
        <w:kinsoku/>
        <w:wordWrap/>
        <w:overflowPunct/>
        <w:topLinePunct w:val="0"/>
        <w:autoSpaceDE/>
        <w:autoSpaceDN/>
        <w:bidi w:val="0"/>
        <w:snapToGrid w:val="0"/>
        <w:spacing w:line="500" w:lineRule="exact"/>
        <w:ind w:right="-212" w:rightChars="-101"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7.1总得分相同的，按报价由</w:t>
      </w:r>
      <w:r>
        <w:rPr>
          <w:rFonts w:hint="eastAsia" w:ascii="宋体" w:hAnsi="宋体" w:cs="宋体"/>
          <w:color w:val="auto"/>
          <w:szCs w:val="21"/>
          <w:highlight w:val="none"/>
          <w:lang w:val="en-US" w:eastAsia="zh-CN"/>
        </w:rPr>
        <w:t>低</w:t>
      </w:r>
      <w:r>
        <w:rPr>
          <w:rFonts w:hint="eastAsia" w:ascii="宋体" w:hAnsi="宋体" w:eastAsia="宋体" w:cs="宋体"/>
          <w:color w:val="auto"/>
          <w:szCs w:val="21"/>
          <w:highlight w:val="none"/>
        </w:rPr>
        <w:t>到</w:t>
      </w:r>
      <w:r>
        <w:rPr>
          <w:rFonts w:hint="eastAsia" w:ascii="宋体" w:hAnsi="宋体" w:cs="宋体"/>
          <w:color w:val="auto"/>
          <w:szCs w:val="21"/>
          <w:highlight w:val="none"/>
          <w:lang w:val="en-US" w:eastAsia="zh-CN"/>
        </w:rPr>
        <w:t>高</w:t>
      </w:r>
      <w:r>
        <w:rPr>
          <w:rFonts w:hint="eastAsia" w:ascii="宋体" w:hAnsi="宋体" w:eastAsia="宋体" w:cs="宋体"/>
          <w:color w:val="auto"/>
          <w:szCs w:val="21"/>
          <w:highlight w:val="none"/>
        </w:rPr>
        <w:t>顺序排列。总得分且报价相同的并列，由招标人现场采取随机摇号的方式确定中标候选人。</w:t>
      </w:r>
    </w:p>
    <w:p w14:paraId="77FCDD5F">
      <w:pPr>
        <w:keepNext w:val="0"/>
        <w:keepLines w:val="0"/>
        <w:pageBreakBefore w:val="0"/>
        <w:kinsoku/>
        <w:wordWrap/>
        <w:overflowPunct/>
        <w:topLinePunct w:val="0"/>
        <w:autoSpaceDE/>
        <w:autoSpaceDN/>
        <w:bidi w:val="0"/>
        <w:snapToGrid w:val="0"/>
        <w:spacing w:line="500" w:lineRule="exact"/>
        <w:ind w:right="-420" w:rightChars="-200"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根据评标委员会评审初步结论，项目单位（代理机构）对预中标候选人是否存在招标文件要求查询的失信行为进行网上核查后，提交网站截图等查询记录给评标委员会复核。若核查结果不符合招标文件规定的投标人资格条件信誉要求，由评标委员会取消其预中标候选人资格，并依次替补，再次对替补单位进行核查。如评标现场未发现问题但标后质疑（异议）、投诉发现中标候选人存在信誉问题，则组织评标委员会重新启动复核程序。核查结果不改变原评标基准价。</w:t>
      </w:r>
    </w:p>
    <w:p w14:paraId="05E6016B">
      <w:pPr>
        <w:keepNext w:val="0"/>
        <w:keepLines w:val="0"/>
        <w:pageBreakBefore w:val="0"/>
        <w:kinsoku/>
        <w:wordWrap/>
        <w:overflowPunct/>
        <w:topLinePunct w:val="0"/>
        <w:autoSpaceDE/>
        <w:autoSpaceDN/>
        <w:bidi w:val="0"/>
        <w:snapToGrid w:val="0"/>
        <w:spacing w:line="500" w:lineRule="exact"/>
        <w:ind w:right="-212" w:rightChars="-101" w:firstLine="422"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8.无效投标条款</w:t>
      </w:r>
    </w:p>
    <w:p w14:paraId="52539C10">
      <w:pPr>
        <w:keepNext w:val="0"/>
        <w:keepLines w:val="0"/>
        <w:pageBreakBefore w:val="0"/>
        <w:kinsoku/>
        <w:wordWrap/>
        <w:overflowPunct/>
        <w:topLinePunct w:val="0"/>
        <w:autoSpaceDE/>
        <w:autoSpaceDN/>
        <w:bidi w:val="0"/>
        <w:snapToGrid w:val="0"/>
        <w:spacing w:line="500" w:lineRule="exact"/>
        <w:ind w:right="-212" w:rightChars="-101"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8.1投标文件有下列情形之一的,其投标文件拒收:</w:t>
      </w:r>
    </w:p>
    <w:p w14:paraId="3DB89858">
      <w:pPr>
        <w:keepNext w:val="0"/>
        <w:keepLines w:val="0"/>
        <w:pageBreakBefore w:val="0"/>
        <w:kinsoku/>
        <w:overflowPunct/>
        <w:topLinePunct w:val="0"/>
        <w:autoSpaceDE/>
        <w:autoSpaceDN/>
        <w:bidi w:val="0"/>
        <w:spacing w:line="500" w:lineRule="exact"/>
        <w:ind w:right="-212" w:rightChars="-101" w:firstLine="420" w:firstLineChars="200"/>
        <w:jc w:val="left"/>
        <w:rPr>
          <w:rFonts w:hint="eastAsia" w:ascii="宋体" w:hAnsi="宋体" w:cs="宋体"/>
          <w:bCs/>
          <w:color w:val="auto"/>
          <w:szCs w:val="21"/>
          <w:highlight w:val="none"/>
        </w:rPr>
      </w:pPr>
      <w:r>
        <w:rPr>
          <w:rFonts w:hint="eastAsia" w:ascii="宋体" w:hAnsi="宋体" w:cs="宋体"/>
          <w:bCs/>
          <w:color w:val="auto"/>
          <w:szCs w:val="21"/>
          <w:highlight w:val="none"/>
        </w:rPr>
        <w:t>(1) 未在开标截止时间前通过网上招标投标系统递交有效电子投标文件的，开标系统不予接收，投标将被拒绝。</w:t>
      </w:r>
    </w:p>
    <w:p w14:paraId="7CECF895">
      <w:pPr>
        <w:keepNext w:val="0"/>
        <w:keepLines w:val="0"/>
        <w:pageBreakBefore w:val="0"/>
        <w:kinsoku/>
        <w:overflowPunct/>
        <w:topLinePunct w:val="0"/>
        <w:autoSpaceDE/>
        <w:autoSpaceDN/>
        <w:bidi w:val="0"/>
        <w:spacing w:line="500" w:lineRule="exact"/>
        <w:ind w:right="-212" w:rightChars="-101" w:firstLine="420" w:firstLineChars="200"/>
        <w:jc w:val="left"/>
        <w:rPr>
          <w:rFonts w:hint="eastAsia" w:ascii="宋体" w:hAnsi="宋体" w:cs="宋体"/>
          <w:bCs/>
          <w:color w:val="auto"/>
          <w:szCs w:val="21"/>
          <w:highlight w:val="none"/>
        </w:rPr>
      </w:pPr>
      <w:r>
        <w:rPr>
          <w:rFonts w:hint="eastAsia" w:ascii="宋体" w:hAnsi="宋体" w:cs="宋体"/>
          <w:bCs/>
          <w:color w:val="auto"/>
          <w:szCs w:val="21"/>
          <w:highlight w:val="none"/>
        </w:rPr>
        <w:t>（2）投标企业接到远程解密指令后，须在规定时间内解密。因投标人自身原因导致投标文件在规定时间内未能解密、解密失败或解密超时，投标文件无效；解密时间：从本项目网上招投标系统解密倒计时开始，至完成投标文件解密时间，不得超过</w:t>
      </w:r>
      <w:r>
        <w:rPr>
          <w:rFonts w:hint="eastAsia" w:ascii="宋体" w:hAnsi="宋体" w:cs="宋体"/>
          <w:bCs/>
          <w:color w:val="auto"/>
          <w:szCs w:val="21"/>
          <w:highlight w:val="none"/>
          <w:lang w:val="en-US" w:eastAsia="zh-CN"/>
        </w:rPr>
        <w:t>30</w:t>
      </w:r>
      <w:r>
        <w:rPr>
          <w:rFonts w:hint="eastAsia" w:ascii="宋体" w:hAnsi="宋体" w:cs="宋体"/>
          <w:bCs/>
          <w:color w:val="auto"/>
          <w:szCs w:val="21"/>
          <w:highlight w:val="none"/>
        </w:rPr>
        <w:t>分钟，否则投标文件将被拒绝。</w:t>
      </w:r>
    </w:p>
    <w:p w14:paraId="1B288997">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 8.2投标人有下列情形之一的,资格审查后其投标作无效投标处理：</w:t>
      </w:r>
    </w:p>
    <w:p w14:paraId="51D08EB6">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(1)投标人为本项目提供招标代理服务的；</w:t>
      </w:r>
    </w:p>
    <w:p w14:paraId="629F8374">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(2)投标人与在本项目代理机构存在相互任职或工作的；</w:t>
      </w:r>
    </w:p>
    <w:p w14:paraId="149EF601">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(3)评标专家无法查看并检验电子投标文件中相关资料的；</w:t>
      </w:r>
    </w:p>
    <w:p w14:paraId="2D9119DB">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(4)联合体投标未提交联合体协议的；</w:t>
      </w:r>
    </w:p>
    <w:p w14:paraId="0EFD1C00">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(5)被暂停营业的；</w:t>
      </w:r>
    </w:p>
    <w:p w14:paraId="4D46EF21">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(6)被暂停或取消投标资格的；</w:t>
      </w:r>
    </w:p>
    <w:p w14:paraId="4BE821A4">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(7)财产被接管或冻结的；</w:t>
      </w:r>
    </w:p>
    <w:p w14:paraId="0973073A">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(8)投标人单位负责人为同一人或者存在控股、管理关系的不同单位的；</w:t>
      </w:r>
    </w:p>
    <w:p w14:paraId="14D32DA5">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(9)保证金不按第二章“投标人须知”及其前附表要求提交投标保证金的；</w:t>
      </w:r>
    </w:p>
    <w:p w14:paraId="0D4CA10D">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)投标人申请开具电子保函 MAC 地址一致的；</w:t>
      </w:r>
    </w:p>
    <w:p w14:paraId="23283FAE">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)投标人基本资格条件和特定资格条件中有一项及以上不符合要求的；</w:t>
      </w:r>
    </w:p>
    <w:p w14:paraId="6670241A">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1FF03626">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)其它情形，经评标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1142FEC8">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)投标人投标MAC地址或投标人联系人或联系电话相同的，由评标委员会否决其投标；</w:t>
      </w:r>
    </w:p>
    <w:p w14:paraId="3880FE8B">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)投标人单方面出现其他投标人材料的；</w:t>
      </w:r>
    </w:p>
    <w:p w14:paraId="2F9C7556">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)招标文件规定的其它无效投标情形。</w:t>
      </w:r>
    </w:p>
    <w:p w14:paraId="504E86B7">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 8.3 投标人有下列情形之一的,符合性审查后其投标按无效投标处理：</w:t>
      </w:r>
    </w:p>
    <w:p w14:paraId="70996AB7">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(1)投标文件签字、盖章不全，经评标委员会一致认定对开评标内容有实质性影响的；</w:t>
      </w:r>
    </w:p>
    <w:p w14:paraId="1C2B0FF7">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(2)未按规定的格式填写</w:t>
      </w:r>
      <w:r>
        <w:rPr>
          <w:rFonts w:hint="eastAsia" w:ascii="宋体" w:hAnsi="宋体" w:cs="宋体"/>
          <w:color w:val="auto"/>
          <w:szCs w:val="21"/>
          <w:highlight w:val="none"/>
          <w:lang w:val="en-US" w:eastAsia="zh-CN"/>
        </w:rPr>
        <w:t>导致</w:t>
      </w:r>
      <w:r>
        <w:rPr>
          <w:rFonts w:hint="eastAsia" w:ascii="宋体" w:hAnsi="宋体" w:cs="宋体"/>
          <w:color w:val="auto"/>
          <w:szCs w:val="21"/>
          <w:highlight w:val="none"/>
        </w:rPr>
        <w:t>实质性内容不全</w:t>
      </w:r>
      <w:r>
        <w:rPr>
          <w:rFonts w:hint="eastAsia" w:ascii="宋体" w:hAnsi="宋体" w:cs="宋体"/>
          <w:color w:val="auto"/>
          <w:szCs w:val="21"/>
          <w:highlight w:val="none"/>
          <w:lang w:val="en-US" w:eastAsia="zh-CN"/>
        </w:rPr>
        <w:t>以及实质上不响应，</w:t>
      </w:r>
      <w:r>
        <w:rPr>
          <w:rFonts w:hint="eastAsia" w:ascii="宋体" w:hAnsi="宋体" w:cs="宋体"/>
          <w:color w:val="auto"/>
          <w:szCs w:val="21"/>
          <w:highlight w:val="none"/>
        </w:rPr>
        <w:t>或</w:t>
      </w:r>
      <w:r>
        <w:rPr>
          <w:rFonts w:hint="eastAsia" w:ascii="宋体" w:hAnsi="宋体" w:cs="宋体"/>
          <w:color w:val="auto"/>
          <w:szCs w:val="21"/>
          <w:highlight w:val="none"/>
          <w:lang w:val="en-US" w:eastAsia="zh-CN"/>
        </w:rPr>
        <w:t>者</w:t>
      </w:r>
      <w:r>
        <w:rPr>
          <w:rFonts w:hint="eastAsia" w:ascii="宋体" w:hAnsi="宋体" w:cs="宋体"/>
          <w:color w:val="auto"/>
          <w:szCs w:val="21"/>
          <w:highlight w:val="none"/>
        </w:rPr>
        <w:t>关键字迹模糊、无法辨认的；</w:t>
      </w:r>
    </w:p>
    <w:p w14:paraId="522FED92">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(3)同一投标人提交两个以上不同的投标文件或者投标报价，但招标文件规定提交备选方案的除外；</w:t>
      </w:r>
    </w:p>
    <w:p w14:paraId="4B9B6FEE">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(4)投标文件没有对招标文件的实质性要求和条件作出响应</w:t>
      </w:r>
      <w:r>
        <w:rPr>
          <w:rFonts w:hint="eastAsia" w:ascii="宋体" w:hAnsi="宋体" w:cs="宋体"/>
          <w:color w:val="auto"/>
          <w:szCs w:val="21"/>
          <w:highlight w:val="none"/>
          <w:lang w:eastAsia="zh-CN"/>
        </w:rPr>
        <w:t>；</w:t>
      </w:r>
    </w:p>
    <w:p w14:paraId="4AFF2E55">
      <w:pPr>
        <w:keepNext w:val="0"/>
        <w:keepLines w:val="0"/>
        <w:pageBreakBefore w:val="0"/>
        <w:kinsoku/>
        <w:overflowPunct/>
        <w:topLinePunct w:val="0"/>
        <w:autoSpaceDE/>
        <w:autoSpaceDN/>
        <w:bidi w:val="0"/>
        <w:spacing w:line="500" w:lineRule="exact"/>
        <w:ind w:right="-212" w:rightChars="-101"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(5)投标报价低于招标人发布的限价；</w:t>
      </w:r>
    </w:p>
    <w:p w14:paraId="14D8709E">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(6)不按评标委员会要求澄清、说明或补正的，或者评标委员会根据招标文件的规定对招标文件的计算错误进行修正后，投标人不接受修正的投标报价的。</w:t>
      </w:r>
    </w:p>
    <w:p w14:paraId="7986B156">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（7）其它情形，经评标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1CB27C3C">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（8）投标文件含有招标人不能接受的附加条件的;</w:t>
      </w:r>
    </w:p>
    <w:p w14:paraId="5625C5CE">
      <w:pPr>
        <w:keepNext w:val="0"/>
        <w:keepLines w:val="0"/>
        <w:pageBreakBefore w:val="0"/>
        <w:tabs>
          <w:tab w:val="left" w:pos="1123"/>
        </w:tabs>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（9）招标文件规定的其它无效投标情形。</w:t>
      </w:r>
    </w:p>
    <w:p w14:paraId="48F26B77">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8.4 投标人有下列情形之一的, 详细评审后其投标按无效投标处理：</w:t>
      </w:r>
    </w:p>
    <w:p w14:paraId="6B3F3F1B">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(1)投标产品不符合必须强制执行的国家标准的；</w:t>
      </w:r>
    </w:p>
    <w:p w14:paraId="15CA1160">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(2)投标人有串通投标、弄虚作假、行贿等违法行为；</w:t>
      </w:r>
    </w:p>
    <w:p w14:paraId="0406ADF6">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cs="宋体"/>
          <w:color w:val="auto"/>
          <w:szCs w:val="21"/>
          <w:highlight w:val="none"/>
        </w:rPr>
        <w:t>(</w:t>
      </w:r>
      <w:r>
        <w:rPr>
          <w:rFonts w:hint="eastAsia" w:ascii="宋体" w:hAnsi="宋体" w:eastAsia="宋体" w:cs="宋体"/>
          <w:color w:val="auto"/>
          <w:szCs w:val="21"/>
          <w:highlight w:val="none"/>
        </w:rPr>
        <w:t>3)投标文件含有违反国家法律、法规的内容，或附有招标人不能接受的条件的；</w:t>
      </w:r>
    </w:p>
    <w:p w14:paraId="55C3BB89">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）报价明显低于其他投标人，且不能证明报价合理性的投标无效；</w:t>
      </w:r>
    </w:p>
    <w:p w14:paraId="748D4AEF">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）拒不确认评标委员会评审修正的投标无效；</w:t>
      </w:r>
    </w:p>
    <w:p w14:paraId="38BC2E2B">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）其它情形，经评标</w:t>
      </w:r>
      <w:r>
        <w:rPr>
          <w:rFonts w:hint="eastAsia" w:ascii="宋体" w:hAnsi="宋体" w:cs="宋体"/>
          <w:color w:val="auto"/>
          <w:szCs w:val="21"/>
          <w:highlight w:val="none"/>
          <w:lang w:eastAsia="zh-CN"/>
        </w:rPr>
        <w:t>委员会</w:t>
      </w:r>
      <w:r>
        <w:rPr>
          <w:rFonts w:hint="eastAsia" w:ascii="宋体" w:hAnsi="宋体" w:eastAsia="宋体" w:cs="宋体"/>
          <w:color w:val="auto"/>
          <w:szCs w:val="21"/>
          <w:highlight w:val="none"/>
        </w:rPr>
        <w:t>提出按无效投标处理的；</w:t>
      </w:r>
    </w:p>
    <w:p w14:paraId="35311766">
      <w:pPr>
        <w:keepNext w:val="0"/>
        <w:keepLines w:val="0"/>
        <w:pageBreakBefore w:val="0"/>
        <w:kinsoku/>
        <w:overflowPunct/>
        <w:topLinePunct w:val="0"/>
        <w:autoSpaceDE/>
        <w:autoSpaceDN/>
        <w:bidi w:val="0"/>
        <w:snapToGrid w:val="0"/>
        <w:spacing w:line="50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）招标文件规定的其它无效投标情形。</w:t>
      </w:r>
    </w:p>
    <w:bookmarkEnd w:id="59"/>
    <w:p w14:paraId="54487B9F">
      <w:pPr>
        <w:numPr>
          <w:ilvl w:val="0"/>
          <w:numId w:val="0"/>
        </w:numPr>
        <w:snapToGrid w:val="0"/>
        <w:spacing w:line="440" w:lineRule="exact"/>
        <w:ind w:leftChars="-5" w:right="-334" w:rightChars="-159"/>
        <w:jc w:val="center"/>
        <w:outlineLvl w:val="0"/>
        <w:rPr>
          <w:rFonts w:hint="eastAsia" w:ascii="宋体" w:hAnsi="宋体" w:eastAsia="宋体" w:cs="宋体"/>
          <w:b/>
          <w:bCs/>
          <w:color w:val="auto"/>
          <w:sz w:val="21"/>
          <w:szCs w:val="21"/>
          <w:highlight w:val="none"/>
        </w:rPr>
      </w:pPr>
      <w:bookmarkStart w:id="75" w:name="_Toc30417"/>
      <w:bookmarkStart w:id="76" w:name="_Toc22340"/>
      <w:bookmarkStart w:id="77" w:name="_Toc449028945"/>
      <w:r>
        <w:rPr>
          <w:rFonts w:hint="eastAsia" w:ascii="宋体"/>
          <w:b/>
          <w:color w:val="auto"/>
          <w:sz w:val="32"/>
          <w:szCs w:val="32"/>
          <w:highlight w:val="none"/>
        </w:rPr>
        <w:br w:type="page"/>
      </w:r>
      <w:r>
        <w:rPr>
          <w:rFonts w:hint="eastAsia" w:ascii="宋体" w:hAnsi="Times New Roman" w:eastAsia="宋体" w:cs="Times New Roman"/>
          <w:b/>
          <w:bCs w:val="0"/>
          <w:color w:val="auto"/>
          <w:kern w:val="44"/>
          <w:sz w:val="32"/>
          <w:szCs w:val="32"/>
          <w:highlight w:val="none"/>
          <w:lang w:val="en-US" w:eastAsia="zh-CN" w:bidi="ar-SA"/>
        </w:rPr>
        <w:t>第四章 采购内容</w:t>
      </w:r>
      <w:bookmarkEnd w:id="75"/>
      <w:r>
        <w:rPr>
          <w:rFonts w:hint="eastAsia" w:ascii="宋体" w:hAnsi="Times New Roman" w:eastAsia="宋体" w:cs="Times New Roman"/>
          <w:b/>
          <w:bCs w:val="0"/>
          <w:color w:val="auto"/>
          <w:kern w:val="44"/>
          <w:sz w:val="32"/>
          <w:szCs w:val="32"/>
          <w:highlight w:val="none"/>
          <w:lang w:val="en-US" w:eastAsia="zh-CN" w:bidi="ar-SA"/>
        </w:rPr>
        <w:t>及技术要求</w:t>
      </w:r>
    </w:p>
    <w:p w14:paraId="7179F117">
      <w:pPr>
        <w:keepNext w:val="0"/>
        <w:keepLines w:val="0"/>
        <w:pageBreakBefore w:val="0"/>
        <w:widowControl w:val="0"/>
        <w:numPr>
          <w:ilvl w:val="0"/>
          <w:numId w:val="0"/>
        </w:numPr>
        <w:kinsoku/>
        <w:wordWrap/>
        <w:overflowPunct/>
        <w:topLinePunct w:val="0"/>
        <w:autoSpaceDE/>
        <w:autoSpaceDN/>
        <w:bidi w:val="0"/>
        <w:adjustRightInd/>
        <w:snapToGrid w:val="0"/>
        <w:spacing w:before="95" w:beforeLines="30" w:after="95" w:afterLines="30" w:line="440" w:lineRule="exact"/>
        <w:ind w:leftChars="-5" w:right="-334" w:rightChars="-159"/>
        <w:jc w:val="left"/>
        <w:textAlignment w:val="auto"/>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一、项目概况</w:t>
      </w:r>
    </w:p>
    <w:p w14:paraId="5FEB57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为了进一步提高招标人采购和销售自动化、信息化水平，拟确定一家智能称重系统服务单位配置一套完整的自动化和信息化软硬件设施。实现招标人采购和销售称重计量环节无人值守要求、实现数据自动统计核算目标、</w:t>
      </w:r>
      <w:r>
        <w:rPr>
          <w:rFonts w:hint="eastAsia" w:ascii="宋体" w:hAnsi="宋体" w:cs="宋体"/>
          <w:color w:val="auto"/>
          <w:kern w:val="0"/>
          <w:sz w:val="21"/>
          <w:szCs w:val="21"/>
          <w:highlight w:val="none"/>
          <w:lang w:val="en-US" w:eastAsia="zh-CN" w:bidi="ar"/>
        </w:rPr>
        <w:t>建立客商软件平台，</w:t>
      </w:r>
      <w:r>
        <w:rPr>
          <w:rFonts w:hint="eastAsia" w:ascii="宋体" w:hAnsi="宋体" w:eastAsia="宋体" w:cs="宋体"/>
          <w:color w:val="auto"/>
          <w:kern w:val="0"/>
          <w:sz w:val="21"/>
          <w:szCs w:val="21"/>
          <w:highlight w:val="none"/>
          <w:lang w:val="en-US" w:eastAsia="zh-CN" w:bidi="ar"/>
        </w:rPr>
        <w:t>实现招标人、客户、装车司机三方联动等</w:t>
      </w:r>
      <w:r>
        <w:rPr>
          <w:rFonts w:hint="eastAsia" w:ascii="宋体" w:hAnsi="宋体" w:cs="宋体"/>
          <w:color w:val="auto"/>
          <w:kern w:val="0"/>
          <w:sz w:val="21"/>
          <w:szCs w:val="21"/>
          <w:highlight w:val="none"/>
          <w:lang w:val="en-US" w:eastAsia="zh-CN" w:bidi="ar"/>
        </w:rPr>
        <w:t>。</w:t>
      </w:r>
    </w:p>
    <w:p w14:paraId="07C1C8F5">
      <w:pPr>
        <w:keepNext w:val="0"/>
        <w:keepLines w:val="0"/>
        <w:pageBreakBefore w:val="0"/>
        <w:widowControl w:val="0"/>
        <w:numPr>
          <w:ilvl w:val="0"/>
          <w:numId w:val="0"/>
        </w:numPr>
        <w:kinsoku/>
        <w:wordWrap/>
        <w:overflowPunct/>
        <w:topLinePunct w:val="0"/>
        <w:autoSpaceDE/>
        <w:autoSpaceDN/>
        <w:bidi w:val="0"/>
        <w:adjustRightInd/>
        <w:snapToGrid w:val="0"/>
        <w:spacing w:before="95" w:beforeLines="30" w:after="95" w:afterLines="30" w:line="440" w:lineRule="exact"/>
        <w:ind w:leftChars="-5" w:right="-334" w:rightChars="-159"/>
        <w:jc w:val="left"/>
        <w:textAlignment w:val="auto"/>
        <w:outlineLvl w:val="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二、采购需求</w:t>
      </w:r>
    </w:p>
    <w:p w14:paraId="24AA62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（一）</w:t>
      </w:r>
      <w:r>
        <w:rPr>
          <w:rFonts w:hint="eastAsia" w:ascii="宋体" w:hAnsi="宋体" w:eastAsia="宋体" w:cs="宋体"/>
          <w:b/>
          <w:bCs/>
          <w:color w:val="auto"/>
          <w:kern w:val="0"/>
          <w:sz w:val="21"/>
          <w:szCs w:val="21"/>
          <w:highlight w:val="none"/>
          <w:lang w:val="en-US" w:eastAsia="zh-CN" w:bidi="ar"/>
        </w:rPr>
        <w:t xml:space="preserve">通用约定 </w:t>
      </w:r>
    </w:p>
    <w:p w14:paraId="63AD45C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招标人不承担与其他系统的对接费用，也不提供额外对接义务。</w:t>
      </w:r>
    </w:p>
    <w:p w14:paraId="0316CB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（二）</w:t>
      </w:r>
      <w:r>
        <w:rPr>
          <w:rFonts w:hint="eastAsia" w:ascii="宋体" w:hAnsi="宋体" w:eastAsia="宋体" w:cs="宋体"/>
          <w:b/>
          <w:bCs/>
          <w:color w:val="auto"/>
          <w:kern w:val="0"/>
          <w:sz w:val="21"/>
          <w:szCs w:val="21"/>
          <w:highlight w:val="none"/>
          <w:lang w:val="en-US" w:eastAsia="zh-CN" w:bidi="ar"/>
        </w:rPr>
        <w:t xml:space="preserve">系统架构与基础能力 </w:t>
      </w:r>
    </w:p>
    <w:p w14:paraId="34DF3D1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1.系统必须采用纯B/S架构，不允许使用C/S或混合架构，PC端所有业务操作通过浏览器完成，无需安装任何客户端软件。 </w:t>
      </w:r>
    </w:p>
    <w:p w14:paraId="1C2D9A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2.支持</w:t>
      </w:r>
      <w:r>
        <w:rPr>
          <w:rFonts w:hint="eastAsia" w:ascii="宋体" w:hAnsi="宋体" w:cs="宋体"/>
          <w:color w:val="auto"/>
          <w:kern w:val="0"/>
          <w:sz w:val="21"/>
          <w:szCs w:val="21"/>
          <w:highlight w:val="none"/>
          <w:lang w:val="en-US" w:eastAsia="zh-CN" w:bidi="ar"/>
        </w:rPr>
        <w:t>四</w:t>
      </w:r>
      <w:r>
        <w:rPr>
          <w:rFonts w:hint="eastAsia" w:ascii="宋体" w:hAnsi="宋体" w:eastAsia="宋体" w:cs="宋体"/>
          <w:color w:val="auto"/>
          <w:kern w:val="0"/>
          <w:sz w:val="21"/>
          <w:szCs w:val="21"/>
          <w:highlight w:val="none"/>
          <w:lang w:val="en-US" w:eastAsia="zh-CN" w:bidi="ar"/>
        </w:rPr>
        <w:t>类访问形态：PC浏览器管理端、微信小程序应用端、</w:t>
      </w:r>
      <w:r>
        <w:rPr>
          <w:rFonts w:hint="eastAsia" w:ascii="宋体" w:hAnsi="宋体" w:cs="宋体"/>
          <w:color w:val="auto"/>
          <w:kern w:val="0"/>
          <w:sz w:val="21"/>
          <w:szCs w:val="21"/>
          <w:highlight w:val="none"/>
          <w:lang w:val="en-US" w:eastAsia="zh-CN" w:bidi="ar"/>
        </w:rPr>
        <w:t>APP应用端（按招标人实际需要开发）、</w:t>
      </w:r>
      <w:r>
        <w:rPr>
          <w:rFonts w:hint="eastAsia" w:ascii="宋体" w:hAnsi="宋体" w:eastAsia="宋体" w:cs="宋体"/>
          <w:color w:val="auto"/>
          <w:kern w:val="0"/>
          <w:sz w:val="21"/>
          <w:szCs w:val="21"/>
          <w:highlight w:val="none"/>
          <w:lang w:val="en-US" w:eastAsia="zh-CN" w:bidi="ar"/>
        </w:rPr>
        <w:t xml:space="preserve">设备边缘采集端。 </w:t>
      </w:r>
    </w:p>
    <w:p w14:paraId="2C9E39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3.所有磅站点数据集中部署、集中存储、统一管控，支持多站点统一接入，新增磅点不影响现有业务连续运行。 </w:t>
      </w:r>
    </w:p>
    <w:p w14:paraId="0E0F6E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4.提供OPC、ODBC、API、WebService等标准接口，预留与第三方平台及用友U8C财务系统的对接能力，支持字段映射可配置，同步失败留痕可重推。 </w:t>
      </w:r>
    </w:p>
    <w:p w14:paraId="2E18E5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5.设备边缘端支持断网自治：断网场景下可本地独立完成过磅与业务判定，包含主数据镜像、本地过磅、补传队列，链路恢复后自动补传数据，冲突裁决以现场过磅值为准，云端值保留，回退操作需审批。</w:t>
      </w:r>
    </w:p>
    <w:p w14:paraId="036C40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（三）</w:t>
      </w:r>
      <w:r>
        <w:rPr>
          <w:rFonts w:hint="eastAsia" w:ascii="宋体" w:hAnsi="宋体" w:eastAsia="宋体" w:cs="宋体"/>
          <w:b/>
          <w:bCs/>
          <w:color w:val="auto"/>
          <w:kern w:val="0"/>
          <w:sz w:val="21"/>
          <w:szCs w:val="21"/>
          <w:highlight w:val="none"/>
          <w:lang w:val="en-US" w:eastAsia="zh-CN" w:bidi="ar"/>
        </w:rPr>
        <w:t xml:space="preserve">核心业务全流程要求 </w:t>
      </w:r>
    </w:p>
    <w:p w14:paraId="454534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系统应覆盖</w:t>
      </w:r>
    </w:p>
    <w:p w14:paraId="0E7334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基础数据与字典维护</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客商、物料与定价、车辆/司机/承运单位、合同、发货点、批号、黑名单、账户</w:t>
      </w:r>
      <w:r>
        <w:rPr>
          <w:rFonts w:hint="eastAsia" w:ascii="宋体" w:hAnsi="宋体" w:cs="宋体"/>
          <w:color w:val="auto"/>
          <w:kern w:val="0"/>
          <w:sz w:val="21"/>
          <w:szCs w:val="21"/>
          <w:highlight w:val="none"/>
          <w:lang w:val="en-US" w:eastAsia="zh-CN" w:bidi="ar"/>
        </w:rPr>
        <w:t>。</w:t>
      </w:r>
    </w:p>
    <w:p w14:paraId="619AB9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计划单下达</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手机客商端/Web，一单可多产品、多车次</w:t>
      </w:r>
      <w:r>
        <w:rPr>
          <w:rFonts w:hint="eastAsia" w:ascii="宋体" w:hAnsi="宋体" w:cs="宋体"/>
          <w:color w:val="auto"/>
          <w:kern w:val="0"/>
          <w:sz w:val="21"/>
          <w:szCs w:val="21"/>
          <w:highlight w:val="none"/>
          <w:lang w:val="en-US" w:eastAsia="zh-CN" w:bidi="ar"/>
        </w:rPr>
        <w:t>。</w:t>
      </w:r>
    </w:p>
    <w:p w14:paraId="0F4698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420" w:leftChars="200" w:right="0" w:firstLine="0" w:firstLineChars="0"/>
        <w:jc w:val="left"/>
        <w:textAlignment w:val="auto"/>
        <w:rPr>
          <w:rFonts w:hint="eastAsia" w:ascii="宋体" w:hAnsi="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多级审批</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客商/销售创建的计划单须招标人审批，管理员创建免审批，审批时必选发货地点</w:t>
      </w:r>
      <w:r>
        <w:rPr>
          <w:rFonts w:hint="eastAsia" w:ascii="宋体" w:hAnsi="宋体" w:cs="宋体"/>
          <w:color w:val="auto"/>
          <w:kern w:val="0"/>
          <w:sz w:val="21"/>
          <w:szCs w:val="21"/>
          <w:highlight w:val="none"/>
          <w:lang w:val="en-US" w:eastAsia="zh-CN" w:bidi="ar"/>
        </w:rPr>
        <w:t>。</w:t>
      </w:r>
    </w:p>
    <w:p w14:paraId="026759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420" w:leftChars="200" w:right="0" w:firstLine="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物流派车</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终审通过且带车辆与司机自动生成车次，支持人工派车</w:t>
      </w:r>
      <w:r>
        <w:rPr>
          <w:rFonts w:hint="eastAsia" w:ascii="宋体" w:hAnsi="宋体" w:cs="宋体"/>
          <w:color w:val="auto"/>
          <w:kern w:val="0"/>
          <w:sz w:val="21"/>
          <w:szCs w:val="21"/>
          <w:highlight w:val="none"/>
          <w:lang w:val="en-US" w:eastAsia="zh-CN" w:bidi="ar"/>
        </w:rPr>
        <w:t>。</w:t>
      </w:r>
    </w:p>
    <w:p w14:paraId="07C140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现场核验</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现场管理人员确认物料、车辆与计划一致后方可重车计量</w:t>
      </w:r>
      <w:r>
        <w:rPr>
          <w:rFonts w:hint="eastAsia" w:ascii="宋体" w:hAnsi="宋体" w:cs="宋体"/>
          <w:color w:val="auto"/>
          <w:kern w:val="0"/>
          <w:sz w:val="21"/>
          <w:szCs w:val="21"/>
          <w:highlight w:val="none"/>
          <w:lang w:val="en-US" w:eastAsia="zh-CN" w:bidi="ar"/>
        </w:rPr>
        <w:t>。</w:t>
      </w:r>
    </w:p>
    <w:p w14:paraId="7347E6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无人值守过磅</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车牌识别→上磅→红外光栅校验→仪表稳定判定→业务校验→抓拍存证→语音引导放行</w:t>
      </w:r>
      <w:r>
        <w:rPr>
          <w:rFonts w:hint="eastAsia" w:ascii="宋体" w:hAnsi="宋体" w:cs="宋体"/>
          <w:color w:val="auto"/>
          <w:kern w:val="0"/>
          <w:sz w:val="21"/>
          <w:szCs w:val="21"/>
          <w:highlight w:val="none"/>
          <w:lang w:val="en-US" w:eastAsia="zh-CN" w:bidi="ar"/>
        </w:rPr>
        <w:t>。</w:t>
      </w:r>
    </w:p>
    <w:p w14:paraId="1F68FFE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磅单、结算与报表</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电子磅单推送、批量打印、余量按产品行重算、日报/流水/对账单</w:t>
      </w:r>
      <w:r>
        <w:rPr>
          <w:rFonts w:hint="eastAsia" w:ascii="宋体" w:hAnsi="宋体" w:cs="宋体"/>
          <w:color w:val="auto"/>
          <w:kern w:val="0"/>
          <w:sz w:val="21"/>
          <w:szCs w:val="21"/>
          <w:highlight w:val="none"/>
          <w:lang w:val="en-US" w:eastAsia="zh-CN" w:bidi="ar"/>
        </w:rPr>
        <w:t>。</w:t>
      </w:r>
    </w:p>
    <w:p w14:paraId="5579F0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2.七</w:t>
      </w:r>
      <w:r>
        <w:rPr>
          <w:rFonts w:hint="eastAsia" w:ascii="宋体" w:hAnsi="宋体" w:eastAsia="宋体" w:cs="宋体"/>
          <w:color w:val="auto"/>
          <w:kern w:val="0"/>
          <w:sz w:val="21"/>
          <w:szCs w:val="21"/>
          <w:highlight w:val="none"/>
          <w:lang w:val="en-US" w:eastAsia="zh-CN" w:bidi="ar"/>
        </w:rPr>
        <w:t>个环节，实现端到端闭环。</w:t>
      </w:r>
    </w:p>
    <w:p w14:paraId="622030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基础数据与字典管理：系统应支持客商档案及资质管理、物料与定价管理、车辆/司机/承运单位档案管理、合同管理（含合同量价条款与变更审批）、发货点（站点）字典、批号管理、黑名单管理，以及客户账户管理（充值、余额、交易流水），为业务闭环提供基础数据支撑。</w:t>
      </w:r>
    </w:p>
    <w:p w14:paraId="54A5ED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计划单管理：系统应支持客商通过手机微信小程序自助下单，或由销售管理人员通过Web端代录；单个计划单可包含多种产品、安排多个车次；下单时按预提量与物料单价自动计算金额，超出账户余额时弹窗提醒需充值。</w:t>
      </w:r>
    </w:p>
    <w:p w14:paraId="02E96A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多级审批管理：客商或销售创建的计划单须经招标人审批后方可生效；管理员创建的计划单可免审批直接生效；审批时必须选定发货地点；审批通过或驳回均留痕，驳回须填写意见，客商端可查询审批状态。</w:t>
      </w:r>
    </w:p>
    <w:p w14:paraId="5A4CEC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物流派车管理：计划单终审通过且已绑定车辆与司机的，系统自动按产品行逐行生成车次，一个车次对应一种产品；同时支持人工派车、指定承运产品行及车辆变更。</w:t>
      </w:r>
    </w:p>
    <w:p w14:paraId="64DADF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现场核验管理：车辆到达现场后，由现场管理人员核验物料、车辆与计划单一致性，核验确认后方可进行重车计量；未完成现场核验的，系统自动拒绝重车计量并转人工介入。</w:t>
      </w:r>
    </w:p>
    <w:p w14:paraId="00E266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color w:val="auto"/>
          <w:highlight w:val="none"/>
        </w:rPr>
      </w:pPr>
      <w:r>
        <w:rPr>
          <w:rFonts w:hint="eastAsia"/>
          <w:color w:val="auto"/>
          <w:highlight w:val="none"/>
          <w:lang w:eastAsia="zh-CN"/>
        </w:rPr>
        <w:t>（</w:t>
      </w:r>
      <w:r>
        <w:rPr>
          <w:rFonts w:hint="eastAsia"/>
          <w:color w:val="auto"/>
          <w:highlight w:val="none"/>
          <w:lang w:val="en-US" w:eastAsia="zh-CN"/>
        </w:rPr>
        <w:t>6</w:t>
      </w:r>
      <w:r>
        <w:rPr>
          <w:rFonts w:hint="eastAsia"/>
          <w:color w:val="auto"/>
          <w:highlight w:val="none"/>
          <w:lang w:eastAsia="zh-CN"/>
        </w:rPr>
        <w:t>）</w:t>
      </w:r>
      <w:r>
        <w:rPr>
          <w:color w:val="auto"/>
          <w:highlight w:val="none"/>
        </w:rPr>
        <w:t>无人值守过磅管理：</w:t>
      </w:r>
    </w:p>
    <w:p w14:paraId="6EBD6A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空车计量：车牌识别验证成功后道闸自动开启，车辆上磅后红外光栅校验车辆完全停稳，仪表数值稳定后，系统自动抓拍磅前、磅后、磅顶三张实时照片，与称重信息同步存入系统；若车辆未完全上磅，语音提示调整位置；历史皮重异常时自动报警，需人工介入处理。 </w:t>
      </w:r>
    </w:p>
    <w:p w14:paraId="52D04F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重车计量：车辆核验通过后车牌识别成功方可上磅，系统自动校验车辆是否超吨、订单余量、资金余量，校验通过后完成计量保存，同步抓拍三张称重图片关联存储；车辆超载时自动语音提示前往装车点卸货，禁止完成计量。 </w:t>
      </w:r>
    </w:p>
    <w:p w14:paraId="133427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color w:val="auto"/>
          <w:highlight w:val="none"/>
        </w:rPr>
      </w:pPr>
      <w:r>
        <w:rPr>
          <w:rFonts w:hint="eastAsia" w:ascii="宋体" w:hAnsi="宋体" w:eastAsia="宋体" w:cs="宋体"/>
          <w:color w:val="auto"/>
          <w:kern w:val="0"/>
          <w:sz w:val="21"/>
          <w:szCs w:val="21"/>
          <w:highlight w:val="none"/>
          <w:lang w:val="en-US" w:eastAsia="zh-CN" w:bidi="ar"/>
        </w:rPr>
        <w:t>5秒内连续采集仪表数值，数据完全一致后方可保存，避免称重数据异常。</w:t>
      </w:r>
    </w:p>
    <w:p w14:paraId="0728020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right="0" w:rightChars="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磅单、结算与报表管理：系统应支持电子磅单自动推送客商、磅单批量打印；过磅后按产品行自动重算计划余量、扣减客户账户余额；提供过磅日报、流水报表、客户对账单、汇总分析等报表，支持按筛选条件导出Excel。</w:t>
      </w:r>
    </w:p>
    <w:p w14:paraId="5ED471E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Chars="200" w:right="0" w:right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（四）视频与追溯</w:t>
      </w:r>
    </w:p>
    <w:p w14:paraId="077B76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全程视频录像保存3个月，称重数据与抓拍图片本地同一服务器关联存储，查询历史车辆信息时数据与图片一一对应，可随时调阅取证。  </w:t>
      </w:r>
    </w:p>
    <w:p w14:paraId="177D0B7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Chars="200" w:right="0" w:rightChars="0"/>
        <w:jc w:val="left"/>
        <w:textAlignment w:val="auto"/>
        <w:rPr>
          <w:rFonts w:hint="eastAsia" w:ascii="宋体" w:hAnsi="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（五）权限与信息管理</w:t>
      </w:r>
    </w:p>
    <w:p w14:paraId="7E8879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系统应采用 </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账号—角色—权限—数据范围</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 xml:space="preserve">四级授权管理机制：账号绑定角色，角色控制菜单可见范围与接口调用权限（后端按权限点逐次校验），并按场区/部门/个人/客户维度隔离数据可见范围；客商、承运单位、司机等外部角色仅可查看与自身相关的单据，审批、复核等管理权限按场区隔离配置；所有关键操作及批量导出行为均写入操作日志，导出数据受同一数据范围约束，实现 </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谁能看、谁能做、做过什么</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全程可追溯。</w:t>
      </w:r>
    </w:p>
    <w:p w14:paraId="070B82A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（六）</w:t>
      </w:r>
      <w:r>
        <w:rPr>
          <w:rFonts w:hint="eastAsia" w:ascii="宋体" w:hAnsi="宋体" w:eastAsia="宋体" w:cs="宋体"/>
          <w:b/>
          <w:bCs/>
          <w:color w:val="auto"/>
          <w:kern w:val="0"/>
          <w:sz w:val="21"/>
          <w:szCs w:val="21"/>
          <w:highlight w:val="none"/>
          <w:lang w:val="en-US" w:eastAsia="zh-CN" w:bidi="ar"/>
        </w:rPr>
        <w:t xml:space="preserve">防作弊与异常管理 </w:t>
      </w:r>
    </w:p>
    <w:p w14:paraId="16DA84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1.同一车辆在系统中仅允许存在一条在执行的任务。 </w:t>
      </w:r>
    </w:p>
    <w:p w14:paraId="0C6CB7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2.车辆未装车需空车放行的，必须过秤校验，净重差超出允许范围时自动报警，需人工介入处理。 </w:t>
      </w:r>
    </w:p>
    <w:p w14:paraId="39BD91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3.空车计量时自动取历史最近3次皮重平均值与本次称重比对，超出设定误差值时报警，人工解除后方可继续检斤。 </w:t>
      </w:r>
    </w:p>
    <w:p w14:paraId="13ECDE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4.黑名单车辆人工维护后，禁止上磅、禁止参与计量流程。 </w:t>
      </w:r>
    </w:p>
    <w:p w14:paraId="30832C5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5.出现车牌识别失败、车辆作弊、超载、设备故障等异常时，管理人员可远程手动控制闸机、人工补录称重数据。 </w:t>
      </w:r>
    </w:p>
    <w:p w14:paraId="743207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6.计划单车辆变更规则：车辆未过磅允许变更计划单，已过磅的车辆不允许变更计划单。  </w:t>
      </w:r>
    </w:p>
    <w:p w14:paraId="62926C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（七）</w:t>
      </w:r>
      <w:r>
        <w:rPr>
          <w:rFonts w:hint="eastAsia" w:ascii="宋体" w:hAnsi="宋体" w:eastAsia="宋体" w:cs="宋体"/>
          <w:b/>
          <w:bCs/>
          <w:color w:val="auto"/>
          <w:kern w:val="0"/>
          <w:sz w:val="21"/>
          <w:szCs w:val="21"/>
          <w:highlight w:val="none"/>
          <w:lang w:val="en-US" w:eastAsia="zh-CN" w:bidi="ar"/>
        </w:rPr>
        <w:t xml:space="preserve">产品与价格优惠管理 </w:t>
      </w:r>
    </w:p>
    <w:p w14:paraId="1448CD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1.建立产品主数据管理体系，统一维护产品分类、名称、规格型号、计价单位、标准单价、库存等属性。 </w:t>
      </w:r>
    </w:p>
    <w:p w14:paraId="1093F2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2.支持按站点独立配置产品目录与价格体系，实现多站点差异化产品管理。 </w:t>
      </w:r>
    </w:p>
    <w:p w14:paraId="753F33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3.支持两类优惠策略组合配置： </w:t>
      </w:r>
    </w:p>
    <w:p w14:paraId="730526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按客户累计已完成采购量实行阶梯优惠定价</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 xml:space="preserve"> </w:t>
      </w:r>
    </w:p>
    <w:p w14:paraId="384537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按有效期限对单个产品设定阶段性采购优惠价</w:t>
      </w:r>
      <w:r>
        <w:rPr>
          <w:rFonts w:hint="eastAsia" w:ascii="宋体" w:hAnsi="宋体" w:cs="宋体"/>
          <w:color w:val="auto"/>
          <w:kern w:val="0"/>
          <w:sz w:val="21"/>
          <w:szCs w:val="21"/>
          <w:highlight w:val="none"/>
          <w:lang w:val="en-US" w:eastAsia="zh-CN" w:bidi="ar"/>
        </w:rPr>
        <w:t>；</w:t>
      </w:r>
    </w:p>
    <w:p w14:paraId="464B5B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 xml:space="preserve">所有优惠规则结算时系统自动执行，全程留存调整记录。   </w:t>
      </w:r>
    </w:p>
    <w:p w14:paraId="1F189C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2" w:firstLineChars="200"/>
        <w:jc w:val="left"/>
        <w:textAlignment w:val="auto"/>
        <w:rPr>
          <w:rFonts w:hint="default" w:ascii="宋体" w:hAnsi="宋体" w:eastAsia="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（八）系统资金管理</w:t>
      </w:r>
    </w:p>
    <w:p w14:paraId="723236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系统应采用 </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业主财务集中管理、客商账户预存扣款</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的结算方式：客商资金账户由业主财务统一管理，账户实时记录可用余额、账户余额、冻结金额及累计充值、累计消费等口径；客商不支持自助入账，须提交充值申请（含金额、打款方式、打款时间、打款凭证）并生成申请单号，经业主财务核对款项到账并审核入账后，余额方可增加。提货环节为结算核心：车辆过磅计量完成后，系统按该车次对应计划单产品明细行的成交价自动扣款（取价优先级为：限期优惠价→累计采购量分档优惠价→发货点产品价→客户专属价→挂牌价），生成消费流水，并按产品明细行同步回写已提量与剩余量；为防止余额不足或重复占用，账户设冻结（预占）额度，业务执行期间占用、结算完成或人工结单时释放，并在账户流水中以</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解冻 / 释放余额预占</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等形式体现。每一笔资金变动均登记为账户流水，记录变动类型（充值、消费、退款、调整等）、发生前余额、发生后余额、关联单号、发生时间及备注，确保金额来源、扣款依据与余额变化全程可追溯；计划单明细行同步保存结算重量与结算金额字段，为后续对账与开票提供数据基础。</w:t>
      </w:r>
    </w:p>
    <w:p w14:paraId="26DBCA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cs="宋体"/>
          <w:b/>
          <w:bCs/>
          <w:color w:val="auto"/>
          <w:kern w:val="0"/>
          <w:sz w:val="21"/>
          <w:szCs w:val="21"/>
          <w:highlight w:val="none"/>
          <w:lang w:val="en-US" w:eastAsia="zh-CN" w:bidi="ar"/>
        </w:rPr>
        <w:t>（九）</w:t>
      </w:r>
      <w:r>
        <w:rPr>
          <w:rFonts w:hint="eastAsia" w:ascii="宋体" w:hAnsi="宋体" w:eastAsia="宋体" w:cs="宋体"/>
          <w:b/>
          <w:bCs/>
          <w:color w:val="auto"/>
          <w:kern w:val="0"/>
          <w:sz w:val="21"/>
          <w:szCs w:val="21"/>
          <w:highlight w:val="none"/>
          <w:lang w:val="en-US" w:eastAsia="zh-CN" w:bidi="ar"/>
        </w:rPr>
        <w:t xml:space="preserve">配套服务要求 </w:t>
      </w:r>
    </w:p>
    <w:p w14:paraId="1EC909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1.中标方负责</w:t>
      </w:r>
      <w:r>
        <w:rPr>
          <w:rFonts w:hint="eastAsia" w:ascii="宋体" w:hAnsi="宋体" w:cs="宋体"/>
          <w:color w:val="auto"/>
          <w:kern w:val="0"/>
          <w:sz w:val="21"/>
          <w:szCs w:val="21"/>
          <w:highlight w:val="none"/>
          <w:lang w:val="en-US" w:eastAsia="zh-CN" w:bidi="ar"/>
        </w:rPr>
        <w:t>为实现本次采购范围内所涉及的</w:t>
      </w:r>
      <w:r>
        <w:rPr>
          <w:rFonts w:hint="eastAsia" w:ascii="宋体" w:hAnsi="宋体" w:eastAsia="宋体" w:cs="宋体"/>
          <w:color w:val="auto"/>
          <w:kern w:val="0"/>
          <w:sz w:val="21"/>
          <w:szCs w:val="21"/>
          <w:highlight w:val="none"/>
          <w:lang w:val="en-US" w:eastAsia="zh-CN" w:bidi="ar"/>
        </w:rPr>
        <w:t xml:space="preserve">全部软硬件现场布线、设备安装、系统联调。 </w:t>
      </w:r>
    </w:p>
    <w:p w14:paraId="3CDA8F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2.交付完整文档：软件操作手册、数据库字段表、硬件说明书、系统拓扑图、竣工图纸。 </w:t>
      </w:r>
    </w:p>
    <w:p w14:paraId="75C89D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3.软硬件整体质保不少于1年，提供7×24小时远程技术支持，现场故障24小时内上门处理。 </w:t>
      </w:r>
    </w:p>
    <w:p w14:paraId="7F9D8D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4.针对磅房管理员、运维人员开展操作、查询、故障排查专项培训。 </w:t>
      </w:r>
    </w:p>
    <w:p w14:paraId="523FA5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5.系统架构预留后期新增汽车衡、对接第三方平台的扩展接口。 </w:t>
      </w:r>
    </w:p>
    <w:p w14:paraId="1278FF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6.自系统验收合格之日起1年内，中标方需按招标人实际使用需求免费提供系统功能优化和开发服务；系统软件故障终身免费维护解决，相关费用全部包含在投标总价中，招标人不再额外支付费用。</w:t>
      </w:r>
    </w:p>
    <w:p w14:paraId="6CBE181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p>
    <w:p w14:paraId="781E90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p>
    <w:p w14:paraId="3C8C5E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Autospacing="0" w:afterAutospacing="0" w:line="50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bidi="ar"/>
        </w:rPr>
      </w:pPr>
    </w:p>
    <w:p w14:paraId="5010EF41">
      <w:pPr>
        <w:keepNext w:val="0"/>
        <w:keepLines w:val="0"/>
        <w:pageBreakBefore w:val="0"/>
        <w:widowControl w:val="0"/>
        <w:numPr>
          <w:ilvl w:val="0"/>
          <w:numId w:val="0"/>
        </w:numPr>
        <w:kinsoku/>
        <w:wordWrap/>
        <w:overflowPunct/>
        <w:topLinePunct w:val="0"/>
        <w:autoSpaceDE/>
        <w:autoSpaceDN/>
        <w:bidi w:val="0"/>
        <w:adjustRightInd/>
        <w:snapToGrid w:val="0"/>
        <w:spacing w:before="95" w:beforeLines="30" w:after="95" w:afterLines="30" w:line="440" w:lineRule="exact"/>
        <w:ind w:leftChars="-5" w:right="-334" w:rightChars="-159"/>
        <w:jc w:val="left"/>
        <w:textAlignment w:val="auto"/>
        <w:outlineLvl w:val="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三、主要硬件设备采购清单及技术要求</w:t>
      </w:r>
    </w:p>
    <w:p w14:paraId="191484A8">
      <w:pPr>
        <w:keepNext w:val="0"/>
        <w:keepLines w:val="0"/>
        <w:pageBreakBefore w:val="0"/>
        <w:widowControl w:val="0"/>
        <w:kinsoku/>
        <w:wordWrap/>
        <w:overflowPunct/>
        <w:topLinePunct w:val="0"/>
        <w:autoSpaceDE/>
        <w:autoSpaceDN/>
        <w:bidi w:val="0"/>
        <w:adjustRightInd/>
        <w:snapToGrid/>
        <w:spacing w:before="95" w:beforeLines="30" w:after="95" w:afterLines="30" w:line="50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（一）最高限价清单</w:t>
      </w:r>
    </w:p>
    <w:tbl>
      <w:tblPr>
        <w:tblStyle w:val="37"/>
        <w:tblW w:w="10365" w:type="dxa"/>
        <w:tblInd w:w="-5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129"/>
        <w:gridCol w:w="882"/>
        <w:gridCol w:w="651"/>
        <w:gridCol w:w="1195"/>
        <w:gridCol w:w="1154"/>
        <w:gridCol w:w="3649"/>
      </w:tblGrid>
      <w:tr w14:paraId="79BAC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22F91B9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序号</w:t>
            </w:r>
          </w:p>
        </w:tc>
        <w:tc>
          <w:tcPr>
            <w:tcW w:w="2129" w:type="dxa"/>
            <w:vAlign w:val="center"/>
          </w:tcPr>
          <w:p w14:paraId="39471C3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采购内容</w:t>
            </w:r>
          </w:p>
        </w:tc>
        <w:tc>
          <w:tcPr>
            <w:tcW w:w="882" w:type="dxa"/>
            <w:vAlign w:val="center"/>
          </w:tcPr>
          <w:p w14:paraId="596F368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单位</w:t>
            </w:r>
          </w:p>
        </w:tc>
        <w:tc>
          <w:tcPr>
            <w:tcW w:w="651" w:type="dxa"/>
            <w:vAlign w:val="center"/>
          </w:tcPr>
          <w:p w14:paraId="5986077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数量</w:t>
            </w:r>
          </w:p>
        </w:tc>
        <w:tc>
          <w:tcPr>
            <w:tcW w:w="1195" w:type="dxa"/>
            <w:vAlign w:val="center"/>
          </w:tcPr>
          <w:p w14:paraId="47EA3BF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最高综合单价(元）</w:t>
            </w:r>
          </w:p>
        </w:tc>
        <w:tc>
          <w:tcPr>
            <w:tcW w:w="1154" w:type="dxa"/>
            <w:vAlign w:val="center"/>
          </w:tcPr>
          <w:p w14:paraId="05AD360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小计（元）</w:t>
            </w:r>
          </w:p>
        </w:tc>
        <w:tc>
          <w:tcPr>
            <w:tcW w:w="3649" w:type="dxa"/>
            <w:vAlign w:val="center"/>
          </w:tcPr>
          <w:p w14:paraId="71CADDF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备注</w:t>
            </w:r>
          </w:p>
        </w:tc>
      </w:tr>
      <w:tr w14:paraId="66276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trPr>
        <w:tc>
          <w:tcPr>
            <w:tcW w:w="705" w:type="dxa"/>
            <w:vAlign w:val="center"/>
          </w:tcPr>
          <w:p w14:paraId="4B5A8F5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p>
        </w:tc>
        <w:tc>
          <w:tcPr>
            <w:tcW w:w="2129" w:type="dxa"/>
            <w:shd w:val="clear" w:color="FFFFFF" w:themeColor="background1" w:fill="auto"/>
            <w:vAlign w:val="center"/>
          </w:tcPr>
          <w:p w14:paraId="2E31A2E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汽车衡无人值守部分</w:t>
            </w:r>
          </w:p>
        </w:tc>
        <w:tc>
          <w:tcPr>
            <w:tcW w:w="882" w:type="dxa"/>
            <w:shd w:val="clear" w:color="FFFFFF" w:themeColor="background1" w:fill="auto"/>
            <w:vAlign w:val="center"/>
          </w:tcPr>
          <w:p w14:paraId="3B6ABC0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个汽车衡</w:t>
            </w:r>
          </w:p>
        </w:tc>
        <w:tc>
          <w:tcPr>
            <w:tcW w:w="651" w:type="dxa"/>
            <w:shd w:val="clear" w:color="FFFFFF" w:themeColor="background1" w:fill="auto"/>
            <w:vAlign w:val="center"/>
          </w:tcPr>
          <w:p w14:paraId="521A06A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2</w:t>
            </w:r>
          </w:p>
        </w:tc>
        <w:tc>
          <w:tcPr>
            <w:tcW w:w="1195" w:type="dxa"/>
            <w:shd w:val="clear" w:color="FFFFFF" w:themeColor="background1" w:fill="auto"/>
            <w:vAlign w:val="center"/>
          </w:tcPr>
          <w:p w14:paraId="0224BED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70000</w:t>
            </w:r>
          </w:p>
        </w:tc>
        <w:tc>
          <w:tcPr>
            <w:tcW w:w="1154" w:type="dxa"/>
            <w:shd w:val="clear" w:color="FFFFFF" w:themeColor="background1" w:fill="auto"/>
            <w:vAlign w:val="center"/>
          </w:tcPr>
          <w:p w14:paraId="1275FD7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140</w:t>
            </w:r>
            <w:r>
              <w:rPr>
                <w:rFonts w:hint="eastAsia" w:ascii="宋体" w:hAnsi="宋体" w:eastAsia="宋体" w:cs="宋体"/>
                <w:b w:val="0"/>
                <w:bCs w:val="0"/>
                <w:color w:val="auto"/>
                <w:sz w:val="21"/>
                <w:szCs w:val="21"/>
                <w:highlight w:val="none"/>
                <w:vertAlign w:val="baseline"/>
                <w:lang w:val="en-US" w:eastAsia="zh-CN"/>
              </w:rPr>
              <w:t>000</w:t>
            </w:r>
          </w:p>
        </w:tc>
        <w:tc>
          <w:tcPr>
            <w:tcW w:w="3649" w:type="dxa"/>
            <w:shd w:val="clear" w:color="FFFFFF" w:themeColor="background1" w:fill="auto"/>
          </w:tcPr>
          <w:p w14:paraId="37F9641B">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vertAlign w:val="baseline"/>
                <w:lang w:val="en-US" w:eastAsia="zh-CN"/>
              </w:rPr>
            </w:pPr>
            <w:r>
              <w:rPr>
                <w:color w:val="auto"/>
                <w:highlight w:val="none"/>
              </w:rPr>
              <w:t>单个汽车衡智能升级硬件费用（不</w:t>
            </w:r>
            <w:r>
              <w:rPr>
                <w:rFonts w:hint="eastAsia"/>
                <w:color w:val="auto"/>
                <w:highlight w:val="none"/>
                <w:lang w:val="en-US" w:eastAsia="zh-CN"/>
              </w:rPr>
              <w:t>含汽车衡</w:t>
            </w:r>
            <w:r>
              <w:rPr>
                <w:color w:val="auto"/>
                <w:highlight w:val="none"/>
              </w:rPr>
              <w:t>），实际采购费用按投标人分项报价及实际需要增加的硬件设备</w:t>
            </w:r>
            <w:r>
              <w:rPr>
                <w:rFonts w:hint="eastAsia"/>
                <w:color w:val="auto"/>
                <w:highlight w:val="none"/>
                <w:lang w:eastAsia="zh-CN"/>
              </w:rPr>
              <w:t>（</w:t>
            </w:r>
            <w:r>
              <w:rPr>
                <w:rFonts w:hint="eastAsia"/>
                <w:color w:val="auto"/>
                <w:highlight w:val="none"/>
                <w:lang w:val="en-US" w:eastAsia="zh-CN"/>
              </w:rPr>
              <w:t>即在满足招标人采购需求的基础上，招标人不强制要求投标人投入所有列明硬件</w:t>
            </w:r>
            <w:r>
              <w:rPr>
                <w:rFonts w:hint="eastAsia"/>
                <w:color w:val="auto"/>
                <w:highlight w:val="none"/>
                <w:lang w:eastAsia="zh-CN"/>
              </w:rPr>
              <w:t>）</w:t>
            </w:r>
            <w:r>
              <w:rPr>
                <w:color w:val="auto"/>
                <w:highlight w:val="none"/>
              </w:rPr>
              <w:t>，据实计费</w:t>
            </w:r>
            <w:r>
              <w:rPr>
                <w:rFonts w:hint="eastAsia"/>
                <w:color w:val="auto"/>
                <w:highlight w:val="none"/>
                <w:lang w:eastAsia="zh-CN"/>
              </w:rPr>
              <w:t>。</w:t>
            </w:r>
          </w:p>
        </w:tc>
      </w:tr>
      <w:tr w14:paraId="38438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405789A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2</w:t>
            </w:r>
          </w:p>
        </w:tc>
        <w:tc>
          <w:tcPr>
            <w:tcW w:w="2129" w:type="dxa"/>
            <w:shd w:val="clear" w:color="FFFFFF" w:themeColor="background1" w:fill="auto"/>
            <w:vAlign w:val="center"/>
          </w:tcPr>
          <w:p w14:paraId="29C8C95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color w:val="auto"/>
                <w:highlight w:val="none"/>
              </w:rPr>
              <w:t>中控及软件部分（含微信小程序，不含APP开发、云服务器、</w:t>
            </w:r>
            <w:r>
              <w:rPr>
                <w:rFonts w:hint="eastAsia"/>
                <w:color w:val="auto"/>
                <w:highlight w:val="none"/>
                <w:lang w:eastAsia="zh-CN"/>
              </w:rPr>
              <w:t>MySQL服务</w:t>
            </w:r>
            <w:r>
              <w:rPr>
                <w:color w:val="auto"/>
                <w:highlight w:val="none"/>
              </w:rPr>
              <w:t>、小程序服务费和SSL证书）</w:t>
            </w:r>
          </w:p>
        </w:tc>
        <w:tc>
          <w:tcPr>
            <w:tcW w:w="882" w:type="dxa"/>
            <w:shd w:val="clear" w:color="FFFFFF" w:themeColor="background1" w:fill="auto"/>
            <w:vAlign w:val="center"/>
          </w:tcPr>
          <w:p w14:paraId="2DF5E6C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项</w:t>
            </w:r>
          </w:p>
        </w:tc>
        <w:tc>
          <w:tcPr>
            <w:tcW w:w="651" w:type="dxa"/>
            <w:shd w:val="clear" w:color="FFFFFF" w:themeColor="background1" w:fill="auto"/>
            <w:vAlign w:val="center"/>
          </w:tcPr>
          <w:p w14:paraId="4E12F58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p>
        </w:tc>
        <w:tc>
          <w:tcPr>
            <w:tcW w:w="1195" w:type="dxa"/>
            <w:shd w:val="clear" w:color="FFFFFF" w:themeColor="background1" w:fill="auto"/>
            <w:vAlign w:val="center"/>
          </w:tcPr>
          <w:p w14:paraId="5BA03DF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74450</w:t>
            </w:r>
          </w:p>
        </w:tc>
        <w:tc>
          <w:tcPr>
            <w:tcW w:w="1154" w:type="dxa"/>
            <w:shd w:val="clear" w:color="FFFFFF" w:themeColor="background1" w:fill="auto"/>
            <w:vAlign w:val="center"/>
          </w:tcPr>
          <w:p w14:paraId="178E8E6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74450</w:t>
            </w:r>
          </w:p>
        </w:tc>
        <w:tc>
          <w:tcPr>
            <w:tcW w:w="3649" w:type="dxa"/>
            <w:shd w:val="clear" w:color="FFFFFF" w:themeColor="background1" w:fill="auto"/>
          </w:tcPr>
          <w:p w14:paraId="0A30A3B5">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b w:val="0"/>
                <w:bCs w:val="0"/>
                <w:color w:val="auto"/>
                <w:sz w:val="21"/>
                <w:szCs w:val="21"/>
                <w:highlight w:val="none"/>
                <w:vertAlign w:val="baseline"/>
                <w:lang w:val="en-US" w:eastAsia="zh-CN"/>
              </w:rPr>
            </w:pPr>
            <w:r>
              <w:rPr>
                <w:color w:val="auto"/>
                <w:highlight w:val="none"/>
              </w:rPr>
              <w:t>本项目一次性投入，后续招标人不论增加多少汽车衡，不再收费</w:t>
            </w:r>
          </w:p>
        </w:tc>
      </w:tr>
      <w:tr w14:paraId="5A98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74FAA7F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3</w:t>
            </w:r>
          </w:p>
        </w:tc>
        <w:tc>
          <w:tcPr>
            <w:tcW w:w="2129" w:type="dxa"/>
            <w:shd w:val="clear" w:color="FFFFFF" w:themeColor="background1" w:fill="auto"/>
            <w:vAlign w:val="center"/>
          </w:tcPr>
          <w:p w14:paraId="2847118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云服务器</w:t>
            </w:r>
          </w:p>
        </w:tc>
        <w:tc>
          <w:tcPr>
            <w:tcW w:w="882" w:type="dxa"/>
            <w:shd w:val="clear" w:color="FFFFFF" w:themeColor="background1" w:fill="auto"/>
            <w:vAlign w:val="center"/>
          </w:tcPr>
          <w:p w14:paraId="799B2FF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项</w:t>
            </w:r>
          </w:p>
        </w:tc>
        <w:tc>
          <w:tcPr>
            <w:tcW w:w="651" w:type="dxa"/>
            <w:shd w:val="clear" w:color="FFFFFF" w:themeColor="background1" w:fill="auto"/>
            <w:vAlign w:val="center"/>
          </w:tcPr>
          <w:p w14:paraId="33B19AC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w:t>
            </w:r>
          </w:p>
        </w:tc>
        <w:tc>
          <w:tcPr>
            <w:tcW w:w="1195" w:type="dxa"/>
            <w:shd w:val="clear" w:color="FFFFFF" w:themeColor="background1" w:fill="auto"/>
            <w:vAlign w:val="center"/>
          </w:tcPr>
          <w:p w14:paraId="4B98249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8200</w:t>
            </w:r>
          </w:p>
        </w:tc>
        <w:tc>
          <w:tcPr>
            <w:tcW w:w="1154" w:type="dxa"/>
            <w:shd w:val="clear" w:color="FFFFFF" w:themeColor="background1" w:fill="auto"/>
            <w:vAlign w:val="center"/>
          </w:tcPr>
          <w:p w14:paraId="3160DE4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8200</w:t>
            </w:r>
          </w:p>
        </w:tc>
        <w:tc>
          <w:tcPr>
            <w:tcW w:w="3649" w:type="dxa"/>
            <w:shd w:val="clear" w:color="FFFFFF" w:themeColor="background1" w:fill="auto"/>
          </w:tcPr>
          <w:p w14:paraId="0699017D">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含首年费用，次年招标人按投标人报价每年缴费</w:t>
            </w:r>
          </w:p>
        </w:tc>
      </w:tr>
      <w:tr w14:paraId="46D39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5C3B5C4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4</w:t>
            </w:r>
          </w:p>
        </w:tc>
        <w:tc>
          <w:tcPr>
            <w:tcW w:w="2129" w:type="dxa"/>
            <w:shd w:val="clear" w:color="FFFFFF" w:themeColor="background1" w:fill="auto"/>
            <w:vAlign w:val="center"/>
          </w:tcPr>
          <w:p w14:paraId="3C67393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color w:val="auto"/>
                <w:highlight w:val="none"/>
                <w:lang w:eastAsia="zh-CN"/>
              </w:rPr>
              <w:t>MySQL服务</w:t>
            </w:r>
          </w:p>
        </w:tc>
        <w:tc>
          <w:tcPr>
            <w:tcW w:w="882" w:type="dxa"/>
            <w:shd w:val="clear" w:color="FFFFFF" w:themeColor="background1" w:fill="auto"/>
            <w:vAlign w:val="center"/>
          </w:tcPr>
          <w:p w14:paraId="23D6C3F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项</w:t>
            </w:r>
          </w:p>
        </w:tc>
        <w:tc>
          <w:tcPr>
            <w:tcW w:w="651" w:type="dxa"/>
            <w:shd w:val="clear" w:color="FFFFFF" w:themeColor="background1" w:fill="auto"/>
            <w:vAlign w:val="center"/>
          </w:tcPr>
          <w:p w14:paraId="5DC2B8A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1</w:t>
            </w:r>
          </w:p>
        </w:tc>
        <w:tc>
          <w:tcPr>
            <w:tcW w:w="1195" w:type="dxa"/>
            <w:shd w:val="clear" w:color="FFFFFF" w:themeColor="background1" w:fill="auto"/>
            <w:vAlign w:val="center"/>
          </w:tcPr>
          <w:p w14:paraId="1B63499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4500</w:t>
            </w:r>
          </w:p>
        </w:tc>
        <w:tc>
          <w:tcPr>
            <w:tcW w:w="1154" w:type="dxa"/>
            <w:shd w:val="clear" w:color="FFFFFF" w:themeColor="background1" w:fill="auto"/>
            <w:vAlign w:val="center"/>
          </w:tcPr>
          <w:p w14:paraId="1FC218A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4500</w:t>
            </w:r>
          </w:p>
        </w:tc>
        <w:tc>
          <w:tcPr>
            <w:tcW w:w="3649" w:type="dxa"/>
            <w:shd w:val="clear" w:color="FFFFFF" w:themeColor="background1" w:fill="auto"/>
          </w:tcPr>
          <w:p w14:paraId="05A67472">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color w:val="auto"/>
                <w:highlight w:val="none"/>
                <w:lang w:val="en-US" w:eastAsia="zh-CN"/>
              </w:rPr>
            </w:pPr>
            <w:r>
              <w:rPr>
                <w:color w:val="auto"/>
                <w:highlight w:val="none"/>
              </w:rPr>
              <w:t>含首年费用，次年招标人按投标人报价每年缴费</w:t>
            </w:r>
            <w:r>
              <w:rPr>
                <w:rFonts w:hint="eastAsia"/>
                <w:color w:val="auto"/>
                <w:highlight w:val="none"/>
                <w:lang w:eastAsia="zh-CN"/>
              </w:rPr>
              <w:t>。</w:t>
            </w:r>
          </w:p>
        </w:tc>
      </w:tr>
      <w:tr w14:paraId="037F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5924B5C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5</w:t>
            </w:r>
          </w:p>
        </w:tc>
        <w:tc>
          <w:tcPr>
            <w:tcW w:w="2129" w:type="dxa"/>
            <w:shd w:val="clear" w:color="FFFFFF" w:themeColor="background1" w:fill="auto"/>
            <w:vAlign w:val="center"/>
          </w:tcPr>
          <w:p w14:paraId="0C015B9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小程序服务费</w:t>
            </w:r>
          </w:p>
        </w:tc>
        <w:tc>
          <w:tcPr>
            <w:tcW w:w="882" w:type="dxa"/>
            <w:shd w:val="clear" w:color="FFFFFF" w:themeColor="background1" w:fill="auto"/>
            <w:vAlign w:val="center"/>
          </w:tcPr>
          <w:p w14:paraId="30869F8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项</w:t>
            </w:r>
          </w:p>
        </w:tc>
        <w:tc>
          <w:tcPr>
            <w:tcW w:w="651" w:type="dxa"/>
            <w:shd w:val="clear" w:color="FFFFFF" w:themeColor="background1" w:fill="auto"/>
            <w:vAlign w:val="center"/>
          </w:tcPr>
          <w:p w14:paraId="20191F9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w:t>
            </w:r>
          </w:p>
        </w:tc>
        <w:tc>
          <w:tcPr>
            <w:tcW w:w="1195" w:type="dxa"/>
            <w:shd w:val="clear" w:color="FFFFFF" w:themeColor="background1" w:fill="auto"/>
            <w:vAlign w:val="center"/>
          </w:tcPr>
          <w:p w14:paraId="5B4194F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350</w:t>
            </w:r>
          </w:p>
        </w:tc>
        <w:tc>
          <w:tcPr>
            <w:tcW w:w="1154" w:type="dxa"/>
            <w:shd w:val="clear" w:color="FFFFFF" w:themeColor="background1" w:fill="auto"/>
            <w:vAlign w:val="center"/>
          </w:tcPr>
          <w:p w14:paraId="2895D10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350</w:t>
            </w:r>
          </w:p>
        </w:tc>
        <w:tc>
          <w:tcPr>
            <w:tcW w:w="3649" w:type="dxa"/>
            <w:shd w:val="clear" w:color="FFFFFF" w:themeColor="background1" w:fill="auto"/>
          </w:tcPr>
          <w:p w14:paraId="38A0560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含首年费用，次年招标人按投标人报价每年缴费</w:t>
            </w:r>
          </w:p>
        </w:tc>
      </w:tr>
      <w:tr w14:paraId="1837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4CE78FC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6</w:t>
            </w:r>
          </w:p>
        </w:tc>
        <w:tc>
          <w:tcPr>
            <w:tcW w:w="2129" w:type="dxa"/>
            <w:vAlign w:val="center"/>
          </w:tcPr>
          <w:p w14:paraId="60DBDF5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SSL证书</w:t>
            </w:r>
          </w:p>
        </w:tc>
        <w:tc>
          <w:tcPr>
            <w:tcW w:w="882" w:type="dxa"/>
            <w:vAlign w:val="center"/>
          </w:tcPr>
          <w:p w14:paraId="4BA79E0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项</w:t>
            </w:r>
          </w:p>
        </w:tc>
        <w:tc>
          <w:tcPr>
            <w:tcW w:w="651" w:type="dxa"/>
            <w:vAlign w:val="center"/>
          </w:tcPr>
          <w:p w14:paraId="7562F70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w:t>
            </w:r>
          </w:p>
        </w:tc>
        <w:tc>
          <w:tcPr>
            <w:tcW w:w="1195" w:type="dxa"/>
            <w:vAlign w:val="center"/>
          </w:tcPr>
          <w:p w14:paraId="3FEB7D2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500</w:t>
            </w:r>
          </w:p>
        </w:tc>
        <w:tc>
          <w:tcPr>
            <w:tcW w:w="1154" w:type="dxa"/>
            <w:vAlign w:val="center"/>
          </w:tcPr>
          <w:p w14:paraId="3119C3B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500</w:t>
            </w:r>
          </w:p>
        </w:tc>
        <w:tc>
          <w:tcPr>
            <w:tcW w:w="3649" w:type="dxa"/>
          </w:tcPr>
          <w:p w14:paraId="62BD4E69">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含首年费用，次年招标人按投标人报价每年缴费</w:t>
            </w:r>
          </w:p>
        </w:tc>
      </w:tr>
      <w:tr w14:paraId="4AC27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14977F8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7</w:t>
            </w:r>
          </w:p>
        </w:tc>
        <w:tc>
          <w:tcPr>
            <w:tcW w:w="2129" w:type="dxa"/>
            <w:shd w:val="clear" w:color="auto" w:fill="auto"/>
            <w:vAlign w:val="center"/>
          </w:tcPr>
          <w:p w14:paraId="2F91A86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highlight w:val="none"/>
                <w:vertAlign w:val="baseline"/>
                <w:lang w:val="en-US" w:eastAsia="zh-CN"/>
              </w:rPr>
              <w:t>中控及软件部分</w:t>
            </w:r>
            <w:r>
              <w:rPr>
                <w:rFonts w:hint="eastAsia" w:ascii="宋体" w:hAnsi="宋体" w:cs="宋体"/>
                <w:b w:val="0"/>
                <w:bCs w:val="0"/>
                <w:color w:val="auto"/>
                <w:sz w:val="21"/>
                <w:szCs w:val="21"/>
                <w:highlight w:val="none"/>
                <w:vertAlign w:val="baseline"/>
                <w:lang w:val="en-US" w:eastAsia="zh-CN"/>
              </w:rPr>
              <w:t>（特指APP开发）</w:t>
            </w:r>
          </w:p>
        </w:tc>
        <w:tc>
          <w:tcPr>
            <w:tcW w:w="882" w:type="dxa"/>
            <w:shd w:val="clear" w:color="auto" w:fill="auto"/>
            <w:vAlign w:val="center"/>
          </w:tcPr>
          <w:p w14:paraId="08EDF3F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highlight w:val="none"/>
                <w:vertAlign w:val="baseline"/>
                <w:lang w:val="en-US" w:eastAsia="zh-CN"/>
              </w:rPr>
              <w:t>项</w:t>
            </w:r>
          </w:p>
        </w:tc>
        <w:tc>
          <w:tcPr>
            <w:tcW w:w="651" w:type="dxa"/>
            <w:shd w:val="clear" w:color="auto" w:fill="auto"/>
            <w:vAlign w:val="center"/>
          </w:tcPr>
          <w:p w14:paraId="2623AAB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highlight w:val="none"/>
                <w:vertAlign w:val="baseline"/>
                <w:lang w:val="en-US" w:eastAsia="zh-CN"/>
              </w:rPr>
              <w:t>1</w:t>
            </w:r>
          </w:p>
        </w:tc>
        <w:tc>
          <w:tcPr>
            <w:tcW w:w="1195" w:type="dxa"/>
            <w:shd w:val="clear" w:color="auto" w:fill="auto"/>
            <w:vAlign w:val="center"/>
          </w:tcPr>
          <w:p w14:paraId="6C2AAE1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22000</w:t>
            </w:r>
          </w:p>
        </w:tc>
        <w:tc>
          <w:tcPr>
            <w:tcW w:w="1154" w:type="dxa"/>
            <w:shd w:val="clear" w:color="auto" w:fill="auto"/>
            <w:vAlign w:val="center"/>
          </w:tcPr>
          <w:p w14:paraId="18E6F09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22000</w:t>
            </w:r>
          </w:p>
        </w:tc>
        <w:tc>
          <w:tcPr>
            <w:tcW w:w="3649" w:type="dxa"/>
            <w:vAlign w:val="center"/>
          </w:tcPr>
          <w:p w14:paraId="3A2D721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含鸿蒙、安卓、苹果三个APP系统</w:t>
            </w:r>
          </w:p>
        </w:tc>
      </w:tr>
      <w:tr w14:paraId="6A4D6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3B4C408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8</w:t>
            </w:r>
          </w:p>
        </w:tc>
        <w:tc>
          <w:tcPr>
            <w:tcW w:w="2129" w:type="dxa"/>
            <w:vAlign w:val="center"/>
          </w:tcPr>
          <w:p w14:paraId="4EC76BD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其它部分</w:t>
            </w:r>
          </w:p>
        </w:tc>
        <w:tc>
          <w:tcPr>
            <w:tcW w:w="882" w:type="dxa"/>
            <w:shd w:val="clear" w:color="auto" w:fill="auto"/>
            <w:vAlign w:val="center"/>
          </w:tcPr>
          <w:p w14:paraId="3BD3026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highlight w:val="none"/>
                <w:vertAlign w:val="baseline"/>
                <w:lang w:val="en-US" w:eastAsia="zh-CN"/>
              </w:rPr>
              <w:t>个汽车衡</w:t>
            </w:r>
          </w:p>
        </w:tc>
        <w:tc>
          <w:tcPr>
            <w:tcW w:w="651" w:type="dxa"/>
            <w:shd w:val="clear" w:color="auto" w:fill="auto"/>
            <w:vAlign w:val="center"/>
          </w:tcPr>
          <w:p w14:paraId="317F05A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2</w:t>
            </w:r>
          </w:p>
        </w:tc>
        <w:tc>
          <w:tcPr>
            <w:tcW w:w="1195" w:type="dxa"/>
            <w:vAlign w:val="center"/>
          </w:tcPr>
          <w:p w14:paraId="37707C3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4500</w:t>
            </w:r>
          </w:p>
        </w:tc>
        <w:tc>
          <w:tcPr>
            <w:tcW w:w="1154" w:type="dxa"/>
            <w:vAlign w:val="center"/>
          </w:tcPr>
          <w:p w14:paraId="03B1AF6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9000</w:t>
            </w:r>
          </w:p>
        </w:tc>
        <w:tc>
          <w:tcPr>
            <w:tcW w:w="3649" w:type="dxa"/>
          </w:tcPr>
          <w:p w14:paraId="0E8073E3">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w:t>
            </w:r>
            <w:r>
              <w:rPr>
                <w:rFonts w:hint="eastAsia" w:ascii="宋体" w:hAnsi="宋体" w:eastAsia="宋体" w:cs="宋体"/>
                <w:b w:val="0"/>
                <w:bCs w:val="0"/>
                <w:color w:val="auto"/>
                <w:sz w:val="21"/>
                <w:szCs w:val="21"/>
                <w:highlight w:val="none"/>
                <w:vertAlign w:val="baseline"/>
                <w:lang w:val="en-US" w:eastAsia="zh-CN"/>
              </w:rPr>
              <w:t>费用包含一个汽车衡软硬件设备安装调试所需一切费用，包含各类辅材、人工等费用</w:t>
            </w:r>
            <w:r>
              <w:rPr>
                <w:rFonts w:hint="eastAsia" w:ascii="宋体" w:hAnsi="宋体" w:cs="宋体"/>
                <w:b w:val="0"/>
                <w:bCs w:val="0"/>
                <w:color w:val="auto"/>
                <w:sz w:val="21"/>
                <w:szCs w:val="21"/>
                <w:highlight w:val="none"/>
                <w:vertAlign w:val="baseline"/>
                <w:lang w:val="en-US" w:eastAsia="zh-CN"/>
              </w:rPr>
              <w:t>。</w:t>
            </w:r>
          </w:p>
          <w:p w14:paraId="2E06B128">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2.合同履行期内如需把一个汽车衡的软硬件更换至另一个汽车衡，其所产生的拆除、安装施工及管材等费用均按此项中标单价执行。</w:t>
            </w:r>
          </w:p>
        </w:tc>
      </w:tr>
      <w:tr w14:paraId="715A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gridSpan w:val="2"/>
          </w:tcPr>
          <w:p w14:paraId="0DD665ED">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最高限价</w:t>
            </w:r>
          </w:p>
        </w:tc>
        <w:tc>
          <w:tcPr>
            <w:tcW w:w="7531" w:type="dxa"/>
            <w:gridSpan w:val="5"/>
          </w:tcPr>
          <w:p w14:paraId="3C70C2C8">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cs="宋体"/>
                <w:b/>
                <w:bCs/>
                <w:color w:val="auto"/>
                <w:sz w:val="21"/>
                <w:szCs w:val="21"/>
                <w:highlight w:val="none"/>
                <w:vertAlign w:val="baseline"/>
                <w:lang w:val="en-US" w:eastAsia="zh-CN"/>
              </w:rPr>
              <w:t>贰拾伍万玖仟元整</w:t>
            </w:r>
            <w:r>
              <w:rPr>
                <w:rFonts w:hint="eastAsia" w:ascii="宋体" w:hAnsi="宋体" w:eastAsia="宋体" w:cs="宋体"/>
                <w:b/>
                <w:bCs/>
                <w:color w:val="auto"/>
                <w:sz w:val="21"/>
                <w:szCs w:val="21"/>
                <w:highlight w:val="none"/>
                <w:vertAlign w:val="baseline"/>
                <w:lang w:val="en-US" w:eastAsia="zh-CN"/>
              </w:rPr>
              <w:t>（</w:t>
            </w:r>
            <w:r>
              <w:rPr>
                <w:rFonts w:hint="eastAsia" w:ascii="宋体" w:hAnsi="宋体" w:cs="宋体"/>
                <w:b/>
                <w:bCs/>
                <w:color w:val="auto"/>
                <w:sz w:val="21"/>
                <w:szCs w:val="21"/>
                <w:highlight w:val="none"/>
                <w:vertAlign w:val="baseline"/>
                <w:lang w:val="en-US" w:eastAsia="zh-CN"/>
              </w:rPr>
              <w:t>259000</w:t>
            </w:r>
            <w:r>
              <w:rPr>
                <w:rFonts w:hint="eastAsia" w:ascii="宋体" w:hAnsi="宋体" w:eastAsia="宋体" w:cs="宋体"/>
                <w:b/>
                <w:bCs/>
                <w:color w:val="auto"/>
                <w:sz w:val="21"/>
                <w:szCs w:val="21"/>
                <w:highlight w:val="none"/>
                <w:vertAlign w:val="baseline"/>
                <w:lang w:val="en-US" w:eastAsia="zh-CN"/>
              </w:rPr>
              <w:t>.00元）</w:t>
            </w:r>
          </w:p>
        </w:tc>
      </w:tr>
    </w:tbl>
    <w:p w14:paraId="646964E9">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注：1.投标报价（含综合单价）不得高于最高限价（含最高综合单价），否则按无效标处理。</w:t>
      </w:r>
    </w:p>
    <w:p w14:paraId="717B9720">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2.每项采购内容配置清单如下表。</w:t>
      </w:r>
    </w:p>
    <w:p w14:paraId="785A8946">
      <w:pPr>
        <w:keepNext w:val="0"/>
        <w:keepLines w:val="0"/>
        <w:pageBreakBefore w:val="0"/>
        <w:widowControl w:val="0"/>
        <w:kinsoku/>
        <w:wordWrap/>
        <w:overflowPunct/>
        <w:topLinePunct w:val="0"/>
        <w:autoSpaceDE/>
        <w:autoSpaceDN/>
        <w:bidi w:val="0"/>
        <w:adjustRightInd/>
        <w:snapToGrid/>
        <w:spacing w:before="95" w:beforeLines="30" w:after="95" w:afterLines="30" w:line="50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（二次）配置清单</w:t>
      </w:r>
    </w:p>
    <w:tbl>
      <w:tblPr>
        <w:tblStyle w:val="36"/>
        <w:tblW w:w="103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4"/>
        <w:gridCol w:w="1781"/>
        <w:gridCol w:w="510"/>
        <w:gridCol w:w="615"/>
        <w:gridCol w:w="6048"/>
        <w:gridCol w:w="706"/>
      </w:tblGrid>
      <w:tr w14:paraId="12C23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6118">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E687">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设备名称</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0C17">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2A7F">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6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FE288">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技术参数与需求说明</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B1F3D">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b/>
                <w:i w:val="0"/>
                <w:iCs w:val="0"/>
                <w:color w:val="auto"/>
                <w:kern w:val="0"/>
                <w:sz w:val="21"/>
                <w:szCs w:val="21"/>
                <w:highlight w:val="none"/>
                <w:u w:val="none"/>
                <w:lang w:val="en-US" w:eastAsia="zh-CN" w:bidi="ar"/>
              </w:rPr>
            </w:pPr>
            <w:r>
              <w:rPr>
                <w:rFonts w:hint="eastAsia" w:ascii="宋体" w:hAnsi="宋体" w:eastAsia="宋体" w:cs="宋体"/>
                <w:b/>
                <w:i w:val="0"/>
                <w:iCs w:val="0"/>
                <w:color w:val="auto"/>
                <w:kern w:val="0"/>
                <w:sz w:val="21"/>
                <w:szCs w:val="21"/>
                <w:highlight w:val="none"/>
                <w:u w:val="none"/>
                <w:lang w:val="en-US" w:eastAsia="zh-CN" w:bidi="ar"/>
              </w:rPr>
              <w:t>备注</w:t>
            </w:r>
          </w:p>
        </w:tc>
      </w:tr>
      <w:tr w14:paraId="7BFC9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37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59DBFE">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b/>
                <w:i w:val="0"/>
                <w:iCs w:val="0"/>
                <w:color w:val="auto"/>
                <w:kern w:val="0"/>
                <w:sz w:val="21"/>
                <w:szCs w:val="21"/>
                <w:highlight w:val="none"/>
                <w:u w:val="none"/>
                <w:lang w:val="en-US" w:eastAsia="zh-CN" w:bidi="ar"/>
              </w:rPr>
            </w:pPr>
            <w:r>
              <w:rPr>
                <w:rFonts w:hint="eastAsia" w:ascii="宋体" w:hAnsi="宋体" w:eastAsia="宋体" w:cs="宋体"/>
                <w:b/>
                <w:i w:val="0"/>
                <w:iCs w:val="0"/>
                <w:color w:val="auto"/>
                <w:kern w:val="0"/>
                <w:sz w:val="21"/>
                <w:szCs w:val="21"/>
                <w:highlight w:val="none"/>
                <w:u w:val="none"/>
                <w:lang w:val="en-US" w:eastAsia="zh-CN" w:bidi="ar"/>
              </w:rPr>
              <w:t>一、汽车衡无人值守部分（1台双向）</w:t>
            </w:r>
          </w:p>
        </w:tc>
      </w:tr>
      <w:tr w14:paraId="6BC5E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768B1">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E5F7C">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道闸识别一体机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26BB">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0782">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6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992E">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1、工业级防护，适配恶劣现场环境；</w:t>
            </w:r>
          </w:p>
          <w:p w14:paraId="3ADC651A">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2、车牌识别仪</w:t>
            </w:r>
            <w:r>
              <w:rPr>
                <w:rFonts w:hint="eastAsia"/>
                <w:color w:val="auto"/>
                <w:highlight w:val="none"/>
                <w:lang w:val="en-US" w:eastAsia="zh-CN"/>
              </w:rPr>
              <w:t>至少</w:t>
            </w:r>
            <w:r>
              <w:rPr>
                <w:rFonts w:hint="eastAsia" w:ascii="宋体" w:hAnsi="宋体" w:eastAsia="宋体" w:cs="宋体"/>
                <w:i w:val="0"/>
                <w:iCs w:val="0"/>
                <w:color w:val="auto"/>
                <w:sz w:val="21"/>
                <w:szCs w:val="21"/>
                <w:highlight w:val="none"/>
                <w:u w:val="none"/>
              </w:rPr>
              <w:t>500万像素，识别准确率≥99.9%；支持蓝/黄/新能源牌识别，强光抑制；≤0.3秒/帧，触发后10ms内输出结果，识别成功后触发道闸抬杆、LED 屏显示车牌信息；</w:t>
            </w:r>
          </w:p>
          <w:p w14:paraId="26E26467">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3、抓拍摄像头至少400万像素，2.8mm广角；高清抓拍（分辨率至少2560*1440），照片自动叠加水印；4个相机位，360°拍摄；</w:t>
            </w:r>
          </w:p>
          <w:p w14:paraId="79BABE94">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4、LED双面显示屏四行四字，可自定义显示文案，双面显示车号、毛皮净重量、提示信息等；</w:t>
            </w:r>
          </w:p>
          <w:p w14:paraId="13CBFBE5">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5、双面红绿灯工作电压AC220V，红/绿双色；工作温度-30℃~70℃，功率&lt;8W，LED发光二极管，使用寿命长；</w:t>
            </w:r>
          </w:p>
          <w:p w14:paraId="712A9722">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6、高音喇叭功率≥100W，分贝≥100db，音量可调；支持自定义语音播报（上磅/称重/超载/离场引导）；</w:t>
            </w:r>
          </w:p>
          <w:p w14:paraId="25283EC8">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7、道闸175V~240V供电，节能:静态功率 &lt; 2W；电机功率&gt;=120W；起杆落杆速度可调，工作噪声&lt;50db；多重保护（过流/过载/短路），防风防冻防锈；工作温度-35℃~75℃；</w:t>
            </w:r>
          </w:p>
          <w:p w14:paraId="0411FC5F">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8、防砸雷达采用79GHz MMIC技术，分辨率更高，检测更稳定；采用最新算法，适用于直杆、栅栏杆；雷达检测距离可调，检测宽度可调；采用先进的信号处理技术，可稳定检测行人和车辆，有效防止砸车、砸人事故的发生；采用LED灯指示雷达工作状态；环境适应能力强，检测性能不受电磁干扰、光照、灰尘、雨雪等外界环境影响；功耗&lt; 3W；发射功率&lt;= 10W；响应时间&lt;= 50ms；工作电压9-12V；工作温度-40℃~85℃；</w:t>
            </w:r>
          </w:p>
          <w:p w14:paraId="6C5AFD88">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9、防撞杆：圆形，直径45~76mm，壁厚≥2.0mm；长度&gt;=3米；承受≥500N 的冲击力（模拟卡车剐蹭），杆体不变形、不损坏；缓冲头、反光条为模块化设计，损坏后可单独更换，无需整体换杆；低温- 30℃环境下，杆体无脆化、无开裂，缓冲组件仍可正常回弹。</w:t>
            </w:r>
          </w:p>
          <w:p w14:paraId="6F703D19">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10、补光灯光线角度可调（30°/45°/60°/80°），防水等级至少IP65；20灯珠24W，照射距离30-70米，补光均匀度≥85%；光敏传感器自动控制，工作温度-30℃~+70℃。</w:t>
            </w:r>
          </w:p>
          <w:p w14:paraId="4D1514C2">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11、开关速度小于1.5秒。</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C3148">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22483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1E41">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817A0">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单边红外光栅</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79260">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2D215">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对</w:t>
            </w:r>
          </w:p>
        </w:tc>
        <w:tc>
          <w:tcPr>
            <w:tcW w:w="6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E5D65">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车辆到位检测、防作弊、防跟车过磅</w:t>
            </w:r>
          </w:p>
          <w:p w14:paraId="1BE514DC">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工作电压： 10~16VDC  功  耗：≤2.5W</w:t>
            </w:r>
          </w:p>
          <w:p w14:paraId="2AC40A4E">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工作温度： -40℃~+80℃</w:t>
            </w:r>
          </w:p>
          <w:p w14:paraId="4BCE824A">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频率范围： 79GHZ</w:t>
            </w:r>
          </w:p>
          <w:p w14:paraId="2EB9824A">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波束宽度： 横向±60℃，纵向±15℃</w:t>
            </w:r>
          </w:p>
          <w:p w14:paraId="7E9A8C9B">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检测区域： 0.7-1.5M（可调）</w:t>
            </w:r>
          </w:p>
          <w:p w14:paraId="25FF26BE">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检测距离范围： 0.5-6M（可调）</w:t>
            </w:r>
          </w:p>
          <w:p w14:paraId="0978FC7B">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响应时间： ≤50ms</w:t>
            </w:r>
          </w:p>
          <w:p w14:paraId="631E8D8C">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信号输出： 开关量</w:t>
            </w:r>
          </w:p>
          <w:p w14:paraId="5FC92658">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检测目标:  人、车辆</w:t>
            </w:r>
          </w:p>
          <w:p w14:paraId="70F12163">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防护等级：</w:t>
            </w:r>
            <w:r>
              <w:rPr>
                <w:rFonts w:hint="eastAsia" w:ascii="宋体" w:hAnsi="宋体" w:eastAsia="宋体" w:cs="宋体"/>
                <w:i w:val="0"/>
                <w:iCs w:val="0"/>
                <w:color w:val="auto"/>
                <w:sz w:val="21"/>
                <w:szCs w:val="21"/>
                <w:highlight w:val="none"/>
                <w:u w:val="none"/>
                <w:lang w:val="en-US" w:eastAsia="zh-CN"/>
              </w:rPr>
              <w:t>至少</w:t>
            </w:r>
            <w:r>
              <w:rPr>
                <w:rFonts w:hint="eastAsia" w:ascii="宋体" w:hAnsi="宋体" w:eastAsia="宋体" w:cs="宋体"/>
                <w:i w:val="0"/>
                <w:iCs w:val="0"/>
                <w:color w:val="auto"/>
                <w:sz w:val="21"/>
                <w:szCs w:val="21"/>
                <w:highlight w:val="none"/>
                <w:u w:val="none"/>
              </w:rPr>
              <w:t>IP66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7DB6">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73946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D824E">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3</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D4EF">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红外安装外壳</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05E4">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A8A1">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台</w:t>
            </w:r>
          </w:p>
        </w:tc>
        <w:tc>
          <w:tcPr>
            <w:tcW w:w="6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3A93">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防护等级：至少IP65  安装支架（与地磅同高）</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0183">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0F17B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13D1E">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4</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D5C7B">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高杆</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FC15">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1CD6E">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6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1979">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6米高杆，俯视抓拍车厢上方图片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82AEE">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2F4AC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9792">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5</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9D3E">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枪式摄像头</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F5DE">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A444">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6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665BC">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eastAsia" w:ascii="宋体" w:hAnsi="宋体" w:eastAsia="宋体" w:cs="宋体"/>
                <w:i w:val="0"/>
                <w:iCs w:val="0"/>
                <w:color w:val="auto"/>
                <w:sz w:val="21"/>
                <w:szCs w:val="21"/>
                <w:highlight w:val="none"/>
                <w:u w:val="none"/>
              </w:rPr>
            </w:pPr>
            <w:r>
              <w:rPr>
                <w:rFonts w:hint="eastAsia"/>
                <w:color w:val="auto"/>
                <w:highlight w:val="none"/>
              </w:rPr>
              <w:t>至少</w:t>
            </w:r>
            <w:r>
              <w:rPr>
                <w:rFonts w:hint="eastAsia" w:ascii="宋体" w:hAnsi="宋体" w:eastAsia="宋体" w:cs="宋体"/>
                <w:i w:val="0"/>
                <w:iCs w:val="0"/>
                <w:color w:val="auto"/>
                <w:kern w:val="0"/>
                <w:sz w:val="21"/>
                <w:szCs w:val="21"/>
                <w:highlight w:val="none"/>
                <w:u w:val="none"/>
                <w:lang w:val="en-US" w:eastAsia="zh-CN" w:bidi="ar"/>
              </w:rPr>
              <w:t>400万筒型网络摄像机；POE供电；车头 车尾、车厢抓拍</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4E8A">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2341A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25E81">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6</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7CA1">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安装立杆</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FBA0">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99F1">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6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3915">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2m立杆，安装室外打印机</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B007A">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65ACC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0AEEC">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eastAsia="宋体" w:cs="宋体"/>
                <w:i w:val="0"/>
                <w:iCs w:val="0"/>
                <w:color w:val="auto"/>
                <w:sz w:val="21"/>
                <w:szCs w:val="21"/>
                <w:highlight w:val="none"/>
                <w:u w:val="none"/>
                <w:lang w:val="en-US" w:eastAsia="zh-CN"/>
              </w:rPr>
            </w:pPr>
            <w:r>
              <w:rPr>
                <w:rFonts w:hint="eastAsia" w:ascii="宋体" w:hAnsi="宋体" w:cs="宋体"/>
                <w:i w:val="0"/>
                <w:iCs w:val="0"/>
                <w:color w:val="auto"/>
                <w:sz w:val="21"/>
                <w:szCs w:val="21"/>
                <w:highlight w:val="none"/>
                <w:u w:val="none"/>
                <w:lang w:val="en-US" w:eastAsia="zh-CN"/>
              </w:rPr>
              <w:t>7</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EC97">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室外打印机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C737">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DB06">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6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EE97A">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热敏打印机，用于打印计量小票，可自动打印磅单</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542E8">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33475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2B8F6B2E">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8</w:t>
            </w:r>
          </w:p>
        </w:tc>
        <w:tc>
          <w:tcPr>
            <w:tcW w:w="1781"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5577243B">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数字式称重传感器</w:t>
            </w:r>
          </w:p>
        </w:tc>
        <w:tc>
          <w:tcPr>
            <w:tcW w:w="510"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1A4291A9">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w:t>
            </w:r>
          </w:p>
        </w:tc>
        <w:tc>
          <w:tcPr>
            <w:tcW w:w="615"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05FA1C0C">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6048"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595DE66E">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50T</w:t>
            </w:r>
          </w:p>
        </w:tc>
        <w:tc>
          <w:tcPr>
            <w:tcW w:w="706"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2B3E2016">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506E4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1B51792B">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9</w:t>
            </w:r>
          </w:p>
        </w:tc>
        <w:tc>
          <w:tcPr>
            <w:tcW w:w="1781"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783AC298">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数字式称重仪表</w:t>
            </w:r>
          </w:p>
        </w:tc>
        <w:tc>
          <w:tcPr>
            <w:tcW w:w="510"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7850D1DF">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615"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6747FB92">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6048"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4B597F1A">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液晶显示，不锈钢外壳</w:t>
            </w:r>
          </w:p>
        </w:tc>
        <w:tc>
          <w:tcPr>
            <w:tcW w:w="706"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5FDF7650">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277E9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0CFBABA9">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10</w:t>
            </w:r>
          </w:p>
        </w:tc>
        <w:tc>
          <w:tcPr>
            <w:tcW w:w="1781"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23D098E1">
            <w:pPr>
              <w:jc w:val="center"/>
              <w:rPr>
                <w:rFonts w:hint="eastAsia" w:ascii="Times New Roman" w:hAnsi="Times New Roman" w:eastAsia="宋体" w:cs="Times New Roman"/>
                <w:color w:val="auto"/>
                <w:kern w:val="2"/>
                <w:sz w:val="21"/>
                <w:szCs w:val="24"/>
                <w:highlight w:val="none"/>
                <w:lang w:val="en-US" w:eastAsia="zh-CN" w:bidi="ar-SA"/>
              </w:rPr>
            </w:pPr>
            <w:r>
              <w:rPr>
                <w:color w:val="auto"/>
                <w:highlight w:val="none"/>
              </w:rPr>
              <w:t>光盘刻录机</w:t>
            </w:r>
          </w:p>
        </w:tc>
        <w:tc>
          <w:tcPr>
            <w:tcW w:w="510"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7AE6B696">
            <w:pPr>
              <w:jc w:val="cente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1</w:t>
            </w:r>
          </w:p>
        </w:tc>
        <w:tc>
          <w:tcPr>
            <w:tcW w:w="615"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1344B9FB">
            <w:pPr>
              <w:jc w:val="center"/>
              <w:rPr>
                <w:rFonts w:hint="eastAsia" w:ascii="Times New Roman" w:hAnsi="Times New Roman" w:eastAsia="宋体" w:cs="Times New Roman"/>
                <w:color w:val="auto"/>
                <w:kern w:val="2"/>
                <w:sz w:val="21"/>
                <w:szCs w:val="24"/>
                <w:highlight w:val="none"/>
                <w:lang w:val="en-US" w:eastAsia="zh-CN" w:bidi="ar-SA"/>
              </w:rPr>
            </w:pPr>
            <w:r>
              <w:rPr>
                <w:color w:val="auto"/>
                <w:highlight w:val="none"/>
              </w:rPr>
              <w:t>台</w:t>
            </w:r>
          </w:p>
        </w:tc>
        <w:tc>
          <w:tcPr>
            <w:tcW w:w="6048"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0C098E77">
            <w:pPr>
              <w:jc w:val="both"/>
              <w:rPr>
                <w:rFonts w:hint="eastAsia" w:ascii="Times New Roman" w:hAnsi="Times New Roman" w:eastAsia="宋体" w:cs="Times New Roman"/>
                <w:color w:val="auto"/>
                <w:kern w:val="2"/>
                <w:sz w:val="21"/>
                <w:szCs w:val="24"/>
                <w:highlight w:val="none"/>
                <w:lang w:val="en-US" w:eastAsia="zh-CN" w:bidi="ar-SA"/>
              </w:rPr>
            </w:pPr>
            <w:r>
              <w:rPr>
                <w:color w:val="auto"/>
                <w:highlight w:val="none"/>
              </w:rPr>
              <w:t>内置DVD/CD光盘刻录机（刻录+读取），用于磅房过磅视频录像资料的光盘刻录归档，满足不少于3个月视频资料刻录存储需求；USB接口即插即用。</w:t>
            </w:r>
          </w:p>
        </w:tc>
        <w:tc>
          <w:tcPr>
            <w:tcW w:w="706"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12E05862">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2F989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041E4930">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11</w:t>
            </w:r>
          </w:p>
        </w:tc>
        <w:tc>
          <w:tcPr>
            <w:tcW w:w="1781"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3D4ED280">
            <w:pPr>
              <w:jc w:val="center"/>
              <w:rPr>
                <w:rFonts w:hint="eastAsia" w:ascii="Times New Roman" w:hAnsi="Times New Roman" w:eastAsia="宋体" w:cs="Times New Roman"/>
                <w:color w:val="auto"/>
                <w:kern w:val="2"/>
                <w:sz w:val="21"/>
                <w:szCs w:val="24"/>
                <w:highlight w:val="none"/>
                <w:lang w:val="en-US" w:eastAsia="zh-CN" w:bidi="ar-SA"/>
              </w:rPr>
            </w:pPr>
            <w:r>
              <w:rPr>
                <w:color w:val="auto"/>
                <w:highlight w:val="none"/>
              </w:rPr>
              <w:t>本地服务器</w:t>
            </w:r>
          </w:p>
        </w:tc>
        <w:tc>
          <w:tcPr>
            <w:tcW w:w="510"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72692E4D">
            <w:pPr>
              <w:jc w:val="cente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1</w:t>
            </w:r>
          </w:p>
        </w:tc>
        <w:tc>
          <w:tcPr>
            <w:tcW w:w="615"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7B9A6D33">
            <w:pPr>
              <w:jc w:val="center"/>
              <w:rPr>
                <w:rFonts w:hint="eastAsia" w:ascii="Times New Roman" w:hAnsi="Times New Roman" w:eastAsia="宋体" w:cs="Times New Roman"/>
                <w:color w:val="auto"/>
                <w:kern w:val="2"/>
                <w:sz w:val="21"/>
                <w:szCs w:val="24"/>
                <w:highlight w:val="none"/>
                <w:lang w:val="en-US" w:eastAsia="zh-CN" w:bidi="ar-SA"/>
              </w:rPr>
            </w:pPr>
            <w:r>
              <w:rPr>
                <w:color w:val="auto"/>
                <w:highlight w:val="none"/>
              </w:rPr>
              <w:t>台</w:t>
            </w:r>
          </w:p>
        </w:tc>
        <w:tc>
          <w:tcPr>
            <w:tcW w:w="6048"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30EC9B7B">
            <w:pPr>
              <w:jc w:val="both"/>
              <w:rPr>
                <w:rFonts w:hint="eastAsia" w:ascii="Times New Roman" w:hAnsi="Times New Roman" w:eastAsia="宋体" w:cs="Times New Roman"/>
                <w:color w:val="auto"/>
                <w:kern w:val="2"/>
                <w:sz w:val="21"/>
                <w:szCs w:val="24"/>
                <w:highlight w:val="none"/>
                <w:lang w:val="en-US" w:eastAsia="zh-CN" w:bidi="ar-SA"/>
              </w:rPr>
            </w:pPr>
            <w:r>
              <w:rPr>
                <w:color w:val="auto"/>
                <w:highlight w:val="none"/>
              </w:rPr>
              <w:t>CPU：不低于Intel酷睿i5（12代及以上）；内存：</w:t>
            </w:r>
            <w:r>
              <w:rPr>
                <w:rFonts w:hint="eastAsia"/>
                <w:color w:val="auto"/>
                <w:highlight w:val="none"/>
                <w:lang w:val="en-US" w:eastAsia="zh-CN"/>
              </w:rPr>
              <w:t>不低于</w:t>
            </w:r>
            <w:r>
              <w:rPr>
                <w:color w:val="auto"/>
                <w:highlight w:val="none"/>
              </w:rPr>
              <w:t>16G；硬盘：</w:t>
            </w:r>
            <w:r>
              <w:rPr>
                <w:rFonts w:hint="eastAsia"/>
                <w:color w:val="auto"/>
                <w:highlight w:val="none"/>
                <w:lang w:val="en-US" w:eastAsia="zh-CN"/>
              </w:rPr>
              <w:t>不低于</w:t>
            </w:r>
            <w:r>
              <w:rPr>
                <w:color w:val="auto"/>
                <w:highlight w:val="none"/>
              </w:rPr>
              <w:t>1T机械硬盘+512G固态硬盘；预装正版操作系统；用于本地称重数据存储、过磅数据管理与过磅抓拍照片存储。</w:t>
            </w:r>
          </w:p>
        </w:tc>
        <w:tc>
          <w:tcPr>
            <w:tcW w:w="706"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6394B734">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11B38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43F0">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12</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7DE8C">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接线盒</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5CC9">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F1910">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6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655DB">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不锈钢接线盒</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E271">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136DE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56219">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13</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A38C6">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机柜</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49D6">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9212">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6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60CD">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服务器专用</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A649">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76337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7870">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14</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C89DB">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交换机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3AF7">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E7CD">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6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3AE02">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24千兆电口,2千兆光口，交流供电</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64E90">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5A9FA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37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81B576">
            <w:pPr>
              <w:keepNext w:val="0"/>
              <w:keepLines w:val="0"/>
              <w:pageBreakBefore w:val="0"/>
              <w:tabs>
                <w:tab w:val="left" w:pos="3366"/>
              </w:tabs>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b/>
                <w:i w:val="0"/>
                <w:iCs w:val="0"/>
                <w:color w:val="auto"/>
                <w:kern w:val="0"/>
                <w:sz w:val="21"/>
                <w:szCs w:val="21"/>
                <w:highlight w:val="none"/>
                <w:u w:val="none"/>
                <w:lang w:val="en-US" w:eastAsia="zh-CN" w:bidi="ar"/>
              </w:rPr>
              <w:t>二、中控及软件部分</w:t>
            </w:r>
          </w:p>
        </w:tc>
      </w:tr>
      <w:tr w14:paraId="1BECA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5"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0295">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165A2">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cs="宋体"/>
                <w:i w:val="0"/>
                <w:iCs w:val="0"/>
                <w:color w:val="auto"/>
                <w:kern w:val="2"/>
                <w:sz w:val="21"/>
                <w:szCs w:val="21"/>
                <w:highlight w:val="none"/>
                <w:u w:val="none"/>
                <w:lang w:val="en-US" w:eastAsia="zh-CN" w:bidi="ar-SA"/>
              </w:rPr>
              <w:t>PC浏览器管理端</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A415">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B601">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项</w:t>
            </w:r>
          </w:p>
        </w:tc>
        <w:tc>
          <w:tcPr>
            <w:tcW w:w="6048" w:type="dxa"/>
            <w:vMerge w:val="restart"/>
            <w:tcBorders>
              <w:top w:val="single" w:color="000000" w:sz="4" w:space="0"/>
              <w:left w:val="single" w:color="000000" w:sz="4" w:space="0"/>
              <w:right w:val="single" w:color="000000" w:sz="4" w:space="0"/>
            </w:tcBorders>
            <w:shd w:val="clear" w:color="auto" w:fill="auto"/>
            <w:vAlign w:val="center"/>
          </w:tcPr>
          <w:p w14:paraId="0AA3ED12">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支持四类访问形态，以招标文件采购需求为准</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41BA">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4C8E6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F784">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60A0">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APP</w:t>
            </w:r>
            <w:r>
              <w:rPr>
                <w:rFonts w:hint="eastAsia" w:ascii="宋体" w:hAnsi="宋体" w:cs="宋体"/>
                <w:i w:val="0"/>
                <w:iCs w:val="0"/>
                <w:color w:val="auto"/>
                <w:kern w:val="0"/>
                <w:sz w:val="21"/>
                <w:szCs w:val="21"/>
                <w:highlight w:val="none"/>
                <w:u w:val="none"/>
                <w:lang w:val="en-US" w:eastAsia="zh-CN" w:bidi="ar"/>
              </w:rPr>
              <w:t>应用端</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1E45">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C8F9">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项</w:t>
            </w:r>
          </w:p>
        </w:tc>
        <w:tc>
          <w:tcPr>
            <w:tcW w:w="6048" w:type="dxa"/>
            <w:vMerge w:val="continue"/>
            <w:tcBorders>
              <w:left w:val="single" w:color="000000" w:sz="4" w:space="0"/>
              <w:right w:val="single" w:color="000000" w:sz="4" w:space="0"/>
            </w:tcBorders>
            <w:shd w:val="clear" w:color="auto" w:fill="auto"/>
            <w:vAlign w:val="center"/>
          </w:tcPr>
          <w:p w14:paraId="31341B2D">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0D68">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5578B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76EA">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3</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E6DE">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微信小程序</w:t>
            </w:r>
            <w:r>
              <w:rPr>
                <w:rFonts w:hint="eastAsia" w:ascii="宋体" w:hAnsi="宋体" w:cs="宋体"/>
                <w:i w:val="0"/>
                <w:iCs w:val="0"/>
                <w:color w:val="auto"/>
                <w:kern w:val="0"/>
                <w:sz w:val="21"/>
                <w:szCs w:val="21"/>
                <w:highlight w:val="none"/>
                <w:u w:val="none"/>
                <w:lang w:val="en-US" w:eastAsia="zh-CN" w:bidi="ar"/>
              </w:rPr>
              <w:t>应用端</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EB36">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18C5">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项</w:t>
            </w:r>
          </w:p>
        </w:tc>
        <w:tc>
          <w:tcPr>
            <w:tcW w:w="6048" w:type="dxa"/>
            <w:vMerge w:val="continue"/>
            <w:tcBorders>
              <w:left w:val="single" w:color="000000" w:sz="4" w:space="0"/>
              <w:right w:val="single" w:color="000000" w:sz="4" w:space="0"/>
            </w:tcBorders>
            <w:shd w:val="clear" w:color="auto" w:fill="auto"/>
            <w:vAlign w:val="center"/>
          </w:tcPr>
          <w:p w14:paraId="3BFB5E8B">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0FA14">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2B756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7FD8">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4</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5A5A3">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设备边缘采集端</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74A0">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45C79">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项</w:t>
            </w:r>
          </w:p>
        </w:tc>
        <w:tc>
          <w:tcPr>
            <w:tcW w:w="6048" w:type="dxa"/>
            <w:vMerge w:val="continue"/>
            <w:tcBorders>
              <w:left w:val="single" w:color="000000" w:sz="4" w:space="0"/>
              <w:bottom w:val="single" w:color="000000" w:sz="4" w:space="0"/>
              <w:right w:val="single" w:color="000000" w:sz="4" w:space="0"/>
            </w:tcBorders>
            <w:shd w:val="clear" w:color="auto" w:fill="auto"/>
            <w:vAlign w:val="center"/>
          </w:tcPr>
          <w:p w14:paraId="22A66E0E">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EC1F">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0F8C2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168E">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5</w:t>
            </w:r>
          </w:p>
        </w:tc>
        <w:tc>
          <w:tcPr>
            <w:tcW w:w="1781"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742B457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highlight w:val="none"/>
                <w:vertAlign w:val="baseline"/>
                <w:lang w:val="en-US" w:eastAsia="zh-CN"/>
              </w:rPr>
              <w:t>云服务器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0554">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CC53">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6048" w:type="dxa"/>
            <w:tcBorders>
              <w:left w:val="single" w:color="000000" w:sz="4" w:space="0"/>
              <w:bottom w:val="single" w:color="000000" w:sz="4" w:space="0"/>
              <w:right w:val="single" w:color="000000" w:sz="4" w:space="0"/>
            </w:tcBorders>
            <w:shd w:val="clear" w:color="FFFFFF" w:themeColor="background1" w:fill="auto"/>
            <w:vAlign w:val="top"/>
          </w:tcPr>
          <w:p w14:paraId="1305B7E2">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客商平台服务端，CPU：8核16线程，内存32GB以上，带宽20MB</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4241">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7A499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1F61">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6</w:t>
            </w:r>
          </w:p>
        </w:tc>
        <w:tc>
          <w:tcPr>
            <w:tcW w:w="1781"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23813CF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color w:val="auto"/>
                <w:highlight w:val="none"/>
                <w:lang w:eastAsia="zh-CN"/>
              </w:rPr>
              <w:t>MySQL服务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0B91">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3743">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6048" w:type="dxa"/>
            <w:tcBorders>
              <w:left w:val="single" w:color="000000" w:sz="4" w:space="0"/>
              <w:bottom w:val="single" w:color="000000" w:sz="4" w:space="0"/>
              <w:right w:val="single" w:color="000000" w:sz="4" w:space="0"/>
            </w:tcBorders>
            <w:shd w:val="clear" w:color="FFFFFF" w:themeColor="background1" w:fill="auto"/>
            <w:vAlign w:val="top"/>
          </w:tcPr>
          <w:p w14:paraId="565BEC22">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Times New Roman" w:hAnsi="Times New Roman" w:eastAsia="宋体" w:cs="Times New Roman"/>
                <w:color w:val="auto"/>
                <w:kern w:val="2"/>
                <w:sz w:val="21"/>
                <w:szCs w:val="24"/>
                <w:highlight w:val="none"/>
                <w:lang w:val="en-US" w:eastAsia="zh-CN" w:bidi="ar-SA"/>
              </w:rPr>
            </w:pPr>
            <w:r>
              <w:rPr>
                <w:color w:val="auto"/>
                <w:highlight w:val="none"/>
              </w:rPr>
              <w:t>云数据库</w:t>
            </w:r>
            <w:r>
              <w:rPr>
                <w:rFonts w:hint="eastAsia"/>
                <w:color w:val="auto"/>
                <w:highlight w:val="none"/>
                <w:lang w:eastAsia="zh-CN"/>
              </w:rPr>
              <w:t>MySQL</w:t>
            </w:r>
            <w:r>
              <w:rPr>
                <w:color w:val="auto"/>
                <w:highlight w:val="none"/>
              </w:rPr>
              <w:t>（高可用主备版），CPU：</w:t>
            </w:r>
            <w:r>
              <w:rPr>
                <w:rFonts w:hint="eastAsia"/>
                <w:color w:val="auto"/>
                <w:highlight w:val="none"/>
                <w:lang w:val="en-US" w:eastAsia="zh-CN"/>
              </w:rPr>
              <w:t>不低于</w:t>
            </w:r>
            <w:r>
              <w:rPr>
                <w:color w:val="auto"/>
                <w:highlight w:val="none"/>
              </w:rPr>
              <w:t>8核，内存：</w:t>
            </w:r>
            <w:r>
              <w:rPr>
                <w:rFonts w:hint="eastAsia"/>
                <w:color w:val="auto"/>
                <w:highlight w:val="none"/>
                <w:lang w:val="en-US" w:eastAsia="zh-CN"/>
              </w:rPr>
              <w:t>不低于</w:t>
            </w:r>
            <w:r>
              <w:rPr>
                <w:color w:val="auto"/>
                <w:highlight w:val="none"/>
              </w:rPr>
              <w:t>16GB，存储不低于500G，支持自动备份与只读扩展，24小时服务。</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5EF2">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4FF62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3E32">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7</w:t>
            </w:r>
          </w:p>
        </w:tc>
        <w:tc>
          <w:tcPr>
            <w:tcW w:w="1781"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05C7EC7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小程序服务费</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E1123">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C08A4">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6048" w:type="dxa"/>
            <w:tcBorders>
              <w:left w:val="single" w:color="000000" w:sz="4" w:space="0"/>
              <w:bottom w:val="single" w:color="000000" w:sz="4" w:space="0"/>
              <w:right w:val="single" w:color="000000" w:sz="4" w:space="0"/>
            </w:tcBorders>
            <w:shd w:val="clear" w:color="FFFFFF" w:themeColor="background1" w:fill="auto"/>
            <w:vAlign w:val="top"/>
          </w:tcPr>
          <w:p w14:paraId="6838C5AF">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kern w:val="2"/>
                <w:sz w:val="21"/>
                <w:szCs w:val="21"/>
                <w:highlight w:val="none"/>
                <w:vertAlign w:val="baseline"/>
                <w:lang w:val="en-US" w:eastAsia="zh-CN" w:bidi="ar-SA"/>
              </w:rPr>
              <w:t>保证小程序正常运行</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68CCA">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34FE7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1FD7B">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default"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8</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CB77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SSL证书</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76DD">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42FC1">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cs="宋体"/>
                <w:i w:val="0"/>
                <w:iCs w:val="0"/>
                <w:color w:val="auto"/>
                <w:kern w:val="0"/>
                <w:sz w:val="21"/>
                <w:szCs w:val="21"/>
                <w:highlight w:val="none"/>
                <w:u w:val="none"/>
                <w:lang w:val="en-US" w:eastAsia="zh-CN" w:bidi="ar"/>
              </w:rPr>
            </w:pPr>
          </w:p>
        </w:tc>
        <w:tc>
          <w:tcPr>
            <w:tcW w:w="6048" w:type="dxa"/>
            <w:tcBorders>
              <w:left w:val="single" w:color="000000" w:sz="4" w:space="0"/>
              <w:bottom w:val="single" w:color="000000" w:sz="4" w:space="0"/>
              <w:right w:val="single" w:color="000000" w:sz="4" w:space="0"/>
            </w:tcBorders>
            <w:shd w:val="clear" w:color="auto" w:fill="auto"/>
            <w:vAlign w:val="top"/>
          </w:tcPr>
          <w:p w14:paraId="3C889FEE">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网络安全证书</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E966">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6ABA0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37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44A150">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三、其它部分</w:t>
            </w:r>
          </w:p>
        </w:tc>
      </w:tr>
      <w:tr w14:paraId="0CDFB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jc w:val="center"/>
        </w:trPr>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4723">
            <w:pPr>
              <w:keepNext w:val="0"/>
              <w:keepLines w:val="0"/>
              <w:pageBreakBefore w:val="0"/>
              <w:widowControl/>
              <w:suppressLineNumbers w:val="0"/>
              <w:kinsoku/>
              <w:wordWrap/>
              <w:overflowPunct/>
              <w:topLinePunct w:val="0"/>
              <w:autoSpaceDE/>
              <w:autoSpaceDN/>
              <w:bidi w:val="0"/>
              <w:adjustRightInd/>
              <w:snapToGrid w:val="0"/>
              <w:spacing w:line="480" w:lineRule="exact"/>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A35F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安装施工及管材费用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14A5">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2CB4">
            <w:pPr>
              <w:keepNext w:val="0"/>
              <w:keepLines w:val="0"/>
              <w:pageBreakBefore w:val="0"/>
              <w:widowControl/>
              <w:suppressLineNumbers w:val="0"/>
              <w:kinsoku/>
              <w:wordWrap/>
              <w:overflowPunct/>
              <w:topLinePunct w:val="0"/>
              <w:autoSpaceDE/>
              <w:autoSpaceDN/>
              <w:bidi w:val="0"/>
              <w:adjustRightInd/>
              <w:spacing w:line="4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项</w:t>
            </w:r>
          </w:p>
        </w:tc>
        <w:tc>
          <w:tcPr>
            <w:tcW w:w="6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7BF87">
            <w:pPr>
              <w:keepNext w:val="0"/>
              <w:keepLines w:val="0"/>
              <w:pageBreakBefore w:val="0"/>
              <w:widowControl/>
              <w:suppressLineNumbers w:val="0"/>
              <w:kinsoku/>
              <w:wordWrap/>
              <w:overflowPunct/>
              <w:topLinePunct w:val="0"/>
              <w:autoSpaceDE/>
              <w:autoSpaceDN/>
              <w:bidi w:val="0"/>
              <w:adjustRightInd/>
              <w:spacing w:line="48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国标RVV 3*1.5、RVV 2*1.0、超五类4*2*0.5。</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7542">
            <w:pPr>
              <w:keepNext w:val="0"/>
              <w:keepLines w:val="0"/>
              <w:pageBreakBefore w:val="0"/>
              <w:kinsoku/>
              <w:wordWrap/>
              <w:overflowPunct/>
              <w:topLinePunct w:val="0"/>
              <w:autoSpaceDE/>
              <w:autoSpaceDN/>
              <w:bidi w:val="0"/>
              <w:adjustRightInd/>
              <w:snapToGrid w:val="0"/>
              <w:spacing w:line="48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bl>
    <w:p w14:paraId="74429405">
      <w:pPr>
        <w:pStyle w:val="3"/>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420" w:leftChars="0" w:right="0" w:rightChars="0"/>
        <w:jc w:val="left"/>
        <w:textAlignment w:val="auto"/>
        <w:rPr>
          <w:rFonts w:hint="eastAsia" w:ascii="宋体"/>
          <w:b/>
          <w:bCs/>
          <w:color w:val="auto"/>
          <w:sz w:val="36"/>
          <w:szCs w:val="52"/>
          <w:highlight w:val="none"/>
        </w:rPr>
      </w:pPr>
      <w:r>
        <w:rPr>
          <w:rFonts w:hint="eastAsia" w:ascii="宋体" w:hAnsi="宋体" w:eastAsia="宋体" w:cs="宋体"/>
          <w:b/>
          <w:bCs/>
          <w:color w:val="auto"/>
          <w:sz w:val="21"/>
          <w:szCs w:val="21"/>
          <w:highlight w:val="none"/>
          <w:lang w:val="en-US" w:eastAsia="zh-CN"/>
        </w:rPr>
        <w:t>特别说明：除上述</w:t>
      </w:r>
      <w:r>
        <w:rPr>
          <w:rFonts w:hint="eastAsia" w:ascii="宋体" w:hAnsi="宋体" w:cs="宋体"/>
          <w:b/>
          <w:bCs/>
          <w:color w:val="auto"/>
          <w:sz w:val="21"/>
          <w:szCs w:val="21"/>
          <w:highlight w:val="none"/>
          <w:lang w:val="en-US" w:eastAsia="zh-CN"/>
        </w:rPr>
        <w:t>必须满足的</w:t>
      </w:r>
      <w:r>
        <w:rPr>
          <w:rFonts w:hint="eastAsia" w:ascii="宋体" w:hAnsi="宋体" w:eastAsia="宋体" w:cs="宋体"/>
          <w:b/>
          <w:bCs/>
          <w:color w:val="auto"/>
          <w:sz w:val="21"/>
          <w:szCs w:val="21"/>
          <w:highlight w:val="none"/>
          <w:lang w:val="en-US" w:eastAsia="zh-CN"/>
        </w:rPr>
        <w:t>软硬件设备外，投标人根据招标人采购需求，自行确定是否要加装其他软硬件设备，自行增加的软硬件设备费用由投标人自行承担。</w:t>
      </w:r>
      <w:r>
        <w:rPr>
          <w:rFonts w:hint="eastAsia" w:ascii="宋体"/>
          <w:b/>
          <w:bCs/>
          <w:color w:val="auto"/>
          <w:sz w:val="36"/>
          <w:szCs w:val="52"/>
          <w:highlight w:val="none"/>
        </w:rPr>
        <w:br w:type="page"/>
      </w:r>
    </w:p>
    <w:p w14:paraId="035D1E0D">
      <w:pPr>
        <w:spacing w:line="440" w:lineRule="exact"/>
        <w:ind w:firstLine="542" w:firstLineChars="150"/>
        <w:jc w:val="center"/>
        <w:rPr>
          <w:rFonts w:hint="eastAsia" w:ascii="宋体" w:hAnsi="宋体" w:eastAsia="宋体"/>
          <w:b/>
          <w:color w:val="auto"/>
          <w:sz w:val="24"/>
          <w:highlight w:val="none"/>
        </w:rPr>
      </w:pPr>
      <w:r>
        <w:rPr>
          <w:rFonts w:hint="eastAsia" w:ascii="宋体"/>
          <w:b/>
          <w:bCs/>
          <w:color w:val="auto"/>
          <w:sz w:val="36"/>
          <w:szCs w:val="52"/>
          <w:highlight w:val="none"/>
        </w:rPr>
        <w:t>第五章  合同条款及格式</w:t>
      </w:r>
      <w:bookmarkEnd w:id="76"/>
      <w:bookmarkEnd w:id="77"/>
      <w:bookmarkStart w:id="78" w:name="_Toc449028948"/>
    </w:p>
    <w:p w14:paraId="397B0190">
      <w:pPr>
        <w:widowControl/>
        <w:numPr>
          <w:ilvl w:val="0"/>
          <w:numId w:val="9"/>
        </w:numPr>
        <w:spacing w:before="156" w:beforeLines="50" w:after="156" w:afterLines="50" w:line="400" w:lineRule="exact"/>
        <w:ind w:left="0" w:firstLine="0"/>
        <w:jc w:val="center"/>
        <w:textAlignment w:val="baseline"/>
        <w:outlineLvl w:val="1"/>
        <w:rPr>
          <w:rFonts w:hint="eastAsia" w:ascii="宋体" w:hAnsi="宋体" w:cs="宋体"/>
          <w:b/>
          <w:color w:val="auto"/>
          <w:sz w:val="30"/>
          <w:szCs w:val="30"/>
          <w:highlight w:val="none"/>
        </w:rPr>
      </w:pPr>
      <w:r>
        <w:rPr>
          <w:rFonts w:hint="eastAsia" w:ascii="宋体" w:hAnsi="宋体" w:cs="宋体"/>
          <w:b/>
          <w:color w:val="auto"/>
          <w:sz w:val="28"/>
          <w:szCs w:val="28"/>
          <w:highlight w:val="none"/>
        </w:rPr>
        <w:t xml:space="preserve">  </w:t>
      </w:r>
      <w:bookmarkStart w:id="79" w:name="_Toc31948"/>
      <w:r>
        <w:rPr>
          <w:rFonts w:hint="eastAsia" w:ascii="宋体" w:hAnsi="宋体" w:cs="宋体"/>
          <w:b/>
          <w:color w:val="auto"/>
          <w:sz w:val="28"/>
          <w:szCs w:val="28"/>
          <w:highlight w:val="none"/>
        </w:rPr>
        <w:t>合同协议书（格式）</w:t>
      </w:r>
      <w:bookmarkEnd w:id="79"/>
    </w:p>
    <w:p w14:paraId="17DD78FB">
      <w:pPr>
        <w:spacing w:line="400" w:lineRule="exact"/>
        <w:ind w:firstLine="2932" w:firstLineChars="1043"/>
        <w:rPr>
          <w:rFonts w:hint="eastAsia" w:ascii="宋体" w:hAnsi="宋体" w:cs="宋体"/>
          <w:color w:val="auto"/>
          <w:sz w:val="24"/>
          <w:highlight w:val="none"/>
        </w:rPr>
      </w:pPr>
      <w:r>
        <w:rPr>
          <w:rFonts w:hint="eastAsia" w:ascii="宋体" w:hAnsi="宋体" w:cs="宋体"/>
          <w:b/>
          <w:color w:val="auto"/>
          <w:sz w:val="28"/>
          <w:szCs w:val="28"/>
          <w:highlight w:val="none"/>
        </w:rPr>
        <w:t xml:space="preserve">合同名称 </w:t>
      </w:r>
      <w:r>
        <w:rPr>
          <w:rFonts w:hint="eastAsia" w:ascii="宋体" w:hAnsi="宋体" w:cs="宋体"/>
          <w:b/>
          <w:color w:val="auto"/>
          <w:sz w:val="24"/>
          <w:highlight w:val="none"/>
        </w:rPr>
        <w:t xml:space="preserve">  </w:t>
      </w:r>
      <w:r>
        <w:rPr>
          <w:rFonts w:hint="eastAsia" w:ascii="宋体" w:hAnsi="宋体" w:cs="宋体"/>
          <w:color w:val="auto"/>
          <w:sz w:val="24"/>
          <w:highlight w:val="none"/>
        </w:rPr>
        <w:t xml:space="preserve">          编号</w:t>
      </w:r>
    </w:p>
    <w:p w14:paraId="15B7EE3D">
      <w:pPr>
        <w:keepNext w:val="0"/>
        <w:keepLines w:val="0"/>
        <w:pageBreakBefore w:val="0"/>
        <w:kinsoku/>
        <w:wordWrap/>
        <w:overflowPunct/>
        <w:topLinePunct w:val="0"/>
        <w:autoSpaceDE/>
        <w:autoSpaceDN/>
        <w:bidi w:val="0"/>
        <w:adjustRightInd/>
        <w:snapToGrid/>
        <w:spacing w:line="5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买    方：                                   卖    方：</w:t>
      </w:r>
    </w:p>
    <w:p w14:paraId="365CE95B">
      <w:pPr>
        <w:keepNext w:val="0"/>
        <w:keepLines w:val="0"/>
        <w:pageBreakBefore w:val="0"/>
        <w:kinsoku/>
        <w:wordWrap/>
        <w:overflowPunct/>
        <w:topLinePunct w:val="0"/>
        <w:autoSpaceDE/>
        <w:autoSpaceDN/>
        <w:bidi w:val="0"/>
        <w:adjustRightInd/>
        <w:snapToGrid/>
        <w:spacing w:line="5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                                   电    话：</w:t>
      </w:r>
    </w:p>
    <w:p w14:paraId="791ED347">
      <w:pPr>
        <w:pStyle w:val="35"/>
        <w:keepNext w:val="0"/>
        <w:keepLines w:val="0"/>
        <w:pageBreakBefore w:val="0"/>
        <w:kinsoku/>
        <w:wordWrap/>
        <w:overflowPunct/>
        <w:topLinePunct w:val="0"/>
        <w:autoSpaceDE/>
        <w:autoSpaceDN/>
        <w:bidi w:val="0"/>
        <w:adjustRightInd/>
        <w:snapToGrid/>
        <w:spacing w:after="0" w:afterLines="0" w:line="500" w:lineRule="exact"/>
        <w:ind w:left="0" w:lef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住    所：                                   住    所：       </w:t>
      </w:r>
    </w:p>
    <w:p w14:paraId="7B92D641">
      <w:pPr>
        <w:keepNext w:val="0"/>
        <w:keepLines w:val="0"/>
        <w:pageBreakBefore w:val="0"/>
        <w:kinsoku/>
        <w:wordWrap/>
        <w:overflowPunct/>
        <w:topLinePunct w:val="0"/>
        <w:autoSpaceDE/>
        <w:autoSpaceDN/>
        <w:bidi w:val="0"/>
        <w:adjustRightInd/>
        <w:snapToGrid/>
        <w:spacing w:line="500" w:lineRule="exact"/>
        <w:ind w:firstLine="420" w:firstLineChars="200"/>
        <w:rPr>
          <w:rFonts w:hint="eastAsia" w:ascii="宋体" w:hAnsi="宋体" w:eastAsia="宋体" w:cs="宋体"/>
          <w:color w:val="auto"/>
          <w:sz w:val="21"/>
          <w:szCs w:val="21"/>
          <w:highlight w:val="none"/>
        </w:rPr>
      </w:pPr>
      <w:bookmarkStart w:id="80" w:name="_Toc469495742"/>
      <w:bookmarkStart w:id="81" w:name="_Toc144974578"/>
      <w:bookmarkStart w:id="82" w:name="_Toc152042388"/>
      <w:bookmarkStart w:id="83" w:name="_Toc152045610"/>
      <w:bookmarkStart w:id="84" w:name="_Toc296602498"/>
      <w:bookmarkStart w:id="85" w:name="_Toc246996253"/>
      <w:bookmarkStart w:id="86" w:name="_Toc246996996"/>
      <w:bookmarkStart w:id="87" w:name="_Toc27571"/>
      <w:bookmarkStart w:id="88" w:name="_Toc179632628"/>
      <w:bookmarkStart w:id="89" w:name="_Toc247085768"/>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的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滁州市兴滁实业有限公司智能称重系统服务采购项目</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中所需</w:t>
      </w:r>
      <w:r>
        <w:rPr>
          <w:rFonts w:hint="eastAsia" w:ascii="宋体" w:hAnsi="宋体" w:eastAsia="宋体" w:cs="宋体"/>
          <w:color w:val="auto"/>
          <w:sz w:val="21"/>
          <w:szCs w:val="21"/>
          <w:highlight w:val="none"/>
          <w:u w:val="single"/>
        </w:rPr>
        <w:t xml:space="preserve">  产品  </w:t>
      </w:r>
      <w:r>
        <w:rPr>
          <w:rFonts w:hint="eastAsia" w:ascii="宋体" w:hAnsi="宋体" w:eastAsia="宋体" w:cs="宋体"/>
          <w:color w:val="auto"/>
          <w:sz w:val="21"/>
          <w:szCs w:val="21"/>
          <w:highlight w:val="none"/>
        </w:rPr>
        <w:t>经公开招标，确定</w:t>
      </w:r>
      <w:r>
        <w:rPr>
          <w:rFonts w:hint="eastAsia" w:ascii="宋体" w:hAnsi="宋体" w:eastAsia="宋体" w:cs="宋体"/>
          <w:color w:val="auto"/>
          <w:sz w:val="21"/>
          <w:szCs w:val="21"/>
          <w:highlight w:val="none"/>
          <w:u w:val="single"/>
        </w:rPr>
        <w:t xml:space="preserve">（卖方）           </w:t>
      </w:r>
      <w:r>
        <w:rPr>
          <w:rFonts w:hint="eastAsia" w:ascii="宋体" w:hAnsi="宋体" w:eastAsia="宋体" w:cs="宋体"/>
          <w:color w:val="auto"/>
          <w:sz w:val="21"/>
          <w:szCs w:val="21"/>
          <w:highlight w:val="none"/>
        </w:rPr>
        <w:t>为中标人。按照</w:t>
      </w:r>
      <w:r>
        <w:rPr>
          <w:rFonts w:hint="eastAsia" w:ascii="宋体" w:hAnsi="宋体" w:cs="宋体"/>
          <w:color w:val="auto"/>
          <w:sz w:val="21"/>
          <w:szCs w:val="21"/>
          <w:highlight w:val="none"/>
          <w:lang w:eastAsia="zh-CN"/>
        </w:rPr>
        <w:t>《中华人民共和国民法典》</w:t>
      </w:r>
      <w:r>
        <w:rPr>
          <w:rFonts w:hint="eastAsia" w:ascii="宋体" w:hAnsi="宋体" w:eastAsia="宋体" w:cs="宋体"/>
          <w:color w:val="auto"/>
          <w:sz w:val="21"/>
          <w:szCs w:val="21"/>
          <w:highlight w:val="none"/>
        </w:rPr>
        <w:t>的规定，买卖双方同意按照下述的条款和条件，签署本合同。</w:t>
      </w:r>
    </w:p>
    <w:p w14:paraId="099AAEB4">
      <w:pPr>
        <w:keepNext w:val="0"/>
        <w:keepLines w:val="0"/>
        <w:pageBreakBefore w:val="0"/>
        <w:kinsoku/>
        <w:wordWrap/>
        <w:overflowPunct/>
        <w:topLinePunct w:val="0"/>
        <w:autoSpaceDE/>
        <w:autoSpaceDN/>
        <w:bidi w:val="0"/>
        <w:adjustRightInd/>
        <w:snapToGrid/>
        <w:spacing w:line="5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1、本合同文件</w:t>
      </w:r>
    </w:p>
    <w:p w14:paraId="1A863203">
      <w:pPr>
        <w:keepNext w:val="0"/>
        <w:keepLines w:val="0"/>
        <w:pageBreakBefore w:val="0"/>
        <w:kinsoku/>
        <w:wordWrap/>
        <w:overflowPunct/>
        <w:topLinePunct w:val="0"/>
        <w:autoSpaceDE/>
        <w:autoSpaceDN/>
        <w:bidi w:val="0"/>
        <w:adjustRightInd/>
        <w:snapToGrid/>
        <w:spacing w:line="5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下列每一文件均应作为合同的组成部分进行阅读和解释：</w:t>
      </w:r>
    </w:p>
    <w:p w14:paraId="07CF16B0">
      <w:pPr>
        <w:keepNext w:val="0"/>
        <w:keepLines w:val="0"/>
        <w:pageBreakBefore w:val="0"/>
        <w:kinsoku/>
        <w:wordWrap/>
        <w:overflowPunct/>
        <w:topLinePunct w:val="0"/>
        <w:autoSpaceDE/>
        <w:autoSpaceDN/>
        <w:bidi w:val="0"/>
        <w:adjustRightInd/>
        <w:snapToGrid/>
        <w:spacing w:line="5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文件（2）投标文件（3）中标通知书</w:t>
      </w:r>
    </w:p>
    <w:p w14:paraId="1DFCCED7">
      <w:pPr>
        <w:keepNext w:val="0"/>
        <w:keepLines w:val="0"/>
        <w:pageBreakBefore w:val="0"/>
        <w:kinsoku/>
        <w:wordWrap/>
        <w:overflowPunct/>
        <w:topLinePunct w:val="0"/>
        <w:autoSpaceDE/>
        <w:autoSpaceDN/>
        <w:bidi w:val="0"/>
        <w:adjustRightInd/>
        <w:snapToGrid/>
        <w:spacing w:line="5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（4）经双方确认进入合同的其它文件、补充条款或说明</w:t>
      </w:r>
    </w:p>
    <w:p w14:paraId="2B78700E">
      <w:pPr>
        <w:keepNext w:val="0"/>
        <w:keepLines w:val="0"/>
        <w:pageBreakBefore w:val="0"/>
        <w:kinsoku/>
        <w:wordWrap/>
        <w:overflowPunct/>
        <w:topLinePunct w:val="0"/>
        <w:autoSpaceDE/>
        <w:autoSpaceDN/>
        <w:bidi w:val="0"/>
        <w:adjustRightInd/>
        <w:snapToGrid/>
        <w:spacing w:line="5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2、采购标的、数量</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79"/>
        <w:gridCol w:w="2015"/>
        <w:gridCol w:w="1146"/>
        <w:gridCol w:w="415"/>
        <w:gridCol w:w="603"/>
        <w:gridCol w:w="1094"/>
        <w:gridCol w:w="807"/>
        <w:gridCol w:w="1310"/>
      </w:tblGrid>
      <w:tr w14:paraId="1B1E81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19" w:hRule="atLeast"/>
          <w:jc w:val="center"/>
        </w:trPr>
        <w:tc>
          <w:tcPr>
            <w:tcW w:w="779" w:type="dxa"/>
            <w:noWrap w:val="0"/>
            <w:vAlign w:val="center"/>
          </w:tcPr>
          <w:p w14:paraId="11CB122F">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2015" w:type="dxa"/>
            <w:tcBorders>
              <w:right w:val="single" w:color="auto" w:sz="4" w:space="0"/>
            </w:tcBorders>
            <w:noWrap w:val="0"/>
            <w:vAlign w:val="center"/>
          </w:tcPr>
          <w:p w14:paraId="74A61A3E">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产品名称</w:t>
            </w:r>
          </w:p>
        </w:tc>
        <w:tc>
          <w:tcPr>
            <w:tcW w:w="1146" w:type="dxa"/>
            <w:tcBorders>
              <w:left w:val="single" w:color="auto" w:sz="4" w:space="0"/>
            </w:tcBorders>
            <w:noWrap w:val="0"/>
            <w:vAlign w:val="center"/>
          </w:tcPr>
          <w:p w14:paraId="054A8DA2">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规格型号</w:t>
            </w:r>
          </w:p>
          <w:p w14:paraId="706159DB">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品牌</w:t>
            </w:r>
          </w:p>
        </w:tc>
        <w:tc>
          <w:tcPr>
            <w:tcW w:w="415" w:type="dxa"/>
            <w:noWrap w:val="0"/>
            <w:vAlign w:val="center"/>
          </w:tcPr>
          <w:p w14:paraId="236D37C7">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603" w:type="dxa"/>
            <w:noWrap w:val="0"/>
            <w:vAlign w:val="center"/>
          </w:tcPr>
          <w:p w14:paraId="70714644">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094" w:type="dxa"/>
            <w:tcBorders>
              <w:left w:val="single" w:color="auto" w:sz="4" w:space="0"/>
            </w:tcBorders>
            <w:noWrap w:val="0"/>
            <w:vAlign w:val="center"/>
          </w:tcPr>
          <w:p w14:paraId="650C54AC">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单价（元）</w:t>
            </w:r>
          </w:p>
        </w:tc>
        <w:tc>
          <w:tcPr>
            <w:tcW w:w="807" w:type="dxa"/>
            <w:noWrap w:val="0"/>
            <w:vAlign w:val="center"/>
          </w:tcPr>
          <w:p w14:paraId="34C09C7D">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1310" w:type="dxa"/>
            <w:noWrap w:val="0"/>
            <w:vAlign w:val="center"/>
          </w:tcPr>
          <w:p w14:paraId="476599F2">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技术参数</w:t>
            </w:r>
          </w:p>
        </w:tc>
      </w:tr>
      <w:tr w14:paraId="424159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09" w:hRule="atLeast"/>
          <w:jc w:val="center"/>
        </w:trPr>
        <w:tc>
          <w:tcPr>
            <w:tcW w:w="779" w:type="dxa"/>
            <w:shd w:val="clear" w:color="auto" w:fill="auto"/>
            <w:noWrap w:val="0"/>
            <w:vAlign w:val="center"/>
          </w:tcPr>
          <w:p w14:paraId="12C399CD">
            <w:pPr>
              <w:keepNext w:val="0"/>
              <w:keepLines w:val="0"/>
              <w:pageBreakBefore w:val="0"/>
              <w:kinsoku/>
              <w:wordWrap/>
              <w:overflowPunct/>
              <w:topLinePunct w:val="0"/>
              <w:autoSpaceDE/>
              <w:autoSpaceDN/>
              <w:bidi w:val="0"/>
              <w:adjustRightInd/>
              <w:snapToGrid/>
              <w:spacing w:line="500" w:lineRule="exact"/>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015" w:type="dxa"/>
            <w:tcBorders>
              <w:right w:val="single" w:color="auto" w:sz="4" w:space="0"/>
            </w:tcBorders>
            <w:shd w:val="clear" w:color="auto" w:fill="FFFFFF"/>
            <w:noWrap w:val="0"/>
            <w:vAlign w:val="center"/>
          </w:tcPr>
          <w:p w14:paraId="4EB39783">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c>
          <w:tcPr>
            <w:tcW w:w="1146" w:type="dxa"/>
            <w:tcBorders>
              <w:left w:val="single" w:color="auto" w:sz="4" w:space="0"/>
            </w:tcBorders>
            <w:shd w:val="clear" w:color="auto" w:fill="auto"/>
            <w:noWrap w:val="0"/>
            <w:vAlign w:val="center"/>
          </w:tcPr>
          <w:p w14:paraId="78A76D78">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color w:val="auto"/>
                <w:sz w:val="21"/>
                <w:szCs w:val="21"/>
                <w:highlight w:val="none"/>
              </w:rPr>
            </w:pPr>
          </w:p>
        </w:tc>
        <w:tc>
          <w:tcPr>
            <w:tcW w:w="415" w:type="dxa"/>
            <w:shd w:val="clear" w:color="auto" w:fill="FFFFFF"/>
            <w:noWrap w:val="0"/>
            <w:vAlign w:val="center"/>
          </w:tcPr>
          <w:p w14:paraId="7D5A0B18">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c>
          <w:tcPr>
            <w:tcW w:w="603" w:type="dxa"/>
            <w:shd w:val="clear" w:color="auto" w:fill="FFFFFF"/>
            <w:noWrap w:val="0"/>
            <w:vAlign w:val="center"/>
          </w:tcPr>
          <w:p w14:paraId="2C5E72AC">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c>
          <w:tcPr>
            <w:tcW w:w="1094" w:type="dxa"/>
            <w:tcBorders>
              <w:left w:val="single" w:color="auto" w:sz="4" w:space="0"/>
            </w:tcBorders>
            <w:noWrap w:val="0"/>
            <w:vAlign w:val="center"/>
          </w:tcPr>
          <w:p w14:paraId="2AE91470">
            <w:pPr>
              <w:keepNext w:val="0"/>
              <w:keepLines w:val="0"/>
              <w:pageBreakBefore w:val="0"/>
              <w:kinsoku/>
              <w:wordWrap/>
              <w:overflowPunct/>
              <w:topLinePunct w:val="0"/>
              <w:autoSpaceDE/>
              <w:autoSpaceDN/>
              <w:bidi w:val="0"/>
              <w:adjustRightInd/>
              <w:snapToGrid/>
              <w:spacing w:line="500" w:lineRule="exact"/>
              <w:rPr>
                <w:rFonts w:hint="eastAsia" w:ascii="宋体" w:hAnsi="宋体" w:eastAsia="宋体" w:cs="宋体"/>
                <w:color w:val="auto"/>
                <w:sz w:val="21"/>
                <w:szCs w:val="21"/>
                <w:highlight w:val="none"/>
              </w:rPr>
            </w:pPr>
          </w:p>
        </w:tc>
        <w:tc>
          <w:tcPr>
            <w:tcW w:w="807" w:type="dxa"/>
            <w:noWrap w:val="0"/>
            <w:vAlign w:val="center"/>
          </w:tcPr>
          <w:p w14:paraId="4BA3A43D">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c>
          <w:tcPr>
            <w:tcW w:w="1310" w:type="dxa"/>
            <w:noWrap w:val="0"/>
            <w:vAlign w:val="center"/>
          </w:tcPr>
          <w:p w14:paraId="3FBEDBE3">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r>
      <w:tr w14:paraId="2F617C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09" w:hRule="atLeast"/>
          <w:jc w:val="center"/>
        </w:trPr>
        <w:tc>
          <w:tcPr>
            <w:tcW w:w="779" w:type="dxa"/>
            <w:shd w:val="clear" w:color="auto" w:fill="auto"/>
            <w:noWrap w:val="0"/>
            <w:vAlign w:val="center"/>
          </w:tcPr>
          <w:p w14:paraId="42B3C316">
            <w:pPr>
              <w:keepNext w:val="0"/>
              <w:keepLines w:val="0"/>
              <w:pageBreakBefore w:val="0"/>
              <w:kinsoku/>
              <w:wordWrap/>
              <w:overflowPunct/>
              <w:topLinePunct w:val="0"/>
              <w:autoSpaceDE/>
              <w:autoSpaceDN/>
              <w:bidi w:val="0"/>
              <w:adjustRightInd/>
              <w:snapToGrid/>
              <w:spacing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2015" w:type="dxa"/>
            <w:tcBorders>
              <w:right w:val="single" w:color="auto" w:sz="4" w:space="0"/>
            </w:tcBorders>
            <w:shd w:val="clear" w:color="auto" w:fill="FFFFFF"/>
            <w:noWrap w:val="0"/>
            <w:vAlign w:val="center"/>
          </w:tcPr>
          <w:p w14:paraId="44C32E07">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c>
          <w:tcPr>
            <w:tcW w:w="1146" w:type="dxa"/>
            <w:tcBorders>
              <w:left w:val="single" w:color="auto" w:sz="4" w:space="0"/>
            </w:tcBorders>
            <w:shd w:val="clear" w:color="auto" w:fill="auto"/>
            <w:noWrap w:val="0"/>
            <w:vAlign w:val="center"/>
          </w:tcPr>
          <w:p w14:paraId="393AD609">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color w:val="auto"/>
                <w:sz w:val="21"/>
                <w:szCs w:val="21"/>
                <w:highlight w:val="none"/>
              </w:rPr>
            </w:pPr>
          </w:p>
        </w:tc>
        <w:tc>
          <w:tcPr>
            <w:tcW w:w="415" w:type="dxa"/>
            <w:shd w:val="clear" w:color="auto" w:fill="FFFFFF"/>
            <w:noWrap w:val="0"/>
            <w:vAlign w:val="center"/>
          </w:tcPr>
          <w:p w14:paraId="059A352A">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c>
          <w:tcPr>
            <w:tcW w:w="603" w:type="dxa"/>
            <w:shd w:val="clear" w:color="auto" w:fill="FFFFFF"/>
            <w:noWrap w:val="0"/>
            <w:vAlign w:val="center"/>
          </w:tcPr>
          <w:p w14:paraId="15B1EB5B">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c>
          <w:tcPr>
            <w:tcW w:w="1094" w:type="dxa"/>
            <w:tcBorders>
              <w:left w:val="single" w:color="auto" w:sz="4" w:space="0"/>
            </w:tcBorders>
            <w:noWrap w:val="0"/>
            <w:vAlign w:val="center"/>
          </w:tcPr>
          <w:p w14:paraId="62FFB263">
            <w:pPr>
              <w:keepNext w:val="0"/>
              <w:keepLines w:val="0"/>
              <w:pageBreakBefore w:val="0"/>
              <w:kinsoku/>
              <w:wordWrap/>
              <w:overflowPunct/>
              <w:topLinePunct w:val="0"/>
              <w:autoSpaceDE/>
              <w:autoSpaceDN/>
              <w:bidi w:val="0"/>
              <w:adjustRightInd/>
              <w:snapToGrid/>
              <w:spacing w:line="500" w:lineRule="exact"/>
              <w:rPr>
                <w:rFonts w:hint="eastAsia" w:ascii="宋体" w:hAnsi="宋体" w:eastAsia="宋体" w:cs="宋体"/>
                <w:color w:val="auto"/>
                <w:sz w:val="21"/>
                <w:szCs w:val="21"/>
                <w:highlight w:val="none"/>
              </w:rPr>
            </w:pPr>
          </w:p>
        </w:tc>
        <w:tc>
          <w:tcPr>
            <w:tcW w:w="807" w:type="dxa"/>
            <w:noWrap w:val="0"/>
            <w:vAlign w:val="center"/>
          </w:tcPr>
          <w:p w14:paraId="43DBB3F4">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c>
          <w:tcPr>
            <w:tcW w:w="1310" w:type="dxa"/>
            <w:noWrap w:val="0"/>
            <w:vAlign w:val="center"/>
          </w:tcPr>
          <w:p w14:paraId="3542DD3F">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r>
      <w:tr w14:paraId="30E1B6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09" w:hRule="atLeast"/>
          <w:jc w:val="center"/>
        </w:trPr>
        <w:tc>
          <w:tcPr>
            <w:tcW w:w="779" w:type="dxa"/>
            <w:shd w:val="clear" w:color="auto" w:fill="auto"/>
            <w:noWrap w:val="0"/>
            <w:vAlign w:val="center"/>
          </w:tcPr>
          <w:p w14:paraId="197F2B5E">
            <w:pPr>
              <w:keepNext w:val="0"/>
              <w:keepLines w:val="0"/>
              <w:pageBreakBefore w:val="0"/>
              <w:kinsoku/>
              <w:wordWrap/>
              <w:overflowPunct/>
              <w:topLinePunct w:val="0"/>
              <w:autoSpaceDE/>
              <w:autoSpaceDN/>
              <w:bidi w:val="0"/>
              <w:adjustRightInd/>
              <w:snapToGrid/>
              <w:spacing w:line="500" w:lineRule="exact"/>
              <w:jc w:val="center"/>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2015" w:type="dxa"/>
            <w:tcBorders>
              <w:right w:val="single" w:color="auto" w:sz="4" w:space="0"/>
            </w:tcBorders>
            <w:shd w:val="clear" w:color="auto" w:fill="FFFFFF"/>
            <w:noWrap w:val="0"/>
            <w:vAlign w:val="center"/>
          </w:tcPr>
          <w:p w14:paraId="6645E887">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c>
          <w:tcPr>
            <w:tcW w:w="1146" w:type="dxa"/>
            <w:tcBorders>
              <w:left w:val="single" w:color="auto" w:sz="4" w:space="0"/>
            </w:tcBorders>
            <w:shd w:val="clear" w:color="auto" w:fill="auto"/>
            <w:noWrap w:val="0"/>
            <w:vAlign w:val="center"/>
          </w:tcPr>
          <w:p w14:paraId="5C2C4C0E">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eastAsia="宋体" w:cs="宋体"/>
                <w:color w:val="auto"/>
                <w:sz w:val="21"/>
                <w:szCs w:val="21"/>
                <w:highlight w:val="none"/>
              </w:rPr>
            </w:pPr>
          </w:p>
        </w:tc>
        <w:tc>
          <w:tcPr>
            <w:tcW w:w="415" w:type="dxa"/>
            <w:shd w:val="clear" w:color="auto" w:fill="FFFFFF"/>
            <w:noWrap w:val="0"/>
            <w:vAlign w:val="center"/>
          </w:tcPr>
          <w:p w14:paraId="1C902196">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c>
          <w:tcPr>
            <w:tcW w:w="603" w:type="dxa"/>
            <w:shd w:val="clear" w:color="auto" w:fill="FFFFFF"/>
            <w:noWrap w:val="0"/>
            <w:vAlign w:val="center"/>
          </w:tcPr>
          <w:p w14:paraId="3A94650A">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c>
          <w:tcPr>
            <w:tcW w:w="1094" w:type="dxa"/>
            <w:tcBorders>
              <w:left w:val="single" w:color="auto" w:sz="4" w:space="0"/>
            </w:tcBorders>
            <w:noWrap w:val="0"/>
            <w:vAlign w:val="center"/>
          </w:tcPr>
          <w:p w14:paraId="260B3157">
            <w:pPr>
              <w:keepNext w:val="0"/>
              <w:keepLines w:val="0"/>
              <w:pageBreakBefore w:val="0"/>
              <w:kinsoku/>
              <w:wordWrap/>
              <w:overflowPunct/>
              <w:topLinePunct w:val="0"/>
              <w:autoSpaceDE/>
              <w:autoSpaceDN/>
              <w:bidi w:val="0"/>
              <w:adjustRightInd/>
              <w:snapToGrid/>
              <w:spacing w:line="500" w:lineRule="exact"/>
              <w:rPr>
                <w:rFonts w:hint="eastAsia" w:ascii="宋体" w:hAnsi="宋体" w:eastAsia="宋体" w:cs="宋体"/>
                <w:color w:val="auto"/>
                <w:sz w:val="21"/>
                <w:szCs w:val="21"/>
                <w:highlight w:val="none"/>
              </w:rPr>
            </w:pPr>
          </w:p>
        </w:tc>
        <w:tc>
          <w:tcPr>
            <w:tcW w:w="807" w:type="dxa"/>
            <w:noWrap w:val="0"/>
            <w:vAlign w:val="center"/>
          </w:tcPr>
          <w:p w14:paraId="28DF3172">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c>
          <w:tcPr>
            <w:tcW w:w="1310" w:type="dxa"/>
            <w:noWrap w:val="0"/>
            <w:vAlign w:val="center"/>
          </w:tcPr>
          <w:p w14:paraId="4212C2C3">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color w:val="auto"/>
                <w:sz w:val="21"/>
                <w:szCs w:val="21"/>
                <w:highlight w:val="none"/>
              </w:rPr>
            </w:pPr>
          </w:p>
        </w:tc>
      </w:tr>
    </w:tbl>
    <w:p w14:paraId="65FA3F97">
      <w:pPr>
        <w:keepNext w:val="0"/>
        <w:keepLines w:val="0"/>
        <w:pageBreakBefore w:val="0"/>
        <w:kinsoku/>
        <w:wordWrap/>
        <w:overflowPunct/>
        <w:topLinePunct w:val="0"/>
        <w:autoSpaceDE/>
        <w:autoSpaceDN/>
        <w:bidi w:val="0"/>
        <w:adjustRightInd/>
        <w:snapToGrid/>
        <w:spacing w:line="500" w:lineRule="exact"/>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3、合同总价</w:t>
      </w:r>
    </w:p>
    <w:p w14:paraId="79E234D1">
      <w:pPr>
        <w:keepNext w:val="0"/>
        <w:keepLines w:val="0"/>
        <w:pageBreakBefore w:val="0"/>
        <w:kinsoku/>
        <w:wordWrap/>
        <w:overflowPunct/>
        <w:topLinePunct w:val="0"/>
        <w:autoSpaceDE/>
        <w:autoSpaceDN/>
        <w:bidi w:val="0"/>
        <w:adjustRightInd/>
        <w:snapToGrid/>
        <w:spacing w:line="500" w:lineRule="exact"/>
        <w:ind w:firstLine="840" w:firstLineChars="4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合同总价为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元人民币</w:t>
      </w:r>
    </w:p>
    <w:p w14:paraId="3079BD1E">
      <w:pPr>
        <w:pStyle w:val="35"/>
        <w:keepNext w:val="0"/>
        <w:keepLines w:val="0"/>
        <w:pageBreakBefore w:val="0"/>
        <w:numPr>
          <w:ilvl w:val="-1"/>
          <w:numId w:val="0"/>
        </w:numPr>
        <w:kinsoku/>
        <w:wordWrap/>
        <w:overflowPunct/>
        <w:topLinePunct w:val="0"/>
        <w:autoSpaceDE/>
        <w:autoSpaceDN/>
        <w:bidi w:val="0"/>
        <w:adjustRightInd/>
        <w:snapToGrid/>
        <w:spacing w:after="0" w:afterLines="0" w:line="500" w:lineRule="exact"/>
        <w:ind w:left="0" w:leftChars="0" w:firstLine="422" w:firstLineChars="200"/>
        <w:jc w:val="left"/>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付款方式及要求：</w:t>
      </w:r>
    </w:p>
    <w:p w14:paraId="3305DA78">
      <w:pPr>
        <w:pStyle w:val="35"/>
        <w:keepNext w:val="0"/>
        <w:keepLines w:val="0"/>
        <w:pageBreakBefore w:val="0"/>
        <w:numPr>
          <w:ilvl w:val="-1"/>
          <w:numId w:val="0"/>
        </w:numPr>
        <w:shd w:val="clear" w:color="auto"/>
        <w:kinsoku/>
        <w:wordWrap/>
        <w:overflowPunct/>
        <w:topLinePunct w:val="0"/>
        <w:autoSpaceDE/>
        <w:autoSpaceDN/>
        <w:bidi w:val="0"/>
        <w:adjustRightInd/>
        <w:snapToGrid/>
        <w:spacing w:after="0" w:afterLines="0" w:line="500" w:lineRule="exact"/>
        <w:ind w:left="0" w:leftChars="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4.1</w:t>
      </w:r>
      <w:r>
        <w:rPr>
          <w:rFonts w:hint="eastAsia" w:ascii="宋体" w:hAnsi="宋体" w:eastAsia="宋体" w:cs="宋体"/>
          <w:color w:val="auto"/>
          <w:sz w:val="21"/>
          <w:szCs w:val="21"/>
          <w:highlight w:val="none"/>
          <w:lang w:val="en-US" w:eastAsia="zh-CN"/>
        </w:rPr>
        <w:t>全部内容供货、安装、调试、试运行，经双方确认验收合格且</w:t>
      </w:r>
      <w:r>
        <w:rPr>
          <w:rFonts w:hint="eastAsia" w:ascii="宋体" w:hAnsi="宋体" w:cs="宋体"/>
          <w:color w:val="auto"/>
          <w:sz w:val="21"/>
          <w:szCs w:val="21"/>
          <w:highlight w:val="none"/>
          <w:lang w:val="en-US" w:eastAsia="zh-CN"/>
        </w:rPr>
        <w:t>买方</w:t>
      </w:r>
      <w:r>
        <w:rPr>
          <w:rFonts w:hint="eastAsia" w:ascii="宋体" w:hAnsi="宋体" w:eastAsia="宋体" w:cs="宋体"/>
          <w:color w:val="auto"/>
          <w:sz w:val="21"/>
          <w:szCs w:val="21"/>
          <w:highlight w:val="none"/>
          <w:lang w:val="en-US" w:eastAsia="zh-CN"/>
        </w:rPr>
        <w:t>收到合规发票后支付至合同价的95%</w:t>
      </w:r>
      <w:r>
        <w:rPr>
          <w:rFonts w:hint="eastAsia" w:ascii="宋体" w:hAnsi="宋体" w:cs="宋体"/>
          <w:color w:val="auto"/>
          <w:sz w:val="21"/>
          <w:szCs w:val="21"/>
          <w:highlight w:val="none"/>
          <w:lang w:val="en-US" w:eastAsia="zh-CN"/>
        </w:rPr>
        <w:t>（不含APP开发费用，含云服务器、</w:t>
      </w:r>
      <w:r>
        <w:rPr>
          <w:rFonts w:hint="eastAsia"/>
          <w:color w:val="auto"/>
          <w:sz w:val="21"/>
          <w:szCs w:val="21"/>
          <w:highlight w:val="none"/>
          <w:lang w:eastAsia="zh-CN"/>
        </w:rPr>
        <w:t>MySQL服务</w:t>
      </w:r>
      <w:r>
        <w:rPr>
          <w:rFonts w:hint="eastAsia" w:ascii="宋体" w:hAnsi="宋体" w:cs="宋体"/>
          <w:color w:val="auto"/>
          <w:sz w:val="21"/>
          <w:szCs w:val="21"/>
          <w:highlight w:val="none"/>
          <w:lang w:val="en-US" w:eastAsia="zh-CN"/>
        </w:rPr>
        <w:t>、小程序服务费和SSL证书首年费用）</w:t>
      </w:r>
      <w:r>
        <w:rPr>
          <w:rFonts w:hint="eastAsia" w:ascii="宋体" w:hAnsi="宋体" w:eastAsia="宋体" w:cs="宋体"/>
          <w:color w:val="auto"/>
          <w:sz w:val="21"/>
          <w:szCs w:val="21"/>
          <w:highlight w:val="none"/>
          <w:lang w:val="en-US" w:eastAsia="zh-CN"/>
        </w:rPr>
        <w:t>，剩余</w:t>
      </w:r>
      <w:r>
        <w:rPr>
          <w:rFonts w:hint="eastAsia" w:ascii="宋体" w:hAnsi="宋体" w:cs="宋体"/>
          <w:color w:val="auto"/>
          <w:sz w:val="21"/>
          <w:szCs w:val="21"/>
          <w:highlight w:val="none"/>
          <w:lang w:val="en-US" w:eastAsia="zh-CN"/>
        </w:rPr>
        <w:t>合同价的</w:t>
      </w:r>
      <w:r>
        <w:rPr>
          <w:rFonts w:hint="eastAsia" w:ascii="宋体" w:hAnsi="宋体" w:eastAsia="宋体" w:cs="宋体"/>
          <w:color w:val="auto"/>
          <w:sz w:val="21"/>
          <w:szCs w:val="21"/>
          <w:highlight w:val="none"/>
          <w:lang w:val="en-US" w:eastAsia="zh-CN"/>
        </w:rPr>
        <w:t>5%</w:t>
      </w:r>
      <w:r>
        <w:rPr>
          <w:rFonts w:hint="eastAsia" w:ascii="宋体" w:hAnsi="宋体" w:cs="宋体"/>
          <w:color w:val="auto"/>
          <w:sz w:val="21"/>
          <w:szCs w:val="21"/>
          <w:highlight w:val="none"/>
          <w:lang w:val="en-US" w:eastAsia="zh-CN"/>
        </w:rPr>
        <w:t>（不含APP开发费用，含云服务器、</w:t>
      </w:r>
      <w:r>
        <w:rPr>
          <w:rFonts w:hint="eastAsia"/>
          <w:color w:val="auto"/>
          <w:sz w:val="21"/>
          <w:szCs w:val="21"/>
          <w:highlight w:val="none"/>
          <w:lang w:eastAsia="zh-CN"/>
        </w:rPr>
        <w:t>MySQL服务</w:t>
      </w:r>
      <w:r>
        <w:rPr>
          <w:rFonts w:hint="eastAsia" w:ascii="宋体" w:hAnsi="宋体" w:cs="宋体"/>
          <w:color w:val="auto"/>
          <w:sz w:val="21"/>
          <w:szCs w:val="21"/>
          <w:highlight w:val="none"/>
          <w:lang w:val="en-US" w:eastAsia="zh-CN"/>
        </w:rPr>
        <w:t>、小程序服务费和SSL证书首年费用）</w:t>
      </w:r>
      <w:r>
        <w:rPr>
          <w:rFonts w:hint="eastAsia" w:ascii="宋体" w:hAnsi="宋体" w:eastAsia="宋体" w:cs="宋体"/>
          <w:color w:val="auto"/>
          <w:sz w:val="21"/>
          <w:szCs w:val="21"/>
          <w:highlight w:val="none"/>
          <w:lang w:val="en-US" w:eastAsia="zh-CN"/>
        </w:rPr>
        <w:t>作为质量保证金，质保期（自验收合格之日起1年）满后一次性付清余款。</w:t>
      </w:r>
    </w:p>
    <w:p w14:paraId="32BC8C4F">
      <w:pPr>
        <w:pStyle w:val="35"/>
        <w:keepNext w:val="0"/>
        <w:keepLines w:val="0"/>
        <w:pageBreakBefore w:val="0"/>
        <w:numPr>
          <w:ilvl w:val="-1"/>
          <w:numId w:val="0"/>
        </w:numPr>
        <w:shd w:val="clear"/>
        <w:kinsoku/>
        <w:wordWrap/>
        <w:overflowPunct/>
        <w:topLinePunct w:val="0"/>
        <w:autoSpaceDE/>
        <w:autoSpaceDN/>
        <w:bidi w:val="0"/>
        <w:adjustRightInd/>
        <w:snapToGrid/>
        <w:spacing w:after="0" w:afterLines="0" w:line="500" w:lineRule="exact"/>
        <w:ind w:left="0" w:leftChars="0" w:firstLine="420" w:firstLineChars="200"/>
        <w:jc w:val="left"/>
        <w:rPr>
          <w:rFonts w:hint="eastAsia" w:ascii="宋体" w:hAnsi="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4.2 APP开发付款方式：</w:t>
      </w:r>
      <w:r>
        <w:rPr>
          <w:rFonts w:hint="eastAsia" w:ascii="宋体" w:hAnsi="宋体" w:cs="宋体"/>
          <w:color w:val="auto"/>
          <w:kern w:val="0"/>
          <w:sz w:val="21"/>
          <w:szCs w:val="21"/>
          <w:highlight w:val="none"/>
          <w:lang w:val="en-US" w:eastAsia="zh-CN" w:bidi="ar-SA"/>
        </w:rPr>
        <w:t>按买方实际需要开发，具体开发时间由买方另行通知，APP</w:t>
      </w:r>
      <w:r>
        <w:rPr>
          <w:rFonts w:hint="eastAsia" w:ascii="宋体" w:hAnsi="宋体" w:eastAsia="宋体" w:cs="宋体"/>
          <w:color w:val="auto"/>
          <w:kern w:val="0"/>
          <w:sz w:val="21"/>
          <w:szCs w:val="21"/>
          <w:highlight w:val="none"/>
          <w:lang w:val="en-US" w:eastAsia="zh-CN" w:bidi="ar-SA"/>
        </w:rPr>
        <w:t>开发完成、调试、上线运行后，经双方确认验收合格且</w:t>
      </w:r>
      <w:r>
        <w:rPr>
          <w:rFonts w:hint="eastAsia" w:ascii="宋体" w:hAnsi="宋体" w:cs="宋体"/>
          <w:color w:val="auto"/>
          <w:kern w:val="0"/>
          <w:sz w:val="21"/>
          <w:szCs w:val="21"/>
          <w:highlight w:val="none"/>
          <w:lang w:val="en-US" w:eastAsia="zh-CN" w:bidi="ar-SA"/>
        </w:rPr>
        <w:t>买方</w:t>
      </w:r>
      <w:r>
        <w:rPr>
          <w:rFonts w:hint="eastAsia" w:ascii="宋体" w:hAnsi="宋体" w:eastAsia="宋体" w:cs="宋体"/>
          <w:color w:val="auto"/>
          <w:kern w:val="0"/>
          <w:sz w:val="21"/>
          <w:szCs w:val="21"/>
          <w:highlight w:val="none"/>
          <w:lang w:val="en-US" w:eastAsia="zh-CN" w:bidi="ar-SA"/>
        </w:rPr>
        <w:t>收到合规发票后一次性支付至APP开发费用的</w:t>
      </w:r>
      <w:r>
        <w:rPr>
          <w:rFonts w:hint="eastAsia" w:ascii="宋体" w:hAnsi="宋体" w:cs="宋体"/>
          <w:color w:val="auto"/>
          <w:kern w:val="0"/>
          <w:sz w:val="21"/>
          <w:szCs w:val="21"/>
          <w:highlight w:val="none"/>
          <w:lang w:val="en-US" w:eastAsia="zh-CN" w:bidi="ar-SA"/>
        </w:rPr>
        <w:t>95</w:t>
      </w:r>
      <w:r>
        <w:rPr>
          <w:rFonts w:hint="eastAsia" w:ascii="宋体" w:hAnsi="宋体" w:eastAsia="宋体" w:cs="宋体"/>
          <w:color w:val="auto"/>
          <w:kern w:val="0"/>
          <w:sz w:val="21"/>
          <w:szCs w:val="21"/>
          <w:highlight w:val="none"/>
          <w:lang w:val="en-US" w:eastAsia="zh-CN" w:bidi="ar-SA"/>
        </w:rPr>
        <w:t>%</w:t>
      </w:r>
      <w:r>
        <w:rPr>
          <w:rFonts w:hint="eastAsia" w:ascii="宋体" w:hAnsi="宋体" w:cs="宋体"/>
          <w:color w:val="auto"/>
          <w:kern w:val="0"/>
          <w:sz w:val="21"/>
          <w:szCs w:val="21"/>
          <w:highlight w:val="none"/>
          <w:lang w:val="en-US" w:eastAsia="zh-CN" w:bidi="ar-SA"/>
        </w:rPr>
        <w:t>，剩余5%作为质量保证金，质保期（自验收合格之日起1年）满后一次性付清余款。</w:t>
      </w:r>
    </w:p>
    <w:p w14:paraId="0F8522C5">
      <w:pPr>
        <w:pStyle w:val="35"/>
        <w:keepNext w:val="0"/>
        <w:keepLines w:val="0"/>
        <w:pageBreakBefore w:val="0"/>
        <w:numPr>
          <w:ilvl w:val="-1"/>
          <w:numId w:val="0"/>
        </w:numPr>
        <w:shd w:val="clear" w:color="auto"/>
        <w:kinsoku/>
        <w:wordWrap/>
        <w:overflowPunct/>
        <w:topLinePunct w:val="0"/>
        <w:autoSpaceDE/>
        <w:autoSpaceDN/>
        <w:bidi w:val="0"/>
        <w:adjustRightInd/>
        <w:snapToGrid/>
        <w:spacing w:after="0" w:afterLines="0" w:line="500" w:lineRule="exact"/>
        <w:ind w:left="0" w:leftChars="0" w:firstLine="420" w:firstLineChars="200"/>
        <w:jc w:val="left"/>
        <w:rPr>
          <w:rFonts w:hint="default"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4.3云服务器、</w:t>
      </w:r>
      <w:r>
        <w:rPr>
          <w:rFonts w:hint="eastAsia"/>
          <w:color w:val="auto"/>
          <w:sz w:val="21"/>
          <w:szCs w:val="21"/>
          <w:highlight w:val="none"/>
          <w:lang w:eastAsia="zh-CN"/>
        </w:rPr>
        <w:t>MySQL服务</w:t>
      </w:r>
      <w:r>
        <w:rPr>
          <w:rFonts w:hint="eastAsia" w:ascii="宋体" w:hAnsi="宋体" w:cs="宋体"/>
          <w:color w:val="auto"/>
          <w:kern w:val="0"/>
          <w:sz w:val="21"/>
          <w:szCs w:val="21"/>
          <w:highlight w:val="none"/>
          <w:lang w:val="en-US" w:eastAsia="zh-CN" w:bidi="ar-SA"/>
        </w:rPr>
        <w:t>、小程序服务费和SSL证书次年起续费费用，在每年期满前支付，买方收到合规发票后一次性支付续费费用，日期自验收合格之日起算。</w:t>
      </w:r>
    </w:p>
    <w:p w14:paraId="6C77A5F0">
      <w:pPr>
        <w:pStyle w:val="35"/>
        <w:keepNext w:val="0"/>
        <w:keepLines w:val="0"/>
        <w:pageBreakBefore w:val="0"/>
        <w:numPr>
          <w:ilvl w:val="0"/>
          <w:numId w:val="0"/>
        </w:numPr>
        <w:kinsoku/>
        <w:wordWrap/>
        <w:overflowPunct/>
        <w:topLinePunct w:val="0"/>
        <w:autoSpaceDE/>
        <w:autoSpaceDN/>
        <w:bidi w:val="0"/>
        <w:adjustRightInd/>
        <w:snapToGrid/>
        <w:spacing w:after="0" w:afterLines="0" w:line="500" w:lineRule="exact"/>
        <w:ind w:leftChars="200"/>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5、供货期：</w:t>
      </w:r>
      <w:r>
        <w:rPr>
          <w:rFonts w:hint="eastAsia" w:ascii="宋体" w:hAnsi="宋体" w:eastAsia="宋体" w:cs="宋体"/>
          <w:b/>
          <w:bCs/>
          <w:color w:val="auto"/>
          <w:sz w:val="21"/>
          <w:szCs w:val="21"/>
          <w:highlight w:val="none"/>
          <w:lang w:eastAsia="zh-CN"/>
        </w:rPr>
        <w:t>合同签订之日起10个日历天内完成中控及软件部分（不含APP开发）及2个汽车衡无人值守部分供货、安装、调试及验收。</w:t>
      </w:r>
    </w:p>
    <w:p w14:paraId="3E2D3B40">
      <w:pPr>
        <w:pStyle w:val="35"/>
        <w:keepNext w:val="0"/>
        <w:keepLines w:val="0"/>
        <w:pageBreakBefore w:val="0"/>
        <w:numPr>
          <w:ilvl w:val="0"/>
          <w:numId w:val="0"/>
        </w:numPr>
        <w:kinsoku/>
        <w:wordWrap/>
        <w:overflowPunct/>
        <w:topLinePunct w:val="0"/>
        <w:autoSpaceDE/>
        <w:autoSpaceDN/>
        <w:bidi w:val="0"/>
        <w:adjustRightInd/>
        <w:snapToGrid/>
        <w:spacing w:after="0" w:afterLines="0" w:line="500" w:lineRule="exact"/>
        <w:ind w:left="420" w:leftChars="0"/>
        <w:jc w:val="left"/>
        <w:rPr>
          <w:rFonts w:hint="eastAsia" w:ascii="宋体" w:hAnsi="宋体" w:eastAsia="宋体" w:cs="宋体"/>
          <w:b w:val="0"/>
          <w:bCs w:val="0"/>
          <w:color w:val="auto"/>
          <w:sz w:val="21"/>
          <w:szCs w:val="21"/>
          <w:highlight w:val="none"/>
        </w:rPr>
      </w:pPr>
      <w:r>
        <w:rPr>
          <w:rFonts w:hint="eastAsia" w:ascii="宋体" w:hAnsi="宋体" w:eastAsia="宋体" w:cs="宋体"/>
          <w:b/>
          <w:bCs/>
          <w:color w:val="auto"/>
          <w:sz w:val="21"/>
          <w:szCs w:val="21"/>
          <w:highlight w:val="none"/>
        </w:rPr>
        <w:t>6、服务地点、对象：</w:t>
      </w:r>
      <w:r>
        <w:rPr>
          <w:rFonts w:hint="eastAsia" w:ascii="宋体" w:hAnsi="宋体" w:eastAsia="宋体" w:cs="宋体"/>
          <w:b w:val="0"/>
          <w:bCs w:val="0"/>
          <w:color w:val="auto"/>
          <w:sz w:val="21"/>
          <w:szCs w:val="21"/>
          <w:highlight w:val="none"/>
        </w:rPr>
        <w:t>由买方指定</w:t>
      </w:r>
    </w:p>
    <w:p w14:paraId="55FEDEC1">
      <w:pPr>
        <w:pStyle w:val="35"/>
        <w:keepNext w:val="0"/>
        <w:keepLines w:val="0"/>
        <w:pageBreakBefore w:val="0"/>
        <w:numPr>
          <w:ilvl w:val="0"/>
          <w:numId w:val="0"/>
        </w:numPr>
        <w:kinsoku/>
        <w:wordWrap/>
        <w:overflowPunct/>
        <w:topLinePunct w:val="0"/>
        <w:autoSpaceDE/>
        <w:autoSpaceDN/>
        <w:bidi w:val="0"/>
        <w:adjustRightInd/>
        <w:snapToGrid/>
        <w:spacing w:after="0" w:afterLines="0" w:line="500" w:lineRule="exact"/>
        <w:ind w:left="420" w:leftChars="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rPr>
        <w:t>7、交货地点：</w:t>
      </w:r>
      <w:r>
        <w:rPr>
          <w:rFonts w:hint="eastAsia" w:ascii="宋体" w:hAnsi="宋体" w:eastAsia="宋体" w:cs="宋体"/>
          <w:b w:val="0"/>
          <w:bCs w:val="0"/>
          <w:color w:val="auto"/>
          <w:sz w:val="21"/>
          <w:szCs w:val="21"/>
          <w:highlight w:val="none"/>
          <w:lang w:val="en-US" w:eastAsia="zh-CN"/>
        </w:rPr>
        <w:t>买方指定地点</w:t>
      </w:r>
    </w:p>
    <w:p w14:paraId="4A4FBDD1">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卖方负责办理运输和保险，将货物安全运抵买方指定地点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，并交付给买方指定人签收，有关运输、保险、装卸货的一切费用由卖方承担，运输过程中导致货物的毁损、灭失等风险由卖方承担。</w:t>
      </w:r>
    </w:p>
    <w:p w14:paraId="27FEFF4E">
      <w:pPr>
        <w:pStyle w:val="35"/>
        <w:keepNext w:val="0"/>
        <w:keepLines w:val="0"/>
        <w:pageBreakBefore w:val="0"/>
        <w:numPr>
          <w:ilvl w:val="0"/>
          <w:numId w:val="0"/>
        </w:numPr>
        <w:kinsoku/>
        <w:wordWrap/>
        <w:overflowPunct/>
        <w:topLinePunct w:val="0"/>
        <w:autoSpaceDE/>
        <w:autoSpaceDN/>
        <w:bidi w:val="0"/>
        <w:adjustRightInd/>
        <w:snapToGrid/>
        <w:spacing w:after="0" w:afterLines="0" w:line="500" w:lineRule="exact"/>
        <w:ind w:left="420" w:leftChars="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8、交货时的验收标准</w:t>
      </w:r>
    </w:p>
    <w:p w14:paraId="73F8D4D0">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建设施工标准须达到无人值守智能化建设要求。</w:t>
      </w:r>
    </w:p>
    <w:p w14:paraId="06F89779">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（2）投标人可根据自己的管理咨询经验，对技术参数提出修正方案，供买方参考。</w:t>
      </w:r>
    </w:p>
    <w:p w14:paraId="052B7108">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（3）在合同签订后，买方有权提出因标准、规程和规范发生变化而产生的修订要求，具体事宜由买、卖双方协商确定。</w:t>
      </w:r>
    </w:p>
    <w:p w14:paraId="665EF741">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（4）招标文件作为项目合同的技术附件，与合同正文具有同等效力。</w:t>
      </w:r>
    </w:p>
    <w:p w14:paraId="79DE0C96">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（5）卖方应承诺交付的所有产品的最终用户为滁州市兴滁实业有限公司，是未被使用过的全新产品，供货时要求提供原厂出具的盖章最终用户为滁州市兴滁实业有限公司的服务证明函或对本项目的授权文件。</w:t>
      </w:r>
    </w:p>
    <w:p w14:paraId="626C811C">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卖方需执行招标文件要求和标准，对于未提及的内容需满足或优于招标文件所列的国家标准、行业标准以及政策性文件，如有矛盾冲突时，按最新标准执行。招标文件提出了最低限度要求，并未对一些技术细节作出规定。也未充分引述有关标准和规范的条文，投标方应保证提供符合本规范书和有关工业标准和国际标准的优质产品。对国家有关安全、环保等强制性标准，必须满足其要求。</w:t>
      </w:r>
    </w:p>
    <w:p w14:paraId="51A836B2">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《涂装通用技术条件》JB/ZQ4000.10-86 </w:t>
      </w:r>
    </w:p>
    <w:p w14:paraId="47C26F50">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《包装通用技术条件》JB/ZQ4286-88</w:t>
      </w:r>
    </w:p>
    <w:p w14:paraId="0629565E">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《电气装置安装工程施工及验收规范》GB50254-50259-2014</w:t>
      </w:r>
    </w:p>
    <w:p w14:paraId="20825419">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《电力工程电缆设计标准》GB50217-2018            </w:t>
      </w:r>
    </w:p>
    <w:p w14:paraId="0103D7E1">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《数据中心设计规范》GB50174-2017 </w:t>
      </w:r>
    </w:p>
    <w:p w14:paraId="73A8D732">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《综合布线系统工程设计规范》GB50311-2016。</w:t>
      </w:r>
    </w:p>
    <w:p w14:paraId="4480E0B9">
      <w:pPr>
        <w:keepNext w:val="0"/>
        <w:keepLines w:val="0"/>
        <w:pageBreakBefore w:val="0"/>
        <w:kinsoku/>
        <w:wordWrap/>
        <w:overflowPunct/>
        <w:topLinePunct w:val="0"/>
        <w:autoSpaceDE/>
        <w:autoSpaceDN/>
        <w:bidi w:val="0"/>
        <w:adjustRightInd/>
        <w:snapToGrid/>
        <w:spacing w:line="50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kern w:val="2"/>
          <w:sz w:val="21"/>
          <w:szCs w:val="21"/>
          <w:highlight w:val="none"/>
          <w:lang w:val="en-US" w:eastAsia="zh-CN" w:bidi="ar-SA"/>
        </w:rPr>
        <w:t>9、质保期</w:t>
      </w:r>
      <w:r>
        <w:rPr>
          <w:rFonts w:hint="eastAsia" w:ascii="宋体" w:hAnsi="宋体" w:eastAsia="宋体" w:cs="宋体"/>
          <w:color w:val="auto"/>
          <w:sz w:val="21"/>
          <w:szCs w:val="21"/>
          <w:highlight w:val="none"/>
        </w:rPr>
        <w:t>：软硬件整体质保不少于1年，7×24小时远程技术支持，现场故障24小时上门处理。</w:t>
      </w:r>
      <w:r>
        <w:rPr>
          <w:rFonts w:hint="eastAsia" w:ascii="宋体" w:hAnsi="宋体" w:eastAsia="宋体" w:cs="宋体"/>
          <w:color w:val="auto"/>
          <w:sz w:val="21"/>
          <w:szCs w:val="21"/>
          <w:highlight w:val="none"/>
          <w:lang w:val="en-US" w:eastAsia="zh-CN"/>
        </w:rPr>
        <w:t xml:space="preserve"> </w:t>
      </w:r>
    </w:p>
    <w:p w14:paraId="0268439B">
      <w:pPr>
        <w:pStyle w:val="35"/>
        <w:keepNext w:val="0"/>
        <w:keepLines w:val="0"/>
        <w:pageBreakBefore w:val="0"/>
        <w:numPr>
          <w:ilvl w:val="0"/>
          <w:numId w:val="0"/>
        </w:numPr>
        <w:kinsoku/>
        <w:wordWrap/>
        <w:overflowPunct/>
        <w:topLinePunct w:val="0"/>
        <w:autoSpaceDE/>
        <w:autoSpaceDN/>
        <w:bidi w:val="0"/>
        <w:adjustRightInd/>
        <w:snapToGrid/>
        <w:spacing w:after="0" w:afterLines="0" w:line="500" w:lineRule="exact"/>
        <w:ind w:left="420" w:leftChars="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10、技术资料 </w:t>
      </w:r>
    </w:p>
    <w:p w14:paraId="37AAFF55">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（1）卖方应在交货的同时或最迟应不晚于项目的竣工验收结束时，向买方移交所有与项目有关的技术资料，如样本、图纸、操作手册、使用指南、维修指南等。 </w:t>
      </w:r>
    </w:p>
    <w:p w14:paraId="3F8AEB1A">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（2）提供维保专用工器具；</w:t>
      </w:r>
    </w:p>
    <w:p w14:paraId="21868A67">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（3）未经买方事先书面同意，卖方不得将由买方提供的有关合同或任何合同条文、规格、 计划、图纸、样品或资料提供给与履行本合同无关的任何其他人，即使向履行本合同有关的人员提供，也应注意保密并限于履行合同的必须范围。 </w:t>
      </w:r>
    </w:p>
    <w:p w14:paraId="3D0A2612">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（4）卖方应按照签订的合同规定交货，交货后卖方应向买方提供下列单据：包括但不限于出厂检验合格证、使用说明书、维修保养方式、详细技术资料（包括维修手册和维修图纸）等。</w:t>
      </w:r>
    </w:p>
    <w:p w14:paraId="7A9EB267">
      <w:pPr>
        <w:pStyle w:val="35"/>
        <w:keepNext w:val="0"/>
        <w:keepLines w:val="0"/>
        <w:pageBreakBefore w:val="0"/>
        <w:numPr>
          <w:ilvl w:val="0"/>
          <w:numId w:val="0"/>
        </w:numPr>
        <w:kinsoku/>
        <w:wordWrap/>
        <w:overflowPunct/>
        <w:topLinePunct w:val="0"/>
        <w:autoSpaceDE/>
        <w:autoSpaceDN/>
        <w:bidi w:val="0"/>
        <w:adjustRightInd/>
        <w:snapToGrid/>
        <w:spacing w:after="0" w:afterLines="0" w:line="500" w:lineRule="exact"/>
        <w:ind w:left="420" w:leftChars="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11、履约担保（保证金）</w:t>
      </w:r>
    </w:p>
    <w:p w14:paraId="3D99E7DF">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履约数额：中标价*</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p>
    <w:p w14:paraId="3BF697CC">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形式：支持银行转账、银行电汇、银行保函、担保机构担保、保证保险使用。</w:t>
      </w:r>
    </w:p>
    <w:p w14:paraId="71974AA1">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金   额：年预算金额*2%</w:t>
      </w:r>
    </w:p>
    <w:p w14:paraId="6B01BFC0">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收款单位：中标后另行通知</w:t>
      </w:r>
    </w:p>
    <w:p w14:paraId="2BDECB59">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开户银行：中标后另行通知</w:t>
      </w:r>
    </w:p>
    <w:p w14:paraId="6C3DA2B4">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银行账号：中标后另行通知</w:t>
      </w:r>
    </w:p>
    <w:p w14:paraId="0E43DD43">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缴纳时限：签订合同前缴纳</w:t>
      </w:r>
    </w:p>
    <w:p w14:paraId="091CF656">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注：汇款务必注明缴款人名称及用途。</w:t>
      </w:r>
    </w:p>
    <w:p w14:paraId="30871E32">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履约保证金退还时限：</w:t>
      </w:r>
      <w:r>
        <w:rPr>
          <w:rFonts w:hint="eastAsia" w:ascii="宋体" w:hAnsi="宋体" w:cs="宋体"/>
          <w:color w:val="auto"/>
          <w:sz w:val="21"/>
          <w:szCs w:val="21"/>
          <w:highlight w:val="none"/>
          <w:lang w:val="en-US" w:eastAsia="zh-CN"/>
        </w:rPr>
        <w:t>除APP开发外，</w:t>
      </w:r>
      <w:r>
        <w:rPr>
          <w:rFonts w:hint="eastAsia" w:ascii="宋体" w:hAnsi="宋体" w:eastAsia="宋体" w:cs="宋体"/>
          <w:color w:val="auto"/>
          <w:sz w:val="21"/>
          <w:szCs w:val="21"/>
          <w:highlight w:val="none"/>
        </w:rPr>
        <w:t>验收合格后一次性退还。</w:t>
      </w:r>
    </w:p>
    <w:p w14:paraId="0AED5A02">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其他相关要求：满足招标人要求.</w:t>
      </w:r>
    </w:p>
    <w:p w14:paraId="7AE67BF2">
      <w:pPr>
        <w:pStyle w:val="35"/>
        <w:keepNext w:val="0"/>
        <w:keepLines w:val="0"/>
        <w:pageBreakBefore w:val="0"/>
        <w:numPr>
          <w:ilvl w:val="0"/>
          <w:numId w:val="0"/>
        </w:numPr>
        <w:kinsoku/>
        <w:wordWrap/>
        <w:overflowPunct/>
        <w:topLinePunct w:val="0"/>
        <w:autoSpaceDE/>
        <w:autoSpaceDN/>
        <w:bidi w:val="0"/>
        <w:adjustRightInd/>
        <w:snapToGrid/>
        <w:spacing w:after="0" w:afterLines="0" w:line="500" w:lineRule="exact"/>
        <w:ind w:left="420" w:leftChars="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、质量要求</w:t>
      </w:r>
    </w:p>
    <w:p w14:paraId="26863CAC">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（1）卖方提供的产品是全新的，未使用过的，在质保期内因产品本身的质量问题发生故障，卖方应负责免费更换。</w:t>
      </w:r>
    </w:p>
    <w:p w14:paraId="4CE4EECE">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在卖方承诺的或国家规定的质量保证期内（取两者中最长的期限），如货物满足不了买方需求，则需无条件免费对货物进行增加配件、调整和改造货物，直至货物能满足买方需求，如经卖方3次维修或更换，货物仍不能达到合同约定的质量标准，买方有权退货，卖方应全额退回已收的货款，并赔偿买方的实际损失。</w:t>
      </w:r>
    </w:p>
    <w:p w14:paraId="41C5E65F">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）在质保期内，卖方应对货物出现的质量及安全问题负责处理解决，并承担一切费用。</w:t>
      </w:r>
    </w:p>
    <w:p w14:paraId="71EEFEDE">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在合同质量保证期内，如果卖方对质量问题负有责任，当买方提出的索赔时，卖方应将货款退还给买方，并承担由此发生的一切损失和费用，包括利息费、银行手续费、运费、保险费、检验费、仓储费、装卸费以及为保护拒收的产品所需的其他必要费用及诉讼费、评估费、律师费等。</w:t>
      </w:r>
    </w:p>
    <w:p w14:paraId="1182AD21">
      <w:pPr>
        <w:pStyle w:val="35"/>
        <w:keepNext w:val="0"/>
        <w:keepLines w:val="0"/>
        <w:pageBreakBefore w:val="0"/>
        <w:numPr>
          <w:ilvl w:val="0"/>
          <w:numId w:val="0"/>
        </w:numPr>
        <w:kinsoku/>
        <w:wordWrap/>
        <w:overflowPunct/>
        <w:topLinePunct w:val="0"/>
        <w:autoSpaceDE/>
        <w:autoSpaceDN/>
        <w:bidi w:val="0"/>
        <w:adjustRightInd/>
        <w:snapToGrid/>
        <w:spacing w:after="0" w:afterLines="0" w:line="500" w:lineRule="exact"/>
        <w:ind w:left="420" w:leftChars="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13</w:t>
      </w:r>
      <w:r>
        <w:rPr>
          <w:rFonts w:hint="eastAsia" w:ascii="宋体" w:hAnsi="宋体" w:eastAsia="宋体" w:cs="宋体"/>
          <w:b/>
          <w:bCs/>
          <w:color w:val="auto"/>
          <w:sz w:val="21"/>
          <w:szCs w:val="21"/>
          <w:highlight w:val="none"/>
        </w:rPr>
        <w:t>、验收要求：</w:t>
      </w:r>
    </w:p>
    <w:p w14:paraId="54D37CD0">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（1）由买方组织，按国家、行业标准和相关技术规范要求，招标文件规定的技术要求，投标文件响应内容三者之较高的标准开展验收工作。</w:t>
      </w:r>
    </w:p>
    <w:p w14:paraId="70733422">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买方有权组织行业专家或技术权威参与验收工作，开展必要的技术鉴定和论证；对设备的技术性能、产能、环保等方面需进行检测方可确认的，则由招标人委托第三方权威机构开展相关工作。验收过程中发生的检测、鉴定、专家论证（招标人除外）等相关费用均由中标人承担。</w:t>
      </w:r>
    </w:p>
    <w:p w14:paraId="64379411">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（3）验收合格，须签发产品质量合格证明，作为结算货款的依据。</w:t>
      </w:r>
    </w:p>
    <w:p w14:paraId="525AD6E5">
      <w:pPr>
        <w:pStyle w:val="35"/>
        <w:keepNext w:val="0"/>
        <w:keepLines w:val="0"/>
        <w:pageBreakBefore w:val="0"/>
        <w:numPr>
          <w:ilvl w:val="0"/>
          <w:numId w:val="0"/>
        </w:numPr>
        <w:kinsoku/>
        <w:wordWrap/>
        <w:overflowPunct/>
        <w:topLinePunct w:val="0"/>
        <w:autoSpaceDE/>
        <w:autoSpaceDN/>
        <w:bidi w:val="0"/>
        <w:adjustRightInd/>
        <w:snapToGrid/>
        <w:spacing w:after="0" w:afterLines="0" w:line="500" w:lineRule="exact"/>
        <w:ind w:left="420" w:leftChars="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、违约责任</w:t>
      </w:r>
    </w:p>
    <w:p w14:paraId="68BB700C">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（1）卖方必须严格执行国家、行业标准和技术规范要求，提供符合招标需求和实际生产需求的设备、产品以及服务。</w:t>
      </w:r>
    </w:p>
    <w:p w14:paraId="5C275814">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（2）买方在设备生产制造期间有权到制造商企业实地查看、监视制造（如有），以及设备供货到达指定现场的初验工作等，并不是最终的验收，不予抵消卖方的任何质量责任。</w:t>
      </w:r>
    </w:p>
    <w:p w14:paraId="5F81AE9D">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卖方的设备等产品质量无法实质满足买方的实际需求，或虽经过验收但在质保期内发现存在质量缺陷，买方有权解除合同，并要求卖方承担由此造成的损失，损失包括但不限于影响经营的损失、实际发生的损失、预期利益损失、评估费、调查费、诉讼费、律师费等。</w:t>
      </w:r>
    </w:p>
    <w:p w14:paraId="269C758B">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合同签订后，卖方应根据买方的要求，加强对卖方人员的技术培训，以满足买方实际生产需要。卖方的质保、维保、售中售后服务等未到达招标文件及买方要求或者在投标时虽承诺但未兑现（承诺内容的一条及以上），即为卖方违约，买方有权从质保金中收取部分或者全部金额作为违约金，直至解除合同，质保金不足以抵销损失的，卖方应予以足额赔偿。</w:t>
      </w:r>
    </w:p>
    <w:p w14:paraId="412CAB62">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卖方在实施本项目的过程中，必须加强安全教育，认真履行安全生产相关管理要求，做到安全施工、文明施工，安全生产责任到人。卖方对项目实施过程中（含质保期以及更换备品备件）发生的一切人伤物损等自行承担全部责任。</w:t>
      </w:r>
    </w:p>
    <w:p w14:paraId="7C7526CC">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（6）卖方未按照招标文件、投标文件、本合同有关要求履行义务的，即为卖方违约，买方有权从履约保证金中收取部分或者全部金额作为违约金。</w:t>
      </w:r>
    </w:p>
    <w:p w14:paraId="3C927744">
      <w:pPr>
        <w:pStyle w:val="35"/>
        <w:keepNext w:val="0"/>
        <w:keepLines w:val="0"/>
        <w:pageBreakBefore w:val="0"/>
        <w:numPr>
          <w:ilvl w:val="0"/>
          <w:numId w:val="0"/>
        </w:numPr>
        <w:kinsoku/>
        <w:wordWrap/>
        <w:overflowPunct/>
        <w:topLinePunct w:val="0"/>
        <w:autoSpaceDE/>
        <w:autoSpaceDN/>
        <w:bidi w:val="0"/>
        <w:adjustRightInd/>
        <w:snapToGrid/>
        <w:spacing w:after="0" w:afterLines="0" w:line="500" w:lineRule="exact"/>
        <w:ind w:left="420" w:leftChars="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、争议解决</w:t>
      </w:r>
    </w:p>
    <w:p w14:paraId="3A6DDEB0">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合同履行过程中，发生争议，双方协商解决，协商不成，向滁州仲裁委员会申请仲裁。</w:t>
      </w:r>
    </w:p>
    <w:p w14:paraId="38FCA436">
      <w:pPr>
        <w:pStyle w:val="35"/>
        <w:keepNext w:val="0"/>
        <w:keepLines w:val="0"/>
        <w:pageBreakBefore w:val="0"/>
        <w:numPr>
          <w:ilvl w:val="0"/>
          <w:numId w:val="0"/>
        </w:numPr>
        <w:kinsoku/>
        <w:wordWrap/>
        <w:overflowPunct/>
        <w:topLinePunct w:val="0"/>
        <w:autoSpaceDE/>
        <w:autoSpaceDN/>
        <w:bidi w:val="0"/>
        <w:adjustRightInd/>
        <w:snapToGrid/>
        <w:spacing w:after="0" w:afterLines="0" w:line="500" w:lineRule="exact"/>
        <w:ind w:left="420" w:leftChars="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、合同的生效</w:t>
      </w:r>
    </w:p>
    <w:p w14:paraId="2AC4A8F3">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本合同经双方签章后生效。</w:t>
      </w:r>
    </w:p>
    <w:p w14:paraId="621E4E75">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本合同一式 六 份，双方各执 </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 xml:space="preserve"> 份。</w:t>
      </w:r>
    </w:p>
    <w:p w14:paraId="4C310F9D">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买  方：                          卖  方：</w:t>
      </w:r>
    </w:p>
    <w:p w14:paraId="41CFE13A">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称：（盖章）                   名  称：（盖章）</w:t>
      </w:r>
    </w:p>
    <w:p w14:paraId="2DCC5D99">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法定代表人（或委托代理人）：       法定代表人（或委托代理人）：</w:t>
      </w:r>
    </w:p>
    <w:p w14:paraId="055C06BB">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                        （签字）</w:t>
      </w:r>
    </w:p>
    <w:p w14:paraId="01D1BA13">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                        地    址：</w:t>
      </w:r>
    </w:p>
    <w:p w14:paraId="0F2E65BE">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                        邮政编码：</w:t>
      </w:r>
    </w:p>
    <w:p w14:paraId="189F5CB3">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                        电    话：</w:t>
      </w:r>
    </w:p>
    <w:p w14:paraId="4D27BC92">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                        开户银行：</w:t>
      </w:r>
    </w:p>
    <w:p w14:paraId="7CE4516D">
      <w:pPr>
        <w:keepNext w:val="0"/>
        <w:keepLines w:val="0"/>
        <w:pageBreakBefore w:val="0"/>
        <w:kinsoku/>
        <w:wordWrap/>
        <w:overflowPunct/>
        <w:topLinePunct w:val="0"/>
        <w:autoSpaceDE/>
        <w:autoSpaceDN/>
        <w:bidi w:val="0"/>
        <w:adjustRightInd/>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帐    号：                        帐    号：</w:t>
      </w:r>
    </w:p>
    <w:p w14:paraId="0C90A2DF">
      <w:pPr>
        <w:spacing w:before="156" w:beforeLines="50" w:after="156" w:afterLines="50" w:line="440" w:lineRule="exact"/>
        <w:jc w:val="center"/>
        <w:outlineLvl w:val="1"/>
        <w:rPr>
          <w:rFonts w:hint="eastAsia" w:ascii="宋体" w:hAnsi="宋体" w:cs="宋体"/>
          <w:b/>
          <w:color w:val="auto"/>
          <w:sz w:val="30"/>
          <w:szCs w:val="30"/>
          <w:highlight w:val="none"/>
        </w:rPr>
      </w:pPr>
      <w:r>
        <w:rPr>
          <w:rFonts w:hint="eastAsia" w:ascii="宋体" w:hAnsi="宋体" w:cs="宋体"/>
          <w:b/>
          <w:color w:val="auto"/>
          <w:sz w:val="30"/>
          <w:szCs w:val="30"/>
          <w:highlight w:val="none"/>
        </w:rPr>
        <w:br w:type="page"/>
      </w:r>
      <w:r>
        <w:rPr>
          <w:rFonts w:hint="eastAsia" w:ascii="宋体" w:hAnsi="宋体" w:cs="宋体"/>
          <w:b/>
          <w:color w:val="auto"/>
          <w:sz w:val="30"/>
          <w:szCs w:val="30"/>
          <w:highlight w:val="none"/>
        </w:rPr>
        <w:t>二  合同条款</w:t>
      </w:r>
    </w:p>
    <w:p w14:paraId="1B3C131A">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  合同文件</w:t>
      </w:r>
    </w:p>
    <w:p w14:paraId="2B2D0826">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1、合同文件适用法律</w:t>
      </w:r>
    </w:p>
    <w:p w14:paraId="350768D9">
      <w:pPr>
        <w:keepNext w:val="0"/>
        <w:keepLines w:val="0"/>
        <w:pageBreakBefore w:val="0"/>
        <w:widowControl w:val="0"/>
        <w:tabs>
          <w:tab w:val="left" w:pos="660"/>
        </w:tabs>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适用于合同文件的法律是中华人民共和国现行法律、法规及招标人所在地的地方性法规。</w:t>
      </w:r>
    </w:p>
    <w:p w14:paraId="0D4303ED">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2、合同文件组成和解释顺序</w:t>
      </w:r>
    </w:p>
    <w:p w14:paraId="0F167530">
      <w:pPr>
        <w:keepNext w:val="0"/>
        <w:keepLines w:val="0"/>
        <w:pageBreakBefore w:val="0"/>
        <w:widowControl w:val="0"/>
        <w:tabs>
          <w:tab w:val="left" w:pos="660"/>
        </w:tabs>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(1)合同文件的组成和解释顺序如下：</w:t>
      </w:r>
    </w:p>
    <w:p w14:paraId="042778E3">
      <w:pPr>
        <w:keepNext w:val="0"/>
        <w:keepLines w:val="0"/>
        <w:pageBreakBefore w:val="0"/>
        <w:widowControl w:val="0"/>
        <w:tabs>
          <w:tab w:val="left" w:pos="660"/>
        </w:tabs>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&lt;1&gt;合同的主要条款；</w:t>
      </w:r>
    </w:p>
    <w:p w14:paraId="22F3D76B">
      <w:pPr>
        <w:keepNext w:val="0"/>
        <w:keepLines w:val="0"/>
        <w:pageBreakBefore w:val="0"/>
        <w:widowControl w:val="0"/>
        <w:tabs>
          <w:tab w:val="left" w:pos="660"/>
        </w:tabs>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&lt;2&gt;合同的一般性条款；</w:t>
      </w:r>
    </w:p>
    <w:p w14:paraId="5E887FD5">
      <w:pPr>
        <w:keepNext w:val="0"/>
        <w:keepLines w:val="0"/>
        <w:pageBreakBefore w:val="0"/>
        <w:widowControl w:val="0"/>
        <w:tabs>
          <w:tab w:val="left" w:pos="660"/>
        </w:tabs>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&lt;3&gt;洽商、变更等明确双方权利义务的纪要、协议；</w:t>
      </w:r>
    </w:p>
    <w:p w14:paraId="06E6C4E1">
      <w:pPr>
        <w:keepNext w:val="0"/>
        <w:keepLines w:val="0"/>
        <w:pageBreakBefore w:val="0"/>
        <w:widowControl w:val="0"/>
        <w:tabs>
          <w:tab w:val="left" w:pos="660"/>
        </w:tabs>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&lt;4&gt;中标通知书、投标文件和交易文件；</w:t>
      </w:r>
    </w:p>
    <w:p w14:paraId="30C20882">
      <w:pPr>
        <w:keepNext w:val="0"/>
        <w:keepLines w:val="0"/>
        <w:pageBreakBefore w:val="0"/>
        <w:widowControl w:val="0"/>
        <w:tabs>
          <w:tab w:val="left" w:pos="660"/>
        </w:tabs>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&lt;5&gt;有关图纸、标准、规范和其它有关技术资料、技术要求。</w:t>
      </w:r>
    </w:p>
    <w:p w14:paraId="483EE291">
      <w:pPr>
        <w:keepNext w:val="0"/>
        <w:keepLines w:val="0"/>
        <w:pageBreakBefore w:val="0"/>
        <w:widowControl w:val="0"/>
        <w:tabs>
          <w:tab w:val="left" w:pos="660"/>
        </w:tabs>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&lt;6&gt;合同的主要条款的效力优于合同的一般性条款的效力。</w:t>
      </w:r>
    </w:p>
    <w:p w14:paraId="35519D3D">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3、合同文件使用文字</w:t>
      </w:r>
    </w:p>
    <w:p w14:paraId="5350813F">
      <w:pPr>
        <w:keepNext w:val="0"/>
        <w:keepLines w:val="0"/>
        <w:pageBreakBefore w:val="0"/>
        <w:widowControl w:val="0"/>
        <w:tabs>
          <w:tab w:val="left" w:pos="660"/>
        </w:tabs>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(1)合同文件使用中文书写、解释和说明。</w:t>
      </w:r>
    </w:p>
    <w:p w14:paraId="014D5583">
      <w:pPr>
        <w:keepNext w:val="0"/>
        <w:keepLines w:val="0"/>
        <w:pageBreakBefore w:val="0"/>
        <w:widowControl w:val="0"/>
        <w:tabs>
          <w:tab w:val="left" w:pos="660"/>
        </w:tabs>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(2)合同文件使用技术性条款约定的为国家标准和规范；国家没有相应标准、规范时，可使用行业标准、规范。非标货物应按约定的技术性条款的标准和规范。 </w:t>
      </w:r>
    </w:p>
    <w:p w14:paraId="52342AC1">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  标的物的一般条款</w:t>
      </w:r>
    </w:p>
    <w:p w14:paraId="0670E654">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4、完整物权</w:t>
      </w:r>
    </w:p>
    <w:p w14:paraId="641EE6FC">
      <w:pPr>
        <w:keepNext w:val="0"/>
        <w:keepLines w:val="0"/>
        <w:pageBreakBefore w:val="0"/>
        <w:widowControl w:val="0"/>
        <w:tabs>
          <w:tab w:val="left" w:pos="660"/>
        </w:tabs>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出卖的标的物，卖方应当拥有完整物权，并且卖方负有保证第三人不得向买方主张任何权利（包括知识产权）的义务。如果任何第三方提出侵权指控，卖方须与第三方交涉并承担由此发生的一切责任、费用和经济赔偿。</w:t>
      </w:r>
    </w:p>
    <w:p w14:paraId="128C1C1A">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5、质量保证</w:t>
      </w:r>
    </w:p>
    <w:p w14:paraId="234CFC42">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2B7E6E5F">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77D00B4D">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4F3E3870">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6、包装</w:t>
      </w:r>
    </w:p>
    <w:p w14:paraId="55EAC809">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3E47AFE6">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7、伴随服务</w:t>
      </w:r>
    </w:p>
    <w:p w14:paraId="2AEA2FEE">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(1)卖方除应履行按期按量交付合格标的物的义务之外，还应提供下列服务：</w:t>
      </w:r>
    </w:p>
    <w:p w14:paraId="0F4CF32E">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&lt;1&gt;标的物的现场安装或指导安装、启动、调试、监督（如果必须安装、调试的话）；</w:t>
      </w:r>
    </w:p>
    <w:p w14:paraId="23FAED69">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&lt;2&gt;提供标的物组装和一般维修所必须的工具；</w:t>
      </w:r>
    </w:p>
    <w:p w14:paraId="7339F53F">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&lt;3&gt;在合同规定的期限内对所提供标的物实行运行监督、维修服务的前提条件是该服务并不能免除卖方在质量保证期内所承担的义务；</w:t>
      </w:r>
    </w:p>
    <w:p w14:paraId="29019C0B">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&lt;4&gt;对买方技术人员的技术指导或培训。</w:t>
      </w:r>
    </w:p>
    <w:p w14:paraId="3450CDFD">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(2)除合同另有规定之外，伴随服务的费用均已含在合同价款中，买方不再另行进行支付。</w:t>
      </w:r>
    </w:p>
    <w:p w14:paraId="4C93A76F">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  标的物的交付、检验和验收</w:t>
      </w:r>
    </w:p>
    <w:p w14:paraId="713E6A7E">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8、标的物的交付</w:t>
      </w:r>
    </w:p>
    <w:p w14:paraId="30AA9CFC">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(1)标的物的所有权自标的物交付时转移。</w:t>
      </w:r>
    </w:p>
    <w:p w14:paraId="5CA353B2">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(2)卖方应当按照约定的期限和约定的地点交付符合交易文件要求的标的物。</w:t>
      </w:r>
    </w:p>
    <w:p w14:paraId="1335840E">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(3)卖方应当按照约定或者交易习惯向买方交付提取标的物单证以外的有关单证和资料。</w:t>
      </w:r>
    </w:p>
    <w:p w14:paraId="1EDC8AEB">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9、检验和验收</w:t>
      </w:r>
    </w:p>
    <w:p w14:paraId="037A26CE">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21EE5B41">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(2)买方根据合同规定的内容和验收标准进行验收，经检验无误后出具验收合格证明，该证明作为最终付款所需文件的组成部分。</w:t>
      </w:r>
    </w:p>
    <w:p w14:paraId="05A7EB55">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(3)验收期限自标的物交付之日起至验收合格之日止。</w:t>
      </w:r>
    </w:p>
    <w:p w14:paraId="1C05E96C">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 对标的物提出异议的时间和办法</w:t>
      </w:r>
    </w:p>
    <w:p w14:paraId="409DB74F">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10、对标的物提出异议的时间和办法 </w:t>
      </w:r>
    </w:p>
    <w:p w14:paraId="2381C873">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(1)买方在验收过程中，应当于双方约定的检验期间内将标的物的数量或质量不符合约定的情形及处理方式以书面形式通知卖方。</w:t>
      </w:r>
    </w:p>
    <w:p w14:paraId="71C2A9DA">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(2)如买方在验收期满后既不出具验收合格证明又未提出书面异议的视为卖方所交标的物符合合同规定。</w:t>
      </w:r>
    </w:p>
    <w:p w14:paraId="5BA603C9">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(3)卖方应在收到买方书面异议后七天内负责处理问题，否则将视为默认买方提出的异议和处理意见。</w:t>
      </w:r>
    </w:p>
    <w:p w14:paraId="1D7DDCDA">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 合同价款和支付</w:t>
      </w:r>
    </w:p>
    <w:p w14:paraId="497BEC64">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11、合同价款和支付</w:t>
      </w:r>
    </w:p>
    <w:p w14:paraId="2AB1430C">
      <w:pPr>
        <w:pStyle w:val="11"/>
        <w:keepNext w:val="0"/>
        <w:keepLines w:val="0"/>
        <w:pageBreakBefore w:val="0"/>
        <w:widowControl w:val="0"/>
        <w:kinsoku/>
        <w:wordWrap/>
        <w:overflowPunct w:val="0"/>
        <w:topLinePunct w:val="0"/>
        <w:autoSpaceDE/>
        <w:autoSpaceDN/>
        <w:bidi w:val="0"/>
        <w:snapToGrid/>
        <w:spacing w:line="500" w:lineRule="exact"/>
        <w:ind w:firstLine="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(1)本合同的结算货币为人民币，单位元。</w:t>
      </w:r>
    </w:p>
    <w:p w14:paraId="21EDA0D2">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(2)买卖双方应按照签订的合同规定交货验收并完成货款结算：</w:t>
      </w:r>
    </w:p>
    <w:p w14:paraId="422120BC">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(3)买方应按合同主要条款规定的期限和方式付款。</w:t>
      </w:r>
    </w:p>
    <w:p w14:paraId="2317A82C">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(4)根据现行税法对买方征收的与本合同有关的一切税费均由买方承担；根据现行税法对卖方征收的与本合同有关的一切税费均由卖方承担。</w:t>
      </w:r>
    </w:p>
    <w:p w14:paraId="02AEB14B">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 违约责任</w:t>
      </w:r>
    </w:p>
    <w:p w14:paraId="5F1B7DB5">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12、违约责任</w:t>
      </w:r>
    </w:p>
    <w:p w14:paraId="1B66017C">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合同一方不履行合同义务或者履行合同义务不符合约定的，应当承担继续履行、采取补救措施或者赔偿损失等违约责任。</w:t>
      </w:r>
    </w:p>
    <w:p w14:paraId="6734B9D0">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13、买方违约责任</w:t>
      </w:r>
    </w:p>
    <w:p w14:paraId="2C6B14AE">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(1)在合同生效后，买方无正当理由要求退货的，应向卖方偿付合同总价款的5%，作为违约金，违约金不足以补偿损失的，卖方有权要求买方补足。</w:t>
      </w:r>
    </w:p>
    <w:p w14:paraId="3E6F0EAA">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(2)买方逾期付款的，在收到卖方书面催告通知后应按照逾期付款金额的每天万分之四支付逾期付款违约金。</w:t>
      </w:r>
    </w:p>
    <w:p w14:paraId="068B6282">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(3)买方违反合同规定，拒绝接收卖方交付的符合交易文件要求的合格标的物，应当承担卖方由此造成的损失。</w:t>
      </w:r>
    </w:p>
    <w:p w14:paraId="4650063A">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14、卖方违约责任</w:t>
      </w:r>
    </w:p>
    <w:p w14:paraId="49F91047">
      <w:pPr>
        <w:pStyle w:val="11"/>
        <w:keepNext w:val="0"/>
        <w:keepLines w:val="0"/>
        <w:pageBreakBefore w:val="0"/>
        <w:widowControl w:val="0"/>
        <w:kinsoku/>
        <w:wordWrap/>
        <w:overflowPunct w:val="0"/>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(1)卖方不能交货（逾期超过五天视为不能交货），或交货不合格从而影响买方按期正常使用的，应向买方偿付合同总价款5%的违约金，违约金不足以补偿损失的，买方有权要求卖方补足。</w:t>
      </w:r>
    </w:p>
    <w:p w14:paraId="665CA665">
      <w:pPr>
        <w:pStyle w:val="11"/>
        <w:keepNext w:val="0"/>
        <w:keepLines w:val="0"/>
        <w:pageBreakBefore w:val="0"/>
        <w:widowControl w:val="0"/>
        <w:kinsoku/>
        <w:wordWrap/>
        <w:overflowPunct w:val="0"/>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(2)卖方逾期交货的，应在发货前与买方和采购管理部门协商，买方仍需求的，卖方应立即发货并应按照逾期交货部分货款的每天万分之四支付逾期交货违约金，同时承担买方因此遭致的损失费用。</w:t>
      </w:r>
    </w:p>
    <w:p w14:paraId="608E3C97">
      <w:pPr>
        <w:pStyle w:val="11"/>
        <w:keepNext w:val="0"/>
        <w:keepLines w:val="0"/>
        <w:pageBreakBefore w:val="0"/>
        <w:widowControl w:val="0"/>
        <w:kinsoku/>
        <w:wordWrap/>
        <w:overflowPunct w:val="0"/>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（3）卖方未按照合同约定及时有效处理设备故障的，买方有权要求卖方承担由此造成的损失。</w:t>
      </w:r>
    </w:p>
    <w:p w14:paraId="2CE615A5">
      <w:pPr>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15、不可抗力</w:t>
      </w:r>
    </w:p>
    <w:p w14:paraId="6B08A312">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(1)因水灾、火灾、地震、战争等不可抗力不能履行合同的，根据不可抗力的影响，部分或者全部免除责任。但合同一方迟延履行后发生不可抗力的，不能免除责任。</w:t>
      </w:r>
    </w:p>
    <w:p w14:paraId="27F44807">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(2)合同一方因不可抗力不能履行合同的，应当及时通知对方，以减轻可能给对方造成的损失，并应当在合理期限内提供证明。</w:t>
      </w:r>
    </w:p>
    <w:p w14:paraId="38C82399">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 索赔</w:t>
      </w:r>
    </w:p>
    <w:p w14:paraId="24CC4C0B">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16、索赔</w:t>
      </w:r>
    </w:p>
    <w:p w14:paraId="1B02DE78">
      <w:pPr>
        <w:pStyle w:val="11"/>
        <w:keepNext w:val="0"/>
        <w:keepLines w:val="0"/>
        <w:pageBreakBefore w:val="0"/>
        <w:widowControl w:val="0"/>
        <w:kinsoku/>
        <w:wordWrap/>
        <w:overflowPunct w:val="0"/>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(1)买方有权根据当地产品质量检验机构或其它有权威部门出具的检验证书向卖方提出索赔。</w:t>
      </w:r>
    </w:p>
    <w:p w14:paraId="24E223E8">
      <w:pPr>
        <w:pStyle w:val="11"/>
        <w:keepNext w:val="0"/>
        <w:keepLines w:val="0"/>
        <w:pageBreakBefore w:val="0"/>
        <w:widowControl w:val="0"/>
        <w:kinsoku/>
        <w:wordWrap/>
        <w:overflowPunct w:val="0"/>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(2)在本合同规定的检验期和质量保证期内，如果卖方对买方提出的索赔或差异有责任，则卖方应按买方同意的下列一种或多种方式解决索赔事宜：</w:t>
      </w:r>
    </w:p>
    <w:p w14:paraId="005E08B8">
      <w:pPr>
        <w:pStyle w:val="11"/>
        <w:keepNext w:val="0"/>
        <w:keepLines w:val="0"/>
        <w:pageBreakBefore w:val="0"/>
        <w:widowControl w:val="0"/>
        <w:kinsoku/>
        <w:wordWrap/>
        <w:overflowPunct w:val="0"/>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1C87BF82">
      <w:pPr>
        <w:pStyle w:val="11"/>
        <w:keepNext w:val="0"/>
        <w:keepLines w:val="0"/>
        <w:pageBreakBefore w:val="0"/>
        <w:widowControl w:val="0"/>
        <w:kinsoku/>
        <w:wordWrap/>
        <w:overflowPunct w:val="0"/>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&lt;2&gt;根据标的物的低劣程度、损坏程度以及买方遭受损失的数额，经双方协商确定降低标的物的价格；</w:t>
      </w:r>
    </w:p>
    <w:p w14:paraId="5719FA91">
      <w:pPr>
        <w:pStyle w:val="11"/>
        <w:keepNext w:val="0"/>
        <w:keepLines w:val="0"/>
        <w:pageBreakBefore w:val="0"/>
        <w:widowControl w:val="0"/>
        <w:kinsoku/>
        <w:wordWrap/>
        <w:overflowPunct w:val="0"/>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&lt;3&gt;用符合规格、质量和性能要求的新零件、部件或标的物来更换有缺陷的部分或修补缺陷部分，卖方应承担一切费用和风险并负担买方所发生的一切</w:t>
      </w:r>
      <w:r>
        <w:rPr>
          <w:rFonts w:hint="eastAsia" w:ascii="宋体" w:hAnsi="宋体" w:eastAsia="宋体" w:cs="宋体"/>
          <w:color w:val="auto"/>
          <w:sz w:val="21"/>
          <w:szCs w:val="21"/>
          <w:highlight w:val="none"/>
          <w:u w:val="single"/>
        </w:rPr>
        <w:t>费用</w:t>
      </w:r>
      <w:r>
        <w:rPr>
          <w:rFonts w:hint="eastAsia" w:ascii="宋体" w:hAnsi="宋体" w:eastAsia="宋体" w:cs="宋体"/>
          <w:color w:val="auto"/>
          <w:sz w:val="21"/>
          <w:szCs w:val="21"/>
          <w:highlight w:val="none"/>
          <w:u w:val="none" w:color="000000"/>
        </w:rPr>
        <w:t>。同时，卖方应按合同规定，相应延长修补或被更换部件或标的物的质量保证期。</w:t>
      </w:r>
    </w:p>
    <w:p w14:paraId="695C2718">
      <w:pPr>
        <w:pStyle w:val="11"/>
        <w:keepNext w:val="0"/>
        <w:keepLines w:val="0"/>
        <w:pageBreakBefore w:val="0"/>
        <w:widowControl w:val="0"/>
        <w:kinsoku/>
        <w:wordWrap/>
        <w:overflowPunct w:val="0"/>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60CC5370">
      <w:pPr>
        <w:pStyle w:val="11"/>
        <w:keepNext w:val="0"/>
        <w:keepLines w:val="0"/>
        <w:pageBreakBefore w:val="0"/>
        <w:widowControl w:val="0"/>
        <w:kinsoku/>
        <w:wordWrap/>
        <w:overflowPunct w:val="0"/>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(4)买方提出索赔的书面材料应报当地采购管理部门备案。卖方同意的索赔方案应报当地采购管理部门审核。</w:t>
      </w:r>
    </w:p>
    <w:p w14:paraId="18D997B0">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八. 履约保证金</w:t>
      </w:r>
    </w:p>
    <w:p w14:paraId="07A227B2">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17、履约保证金</w:t>
      </w:r>
    </w:p>
    <w:p w14:paraId="1C656759">
      <w:pPr>
        <w:pStyle w:val="11"/>
        <w:keepNext w:val="0"/>
        <w:keepLines w:val="0"/>
        <w:pageBreakBefore w:val="0"/>
        <w:widowControl w:val="0"/>
        <w:kinsoku/>
        <w:wordWrap/>
        <w:overflowPunct w:val="0"/>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(1)卖方应在本合同签订时，按交易文件的约定提供相应的履约保证金，保证金的有效期应不低于合同有效期。</w:t>
      </w:r>
    </w:p>
    <w:p w14:paraId="2BFD990C">
      <w:pPr>
        <w:pStyle w:val="11"/>
        <w:keepNext w:val="0"/>
        <w:keepLines w:val="0"/>
        <w:pageBreakBefore w:val="0"/>
        <w:widowControl w:val="0"/>
        <w:kinsoku/>
        <w:wordWrap/>
        <w:overflowPunct w:val="0"/>
        <w:topLinePunct w:val="0"/>
        <w:autoSpaceDE/>
        <w:autoSpaceDN/>
        <w:bidi w:val="0"/>
        <w:snapToGrid/>
        <w:spacing w:line="500" w:lineRule="exact"/>
        <w:ind w:right="-334" w:rightChars="-159"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(2)如果卖方未能履行合同规定的任何义务，买方有权从履约保证金中取得补偿。</w:t>
      </w:r>
    </w:p>
    <w:p w14:paraId="2A37327A">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九. 合同的解除和转让</w:t>
      </w:r>
    </w:p>
    <w:p w14:paraId="69650E97">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18、合同的解除</w:t>
      </w:r>
    </w:p>
    <w:p w14:paraId="548BFCE5">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(1)买方和卖方协商一致，可以解除合同。</w:t>
      </w:r>
    </w:p>
    <w:p w14:paraId="0AB60C8B">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(2)有下列情形之一，合同一方可以解除合同：</w:t>
      </w:r>
    </w:p>
    <w:p w14:paraId="11A8F722">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&lt;1&gt;因不可抗力致使不能实现合同目的，未受不可抗力影响的一方有权解除合同；</w:t>
      </w:r>
    </w:p>
    <w:p w14:paraId="58B4BD18">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&lt;2&gt;因合同一方违约导致合同不能履行，另一方有权解除合同。</w:t>
      </w:r>
    </w:p>
    <w:p w14:paraId="23D15BC2">
      <w:pPr>
        <w:pStyle w:val="11"/>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(3)有权解除合同的一方，应当在违约事实或不可抗力发生之后三十天内书面通知对方以主张解除合同，合同在书面通知到达对方时解除。</w:t>
      </w:r>
    </w:p>
    <w:p w14:paraId="0DB241BA">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19、合同的转让</w:t>
      </w:r>
    </w:p>
    <w:p w14:paraId="6E39930B">
      <w:pPr>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合同的部分和全部都不得转让。</w:t>
      </w:r>
    </w:p>
    <w:p w14:paraId="11BF2F40">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十. 合同的生效</w:t>
      </w:r>
    </w:p>
    <w:p w14:paraId="6DE0816F">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20、合同的生效</w:t>
      </w:r>
    </w:p>
    <w:p w14:paraId="062678FF">
      <w:pPr>
        <w:keepNext w:val="0"/>
        <w:keepLines w:val="0"/>
        <w:pageBreakBefore w:val="0"/>
        <w:widowControl w:val="0"/>
        <w:kinsoku/>
        <w:wordWrap/>
        <w:topLinePunct w:val="0"/>
        <w:autoSpaceDE/>
        <w:autoSpaceDN/>
        <w:bidi w:val="0"/>
        <w:snapToGrid/>
        <w:spacing w:line="500" w:lineRule="exact"/>
        <w:ind w:firstLine="422" w:firstLineChars="200"/>
        <w:jc w:val="left"/>
        <w:rPr>
          <w:rFonts w:hint="eastAsia" w:ascii="宋体" w:hAnsi="宋体" w:eastAsia="宋体" w:cs="宋体"/>
          <w:b/>
          <w:bCs/>
          <w:color w:val="auto"/>
          <w:sz w:val="21"/>
          <w:szCs w:val="21"/>
          <w:highlight w:val="none"/>
          <w:u w:val="single"/>
        </w:rPr>
      </w:pPr>
      <w:r>
        <w:rPr>
          <w:rFonts w:hint="eastAsia" w:ascii="宋体" w:hAnsi="宋体" w:eastAsia="宋体" w:cs="宋体"/>
          <w:b/>
          <w:bCs/>
          <w:color w:val="auto"/>
          <w:sz w:val="21"/>
          <w:szCs w:val="21"/>
          <w:highlight w:val="none"/>
          <w:u w:val="single"/>
        </w:rPr>
        <w:t>本合同经双方签字盖章后生效。</w:t>
      </w:r>
    </w:p>
    <w:p w14:paraId="39E8ED22">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十一. 争议解决</w:t>
      </w:r>
    </w:p>
    <w:p w14:paraId="50BACCBB">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21、争议解决</w:t>
      </w:r>
    </w:p>
    <w:p w14:paraId="5B1EE4E4">
      <w:pPr>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u w:val="none" w:color="000000"/>
        </w:rPr>
      </w:pPr>
      <w:r>
        <w:rPr>
          <w:rFonts w:hint="eastAsia" w:ascii="宋体" w:hAnsi="宋体" w:eastAsia="宋体" w:cs="宋体"/>
          <w:color w:val="auto"/>
          <w:sz w:val="21"/>
          <w:szCs w:val="21"/>
          <w:highlight w:val="none"/>
          <w:u w:val="none" w:color="000000"/>
        </w:rPr>
        <w:t>买卖双方因合同发生争议，进行调解，协商不成，</w:t>
      </w:r>
      <w:r>
        <w:rPr>
          <w:rFonts w:hint="eastAsia" w:ascii="宋体" w:hAnsi="宋体" w:eastAsia="宋体" w:cs="宋体"/>
          <w:color w:val="auto"/>
          <w:sz w:val="21"/>
          <w:szCs w:val="21"/>
          <w:highlight w:val="none"/>
        </w:rPr>
        <w:t>向滁州仲裁委员会申请仲裁。</w:t>
      </w:r>
    </w:p>
    <w:p w14:paraId="4BBC230D">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十二 .附则</w:t>
      </w:r>
    </w:p>
    <w:p w14:paraId="05EA6E94">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22、合同份数。</w:t>
      </w:r>
    </w:p>
    <w:p w14:paraId="7F4E8207">
      <w:pPr>
        <w:keepNext w:val="0"/>
        <w:keepLines w:val="0"/>
        <w:pageBreakBefore w:val="0"/>
        <w:widowControl w:val="0"/>
        <w:kinsoku/>
        <w:wordWrap/>
        <w:topLinePunct w:val="0"/>
        <w:autoSpaceDE/>
        <w:autoSpaceDN/>
        <w:bidi w:val="0"/>
        <w:snapToGrid/>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本合同一式陆份，买卖双方各执</w:t>
      </w:r>
      <w:r>
        <w:rPr>
          <w:rFonts w:hint="eastAsia" w:ascii="宋体" w:hAnsi="宋体" w:eastAsia="宋体" w:cs="宋体"/>
          <w:color w:val="auto"/>
          <w:sz w:val="21"/>
          <w:szCs w:val="21"/>
          <w:highlight w:val="none"/>
          <w:lang w:val="en-US" w:eastAsia="zh-CN"/>
        </w:rPr>
        <w:t>叁</w:t>
      </w:r>
      <w:r>
        <w:rPr>
          <w:rFonts w:hint="eastAsia" w:ascii="宋体" w:hAnsi="宋体" w:eastAsia="宋体" w:cs="宋体"/>
          <w:color w:val="auto"/>
          <w:sz w:val="21"/>
          <w:szCs w:val="21"/>
          <w:highlight w:val="none"/>
        </w:rPr>
        <w:t>份。</w:t>
      </w:r>
    </w:p>
    <w:p w14:paraId="11695F1F">
      <w:pPr>
        <w:keepNext w:val="0"/>
        <w:keepLines w:val="0"/>
        <w:pageBreakBefore w:val="0"/>
        <w:widowControl w:val="0"/>
        <w:kinsoku/>
        <w:wordWrap/>
        <w:topLinePunct w:val="0"/>
        <w:autoSpaceDE/>
        <w:autoSpaceDN/>
        <w:bidi w:val="0"/>
        <w:snapToGrid/>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23、未尽事宜</w:t>
      </w:r>
    </w:p>
    <w:bookmarkEnd w:id="80"/>
    <w:bookmarkEnd w:id="81"/>
    <w:bookmarkEnd w:id="82"/>
    <w:bookmarkEnd w:id="83"/>
    <w:bookmarkEnd w:id="84"/>
    <w:bookmarkEnd w:id="85"/>
    <w:bookmarkEnd w:id="86"/>
    <w:bookmarkEnd w:id="87"/>
    <w:bookmarkEnd w:id="88"/>
    <w:bookmarkEnd w:id="89"/>
    <w:p w14:paraId="0F82A3E3">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本合同未尽事宜应按《中华人民共和国民法典》、《中华人民共和国产品质量法》之规定解释。</w:t>
      </w:r>
    </w:p>
    <w:p w14:paraId="0DCA925D">
      <w:pPr>
        <w:rPr>
          <w:rFonts w:hint="eastAsia"/>
          <w:color w:val="auto"/>
          <w:highlight w:val="none"/>
        </w:rPr>
      </w:pPr>
    </w:p>
    <w:p w14:paraId="6DAE44CF">
      <w:pPr>
        <w:rPr>
          <w:rFonts w:hint="eastAsia"/>
          <w:color w:val="auto"/>
          <w:highlight w:val="none"/>
        </w:rPr>
      </w:pPr>
    </w:p>
    <w:p w14:paraId="0E7EFEA9">
      <w:pPr>
        <w:rPr>
          <w:rFonts w:hint="eastAsia"/>
          <w:color w:val="auto"/>
          <w:highlight w:val="none"/>
        </w:rPr>
      </w:pPr>
    </w:p>
    <w:p w14:paraId="5CB16908">
      <w:pPr>
        <w:rPr>
          <w:rFonts w:hint="eastAsia"/>
          <w:color w:val="auto"/>
          <w:highlight w:val="none"/>
        </w:rPr>
      </w:pPr>
    </w:p>
    <w:p w14:paraId="1319BD7D">
      <w:pPr>
        <w:rPr>
          <w:rFonts w:hint="eastAsia"/>
          <w:color w:val="auto"/>
          <w:highlight w:val="none"/>
        </w:rPr>
      </w:pPr>
    </w:p>
    <w:p w14:paraId="0E92102D">
      <w:pPr>
        <w:rPr>
          <w:rFonts w:hint="eastAsia"/>
          <w:color w:val="auto"/>
          <w:highlight w:val="none"/>
        </w:rPr>
      </w:pPr>
      <w:bookmarkStart w:id="90" w:name="_Toc8628"/>
      <w:r>
        <w:rPr>
          <w:rFonts w:hint="eastAsia"/>
          <w:color w:val="auto"/>
          <w:highlight w:val="none"/>
        </w:rPr>
        <w:br w:type="page"/>
      </w:r>
    </w:p>
    <w:p w14:paraId="00C4DCE7">
      <w:pPr>
        <w:pStyle w:val="2"/>
        <w:rPr>
          <w:rFonts w:hint="eastAsia"/>
          <w:color w:val="auto"/>
          <w:highlight w:val="none"/>
        </w:rPr>
      </w:pPr>
      <w:r>
        <w:rPr>
          <w:rFonts w:hint="eastAsia"/>
          <w:color w:val="auto"/>
          <w:highlight w:val="none"/>
        </w:rPr>
        <w:t>第六章  投标文件格式</w:t>
      </w:r>
      <w:bookmarkEnd w:id="78"/>
      <w:bookmarkEnd w:id="90"/>
    </w:p>
    <w:p w14:paraId="737428BF">
      <w:pPr>
        <w:jc w:val="center"/>
        <w:rPr>
          <w:rFonts w:hint="eastAsia" w:ascii="宋体" w:hAnsi="宋体"/>
          <w:b/>
          <w:color w:val="auto"/>
          <w:sz w:val="28"/>
          <w:szCs w:val="28"/>
          <w:highlight w:val="none"/>
          <w:bdr w:val="single" w:color="auto" w:sz="4" w:space="0"/>
        </w:rPr>
      </w:pPr>
      <w:r>
        <w:rPr>
          <w:rFonts w:hint="eastAsia" w:ascii="宋体" w:hAnsi="宋体"/>
          <w:b/>
          <w:color w:val="auto"/>
          <w:sz w:val="28"/>
          <w:szCs w:val="28"/>
          <w:highlight w:val="none"/>
        </w:rPr>
        <w:t>一、资信证明格式文件</w:t>
      </w:r>
    </w:p>
    <w:p w14:paraId="05710260">
      <w:pPr>
        <w:jc w:val="center"/>
        <w:rPr>
          <w:rFonts w:hint="eastAsia" w:eastAsia="黑体"/>
          <w:color w:val="auto"/>
          <w:sz w:val="20"/>
          <w:highlight w:val="none"/>
        </w:rPr>
      </w:pPr>
    </w:p>
    <w:p w14:paraId="0837A5E2">
      <w:pPr>
        <w:rPr>
          <w:rFonts w:hint="eastAsia" w:eastAsia="黑体"/>
          <w:color w:val="auto"/>
          <w:sz w:val="20"/>
          <w:highlight w:val="none"/>
        </w:rPr>
      </w:pPr>
    </w:p>
    <w:p w14:paraId="2EA05921">
      <w:pPr>
        <w:jc w:val="center"/>
        <w:rPr>
          <w:rFonts w:hint="eastAsia" w:ascii="宋体"/>
          <w:b/>
          <w:color w:val="auto"/>
          <w:sz w:val="44"/>
          <w:szCs w:val="44"/>
          <w:highlight w:val="none"/>
        </w:rPr>
      </w:pPr>
      <w:bookmarkStart w:id="91" w:name="_Toc350698753"/>
      <w:bookmarkStart w:id="92" w:name="_Toc449028949"/>
      <w:r>
        <w:rPr>
          <w:rFonts w:hint="eastAsia" w:ascii="宋体"/>
          <w:b/>
          <w:color w:val="auto"/>
          <w:sz w:val="44"/>
          <w:szCs w:val="44"/>
          <w:highlight w:val="none"/>
        </w:rPr>
        <w:t>资信证明文件</w:t>
      </w:r>
      <w:bookmarkEnd w:id="91"/>
      <w:bookmarkEnd w:id="92"/>
    </w:p>
    <w:p w14:paraId="32AB1BB5">
      <w:pPr>
        <w:jc w:val="center"/>
        <w:rPr>
          <w:rFonts w:hint="eastAsia" w:ascii="宋体"/>
          <w:color w:val="auto"/>
          <w:sz w:val="32"/>
          <w:szCs w:val="32"/>
          <w:highlight w:val="none"/>
        </w:rPr>
      </w:pPr>
      <w:r>
        <w:rPr>
          <w:rFonts w:hint="eastAsia" w:ascii="宋体"/>
          <w:color w:val="auto"/>
          <w:sz w:val="32"/>
          <w:szCs w:val="32"/>
          <w:highlight w:val="none"/>
        </w:rPr>
        <w:t>（投标文件一）</w:t>
      </w:r>
    </w:p>
    <w:p w14:paraId="4B05EE0E">
      <w:pPr>
        <w:jc w:val="center"/>
        <w:rPr>
          <w:rFonts w:hint="eastAsia" w:eastAsia="黑体"/>
          <w:color w:val="auto"/>
          <w:sz w:val="44"/>
          <w:szCs w:val="44"/>
          <w:highlight w:val="none"/>
        </w:rPr>
      </w:pPr>
    </w:p>
    <w:p w14:paraId="5FDA747B">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5E4C65B1">
      <w:pPr>
        <w:jc w:val="center"/>
        <w:rPr>
          <w:rFonts w:hint="eastAsia" w:ascii="宋体"/>
          <w:color w:val="auto"/>
          <w:sz w:val="44"/>
          <w:szCs w:val="44"/>
          <w:highlight w:val="none"/>
        </w:rPr>
      </w:pPr>
      <w:r>
        <w:rPr>
          <w:rFonts w:hint="eastAsia" w:ascii="宋体"/>
          <w:color w:val="auto"/>
          <w:sz w:val="28"/>
          <w:szCs w:val="28"/>
          <w:highlight w:val="none"/>
        </w:rPr>
        <w:t>项目编号：</w:t>
      </w:r>
      <w:r>
        <w:rPr>
          <w:rFonts w:hint="eastAsia" w:ascii="宋体"/>
          <w:color w:val="auto"/>
          <w:sz w:val="28"/>
          <w:szCs w:val="28"/>
          <w:highlight w:val="none"/>
          <w:u w:val="single"/>
        </w:rPr>
        <w:t xml:space="preserve">     </w:t>
      </w:r>
    </w:p>
    <w:p w14:paraId="68180CF4">
      <w:pPr>
        <w:rPr>
          <w:rFonts w:hint="eastAsia" w:ascii="宋体"/>
          <w:color w:val="auto"/>
          <w:sz w:val="28"/>
          <w:szCs w:val="28"/>
          <w:highlight w:val="none"/>
        </w:rPr>
      </w:pPr>
    </w:p>
    <w:p w14:paraId="5A171237">
      <w:pPr>
        <w:rPr>
          <w:rFonts w:hint="eastAsia" w:ascii="宋体"/>
          <w:color w:val="auto"/>
          <w:sz w:val="28"/>
          <w:szCs w:val="28"/>
          <w:highlight w:val="none"/>
        </w:rPr>
      </w:pPr>
    </w:p>
    <w:p w14:paraId="7AD1794D">
      <w:pPr>
        <w:rPr>
          <w:rFonts w:hint="eastAsia" w:ascii="宋体"/>
          <w:color w:val="auto"/>
          <w:sz w:val="28"/>
          <w:szCs w:val="28"/>
          <w:highlight w:val="none"/>
        </w:rPr>
      </w:pPr>
    </w:p>
    <w:p w14:paraId="759AAFF4">
      <w:pPr>
        <w:rPr>
          <w:rFonts w:hint="eastAsia" w:ascii="宋体"/>
          <w:color w:val="auto"/>
          <w:sz w:val="28"/>
          <w:szCs w:val="28"/>
          <w:highlight w:val="none"/>
        </w:rPr>
      </w:pPr>
    </w:p>
    <w:p w14:paraId="69A4100A">
      <w:pPr>
        <w:rPr>
          <w:rFonts w:hint="eastAsia" w:ascii="宋体"/>
          <w:color w:val="auto"/>
          <w:sz w:val="28"/>
          <w:szCs w:val="28"/>
          <w:highlight w:val="none"/>
        </w:rPr>
      </w:pPr>
    </w:p>
    <w:p w14:paraId="33EA1513">
      <w:pPr>
        <w:rPr>
          <w:rFonts w:hint="eastAsia" w:ascii="宋体"/>
          <w:color w:val="auto"/>
          <w:sz w:val="28"/>
          <w:szCs w:val="28"/>
          <w:highlight w:val="none"/>
        </w:rPr>
      </w:pPr>
    </w:p>
    <w:p w14:paraId="73A2C21F">
      <w:pPr>
        <w:rPr>
          <w:rFonts w:hint="eastAsia" w:ascii="宋体"/>
          <w:color w:val="auto"/>
          <w:sz w:val="28"/>
          <w:szCs w:val="28"/>
          <w:highlight w:val="none"/>
        </w:rPr>
      </w:pPr>
    </w:p>
    <w:p w14:paraId="0BFE5FD4">
      <w:pPr>
        <w:rPr>
          <w:rFonts w:hint="eastAsia" w:ascii="宋体"/>
          <w:color w:val="auto"/>
          <w:sz w:val="28"/>
          <w:szCs w:val="28"/>
          <w:highlight w:val="none"/>
        </w:rPr>
      </w:pPr>
    </w:p>
    <w:p w14:paraId="64BA7197">
      <w:pPr>
        <w:rPr>
          <w:rFonts w:hint="eastAsia" w:ascii="宋体"/>
          <w:color w:val="auto"/>
          <w:sz w:val="28"/>
          <w:szCs w:val="28"/>
          <w:highlight w:val="none"/>
        </w:rPr>
      </w:pPr>
    </w:p>
    <w:p w14:paraId="6CB129A4">
      <w:pPr>
        <w:jc w:val="center"/>
        <w:rPr>
          <w:rFonts w:hint="eastAsia" w:ascii="宋体"/>
          <w:color w:val="auto"/>
          <w:sz w:val="28"/>
          <w:szCs w:val="28"/>
          <w:highlight w:val="none"/>
          <w:u w:val="single"/>
        </w:rPr>
      </w:pP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02E835F8">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（签章）</w:t>
      </w:r>
    </w:p>
    <w:p w14:paraId="66A5727A">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60F0BF72">
      <w:pPr>
        <w:spacing w:line="720" w:lineRule="auto"/>
        <w:jc w:val="center"/>
        <w:rPr>
          <w:rFonts w:hint="eastAsia" w:ascii="宋体"/>
          <w:b/>
          <w:color w:val="auto"/>
          <w:sz w:val="36"/>
          <w:szCs w:val="36"/>
          <w:highlight w:val="none"/>
        </w:rPr>
      </w:pPr>
    </w:p>
    <w:p w14:paraId="23762950">
      <w:pPr>
        <w:spacing w:line="400" w:lineRule="exact"/>
        <w:ind w:firstLine="4130" w:firstLineChars="935"/>
        <w:rPr>
          <w:rFonts w:hint="eastAsia"/>
          <w:b/>
          <w:color w:val="auto"/>
          <w:sz w:val="44"/>
          <w:szCs w:val="44"/>
          <w:highlight w:val="none"/>
        </w:rPr>
      </w:pPr>
    </w:p>
    <w:p w14:paraId="5D62ACF9">
      <w:pPr>
        <w:pStyle w:val="34"/>
        <w:rPr>
          <w:rFonts w:hint="eastAsia"/>
          <w:color w:val="auto"/>
          <w:highlight w:val="none"/>
        </w:rPr>
      </w:pPr>
    </w:p>
    <w:p w14:paraId="7F87588D">
      <w:pPr>
        <w:jc w:val="center"/>
        <w:rPr>
          <w:rFonts w:hint="eastAsia"/>
          <w:b/>
          <w:color w:val="auto"/>
          <w:sz w:val="44"/>
          <w:szCs w:val="44"/>
          <w:highlight w:val="none"/>
        </w:rPr>
      </w:pPr>
      <w:r>
        <w:rPr>
          <w:rFonts w:hint="eastAsia"/>
          <w:b/>
          <w:color w:val="auto"/>
          <w:sz w:val="36"/>
          <w:szCs w:val="36"/>
          <w:highlight w:val="none"/>
        </w:rPr>
        <w:t>目   录</w:t>
      </w:r>
    </w:p>
    <w:p w14:paraId="0CD7F72A">
      <w:pPr>
        <w:spacing w:line="400" w:lineRule="exact"/>
        <w:ind w:firstLine="562" w:firstLineChars="200"/>
        <w:rPr>
          <w:rFonts w:hint="eastAsia"/>
          <w:b/>
          <w:color w:val="auto"/>
          <w:sz w:val="28"/>
          <w:szCs w:val="28"/>
          <w:highlight w:val="none"/>
        </w:rPr>
      </w:pPr>
    </w:p>
    <w:p w14:paraId="61C0F967">
      <w:pPr>
        <w:spacing w:line="440" w:lineRule="exact"/>
        <w:jc w:val="left"/>
        <w:rPr>
          <w:rFonts w:hint="eastAsia" w:ascii="宋体" w:hAnsi="宋体" w:eastAsia="宋体" w:cs="宋体"/>
          <w:bCs/>
          <w:color w:val="auto"/>
          <w:szCs w:val="21"/>
          <w:highlight w:val="none"/>
        </w:rPr>
      </w:pPr>
      <w:r>
        <w:rPr>
          <w:rFonts w:hint="eastAsia" w:ascii="宋体" w:hAnsi="宋体" w:cs="宋体"/>
          <w:bCs/>
          <w:color w:val="auto"/>
          <w:szCs w:val="21"/>
          <w:highlight w:val="none"/>
        </w:rPr>
        <w:t>（1）法定代表人身份证明及其有效身份证（或法定代表人授权委托书及其有效身份证）（格式见附</w:t>
      </w:r>
      <w:r>
        <w:rPr>
          <w:rFonts w:hint="eastAsia" w:ascii="宋体" w:hAnsi="宋体" w:eastAsia="宋体" w:cs="宋体"/>
          <w:bCs/>
          <w:color w:val="auto"/>
          <w:szCs w:val="21"/>
          <w:highlight w:val="none"/>
        </w:rPr>
        <w:t>件）；</w:t>
      </w:r>
    </w:p>
    <w:p w14:paraId="53CBA427">
      <w:pPr>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（2）投标人有效的营业执照（或三合一证书）；</w:t>
      </w:r>
    </w:p>
    <w:p w14:paraId="10C79148">
      <w:pPr>
        <w:spacing w:line="440" w:lineRule="exact"/>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t>
      </w:r>
      <w:r>
        <w:rPr>
          <w:rFonts w:hint="eastAsia" w:ascii="宋体" w:hAnsi="宋体" w:cs="宋体"/>
          <w:bCs/>
          <w:color w:val="auto"/>
          <w:szCs w:val="21"/>
          <w:highlight w:val="none"/>
          <w:lang w:val="en-US" w:eastAsia="zh-CN"/>
        </w:rPr>
        <w:t>3</w:t>
      </w:r>
      <w:r>
        <w:rPr>
          <w:rFonts w:hint="eastAsia" w:ascii="宋体" w:hAnsi="宋体" w:eastAsia="宋体" w:cs="宋体"/>
          <w:bCs/>
          <w:color w:val="auto"/>
          <w:szCs w:val="21"/>
          <w:highlight w:val="none"/>
        </w:rPr>
        <w:t>）</w:t>
      </w:r>
      <w:r>
        <w:rPr>
          <w:rFonts w:hint="eastAsia" w:ascii="宋体" w:hAnsi="宋体" w:cs="宋体"/>
          <w:color w:val="auto"/>
          <w:szCs w:val="21"/>
          <w:highlight w:val="none"/>
        </w:rPr>
        <w:t>诚信投标承诺书</w:t>
      </w:r>
      <w:r>
        <w:rPr>
          <w:rFonts w:hint="eastAsia" w:ascii="宋体" w:hAnsi="宋体" w:cs="宋体"/>
          <w:color w:val="auto"/>
          <w:szCs w:val="21"/>
          <w:highlight w:val="none"/>
          <w:lang w:eastAsia="zh-CN"/>
        </w:rPr>
        <w:t>（</w:t>
      </w:r>
      <w:r>
        <w:rPr>
          <w:rFonts w:hint="eastAsia" w:ascii="宋体" w:hAnsi="宋体" w:cs="宋体"/>
          <w:color w:val="auto"/>
          <w:szCs w:val="21"/>
          <w:highlight w:val="none"/>
        </w:rPr>
        <w:t>格式见附件）</w:t>
      </w:r>
      <w:r>
        <w:rPr>
          <w:rFonts w:hint="eastAsia" w:ascii="宋体" w:hAnsi="宋体" w:cs="宋体"/>
          <w:color w:val="auto"/>
          <w:szCs w:val="21"/>
          <w:highlight w:val="none"/>
          <w:lang w:val="en-US" w:eastAsia="zh-CN"/>
        </w:rPr>
        <w:t>或</w:t>
      </w:r>
      <w:r>
        <w:rPr>
          <w:rFonts w:hint="eastAsia" w:ascii="宋体" w:hAnsi="宋体" w:cs="宋体"/>
          <w:color w:val="auto"/>
          <w:szCs w:val="21"/>
          <w:highlight w:val="none"/>
        </w:rPr>
        <w:t>公共信用信息报告（无违法违规证明版或核查版）</w:t>
      </w:r>
      <w:r>
        <w:rPr>
          <w:rFonts w:hint="eastAsia" w:ascii="宋体" w:hAnsi="宋体" w:eastAsia="宋体" w:cs="宋体"/>
          <w:bCs/>
          <w:color w:val="auto"/>
          <w:szCs w:val="21"/>
          <w:highlight w:val="none"/>
        </w:rPr>
        <w:t>；</w:t>
      </w:r>
    </w:p>
    <w:p w14:paraId="4048F369">
      <w:pPr>
        <w:spacing w:line="440" w:lineRule="exact"/>
        <w:jc w:val="left"/>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lang w:val="en-US" w:eastAsia="zh-CN"/>
        </w:rPr>
        <w:t>招标文件中要求其他支持资料</w:t>
      </w:r>
      <w:r>
        <w:rPr>
          <w:rFonts w:hint="eastAsia" w:ascii="宋体" w:hAnsi="宋体" w:cs="宋体"/>
          <w:bCs/>
          <w:color w:val="auto"/>
          <w:szCs w:val="21"/>
          <w:highlight w:val="none"/>
          <w:lang w:val="en-US" w:eastAsia="zh-CN"/>
        </w:rPr>
        <w:t>；</w:t>
      </w:r>
    </w:p>
    <w:p w14:paraId="11AAD61A">
      <w:pPr>
        <w:spacing w:line="400" w:lineRule="exact"/>
        <w:ind w:firstLine="562" w:firstLineChars="200"/>
        <w:rPr>
          <w:rFonts w:hint="eastAsia"/>
          <w:b/>
          <w:color w:val="auto"/>
          <w:sz w:val="28"/>
          <w:szCs w:val="28"/>
          <w:highlight w:val="none"/>
        </w:rPr>
      </w:pPr>
    </w:p>
    <w:p w14:paraId="79B2AD45">
      <w:pPr>
        <w:spacing w:line="400" w:lineRule="exact"/>
        <w:ind w:firstLine="562" w:firstLineChars="200"/>
        <w:rPr>
          <w:rFonts w:hint="eastAsia"/>
          <w:b/>
          <w:color w:val="auto"/>
          <w:sz w:val="28"/>
          <w:szCs w:val="28"/>
          <w:highlight w:val="none"/>
        </w:rPr>
      </w:pPr>
    </w:p>
    <w:p w14:paraId="5CB44B5D">
      <w:pPr>
        <w:spacing w:line="400" w:lineRule="exact"/>
        <w:ind w:firstLine="562" w:firstLineChars="200"/>
        <w:rPr>
          <w:rFonts w:hint="eastAsia"/>
          <w:b/>
          <w:color w:val="auto"/>
          <w:sz w:val="28"/>
          <w:szCs w:val="28"/>
          <w:highlight w:val="none"/>
        </w:rPr>
      </w:pPr>
    </w:p>
    <w:p w14:paraId="439249E4">
      <w:pPr>
        <w:spacing w:line="400" w:lineRule="exact"/>
        <w:ind w:firstLine="562" w:firstLineChars="200"/>
        <w:rPr>
          <w:rFonts w:hint="eastAsia"/>
          <w:b/>
          <w:color w:val="auto"/>
          <w:sz w:val="28"/>
          <w:szCs w:val="28"/>
          <w:highlight w:val="none"/>
        </w:rPr>
      </w:pPr>
    </w:p>
    <w:p w14:paraId="2A6994DD">
      <w:pPr>
        <w:spacing w:line="400" w:lineRule="exact"/>
        <w:rPr>
          <w:b/>
          <w:color w:val="auto"/>
          <w:sz w:val="28"/>
          <w:szCs w:val="28"/>
          <w:highlight w:val="none"/>
        </w:rPr>
        <w:sectPr>
          <w:headerReference r:id="rId5" w:type="default"/>
          <w:footerReference r:id="rId6" w:type="default"/>
          <w:pgSz w:w="11906" w:h="16838"/>
          <w:pgMar w:top="1440" w:right="1417" w:bottom="1417" w:left="1417"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18F73E8B">
      <w:pPr>
        <w:spacing w:line="360" w:lineRule="auto"/>
        <w:rPr>
          <w:rFonts w:hint="eastAsia"/>
          <w:b/>
          <w:color w:val="auto"/>
          <w:sz w:val="28"/>
          <w:szCs w:val="28"/>
          <w:highlight w:val="none"/>
        </w:rPr>
      </w:pPr>
      <w:r>
        <w:rPr>
          <w:rFonts w:hint="eastAsia"/>
          <w:b/>
          <w:color w:val="auto"/>
          <w:sz w:val="28"/>
          <w:szCs w:val="28"/>
          <w:highlight w:val="none"/>
        </w:rPr>
        <w:t>附件1</w:t>
      </w:r>
    </w:p>
    <w:p w14:paraId="353DB28C">
      <w:pPr>
        <w:spacing w:line="360" w:lineRule="auto"/>
        <w:ind w:left="720"/>
        <w:jc w:val="center"/>
        <w:rPr>
          <w:rFonts w:hint="eastAsia" w:ascii="宋体"/>
          <w:b/>
          <w:color w:val="auto"/>
          <w:sz w:val="28"/>
          <w:szCs w:val="28"/>
          <w:highlight w:val="none"/>
        </w:rPr>
      </w:pPr>
      <w:r>
        <w:rPr>
          <w:rFonts w:hint="eastAsia"/>
          <w:b/>
          <w:color w:val="auto"/>
          <w:sz w:val="28"/>
          <w:szCs w:val="28"/>
          <w:highlight w:val="none"/>
        </w:rPr>
        <w:t>法定代表人身份证明或授权委托书</w:t>
      </w:r>
    </w:p>
    <w:p w14:paraId="56EBAE5B">
      <w:pPr>
        <w:pStyle w:val="105"/>
        <w:spacing w:before="312" w:beforeLines="100" w:after="312" w:afterLines="100" w:line="480" w:lineRule="exact"/>
        <w:ind w:firstLine="180" w:firstLineChars="75"/>
        <w:rPr>
          <w:rFonts w:hint="eastAsia" w:ascii="宋体"/>
          <w:b/>
          <w:color w:val="auto"/>
          <w:sz w:val="24"/>
          <w:szCs w:val="24"/>
          <w:highlight w:val="none"/>
        </w:rPr>
      </w:pPr>
      <w:r>
        <w:rPr>
          <w:rFonts w:hint="eastAsia" w:ascii="宋体"/>
          <w:color w:val="auto"/>
          <w:sz w:val="24"/>
          <w:szCs w:val="24"/>
          <w:highlight w:val="none"/>
        </w:rPr>
        <w:t>1.法定代表人身份证明</w:t>
      </w:r>
    </w:p>
    <w:p w14:paraId="5FF9BA4F">
      <w:pPr>
        <w:spacing w:line="480" w:lineRule="exact"/>
        <w:ind w:firstLine="480" w:firstLineChars="200"/>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3E93C781">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74D05D2C">
      <w:pPr>
        <w:spacing w:line="480" w:lineRule="exact"/>
        <w:ind w:firstLine="480" w:firstLineChars="200"/>
        <w:rPr>
          <w:rFonts w:hint="eastAsia"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173ADC2D">
      <w:pPr>
        <w:spacing w:line="480" w:lineRule="exact"/>
        <w:ind w:firstLine="480" w:firstLineChars="200"/>
        <w:rPr>
          <w:rFonts w:hint="eastAsia"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299DB715">
      <w:pPr>
        <w:spacing w:line="480" w:lineRule="exact"/>
        <w:ind w:firstLine="480" w:firstLineChars="200"/>
        <w:rPr>
          <w:rFonts w:hint="eastAsia"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40010CDB">
      <w:pPr>
        <w:spacing w:line="480" w:lineRule="exact"/>
        <w:ind w:firstLine="1440" w:firstLineChars="200"/>
        <w:rPr>
          <w:rFonts w:hint="eastAsia" w:ascii="宋体"/>
          <w:color w:val="auto"/>
          <w:sz w:val="24"/>
          <w:highlight w:val="none"/>
        </w:rPr>
      </w:pPr>
      <w:r>
        <w:rPr>
          <w:rFonts w:hint="eastAsia" w:ascii="宋体"/>
          <w:color w:val="auto"/>
          <w:spacing w:val="240"/>
          <w:sz w:val="24"/>
          <w:highlight w:val="none"/>
        </w:rPr>
        <w:t>姓</w:t>
      </w:r>
      <w:r>
        <w:rPr>
          <w:rFonts w:hint="eastAsia" w:ascii="宋体"/>
          <w:color w:val="auto"/>
          <w:sz w:val="24"/>
          <w:highlight w:val="none"/>
        </w:rPr>
        <w:t>名：</w:t>
      </w:r>
      <w:r>
        <w:rPr>
          <w:rFonts w:hint="eastAsia"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r>
        <w:rPr>
          <w:rFonts w:hint="eastAsia" w:ascii="宋体"/>
          <w:color w:val="auto"/>
          <w:sz w:val="24"/>
          <w:highlight w:val="none"/>
        </w:rPr>
        <w:t>_</w:t>
      </w:r>
    </w:p>
    <w:p w14:paraId="05758981">
      <w:pPr>
        <w:spacing w:line="480" w:lineRule="exact"/>
        <w:ind w:firstLine="480" w:firstLineChars="200"/>
        <w:rPr>
          <w:rFonts w:hint="eastAsia"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0A7108C4">
      <w:pPr>
        <w:spacing w:line="480" w:lineRule="exact"/>
        <w:ind w:firstLine="960" w:firstLineChars="400"/>
        <w:rPr>
          <w:rFonts w:hint="eastAsia" w:ascii="宋体"/>
          <w:color w:val="auto"/>
          <w:sz w:val="24"/>
          <w:highlight w:val="none"/>
        </w:rPr>
      </w:pPr>
      <w:r>
        <w:rPr>
          <w:rFonts w:hint="eastAsia" w:ascii="宋体"/>
          <w:color w:val="auto"/>
          <w:sz w:val="24"/>
          <w:highlight w:val="none"/>
        </w:rPr>
        <w:t>特此证明。</w:t>
      </w:r>
    </w:p>
    <w:p w14:paraId="1F36E539">
      <w:pPr>
        <w:spacing w:line="360" w:lineRule="auto"/>
        <w:ind w:firstLine="3480" w:firstLineChars="1450"/>
        <w:rPr>
          <w:rFonts w:hint="eastAsia"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（盖单位章）</w:t>
      </w:r>
    </w:p>
    <w:p w14:paraId="171EA1FA">
      <w:pPr>
        <w:wordWrap w:val="0"/>
        <w:spacing w:line="360" w:lineRule="auto"/>
        <w:jc w:val="right"/>
        <w:rPr>
          <w:rFonts w:hint="eastAsia"/>
          <w:color w:val="auto"/>
          <w:highlight w:val="none"/>
        </w:rPr>
      </w:pP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 xml:space="preserve">年 </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 xml:space="preserve">日  </w:t>
      </w:r>
    </w:p>
    <w:p w14:paraId="2206536D">
      <w:pPr>
        <w:spacing w:before="312" w:beforeLines="100" w:after="312" w:afterLines="100" w:line="480" w:lineRule="exact"/>
        <w:ind w:firstLine="3654" w:firstLineChars="1305"/>
        <w:rPr>
          <w:rFonts w:hint="eastAsia" w:ascii="宋体"/>
          <w:color w:val="auto"/>
          <w:sz w:val="28"/>
          <w:szCs w:val="28"/>
          <w:highlight w:val="none"/>
        </w:rPr>
      </w:pPr>
      <w:r>
        <w:rPr>
          <w:rFonts w:hint="eastAsia" w:ascii="宋体"/>
          <w:color w:val="auto"/>
          <w:sz w:val="28"/>
          <w:szCs w:val="28"/>
          <w:highlight w:val="none"/>
        </w:rPr>
        <w:t>2.授权委托书</w:t>
      </w:r>
    </w:p>
    <w:p w14:paraId="337272C4">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”(项目名称、编号）投标文件，全权处理与该项目投标、评审答疑、签订合同以及与合同执行有关的一切事务，其法律后果由我方承担。</w:t>
      </w:r>
    </w:p>
    <w:p w14:paraId="555F9910">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委托期限：                                </w:t>
      </w:r>
    </w:p>
    <w:p w14:paraId="5B5B0421">
      <w:pPr>
        <w:spacing w:line="480" w:lineRule="exact"/>
        <w:ind w:firstLine="480" w:firstLineChars="200"/>
        <w:rPr>
          <w:rFonts w:hint="eastAsia" w:ascii="宋体"/>
          <w:color w:val="auto"/>
          <w:sz w:val="24"/>
          <w:highlight w:val="none"/>
        </w:rPr>
      </w:pPr>
      <w:r>
        <w:rPr>
          <w:rFonts w:hint="eastAsia" w:ascii="宋体"/>
          <w:color w:val="auto"/>
          <w:sz w:val="24"/>
          <w:highlight w:val="none"/>
        </w:rPr>
        <w:t>代理人无转委托权。</w:t>
      </w:r>
    </w:p>
    <w:p w14:paraId="5DE5D80C">
      <w:pPr>
        <w:spacing w:line="480" w:lineRule="exact"/>
        <w:ind w:firstLine="480" w:firstLineChars="200"/>
        <w:rPr>
          <w:rFonts w:hint="eastAsia" w:ascii="宋体"/>
          <w:color w:val="auto"/>
          <w:sz w:val="24"/>
          <w:highlight w:val="none"/>
        </w:rPr>
      </w:pPr>
      <w:r>
        <w:rPr>
          <w:rFonts w:hint="eastAsia" w:ascii="宋体"/>
          <w:color w:val="auto"/>
          <w:sz w:val="24"/>
          <w:highlight w:val="none"/>
        </w:rPr>
        <w:t>附：授权委托人有效身份证及法定代表人有效身份证</w:t>
      </w:r>
    </w:p>
    <w:p w14:paraId="3D82AF49">
      <w:pPr>
        <w:spacing w:line="480" w:lineRule="exact"/>
        <w:rPr>
          <w:rFonts w:hint="eastAsia" w:ascii="宋体"/>
          <w:color w:val="auto"/>
          <w:sz w:val="24"/>
          <w:highlight w:val="none"/>
        </w:rPr>
      </w:pPr>
      <w:r>
        <w:rPr>
          <w:rFonts w:hint="eastAsia" w:ascii="宋体"/>
          <w:color w:val="auto"/>
          <w:sz w:val="24"/>
          <w:highlight w:val="none"/>
        </w:rPr>
        <w:t xml:space="preserve">                                     投标人：             （盖单位章）</w:t>
      </w:r>
    </w:p>
    <w:p w14:paraId="741FBC3B">
      <w:pPr>
        <w:spacing w:line="480" w:lineRule="exact"/>
        <w:jc w:val="right"/>
        <w:rPr>
          <w:rFonts w:hint="eastAsia" w:ascii="宋体"/>
          <w:color w:val="auto"/>
          <w:sz w:val="24"/>
          <w:highlight w:val="none"/>
        </w:rPr>
      </w:pPr>
      <w:r>
        <w:rPr>
          <w:rFonts w:hint="eastAsia" w:ascii="宋体"/>
          <w:color w:val="auto"/>
          <w:sz w:val="24"/>
          <w:highlight w:val="none"/>
        </w:rPr>
        <w:t>法定代表人（身份证号码）：             （签章）</w:t>
      </w:r>
    </w:p>
    <w:p w14:paraId="6DB7FF69">
      <w:pPr>
        <w:spacing w:line="480" w:lineRule="exact"/>
        <w:ind w:firstLine="2820" w:firstLineChars="1175"/>
        <w:rPr>
          <w:rFonts w:hint="eastAsia" w:ascii="宋体"/>
          <w:color w:val="auto"/>
          <w:sz w:val="24"/>
          <w:highlight w:val="none"/>
        </w:rPr>
      </w:pPr>
      <w:r>
        <w:rPr>
          <w:rFonts w:hint="eastAsia" w:ascii="宋体"/>
          <w:color w:val="auto"/>
          <w:sz w:val="24"/>
          <w:highlight w:val="none"/>
        </w:rPr>
        <w:t xml:space="preserve">              年    月    日</w:t>
      </w:r>
    </w:p>
    <w:p w14:paraId="2F308561">
      <w:pPr>
        <w:spacing w:line="360" w:lineRule="exact"/>
        <w:ind w:firstLine="413" w:firstLineChars="147"/>
        <w:rPr>
          <w:rFonts w:hint="eastAsia"/>
          <w:b/>
          <w:color w:val="auto"/>
          <w:sz w:val="28"/>
          <w:szCs w:val="28"/>
          <w:highlight w:val="none"/>
          <w:u w:val="single"/>
        </w:rPr>
      </w:pPr>
    </w:p>
    <w:p w14:paraId="4EC32941">
      <w:pPr>
        <w:spacing w:line="360" w:lineRule="exact"/>
        <w:ind w:firstLine="413" w:firstLineChars="147"/>
        <w:rPr>
          <w:rFonts w:hint="eastAsia"/>
          <w:b/>
          <w:color w:val="auto"/>
          <w:sz w:val="28"/>
          <w:szCs w:val="28"/>
          <w:highlight w:val="none"/>
          <w:u w:val="single"/>
        </w:rPr>
      </w:pPr>
    </w:p>
    <w:p w14:paraId="1A54C203">
      <w:pPr>
        <w:spacing w:line="360" w:lineRule="exact"/>
        <w:ind w:firstLine="443" w:firstLineChars="147"/>
        <w:rPr>
          <w:rFonts w:hint="eastAsia" w:ascii="宋体"/>
          <w:b/>
          <w:color w:val="auto"/>
          <w:sz w:val="30"/>
          <w:szCs w:val="30"/>
          <w:highlight w:val="none"/>
        </w:rPr>
      </w:pPr>
      <w:r>
        <w:rPr>
          <w:rFonts w:hint="eastAsia" w:ascii="宋体"/>
          <w:b/>
          <w:color w:val="auto"/>
          <w:sz w:val="30"/>
          <w:szCs w:val="30"/>
          <w:highlight w:val="none"/>
        </w:rPr>
        <w:t>附件2</w:t>
      </w:r>
    </w:p>
    <w:p w14:paraId="1640B01C">
      <w:pPr>
        <w:spacing w:line="360" w:lineRule="exact"/>
        <w:ind w:firstLine="413" w:firstLineChars="147"/>
        <w:jc w:val="center"/>
        <w:rPr>
          <w:rFonts w:hint="eastAsia"/>
          <w:b/>
          <w:color w:val="auto"/>
          <w:sz w:val="28"/>
          <w:szCs w:val="28"/>
          <w:highlight w:val="none"/>
        </w:rPr>
      </w:pPr>
      <w:bookmarkStart w:id="93" w:name="_Toc440443268"/>
      <w:bookmarkStart w:id="94" w:name="_Toc449028950"/>
      <w:r>
        <w:rPr>
          <w:rFonts w:hint="eastAsia"/>
          <w:b/>
          <w:color w:val="auto"/>
          <w:sz w:val="28"/>
          <w:szCs w:val="28"/>
          <w:highlight w:val="none"/>
        </w:rPr>
        <w:t>（2）诚信投标承诺书</w:t>
      </w:r>
    </w:p>
    <w:p w14:paraId="21F89057">
      <w:pPr>
        <w:adjustRightInd w:val="0"/>
        <w:snapToGrid w:val="0"/>
        <w:spacing w:line="560" w:lineRule="exact"/>
        <w:ind w:left="-420" w:leftChars="-200" w:right="-313" w:rightChars="-149" w:firstLine="420" w:firstLineChars="200"/>
        <w:rPr>
          <w:rFonts w:ascii="宋体" w:hAnsi="宋体"/>
          <w:color w:val="auto"/>
          <w:szCs w:val="21"/>
          <w:highlight w:val="none"/>
        </w:rPr>
      </w:pPr>
      <w:r>
        <w:rPr>
          <w:rFonts w:hint="eastAsia" w:ascii="宋体" w:hAnsi="宋体"/>
          <w:color w:val="auto"/>
          <w:szCs w:val="21"/>
          <w:highlight w:val="none"/>
        </w:rPr>
        <w:t>本人以企业法定代表人的身份郑重承诺：</w:t>
      </w:r>
    </w:p>
    <w:p w14:paraId="308AA8EA">
      <w:pPr>
        <w:keepNext w:val="0"/>
        <w:keepLines w:val="0"/>
        <w:pageBreakBefore w:val="0"/>
        <w:widowControl w:val="0"/>
        <w:kinsoku/>
        <w:wordWrap/>
        <w:overflowPunct/>
        <w:topLinePunct w:val="0"/>
        <w:autoSpaceDE/>
        <w:autoSpaceDN/>
        <w:bidi w:val="0"/>
        <w:adjustRightInd w:val="0"/>
        <w:snapToGrid w:val="0"/>
        <w:spacing w:line="440" w:lineRule="exact"/>
        <w:ind w:left="-420" w:leftChars="-200" w:right="-313" w:rightChars="-149" w:firstLine="420" w:firstLineChars="200"/>
        <w:textAlignment w:val="auto"/>
        <w:rPr>
          <w:rFonts w:ascii="宋体" w:hAnsi="宋体"/>
          <w:color w:val="auto"/>
          <w:szCs w:val="21"/>
          <w:highlight w:val="none"/>
        </w:rPr>
      </w:pPr>
      <w:r>
        <w:rPr>
          <w:rFonts w:hint="eastAsia" w:ascii="宋体" w:hAnsi="宋体"/>
          <w:color w:val="auto"/>
          <w:szCs w:val="21"/>
          <w:highlight w:val="none"/>
        </w:rPr>
        <w:t>一、将遵循公</w:t>
      </w:r>
      <w:bookmarkStart w:id="95" w:name="_Toc506107356"/>
      <w:bookmarkStart w:id="96" w:name="_Toc503196197"/>
      <w:bookmarkStart w:id="97" w:name="_Toc26598"/>
      <w:r>
        <w:rPr>
          <w:rFonts w:hint="eastAsia" w:ascii="宋体" w:hAnsi="宋体"/>
          <w:color w:val="auto"/>
          <w:szCs w:val="21"/>
          <w:highlight w:val="none"/>
        </w:rPr>
        <w:t>开、公正和诚实信用</w:t>
      </w:r>
      <w:bookmarkEnd w:id="95"/>
      <w:bookmarkEnd w:id="96"/>
      <w:r>
        <w:rPr>
          <w:rFonts w:hint="eastAsia" w:ascii="宋体" w:hAnsi="宋体"/>
          <w:color w:val="auto"/>
          <w:szCs w:val="21"/>
          <w:highlight w:val="none"/>
        </w:rPr>
        <w:t>的</w:t>
      </w:r>
      <w:bookmarkEnd w:id="97"/>
      <w:r>
        <w:rPr>
          <w:rFonts w:hint="eastAsia" w:ascii="宋体" w:hAnsi="宋体"/>
          <w:color w:val="auto"/>
          <w:szCs w:val="21"/>
          <w:highlight w:val="none"/>
        </w:rPr>
        <w:t>原则自愿参加</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项目的投标；</w:t>
      </w:r>
    </w:p>
    <w:p w14:paraId="6A2C038D">
      <w:pPr>
        <w:keepNext w:val="0"/>
        <w:keepLines w:val="0"/>
        <w:pageBreakBefore w:val="0"/>
        <w:widowControl w:val="0"/>
        <w:kinsoku/>
        <w:wordWrap/>
        <w:overflowPunct/>
        <w:topLinePunct w:val="0"/>
        <w:autoSpaceDE/>
        <w:autoSpaceDN/>
        <w:bidi w:val="0"/>
        <w:adjustRightInd w:val="0"/>
        <w:snapToGrid w:val="0"/>
        <w:spacing w:line="440" w:lineRule="exact"/>
        <w:ind w:left="-420" w:leftChars="-200" w:right="-313" w:rightChars="-149" w:firstLine="420" w:firstLineChars="200"/>
        <w:textAlignment w:val="auto"/>
        <w:rPr>
          <w:rFonts w:ascii="宋体" w:hAnsi="宋体"/>
          <w:color w:val="auto"/>
          <w:szCs w:val="21"/>
          <w:highlight w:val="none"/>
        </w:rPr>
      </w:pPr>
      <w:r>
        <w:rPr>
          <w:rFonts w:hint="eastAsia" w:ascii="宋体" w:hAnsi="宋体"/>
          <w:color w:val="auto"/>
          <w:szCs w:val="21"/>
          <w:highlight w:val="none"/>
        </w:rPr>
        <w:t>二、所提供的一切材料都是真实、合法的；</w:t>
      </w:r>
    </w:p>
    <w:p w14:paraId="36DAA792">
      <w:pPr>
        <w:keepNext w:val="0"/>
        <w:keepLines w:val="0"/>
        <w:pageBreakBefore w:val="0"/>
        <w:widowControl w:val="0"/>
        <w:kinsoku/>
        <w:wordWrap/>
        <w:overflowPunct/>
        <w:topLinePunct w:val="0"/>
        <w:autoSpaceDE/>
        <w:autoSpaceDN/>
        <w:bidi w:val="0"/>
        <w:adjustRightInd w:val="0"/>
        <w:snapToGrid w:val="0"/>
        <w:spacing w:line="440" w:lineRule="exact"/>
        <w:ind w:left="-420" w:leftChars="-200" w:right="-313" w:rightChars="-149" w:firstLine="420" w:firstLineChars="200"/>
        <w:textAlignment w:val="auto"/>
        <w:rPr>
          <w:rFonts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0C1FBA70">
      <w:pPr>
        <w:keepNext w:val="0"/>
        <w:keepLines w:val="0"/>
        <w:pageBreakBefore w:val="0"/>
        <w:widowControl w:val="0"/>
        <w:kinsoku/>
        <w:wordWrap/>
        <w:overflowPunct/>
        <w:topLinePunct w:val="0"/>
        <w:autoSpaceDE/>
        <w:autoSpaceDN/>
        <w:bidi w:val="0"/>
        <w:adjustRightInd w:val="0"/>
        <w:snapToGrid w:val="0"/>
        <w:spacing w:line="440" w:lineRule="exact"/>
        <w:ind w:left="-420" w:leftChars="-200" w:right="-313" w:rightChars="-149" w:firstLine="420" w:firstLineChars="200"/>
        <w:textAlignment w:val="auto"/>
        <w:rPr>
          <w:rFonts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4232FB72">
      <w:pPr>
        <w:keepNext w:val="0"/>
        <w:keepLines w:val="0"/>
        <w:pageBreakBefore w:val="0"/>
        <w:widowControl w:val="0"/>
        <w:kinsoku/>
        <w:wordWrap/>
        <w:overflowPunct/>
        <w:topLinePunct w:val="0"/>
        <w:autoSpaceDE/>
        <w:autoSpaceDN/>
        <w:bidi w:val="0"/>
        <w:adjustRightInd w:val="0"/>
        <w:snapToGrid w:val="0"/>
        <w:spacing w:line="440" w:lineRule="exact"/>
        <w:ind w:left="-420" w:leftChars="-200" w:right="-313" w:rightChars="-149"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6AB0176E">
      <w:pPr>
        <w:keepNext w:val="0"/>
        <w:keepLines w:val="0"/>
        <w:pageBreakBefore w:val="0"/>
        <w:widowControl w:val="0"/>
        <w:kinsoku/>
        <w:wordWrap/>
        <w:overflowPunct/>
        <w:topLinePunct w:val="0"/>
        <w:autoSpaceDE/>
        <w:autoSpaceDN/>
        <w:bidi w:val="0"/>
        <w:adjustRightInd w:val="0"/>
        <w:snapToGrid w:val="0"/>
        <w:spacing w:line="440" w:lineRule="exact"/>
        <w:ind w:left="-420" w:leftChars="-200" w:right="-313" w:rightChars="-149" w:firstLine="420" w:firstLineChars="200"/>
        <w:textAlignment w:val="auto"/>
        <w:rPr>
          <w:rFonts w:hint="eastAsia" w:eastAsia="宋体"/>
          <w:color w:val="auto"/>
          <w:szCs w:val="21"/>
          <w:highlight w:val="none"/>
          <w:lang w:eastAsia="zh-CN"/>
        </w:rPr>
      </w:pPr>
      <w:r>
        <w:rPr>
          <w:rFonts w:hint="eastAsia" w:ascii="宋体" w:hAnsi="宋体"/>
          <w:color w:val="auto"/>
          <w:szCs w:val="21"/>
          <w:highlight w:val="none"/>
        </w:rPr>
        <w:t>六、</w:t>
      </w:r>
      <w:r>
        <w:rPr>
          <w:rFonts w:hint="eastAsia" w:ascii="宋体" w:hAnsi="宋体"/>
          <w:color w:val="auto"/>
          <w:szCs w:val="21"/>
          <w:highlight w:val="none"/>
          <w:u w:val="none"/>
          <w:lang w:eastAsia="zh-CN"/>
        </w:rPr>
        <w:t>我公司</w:t>
      </w:r>
      <w:r>
        <w:rPr>
          <w:rFonts w:hint="eastAsia" w:ascii="宋体" w:hAnsi="宋体"/>
          <w:color w:val="auto"/>
          <w:szCs w:val="21"/>
          <w:highlight w:val="none"/>
        </w:rPr>
        <w:t>没有下列情形：</w:t>
      </w:r>
      <w:bookmarkStart w:id="98" w:name="OLE_LINK133"/>
      <w:bookmarkStart w:id="99" w:name="OLE_LINK134"/>
      <w:r>
        <w:rPr>
          <w:rFonts w:hint="eastAsia" w:ascii="宋体" w:hAnsi="宋体"/>
          <w:color w:val="auto"/>
          <w:szCs w:val="21"/>
          <w:highlight w:val="none"/>
        </w:rPr>
        <w:t>①被列入“信用中国”网站“失信被执行人”的</w:t>
      </w:r>
      <w:r>
        <w:rPr>
          <w:rFonts w:hint="eastAsia" w:ascii="宋体" w:hAnsi="宋体"/>
          <w:color w:val="auto"/>
          <w:szCs w:val="21"/>
          <w:highlight w:val="none"/>
          <w:lang w:eastAsia="zh-CN"/>
        </w:rPr>
        <w:t>；</w:t>
      </w:r>
      <w:r>
        <w:rPr>
          <w:rFonts w:hint="eastAsia" w:ascii="宋体" w:hAnsi="宋体"/>
          <w:color w:val="auto"/>
          <w:szCs w:val="21"/>
          <w:highlight w:val="none"/>
        </w:rPr>
        <w:t>②被列入“信用中国”网站“重大税收违法失信主体”的；③被列入“信用中国”网站“拖欠农民工工资失信联合惩戒对象名单”的；④被列入“信用中国”网站“</w:t>
      </w:r>
      <w:r>
        <w:rPr>
          <w:rFonts w:hint="eastAsia" w:ascii="Times New Roman" w:hAnsi="Times New Roman"/>
          <w:smallCaps w:val="0"/>
          <w:color w:val="auto"/>
          <w:highlight w:val="none"/>
          <w:lang w:eastAsia="zh-CN"/>
        </w:rPr>
        <w:t>安全生产严重失信主体名单</w:t>
      </w:r>
      <w:r>
        <w:rPr>
          <w:rFonts w:hint="eastAsia" w:ascii="宋体" w:hAnsi="宋体"/>
          <w:color w:val="auto"/>
          <w:szCs w:val="21"/>
          <w:highlight w:val="none"/>
        </w:rPr>
        <w:t>”的；⑤被列入国家企业信用信息公示系统网站“严重违法失信名单”的</w:t>
      </w:r>
      <w:bookmarkEnd w:id="98"/>
      <w:bookmarkEnd w:id="99"/>
      <w:r>
        <w:rPr>
          <w:rFonts w:hint="eastAsia" w:ascii="宋体" w:hAnsi="宋体"/>
          <w:color w:val="auto"/>
          <w:szCs w:val="21"/>
          <w:highlight w:val="none"/>
          <w:lang w:eastAsia="zh-CN"/>
        </w:rPr>
        <w:t>。</w:t>
      </w:r>
    </w:p>
    <w:p w14:paraId="37C54F48">
      <w:pPr>
        <w:keepNext w:val="0"/>
        <w:keepLines w:val="0"/>
        <w:pageBreakBefore w:val="0"/>
        <w:widowControl w:val="0"/>
        <w:kinsoku/>
        <w:wordWrap/>
        <w:overflowPunct/>
        <w:topLinePunct w:val="0"/>
        <w:autoSpaceDE/>
        <w:autoSpaceDN/>
        <w:bidi w:val="0"/>
        <w:adjustRightInd w:val="0"/>
        <w:snapToGrid w:val="0"/>
        <w:spacing w:line="440" w:lineRule="exact"/>
        <w:ind w:left="-420" w:leftChars="-200" w:right="-313" w:rightChars="-149" w:firstLine="420" w:firstLineChars="200"/>
        <w:textAlignment w:val="auto"/>
        <w:rPr>
          <w:rFonts w:ascii="宋体" w:hAnsi="宋体"/>
          <w:color w:val="auto"/>
          <w:szCs w:val="21"/>
          <w:highlight w:val="none"/>
        </w:rPr>
      </w:pPr>
      <w:r>
        <w:rPr>
          <w:rFonts w:hint="eastAsia" w:ascii="宋体" w:hAnsi="宋体"/>
          <w:color w:val="auto"/>
          <w:szCs w:val="21"/>
          <w:highlight w:val="none"/>
          <w:lang w:val="en-US" w:eastAsia="zh-CN"/>
        </w:rPr>
        <w:t>七</w:t>
      </w:r>
      <w:r>
        <w:rPr>
          <w:rFonts w:hint="eastAsia" w:ascii="宋体" w:hAnsi="宋体"/>
          <w:color w:val="auto"/>
          <w:szCs w:val="21"/>
          <w:highlight w:val="none"/>
        </w:rPr>
        <w:t>、严格遵守开标现场纪律，服从监管人员管理；</w:t>
      </w:r>
    </w:p>
    <w:p w14:paraId="687CCE6C">
      <w:pPr>
        <w:keepNext w:val="0"/>
        <w:keepLines w:val="0"/>
        <w:pageBreakBefore w:val="0"/>
        <w:widowControl w:val="0"/>
        <w:kinsoku/>
        <w:wordWrap/>
        <w:overflowPunct/>
        <w:topLinePunct w:val="0"/>
        <w:autoSpaceDE/>
        <w:autoSpaceDN/>
        <w:bidi w:val="0"/>
        <w:adjustRightInd w:val="0"/>
        <w:snapToGrid w:val="0"/>
        <w:spacing w:line="440" w:lineRule="exact"/>
        <w:ind w:left="-420" w:leftChars="-200" w:right="-313" w:rightChars="-149" w:firstLine="420" w:firstLineChars="200"/>
        <w:textAlignment w:val="auto"/>
        <w:rPr>
          <w:rFonts w:ascii="宋体" w:hAnsi="宋体"/>
          <w:color w:val="auto"/>
          <w:szCs w:val="21"/>
          <w:highlight w:val="none"/>
        </w:rPr>
      </w:pPr>
      <w:r>
        <w:rPr>
          <w:rFonts w:hint="eastAsia" w:ascii="宋体" w:hAnsi="宋体"/>
          <w:color w:val="auto"/>
          <w:szCs w:val="21"/>
          <w:highlight w:val="none"/>
          <w:lang w:val="en-US" w:eastAsia="zh-CN"/>
        </w:rPr>
        <w:t>八</w:t>
      </w:r>
      <w:r>
        <w:rPr>
          <w:rFonts w:hint="eastAsia" w:ascii="宋体" w:hAnsi="宋体"/>
          <w:color w:val="auto"/>
          <w:szCs w:val="21"/>
          <w:highlight w:val="none"/>
        </w:rPr>
        <w:t>、保证企业及所属相关人员在本次投标中无行贿等犯罪行为；</w:t>
      </w:r>
    </w:p>
    <w:p w14:paraId="49DCDEDA">
      <w:pPr>
        <w:keepNext w:val="0"/>
        <w:keepLines w:val="0"/>
        <w:pageBreakBefore w:val="0"/>
        <w:widowControl w:val="0"/>
        <w:kinsoku/>
        <w:wordWrap/>
        <w:overflowPunct/>
        <w:topLinePunct w:val="0"/>
        <w:autoSpaceDE/>
        <w:autoSpaceDN/>
        <w:bidi w:val="0"/>
        <w:adjustRightInd w:val="0"/>
        <w:snapToGrid w:val="0"/>
        <w:spacing w:line="440" w:lineRule="exact"/>
        <w:ind w:left="-420" w:leftChars="-200" w:right="-313" w:rightChars="-149"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val="en-US" w:eastAsia="zh-CN"/>
        </w:rPr>
        <w:t>九</w:t>
      </w:r>
      <w:r>
        <w:rPr>
          <w:rFonts w:hint="eastAsia" w:ascii="宋体" w:hAnsi="宋体"/>
          <w:color w:val="auto"/>
          <w:szCs w:val="21"/>
          <w:highlight w:val="none"/>
        </w:rPr>
        <w:t>、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2DC5BA37">
      <w:pPr>
        <w:keepNext w:val="0"/>
        <w:keepLines w:val="0"/>
        <w:pageBreakBefore w:val="0"/>
        <w:widowControl w:val="0"/>
        <w:kinsoku/>
        <w:wordWrap/>
        <w:overflowPunct/>
        <w:topLinePunct w:val="0"/>
        <w:autoSpaceDE/>
        <w:autoSpaceDN/>
        <w:bidi w:val="0"/>
        <w:adjustRightInd w:val="0"/>
        <w:snapToGrid w:val="0"/>
        <w:spacing w:line="440" w:lineRule="exact"/>
        <w:ind w:left="-420" w:leftChars="-200" w:right="-313" w:rightChars="-149"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 以上内容我已仔细阅读，本公司若有违反承诺内容的行为，自愿接受取消投标或者中标资格、中标无效、记入不良行为记录等有关处理，愿意承担法律责任，给招标人造成损失的，承担赔偿责任。</w:t>
      </w:r>
    </w:p>
    <w:p w14:paraId="13BAC04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基本账户：                             </w:t>
      </w:r>
    </w:p>
    <w:p w14:paraId="3C3AF92B">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投标人（签章）：  </w:t>
      </w:r>
      <w:r>
        <w:rPr>
          <w:rFonts w:hint="eastAsia" w:ascii="宋体" w:hAnsi="宋体"/>
          <w:color w:val="auto"/>
          <w:szCs w:val="21"/>
          <w:highlight w:val="none"/>
          <w:u w:val="single"/>
        </w:rPr>
        <w:t xml:space="preserve">        </w:t>
      </w:r>
      <w:r>
        <w:rPr>
          <w:rFonts w:hint="eastAsia" w:ascii="宋体" w:hAnsi="宋体"/>
          <w:color w:val="auto"/>
          <w:szCs w:val="21"/>
          <w:highlight w:val="none"/>
        </w:rPr>
        <w:t>法定代表人（签章）：</w:t>
      </w:r>
      <w:r>
        <w:rPr>
          <w:rFonts w:hint="eastAsia" w:ascii="宋体" w:hAnsi="宋体"/>
          <w:color w:val="auto"/>
          <w:szCs w:val="21"/>
          <w:highlight w:val="none"/>
          <w:u w:val="single"/>
        </w:rPr>
        <w:t xml:space="preserve">                           </w:t>
      </w:r>
    </w:p>
    <w:p w14:paraId="7539B777">
      <w:pPr>
        <w:keepNext w:val="0"/>
        <w:keepLines w:val="0"/>
        <w:pageBreakBefore w:val="0"/>
        <w:widowControl w:val="0"/>
        <w:kinsoku/>
        <w:wordWrap/>
        <w:overflowPunct/>
        <w:topLinePunct w:val="0"/>
        <w:autoSpaceDE/>
        <w:autoSpaceDN/>
        <w:bidi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5DBD016F">
      <w:pPr>
        <w:rPr>
          <w:rFonts w:hint="eastAsia" w:ascii="宋体" w:hAnsi="宋体"/>
          <w:color w:val="auto"/>
          <w:szCs w:val="21"/>
          <w:highlight w:val="none"/>
        </w:rPr>
      </w:pPr>
    </w:p>
    <w:p w14:paraId="07B3E359">
      <w:pPr>
        <w:keepNext w:val="0"/>
        <w:keepLines w:val="0"/>
        <w:pageBreakBefore w:val="0"/>
        <w:widowControl w:val="0"/>
        <w:kinsoku/>
        <w:wordWrap/>
        <w:overflowPunct/>
        <w:topLinePunct w:val="0"/>
        <w:autoSpaceDE/>
        <w:autoSpaceDN/>
        <w:bidi w:val="0"/>
        <w:adjustRightInd/>
        <w:snapToGrid/>
        <w:spacing w:line="280" w:lineRule="exact"/>
        <w:ind w:left="-420" w:leftChars="-200" w:right="-512" w:rightChars="-244" w:firstLine="562" w:firstLineChars="200"/>
        <w:jc w:val="center"/>
        <w:textAlignment w:val="auto"/>
        <w:rPr>
          <w:rFonts w:hint="eastAsia"/>
          <w:b/>
          <w:color w:val="auto"/>
          <w:sz w:val="28"/>
          <w:szCs w:val="28"/>
          <w:highlight w:val="none"/>
        </w:rPr>
      </w:pPr>
      <w:r>
        <w:rPr>
          <w:rFonts w:hint="eastAsia"/>
          <w:b/>
          <w:color w:val="auto"/>
          <w:sz w:val="28"/>
          <w:szCs w:val="28"/>
          <w:highlight w:val="none"/>
          <w:lang w:val="en-US" w:eastAsia="zh-CN"/>
        </w:rPr>
        <w:t>或（2）</w:t>
      </w:r>
      <w:r>
        <w:rPr>
          <w:rFonts w:hint="eastAsia"/>
          <w:b/>
          <w:color w:val="auto"/>
          <w:sz w:val="28"/>
          <w:szCs w:val="28"/>
          <w:highlight w:val="none"/>
        </w:rPr>
        <w:t>公共信用信息报告（无违法违规证明版或核查版）</w:t>
      </w:r>
    </w:p>
    <w:p w14:paraId="72F9F94D">
      <w:pPr>
        <w:pStyle w:val="35"/>
        <w:spacing w:after="0" w:line="560" w:lineRule="exact"/>
        <w:ind w:left="-420" w:leftChars="-200"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符合条件的投标人可在信用中国（安徽）网站（网址</w:t>
      </w:r>
      <w:r>
        <w:rPr>
          <w:rFonts w:hint="eastAsia" w:ascii="宋体" w:hAnsi="宋体" w:eastAsia="宋体" w:cs="Times New Roman"/>
          <w:color w:val="auto"/>
          <w:kern w:val="2"/>
          <w:sz w:val="21"/>
          <w:szCs w:val="21"/>
          <w:highlight w:val="none"/>
          <w:lang w:val="en-US" w:eastAsia="zh-CN" w:bidi="ar-SA"/>
        </w:rPr>
        <w:fldChar w:fldCharType="begin"/>
      </w:r>
      <w:r>
        <w:rPr>
          <w:rFonts w:hint="eastAsia" w:ascii="宋体" w:hAnsi="宋体" w:eastAsia="宋体" w:cs="Times New Roman"/>
          <w:color w:val="auto"/>
          <w:kern w:val="2"/>
          <w:sz w:val="21"/>
          <w:szCs w:val="21"/>
          <w:highlight w:val="none"/>
          <w:lang w:val="en-US" w:eastAsia="zh-CN" w:bidi="ar-SA"/>
        </w:rPr>
        <w:instrText xml:space="preserve"> HYPERLINK "https://credit.ah.gov.cn/xinyongfuwu/index.html" </w:instrText>
      </w:r>
      <w:r>
        <w:rPr>
          <w:rFonts w:hint="eastAsia" w:ascii="宋体" w:hAnsi="宋体" w:eastAsia="宋体" w:cs="Times New Roman"/>
          <w:color w:val="auto"/>
          <w:kern w:val="2"/>
          <w:sz w:val="21"/>
          <w:szCs w:val="21"/>
          <w:highlight w:val="none"/>
          <w:lang w:val="en-US" w:eastAsia="zh-CN" w:bidi="ar-SA"/>
        </w:rPr>
        <w:fldChar w:fldCharType="separate"/>
      </w:r>
      <w:r>
        <w:rPr>
          <w:rFonts w:hint="eastAsia" w:ascii="宋体" w:hAnsi="宋体" w:eastAsia="宋体" w:cs="Times New Roman"/>
          <w:color w:val="auto"/>
          <w:kern w:val="2"/>
          <w:sz w:val="21"/>
          <w:szCs w:val="21"/>
          <w:highlight w:val="none"/>
          <w:lang w:val="en-US" w:eastAsia="zh-CN" w:bidi="ar-SA"/>
        </w:rPr>
        <w:t>https://credit.ah.gov.cn/xinyongfuwu/index.html</w:t>
      </w:r>
      <w:r>
        <w:rPr>
          <w:rFonts w:hint="eastAsia" w:ascii="宋体" w:hAnsi="宋体" w:eastAsia="宋体" w:cs="Times New Roman"/>
          <w:color w:val="auto"/>
          <w:kern w:val="2"/>
          <w:sz w:val="21"/>
          <w:szCs w:val="21"/>
          <w:highlight w:val="none"/>
          <w:lang w:val="en-US" w:eastAsia="zh-CN" w:bidi="ar-SA"/>
        </w:rPr>
        <w:fldChar w:fldCharType="end"/>
      </w:r>
      <w:r>
        <w:rPr>
          <w:rFonts w:hint="eastAsia" w:ascii="宋体" w:hAnsi="宋体" w:eastAsia="宋体" w:cs="Times New Roman"/>
          <w:color w:val="auto"/>
          <w:kern w:val="2"/>
          <w:sz w:val="21"/>
          <w:szCs w:val="21"/>
          <w:highlight w:val="none"/>
          <w:lang w:val="en-US" w:eastAsia="zh-CN" w:bidi="ar-SA"/>
        </w:rPr>
        <w:t>），获取信用报告（无违法违规证明版或核查版）并上传至投标文件中。</w:t>
      </w:r>
    </w:p>
    <w:bookmarkEnd w:id="93"/>
    <w:bookmarkEnd w:id="94"/>
    <w:p w14:paraId="54E7A125">
      <w:pPr>
        <w:jc w:val="center"/>
        <w:rPr>
          <w:rFonts w:hint="eastAsia" w:ascii="宋体" w:hAnsi="宋体"/>
          <w:b/>
          <w:color w:val="auto"/>
          <w:sz w:val="28"/>
          <w:szCs w:val="28"/>
          <w:highlight w:val="none"/>
          <w:bdr w:val="single" w:color="auto" w:sz="4" w:space="0"/>
        </w:rPr>
      </w:pPr>
      <w:r>
        <w:rPr>
          <w:rFonts w:hint="eastAsia" w:ascii="宋体" w:hAnsi="宋体"/>
          <w:b/>
          <w:color w:val="auto"/>
          <w:sz w:val="28"/>
          <w:szCs w:val="28"/>
          <w:highlight w:val="none"/>
        </w:rPr>
        <w:br w:type="page"/>
      </w:r>
      <w:r>
        <w:rPr>
          <w:rFonts w:hint="eastAsia" w:ascii="宋体" w:hAnsi="宋体"/>
          <w:b/>
          <w:color w:val="auto"/>
          <w:sz w:val="28"/>
          <w:szCs w:val="28"/>
          <w:highlight w:val="none"/>
        </w:rPr>
        <w:t>二、技术标格式文件</w:t>
      </w:r>
    </w:p>
    <w:p w14:paraId="2962134C">
      <w:pPr>
        <w:jc w:val="center"/>
        <w:rPr>
          <w:rFonts w:hint="eastAsia" w:ascii="宋体"/>
          <w:b/>
          <w:color w:val="auto"/>
          <w:sz w:val="44"/>
          <w:szCs w:val="44"/>
          <w:highlight w:val="none"/>
        </w:rPr>
      </w:pPr>
      <w:bookmarkStart w:id="100" w:name="_Toc387149626"/>
      <w:bookmarkStart w:id="101" w:name="_Toc449028953"/>
    </w:p>
    <w:p w14:paraId="1AE285DA">
      <w:pPr>
        <w:jc w:val="center"/>
        <w:rPr>
          <w:rFonts w:hint="eastAsia" w:ascii="宋体"/>
          <w:b/>
          <w:color w:val="auto"/>
          <w:sz w:val="44"/>
          <w:szCs w:val="44"/>
          <w:highlight w:val="none"/>
        </w:rPr>
      </w:pPr>
      <w:r>
        <w:rPr>
          <w:rFonts w:hint="eastAsia" w:ascii="宋体"/>
          <w:b/>
          <w:color w:val="auto"/>
          <w:sz w:val="44"/>
          <w:szCs w:val="44"/>
          <w:highlight w:val="none"/>
        </w:rPr>
        <w:t>技术标</w:t>
      </w:r>
      <w:bookmarkEnd w:id="100"/>
      <w:bookmarkEnd w:id="101"/>
    </w:p>
    <w:p w14:paraId="1767E8F5">
      <w:pPr>
        <w:jc w:val="center"/>
        <w:rPr>
          <w:rFonts w:hint="eastAsia" w:ascii="宋体"/>
          <w:color w:val="auto"/>
          <w:sz w:val="32"/>
          <w:szCs w:val="32"/>
          <w:highlight w:val="none"/>
        </w:rPr>
      </w:pPr>
      <w:r>
        <w:rPr>
          <w:rFonts w:hint="eastAsia" w:ascii="宋体"/>
          <w:color w:val="auto"/>
          <w:sz w:val="32"/>
          <w:szCs w:val="32"/>
          <w:highlight w:val="none"/>
        </w:rPr>
        <w:t>（投标文件二）</w:t>
      </w:r>
    </w:p>
    <w:p w14:paraId="182267D9">
      <w:pPr>
        <w:jc w:val="center"/>
        <w:rPr>
          <w:rFonts w:hint="eastAsia" w:eastAsia="黑体"/>
          <w:color w:val="auto"/>
          <w:sz w:val="44"/>
          <w:szCs w:val="44"/>
          <w:highlight w:val="none"/>
        </w:rPr>
      </w:pPr>
    </w:p>
    <w:p w14:paraId="55F1FB11">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3825B50E">
      <w:pPr>
        <w:jc w:val="center"/>
        <w:rPr>
          <w:rFonts w:hint="eastAsia" w:ascii="宋体"/>
          <w:color w:val="auto"/>
          <w:sz w:val="44"/>
          <w:szCs w:val="44"/>
          <w:highlight w:val="none"/>
        </w:rPr>
      </w:pPr>
      <w:r>
        <w:rPr>
          <w:rFonts w:hint="eastAsia" w:ascii="宋体"/>
          <w:color w:val="auto"/>
          <w:sz w:val="28"/>
          <w:szCs w:val="28"/>
          <w:highlight w:val="none"/>
        </w:rPr>
        <w:t>项目编号</w:t>
      </w:r>
      <w:r>
        <w:rPr>
          <w:rFonts w:hint="eastAsia" w:ascii="宋体"/>
          <w:color w:val="auto"/>
          <w:sz w:val="28"/>
          <w:szCs w:val="28"/>
          <w:highlight w:val="none"/>
          <w:u w:val="single"/>
        </w:rPr>
        <w:t xml:space="preserve">      </w:t>
      </w:r>
    </w:p>
    <w:p w14:paraId="53E8195D">
      <w:pPr>
        <w:rPr>
          <w:rFonts w:hint="eastAsia" w:ascii="宋体"/>
          <w:color w:val="auto"/>
          <w:sz w:val="28"/>
          <w:szCs w:val="28"/>
          <w:highlight w:val="none"/>
        </w:rPr>
      </w:pPr>
    </w:p>
    <w:p w14:paraId="03353C46">
      <w:pPr>
        <w:rPr>
          <w:rFonts w:hint="eastAsia" w:ascii="宋体"/>
          <w:color w:val="auto"/>
          <w:sz w:val="28"/>
          <w:szCs w:val="28"/>
          <w:highlight w:val="none"/>
        </w:rPr>
      </w:pPr>
    </w:p>
    <w:p w14:paraId="4232B4CB">
      <w:pPr>
        <w:pStyle w:val="2"/>
        <w:rPr>
          <w:rFonts w:hint="eastAsia" w:ascii="宋体"/>
          <w:color w:val="auto"/>
          <w:sz w:val="28"/>
          <w:szCs w:val="28"/>
          <w:highlight w:val="none"/>
        </w:rPr>
      </w:pPr>
    </w:p>
    <w:p w14:paraId="0F8E47C1">
      <w:pPr>
        <w:rPr>
          <w:rFonts w:hint="eastAsia" w:ascii="宋体"/>
          <w:color w:val="auto"/>
          <w:sz w:val="28"/>
          <w:szCs w:val="28"/>
          <w:highlight w:val="none"/>
        </w:rPr>
      </w:pPr>
    </w:p>
    <w:p w14:paraId="1BABBEF5">
      <w:pPr>
        <w:pStyle w:val="2"/>
        <w:rPr>
          <w:rFonts w:hint="eastAsia" w:ascii="宋体"/>
          <w:color w:val="auto"/>
          <w:sz w:val="28"/>
          <w:szCs w:val="28"/>
          <w:highlight w:val="none"/>
        </w:rPr>
      </w:pPr>
    </w:p>
    <w:p w14:paraId="383D9C5B">
      <w:pPr>
        <w:pStyle w:val="2"/>
        <w:jc w:val="both"/>
        <w:rPr>
          <w:rFonts w:hint="eastAsia"/>
          <w:color w:val="auto"/>
          <w:highlight w:val="none"/>
        </w:rPr>
      </w:pPr>
    </w:p>
    <w:p w14:paraId="107BB088">
      <w:pPr>
        <w:jc w:val="center"/>
        <w:rPr>
          <w:rFonts w:hint="eastAsia" w:ascii="宋体"/>
          <w:color w:val="auto"/>
          <w:sz w:val="28"/>
          <w:szCs w:val="28"/>
          <w:highlight w:val="none"/>
          <w:u w:val="single"/>
        </w:rPr>
      </w:pP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7FA6DF90">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（签章）</w:t>
      </w:r>
    </w:p>
    <w:p w14:paraId="29116903">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53F2F904">
      <w:pPr>
        <w:pStyle w:val="35"/>
        <w:ind w:firstLine="560"/>
        <w:rPr>
          <w:rFonts w:hint="eastAsia" w:eastAsia="宋体"/>
          <w:color w:val="auto"/>
          <w:highlight w:val="none"/>
          <w:lang w:eastAsia="zh-CN"/>
        </w:rPr>
      </w:pPr>
      <w:r>
        <w:rPr>
          <w:rFonts w:hint="eastAsia" w:ascii="宋体"/>
          <w:color w:val="auto"/>
          <w:sz w:val="28"/>
          <w:szCs w:val="28"/>
          <w:highlight w:val="none"/>
        </w:rPr>
        <w:br w:type="page"/>
      </w:r>
    </w:p>
    <w:p w14:paraId="6696F8B0">
      <w:pPr>
        <w:spacing w:line="400" w:lineRule="exact"/>
        <w:jc w:val="both"/>
        <w:rPr>
          <w:rFonts w:hint="eastAsia"/>
          <w:b/>
          <w:color w:val="auto"/>
          <w:sz w:val="36"/>
          <w:szCs w:val="36"/>
          <w:highlight w:val="none"/>
        </w:rPr>
      </w:pPr>
    </w:p>
    <w:p w14:paraId="1B417182">
      <w:pPr>
        <w:spacing w:line="400" w:lineRule="exact"/>
        <w:jc w:val="center"/>
        <w:rPr>
          <w:rFonts w:hint="eastAsia"/>
          <w:b/>
          <w:color w:val="auto"/>
          <w:sz w:val="36"/>
          <w:szCs w:val="36"/>
          <w:highlight w:val="none"/>
        </w:rPr>
      </w:pPr>
      <w:r>
        <w:rPr>
          <w:rFonts w:hint="eastAsia"/>
          <w:b/>
          <w:color w:val="auto"/>
          <w:sz w:val="36"/>
          <w:szCs w:val="36"/>
          <w:highlight w:val="none"/>
        </w:rPr>
        <w:t>目   录</w:t>
      </w:r>
    </w:p>
    <w:p w14:paraId="4404048E">
      <w:pPr>
        <w:spacing w:line="400" w:lineRule="exact"/>
        <w:jc w:val="center"/>
        <w:rPr>
          <w:rFonts w:hint="eastAsia"/>
          <w:b/>
          <w:color w:val="auto"/>
          <w:sz w:val="36"/>
          <w:szCs w:val="36"/>
          <w:highlight w:val="none"/>
        </w:rPr>
      </w:pPr>
    </w:p>
    <w:p w14:paraId="0003BBFB">
      <w:pPr>
        <w:pStyle w:val="14"/>
        <w:rPr>
          <w:rFonts w:hint="default"/>
          <w:color w:val="auto"/>
          <w:highlight w:val="none"/>
          <w:lang w:val="en-US" w:eastAsia="zh-CN"/>
        </w:rPr>
      </w:pPr>
      <w:r>
        <w:rPr>
          <w:rFonts w:hint="default"/>
          <w:color w:val="auto"/>
          <w:highlight w:val="none"/>
          <w:lang w:val="en-US" w:eastAsia="zh-CN"/>
        </w:rPr>
        <w:t>（1）技术偏离表（如有）和货物的详细配置清单（格式见附件）；</w:t>
      </w:r>
    </w:p>
    <w:p w14:paraId="64F6A387">
      <w:pPr>
        <w:pStyle w:val="14"/>
        <w:rPr>
          <w:rFonts w:hint="default"/>
          <w:color w:val="auto"/>
          <w:highlight w:val="none"/>
          <w:lang w:val="en-US" w:eastAsia="zh-CN"/>
        </w:rPr>
      </w:pPr>
      <w:r>
        <w:rPr>
          <w:rFonts w:hint="default"/>
          <w:color w:val="auto"/>
          <w:highlight w:val="none"/>
          <w:lang w:val="en-US" w:eastAsia="zh-CN"/>
        </w:rPr>
        <w:t>（2）服务承诺书（格式见附件）；</w:t>
      </w:r>
    </w:p>
    <w:p w14:paraId="473F2B6E">
      <w:pPr>
        <w:pStyle w:val="14"/>
        <w:rPr>
          <w:rFonts w:hint="default"/>
          <w:color w:val="auto"/>
          <w:highlight w:val="none"/>
          <w:lang w:val="en-US" w:eastAsia="zh-CN"/>
        </w:rPr>
      </w:pPr>
      <w:r>
        <w:rPr>
          <w:rFonts w:hint="default"/>
          <w:color w:val="auto"/>
          <w:highlight w:val="none"/>
          <w:lang w:val="en-US" w:eastAsia="zh-CN"/>
        </w:rPr>
        <w:t>（3）技术实施方案；</w:t>
      </w:r>
    </w:p>
    <w:p w14:paraId="44ABC84E">
      <w:pPr>
        <w:pStyle w:val="14"/>
        <w:rPr>
          <w:rFonts w:hint="default"/>
          <w:color w:val="auto"/>
          <w:highlight w:val="none"/>
          <w:lang w:val="en-US" w:eastAsia="zh-CN"/>
        </w:rPr>
      </w:pPr>
      <w:r>
        <w:rPr>
          <w:rFonts w:hint="default"/>
          <w:color w:val="auto"/>
          <w:highlight w:val="none"/>
          <w:lang w:val="en-US" w:eastAsia="zh-CN"/>
        </w:rPr>
        <w:t>（4）售后服务方案；</w:t>
      </w:r>
    </w:p>
    <w:p w14:paraId="19342634">
      <w:pPr>
        <w:pStyle w:val="14"/>
        <w:rPr>
          <w:rFonts w:hint="default"/>
          <w:color w:val="auto"/>
          <w:highlight w:val="none"/>
          <w:lang w:val="en-US" w:eastAsia="zh-CN"/>
        </w:rPr>
      </w:pPr>
      <w:r>
        <w:rPr>
          <w:rFonts w:hint="default"/>
          <w:color w:val="auto"/>
          <w:highlight w:val="none"/>
          <w:lang w:val="en-US" w:eastAsia="zh-CN"/>
        </w:rPr>
        <w:t>（5）投标人认为需要提供的其他材料。</w:t>
      </w:r>
    </w:p>
    <w:p w14:paraId="387CD4B4">
      <w:pPr>
        <w:spacing w:line="400" w:lineRule="exact"/>
        <w:ind w:firstLine="562" w:firstLineChars="200"/>
        <w:rPr>
          <w:rFonts w:hint="eastAsia"/>
          <w:b/>
          <w:color w:val="auto"/>
          <w:sz w:val="28"/>
          <w:szCs w:val="28"/>
          <w:highlight w:val="none"/>
        </w:rPr>
      </w:pPr>
    </w:p>
    <w:p w14:paraId="12FDEF03">
      <w:pPr>
        <w:spacing w:line="400" w:lineRule="exact"/>
        <w:ind w:firstLine="562" w:firstLineChars="200"/>
        <w:rPr>
          <w:rFonts w:hint="eastAsia"/>
          <w:b/>
          <w:color w:val="auto"/>
          <w:sz w:val="28"/>
          <w:szCs w:val="28"/>
          <w:highlight w:val="none"/>
        </w:rPr>
      </w:pPr>
    </w:p>
    <w:p w14:paraId="75C413CC">
      <w:pPr>
        <w:spacing w:line="400" w:lineRule="exact"/>
        <w:ind w:firstLine="562" w:firstLineChars="200"/>
        <w:rPr>
          <w:rFonts w:hint="eastAsia"/>
          <w:b/>
          <w:color w:val="auto"/>
          <w:sz w:val="28"/>
          <w:szCs w:val="28"/>
          <w:highlight w:val="none"/>
        </w:rPr>
      </w:pPr>
    </w:p>
    <w:p w14:paraId="6E2EA455">
      <w:pPr>
        <w:rPr>
          <w:rFonts w:hint="eastAsia"/>
          <w:b/>
          <w:color w:val="auto"/>
          <w:sz w:val="28"/>
          <w:szCs w:val="28"/>
          <w:highlight w:val="none"/>
        </w:rPr>
      </w:pPr>
      <w:bookmarkStart w:id="102" w:name="_Toc18438"/>
      <w:bookmarkStart w:id="103" w:name="_Toc15134"/>
      <w:r>
        <w:rPr>
          <w:rFonts w:hint="eastAsia"/>
          <w:b/>
          <w:color w:val="auto"/>
          <w:sz w:val="28"/>
          <w:szCs w:val="28"/>
          <w:highlight w:val="none"/>
        </w:rPr>
        <w:br w:type="page"/>
      </w:r>
    </w:p>
    <w:p w14:paraId="15953F07">
      <w:pPr>
        <w:spacing w:line="360" w:lineRule="auto"/>
        <w:rPr>
          <w:rFonts w:hint="eastAsia" w:ascii="Times New Roman" w:hAnsi="Times New Roman" w:eastAsia="宋体" w:cs="Times New Roman"/>
          <w:b/>
          <w:color w:val="auto"/>
          <w:sz w:val="28"/>
          <w:szCs w:val="28"/>
          <w:highlight w:val="none"/>
        </w:rPr>
      </w:pPr>
      <w:r>
        <w:rPr>
          <w:rFonts w:hint="eastAsia" w:ascii="Times New Roman" w:hAnsi="Times New Roman" w:eastAsia="宋体" w:cs="Times New Roman"/>
          <w:b/>
          <w:color w:val="auto"/>
          <w:sz w:val="28"/>
          <w:szCs w:val="28"/>
          <w:highlight w:val="none"/>
        </w:rPr>
        <w:t>附件</w:t>
      </w:r>
      <w:r>
        <w:rPr>
          <w:rFonts w:hint="eastAsia" w:ascii="Times New Roman" w:hAnsi="Times New Roman" w:eastAsia="宋体" w:cs="Times New Roman"/>
          <w:b/>
          <w:color w:val="auto"/>
          <w:sz w:val="28"/>
          <w:szCs w:val="28"/>
          <w:highlight w:val="none"/>
          <w:lang w:val="en-US" w:eastAsia="zh-CN"/>
        </w:rPr>
        <w:t>1</w:t>
      </w:r>
    </w:p>
    <w:p w14:paraId="7DD05632">
      <w:pPr>
        <w:keepNext/>
        <w:keepLines/>
        <w:spacing w:line="360" w:lineRule="auto"/>
        <w:jc w:val="center"/>
        <w:outlineLvl w:val="2"/>
        <w:rPr>
          <w:rFonts w:hint="default" w:eastAsia="宋体"/>
          <w:b/>
          <w:bCs/>
          <w:color w:val="auto"/>
          <w:sz w:val="28"/>
          <w:szCs w:val="28"/>
          <w:highlight w:val="none"/>
          <w:lang w:val="en-US" w:eastAsia="zh-CN"/>
        </w:rPr>
      </w:pPr>
      <w:r>
        <w:rPr>
          <w:b/>
          <w:bCs/>
          <w:color w:val="auto"/>
          <w:sz w:val="28"/>
          <w:szCs w:val="28"/>
          <w:highlight w:val="none"/>
        </w:rPr>
        <w:t>技术偏离表</w:t>
      </w:r>
      <w:r>
        <w:rPr>
          <w:rFonts w:hint="eastAsia"/>
          <w:b/>
          <w:bCs/>
          <w:color w:val="auto"/>
          <w:sz w:val="28"/>
          <w:szCs w:val="28"/>
          <w:highlight w:val="none"/>
          <w:lang w:eastAsia="zh-CN"/>
        </w:rPr>
        <w:t>（</w:t>
      </w:r>
      <w:r>
        <w:rPr>
          <w:rFonts w:hint="eastAsia"/>
          <w:b/>
          <w:bCs/>
          <w:color w:val="auto"/>
          <w:sz w:val="28"/>
          <w:szCs w:val="28"/>
          <w:highlight w:val="none"/>
          <w:lang w:val="en-US" w:eastAsia="zh-CN"/>
        </w:rPr>
        <w:t>如有）</w:t>
      </w:r>
    </w:p>
    <w:tbl>
      <w:tblPr>
        <w:tblStyle w:val="36"/>
        <w:tblW w:w="88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4"/>
        <w:gridCol w:w="1984"/>
        <w:gridCol w:w="2693"/>
        <w:gridCol w:w="3043"/>
      </w:tblGrid>
      <w:tr w14:paraId="3778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4" w:type="dxa"/>
            <w:noWrap w:val="0"/>
            <w:vAlign w:val="center"/>
          </w:tcPr>
          <w:p w14:paraId="24670E33">
            <w:pPr>
              <w:widowControl/>
              <w:jc w:val="center"/>
              <w:rPr>
                <w:rFonts w:cs="Calibri"/>
                <w:b/>
                <w:bCs w:val="0"/>
                <w:color w:val="auto"/>
                <w:highlight w:val="none"/>
              </w:rPr>
            </w:pPr>
            <w:r>
              <w:rPr>
                <w:rFonts w:cs="Calibri"/>
                <w:b/>
                <w:bCs w:val="0"/>
                <w:color w:val="auto"/>
                <w:highlight w:val="none"/>
              </w:rPr>
              <w:t>序号</w:t>
            </w:r>
          </w:p>
        </w:tc>
        <w:tc>
          <w:tcPr>
            <w:tcW w:w="1984" w:type="dxa"/>
            <w:noWrap w:val="0"/>
            <w:vAlign w:val="center"/>
          </w:tcPr>
          <w:p w14:paraId="4C84BA00">
            <w:pPr>
              <w:widowControl/>
              <w:jc w:val="center"/>
              <w:rPr>
                <w:rFonts w:cs="Calibri"/>
                <w:b/>
                <w:bCs w:val="0"/>
                <w:color w:val="auto"/>
                <w:highlight w:val="none"/>
              </w:rPr>
            </w:pPr>
            <w:r>
              <w:rPr>
                <w:rFonts w:hint="eastAsia" w:cs="Calibri"/>
                <w:b/>
                <w:bCs w:val="0"/>
                <w:color w:val="auto"/>
                <w:highlight w:val="none"/>
              </w:rPr>
              <w:t>系统</w:t>
            </w:r>
            <w:r>
              <w:rPr>
                <w:rFonts w:hint="eastAsia" w:cs="Calibri"/>
                <w:b/>
                <w:bCs w:val="0"/>
                <w:color w:val="auto"/>
                <w:highlight w:val="none"/>
                <w:lang w:val="en-US" w:eastAsia="zh-CN"/>
              </w:rPr>
              <w:t>设备</w:t>
            </w:r>
            <w:r>
              <w:rPr>
                <w:rFonts w:hint="eastAsia" w:cs="Calibri"/>
                <w:b/>
                <w:bCs w:val="0"/>
                <w:color w:val="auto"/>
                <w:highlight w:val="none"/>
              </w:rPr>
              <w:t>名称</w:t>
            </w:r>
          </w:p>
        </w:tc>
        <w:tc>
          <w:tcPr>
            <w:tcW w:w="2693" w:type="dxa"/>
            <w:noWrap w:val="0"/>
            <w:vAlign w:val="center"/>
          </w:tcPr>
          <w:p w14:paraId="52FF9C8D">
            <w:pPr>
              <w:widowControl/>
              <w:jc w:val="center"/>
              <w:rPr>
                <w:rFonts w:cs="Calibri"/>
                <w:b/>
                <w:bCs w:val="0"/>
                <w:color w:val="auto"/>
                <w:highlight w:val="none"/>
              </w:rPr>
            </w:pPr>
            <w:r>
              <w:rPr>
                <w:rFonts w:hint="eastAsia" w:cs="Calibri"/>
                <w:b/>
                <w:bCs w:val="0"/>
                <w:color w:val="auto"/>
                <w:highlight w:val="none"/>
                <w:lang w:val="en-US" w:eastAsia="zh-CN"/>
              </w:rPr>
              <w:t>招标文件</w:t>
            </w:r>
            <w:r>
              <w:rPr>
                <w:rFonts w:cs="Calibri"/>
                <w:b/>
                <w:bCs w:val="0"/>
                <w:color w:val="auto"/>
                <w:highlight w:val="none"/>
              </w:rPr>
              <w:t>要求</w:t>
            </w:r>
          </w:p>
        </w:tc>
        <w:tc>
          <w:tcPr>
            <w:tcW w:w="3043" w:type="dxa"/>
            <w:noWrap w:val="0"/>
            <w:vAlign w:val="center"/>
          </w:tcPr>
          <w:p w14:paraId="34BA56D2">
            <w:pPr>
              <w:widowControl/>
              <w:jc w:val="center"/>
              <w:rPr>
                <w:rFonts w:cs="Calibri"/>
                <w:b/>
                <w:bCs w:val="0"/>
                <w:color w:val="auto"/>
                <w:highlight w:val="none"/>
              </w:rPr>
            </w:pPr>
            <w:r>
              <w:rPr>
                <w:rFonts w:cs="Calibri"/>
                <w:b/>
                <w:bCs w:val="0"/>
                <w:color w:val="auto"/>
                <w:highlight w:val="none"/>
              </w:rPr>
              <w:t>技术偏离说明</w:t>
            </w:r>
          </w:p>
        </w:tc>
      </w:tr>
      <w:tr w14:paraId="4061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4" w:type="dxa"/>
            <w:noWrap w:val="0"/>
            <w:vAlign w:val="center"/>
          </w:tcPr>
          <w:p w14:paraId="0C073A53">
            <w:pPr>
              <w:widowControl/>
              <w:jc w:val="left"/>
              <w:rPr>
                <w:rFonts w:cs="Calibri"/>
                <w:bCs/>
                <w:color w:val="auto"/>
                <w:highlight w:val="none"/>
              </w:rPr>
            </w:pPr>
            <w:r>
              <w:rPr>
                <w:rFonts w:cs="Calibri"/>
                <w:bCs/>
                <w:color w:val="auto"/>
                <w:highlight w:val="none"/>
              </w:rPr>
              <w:t>1</w:t>
            </w:r>
          </w:p>
        </w:tc>
        <w:tc>
          <w:tcPr>
            <w:tcW w:w="1984" w:type="dxa"/>
            <w:noWrap w:val="0"/>
            <w:vAlign w:val="center"/>
          </w:tcPr>
          <w:p w14:paraId="181DA5D5">
            <w:pPr>
              <w:widowControl/>
              <w:rPr>
                <w:rFonts w:cs="Calibri"/>
                <w:bCs/>
                <w:color w:val="auto"/>
                <w:highlight w:val="none"/>
              </w:rPr>
            </w:pPr>
          </w:p>
        </w:tc>
        <w:tc>
          <w:tcPr>
            <w:tcW w:w="2693" w:type="dxa"/>
            <w:noWrap w:val="0"/>
            <w:vAlign w:val="center"/>
          </w:tcPr>
          <w:p w14:paraId="20B9550C">
            <w:pPr>
              <w:widowControl/>
              <w:jc w:val="left"/>
              <w:rPr>
                <w:rFonts w:cs="Calibri"/>
                <w:bCs/>
                <w:color w:val="auto"/>
                <w:highlight w:val="none"/>
              </w:rPr>
            </w:pPr>
          </w:p>
        </w:tc>
        <w:tc>
          <w:tcPr>
            <w:tcW w:w="3043" w:type="dxa"/>
            <w:noWrap w:val="0"/>
            <w:vAlign w:val="center"/>
          </w:tcPr>
          <w:p w14:paraId="15A75719">
            <w:pPr>
              <w:widowControl/>
              <w:jc w:val="left"/>
              <w:rPr>
                <w:rFonts w:cs="Calibri"/>
                <w:bCs/>
                <w:color w:val="auto"/>
                <w:highlight w:val="none"/>
              </w:rPr>
            </w:pPr>
          </w:p>
        </w:tc>
      </w:tr>
      <w:tr w14:paraId="5DB3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4" w:type="dxa"/>
            <w:noWrap w:val="0"/>
            <w:vAlign w:val="center"/>
          </w:tcPr>
          <w:p w14:paraId="33D98A11">
            <w:pPr>
              <w:widowControl/>
              <w:jc w:val="left"/>
              <w:rPr>
                <w:rFonts w:cs="Calibri"/>
                <w:bCs/>
                <w:color w:val="auto"/>
                <w:highlight w:val="none"/>
              </w:rPr>
            </w:pPr>
            <w:r>
              <w:rPr>
                <w:rFonts w:cs="Calibri"/>
                <w:bCs/>
                <w:color w:val="auto"/>
                <w:highlight w:val="none"/>
              </w:rPr>
              <w:t>2</w:t>
            </w:r>
          </w:p>
        </w:tc>
        <w:tc>
          <w:tcPr>
            <w:tcW w:w="1984" w:type="dxa"/>
            <w:noWrap w:val="0"/>
            <w:vAlign w:val="center"/>
          </w:tcPr>
          <w:p w14:paraId="156296A7">
            <w:pPr>
              <w:widowControl/>
              <w:rPr>
                <w:rFonts w:cs="Calibri"/>
                <w:bCs/>
                <w:color w:val="auto"/>
                <w:highlight w:val="none"/>
              </w:rPr>
            </w:pPr>
          </w:p>
        </w:tc>
        <w:tc>
          <w:tcPr>
            <w:tcW w:w="2693" w:type="dxa"/>
            <w:noWrap w:val="0"/>
            <w:vAlign w:val="center"/>
          </w:tcPr>
          <w:p w14:paraId="73AF108E">
            <w:pPr>
              <w:widowControl/>
              <w:jc w:val="left"/>
              <w:rPr>
                <w:rFonts w:cs="Calibri"/>
                <w:bCs/>
                <w:color w:val="auto"/>
                <w:highlight w:val="none"/>
              </w:rPr>
            </w:pPr>
          </w:p>
        </w:tc>
        <w:tc>
          <w:tcPr>
            <w:tcW w:w="3043" w:type="dxa"/>
            <w:noWrap w:val="0"/>
            <w:vAlign w:val="center"/>
          </w:tcPr>
          <w:p w14:paraId="559E552A">
            <w:pPr>
              <w:widowControl/>
              <w:jc w:val="left"/>
              <w:rPr>
                <w:rFonts w:cs="Calibri"/>
                <w:bCs/>
                <w:color w:val="auto"/>
                <w:highlight w:val="none"/>
              </w:rPr>
            </w:pPr>
          </w:p>
        </w:tc>
      </w:tr>
      <w:tr w14:paraId="4FD6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4" w:type="dxa"/>
            <w:noWrap w:val="0"/>
            <w:vAlign w:val="center"/>
          </w:tcPr>
          <w:p w14:paraId="17CFC4D9">
            <w:pPr>
              <w:widowControl/>
              <w:jc w:val="left"/>
              <w:rPr>
                <w:rFonts w:cs="Calibri"/>
                <w:bCs/>
                <w:color w:val="auto"/>
                <w:highlight w:val="none"/>
              </w:rPr>
            </w:pPr>
            <w:r>
              <w:rPr>
                <w:rFonts w:cs="Calibri"/>
                <w:bCs/>
                <w:color w:val="auto"/>
                <w:highlight w:val="none"/>
              </w:rPr>
              <w:t>3</w:t>
            </w:r>
          </w:p>
        </w:tc>
        <w:tc>
          <w:tcPr>
            <w:tcW w:w="1984" w:type="dxa"/>
            <w:noWrap w:val="0"/>
            <w:vAlign w:val="center"/>
          </w:tcPr>
          <w:p w14:paraId="11601F1D">
            <w:pPr>
              <w:widowControl/>
              <w:rPr>
                <w:rFonts w:cs="Calibri"/>
                <w:bCs/>
                <w:color w:val="auto"/>
                <w:highlight w:val="none"/>
              </w:rPr>
            </w:pPr>
          </w:p>
        </w:tc>
        <w:tc>
          <w:tcPr>
            <w:tcW w:w="2693" w:type="dxa"/>
            <w:noWrap w:val="0"/>
            <w:vAlign w:val="center"/>
          </w:tcPr>
          <w:p w14:paraId="6522829A">
            <w:pPr>
              <w:widowControl/>
              <w:jc w:val="left"/>
              <w:rPr>
                <w:rFonts w:cs="Calibri"/>
                <w:bCs/>
                <w:color w:val="auto"/>
                <w:highlight w:val="none"/>
              </w:rPr>
            </w:pPr>
          </w:p>
        </w:tc>
        <w:tc>
          <w:tcPr>
            <w:tcW w:w="3043" w:type="dxa"/>
            <w:noWrap w:val="0"/>
            <w:vAlign w:val="center"/>
          </w:tcPr>
          <w:p w14:paraId="63445D43">
            <w:pPr>
              <w:widowControl/>
              <w:jc w:val="left"/>
              <w:rPr>
                <w:rFonts w:cs="Calibri"/>
                <w:bCs/>
                <w:color w:val="auto"/>
                <w:highlight w:val="none"/>
              </w:rPr>
            </w:pPr>
          </w:p>
        </w:tc>
      </w:tr>
      <w:tr w14:paraId="296C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94" w:type="dxa"/>
            <w:noWrap w:val="0"/>
            <w:vAlign w:val="center"/>
          </w:tcPr>
          <w:p w14:paraId="11618F42">
            <w:pPr>
              <w:widowControl/>
              <w:jc w:val="left"/>
              <w:rPr>
                <w:rFonts w:hint="default" w:eastAsia="宋体" w:cs="Calibri"/>
                <w:bCs/>
                <w:color w:val="auto"/>
                <w:highlight w:val="none"/>
                <w:lang w:val="en-US" w:eastAsia="zh-CN"/>
              </w:rPr>
            </w:pPr>
            <w:r>
              <w:rPr>
                <w:rFonts w:hint="eastAsia" w:cs="Calibri"/>
                <w:bCs/>
                <w:color w:val="auto"/>
                <w:highlight w:val="none"/>
                <w:lang w:val="en-US" w:eastAsia="zh-CN"/>
              </w:rPr>
              <w:t>.......</w:t>
            </w:r>
          </w:p>
        </w:tc>
        <w:tc>
          <w:tcPr>
            <w:tcW w:w="1984" w:type="dxa"/>
            <w:noWrap w:val="0"/>
            <w:vAlign w:val="center"/>
          </w:tcPr>
          <w:p w14:paraId="0CF1959C">
            <w:pPr>
              <w:widowControl/>
              <w:rPr>
                <w:rFonts w:cs="Calibri"/>
                <w:bCs/>
                <w:color w:val="auto"/>
                <w:highlight w:val="none"/>
              </w:rPr>
            </w:pPr>
          </w:p>
        </w:tc>
        <w:tc>
          <w:tcPr>
            <w:tcW w:w="2693" w:type="dxa"/>
            <w:noWrap w:val="0"/>
            <w:vAlign w:val="center"/>
          </w:tcPr>
          <w:p w14:paraId="0D705F03">
            <w:pPr>
              <w:widowControl/>
              <w:jc w:val="left"/>
              <w:rPr>
                <w:rFonts w:cs="Calibri"/>
                <w:bCs/>
                <w:color w:val="auto"/>
                <w:highlight w:val="none"/>
              </w:rPr>
            </w:pPr>
          </w:p>
        </w:tc>
        <w:tc>
          <w:tcPr>
            <w:tcW w:w="3043" w:type="dxa"/>
            <w:noWrap w:val="0"/>
            <w:vAlign w:val="center"/>
          </w:tcPr>
          <w:p w14:paraId="1A1819B3">
            <w:pPr>
              <w:widowControl/>
              <w:jc w:val="left"/>
              <w:rPr>
                <w:rFonts w:cs="Calibri"/>
                <w:bCs/>
                <w:color w:val="auto"/>
                <w:highlight w:val="none"/>
              </w:rPr>
            </w:pPr>
          </w:p>
        </w:tc>
      </w:tr>
    </w:tbl>
    <w:p w14:paraId="1F2D2DE0">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Times New Roman" w:hAnsi="Times New Roman" w:eastAsia="宋体" w:cs="Calibri"/>
          <w:bCs/>
          <w:color w:val="auto"/>
          <w:highlight w:val="none"/>
          <w:lang w:val="en-US" w:eastAsia="zh-CN"/>
        </w:rPr>
      </w:pPr>
      <w:r>
        <w:rPr>
          <w:rFonts w:hint="eastAsia" w:ascii="Times New Roman" w:hAnsi="Times New Roman" w:eastAsia="宋体" w:cs="Calibri"/>
          <w:bCs/>
          <w:color w:val="auto"/>
          <w:highlight w:val="none"/>
          <w:lang w:val="en-US" w:eastAsia="zh-CN"/>
        </w:rPr>
        <w:t xml:space="preserve"> 注：技术偏离说明须详细写明偏离的具体参数。未提供技术偏离表的视为所投系统设备所有参数均响应采购内容及技术要求，无任何偏离。</w:t>
      </w:r>
    </w:p>
    <w:p w14:paraId="6820AE8F">
      <w:pPr>
        <w:spacing w:line="360" w:lineRule="auto"/>
        <w:rPr>
          <w:rFonts w:hint="eastAsia" w:ascii="Times New Roman" w:hAnsi="Times New Roman" w:eastAsia="宋体" w:cs="Times New Roman"/>
          <w:b/>
          <w:color w:val="auto"/>
          <w:sz w:val="28"/>
          <w:szCs w:val="28"/>
          <w:highlight w:val="none"/>
        </w:rPr>
      </w:pPr>
    </w:p>
    <w:p w14:paraId="76C855F9">
      <w:pPr>
        <w:spacing w:line="360" w:lineRule="auto"/>
        <w:rPr>
          <w:rFonts w:hint="eastAsia" w:ascii="Times New Roman" w:hAnsi="Times New Roman" w:eastAsia="宋体" w:cs="Times New Roman"/>
          <w:b/>
          <w:color w:val="auto"/>
          <w:sz w:val="28"/>
          <w:szCs w:val="28"/>
          <w:highlight w:val="none"/>
          <w:lang w:val="en-US" w:eastAsia="zh-CN"/>
        </w:rPr>
      </w:pPr>
      <w:r>
        <w:rPr>
          <w:rFonts w:hint="eastAsia" w:ascii="Times New Roman" w:hAnsi="Times New Roman" w:eastAsia="宋体" w:cs="Times New Roman"/>
          <w:b/>
          <w:color w:val="auto"/>
          <w:sz w:val="28"/>
          <w:szCs w:val="28"/>
          <w:highlight w:val="none"/>
        </w:rPr>
        <w:t>附件</w:t>
      </w:r>
      <w:r>
        <w:rPr>
          <w:rFonts w:hint="eastAsia" w:ascii="Times New Roman" w:hAnsi="Times New Roman" w:eastAsia="宋体" w:cs="Times New Roman"/>
          <w:b/>
          <w:color w:val="auto"/>
          <w:sz w:val="28"/>
          <w:szCs w:val="28"/>
          <w:highlight w:val="none"/>
          <w:lang w:val="en-US" w:eastAsia="zh-CN"/>
        </w:rPr>
        <w:t>2</w:t>
      </w:r>
    </w:p>
    <w:p w14:paraId="6F603A43">
      <w:pPr>
        <w:spacing w:line="360" w:lineRule="auto"/>
        <w:jc w:val="center"/>
        <w:rPr>
          <w:rFonts w:hint="eastAsia" w:ascii="宋体" w:hAnsi="宋体"/>
          <w:b/>
          <w:color w:val="auto"/>
          <w:sz w:val="28"/>
          <w:szCs w:val="28"/>
          <w:highlight w:val="none"/>
        </w:rPr>
      </w:pPr>
      <w:r>
        <w:rPr>
          <w:rFonts w:hint="eastAsia" w:ascii="宋体" w:hAnsi="宋体"/>
          <w:b/>
          <w:color w:val="auto"/>
          <w:sz w:val="28"/>
          <w:szCs w:val="28"/>
          <w:highlight w:val="none"/>
        </w:rPr>
        <w:t>货物的详细配置清单</w:t>
      </w:r>
    </w:p>
    <w:tbl>
      <w:tblPr>
        <w:tblStyle w:val="36"/>
        <w:tblW w:w="9408" w:type="dxa"/>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426"/>
        <w:gridCol w:w="2140"/>
        <w:gridCol w:w="1163"/>
        <w:gridCol w:w="2165"/>
        <w:gridCol w:w="1522"/>
      </w:tblGrid>
      <w:tr w14:paraId="3143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92" w:type="dxa"/>
            <w:noWrap w:val="0"/>
            <w:vAlign w:val="center"/>
          </w:tcPr>
          <w:p w14:paraId="6257223A">
            <w:pPr>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1426" w:type="dxa"/>
            <w:noWrap w:val="0"/>
            <w:vAlign w:val="center"/>
          </w:tcPr>
          <w:p w14:paraId="3F093D5B">
            <w:pPr>
              <w:spacing w:line="360" w:lineRule="auto"/>
              <w:jc w:val="center"/>
              <w:rPr>
                <w:rFonts w:hint="eastAsia" w:ascii="宋体" w:hAnsi="宋体"/>
                <w:color w:val="auto"/>
                <w:szCs w:val="21"/>
                <w:highlight w:val="none"/>
              </w:rPr>
            </w:pPr>
            <w:r>
              <w:rPr>
                <w:rFonts w:hint="eastAsia" w:ascii="宋体" w:hAnsi="宋体"/>
                <w:color w:val="auto"/>
                <w:szCs w:val="21"/>
                <w:highlight w:val="none"/>
              </w:rPr>
              <w:t>货物名称</w:t>
            </w:r>
          </w:p>
        </w:tc>
        <w:tc>
          <w:tcPr>
            <w:tcW w:w="2140" w:type="dxa"/>
            <w:noWrap w:val="0"/>
            <w:vAlign w:val="center"/>
          </w:tcPr>
          <w:p w14:paraId="238E0CC1">
            <w:pPr>
              <w:spacing w:line="360" w:lineRule="auto"/>
              <w:jc w:val="center"/>
              <w:rPr>
                <w:rFonts w:hint="eastAsia" w:ascii="宋体" w:hAnsi="宋体"/>
                <w:color w:val="auto"/>
                <w:szCs w:val="21"/>
                <w:highlight w:val="none"/>
              </w:rPr>
            </w:pPr>
            <w:r>
              <w:rPr>
                <w:rFonts w:hint="eastAsia" w:ascii="宋体" w:hAnsi="宋体"/>
                <w:color w:val="auto"/>
                <w:szCs w:val="21"/>
                <w:highlight w:val="none"/>
              </w:rPr>
              <w:t>品牌、规格型号</w:t>
            </w:r>
          </w:p>
        </w:tc>
        <w:tc>
          <w:tcPr>
            <w:tcW w:w="1163" w:type="dxa"/>
            <w:noWrap w:val="0"/>
            <w:vAlign w:val="center"/>
          </w:tcPr>
          <w:p w14:paraId="70EF98FC">
            <w:pPr>
              <w:spacing w:line="360" w:lineRule="auto"/>
              <w:jc w:val="center"/>
              <w:rPr>
                <w:rFonts w:hint="eastAsia" w:ascii="宋体" w:hAnsi="宋体"/>
                <w:color w:val="auto"/>
                <w:szCs w:val="21"/>
                <w:highlight w:val="none"/>
              </w:rPr>
            </w:pPr>
            <w:r>
              <w:rPr>
                <w:rFonts w:hint="eastAsia" w:ascii="宋体" w:hAnsi="宋体"/>
                <w:color w:val="auto"/>
                <w:szCs w:val="21"/>
                <w:highlight w:val="none"/>
              </w:rPr>
              <w:t>产地</w:t>
            </w:r>
          </w:p>
        </w:tc>
        <w:tc>
          <w:tcPr>
            <w:tcW w:w="2165" w:type="dxa"/>
            <w:noWrap w:val="0"/>
            <w:vAlign w:val="center"/>
          </w:tcPr>
          <w:p w14:paraId="12D93AD5">
            <w:pPr>
              <w:spacing w:line="360" w:lineRule="auto"/>
              <w:ind w:left="261"/>
              <w:jc w:val="center"/>
              <w:rPr>
                <w:rFonts w:hint="eastAsia" w:ascii="宋体" w:hAnsi="宋体"/>
                <w:color w:val="auto"/>
                <w:szCs w:val="21"/>
                <w:highlight w:val="none"/>
              </w:rPr>
            </w:pPr>
            <w:r>
              <w:rPr>
                <w:rFonts w:hint="eastAsia" w:ascii="宋体" w:hAnsi="宋体"/>
                <w:color w:val="auto"/>
                <w:szCs w:val="21"/>
                <w:highlight w:val="none"/>
              </w:rPr>
              <w:t>生产厂家</w:t>
            </w:r>
          </w:p>
        </w:tc>
        <w:tc>
          <w:tcPr>
            <w:tcW w:w="1522" w:type="dxa"/>
            <w:noWrap w:val="0"/>
            <w:vAlign w:val="center"/>
          </w:tcPr>
          <w:p w14:paraId="39465659">
            <w:pPr>
              <w:spacing w:line="360" w:lineRule="auto"/>
              <w:jc w:val="center"/>
              <w:rPr>
                <w:rFonts w:hint="eastAsia" w:ascii="宋体" w:hAnsi="宋体"/>
                <w:color w:val="auto"/>
                <w:szCs w:val="21"/>
                <w:highlight w:val="none"/>
              </w:rPr>
            </w:pPr>
            <w:r>
              <w:rPr>
                <w:rFonts w:hint="eastAsia" w:ascii="宋体" w:hAnsi="宋体"/>
                <w:color w:val="auto"/>
                <w:szCs w:val="21"/>
                <w:highlight w:val="none"/>
              </w:rPr>
              <w:t>详细配置清单</w:t>
            </w:r>
          </w:p>
        </w:tc>
      </w:tr>
      <w:tr w14:paraId="578C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92" w:type="dxa"/>
            <w:shd w:val="clear" w:color="auto" w:fill="auto"/>
            <w:noWrap w:val="0"/>
            <w:vAlign w:val="center"/>
          </w:tcPr>
          <w:p w14:paraId="4D2033E2">
            <w:pPr>
              <w:numPr>
                <w:ilvl w:val="0"/>
                <w:numId w:val="0"/>
              </w:numPr>
              <w:spacing w:line="360" w:lineRule="auto"/>
              <w:ind w:leftChars="0"/>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1</w:t>
            </w:r>
          </w:p>
        </w:tc>
        <w:tc>
          <w:tcPr>
            <w:tcW w:w="1426" w:type="dxa"/>
            <w:shd w:val="clear" w:color="auto" w:fill="FFFFFF"/>
            <w:noWrap w:val="0"/>
            <w:vAlign w:val="center"/>
          </w:tcPr>
          <w:p w14:paraId="28AFDF4B">
            <w:pPr>
              <w:widowControl/>
              <w:spacing w:line="360" w:lineRule="auto"/>
              <w:jc w:val="center"/>
              <w:textAlignment w:val="center"/>
              <w:rPr>
                <w:rFonts w:hint="eastAsia" w:ascii="宋体" w:hAnsi="宋体"/>
                <w:color w:val="auto"/>
                <w:szCs w:val="21"/>
                <w:highlight w:val="none"/>
              </w:rPr>
            </w:pPr>
          </w:p>
        </w:tc>
        <w:tc>
          <w:tcPr>
            <w:tcW w:w="2140" w:type="dxa"/>
            <w:noWrap w:val="0"/>
            <w:vAlign w:val="top"/>
          </w:tcPr>
          <w:p w14:paraId="7891EDB2">
            <w:pPr>
              <w:spacing w:line="360" w:lineRule="auto"/>
              <w:rPr>
                <w:rFonts w:hint="eastAsia" w:ascii="宋体" w:hAnsi="宋体"/>
                <w:color w:val="auto"/>
                <w:szCs w:val="21"/>
                <w:highlight w:val="none"/>
              </w:rPr>
            </w:pPr>
          </w:p>
        </w:tc>
        <w:tc>
          <w:tcPr>
            <w:tcW w:w="1163" w:type="dxa"/>
            <w:noWrap w:val="0"/>
            <w:vAlign w:val="top"/>
          </w:tcPr>
          <w:p w14:paraId="7ECAA6D3">
            <w:pPr>
              <w:spacing w:line="360" w:lineRule="auto"/>
              <w:rPr>
                <w:rFonts w:hint="eastAsia" w:ascii="宋体" w:hAnsi="宋体"/>
                <w:color w:val="auto"/>
                <w:szCs w:val="21"/>
                <w:highlight w:val="none"/>
              </w:rPr>
            </w:pPr>
          </w:p>
        </w:tc>
        <w:tc>
          <w:tcPr>
            <w:tcW w:w="2165" w:type="dxa"/>
            <w:noWrap w:val="0"/>
            <w:vAlign w:val="top"/>
          </w:tcPr>
          <w:p w14:paraId="79C812A9">
            <w:pPr>
              <w:spacing w:line="360" w:lineRule="auto"/>
              <w:rPr>
                <w:rFonts w:hint="eastAsia" w:ascii="宋体" w:hAnsi="宋体"/>
                <w:color w:val="auto"/>
                <w:szCs w:val="21"/>
                <w:highlight w:val="none"/>
              </w:rPr>
            </w:pPr>
          </w:p>
        </w:tc>
        <w:tc>
          <w:tcPr>
            <w:tcW w:w="1522" w:type="dxa"/>
            <w:noWrap w:val="0"/>
            <w:vAlign w:val="top"/>
          </w:tcPr>
          <w:p w14:paraId="73F91CA1">
            <w:pPr>
              <w:spacing w:line="360" w:lineRule="auto"/>
              <w:rPr>
                <w:rFonts w:hint="eastAsia" w:ascii="宋体" w:hAnsi="宋体"/>
                <w:color w:val="auto"/>
                <w:szCs w:val="21"/>
                <w:highlight w:val="none"/>
              </w:rPr>
            </w:pPr>
          </w:p>
        </w:tc>
      </w:tr>
      <w:tr w14:paraId="18E6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992" w:type="dxa"/>
            <w:shd w:val="clear" w:color="auto" w:fill="auto"/>
            <w:noWrap w:val="0"/>
            <w:vAlign w:val="center"/>
          </w:tcPr>
          <w:p w14:paraId="6A88C872">
            <w:pPr>
              <w:numPr>
                <w:ilvl w:val="0"/>
                <w:numId w:val="0"/>
              </w:numPr>
              <w:spacing w:line="360" w:lineRule="auto"/>
              <w:ind w:leftChars="0"/>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2</w:t>
            </w:r>
          </w:p>
        </w:tc>
        <w:tc>
          <w:tcPr>
            <w:tcW w:w="1426" w:type="dxa"/>
            <w:shd w:val="clear" w:color="auto" w:fill="FFFFFF"/>
            <w:noWrap w:val="0"/>
            <w:vAlign w:val="center"/>
          </w:tcPr>
          <w:p w14:paraId="37E27567">
            <w:pPr>
              <w:widowControl/>
              <w:spacing w:line="360" w:lineRule="auto"/>
              <w:jc w:val="center"/>
              <w:textAlignment w:val="center"/>
              <w:rPr>
                <w:rFonts w:hint="eastAsia" w:ascii="宋体" w:hAnsi="宋体"/>
                <w:color w:val="auto"/>
                <w:szCs w:val="21"/>
                <w:highlight w:val="none"/>
              </w:rPr>
            </w:pPr>
          </w:p>
        </w:tc>
        <w:tc>
          <w:tcPr>
            <w:tcW w:w="2140" w:type="dxa"/>
            <w:noWrap w:val="0"/>
            <w:vAlign w:val="top"/>
          </w:tcPr>
          <w:p w14:paraId="7627529F">
            <w:pPr>
              <w:spacing w:line="360" w:lineRule="auto"/>
              <w:rPr>
                <w:rFonts w:hint="eastAsia" w:ascii="宋体" w:hAnsi="宋体"/>
                <w:color w:val="auto"/>
                <w:szCs w:val="21"/>
                <w:highlight w:val="none"/>
              </w:rPr>
            </w:pPr>
          </w:p>
        </w:tc>
        <w:tc>
          <w:tcPr>
            <w:tcW w:w="1163" w:type="dxa"/>
            <w:noWrap w:val="0"/>
            <w:vAlign w:val="top"/>
          </w:tcPr>
          <w:p w14:paraId="55DEDA50">
            <w:pPr>
              <w:spacing w:line="360" w:lineRule="auto"/>
              <w:rPr>
                <w:rFonts w:hint="eastAsia" w:ascii="宋体" w:hAnsi="宋体"/>
                <w:color w:val="auto"/>
                <w:szCs w:val="21"/>
                <w:highlight w:val="none"/>
              </w:rPr>
            </w:pPr>
          </w:p>
        </w:tc>
        <w:tc>
          <w:tcPr>
            <w:tcW w:w="2165" w:type="dxa"/>
            <w:noWrap w:val="0"/>
            <w:vAlign w:val="top"/>
          </w:tcPr>
          <w:p w14:paraId="7E84796A">
            <w:pPr>
              <w:spacing w:line="360" w:lineRule="auto"/>
              <w:rPr>
                <w:rFonts w:hint="eastAsia" w:ascii="宋体" w:hAnsi="宋体"/>
                <w:color w:val="auto"/>
                <w:szCs w:val="21"/>
                <w:highlight w:val="none"/>
              </w:rPr>
            </w:pPr>
          </w:p>
        </w:tc>
        <w:tc>
          <w:tcPr>
            <w:tcW w:w="1522" w:type="dxa"/>
            <w:noWrap w:val="0"/>
            <w:vAlign w:val="top"/>
          </w:tcPr>
          <w:p w14:paraId="17F74653">
            <w:pPr>
              <w:spacing w:line="360" w:lineRule="auto"/>
              <w:rPr>
                <w:rFonts w:hint="eastAsia" w:ascii="宋体" w:hAnsi="宋体"/>
                <w:color w:val="auto"/>
                <w:szCs w:val="21"/>
                <w:highlight w:val="none"/>
              </w:rPr>
            </w:pPr>
          </w:p>
        </w:tc>
      </w:tr>
      <w:tr w14:paraId="63AC4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992" w:type="dxa"/>
            <w:shd w:val="clear" w:color="auto" w:fill="auto"/>
            <w:noWrap w:val="0"/>
            <w:vAlign w:val="center"/>
          </w:tcPr>
          <w:p w14:paraId="29A115FB">
            <w:pPr>
              <w:numPr>
                <w:ilvl w:val="0"/>
                <w:numId w:val="0"/>
              </w:numPr>
              <w:spacing w:line="360" w:lineRule="auto"/>
              <w:ind w:leftChars="0"/>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3</w:t>
            </w:r>
          </w:p>
        </w:tc>
        <w:tc>
          <w:tcPr>
            <w:tcW w:w="1426" w:type="dxa"/>
            <w:shd w:val="clear" w:color="auto" w:fill="FFFFFF"/>
            <w:noWrap w:val="0"/>
            <w:vAlign w:val="center"/>
          </w:tcPr>
          <w:p w14:paraId="03F9CF6B">
            <w:pPr>
              <w:widowControl/>
              <w:spacing w:line="360" w:lineRule="auto"/>
              <w:jc w:val="center"/>
              <w:textAlignment w:val="center"/>
              <w:rPr>
                <w:rFonts w:hint="eastAsia" w:ascii="宋体" w:hAnsi="宋体"/>
                <w:color w:val="auto"/>
                <w:szCs w:val="21"/>
                <w:highlight w:val="none"/>
              </w:rPr>
            </w:pPr>
          </w:p>
        </w:tc>
        <w:tc>
          <w:tcPr>
            <w:tcW w:w="2140" w:type="dxa"/>
            <w:noWrap w:val="0"/>
            <w:vAlign w:val="top"/>
          </w:tcPr>
          <w:p w14:paraId="76AC1DB4">
            <w:pPr>
              <w:spacing w:line="360" w:lineRule="auto"/>
              <w:rPr>
                <w:rFonts w:hint="eastAsia" w:ascii="宋体" w:hAnsi="宋体"/>
                <w:color w:val="auto"/>
                <w:szCs w:val="21"/>
                <w:highlight w:val="none"/>
              </w:rPr>
            </w:pPr>
          </w:p>
        </w:tc>
        <w:tc>
          <w:tcPr>
            <w:tcW w:w="1163" w:type="dxa"/>
            <w:noWrap w:val="0"/>
            <w:vAlign w:val="top"/>
          </w:tcPr>
          <w:p w14:paraId="51E5A5E7">
            <w:pPr>
              <w:spacing w:line="360" w:lineRule="auto"/>
              <w:rPr>
                <w:rFonts w:hint="eastAsia" w:ascii="宋体" w:hAnsi="宋体"/>
                <w:color w:val="auto"/>
                <w:szCs w:val="21"/>
                <w:highlight w:val="none"/>
              </w:rPr>
            </w:pPr>
          </w:p>
        </w:tc>
        <w:tc>
          <w:tcPr>
            <w:tcW w:w="2165" w:type="dxa"/>
            <w:noWrap w:val="0"/>
            <w:vAlign w:val="top"/>
          </w:tcPr>
          <w:p w14:paraId="1FC5421A">
            <w:pPr>
              <w:spacing w:line="360" w:lineRule="auto"/>
              <w:rPr>
                <w:rFonts w:hint="eastAsia" w:ascii="宋体" w:hAnsi="宋体"/>
                <w:color w:val="auto"/>
                <w:szCs w:val="21"/>
                <w:highlight w:val="none"/>
              </w:rPr>
            </w:pPr>
          </w:p>
        </w:tc>
        <w:tc>
          <w:tcPr>
            <w:tcW w:w="1522" w:type="dxa"/>
            <w:noWrap w:val="0"/>
            <w:vAlign w:val="top"/>
          </w:tcPr>
          <w:p w14:paraId="14B849AD">
            <w:pPr>
              <w:spacing w:line="360" w:lineRule="auto"/>
              <w:rPr>
                <w:rFonts w:hint="eastAsia" w:ascii="宋体" w:hAnsi="宋体"/>
                <w:color w:val="auto"/>
                <w:szCs w:val="21"/>
                <w:highlight w:val="none"/>
              </w:rPr>
            </w:pPr>
          </w:p>
        </w:tc>
      </w:tr>
      <w:tr w14:paraId="73C5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992" w:type="dxa"/>
            <w:shd w:val="clear" w:color="auto" w:fill="auto"/>
            <w:noWrap w:val="0"/>
            <w:vAlign w:val="top"/>
          </w:tcPr>
          <w:p w14:paraId="60B76685">
            <w:pPr>
              <w:numPr>
                <w:ilvl w:val="0"/>
                <w:numId w:val="0"/>
              </w:numPr>
              <w:spacing w:line="360" w:lineRule="auto"/>
              <w:ind w:leftChars="0"/>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w:t>
            </w:r>
          </w:p>
        </w:tc>
        <w:tc>
          <w:tcPr>
            <w:tcW w:w="1426" w:type="dxa"/>
            <w:shd w:val="clear" w:color="auto" w:fill="FFFFFF"/>
            <w:noWrap w:val="0"/>
            <w:vAlign w:val="center"/>
          </w:tcPr>
          <w:p w14:paraId="76A86C6F">
            <w:pPr>
              <w:widowControl/>
              <w:spacing w:line="360" w:lineRule="auto"/>
              <w:jc w:val="center"/>
              <w:textAlignment w:val="center"/>
              <w:rPr>
                <w:rFonts w:hint="eastAsia" w:ascii="宋体" w:hAnsi="宋体"/>
                <w:color w:val="auto"/>
                <w:szCs w:val="21"/>
                <w:highlight w:val="none"/>
              </w:rPr>
            </w:pPr>
          </w:p>
        </w:tc>
        <w:tc>
          <w:tcPr>
            <w:tcW w:w="2140" w:type="dxa"/>
            <w:noWrap w:val="0"/>
            <w:vAlign w:val="top"/>
          </w:tcPr>
          <w:p w14:paraId="122D425D">
            <w:pPr>
              <w:spacing w:line="360" w:lineRule="auto"/>
              <w:rPr>
                <w:rFonts w:hint="eastAsia" w:ascii="宋体" w:hAnsi="宋体"/>
                <w:color w:val="auto"/>
                <w:szCs w:val="21"/>
                <w:highlight w:val="none"/>
              </w:rPr>
            </w:pPr>
          </w:p>
        </w:tc>
        <w:tc>
          <w:tcPr>
            <w:tcW w:w="1163" w:type="dxa"/>
            <w:noWrap w:val="0"/>
            <w:vAlign w:val="top"/>
          </w:tcPr>
          <w:p w14:paraId="26CCA851">
            <w:pPr>
              <w:spacing w:line="360" w:lineRule="auto"/>
              <w:rPr>
                <w:rFonts w:hint="eastAsia" w:ascii="宋体" w:hAnsi="宋体"/>
                <w:color w:val="auto"/>
                <w:szCs w:val="21"/>
                <w:highlight w:val="none"/>
              </w:rPr>
            </w:pPr>
          </w:p>
        </w:tc>
        <w:tc>
          <w:tcPr>
            <w:tcW w:w="2165" w:type="dxa"/>
            <w:noWrap w:val="0"/>
            <w:vAlign w:val="top"/>
          </w:tcPr>
          <w:p w14:paraId="3E75DCB0">
            <w:pPr>
              <w:spacing w:line="360" w:lineRule="auto"/>
              <w:rPr>
                <w:rFonts w:hint="eastAsia" w:ascii="宋体" w:hAnsi="宋体"/>
                <w:color w:val="auto"/>
                <w:szCs w:val="21"/>
                <w:highlight w:val="none"/>
              </w:rPr>
            </w:pPr>
          </w:p>
        </w:tc>
        <w:tc>
          <w:tcPr>
            <w:tcW w:w="1522" w:type="dxa"/>
            <w:noWrap w:val="0"/>
            <w:vAlign w:val="top"/>
          </w:tcPr>
          <w:p w14:paraId="6626F911">
            <w:pPr>
              <w:spacing w:line="360" w:lineRule="auto"/>
              <w:rPr>
                <w:rFonts w:hint="eastAsia" w:ascii="宋体" w:hAnsi="宋体"/>
                <w:color w:val="auto"/>
                <w:szCs w:val="21"/>
                <w:highlight w:val="none"/>
              </w:rPr>
            </w:pPr>
          </w:p>
        </w:tc>
      </w:tr>
    </w:tbl>
    <w:p w14:paraId="713D6932">
      <w:pPr>
        <w:spacing w:line="360" w:lineRule="auto"/>
        <w:jc w:val="left"/>
        <w:rPr>
          <w:rFonts w:hint="eastAsia" w:ascii="宋体" w:hAnsi="宋体"/>
          <w:b/>
          <w:color w:val="auto"/>
          <w:sz w:val="28"/>
          <w:szCs w:val="28"/>
          <w:highlight w:val="none"/>
        </w:rPr>
      </w:pPr>
      <w:r>
        <w:rPr>
          <w:rFonts w:hint="eastAsia" w:ascii="宋体" w:hAnsi="宋体" w:eastAsia="宋体" w:cs="宋体"/>
          <w:color w:val="auto"/>
          <w:szCs w:val="21"/>
          <w:highlight w:val="none"/>
          <w:lang w:val="zh-CN"/>
        </w:rPr>
        <w:t>注：</w:t>
      </w:r>
      <w:r>
        <w:rPr>
          <w:rFonts w:hint="eastAsia" w:ascii="宋体" w:hAnsi="宋体" w:cs="宋体"/>
          <w:color w:val="auto"/>
          <w:szCs w:val="21"/>
          <w:highlight w:val="none"/>
          <w:lang w:val="zh-CN"/>
        </w:rPr>
        <w:t>如果行数不够，请自行增加。</w:t>
      </w:r>
    </w:p>
    <w:p w14:paraId="6C35F9D9">
      <w:pPr>
        <w:spacing w:line="480" w:lineRule="auto"/>
        <w:ind w:firstLine="420" w:firstLineChars="200"/>
        <w:rPr>
          <w:rFonts w:ascii="宋体" w:hAnsi="宋体"/>
          <w:color w:val="auto"/>
          <w:szCs w:val="21"/>
          <w:highlight w:val="none"/>
        </w:rPr>
      </w:pPr>
      <w:r>
        <w:rPr>
          <w:rFonts w:hint="eastAsia" w:ascii="宋体" w:hAnsi="宋体"/>
          <w:color w:val="auto"/>
          <w:szCs w:val="21"/>
          <w:highlight w:val="none"/>
        </w:rPr>
        <w:t>投标人名称：</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3D0CA067">
      <w:pPr>
        <w:spacing w:line="480" w:lineRule="auto"/>
        <w:ind w:firstLine="420" w:firstLineChars="200"/>
        <w:rPr>
          <w:rFonts w:ascii="宋体" w:hAnsi="宋体"/>
          <w:color w:val="auto"/>
          <w:szCs w:val="21"/>
          <w:highlight w:val="none"/>
        </w:rPr>
      </w:pPr>
      <w:r>
        <w:rPr>
          <w:rFonts w:hint="eastAsia" w:ascii="宋体" w:hAnsi="宋体"/>
          <w:color w:val="auto"/>
          <w:szCs w:val="21"/>
          <w:highlight w:val="none"/>
        </w:rPr>
        <w:t>法定代表人或委托代理人：</w:t>
      </w:r>
      <w:r>
        <w:rPr>
          <w:rFonts w:hint="eastAsia" w:ascii="宋体" w:hAnsi="宋体"/>
          <w:color w:val="auto"/>
          <w:szCs w:val="21"/>
          <w:highlight w:val="none"/>
          <w:u w:val="single"/>
        </w:rPr>
        <w:t xml:space="preserve">                       </w:t>
      </w:r>
      <w:r>
        <w:rPr>
          <w:rFonts w:hint="eastAsia" w:ascii="宋体" w:hAnsi="宋体"/>
          <w:color w:val="auto"/>
          <w:szCs w:val="21"/>
          <w:highlight w:val="none"/>
        </w:rPr>
        <w:t>(签字或盖章)</w:t>
      </w:r>
    </w:p>
    <w:p w14:paraId="782C3033">
      <w:pPr>
        <w:spacing w:line="480" w:lineRule="auto"/>
        <w:rPr>
          <w:rFonts w:hint="eastAsia"/>
          <w:b/>
          <w:color w:val="auto"/>
          <w:sz w:val="28"/>
          <w:szCs w:val="28"/>
          <w:highlight w:val="none"/>
        </w:rPr>
      </w:pPr>
      <w:r>
        <w:rPr>
          <w:rFonts w:hint="eastAsia" w:ascii="宋体" w:hAnsi="宋体"/>
          <w:color w:val="auto"/>
          <w:szCs w:val="21"/>
          <w:highlight w:val="none"/>
        </w:rPr>
        <w:t xml:space="preserve">                                  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4D26FCD4">
      <w:pPr>
        <w:rPr>
          <w:rFonts w:hint="eastAsia"/>
          <w:b/>
          <w:color w:val="auto"/>
          <w:sz w:val="28"/>
          <w:szCs w:val="28"/>
          <w:highlight w:val="none"/>
        </w:rPr>
      </w:pPr>
      <w:r>
        <w:rPr>
          <w:rFonts w:hint="eastAsia"/>
          <w:b/>
          <w:color w:val="auto"/>
          <w:sz w:val="28"/>
          <w:szCs w:val="28"/>
          <w:highlight w:val="none"/>
        </w:rPr>
        <w:br w:type="page"/>
      </w:r>
    </w:p>
    <w:p w14:paraId="16B8CBD9">
      <w:pPr>
        <w:spacing w:line="360" w:lineRule="auto"/>
        <w:rPr>
          <w:rFonts w:hint="eastAsia" w:eastAsia="宋体"/>
          <w:b/>
          <w:color w:val="auto"/>
          <w:sz w:val="28"/>
          <w:szCs w:val="28"/>
          <w:highlight w:val="none"/>
          <w:lang w:eastAsia="zh-CN"/>
        </w:rPr>
      </w:pPr>
      <w:r>
        <w:rPr>
          <w:rFonts w:hint="eastAsia"/>
          <w:b/>
          <w:color w:val="auto"/>
          <w:sz w:val="28"/>
          <w:szCs w:val="28"/>
          <w:highlight w:val="none"/>
        </w:rPr>
        <w:t>附件</w:t>
      </w:r>
      <w:bookmarkEnd w:id="102"/>
      <w:bookmarkEnd w:id="103"/>
      <w:r>
        <w:rPr>
          <w:rFonts w:hint="eastAsia"/>
          <w:b/>
          <w:color w:val="auto"/>
          <w:sz w:val="28"/>
          <w:szCs w:val="28"/>
          <w:highlight w:val="none"/>
          <w:lang w:val="en-US" w:eastAsia="zh-CN"/>
        </w:rPr>
        <w:t>3</w:t>
      </w:r>
    </w:p>
    <w:p w14:paraId="5FA78D07">
      <w:pPr>
        <w:spacing w:line="400" w:lineRule="exact"/>
        <w:ind w:firstLine="562" w:firstLineChars="200"/>
        <w:rPr>
          <w:rFonts w:hint="eastAsia"/>
          <w:b/>
          <w:color w:val="auto"/>
          <w:sz w:val="28"/>
          <w:szCs w:val="28"/>
          <w:highlight w:val="none"/>
        </w:rPr>
      </w:pPr>
    </w:p>
    <w:p w14:paraId="6BB6F1C3">
      <w:pPr>
        <w:jc w:val="center"/>
        <w:rPr>
          <w:rFonts w:hint="eastAsia" w:ascii="宋体"/>
          <w:b/>
          <w:color w:val="auto"/>
          <w:sz w:val="30"/>
          <w:szCs w:val="30"/>
          <w:highlight w:val="none"/>
        </w:rPr>
      </w:pPr>
      <w:r>
        <w:rPr>
          <w:rFonts w:hint="eastAsia" w:ascii="宋体"/>
          <w:b/>
          <w:color w:val="auto"/>
          <w:sz w:val="30"/>
          <w:szCs w:val="30"/>
          <w:highlight w:val="none"/>
        </w:rPr>
        <w:t>服务承诺书</w:t>
      </w:r>
    </w:p>
    <w:p w14:paraId="4A630A9D">
      <w:pPr>
        <w:ind w:firstLine="480" w:firstLineChars="200"/>
        <w:rPr>
          <w:rFonts w:hint="eastAsia" w:ascii="宋体"/>
          <w:color w:val="auto"/>
          <w:sz w:val="24"/>
          <w:highlight w:val="none"/>
        </w:rPr>
      </w:pPr>
    </w:p>
    <w:p w14:paraId="6F9AB07D">
      <w:pPr>
        <w:rPr>
          <w:rFonts w:hint="eastAsia" w:ascii="宋体"/>
          <w:b/>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（采购人）</w:t>
      </w:r>
      <w:r>
        <w:rPr>
          <w:rFonts w:hint="eastAsia" w:ascii="宋体"/>
          <w:color w:val="auto"/>
          <w:sz w:val="24"/>
          <w:highlight w:val="none"/>
        </w:rPr>
        <w:t>：</w:t>
      </w:r>
    </w:p>
    <w:p w14:paraId="625132B6">
      <w:pPr>
        <w:spacing w:line="800" w:lineRule="exact"/>
        <w:ind w:firstLine="480" w:firstLineChars="200"/>
        <w:rPr>
          <w:rFonts w:hint="eastAsia" w:ascii="宋体"/>
          <w:color w:val="auto"/>
          <w:sz w:val="24"/>
          <w:highlight w:val="none"/>
        </w:rPr>
      </w:pPr>
      <w:r>
        <w:rPr>
          <w:rFonts w:hint="eastAsia" w:ascii="宋体"/>
          <w:color w:val="auto"/>
          <w:sz w:val="24"/>
          <w:highlight w:val="none"/>
        </w:rPr>
        <w:t>本承诺声明：</w:t>
      </w:r>
      <w:r>
        <w:rPr>
          <w:rFonts w:hint="eastAsia" w:ascii="宋体"/>
          <w:color w:val="auto"/>
          <w:sz w:val="24"/>
          <w:highlight w:val="none"/>
          <w:u w:val="single"/>
          <w:lang w:val="en-US" w:eastAsia="zh-CN"/>
        </w:rPr>
        <w:t xml:space="preserve">     </w:t>
      </w:r>
      <w:r>
        <w:rPr>
          <w:rFonts w:hint="eastAsia" w:ascii="宋体"/>
          <w:color w:val="auto"/>
          <w:sz w:val="24"/>
          <w:highlight w:val="none"/>
          <w:u w:val="single"/>
        </w:rPr>
        <w:t>（投标人名称）</w:t>
      </w:r>
      <w:r>
        <w:rPr>
          <w:rFonts w:hint="eastAsia" w:ascii="宋体"/>
          <w:color w:val="auto"/>
          <w:sz w:val="24"/>
          <w:highlight w:val="none"/>
          <w:u w:val="single"/>
          <w:lang w:val="en-US" w:eastAsia="zh-CN"/>
        </w:rPr>
        <w:t xml:space="preserve">   </w:t>
      </w:r>
      <w:r>
        <w:rPr>
          <w:rFonts w:hint="eastAsia" w:ascii="宋体"/>
          <w:color w:val="auto"/>
          <w:sz w:val="24"/>
          <w:highlight w:val="none"/>
        </w:rPr>
        <w:t>对本招标文件所有要求完全响应，除技术偏离表中已列出的负偏离参数以外的其余参数均完全响应招标文件要求。若有幸中标将严格按照以上承诺进行服务。若在合同履行期间不能按招标人要求调整的，招标人有权终止合同重新招标，我方承担因此产生的所有经济及工期责任。</w:t>
      </w:r>
    </w:p>
    <w:p w14:paraId="01EA02B0">
      <w:pPr>
        <w:spacing w:line="800" w:lineRule="exact"/>
        <w:ind w:firstLine="480" w:firstLineChars="200"/>
        <w:rPr>
          <w:rFonts w:hint="eastAsia" w:ascii="宋体"/>
          <w:color w:val="auto"/>
          <w:sz w:val="24"/>
          <w:highlight w:val="none"/>
        </w:rPr>
      </w:pPr>
      <w:r>
        <w:rPr>
          <w:rFonts w:hint="eastAsia" w:ascii="宋体"/>
          <w:color w:val="auto"/>
          <w:sz w:val="24"/>
          <w:highlight w:val="none"/>
        </w:rPr>
        <w:t>特此声明。</w:t>
      </w:r>
    </w:p>
    <w:p w14:paraId="31D1E60D">
      <w:pPr>
        <w:spacing w:line="600" w:lineRule="exact"/>
        <w:rPr>
          <w:rFonts w:hint="eastAsia" w:ascii="宋体"/>
          <w:color w:val="auto"/>
          <w:sz w:val="24"/>
          <w:highlight w:val="none"/>
        </w:rPr>
      </w:pPr>
      <w:r>
        <w:rPr>
          <w:rFonts w:hint="eastAsia" w:ascii="宋体"/>
          <w:color w:val="auto"/>
          <w:sz w:val="24"/>
          <w:highlight w:val="none"/>
        </w:rPr>
        <w:t> </w:t>
      </w:r>
    </w:p>
    <w:p w14:paraId="11E51806">
      <w:pPr>
        <w:spacing w:line="480" w:lineRule="auto"/>
        <w:ind w:firstLine="480" w:firstLineChars="200"/>
        <w:rPr>
          <w:rFonts w:ascii="宋体" w:hAnsi="宋体"/>
          <w:color w:val="auto"/>
          <w:sz w:val="24"/>
          <w:szCs w:val="21"/>
          <w:highlight w:val="none"/>
        </w:rPr>
      </w:pPr>
      <w:r>
        <w:rPr>
          <w:rFonts w:hint="eastAsia" w:ascii="宋体"/>
          <w:color w:val="auto"/>
          <w:sz w:val="24"/>
          <w:highlight w:val="none"/>
        </w:rPr>
        <w:t xml:space="preserve">                </w:t>
      </w:r>
      <w:r>
        <w:rPr>
          <w:rFonts w:hint="eastAsia" w:ascii="宋体" w:hAnsi="宋体"/>
          <w:color w:val="auto"/>
          <w:sz w:val="24"/>
          <w:szCs w:val="21"/>
          <w:highlight w:val="none"/>
        </w:rPr>
        <w:t>投标人名称：</w:t>
      </w:r>
      <w:r>
        <w:rPr>
          <w:rFonts w:ascii="宋体" w:hAnsi="宋体"/>
          <w:color w:val="auto"/>
          <w:sz w:val="24"/>
          <w:szCs w:val="21"/>
          <w:highlight w:val="none"/>
          <w:u w:val="single"/>
        </w:rPr>
        <w:t xml:space="preserve">      </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（盖单位章）</w:t>
      </w:r>
    </w:p>
    <w:p w14:paraId="0F587213">
      <w:pPr>
        <w:spacing w:line="480" w:lineRule="auto"/>
        <w:ind w:firstLine="480" w:firstLineChars="200"/>
        <w:jc w:val="right"/>
        <w:rPr>
          <w:rFonts w:ascii="宋体" w:hAnsi="宋体"/>
          <w:color w:val="auto"/>
          <w:sz w:val="24"/>
          <w:szCs w:val="21"/>
          <w:highlight w:val="none"/>
        </w:rPr>
      </w:pPr>
      <w:r>
        <w:rPr>
          <w:rFonts w:hint="eastAsia" w:ascii="宋体" w:hAnsi="宋体"/>
          <w:color w:val="auto"/>
          <w:sz w:val="24"/>
          <w:szCs w:val="21"/>
          <w:highlight w:val="none"/>
        </w:rPr>
        <w:t>法定代表人：</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(签章)</w:t>
      </w:r>
    </w:p>
    <w:p w14:paraId="040ADD80">
      <w:pPr>
        <w:spacing w:line="480" w:lineRule="auto"/>
        <w:jc w:val="right"/>
        <w:rPr>
          <w:rFonts w:hint="eastAsia"/>
          <w:b/>
          <w:color w:val="auto"/>
          <w:sz w:val="36"/>
          <w:szCs w:val="28"/>
          <w:highlight w:val="none"/>
        </w:rPr>
      </w:pPr>
      <w:r>
        <w:rPr>
          <w:rFonts w:hint="eastAsia" w:ascii="宋体" w:hAnsi="宋体"/>
          <w:color w:val="auto"/>
          <w:sz w:val="24"/>
          <w:szCs w:val="21"/>
          <w:highlight w:val="none"/>
        </w:rPr>
        <w:t xml:space="preserve">                                  日    期：</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年</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月</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日</w:t>
      </w:r>
    </w:p>
    <w:p w14:paraId="42654E7E">
      <w:pPr>
        <w:spacing w:line="480" w:lineRule="auto"/>
        <w:jc w:val="both"/>
        <w:rPr>
          <w:rFonts w:hint="eastAsia"/>
          <w:b/>
          <w:color w:val="auto"/>
          <w:sz w:val="28"/>
          <w:szCs w:val="28"/>
          <w:highlight w:val="none"/>
        </w:rPr>
      </w:pPr>
      <w:r>
        <w:rPr>
          <w:rFonts w:hint="eastAsia"/>
          <w:b/>
          <w:color w:val="auto"/>
          <w:sz w:val="28"/>
          <w:szCs w:val="28"/>
          <w:highlight w:val="none"/>
        </w:rPr>
        <w:br w:type="page"/>
      </w:r>
    </w:p>
    <w:p w14:paraId="6C8AA300">
      <w:pPr>
        <w:spacing w:line="300" w:lineRule="exact"/>
        <w:rPr>
          <w:rFonts w:hint="eastAsia" w:ascii="宋体"/>
          <w:color w:val="auto"/>
          <w:sz w:val="24"/>
          <w:highlight w:val="none"/>
          <w:u w:val="single"/>
        </w:rPr>
      </w:pPr>
    </w:p>
    <w:p w14:paraId="7688B24B">
      <w:pPr>
        <w:spacing w:line="300" w:lineRule="exact"/>
        <w:rPr>
          <w:rFonts w:hint="eastAsia" w:ascii="宋体"/>
          <w:color w:val="auto"/>
          <w:sz w:val="24"/>
          <w:highlight w:val="none"/>
          <w:u w:val="single"/>
        </w:rPr>
      </w:pPr>
      <w:r>
        <w:rPr>
          <w:rFonts w:hint="eastAsia" w:ascii="宋体"/>
          <w:color w:val="auto"/>
          <w:sz w:val="24"/>
          <w:highlight w:val="none"/>
          <w:u w:val="single"/>
        </w:rPr>
        <w:t xml:space="preserve">      </w:t>
      </w:r>
    </w:p>
    <w:p w14:paraId="5CF06C6E">
      <w:pPr>
        <w:jc w:val="center"/>
        <w:rPr>
          <w:rFonts w:hint="eastAsia" w:ascii="宋体"/>
          <w:color w:val="auto"/>
          <w:sz w:val="24"/>
          <w:highlight w:val="none"/>
        </w:rPr>
      </w:pPr>
      <w:r>
        <w:rPr>
          <w:rFonts w:hint="eastAsia" w:ascii="宋体" w:hAnsi="宋体"/>
          <w:b/>
          <w:color w:val="auto"/>
          <w:sz w:val="28"/>
          <w:szCs w:val="28"/>
          <w:highlight w:val="none"/>
        </w:rPr>
        <w:t>三、商务标格式文件</w:t>
      </w:r>
    </w:p>
    <w:p w14:paraId="46554D43">
      <w:pPr>
        <w:jc w:val="center"/>
        <w:rPr>
          <w:rFonts w:hint="eastAsia" w:eastAsia="黑体"/>
          <w:color w:val="auto"/>
          <w:sz w:val="20"/>
          <w:highlight w:val="none"/>
        </w:rPr>
      </w:pPr>
    </w:p>
    <w:p w14:paraId="2B948548">
      <w:pPr>
        <w:rPr>
          <w:rFonts w:hint="eastAsia" w:ascii="宋体"/>
          <w:color w:val="auto"/>
          <w:sz w:val="20"/>
          <w:highlight w:val="none"/>
        </w:rPr>
      </w:pPr>
    </w:p>
    <w:p w14:paraId="0B0FE411">
      <w:pPr>
        <w:pStyle w:val="35"/>
        <w:ind w:firstLine="400"/>
        <w:rPr>
          <w:rFonts w:hint="eastAsia"/>
          <w:color w:val="auto"/>
          <w:highlight w:val="none"/>
        </w:rPr>
      </w:pPr>
    </w:p>
    <w:p w14:paraId="3765BA3F">
      <w:pPr>
        <w:jc w:val="center"/>
        <w:rPr>
          <w:rFonts w:hint="eastAsia" w:ascii="宋体"/>
          <w:b/>
          <w:color w:val="auto"/>
          <w:sz w:val="44"/>
          <w:szCs w:val="44"/>
          <w:highlight w:val="none"/>
        </w:rPr>
      </w:pPr>
      <w:bookmarkStart w:id="104" w:name="_Toc449028954"/>
      <w:r>
        <w:rPr>
          <w:rFonts w:hint="eastAsia" w:ascii="宋体"/>
          <w:b/>
          <w:color w:val="auto"/>
          <w:sz w:val="44"/>
          <w:szCs w:val="44"/>
          <w:highlight w:val="none"/>
        </w:rPr>
        <w:t>商务标</w:t>
      </w:r>
      <w:bookmarkEnd w:id="104"/>
    </w:p>
    <w:p w14:paraId="276251DC">
      <w:pPr>
        <w:jc w:val="center"/>
        <w:rPr>
          <w:rFonts w:hint="eastAsia" w:ascii="宋体"/>
          <w:color w:val="auto"/>
          <w:sz w:val="36"/>
          <w:szCs w:val="36"/>
          <w:highlight w:val="none"/>
        </w:rPr>
      </w:pPr>
      <w:r>
        <w:rPr>
          <w:rFonts w:hint="eastAsia" w:ascii="宋体"/>
          <w:color w:val="auto"/>
          <w:sz w:val="44"/>
          <w:szCs w:val="44"/>
          <w:highlight w:val="none"/>
        </w:rPr>
        <w:t>（</w:t>
      </w:r>
      <w:r>
        <w:rPr>
          <w:rFonts w:hint="eastAsia" w:ascii="宋体"/>
          <w:color w:val="auto"/>
          <w:sz w:val="36"/>
          <w:szCs w:val="36"/>
          <w:highlight w:val="none"/>
        </w:rPr>
        <w:t>投标文件三）</w:t>
      </w:r>
    </w:p>
    <w:p w14:paraId="2D8616FB">
      <w:pPr>
        <w:jc w:val="center"/>
        <w:rPr>
          <w:rFonts w:hint="eastAsia" w:ascii="宋体"/>
          <w:color w:val="auto"/>
          <w:sz w:val="36"/>
          <w:szCs w:val="36"/>
          <w:highlight w:val="none"/>
        </w:rPr>
      </w:pPr>
    </w:p>
    <w:p w14:paraId="7E0B4A80">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7004A503">
      <w:pPr>
        <w:jc w:val="center"/>
        <w:rPr>
          <w:rFonts w:hint="eastAsia" w:ascii="宋体"/>
          <w:color w:val="auto"/>
          <w:sz w:val="44"/>
          <w:szCs w:val="44"/>
          <w:highlight w:val="none"/>
        </w:rPr>
      </w:pPr>
      <w:r>
        <w:rPr>
          <w:rFonts w:hint="eastAsia" w:ascii="宋体"/>
          <w:color w:val="auto"/>
          <w:sz w:val="28"/>
          <w:szCs w:val="28"/>
          <w:highlight w:val="none"/>
        </w:rPr>
        <w:t>项目编号</w:t>
      </w:r>
      <w:r>
        <w:rPr>
          <w:rFonts w:hint="eastAsia" w:ascii="宋体"/>
          <w:color w:val="auto"/>
          <w:sz w:val="28"/>
          <w:szCs w:val="28"/>
          <w:highlight w:val="none"/>
          <w:u w:val="single"/>
        </w:rPr>
        <w:t xml:space="preserve">  </w:t>
      </w:r>
    </w:p>
    <w:p w14:paraId="25FA9C61">
      <w:pPr>
        <w:rPr>
          <w:rFonts w:hint="eastAsia" w:ascii="宋体"/>
          <w:color w:val="auto"/>
          <w:sz w:val="28"/>
          <w:szCs w:val="28"/>
          <w:highlight w:val="none"/>
        </w:rPr>
      </w:pPr>
    </w:p>
    <w:p w14:paraId="6AF33DD0">
      <w:pPr>
        <w:rPr>
          <w:rFonts w:hint="eastAsia" w:ascii="宋体"/>
          <w:color w:val="auto"/>
          <w:sz w:val="28"/>
          <w:szCs w:val="28"/>
          <w:highlight w:val="none"/>
        </w:rPr>
      </w:pPr>
    </w:p>
    <w:p w14:paraId="5ECF8122">
      <w:pPr>
        <w:rPr>
          <w:rFonts w:hint="eastAsia" w:ascii="宋体"/>
          <w:color w:val="auto"/>
          <w:sz w:val="28"/>
          <w:szCs w:val="28"/>
          <w:highlight w:val="none"/>
        </w:rPr>
      </w:pPr>
    </w:p>
    <w:p w14:paraId="64C6149C">
      <w:pPr>
        <w:rPr>
          <w:rFonts w:hint="eastAsia" w:ascii="宋体"/>
          <w:color w:val="auto"/>
          <w:sz w:val="28"/>
          <w:szCs w:val="28"/>
          <w:highlight w:val="none"/>
        </w:rPr>
      </w:pPr>
    </w:p>
    <w:p w14:paraId="7ADC2E8E">
      <w:pPr>
        <w:rPr>
          <w:rFonts w:hint="eastAsia" w:ascii="宋体"/>
          <w:color w:val="auto"/>
          <w:sz w:val="28"/>
          <w:szCs w:val="28"/>
          <w:highlight w:val="none"/>
        </w:rPr>
      </w:pPr>
    </w:p>
    <w:p w14:paraId="3777F1F4">
      <w:pPr>
        <w:rPr>
          <w:rFonts w:hint="eastAsia" w:ascii="宋体"/>
          <w:color w:val="auto"/>
          <w:sz w:val="28"/>
          <w:szCs w:val="28"/>
          <w:highlight w:val="none"/>
        </w:rPr>
      </w:pPr>
    </w:p>
    <w:p w14:paraId="4D5D9FFC">
      <w:pPr>
        <w:rPr>
          <w:rFonts w:hint="eastAsia" w:ascii="宋体"/>
          <w:color w:val="auto"/>
          <w:sz w:val="28"/>
          <w:szCs w:val="28"/>
          <w:highlight w:val="none"/>
        </w:rPr>
      </w:pPr>
    </w:p>
    <w:p w14:paraId="4995BE86">
      <w:pPr>
        <w:jc w:val="center"/>
        <w:rPr>
          <w:rFonts w:hint="eastAsia" w:ascii="宋体"/>
          <w:color w:val="auto"/>
          <w:sz w:val="28"/>
          <w:szCs w:val="28"/>
          <w:highlight w:val="none"/>
          <w:u w:val="single"/>
        </w:rPr>
      </w:pP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04CFC46E">
      <w:pPr>
        <w:ind w:firstLine="700" w:firstLineChars="25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（签章）</w:t>
      </w:r>
    </w:p>
    <w:p w14:paraId="16EA7060">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79606162">
      <w:pPr>
        <w:spacing w:line="720" w:lineRule="auto"/>
        <w:jc w:val="center"/>
        <w:rPr>
          <w:rFonts w:hint="eastAsia" w:ascii="宋体"/>
          <w:b/>
          <w:color w:val="auto"/>
          <w:sz w:val="36"/>
          <w:szCs w:val="36"/>
          <w:highlight w:val="none"/>
        </w:rPr>
      </w:pPr>
    </w:p>
    <w:p w14:paraId="2660AD8F">
      <w:pPr>
        <w:spacing w:line="400" w:lineRule="exact"/>
        <w:ind w:firstLine="562" w:firstLineChars="200"/>
        <w:rPr>
          <w:rFonts w:hint="eastAsia"/>
          <w:b/>
          <w:color w:val="auto"/>
          <w:sz w:val="28"/>
          <w:szCs w:val="28"/>
          <w:highlight w:val="none"/>
        </w:rPr>
      </w:pPr>
    </w:p>
    <w:p w14:paraId="6845C440">
      <w:pPr>
        <w:spacing w:line="400" w:lineRule="exact"/>
        <w:jc w:val="center"/>
        <w:rPr>
          <w:rFonts w:hint="eastAsia"/>
          <w:b/>
          <w:color w:val="auto"/>
          <w:sz w:val="36"/>
          <w:szCs w:val="36"/>
          <w:highlight w:val="none"/>
        </w:rPr>
      </w:pPr>
      <w:r>
        <w:rPr>
          <w:b/>
          <w:color w:val="auto"/>
          <w:sz w:val="36"/>
          <w:szCs w:val="36"/>
          <w:highlight w:val="none"/>
        </w:rPr>
        <w:br w:type="page"/>
      </w:r>
      <w:r>
        <w:rPr>
          <w:rFonts w:hint="eastAsia"/>
          <w:b/>
          <w:color w:val="auto"/>
          <w:sz w:val="36"/>
          <w:szCs w:val="36"/>
          <w:highlight w:val="none"/>
        </w:rPr>
        <w:t>目   录</w:t>
      </w:r>
    </w:p>
    <w:p w14:paraId="25E6E013">
      <w:pPr>
        <w:spacing w:line="400" w:lineRule="exact"/>
        <w:ind w:firstLine="4130" w:firstLineChars="935"/>
        <w:rPr>
          <w:rFonts w:hint="eastAsia"/>
          <w:b/>
          <w:color w:val="auto"/>
          <w:sz w:val="44"/>
          <w:szCs w:val="44"/>
          <w:highlight w:val="none"/>
        </w:rPr>
      </w:pPr>
    </w:p>
    <w:p w14:paraId="12345508">
      <w:pPr>
        <w:spacing w:line="440" w:lineRule="exact"/>
        <w:ind w:left="420"/>
        <w:jc w:val="left"/>
        <w:rPr>
          <w:rFonts w:hint="eastAsia" w:ascii="宋体"/>
          <w:color w:val="auto"/>
          <w:szCs w:val="21"/>
          <w:highlight w:val="none"/>
        </w:rPr>
      </w:pPr>
      <w:r>
        <w:rPr>
          <w:rFonts w:hint="eastAsia" w:ascii="宋体"/>
          <w:color w:val="auto"/>
          <w:szCs w:val="21"/>
          <w:highlight w:val="none"/>
        </w:rPr>
        <w:t>（1）开标一览表（格式见附件）；</w:t>
      </w:r>
    </w:p>
    <w:p w14:paraId="71A6EB65">
      <w:pPr>
        <w:spacing w:line="440" w:lineRule="exact"/>
        <w:ind w:left="420"/>
        <w:jc w:val="left"/>
        <w:rPr>
          <w:rFonts w:hint="eastAsia" w:ascii="宋体"/>
          <w:color w:val="auto"/>
          <w:szCs w:val="21"/>
          <w:highlight w:val="none"/>
        </w:rPr>
      </w:pPr>
      <w:r>
        <w:rPr>
          <w:rFonts w:hint="eastAsia" w:ascii="宋体"/>
          <w:color w:val="auto"/>
          <w:szCs w:val="21"/>
          <w:highlight w:val="none"/>
        </w:rPr>
        <w:t>（2）投标函（格式见附件）；</w:t>
      </w:r>
    </w:p>
    <w:p w14:paraId="7513C2EE">
      <w:pPr>
        <w:spacing w:line="440" w:lineRule="exact"/>
        <w:ind w:firstLine="424" w:firstLineChars="202"/>
        <w:jc w:val="left"/>
        <w:rPr>
          <w:rFonts w:hint="default"/>
          <w:color w:val="auto"/>
          <w:highlight w:val="none"/>
          <w:lang w:val="en-US" w:eastAsia="zh-CN"/>
        </w:rPr>
      </w:pPr>
      <w:r>
        <w:rPr>
          <w:rFonts w:hint="eastAsia" w:ascii="宋体"/>
          <w:color w:val="auto"/>
          <w:szCs w:val="21"/>
          <w:highlight w:val="none"/>
          <w:lang w:eastAsia="zh-CN"/>
        </w:rPr>
        <w:t>（</w:t>
      </w:r>
      <w:r>
        <w:rPr>
          <w:rFonts w:hint="eastAsia" w:ascii="宋体"/>
          <w:color w:val="auto"/>
          <w:szCs w:val="21"/>
          <w:highlight w:val="none"/>
          <w:lang w:val="en-US" w:eastAsia="zh-CN"/>
        </w:rPr>
        <w:t>3）分项报价清单（格式见附件）；</w:t>
      </w:r>
    </w:p>
    <w:p w14:paraId="25EFFC6A">
      <w:pPr>
        <w:spacing w:line="440" w:lineRule="exact"/>
        <w:ind w:firstLine="424" w:firstLineChars="202"/>
        <w:jc w:val="left"/>
        <w:rPr>
          <w:rFonts w:hint="eastAsia" w:ascii="宋体"/>
          <w:color w:val="auto"/>
          <w:szCs w:val="21"/>
          <w:highlight w:val="none"/>
          <w:lang w:val="en-US" w:eastAsia="zh-CN"/>
        </w:rPr>
      </w:pPr>
      <w:r>
        <w:rPr>
          <w:rFonts w:hint="eastAsia" w:ascii="宋体"/>
          <w:color w:val="auto"/>
          <w:szCs w:val="21"/>
          <w:highlight w:val="none"/>
          <w:lang w:eastAsia="zh-CN"/>
        </w:rPr>
        <w:t>（</w:t>
      </w:r>
      <w:r>
        <w:rPr>
          <w:rFonts w:hint="eastAsia" w:ascii="宋体"/>
          <w:color w:val="auto"/>
          <w:szCs w:val="21"/>
          <w:highlight w:val="none"/>
          <w:lang w:val="en-US" w:eastAsia="zh-CN"/>
        </w:rPr>
        <w:t>4）汽车衡无人值守部分的配置清单报价表（格式自拟）；</w:t>
      </w:r>
    </w:p>
    <w:p w14:paraId="16C719B0">
      <w:pPr>
        <w:spacing w:line="440" w:lineRule="exact"/>
        <w:ind w:firstLine="424" w:firstLineChars="202"/>
        <w:jc w:val="left"/>
        <w:rPr>
          <w:rFonts w:hint="default" w:ascii="宋体" w:eastAsia="宋体"/>
          <w:color w:val="auto"/>
          <w:szCs w:val="21"/>
          <w:highlight w:val="none"/>
          <w:lang w:val="en-US" w:eastAsia="zh-CN"/>
        </w:rPr>
      </w:pPr>
      <w:r>
        <w:rPr>
          <w:rFonts w:hint="eastAsia" w:ascii="宋体"/>
          <w:color w:val="auto"/>
          <w:szCs w:val="21"/>
          <w:highlight w:val="none"/>
          <w:lang w:val="en-US" w:eastAsia="zh-CN"/>
        </w:rPr>
        <w:t>（注：中标后此表中综合单价不予调整）；</w:t>
      </w:r>
    </w:p>
    <w:p w14:paraId="1CF05044">
      <w:pPr>
        <w:spacing w:line="440" w:lineRule="exact"/>
        <w:ind w:firstLine="424" w:firstLineChars="202"/>
        <w:jc w:val="left"/>
        <w:rPr>
          <w:rFonts w:hint="eastAsia" w:ascii="宋体"/>
          <w:color w:val="auto"/>
          <w:szCs w:val="21"/>
          <w:highlight w:val="none"/>
        </w:rPr>
      </w:pPr>
      <w:r>
        <w:rPr>
          <w:rFonts w:hint="eastAsia" w:ascii="宋体"/>
          <w:color w:val="auto"/>
          <w:szCs w:val="21"/>
          <w:highlight w:val="none"/>
        </w:rPr>
        <w:t>（</w:t>
      </w:r>
      <w:r>
        <w:rPr>
          <w:rFonts w:hint="eastAsia" w:ascii="宋体"/>
          <w:color w:val="auto"/>
          <w:szCs w:val="21"/>
          <w:highlight w:val="none"/>
          <w:lang w:val="en-US" w:eastAsia="zh-CN"/>
        </w:rPr>
        <w:t>5</w:t>
      </w:r>
      <w:r>
        <w:rPr>
          <w:rFonts w:hint="eastAsia" w:ascii="宋体"/>
          <w:color w:val="auto"/>
          <w:szCs w:val="21"/>
          <w:highlight w:val="none"/>
        </w:rPr>
        <w:t>）招标文件商务评审中要求提供的其他相关资料；</w:t>
      </w:r>
    </w:p>
    <w:p w14:paraId="0B624974">
      <w:pPr>
        <w:jc w:val="center"/>
        <w:rPr>
          <w:rFonts w:hint="eastAsia" w:ascii="宋体"/>
          <w:b/>
          <w:color w:val="auto"/>
          <w:sz w:val="28"/>
          <w:szCs w:val="28"/>
          <w:highlight w:val="none"/>
        </w:rPr>
      </w:pPr>
    </w:p>
    <w:p w14:paraId="39D2421B">
      <w:pPr>
        <w:snapToGrid w:val="0"/>
        <w:spacing w:line="460" w:lineRule="exact"/>
        <w:ind w:left="2940" w:leftChars="1400" w:firstLine="964" w:firstLineChars="300"/>
        <w:rPr>
          <w:rFonts w:hint="eastAsia" w:ascii="宋体"/>
          <w:b/>
          <w:color w:val="auto"/>
          <w:sz w:val="32"/>
          <w:szCs w:val="32"/>
          <w:highlight w:val="none"/>
        </w:rPr>
      </w:pPr>
    </w:p>
    <w:p w14:paraId="5D8EC74F">
      <w:pPr>
        <w:snapToGrid w:val="0"/>
        <w:spacing w:line="460" w:lineRule="exact"/>
        <w:ind w:left="2940" w:leftChars="1400" w:firstLine="964" w:firstLineChars="300"/>
        <w:rPr>
          <w:rFonts w:hint="eastAsia" w:ascii="宋体"/>
          <w:b/>
          <w:color w:val="auto"/>
          <w:sz w:val="32"/>
          <w:szCs w:val="32"/>
          <w:highlight w:val="none"/>
        </w:rPr>
      </w:pPr>
    </w:p>
    <w:p w14:paraId="7E5F58F5">
      <w:pPr>
        <w:snapToGrid w:val="0"/>
        <w:spacing w:line="460" w:lineRule="exact"/>
        <w:ind w:left="2940" w:leftChars="1400" w:firstLine="964" w:firstLineChars="300"/>
        <w:rPr>
          <w:rFonts w:hint="eastAsia" w:ascii="宋体"/>
          <w:b/>
          <w:color w:val="auto"/>
          <w:sz w:val="32"/>
          <w:szCs w:val="32"/>
          <w:highlight w:val="none"/>
        </w:rPr>
      </w:pPr>
    </w:p>
    <w:p w14:paraId="2092CD12">
      <w:pPr>
        <w:snapToGrid w:val="0"/>
        <w:spacing w:line="460" w:lineRule="exact"/>
        <w:ind w:left="2940" w:leftChars="1400" w:firstLine="964" w:firstLineChars="300"/>
        <w:rPr>
          <w:rFonts w:hint="eastAsia" w:ascii="宋体"/>
          <w:b/>
          <w:color w:val="auto"/>
          <w:sz w:val="32"/>
          <w:szCs w:val="32"/>
          <w:highlight w:val="none"/>
        </w:rPr>
      </w:pPr>
    </w:p>
    <w:p w14:paraId="577E14FE">
      <w:pPr>
        <w:snapToGrid w:val="0"/>
        <w:spacing w:line="460" w:lineRule="exact"/>
        <w:ind w:left="2940" w:leftChars="1400" w:firstLine="964" w:firstLineChars="300"/>
        <w:rPr>
          <w:rFonts w:hint="eastAsia" w:ascii="宋体"/>
          <w:b/>
          <w:color w:val="auto"/>
          <w:sz w:val="32"/>
          <w:szCs w:val="32"/>
          <w:highlight w:val="none"/>
        </w:rPr>
      </w:pPr>
    </w:p>
    <w:p w14:paraId="2DE6D732">
      <w:pPr>
        <w:snapToGrid w:val="0"/>
        <w:spacing w:line="460" w:lineRule="exact"/>
        <w:ind w:left="2940" w:leftChars="1400" w:firstLine="964" w:firstLineChars="300"/>
        <w:rPr>
          <w:rFonts w:hint="eastAsia" w:ascii="宋体"/>
          <w:b/>
          <w:color w:val="auto"/>
          <w:sz w:val="32"/>
          <w:szCs w:val="32"/>
          <w:highlight w:val="none"/>
        </w:rPr>
      </w:pPr>
    </w:p>
    <w:p w14:paraId="3BBBD0EB">
      <w:pPr>
        <w:spacing w:line="360" w:lineRule="exact"/>
        <w:rPr>
          <w:rFonts w:hint="eastAsia" w:ascii="宋体" w:hAnsi="宋体"/>
          <w:b/>
          <w:color w:val="auto"/>
          <w:sz w:val="30"/>
          <w:szCs w:val="30"/>
          <w:highlight w:val="none"/>
        </w:rPr>
      </w:pPr>
      <w:r>
        <w:rPr>
          <w:rFonts w:ascii="宋体" w:hAnsi="宋体"/>
          <w:b/>
          <w:color w:val="auto"/>
          <w:sz w:val="30"/>
          <w:szCs w:val="30"/>
          <w:highlight w:val="none"/>
        </w:rPr>
        <w:br w:type="page"/>
      </w:r>
      <w:r>
        <w:rPr>
          <w:rFonts w:hint="eastAsia" w:ascii="宋体" w:hAnsi="宋体"/>
          <w:b/>
          <w:color w:val="auto"/>
          <w:sz w:val="30"/>
          <w:szCs w:val="30"/>
          <w:highlight w:val="none"/>
        </w:rPr>
        <w:t>附件1</w:t>
      </w:r>
    </w:p>
    <w:p w14:paraId="733C222E">
      <w:pPr>
        <w:spacing w:line="360" w:lineRule="exact"/>
        <w:ind w:firstLine="472" w:firstLineChars="147"/>
        <w:jc w:val="center"/>
        <w:rPr>
          <w:rFonts w:hint="eastAsia" w:ascii="宋体"/>
          <w:b/>
          <w:color w:val="auto"/>
          <w:sz w:val="32"/>
          <w:szCs w:val="32"/>
          <w:highlight w:val="none"/>
        </w:rPr>
      </w:pPr>
    </w:p>
    <w:p w14:paraId="532F983A">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开标一览表</w:t>
      </w:r>
    </w:p>
    <w:p w14:paraId="54B776AF">
      <w:pPr>
        <w:spacing w:line="360" w:lineRule="exact"/>
        <w:ind w:firstLine="354" w:firstLineChars="147"/>
        <w:rPr>
          <w:rFonts w:hint="eastAsia" w:ascii="宋体"/>
          <w:b/>
          <w:color w:val="auto"/>
          <w:sz w:val="24"/>
          <w:highlight w:val="none"/>
        </w:rPr>
      </w:pPr>
    </w:p>
    <w:p w14:paraId="153A4F81">
      <w:pPr>
        <w:spacing w:line="360" w:lineRule="exact"/>
        <w:ind w:firstLine="240" w:firstLineChars="100"/>
        <w:rPr>
          <w:rFonts w:hint="eastAsia" w:ascii="宋体"/>
          <w:color w:val="auto"/>
          <w:sz w:val="24"/>
          <w:highlight w:val="none"/>
        </w:rPr>
      </w:pPr>
      <w:r>
        <w:rPr>
          <w:rFonts w:hint="eastAsia" w:ascii="宋体"/>
          <w:color w:val="auto"/>
          <w:sz w:val="24"/>
          <w:highlight w:val="none"/>
        </w:rPr>
        <w:t>（注：开标一览表必须编入投标文件，唱标时，以投标文件中的开标一览表进行唱标）</w:t>
      </w:r>
    </w:p>
    <w:tbl>
      <w:tblPr>
        <w:tblStyle w:val="36"/>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7925A6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50" w:hRule="exact"/>
        </w:trPr>
        <w:tc>
          <w:tcPr>
            <w:tcW w:w="1803" w:type="dxa"/>
            <w:tcBorders>
              <w:top w:val="single" w:color="auto" w:sz="12" w:space="0"/>
              <w:bottom w:val="single" w:color="auto" w:sz="12" w:space="0"/>
              <w:right w:val="single" w:color="auto" w:sz="12" w:space="0"/>
            </w:tcBorders>
            <w:noWrap w:val="0"/>
            <w:vAlign w:val="center"/>
          </w:tcPr>
          <w:p w14:paraId="6AF50380">
            <w:pPr>
              <w:spacing w:line="700" w:lineRule="exact"/>
              <w:jc w:val="center"/>
              <w:rPr>
                <w:rFonts w:hint="eastAsia" w:ascii="宋体"/>
                <w:color w:val="auto"/>
                <w:sz w:val="24"/>
                <w:highlight w:val="none"/>
              </w:rPr>
            </w:pPr>
            <w:r>
              <w:rPr>
                <w:rFonts w:hint="eastAsia" w:ascii="宋体"/>
                <w:color w:val="auto"/>
                <w:sz w:val="24"/>
                <w:highlight w:val="none"/>
              </w:rPr>
              <w:t>项目名称</w:t>
            </w:r>
          </w:p>
        </w:tc>
        <w:tc>
          <w:tcPr>
            <w:tcW w:w="6952" w:type="dxa"/>
            <w:tcBorders>
              <w:top w:val="single" w:color="auto" w:sz="12" w:space="0"/>
              <w:left w:val="single" w:color="auto" w:sz="12" w:space="0"/>
              <w:bottom w:val="single" w:color="auto" w:sz="12" w:space="0"/>
            </w:tcBorders>
            <w:noWrap w:val="0"/>
            <w:vAlign w:val="center"/>
          </w:tcPr>
          <w:p w14:paraId="1418D945">
            <w:pPr>
              <w:spacing w:line="700" w:lineRule="exact"/>
              <w:jc w:val="left"/>
              <w:rPr>
                <w:rFonts w:hint="eastAsia"/>
                <w:color w:val="auto"/>
                <w:sz w:val="24"/>
                <w:highlight w:val="none"/>
              </w:rPr>
            </w:pPr>
            <w:r>
              <w:rPr>
                <w:rFonts w:hint="eastAsia"/>
                <w:color w:val="auto"/>
                <w:sz w:val="24"/>
                <w:highlight w:val="none"/>
              </w:rPr>
              <w:t xml:space="preserve">         </w:t>
            </w:r>
          </w:p>
        </w:tc>
      </w:tr>
      <w:tr w14:paraId="0DFDE1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110D1CEB">
            <w:pPr>
              <w:spacing w:line="700" w:lineRule="exact"/>
              <w:jc w:val="center"/>
              <w:rPr>
                <w:rFonts w:hint="eastAsia" w:ascii="宋体"/>
                <w:color w:val="auto"/>
                <w:sz w:val="24"/>
                <w:highlight w:val="none"/>
              </w:rPr>
            </w:pPr>
            <w:r>
              <w:rPr>
                <w:rFonts w:hint="eastAsia" w:ascii="宋体"/>
                <w:color w:val="auto"/>
                <w:sz w:val="24"/>
                <w:highlight w:val="none"/>
              </w:rPr>
              <w:t>项目编号</w:t>
            </w:r>
          </w:p>
        </w:tc>
        <w:tc>
          <w:tcPr>
            <w:tcW w:w="6952" w:type="dxa"/>
            <w:tcBorders>
              <w:top w:val="single" w:color="auto" w:sz="12" w:space="0"/>
              <w:left w:val="single" w:color="auto" w:sz="12" w:space="0"/>
            </w:tcBorders>
            <w:noWrap w:val="0"/>
            <w:vAlign w:val="center"/>
          </w:tcPr>
          <w:p w14:paraId="6FB9626A">
            <w:pPr>
              <w:spacing w:line="700" w:lineRule="exact"/>
              <w:rPr>
                <w:rFonts w:hint="eastAsia" w:ascii="宋体"/>
                <w:color w:val="auto"/>
                <w:sz w:val="24"/>
                <w:highlight w:val="none"/>
              </w:rPr>
            </w:pPr>
          </w:p>
        </w:tc>
      </w:tr>
      <w:tr w14:paraId="081A5B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1E9A6939">
            <w:pPr>
              <w:spacing w:line="700" w:lineRule="exact"/>
              <w:ind w:firstLine="120" w:firstLineChars="50"/>
              <w:rPr>
                <w:rFonts w:hint="eastAsia" w:ascii="宋体"/>
                <w:color w:val="auto"/>
                <w:sz w:val="24"/>
                <w:highlight w:val="none"/>
              </w:rPr>
            </w:pPr>
            <w:r>
              <w:rPr>
                <w:rFonts w:hint="eastAsia" w:ascii="宋体"/>
                <w:color w:val="auto"/>
                <w:sz w:val="24"/>
                <w:highlight w:val="none"/>
              </w:rPr>
              <w:t>投标人名称</w:t>
            </w:r>
          </w:p>
        </w:tc>
        <w:tc>
          <w:tcPr>
            <w:tcW w:w="6952" w:type="dxa"/>
            <w:tcBorders>
              <w:left w:val="single" w:color="auto" w:sz="12" w:space="0"/>
            </w:tcBorders>
            <w:noWrap w:val="0"/>
            <w:vAlign w:val="top"/>
          </w:tcPr>
          <w:p w14:paraId="0CC5B636">
            <w:pPr>
              <w:pStyle w:val="19"/>
              <w:spacing w:line="700" w:lineRule="exact"/>
              <w:ind w:left="86" w:leftChars="41"/>
              <w:rPr>
                <w:rFonts w:hint="eastAsia" w:ascii="宋体" w:eastAsia="宋体"/>
                <w:color w:val="auto"/>
                <w:sz w:val="24"/>
                <w:szCs w:val="24"/>
                <w:highlight w:val="none"/>
              </w:rPr>
            </w:pPr>
          </w:p>
        </w:tc>
      </w:tr>
      <w:tr w14:paraId="4CE3CD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486" w:hRule="exact"/>
        </w:trPr>
        <w:tc>
          <w:tcPr>
            <w:tcW w:w="1803" w:type="dxa"/>
            <w:tcBorders>
              <w:right w:val="single" w:color="auto" w:sz="12" w:space="0"/>
            </w:tcBorders>
            <w:noWrap w:val="0"/>
            <w:vAlign w:val="center"/>
          </w:tcPr>
          <w:p w14:paraId="3E004506">
            <w:pPr>
              <w:spacing w:line="360" w:lineRule="auto"/>
              <w:jc w:val="center"/>
              <w:rPr>
                <w:rFonts w:ascii="宋体"/>
                <w:color w:val="auto"/>
                <w:sz w:val="24"/>
                <w:highlight w:val="none"/>
              </w:rPr>
            </w:pPr>
            <w:r>
              <w:rPr>
                <w:rFonts w:hint="eastAsia" w:ascii="宋体" w:hAnsi="宋体"/>
                <w:color w:val="auto"/>
                <w:sz w:val="24"/>
                <w:highlight w:val="none"/>
              </w:rPr>
              <w:t>投标报价\合同履行期限</w:t>
            </w:r>
          </w:p>
        </w:tc>
        <w:tc>
          <w:tcPr>
            <w:tcW w:w="6952" w:type="dxa"/>
            <w:tcBorders>
              <w:left w:val="single" w:color="auto" w:sz="12" w:space="0"/>
            </w:tcBorders>
            <w:noWrap w:val="0"/>
            <w:vAlign w:val="center"/>
          </w:tcPr>
          <w:p w14:paraId="7FAA16FB">
            <w:pPr>
              <w:pStyle w:val="132"/>
              <w:keepNext w:val="0"/>
              <w:keepLines w:val="0"/>
              <w:pageBreakBefore w:val="0"/>
              <w:widowControl w:val="0"/>
              <w:kinsoku/>
              <w:wordWrap/>
              <w:overflowPunct/>
              <w:topLinePunct w:val="0"/>
              <w:autoSpaceDE/>
              <w:autoSpaceDN/>
              <w:bidi w:val="0"/>
              <w:adjustRightInd/>
              <w:snapToGrid/>
              <w:spacing w:before="95" w:beforeLines="30" w:after="95" w:afterLines="30" w:line="720" w:lineRule="exact"/>
              <w:jc w:val="left"/>
              <w:textAlignment w:val="auto"/>
              <w:rPr>
                <w:color w:val="auto"/>
                <w:sz w:val="24"/>
                <w:szCs w:val="24"/>
                <w:highlight w:val="none"/>
              </w:rPr>
            </w:pPr>
            <w:r>
              <w:rPr>
                <w:rFonts w:hint="eastAsia"/>
                <w:color w:val="auto"/>
                <w:spacing w:val="-2"/>
                <w:sz w:val="24"/>
                <w:szCs w:val="24"/>
                <w:highlight w:val="none"/>
                <w:lang w:val="en-US" w:eastAsia="zh-CN"/>
              </w:rPr>
              <w:t>投标</w:t>
            </w:r>
            <w:r>
              <w:rPr>
                <w:color w:val="auto"/>
                <w:spacing w:val="-2"/>
                <w:sz w:val="24"/>
                <w:szCs w:val="24"/>
                <w:highlight w:val="none"/>
              </w:rPr>
              <w:t>报价（大写</w:t>
            </w:r>
            <w:r>
              <w:rPr>
                <w:color w:val="auto"/>
                <w:sz w:val="24"/>
                <w:szCs w:val="24"/>
                <w:highlight w:val="none"/>
              </w:rPr>
              <w:t>）：</w:t>
            </w:r>
            <w:r>
              <w:rPr>
                <w:color w:val="auto"/>
                <w:sz w:val="24"/>
                <w:szCs w:val="24"/>
                <w:highlight w:val="none"/>
                <w:u w:val="none" w:color="auto"/>
              </w:rPr>
              <w:t xml:space="preserve">              </w:t>
            </w:r>
            <w:r>
              <w:rPr>
                <w:color w:val="auto"/>
                <w:sz w:val="24"/>
                <w:szCs w:val="24"/>
                <w:highlight w:val="none"/>
                <w:u w:val="single" w:color="auto"/>
              </w:rPr>
              <w:t xml:space="preserve">     </w:t>
            </w:r>
            <w:r>
              <w:rPr>
                <w:color w:val="auto"/>
                <w:spacing w:val="-109"/>
                <w:sz w:val="24"/>
                <w:szCs w:val="24"/>
                <w:highlight w:val="none"/>
              </w:rPr>
              <w:t xml:space="preserve"> </w:t>
            </w:r>
          </w:p>
          <w:p w14:paraId="265D23AE">
            <w:pPr>
              <w:pStyle w:val="132"/>
              <w:keepNext w:val="0"/>
              <w:keepLines w:val="0"/>
              <w:pageBreakBefore w:val="0"/>
              <w:widowControl w:val="0"/>
              <w:kinsoku/>
              <w:wordWrap/>
              <w:overflowPunct/>
              <w:topLinePunct w:val="0"/>
              <w:autoSpaceDE/>
              <w:autoSpaceDN/>
              <w:bidi w:val="0"/>
              <w:adjustRightInd/>
              <w:snapToGrid/>
              <w:spacing w:before="95" w:beforeLines="30" w:after="95" w:afterLines="30" w:line="720" w:lineRule="exact"/>
              <w:ind w:firstLine="944" w:firstLineChars="400"/>
              <w:jc w:val="left"/>
              <w:textAlignment w:val="auto"/>
              <w:rPr>
                <w:color w:val="auto"/>
                <w:sz w:val="24"/>
                <w:szCs w:val="24"/>
                <w:highlight w:val="none"/>
              </w:rPr>
            </w:pPr>
            <w:r>
              <w:rPr>
                <w:rFonts w:hint="eastAsia" w:cs="宋体"/>
                <w:color w:val="auto"/>
                <w:spacing w:val="-2"/>
                <w:sz w:val="24"/>
                <w:szCs w:val="24"/>
                <w:highlight w:val="none"/>
                <w:lang w:eastAsia="zh-CN"/>
              </w:rPr>
              <w:t>（</w:t>
            </w:r>
            <w:r>
              <w:rPr>
                <w:rFonts w:ascii="宋体" w:hAnsi="宋体" w:eastAsia="宋体" w:cs="宋体"/>
                <w:color w:val="auto"/>
                <w:spacing w:val="-2"/>
                <w:sz w:val="24"/>
                <w:szCs w:val="24"/>
                <w:highlight w:val="none"/>
              </w:rPr>
              <w:t>小写)：</w:t>
            </w:r>
            <w:r>
              <w:rPr>
                <w:rFonts w:ascii="宋体" w:hAnsi="宋体" w:eastAsia="宋体" w:cs="宋体"/>
                <w:color w:val="auto"/>
                <w:spacing w:val="-2"/>
                <w:sz w:val="24"/>
                <w:szCs w:val="24"/>
                <w:highlight w:val="none"/>
                <w:u w:val="single"/>
              </w:rPr>
              <w:t xml:space="preserve"> </w:t>
            </w:r>
            <w:r>
              <w:rPr>
                <w:rFonts w:hint="eastAsia" w:cs="宋体"/>
                <w:color w:val="auto"/>
                <w:spacing w:val="-2"/>
                <w:sz w:val="24"/>
                <w:szCs w:val="24"/>
                <w:highlight w:val="none"/>
                <w:u w:val="single"/>
                <w:lang w:val="en-US" w:eastAsia="zh-CN"/>
              </w:rPr>
              <w:t xml:space="preserve">          </w:t>
            </w:r>
            <w:r>
              <w:rPr>
                <w:rFonts w:hint="eastAsia" w:cs="宋体"/>
                <w:color w:val="auto"/>
                <w:spacing w:val="-2"/>
                <w:sz w:val="24"/>
                <w:szCs w:val="24"/>
                <w:highlight w:val="none"/>
                <w:lang w:val="en-US" w:eastAsia="zh-CN"/>
              </w:rPr>
              <w:t>元。</w:t>
            </w:r>
            <w:r>
              <w:rPr>
                <w:rFonts w:ascii="宋体" w:hAnsi="宋体" w:eastAsia="宋体" w:cs="宋体"/>
                <w:color w:val="auto"/>
                <w:spacing w:val="-2"/>
                <w:sz w:val="24"/>
                <w:szCs w:val="24"/>
                <w:highlight w:val="none"/>
              </w:rPr>
              <w:t xml:space="preserve">   </w:t>
            </w:r>
            <w:r>
              <w:rPr>
                <w:color w:val="auto"/>
                <w:spacing w:val="-8"/>
                <w:sz w:val="24"/>
                <w:szCs w:val="24"/>
                <w:highlight w:val="none"/>
                <w:u w:val="single" w:color="auto"/>
              </w:rPr>
              <w:t xml:space="preserve">                </w:t>
            </w:r>
            <w:r>
              <w:rPr>
                <w:color w:val="auto"/>
                <w:spacing w:val="-108"/>
                <w:sz w:val="24"/>
                <w:szCs w:val="24"/>
                <w:highlight w:val="none"/>
              </w:rPr>
              <w:t xml:space="preserve"> </w:t>
            </w:r>
          </w:p>
          <w:p w14:paraId="2D6B69BE">
            <w:pPr>
              <w:keepNext w:val="0"/>
              <w:keepLines w:val="0"/>
              <w:pageBreakBefore w:val="0"/>
              <w:widowControl w:val="0"/>
              <w:kinsoku/>
              <w:wordWrap/>
              <w:overflowPunct/>
              <w:topLinePunct w:val="0"/>
              <w:autoSpaceDE/>
              <w:autoSpaceDN/>
              <w:bidi w:val="0"/>
              <w:adjustRightInd/>
              <w:snapToGrid/>
              <w:spacing w:before="95" w:beforeLines="30" w:after="95" w:afterLines="30" w:line="720" w:lineRule="exact"/>
              <w:jc w:val="left"/>
              <w:textAlignment w:val="auto"/>
              <w:rPr>
                <w:rFonts w:hint="eastAsia" w:eastAsia="宋体"/>
                <w:b/>
                <w:bCs/>
                <w:color w:val="auto"/>
                <w:spacing w:val="-2"/>
                <w:sz w:val="24"/>
                <w:szCs w:val="24"/>
                <w:highlight w:val="none"/>
                <w:lang w:val="en-US" w:eastAsia="zh-CN"/>
              </w:rPr>
            </w:pPr>
            <w:r>
              <w:rPr>
                <w:rFonts w:hint="eastAsia"/>
                <w:b/>
                <w:bCs/>
                <w:color w:val="auto"/>
                <w:spacing w:val="-2"/>
                <w:sz w:val="24"/>
                <w:szCs w:val="24"/>
                <w:highlight w:val="none"/>
                <w:lang w:val="en-US" w:eastAsia="zh-CN"/>
              </w:rPr>
              <w:t>注：</w:t>
            </w:r>
            <w:r>
              <w:rPr>
                <w:rFonts w:hint="eastAsia"/>
                <w:b/>
                <w:bCs/>
                <w:color w:val="auto"/>
                <w:highlight w:val="none"/>
                <w:lang w:val="en-US" w:eastAsia="zh-CN"/>
              </w:rPr>
              <w:t>上述报价均</w:t>
            </w:r>
            <w:r>
              <w:rPr>
                <w:rFonts w:hint="eastAsia" w:eastAsia="宋体"/>
                <w:b/>
                <w:bCs/>
                <w:color w:val="auto"/>
                <w:highlight w:val="none"/>
              </w:rPr>
              <w:t>保留两位小数，第三位四舍五入</w:t>
            </w:r>
            <w:r>
              <w:rPr>
                <w:rFonts w:hint="eastAsia"/>
                <w:b/>
                <w:bCs/>
                <w:color w:val="auto"/>
                <w:highlight w:val="none"/>
                <w:lang w:eastAsia="zh-CN"/>
              </w:rPr>
              <w:t>。</w:t>
            </w:r>
          </w:p>
          <w:p w14:paraId="30808745">
            <w:pPr>
              <w:keepNext w:val="0"/>
              <w:keepLines w:val="0"/>
              <w:pageBreakBefore w:val="0"/>
              <w:widowControl w:val="0"/>
              <w:kinsoku/>
              <w:wordWrap/>
              <w:overflowPunct/>
              <w:topLinePunct w:val="0"/>
              <w:autoSpaceDE/>
              <w:autoSpaceDN/>
              <w:bidi w:val="0"/>
              <w:adjustRightInd/>
              <w:snapToGrid/>
              <w:spacing w:before="95" w:beforeLines="30" w:after="95" w:afterLines="30" w:line="720" w:lineRule="exact"/>
              <w:jc w:val="left"/>
              <w:textAlignment w:val="auto"/>
              <w:rPr>
                <w:rFonts w:hint="default" w:eastAsia="宋体"/>
                <w:color w:val="auto"/>
                <w:sz w:val="24"/>
                <w:highlight w:val="none"/>
                <w:lang w:val="en-US" w:eastAsia="zh-CN"/>
              </w:rPr>
            </w:pPr>
            <w:r>
              <w:rPr>
                <w:rFonts w:hint="eastAsia"/>
                <w:color w:val="auto"/>
                <w:spacing w:val="-2"/>
                <w:sz w:val="24"/>
                <w:szCs w:val="24"/>
                <w:highlight w:val="none"/>
                <w:lang w:val="en-US" w:eastAsia="zh-CN"/>
              </w:rPr>
              <w:t>履行</w:t>
            </w:r>
            <w:r>
              <w:rPr>
                <w:color w:val="auto"/>
                <w:spacing w:val="-2"/>
                <w:sz w:val="24"/>
                <w:szCs w:val="24"/>
                <w:highlight w:val="none"/>
              </w:rPr>
              <w:t>期：</w:t>
            </w:r>
            <w:r>
              <w:rPr>
                <w:color w:val="auto"/>
                <w:spacing w:val="-58"/>
                <w:sz w:val="24"/>
                <w:szCs w:val="24"/>
                <w:highlight w:val="none"/>
              </w:rPr>
              <w:t xml:space="preserve"> </w:t>
            </w:r>
            <w:r>
              <w:rPr>
                <w:rFonts w:hint="eastAsia"/>
                <w:color w:val="auto"/>
                <w:spacing w:val="-2"/>
                <w:sz w:val="24"/>
                <w:szCs w:val="24"/>
                <w:highlight w:val="none"/>
                <w:lang w:val="en-US" w:eastAsia="zh-CN"/>
              </w:rPr>
              <w:t>响应招标文件要求。</w:t>
            </w:r>
          </w:p>
        </w:tc>
      </w:tr>
    </w:tbl>
    <w:p w14:paraId="41C2C6DE">
      <w:pPr>
        <w:snapToGrid w:val="0"/>
        <w:spacing w:line="460" w:lineRule="exact"/>
        <w:ind w:left="2940" w:leftChars="1400" w:firstLine="723" w:firstLineChars="300"/>
        <w:rPr>
          <w:rFonts w:hint="eastAsia" w:ascii="宋体"/>
          <w:b/>
          <w:color w:val="auto"/>
          <w:sz w:val="24"/>
          <w:highlight w:val="none"/>
        </w:rPr>
      </w:pPr>
    </w:p>
    <w:p w14:paraId="78F25BDE">
      <w:pPr>
        <w:rPr>
          <w:rFonts w:hint="eastAsia" w:ascii="宋体"/>
          <w:color w:val="auto"/>
          <w:sz w:val="24"/>
          <w:highlight w:val="none"/>
        </w:rPr>
      </w:pPr>
      <w:r>
        <w:rPr>
          <w:rFonts w:hint="eastAsia" w:ascii="宋体"/>
          <w:color w:val="auto"/>
          <w:sz w:val="24"/>
          <w:highlight w:val="none"/>
        </w:rPr>
        <w:t>法定代表人（签章）：         投标人（盖单位章）：</w:t>
      </w:r>
    </w:p>
    <w:p w14:paraId="2AE18DAB">
      <w:pPr>
        <w:snapToGrid w:val="0"/>
        <w:spacing w:before="312" w:beforeLines="100" w:after="312" w:afterLines="100" w:line="360" w:lineRule="auto"/>
        <w:jc w:val="center"/>
        <w:rPr>
          <w:rFonts w:cs="Arial"/>
          <w:b/>
          <w:bCs/>
          <w:color w:val="auto"/>
          <w:sz w:val="30"/>
          <w:szCs w:val="30"/>
          <w:highlight w:val="none"/>
        </w:rPr>
        <w:sectPr>
          <w:pgSz w:w="11906" w:h="16838"/>
          <w:pgMar w:top="1440" w:right="1486"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ascii="宋体"/>
          <w:color w:val="auto"/>
          <w:sz w:val="24"/>
          <w:highlight w:val="none"/>
        </w:rPr>
        <w:t xml:space="preserve">                                      日  期：</w:t>
      </w:r>
      <w:r>
        <w:rPr>
          <w:rFonts w:hint="eastAsia" w:ascii="宋体" w:hAnsi="宋体"/>
          <w:color w:val="auto"/>
          <w:sz w:val="24"/>
          <w:highlight w:val="none"/>
          <w:u w:val="single"/>
        </w:rPr>
        <w:t xml:space="preserve">      </w:t>
      </w:r>
      <w:r>
        <w:rPr>
          <w:rFonts w:hint="eastAsia" w:ascii="宋体"/>
          <w:color w:val="auto"/>
          <w:sz w:val="24"/>
          <w:highlight w:val="none"/>
        </w:rPr>
        <w:t>年</w:t>
      </w:r>
      <w:r>
        <w:rPr>
          <w:rFonts w:hint="eastAsia" w:ascii="宋体" w:hAnsi="宋体"/>
          <w:color w:val="auto"/>
          <w:sz w:val="24"/>
          <w:highlight w:val="none"/>
          <w:u w:val="single"/>
        </w:rPr>
        <w:t xml:space="preserve">   </w:t>
      </w:r>
      <w:r>
        <w:rPr>
          <w:rFonts w:hint="eastAsia" w:ascii="宋体"/>
          <w:color w:val="auto"/>
          <w:sz w:val="24"/>
          <w:highlight w:val="none"/>
        </w:rPr>
        <w:t>月</w:t>
      </w:r>
      <w:r>
        <w:rPr>
          <w:rFonts w:hint="eastAsia" w:ascii="宋体" w:hAnsi="宋体"/>
          <w:color w:val="auto"/>
          <w:sz w:val="24"/>
          <w:highlight w:val="none"/>
          <w:u w:val="single"/>
        </w:rPr>
        <w:t xml:space="preserve">   </w:t>
      </w:r>
      <w:r>
        <w:rPr>
          <w:rFonts w:hint="eastAsia" w:ascii="宋体"/>
          <w:color w:val="auto"/>
          <w:sz w:val="24"/>
          <w:highlight w:val="none"/>
        </w:rPr>
        <w:t xml:space="preserve">日 </w:t>
      </w:r>
    </w:p>
    <w:p w14:paraId="5B3844C2">
      <w:pPr>
        <w:spacing w:line="360" w:lineRule="exact"/>
        <w:ind w:firstLine="443" w:firstLineChars="147"/>
        <w:rPr>
          <w:rFonts w:hint="eastAsia" w:ascii="宋体" w:hAnsi="宋体"/>
          <w:b/>
          <w:color w:val="auto"/>
          <w:sz w:val="30"/>
          <w:szCs w:val="30"/>
          <w:highlight w:val="none"/>
        </w:rPr>
      </w:pPr>
      <w:r>
        <w:rPr>
          <w:rFonts w:hint="eastAsia" w:ascii="宋体" w:hAnsi="宋体"/>
          <w:b/>
          <w:color w:val="auto"/>
          <w:sz w:val="30"/>
          <w:szCs w:val="30"/>
          <w:highlight w:val="none"/>
        </w:rPr>
        <w:t>附件2</w:t>
      </w:r>
    </w:p>
    <w:p w14:paraId="2F3BBEB5">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投  标  函</w:t>
      </w:r>
    </w:p>
    <w:p w14:paraId="6A1F4A69">
      <w:pPr>
        <w:spacing w:line="440" w:lineRule="exact"/>
        <w:rPr>
          <w:rFonts w:hint="eastAsia" w:ascii="宋体"/>
          <w:color w:val="auto"/>
          <w:sz w:val="24"/>
          <w:highlight w:val="none"/>
        </w:rPr>
      </w:pPr>
    </w:p>
    <w:p w14:paraId="633D8441">
      <w:pPr>
        <w:spacing w:line="500" w:lineRule="exact"/>
        <w:jc w:val="left"/>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(招标人)       </w:t>
      </w:r>
      <w:r>
        <w:rPr>
          <w:rFonts w:hint="eastAsia" w:ascii="宋体" w:hAnsi="宋体" w:cs="宋体"/>
          <w:color w:val="auto"/>
          <w:sz w:val="24"/>
          <w:highlight w:val="none"/>
        </w:rPr>
        <w:t xml:space="preserve"> </w:t>
      </w:r>
    </w:p>
    <w:p w14:paraId="19C9845A">
      <w:pPr>
        <w:spacing w:line="50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1、我们决定参加贵单位组织的“</w:t>
      </w:r>
      <w:r>
        <w:rPr>
          <w:rFonts w:hint="eastAsia" w:ascii="宋体" w:hAnsi="宋体" w:cs="宋体"/>
          <w:color w:val="auto"/>
          <w:sz w:val="24"/>
          <w:highlight w:val="none"/>
          <w:u w:val="single"/>
        </w:rPr>
        <w:t xml:space="preserve"> （项目名称）    </w:t>
      </w:r>
      <w:r>
        <w:rPr>
          <w:rFonts w:hint="eastAsia" w:ascii="宋体" w:hAnsi="宋体" w:cs="宋体"/>
          <w:color w:val="auto"/>
          <w:sz w:val="24"/>
          <w:highlight w:val="none"/>
        </w:rPr>
        <w:t>（编号：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）”的采购。我方授权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(姓名和职务)代表我方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（投标人的名称）全权处理本项目投标的有关事宜。</w:t>
      </w:r>
    </w:p>
    <w:p w14:paraId="7E7EC9A5">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eastAsia="宋体" w:cs="宋体"/>
          <w:color w:val="auto"/>
          <w:spacing w:val="-2"/>
          <w:sz w:val="24"/>
          <w:szCs w:val="24"/>
          <w:highlight w:val="none"/>
        </w:rPr>
      </w:pPr>
      <w:r>
        <w:rPr>
          <w:rFonts w:hint="eastAsia" w:ascii="宋体" w:hAnsi="宋体" w:cs="宋体"/>
          <w:color w:val="auto"/>
          <w:sz w:val="24"/>
          <w:highlight w:val="none"/>
        </w:rPr>
        <w:t>2、我方愿意按照招标文件规定的各项要求，向招标人提供“</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（项目编号）”项目的</w:t>
      </w:r>
      <w:r>
        <w:rPr>
          <w:rFonts w:hint="eastAsia" w:ascii="宋体" w:hAnsi="宋体" w:cs="宋体"/>
          <w:color w:val="auto"/>
          <w:sz w:val="24"/>
          <w:highlight w:val="none"/>
          <w:lang w:val="en-US" w:eastAsia="zh-CN"/>
        </w:rPr>
        <w:t>货物与</w:t>
      </w:r>
      <w:r>
        <w:rPr>
          <w:rFonts w:hint="eastAsia" w:ascii="宋体" w:hAnsi="宋体" w:cs="宋体"/>
          <w:color w:val="auto"/>
          <w:sz w:val="24"/>
          <w:highlight w:val="none"/>
        </w:rPr>
        <w:t>服务，</w:t>
      </w:r>
      <w:r>
        <w:rPr>
          <w:rFonts w:hint="eastAsia" w:ascii="宋体" w:hAnsi="宋体" w:cs="宋体"/>
          <w:color w:val="auto"/>
          <w:spacing w:val="-4"/>
          <w:sz w:val="24"/>
          <w:szCs w:val="24"/>
          <w:highlight w:val="none"/>
          <w:lang w:val="en-US" w:eastAsia="zh-CN"/>
        </w:rPr>
        <w:t>投标报价</w:t>
      </w:r>
      <w:r>
        <w:rPr>
          <w:rFonts w:ascii="宋体" w:hAnsi="宋体" w:eastAsia="宋体" w:cs="宋体"/>
          <w:color w:val="auto"/>
          <w:spacing w:val="-4"/>
          <w:sz w:val="24"/>
          <w:szCs w:val="24"/>
          <w:highlight w:val="none"/>
          <w:u w:val="single" w:color="auto"/>
        </w:rPr>
        <w:t>（大写</w:t>
      </w:r>
      <w:r>
        <w:rPr>
          <w:rFonts w:ascii="宋体" w:hAnsi="宋体" w:eastAsia="宋体" w:cs="宋体"/>
          <w:color w:val="auto"/>
          <w:spacing w:val="-55"/>
          <w:sz w:val="24"/>
          <w:szCs w:val="24"/>
          <w:highlight w:val="none"/>
          <w:u w:val="single" w:color="auto"/>
        </w:rPr>
        <w:t>）</w:t>
      </w:r>
      <w:r>
        <w:rPr>
          <w:rFonts w:ascii="宋体" w:hAnsi="宋体" w:eastAsia="宋体" w:cs="宋体"/>
          <w:color w:val="auto"/>
          <w:spacing w:val="7"/>
          <w:sz w:val="24"/>
          <w:szCs w:val="24"/>
          <w:highlight w:val="none"/>
          <w:u w:val="single" w:color="auto"/>
        </w:rPr>
        <w:t xml:space="preserve">          </w:t>
      </w:r>
      <w:r>
        <w:rPr>
          <w:rFonts w:hint="eastAsia" w:ascii="宋体" w:hAnsi="宋体" w:cs="宋体"/>
          <w:color w:val="auto"/>
          <w:spacing w:val="7"/>
          <w:sz w:val="24"/>
          <w:szCs w:val="24"/>
          <w:highlight w:val="none"/>
          <w:u w:val="single" w:color="auto"/>
          <w:lang w:val="en-US" w:eastAsia="zh-CN"/>
        </w:rPr>
        <w:t xml:space="preserve">      </w:t>
      </w:r>
      <w:r>
        <w:rPr>
          <w:rFonts w:ascii="宋体" w:hAnsi="宋体" w:eastAsia="宋体" w:cs="宋体"/>
          <w:color w:val="auto"/>
          <w:spacing w:val="7"/>
          <w:sz w:val="24"/>
          <w:szCs w:val="24"/>
          <w:highlight w:val="none"/>
          <w:u w:val="single" w:color="auto"/>
        </w:rPr>
        <w:t xml:space="preserve">  </w:t>
      </w:r>
      <w:r>
        <w:rPr>
          <w:rFonts w:hint="eastAsia" w:ascii="宋体" w:hAnsi="宋体" w:cs="宋体"/>
          <w:color w:val="auto"/>
          <w:spacing w:val="7"/>
          <w:sz w:val="24"/>
          <w:szCs w:val="24"/>
          <w:highlight w:val="none"/>
          <w:u w:val="single" w:color="auto"/>
          <w:lang w:eastAsia="zh-CN"/>
        </w:rPr>
        <w:t>（</w:t>
      </w:r>
      <w:r>
        <w:rPr>
          <w:rFonts w:hint="eastAsia" w:ascii="宋体" w:hAnsi="宋体" w:eastAsia="宋体" w:cs="宋体"/>
          <w:color w:val="auto"/>
          <w:spacing w:val="-4"/>
          <w:sz w:val="24"/>
          <w:szCs w:val="24"/>
          <w:highlight w:val="none"/>
          <w:u w:val="single" w:color="auto"/>
          <w:lang w:val="en-US" w:eastAsia="zh-CN"/>
        </w:rPr>
        <w:t>小</w:t>
      </w:r>
      <w:r>
        <w:rPr>
          <w:rFonts w:ascii="宋体" w:hAnsi="宋体" w:eastAsia="宋体" w:cs="宋体"/>
          <w:color w:val="auto"/>
          <w:spacing w:val="-2"/>
          <w:sz w:val="24"/>
          <w:szCs w:val="24"/>
          <w:highlight w:val="none"/>
          <w:u w:val="single" w:color="auto"/>
        </w:rPr>
        <w:t xml:space="preserve">写：   </w:t>
      </w:r>
      <w:r>
        <w:rPr>
          <w:rFonts w:hint="eastAsia" w:ascii="宋体" w:hAnsi="宋体" w:cs="宋体"/>
          <w:color w:val="auto"/>
          <w:spacing w:val="-2"/>
          <w:sz w:val="24"/>
          <w:szCs w:val="24"/>
          <w:highlight w:val="none"/>
          <w:u w:val="single" w:color="auto"/>
          <w:lang w:val="en-US" w:eastAsia="zh-CN"/>
        </w:rPr>
        <w:t xml:space="preserve">        </w:t>
      </w:r>
      <w:r>
        <w:rPr>
          <w:rFonts w:ascii="宋体" w:hAnsi="宋体" w:eastAsia="宋体" w:cs="宋体"/>
          <w:color w:val="auto"/>
          <w:spacing w:val="-2"/>
          <w:sz w:val="24"/>
          <w:szCs w:val="24"/>
          <w:highlight w:val="none"/>
          <w:u w:val="single" w:color="auto"/>
        </w:rPr>
        <w:t>元</w:t>
      </w:r>
      <w:r>
        <w:rPr>
          <w:rFonts w:ascii="宋体" w:hAnsi="宋体" w:eastAsia="宋体" w:cs="宋体"/>
          <w:color w:val="auto"/>
          <w:spacing w:val="9"/>
          <w:sz w:val="24"/>
          <w:szCs w:val="24"/>
          <w:highlight w:val="none"/>
          <w:u w:val="single" w:color="auto"/>
        </w:rPr>
        <w:t>）</w:t>
      </w:r>
      <w:r>
        <w:rPr>
          <w:rFonts w:hint="eastAsia" w:ascii="宋体" w:hAnsi="宋体" w:cs="宋体"/>
          <w:color w:val="auto"/>
          <w:spacing w:val="9"/>
          <w:sz w:val="24"/>
          <w:szCs w:val="24"/>
          <w:highlight w:val="none"/>
          <w:u w:val="none" w:color="auto"/>
          <w:lang w:eastAsia="zh-CN"/>
        </w:rPr>
        <w:t>，</w:t>
      </w:r>
      <w:r>
        <w:rPr>
          <w:rFonts w:hint="eastAsia" w:ascii="宋体" w:hAnsi="宋体" w:cs="宋体"/>
          <w:color w:val="auto"/>
          <w:spacing w:val="-2"/>
          <w:sz w:val="24"/>
          <w:szCs w:val="24"/>
          <w:highlight w:val="none"/>
          <w:lang w:val="en-US" w:eastAsia="zh-CN"/>
        </w:rPr>
        <w:t>合同履行期</w:t>
      </w:r>
      <w:r>
        <w:rPr>
          <w:rFonts w:ascii="宋体" w:hAnsi="宋体" w:eastAsia="宋体" w:cs="宋体"/>
          <w:color w:val="auto"/>
          <w:spacing w:val="-2"/>
          <w:sz w:val="24"/>
          <w:szCs w:val="24"/>
          <w:highlight w:val="none"/>
        </w:rPr>
        <w:t>：</w:t>
      </w:r>
      <w:r>
        <w:rPr>
          <w:rFonts w:hint="eastAsia" w:ascii="宋体" w:hAnsi="宋体" w:cs="宋体"/>
          <w:color w:val="auto"/>
          <w:spacing w:val="-2"/>
          <w:sz w:val="24"/>
          <w:szCs w:val="24"/>
          <w:highlight w:val="none"/>
          <w:u w:val="single" w:color="auto"/>
          <w:lang w:val="en-US" w:eastAsia="zh-CN"/>
        </w:rPr>
        <w:t>响应招标文件要求</w:t>
      </w:r>
      <w:r>
        <w:rPr>
          <w:rFonts w:ascii="宋体" w:hAnsi="宋体" w:eastAsia="宋体" w:cs="宋体"/>
          <w:color w:val="auto"/>
          <w:spacing w:val="-2"/>
          <w:sz w:val="24"/>
          <w:szCs w:val="24"/>
          <w:highlight w:val="none"/>
        </w:rPr>
        <w:t>。</w:t>
      </w:r>
    </w:p>
    <w:p w14:paraId="50E4D188">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s="宋体"/>
          <w:color w:val="auto"/>
          <w:sz w:val="24"/>
          <w:highlight w:val="none"/>
        </w:rPr>
      </w:pPr>
      <w:r>
        <w:rPr>
          <w:rFonts w:hint="eastAsia" w:ascii="宋体" w:hAnsi="宋体" w:cs="宋体"/>
          <w:color w:val="auto"/>
          <w:sz w:val="24"/>
          <w:highlight w:val="none"/>
        </w:rPr>
        <w:t>3、一旦我方成为合同签字人，我方将严格履行合同规定的责任和义务。</w:t>
      </w:r>
    </w:p>
    <w:p w14:paraId="3BBDA8AC">
      <w:pPr>
        <w:spacing w:line="50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4、若我方中标，愿意为本项目提交的纸质投标文件。</w:t>
      </w:r>
    </w:p>
    <w:p w14:paraId="78A1FF82">
      <w:pPr>
        <w:spacing w:line="50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5、我方愿意提供可能另外要求的、与采购投标有关的文件资料，并保证我方已提供和将要提供的文件是真实的、准确的。</w:t>
      </w:r>
    </w:p>
    <w:p w14:paraId="403CEBF0">
      <w:pPr>
        <w:pStyle w:val="35"/>
        <w:spacing w:after="0" w:line="500" w:lineRule="exact"/>
        <w:ind w:left="0" w:leftChars="0" w:firstLine="480"/>
        <w:jc w:val="left"/>
        <w:rPr>
          <w:rFonts w:hint="eastAsia" w:ascii="宋体" w:hAnsi="宋体" w:cs="宋体"/>
          <w:color w:val="auto"/>
          <w:sz w:val="24"/>
          <w:highlight w:val="none"/>
        </w:rPr>
      </w:pPr>
      <w:r>
        <w:rPr>
          <w:rFonts w:hint="eastAsia" w:ascii="宋体" w:hAnsi="宋体" w:cs="宋体"/>
          <w:color w:val="auto"/>
          <w:sz w:val="24"/>
          <w:highlight w:val="none"/>
        </w:rPr>
        <w:t>6、投标有效期为</w:t>
      </w:r>
      <w:r>
        <w:rPr>
          <w:rFonts w:hint="eastAsia" w:ascii="宋体" w:hAnsi="宋体" w:cs="宋体"/>
          <w:color w:val="auto"/>
          <w:sz w:val="24"/>
          <w:highlight w:val="none"/>
          <w:u w:val="single"/>
        </w:rPr>
        <w:t xml:space="preserve"> 90  </w:t>
      </w:r>
      <w:r>
        <w:rPr>
          <w:rFonts w:hint="eastAsia" w:ascii="宋体" w:hAnsi="宋体" w:cs="宋体"/>
          <w:color w:val="auto"/>
          <w:sz w:val="24"/>
          <w:highlight w:val="none"/>
        </w:rPr>
        <w:t>日历天（从投标截止之日算起）。</w:t>
      </w:r>
    </w:p>
    <w:p w14:paraId="70425351">
      <w:pPr>
        <w:spacing w:line="50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 xml:space="preserve">7、我单位提供如下通讯地址：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电子邮箱（地址），确认本项目相关法律文书均通过提供的以上地址送达，相关文书只要发送至以上电子邮箱（地址）即视为送达，投标人愿意承担一切法律后果。</w:t>
      </w:r>
    </w:p>
    <w:p w14:paraId="48753539">
      <w:pPr>
        <w:spacing w:line="500" w:lineRule="exact"/>
        <w:jc w:val="left"/>
        <w:rPr>
          <w:rFonts w:hint="eastAsia" w:ascii="宋体" w:hAnsi="宋体" w:cs="宋体"/>
          <w:color w:val="auto"/>
          <w:sz w:val="24"/>
          <w:highlight w:val="none"/>
        </w:rPr>
      </w:pPr>
      <w:r>
        <w:rPr>
          <w:rFonts w:hint="eastAsia" w:ascii="宋体" w:hAnsi="宋体" w:cs="宋体"/>
          <w:color w:val="auto"/>
          <w:sz w:val="24"/>
          <w:highlight w:val="none"/>
        </w:rPr>
        <w:t> </w:t>
      </w:r>
    </w:p>
    <w:p w14:paraId="26C6579F">
      <w:pPr>
        <w:spacing w:line="500" w:lineRule="exact"/>
        <w:jc w:val="left"/>
        <w:rPr>
          <w:rFonts w:hint="eastAsia" w:ascii="宋体" w:hAnsi="宋体" w:cs="宋体"/>
          <w:color w:val="auto"/>
          <w:sz w:val="24"/>
          <w:highlight w:val="none"/>
        </w:rPr>
      </w:pPr>
      <w:r>
        <w:rPr>
          <w:rFonts w:hint="eastAsia" w:ascii="宋体" w:hAnsi="宋体" w:cs="宋体"/>
          <w:color w:val="auto"/>
          <w:sz w:val="24"/>
          <w:highlight w:val="none"/>
        </w:rPr>
        <w:t>投标人名称：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（盖单位章）</w:t>
      </w:r>
    </w:p>
    <w:p w14:paraId="68CE5885">
      <w:pPr>
        <w:spacing w:line="500" w:lineRule="exact"/>
        <w:jc w:val="left"/>
        <w:rPr>
          <w:rFonts w:hint="eastAsia" w:ascii="宋体" w:hAnsi="宋体" w:cs="宋体"/>
          <w:color w:val="auto"/>
          <w:sz w:val="24"/>
          <w:highlight w:val="none"/>
        </w:rPr>
      </w:pPr>
      <w:r>
        <w:rPr>
          <w:rFonts w:hint="eastAsia" w:ascii="宋体" w:hAnsi="宋体" w:cs="宋体"/>
          <w:color w:val="auto"/>
          <w:sz w:val="24"/>
          <w:highlight w:val="none"/>
        </w:rPr>
        <w:t>投标人法定代表人：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（签章）</w:t>
      </w:r>
    </w:p>
    <w:p w14:paraId="7192EFD0">
      <w:pPr>
        <w:spacing w:line="500" w:lineRule="exact"/>
        <w:ind w:firstLine="3360" w:firstLineChars="1400"/>
        <w:jc w:val="left"/>
        <w:rPr>
          <w:rFonts w:hint="eastAsia" w:ascii="宋体" w:hAnsi="宋体" w:cs="宋体"/>
          <w:color w:val="auto"/>
          <w:sz w:val="24"/>
          <w:highlight w:val="non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p>
    <w:p w14:paraId="46B2F8F4">
      <w:pPr>
        <w:spacing w:line="500" w:lineRule="exact"/>
        <w:ind w:firstLine="3360" w:firstLineChars="1400"/>
        <w:jc w:val="left"/>
        <w:rPr>
          <w:rFonts w:hint="eastAsia" w:ascii="宋体" w:hAnsi="宋体" w:cs="宋体"/>
          <w:color w:val="auto"/>
          <w:sz w:val="24"/>
          <w:highlight w:val="none"/>
        </w:rPr>
      </w:pPr>
      <w:r>
        <w:rPr>
          <w:rFonts w:hint="eastAsia" w:ascii="宋体" w:hAnsi="宋体" w:cs="宋体"/>
          <w:color w:val="auto"/>
          <w:sz w:val="24"/>
          <w:highlight w:val="none"/>
        </w:rPr>
        <w:t>通讯地址：</w:t>
      </w:r>
      <w:r>
        <w:rPr>
          <w:rFonts w:hint="eastAsia" w:ascii="宋体" w:hAnsi="宋体" w:cs="宋体"/>
          <w:color w:val="auto"/>
          <w:sz w:val="24"/>
          <w:highlight w:val="none"/>
          <w:u w:val="single"/>
        </w:rPr>
        <w:t xml:space="preserve">                 </w:t>
      </w:r>
    </w:p>
    <w:p w14:paraId="2CD18C48">
      <w:pPr>
        <w:spacing w:line="500" w:lineRule="exact"/>
        <w:ind w:firstLine="3240" w:firstLineChars="1350"/>
        <w:jc w:val="left"/>
        <w:rPr>
          <w:rFonts w:hint="eastAsia" w:ascii="宋体" w:hAnsi="宋体" w:cs="宋体"/>
          <w:color w:val="auto"/>
          <w:sz w:val="24"/>
          <w:highlight w:val="none"/>
        </w:rPr>
      </w:pPr>
      <w:r>
        <w:rPr>
          <w:rFonts w:hint="eastAsia" w:ascii="宋体" w:hAnsi="宋体" w:cs="宋体"/>
          <w:color w:val="auto"/>
          <w:sz w:val="24"/>
          <w:highlight w:val="none"/>
        </w:rPr>
        <w:t>电    话：</w:t>
      </w:r>
      <w:r>
        <w:rPr>
          <w:rFonts w:hint="eastAsia" w:ascii="宋体" w:hAnsi="宋体" w:cs="宋体"/>
          <w:color w:val="auto"/>
          <w:sz w:val="24"/>
          <w:highlight w:val="none"/>
          <w:u w:val="single"/>
        </w:rPr>
        <w:t xml:space="preserve">                 </w:t>
      </w:r>
    </w:p>
    <w:p w14:paraId="6F4B145D">
      <w:pPr>
        <w:spacing w:line="500" w:lineRule="exact"/>
        <w:ind w:right="-178" w:rightChars="-85" w:firstLine="3240" w:firstLineChars="1350"/>
        <w:jc w:val="left"/>
        <w:rPr>
          <w:rFonts w:hint="eastAsia" w:ascii="宋体"/>
          <w:b/>
          <w:color w:val="auto"/>
          <w:sz w:val="28"/>
          <w:szCs w:val="28"/>
          <w:highlight w:val="none"/>
        </w:rPr>
      </w:pPr>
      <w:r>
        <w:rPr>
          <w:rFonts w:hint="eastAsia" w:ascii="宋体" w:hAnsi="宋体" w:cs="宋体"/>
          <w:color w:val="auto"/>
          <w:sz w:val="24"/>
          <w:highlight w:val="none"/>
        </w:rPr>
        <w:t>传    真：</w:t>
      </w:r>
      <w:r>
        <w:rPr>
          <w:rFonts w:hint="eastAsia" w:ascii="宋体" w:hAnsi="宋体" w:cs="宋体"/>
          <w:color w:val="auto"/>
          <w:sz w:val="24"/>
          <w:highlight w:val="none"/>
          <w:u w:val="single"/>
        </w:rPr>
        <w:t xml:space="preserve">  </w:t>
      </w:r>
      <w:r>
        <w:rPr>
          <w:rFonts w:hint="eastAsia" w:ascii="宋体"/>
          <w:color w:val="auto"/>
          <w:sz w:val="24"/>
          <w:highlight w:val="none"/>
          <w:u w:val="single"/>
        </w:rPr>
        <w:t xml:space="preserve">               </w:t>
      </w:r>
    </w:p>
    <w:p w14:paraId="1E765FD3">
      <w:pPr>
        <w:rPr>
          <w:rFonts w:hint="eastAsia" w:ascii="宋体" w:hAnsi="宋体"/>
          <w:b/>
          <w:color w:val="auto"/>
          <w:sz w:val="30"/>
          <w:szCs w:val="30"/>
          <w:highlight w:val="none"/>
        </w:rPr>
      </w:pPr>
    </w:p>
    <w:p w14:paraId="7239D24D">
      <w:pPr>
        <w:spacing w:line="360" w:lineRule="exact"/>
        <w:ind w:firstLine="308" w:firstLineChars="147"/>
        <w:rPr>
          <w:rFonts w:hint="eastAsia" w:ascii="宋体" w:hAnsi="宋体" w:eastAsia="宋体" w:cs="Times New Roman"/>
          <w:b/>
          <w:color w:val="auto"/>
          <w:sz w:val="30"/>
          <w:szCs w:val="30"/>
          <w:highlight w:val="none"/>
          <w:lang w:val="en-US" w:eastAsia="zh-CN"/>
        </w:rPr>
      </w:pPr>
      <w:r>
        <w:rPr>
          <w:rFonts w:hint="eastAsia"/>
          <w:color w:val="auto"/>
          <w:highlight w:val="none"/>
        </w:rPr>
        <w:br w:type="page"/>
      </w:r>
      <w:r>
        <w:rPr>
          <w:rFonts w:hint="eastAsia" w:ascii="宋体" w:hAnsi="宋体" w:eastAsia="宋体" w:cs="Times New Roman"/>
          <w:b/>
          <w:color w:val="auto"/>
          <w:sz w:val="30"/>
          <w:szCs w:val="30"/>
          <w:highlight w:val="none"/>
          <w:lang w:val="en-US" w:eastAsia="zh-CN"/>
        </w:rPr>
        <w:t>附件3</w:t>
      </w:r>
    </w:p>
    <w:p w14:paraId="7F90A576">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ind w:firstLine="472" w:firstLineChars="147"/>
        <w:jc w:val="center"/>
        <w:textAlignment w:val="auto"/>
        <w:rPr>
          <w:rFonts w:hint="eastAsia" w:ascii="宋体" w:hAnsi="Times New Roman" w:eastAsia="宋体" w:cs="Times New Roman"/>
          <w:b/>
          <w:color w:val="auto"/>
          <w:sz w:val="32"/>
          <w:szCs w:val="32"/>
          <w:highlight w:val="none"/>
          <w:lang w:val="en-US" w:eastAsia="zh-CN"/>
        </w:rPr>
      </w:pPr>
      <w:r>
        <w:rPr>
          <w:rFonts w:hint="eastAsia" w:ascii="宋体" w:hAnsi="Times New Roman" w:eastAsia="宋体" w:cs="Times New Roman"/>
          <w:b/>
          <w:color w:val="auto"/>
          <w:sz w:val="32"/>
          <w:szCs w:val="32"/>
          <w:highlight w:val="none"/>
          <w:lang w:val="en-US" w:eastAsia="zh-CN"/>
        </w:rPr>
        <w:t>分项报价清单</w:t>
      </w:r>
    </w:p>
    <w:tbl>
      <w:tblPr>
        <w:tblStyle w:val="37"/>
        <w:tblW w:w="10365" w:type="dxa"/>
        <w:tblInd w:w="-5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800"/>
        <w:gridCol w:w="900"/>
        <w:gridCol w:w="720"/>
        <w:gridCol w:w="1095"/>
        <w:gridCol w:w="1125"/>
        <w:gridCol w:w="4020"/>
      </w:tblGrid>
      <w:tr w14:paraId="629C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2F0A167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序号</w:t>
            </w:r>
          </w:p>
        </w:tc>
        <w:tc>
          <w:tcPr>
            <w:tcW w:w="1800" w:type="dxa"/>
            <w:vAlign w:val="center"/>
          </w:tcPr>
          <w:p w14:paraId="1DD8C68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采购内容</w:t>
            </w:r>
          </w:p>
        </w:tc>
        <w:tc>
          <w:tcPr>
            <w:tcW w:w="900" w:type="dxa"/>
            <w:vAlign w:val="center"/>
          </w:tcPr>
          <w:p w14:paraId="3BC442A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单位</w:t>
            </w:r>
          </w:p>
        </w:tc>
        <w:tc>
          <w:tcPr>
            <w:tcW w:w="720" w:type="dxa"/>
            <w:vAlign w:val="center"/>
          </w:tcPr>
          <w:p w14:paraId="532DAAF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数量</w:t>
            </w:r>
          </w:p>
        </w:tc>
        <w:tc>
          <w:tcPr>
            <w:tcW w:w="1095" w:type="dxa"/>
            <w:vAlign w:val="center"/>
          </w:tcPr>
          <w:p w14:paraId="1A7B459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综合单价(元）</w:t>
            </w:r>
          </w:p>
        </w:tc>
        <w:tc>
          <w:tcPr>
            <w:tcW w:w="1125" w:type="dxa"/>
            <w:vAlign w:val="center"/>
          </w:tcPr>
          <w:p w14:paraId="37FA12F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小计（元）</w:t>
            </w:r>
          </w:p>
        </w:tc>
        <w:tc>
          <w:tcPr>
            <w:tcW w:w="4020" w:type="dxa"/>
            <w:vAlign w:val="center"/>
          </w:tcPr>
          <w:p w14:paraId="515C1A3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备注</w:t>
            </w:r>
          </w:p>
        </w:tc>
      </w:tr>
      <w:tr w14:paraId="1212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trPr>
        <w:tc>
          <w:tcPr>
            <w:tcW w:w="705" w:type="dxa"/>
            <w:vAlign w:val="center"/>
          </w:tcPr>
          <w:p w14:paraId="3063748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p>
        </w:tc>
        <w:tc>
          <w:tcPr>
            <w:tcW w:w="1800" w:type="dxa"/>
            <w:vAlign w:val="center"/>
          </w:tcPr>
          <w:p w14:paraId="5EB4E0E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汽车衡无人值守部分</w:t>
            </w:r>
          </w:p>
        </w:tc>
        <w:tc>
          <w:tcPr>
            <w:tcW w:w="900" w:type="dxa"/>
            <w:vAlign w:val="center"/>
          </w:tcPr>
          <w:p w14:paraId="06C0F29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个汽车衡</w:t>
            </w:r>
          </w:p>
        </w:tc>
        <w:tc>
          <w:tcPr>
            <w:tcW w:w="720" w:type="dxa"/>
            <w:vAlign w:val="center"/>
          </w:tcPr>
          <w:p w14:paraId="76AE552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2</w:t>
            </w:r>
          </w:p>
        </w:tc>
        <w:tc>
          <w:tcPr>
            <w:tcW w:w="1095" w:type="dxa"/>
            <w:vAlign w:val="center"/>
          </w:tcPr>
          <w:p w14:paraId="2E9437B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p>
        </w:tc>
        <w:tc>
          <w:tcPr>
            <w:tcW w:w="1125" w:type="dxa"/>
            <w:vAlign w:val="center"/>
          </w:tcPr>
          <w:p w14:paraId="5C85CF4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p>
        </w:tc>
        <w:tc>
          <w:tcPr>
            <w:tcW w:w="4020" w:type="dxa"/>
          </w:tcPr>
          <w:p w14:paraId="2E4BDA1C">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color w:val="auto"/>
                <w:highlight w:val="none"/>
                <w:lang w:eastAsia="zh-CN"/>
              </w:rPr>
            </w:pPr>
            <w:r>
              <w:rPr>
                <w:color w:val="auto"/>
                <w:highlight w:val="none"/>
              </w:rPr>
              <w:t>汽车衡智能升级硬件费用（不</w:t>
            </w:r>
            <w:r>
              <w:rPr>
                <w:rFonts w:hint="eastAsia"/>
                <w:color w:val="auto"/>
                <w:highlight w:val="none"/>
                <w:lang w:val="en-US" w:eastAsia="zh-CN"/>
              </w:rPr>
              <w:t>含汽车衡</w:t>
            </w:r>
            <w:r>
              <w:rPr>
                <w:color w:val="auto"/>
                <w:highlight w:val="none"/>
              </w:rPr>
              <w:t>），实际采购费用按投标人分项报价及实际需要增加的硬件设备</w:t>
            </w:r>
            <w:r>
              <w:rPr>
                <w:rFonts w:hint="eastAsia"/>
                <w:color w:val="auto"/>
                <w:highlight w:val="none"/>
                <w:lang w:eastAsia="zh-CN"/>
              </w:rPr>
              <w:t>（</w:t>
            </w:r>
            <w:r>
              <w:rPr>
                <w:rFonts w:hint="eastAsia"/>
                <w:color w:val="auto"/>
                <w:highlight w:val="none"/>
                <w:lang w:val="en-US" w:eastAsia="zh-CN"/>
              </w:rPr>
              <w:t>即在满足招标人采购需求的基础上，招标人不强制要求投标人投入所有列明硬件</w:t>
            </w:r>
            <w:r>
              <w:rPr>
                <w:rFonts w:hint="eastAsia"/>
                <w:color w:val="auto"/>
                <w:highlight w:val="none"/>
                <w:lang w:eastAsia="zh-CN"/>
              </w:rPr>
              <w:t>）</w:t>
            </w:r>
            <w:r>
              <w:rPr>
                <w:rFonts w:hint="eastAsia"/>
                <w:color w:val="auto"/>
                <w:highlight w:val="none"/>
                <w:lang w:val="en-US" w:eastAsia="zh-CN"/>
              </w:rPr>
              <w:t>据实计算</w:t>
            </w:r>
            <w:r>
              <w:rPr>
                <w:rFonts w:hint="eastAsia"/>
                <w:color w:val="auto"/>
                <w:highlight w:val="none"/>
                <w:lang w:eastAsia="zh-CN"/>
              </w:rPr>
              <w:t>。</w:t>
            </w:r>
          </w:p>
          <w:p w14:paraId="184EF87B">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color w:val="auto"/>
                <w:highlight w:val="none"/>
                <w:lang w:val="en-US" w:eastAsia="zh-CN"/>
              </w:rPr>
            </w:pPr>
            <w:r>
              <w:rPr>
                <w:rFonts w:hint="eastAsia"/>
                <w:color w:val="auto"/>
                <w:highlight w:val="none"/>
                <w:lang w:val="en-US" w:eastAsia="zh-CN"/>
              </w:rPr>
              <w:t>具体明细详见汽车衡无人值守部分的配置清单报价表（格式自拟）</w:t>
            </w:r>
          </w:p>
        </w:tc>
      </w:tr>
      <w:tr w14:paraId="6557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trPr>
        <w:tc>
          <w:tcPr>
            <w:tcW w:w="705" w:type="dxa"/>
            <w:vAlign w:val="center"/>
          </w:tcPr>
          <w:p w14:paraId="29F7B2A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2</w:t>
            </w:r>
          </w:p>
        </w:tc>
        <w:tc>
          <w:tcPr>
            <w:tcW w:w="1800" w:type="dxa"/>
            <w:vAlign w:val="center"/>
          </w:tcPr>
          <w:p w14:paraId="17C1406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中控及软件部分（含微信小程序，不含APP开发、云服务器、MySQL服务、小程序服务费和SSL证书）</w:t>
            </w:r>
          </w:p>
        </w:tc>
        <w:tc>
          <w:tcPr>
            <w:tcW w:w="900" w:type="dxa"/>
            <w:shd w:val="clear" w:color="auto" w:fill="auto"/>
            <w:vAlign w:val="center"/>
          </w:tcPr>
          <w:p w14:paraId="6B3E72C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highlight w:val="none"/>
                <w:vertAlign w:val="baseline"/>
                <w:lang w:val="en-US" w:eastAsia="zh-CN"/>
              </w:rPr>
              <w:t>项</w:t>
            </w:r>
          </w:p>
        </w:tc>
        <w:tc>
          <w:tcPr>
            <w:tcW w:w="720" w:type="dxa"/>
            <w:shd w:val="clear" w:color="auto" w:fill="auto"/>
            <w:vAlign w:val="center"/>
          </w:tcPr>
          <w:p w14:paraId="00A53C8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highlight w:val="none"/>
                <w:vertAlign w:val="baseline"/>
                <w:lang w:val="en-US" w:eastAsia="zh-CN"/>
              </w:rPr>
              <w:t>1</w:t>
            </w:r>
          </w:p>
        </w:tc>
        <w:tc>
          <w:tcPr>
            <w:tcW w:w="1095" w:type="dxa"/>
            <w:shd w:val="clear" w:color="auto" w:fill="auto"/>
            <w:vAlign w:val="center"/>
          </w:tcPr>
          <w:p w14:paraId="3841A5A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p>
        </w:tc>
        <w:tc>
          <w:tcPr>
            <w:tcW w:w="1125" w:type="dxa"/>
            <w:shd w:val="clear" w:color="auto" w:fill="auto"/>
            <w:vAlign w:val="center"/>
          </w:tcPr>
          <w:p w14:paraId="0DA7011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p>
        </w:tc>
        <w:tc>
          <w:tcPr>
            <w:tcW w:w="4020" w:type="dxa"/>
            <w:shd w:val="clear" w:color="auto" w:fill="auto"/>
            <w:vAlign w:val="center"/>
          </w:tcPr>
          <w:p w14:paraId="1367B0E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highlight w:val="none"/>
                <w:vertAlign w:val="baseline"/>
                <w:lang w:val="en-US" w:eastAsia="zh-CN"/>
              </w:rPr>
              <w:t>一次性投入，后续招标人不论增加多少汽车衡，不再收费</w:t>
            </w:r>
            <w:r>
              <w:rPr>
                <w:rFonts w:hint="eastAsia" w:ascii="宋体" w:hAnsi="宋体" w:cs="宋体"/>
                <w:b w:val="0"/>
                <w:bCs w:val="0"/>
                <w:color w:val="auto"/>
                <w:sz w:val="21"/>
                <w:szCs w:val="21"/>
                <w:highlight w:val="none"/>
                <w:vertAlign w:val="baseline"/>
                <w:lang w:val="en-US" w:eastAsia="zh-CN"/>
              </w:rPr>
              <w:t>。</w:t>
            </w:r>
          </w:p>
        </w:tc>
      </w:tr>
      <w:tr w14:paraId="4407A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37C89EF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3</w:t>
            </w:r>
          </w:p>
        </w:tc>
        <w:tc>
          <w:tcPr>
            <w:tcW w:w="1800" w:type="dxa"/>
            <w:vAlign w:val="center"/>
          </w:tcPr>
          <w:p w14:paraId="3AB5EBC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云服务器</w:t>
            </w:r>
          </w:p>
        </w:tc>
        <w:tc>
          <w:tcPr>
            <w:tcW w:w="900" w:type="dxa"/>
            <w:vAlign w:val="center"/>
          </w:tcPr>
          <w:p w14:paraId="7052EEF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项</w:t>
            </w:r>
          </w:p>
        </w:tc>
        <w:tc>
          <w:tcPr>
            <w:tcW w:w="720" w:type="dxa"/>
            <w:vAlign w:val="center"/>
          </w:tcPr>
          <w:p w14:paraId="47AFF17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w:t>
            </w:r>
          </w:p>
        </w:tc>
        <w:tc>
          <w:tcPr>
            <w:tcW w:w="1095" w:type="dxa"/>
            <w:vAlign w:val="center"/>
          </w:tcPr>
          <w:p w14:paraId="43C59E8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p>
        </w:tc>
        <w:tc>
          <w:tcPr>
            <w:tcW w:w="1125" w:type="dxa"/>
            <w:vAlign w:val="center"/>
          </w:tcPr>
          <w:p w14:paraId="62FF847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p>
        </w:tc>
        <w:tc>
          <w:tcPr>
            <w:tcW w:w="4020" w:type="dxa"/>
            <w:vAlign w:val="top"/>
          </w:tcPr>
          <w:p w14:paraId="69A16BC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含首年费用，次年招标人按此报价每年缴费</w:t>
            </w:r>
          </w:p>
        </w:tc>
      </w:tr>
      <w:tr w14:paraId="7468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08EC87D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4</w:t>
            </w:r>
          </w:p>
        </w:tc>
        <w:tc>
          <w:tcPr>
            <w:tcW w:w="1800" w:type="dxa"/>
            <w:vAlign w:val="center"/>
          </w:tcPr>
          <w:p w14:paraId="296CD7A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MySQL服务</w:t>
            </w:r>
          </w:p>
        </w:tc>
        <w:tc>
          <w:tcPr>
            <w:tcW w:w="900" w:type="dxa"/>
            <w:shd w:val="clear" w:color="auto" w:fill="auto"/>
            <w:vAlign w:val="center"/>
          </w:tcPr>
          <w:p w14:paraId="4B084B7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项</w:t>
            </w:r>
          </w:p>
        </w:tc>
        <w:tc>
          <w:tcPr>
            <w:tcW w:w="720" w:type="dxa"/>
            <w:shd w:val="clear" w:color="auto" w:fill="auto"/>
            <w:vAlign w:val="center"/>
          </w:tcPr>
          <w:p w14:paraId="5885E6D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1</w:t>
            </w:r>
          </w:p>
        </w:tc>
        <w:tc>
          <w:tcPr>
            <w:tcW w:w="1095" w:type="dxa"/>
            <w:shd w:val="clear" w:color="auto" w:fill="auto"/>
            <w:vAlign w:val="center"/>
          </w:tcPr>
          <w:p w14:paraId="05160DA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kern w:val="2"/>
                <w:sz w:val="21"/>
                <w:szCs w:val="21"/>
                <w:highlight w:val="none"/>
                <w:vertAlign w:val="baseline"/>
                <w:lang w:val="en-US" w:eastAsia="zh-CN" w:bidi="ar-SA"/>
              </w:rPr>
            </w:pPr>
          </w:p>
        </w:tc>
        <w:tc>
          <w:tcPr>
            <w:tcW w:w="1125" w:type="dxa"/>
            <w:shd w:val="clear" w:color="auto" w:fill="auto"/>
            <w:vAlign w:val="center"/>
          </w:tcPr>
          <w:p w14:paraId="2056374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kern w:val="2"/>
                <w:sz w:val="21"/>
                <w:szCs w:val="21"/>
                <w:highlight w:val="none"/>
                <w:vertAlign w:val="baseline"/>
                <w:lang w:val="en-US" w:eastAsia="zh-CN" w:bidi="ar-SA"/>
              </w:rPr>
            </w:pPr>
          </w:p>
        </w:tc>
        <w:tc>
          <w:tcPr>
            <w:tcW w:w="4020" w:type="dxa"/>
            <w:shd w:val="clear" w:color="auto" w:fill="auto"/>
            <w:vAlign w:val="top"/>
          </w:tcPr>
          <w:p w14:paraId="72E83A79">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含首年费用，次年招标人按此报价每年缴费</w:t>
            </w:r>
          </w:p>
        </w:tc>
      </w:tr>
      <w:tr w14:paraId="471E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241AB62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5</w:t>
            </w:r>
          </w:p>
        </w:tc>
        <w:tc>
          <w:tcPr>
            <w:tcW w:w="1800" w:type="dxa"/>
            <w:vAlign w:val="center"/>
          </w:tcPr>
          <w:p w14:paraId="4659CB7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小程序服务费</w:t>
            </w:r>
          </w:p>
        </w:tc>
        <w:tc>
          <w:tcPr>
            <w:tcW w:w="900" w:type="dxa"/>
            <w:vAlign w:val="center"/>
          </w:tcPr>
          <w:p w14:paraId="74B5CD8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项</w:t>
            </w:r>
          </w:p>
        </w:tc>
        <w:tc>
          <w:tcPr>
            <w:tcW w:w="720" w:type="dxa"/>
            <w:vAlign w:val="center"/>
          </w:tcPr>
          <w:p w14:paraId="4002B92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w:t>
            </w:r>
          </w:p>
        </w:tc>
        <w:tc>
          <w:tcPr>
            <w:tcW w:w="1095" w:type="dxa"/>
            <w:vAlign w:val="center"/>
          </w:tcPr>
          <w:p w14:paraId="545B235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p>
        </w:tc>
        <w:tc>
          <w:tcPr>
            <w:tcW w:w="1125" w:type="dxa"/>
            <w:vAlign w:val="center"/>
          </w:tcPr>
          <w:p w14:paraId="14E84DC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p>
        </w:tc>
        <w:tc>
          <w:tcPr>
            <w:tcW w:w="4020" w:type="dxa"/>
            <w:vAlign w:val="top"/>
          </w:tcPr>
          <w:p w14:paraId="523ABDE8">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含首年费用，次年招标人按此报价每年缴费</w:t>
            </w:r>
          </w:p>
        </w:tc>
      </w:tr>
      <w:tr w14:paraId="5F3D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1A060DB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6</w:t>
            </w:r>
          </w:p>
        </w:tc>
        <w:tc>
          <w:tcPr>
            <w:tcW w:w="1800" w:type="dxa"/>
            <w:vAlign w:val="center"/>
          </w:tcPr>
          <w:p w14:paraId="33350D3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SSL证书</w:t>
            </w:r>
          </w:p>
        </w:tc>
        <w:tc>
          <w:tcPr>
            <w:tcW w:w="900" w:type="dxa"/>
            <w:vAlign w:val="center"/>
          </w:tcPr>
          <w:p w14:paraId="622E69C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项</w:t>
            </w:r>
          </w:p>
        </w:tc>
        <w:tc>
          <w:tcPr>
            <w:tcW w:w="720" w:type="dxa"/>
            <w:vAlign w:val="center"/>
          </w:tcPr>
          <w:p w14:paraId="5D6CF5C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w:t>
            </w:r>
          </w:p>
        </w:tc>
        <w:tc>
          <w:tcPr>
            <w:tcW w:w="1095" w:type="dxa"/>
            <w:vAlign w:val="center"/>
          </w:tcPr>
          <w:p w14:paraId="1B76BF0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p>
        </w:tc>
        <w:tc>
          <w:tcPr>
            <w:tcW w:w="1125" w:type="dxa"/>
            <w:vAlign w:val="center"/>
          </w:tcPr>
          <w:p w14:paraId="63C3C5B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p>
        </w:tc>
        <w:tc>
          <w:tcPr>
            <w:tcW w:w="4020" w:type="dxa"/>
            <w:vAlign w:val="top"/>
          </w:tcPr>
          <w:p w14:paraId="6414E6B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含首年费用，次年招标人按此报价每年缴费</w:t>
            </w:r>
          </w:p>
        </w:tc>
      </w:tr>
      <w:tr w14:paraId="343B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74176C7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7</w:t>
            </w:r>
          </w:p>
        </w:tc>
        <w:tc>
          <w:tcPr>
            <w:tcW w:w="1800" w:type="dxa"/>
            <w:shd w:val="clear" w:color="auto" w:fill="auto"/>
            <w:vAlign w:val="center"/>
          </w:tcPr>
          <w:p w14:paraId="6D4D92A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highlight w:val="none"/>
                <w:vertAlign w:val="baseline"/>
                <w:lang w:val="en-US" w:eastAsia="zh-CN"/>
              </w:rPr>
              <w:t>中控及软件部分</w:t>
            </w:r>
            <w:r>
              <w:rPr>
                <w:rFonts w:hint="eastAsia" w:ascii="宋体" w:hAnsi="宋体" w:cs="宋体"/>
                <w:b w:val="0"/>
                <w:bCs w:val="0"/>
                <w:color w:val="auto"/>
                <w:sz w:val="21"/>
                <w:szCs w:val="21"/>
                <w:highlight w:val="none"/>
                <w:vertAlign w:val="baseline"/>
                <w:lang w:val="en-US" w:eastAsia="zh-CN"/>
              </w:rPr>
              <w:t>（特指APP开发）</w:t>
            </w:r>
          </w:p>
        </w:tc>
        <w:tc>
          <w:tcPr>
            <w:tcW w:w="900" w:type="dxa"/>
            <w:shd w:val="clear" w:color="auto" w:fill="auto"/>
            <w:vAlign w:val="center"/>
          </w:tcPr>
          <w:p w14:paraId="75684BC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highlight w:val="none"/>
                <w:vertAlign w:val="baseline"/>
                <w:lang w:val="en-US" w:eastAsia="zh-CN"/>
              </w:rPr>
              <w:t>项</w:t>
            </w:r>
          </w:p>
        </w:tc>
        <w:tc>
          <w:tcPr>
            <w:tcW w:w="720" w:type="dxa"/>
            <w:shd w:val="clear" w:color="auto" w:fill="auto"/>
            <w:vAlign w:val="center"/>
          </w:tcPr>
          <w:p w14:paraId="51CE3B8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highlight w:val="none"/>
                <w:vertAlign w:val="baseline"/>
                <w:lang w:val="en-US" w:eastAsia="zh-CN"/>
              </w:rPr>
              <w:t>1</w:t>
            </w:r>
          </w:p>
        </w:tc>
        <w:tc>
          <w:tcPr>
            <w:tcW w:w="1095" w:type="dxa"/>
            <w:shd w:val="clear" w:color="auto" w:fill="auto"/>
            <w:vAlign w:val="center"/>
          </w:tcPr>
          <w:p w14:paraId="7BB89CB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kern w:val="2"/>
                <w:sz w:val="21"/>
                <w:szCs w:val="21"/>
                <w:highlight w:val="none"/>
                <w:vertAlign w:val="baseline"/>
                <w:lang w:val="en-US" w:eastAsia="zh-CN" w:bidi="ar-SA"/>
              </w:rPr>
            </w:pPr>
          </w:p>
        </w:tc>
        <w:tc>
          <w:tcPr>
            <w:tcW w:w="1125" w:type="dxa"/>
            <w:shd w:val="clear" w:color="auto" w:fill="auto"/>
            <w:vAlign w:val="center"/>
          </w:tcPr>
          <w:p w14:paraId="18C39D0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kern w:val="2"/>
                <w:sz w:val="21"/>
                <w:szCs w:val="21"/>
                <w:highlight w:val="none"/>
                <w:vertAlign w:val="baseline"/>
                <w:lang w:val="en-US" w:eastAsia="zh-CN" w:bidi="ar-SA"/>
              </w:rPr>
            </w:pPr>
          </w:p>
        </w:tc>
        <w:tc>
          <w:tcPr>
            <w:tcW w:w="4020" w:type="dxa"/>
            <w:vAlign w:val="center"/>
          </w:tcPr>
          <w:p w14:paraId="34A549B8">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含鸿蒙、安卓、苹果三个APP系统</w:t>
            </w:r>
          </w:p>
        </w:tc>
      </w:tr>
      <w:tr w14:paraId="34D0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3C15432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8</w:t>
            </w:r>
          </w:p>
        </w:tc>
        <w:tc>
          <w:tcPr>
            <w:tcW w:w="1800" w:type="dxa"/>
            <w:vAlign w:val="center"/>
          </w:tcPr>
          <w:p w14:paraId="5385EC2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其它部分</w:t>
            </w:r>
          </w:p>
        </w:tc>
        <w:tc>
          <w:tcPr>
            <w:tcW w:w="900" w:type="dxa"/>
            <w:shd w:val="clear" w:color="auto" w:fill="auto"/>
            <w:vAlign w:val="center"/>
          </w:tcPr>
          <w:p w14:paraId="5405B2E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eastAsia="宋体" w:cs="宋体"/>
                <w:b w:val="0"/>
                <w:bCs w:val="0"/>
                <w:color w:val="auto"/>
                <w:sz w:val="21"/>
                <w:szCs w:val="21"/>
                <w:highlight w:val="none"/>
                <w:vertAlign w:val="baseline"/>
                <w:lang w:val="en-US" w:eastAsia="zh-CN"/>
              </w:rPr>
              <w:t>个汽车衡</w:t>
            </w:r>
          </w:p>
        </w:tc>
        <w:tc>
          <w:tcPr>
            <w:tcW w:w="720" w:type="dxa"/>
            <w:shd w:val="clear" w:color="auto" w:fill="auto"/>
            <w:vAlign w:val="center"/>
          </w:tcPr>
          <w:p w14:paraId="2D77326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kern w:val="2"/>
                <w:sz w:val="21"/>
                <w:szCs w:val="21"/>
                <w:highlight w:val="none"/>
                <w:vertAlign w:val="baseline"/>
                <w:lang w:val="en-US" w:eastAsia="zh-CN" w:bidi="ar-SA"/>
              </w:rPr>
            </w:pPr>
            <w:r>
              <w:rPr>
                <w:rFonts w:hint="eastAsia" w:ascii="宋体" w:hAnsi="宋体" w:cs="宋体"/>
                <w:b w:val="0"/>
                <w:bCs w:val="0"/>
                <w:color w:val="auto"/>
                <w:sz w:val="21"/>
                <w:szCs w:val="21"/>
                <w:highlight w:val="none"/>
                <w:vertAlign w:val="baseline"/>
                <w:lang w:val="en-US" w:eastAsia="zh-CN"/>
              </w:rPr>
              <w:t>2</w:t>
            </w:r>
          </w:p>
        </w:tc>
        <w:tc>
          <w:tcPr>
            <w:tcW w:w="1095" w:type="dxa"/>
            <w:vAlign w:val="center"/>
          </w:tcPr>
          <w:p w14:paraId="2F7A470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auto"/>
                <w:sz w:val="21"/>
                <w:szCs w:val="21"/>
                <w:highlight w:val="none"/>
                <w:vertAlign w:val="baseline"/>
                <w:lang w:val="en-US" w:eastAsia="zh-CN"/>
              </w:rPr>
            </w:pPr>
          </w:p>
        </w:tc>
        <w:tc>
          <w:tcPr>
            <w:tcW w:w="1125" w:type="dxa"/>
            <w:vAlign w:val="center"/>
          </w:tcPr>
          <w:p w14:paraId="6EA97DD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val="0"/>
                <w:color w:val="auto"/>
                <w:sz w:val="21"/>
                <w:szCs w:val="21"/>
                <w:highlight w:val="none"/>
                <w:vertAlign w:val="baseline"/>
                <w:lang w:val="en-US" w:eastAsia="zh-CN"/>
              </w:rPr>
            </w:pPr>
          </w:p>
        </w:tc>
        <w:tc>
          <w:tcPr>
            <w:tcW w:w="4020" w:type="dxa"/>
          </w:tcPr>
          <w:p w14:paraId="531C4CCB">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1.</w:t>
            </w:r>
            <w:r>
              <w:rPr>
                <w:rFonts w:hint="eastAsia" w:ascii="宋体" w:hAnsi="宋体" w:eastAsia="宋体" w:cs="宋体"/>
                <w:b w:val="0"/>
                <w:bCs w:val="0"/>
                <w:color w:val="auto"/>
                <w:sz w:val="21"/>
                <w:szCs w:val="21"/>
                <w:highlight w:val="none"/>
                <w:vertAlign w:val="baseline"/>
                <w:lang w:val="en-US" w:eastAsia="zh-CN"/>
              </w:rPr>
              <w:t>费用包含一个汽车衡软硬件设备安装调试所需一切费用，包含各类辅材、人工等费用后</w:t>
            </w:r>
            <w:r>
              <w:rPr>
                <w:rFonts w:hint="eastAsia" w:ascii="宋体" w:hAnsi="宋体" w:cs="宋体"/>
                <w:b w:val="0"/>
                <w:bCs w:val="0"/>
                <w:color w:val="auto"/>
                <w:sz w:val="21"/>
                <w:szCs w:val="21"/>
                <w:highlight w:val="none"/>
                <w:vertAlign w:val="baseline"/>
                <w:lang w:val="en-US" w:eastAsia="zh-CN"/>
              </w:rPr>
              <w:t>。</w:t>
            </w:r>
          </w:p>
          <w:p w14:paraId="658B2FBD">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cs="宋体"/>
                <w:b w:val="0"/>
                <w:bCs w:val="0"/>
                <w:color w:val="auto"/>
                <w:sz w:val="21"/>
                <w:szCs w:val="21"/>
                <w:highlight w:val="none"/>
                <w:vertAlign w:val="baseline"/>
                <w:lang w:val="en-US" w:eastAsia="zh-CN"/>
              </w:rPr>
              <w:t>2.合同履行期内如需把一个汽车衡的软硬件更换至另一个汽车衡，其所产生的拆除、安装施工及管材等费用均按此项中标单价执行。</w:t>
            </w:r>
          </w:p>
        </w:tc>
      </w:tr>
      <w:tr w14:paraId="1469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5" w:type="dxa"/>
            <w:gridSpan w:val="2"/>
          </w:tcPr>
          <w:p w14:paraId="088C650C">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b/>
                <w:bCs/>
                <w:color w:val="auto"/>
                <w:sz w:val="21"/>
                <w:szCs w:val="21"/>
                <w:highlight w:val="none"/>
                <w:vertAlign w:val="baseline"/>
                <w:lang w:val="en-US" w:eastAsia="zh-CN"/>
              </w:rPr>
            </w:pPr>
            <w:r>
              <w:rPr>
                <w:rFonts w:hint="eastAsia" w:ascii="宋体" w:hAnsi="宋体" w:cs="宋体"/>
                <w:b/>
                <w:bCs/>
                <w:color w:val="auto"/>
                <w:sz w:val="21"/>
                <w:szCs w:val="21"/>
                <w:highlight w:val="none"/>
                <w:vertAlign w:val="baseline"/>
                <w:lang w:val="en-US" w:eastAsia="zh-CN"/>
              </w:rPr>
              <w:t>投标报价</w:t>
            </w:r>
          </w:p>
        </w:tc>
        <w:tc>
          <w:tcPr>
            <w:tcW w:w="7860" w:type="dxa"/>
            <w:gridSpan w:val="5"/>
          </w:tcPr>
          <w:p w14:paraId="6B52FA5C">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b/>
                <w:bCs/>
                <w:color w:val="auto"/>
                <w:sz w:val="21"/>
                <w:szCs w:val="21"/>
                <w:highlight w:val="none"/>
                <w:vertAlign w:val="baseline"/>
                <w:lang w:val="en-US" w:eastAsia="zh-CN"/>
              </w:rPr>
            </w:pPr>
            <w:r>
              <w:rPr>
                <w:rFonts w:hint="eastAsia" w:ascii="宋体" w:hAnsi="宋体" w:cs="宋体"/>
                <w:b/>
                <w:bCs/>
                <w:color w:val="auto"/>
                <w:sz w:val="21"/>
                <w:szCs w:val="21"/>
                <w:highlight w:val="none"/>
                <w:vertAlign w:val="baseline"/>
                <w:lang w:val="en-US" w:eastAsia="zh-CN"/>
              </w:rPr>
              <w:t xml:space="preserve">大写：         小写：     </w:t>
            </w:r>
          </w:p>
        </w:tc>
      </w:tr>
    </w:tbl>
    <w:p w14:paraId="0AE73BB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注：1.所有投标只能选择一种方案，单价和合价的报价只能是唯一，且须列出详细的分项报价。</w:t>
      </w:r>
      <w:r>
        <w:rPr>
          <w:rFonts w:hint="eastAsia" w:ascii="宋体" w:hAnsi="宋体" w:eastAsia="宋体" w:cs="宋体"/>
          <w:b/>
          <w:bCs/>
          <w:color w:val="auto"/>
          <w:sz w:val="21"/>
          <w:szCs w:val="21"/>
          <w:highlight w:val="none"/>
          <w:lang w:val="zh-CN"/>
        </w:rPr>
        <w:t>（</w:t>
      </w:r>
      <w:r>
        <w:rPr>
          <w:rFonts w:hint="eastAsia" w:ascii="宋体" w:hAnsi="宋体" w:eastAsia="宋体" w:cs="宋体"/>
          <w:b/>
          <w:bCs/>
          <w:color w:val="auto"/>
          <w:sz w:val="21"/>
          <w:szCs w:val="21"/>
          <w:highlight w:val="none"/>
          <w:lang w:val="en-US" w:eastAsia="zh-CN"/>
        </w:rPr>
        <w:t>严格按</w:t>
      </w:r>
      <w:r>
        <w:rPr>
          <w:rFonts w:hint="eastAsia" w:ascii="宋体" w:hAnsi="宋体" w:eastAsia="宋体" w:cs="宋体"/>
          <w:b/>
          <w:bCs/>
          <w:color w:val="auto"/>
          <w:sz w:val="21"/>
          <w:szCs w:val="21"/>
          <w:highlight w:val="none"/>
          <w:lang w:val="zh-CN"/>
        </w:rPr>
        <w:t>采购清单</w:t>
      </w:r>
      <w:r>
        <w:rPr>
          <w:rFonts w:hint="eastAsia" w:ascii="宋体" w:hAnsi="宋体" w:eastAsia="宋体" w:cs="宋体"/>
          <w:b/>
          <w:bCs/>
          <w:color w:val="auto"/>
          <w:sz w:val="21"/>
          <w:szCs w:val="21"/>
          <w:highlight w:val="none"/>
          <w:lang w:val="en-US" w:eastAsia="zh-CN"/>
        </w:rPr>
        <w:t>顺序及格式填写</w:t>
      </w:r>
      <w:r>
        <w:rPr>
          <w:rFonts w:hint="eastAsia" w:ascii="宋体" w:hAnsi="宋体" w:eastAsia="宋体" w:cs="宋体"/>
          <w:b/>
          <w:bCs/>
          <w:color w:val="auto"/>
          <w:sz w:val="21"/>
          <w:szCs w:val="21"/>
          <w:highlight w:val="none"/>
          <w:lang w:val="zh-CN"/>
        </w:rPr>
        <w:t>，不得</w:t>
      </w:r>
      <w:r>
        <w:rPr>
          <w:rFonts w:hint="eastAsia" w:ascii="宋体" w:hAnsi="宋体" w:eastAsia="宋体" w:cs="宋体"/>
          <w:b/>
          <w:bCs/>
          <w:color w:val="auto"/>
          <w:sz w:val="21"/>
          <w:szCs w:val="21"/>
          <w:highlight w:val="none"/>
          <w:lang w:val="en-US" w:eastAsia="zh-CN"/>
        </w:rPr>
        <w:t>错项、</w:t>
      </w:r>
      <w:r>
        <w:rPr>
          <w:rFonts w:hint="eastAsia" w:ascii="宋体" w:hAnsi="宋体" w:eastAsia="宋体" w:cs="宋体"/>
          <w:b/>
          <w:bCs/>
          <w:color w:val="auto"/>
          <w:sz w:val="21"/>
          <w:szCs w:val="21"/>
          <w:highlight w:val="none"/>
          <w:lang w:val="zh-CN"/>
        </w:rPr>
        <w:t>缺项</w:t>
      </w:r>
      <w:r>
        <w:rPr>
          <w:rFonts w:hint="eastAsia" w:ascii="宋体" w:hAnsi="宋体" w:eastAsia="宋体" w:cs="宋体"/>
          <w:b/>
          <w:bCs/>
          <w:color w:val="auto"/>
          <w:sz w:val="21"/>
          <w:szCs w:val="21"/>
          <w:highlight w:val="none"/>
          <w:lang w:val="en-US" w:eastAsia="zh-CN"/>
        </w:rPr>
        <w:t>和多项。</w:t>
      </w:r>
      <w:r>
        <w:rPr>
          <w:rFonts w:hint="eastAsia" w:ascii="宋体" w:hAnsi="宋体" w:eastAsia="宋体" w:cs="宋体"/>
          <w:b/>
          <w:bCs/>
          <w:color w:val="auto"/>
          <w:sz w:val="21"/>
          <w:szCs w:val="21"/>
          <w:highlight w:val="none"/>
          <w:lang w:val="zh-CN"/>
        </w:rPr>
        <w:t>）</w:t>
      </w:r>
    </w:p>
    <w:p w14:paraId="63BC5A1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投标时投标人必须保证报价的完整性，如有漏报，则视为优惠，中标后不允许追加费用。如有</w:t>
      </w:r>
      <w:r>
        <w:rPr>
          <w:rFonts w:hint="eastAsia" w:ascii="宋体" w:hAnsi="宋体" w:eastAsia="宋体" w:cs="宋体"/>
          <w:color w:val="auto"/>
          <w:sz w:val="21"/>
          <w:szCs w:val="21"/>
          <w:highlight w:val="none"/>
          <w:lang w:val="en-US" w:eastAsia="zh-CN"/>
        </w:rPr>
        <w:t>多</w:t>
      </w:r>
      <w:r>
        <w:rPr>
          <w:rFonts w:hint="eastAsia" w:ascii="宋体" w:hAnsi="宋体" w:eastAsia="宋体" w:cs="宋体"/>
          <w:color w:val="auto"/>
          <w:sz w:val="21"/>
          <w:szCs w:val="21"/>
          <w:highlight w:val="none"/>
          <w:lang w:val="zh-CN"/>
        </w:rPr>
        <w:t>报，</w:t>
      </w:r>
      <w:r>
        <w:rPr>
          <w:rFonts w:hint="eastAsia" w:ascii="宋体" w:hAnsi="宋体" w:eastAsia="宋体" w:cs="宋体"/>
          <w:color w:val="auto"/>
          <w:sz w:val="21"/>
          <w:szCs w:val="21"/>
          <w:highlight w:val="none"/>
          <w:lang w:val="en-US" w:eastAsia="zh-CN"/>
        </w:rPr>
        <w:t>则</w:t>
      </w:r>
      <w:r>
        <w:rPr>
          <w:rFonts w:hint="eastAsia" w:ascii="宋体" w:hAnsi="宋体" w:eastAsia="宋体" w:cs="宋体"/>
          <w:color w:val="auto"/>
          <w:sz w:val="21"/>
          <w:szCs w:val="21"/>
          <w:highlight w:val="none"/>
        </w:rPr>
        <w:t>在评标时不予核减，但在授予合同时，将这部分价格从其中标价格中扣除。</w:t>
      </w:r>
    </w:p>
    <w:p w14:paraId="1443E0DE">
      <w:pPr>
        <w:keepNext w:val="0"/>
        <w:keepLines w:val="0"/>
        <w:pageBreakBefore w:val="0"/>
        <w:widowControl w:val="0"/>
        <w:kinsoku/>
        <w:wordWrap/>
        <w:overflowPunct/>
        <w:topLinePunct w:val="0"/>
        <w:autoSpaceDE/>
        <w:autoSpaceDN/>
        <w:bidi w:val="0"/>
        <w:adjustRightInd/>
        <w:snapToGrid/>
        <w:spacing w:line="500" w:lineRule="exact"/>
        <w:ind w:firstLine="4830" w:firstLineChars="2300"/>
        <w:jc w:val="left"/>
        <w:textAlignment w:val="auto"/>
        <w:rPr>
          <w:rFonts w:hint="eastAsia" w:ascii="宋体" w:hAnsi="宋体" w:eastAsia="宋体"/>
          <w:color w:val="auto"/>
          <w:sz w:val="21"/>
          <w:szCs w:val="21"/>
          <w:highlight w:val="none"/>
        </w:rPr>
      </w:pPr>
    </w:p>
    <w:p w14:paraId="16B3C7DC">
      <w:pPr>
        <w:keepNext w:val="0"/>
        <w:keepLines w:val="0"/>
        <w:pageBreakBefore w:val="0"/>
        <w:widowControl w:val="0"/>
        <w:kinsoku/>
        <w:wordWrap/>
        <w:overflowPunct/>
        <w:topLinePunct w:val="0"/>
        <w:autoSpaceDE/>
        <w:autoSpaceDN/>
        <w:bidi w:val="0"/>
        <w:adjustRightInd/>
        <w:snapToGrid/>
        <w:spacing w:line="500" w:lineRule="exact"/>
        <w:ind w:firstLine="4830" w:firstLineChars="2300"/>
        <w:jc w:val="left"/>
        <w:textAlignment w:val="auto"/>
        <w:rPr>
          <w:rFonts w:ascii="宋体" w:hAnsi="宋体" w:eastAsia="宋体"/>
          <w:color w:val="auto"/>
          <w:sz w:val="21"/>
          <w:szCs w:val="21"/>
          <w:highlight w:val="none"/>
          <w:u w:val="single"/>
        </w:rPr>
      </w:pPr>
      <w:r>
        <w:rPr>
          <w:rFonts w:hint="eastAsia" w:ascii="宋体" w:hAnsi="宋体" w:eastAsia="宋体"/>
          <w:color w:val="auto"/>
          <w:sz w:val="21"/>
          <w:szCs w:val="21"/>
          <w:highlight w:val="none"/>
        </w:rPr>
        <w:t>投标人</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lang w:val="en-US" w:eastAsia="zh-CN"/>
        </w:rPr>
        <w:t>盖章</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rPr>
        <w:t>：</w:t>
      </w:r>
      <w:r>
        <w:rPr>
          <w:rFonts w:hint="eastAsia" w:ascii="宋体" w:hAnsi="宋体" w:eastAsia="宋体"/>
          <w:color w:val="auto"/>
          <w:sz w:val="21"/>
          <w:szCs w:val="21"/>
          <w:highlight w:val="none"/>
          <w:u w:val="single"/>
        </w:rPr>
        <w:t xml:space="preserve">     </w:t>
      </w:r>
      <w:r>
        <w:rPr>
          <w:rFonts w:ascii="宋体" w:hAnsi="宋体" w:eastAsia="宋体"/>
          <w:color w:val="auto"/>
          <w:sz w:val="21"/>
          <w:szCs w:val="21"/>
          <w:highlight w:val="none"/>
          <w:u w:val="single"/>
        </w:rPr>
        <w:t xml:space="preserve">    </w:t>
      </w:r>
      <w:r>
        <w:rPr>
          <w:rFonts w:hint="eastAsia" w:ascii="宋体" w:hAnsi="宋体" w:eastAsia="宋体"/>
          <w:color w:val="auto"/>
          <w:sz w:val="21"/>
          <w:szCs w:val="21"/>
          <w:highlight w:val="none"/>
          <w:u w:val="single"/>
        </w:rPr>
        <w:t xml:space="preserve">    </w:t>
      </w:r>
    </w:p>
    <w:p w14:paraId="1D37C0D4">
      <w:pPr>
        <w:keepNext w:val="0"/>
        <w:keepLines w:val="0"/>
        <w:pageBreakBefore w:val="0"/>
        <w:widowControl w:val="0"/>
        <w:kinsoku/>
        <w:wordWrap/>
        <w:overflowPunct/>
        <w:topLinePunct w:val="0"/>
        <w:autoSpaceDE/>
        <w:autoSpaceDN/>
        <w:bidi w:val="0"/>
        <w:adjustRightInd/>
        <w:snapToGrid/>
        <w:spacing w:line="500" w:lineRule="exact"/>
        <w:ind w:firstLine="308" w:firstLineChars="147"/>
        <w:jc w:val="left"/>
        <w:textAlignment w:val="auto"/>
        <w:rPr>
          <w:rFonts w:hint="eastAsia" w:ascii="宋体" w:hAnsi="宋体" w:eastAsia="宋体"/>
          <w:color w:val="auto"/>
          <w:sz w:val="21"/>
          <w:szCs w:val="21"/>
          <w:highlight w:val="none"/>
        </w:rPr>
      </w:pPr>
      <w:r>
        <w:rPr>
          <w:rFonts w:hint="eastAsia" w:ascii="宋体" w:hAnsi="宋体"/>
          <w:color w:val="auto"/>
          <w:sz w:val="21"/>
          <w:szCs w:val="21"/>
          <w:highlight w:val="none"/>
          <w:lang w:val="en-US" w:eastAsia="zh-CN"/>
        </w:rPr>
        <w:t xml:space="preserve">                                           </w:t>
      </w:r>
      <w:r>
        <w:rPr>
          <w:rFonts w:hint="eastAsia" w:ascii="宋体" w:hAnsi="宋体" w:eastAsia="宋体"/>
          <w:color w:val="auto"/>
          <w:sz w:val="21"/>
          <w:szCs w:val="21"/>
          <w:highlight w:val="none"/>
        </w:rPr>
        <w:t xml:space="preserve">日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 xml:space="preserve"> 期：</w:t>
      </w:r>
      <w:bookmarkStart w:id="105" w:name="_Toc449028957"/>
      <w:bookmarkStart w:id="106" w:name="_Toc25631"/>
      <w:bookmarkStart w:id="107" w:name="_Toc58430333"/>
    </w:p>
    <w:p w14:paraId="567CCC60">
      <w:pPr>
        <w:rPr>
          <w:rFonts w:hint="eastAsia" w:ascii="宋体" w:hAnsi="宋体" w:eastAsia="宋体"/>
          <w:color w:val="auto"/>
          <w:sz w:val="21"/>
          <w:szCs w:val="21"/>
          <w:highlight w:val="none"/>
        </w:rPr>
      </w:pPr>
      <w:r>
        <w:rPr>
          <w:rFonts w:hint="eastAsia" w:ascii="宋体" w:hAnsi="宋体" w:eastAsia="宋体"/>
          <w:color w:val="auto"/>
          <w:sz w:val="21"/>
          <w:szCs w:val="21"/>
          <w:highlight w:val="none"/>
        </w:rPr>
        <w:br w:type="page"/>
      </w:r>
    </w:p>
    <w:p w14:paraId="2D5E7AA3">
      <w:pPr>
        <w:spacing w:line="360" w:lineRule="exact"/>
        <w:ind w:firstLine="443" w:firstLineChars="147"/>
        <w:rPr>
          <w:rFonts w:hint="eastAsia" w:ascii="宋体" w:hAnsi="宋体" w:eastAsia="宋体" w:cs="Times New Roman"/>
          <w:b/>
          <w:color w:val="auto"/>
          <w:sz w:val="30"/>
          <w:szCs w:val="30"/>
          <w:highlight w:val="none"/>
          <w:lang w:val="en-US" w:eastAsia="zh-CN"/>
        </w:rPr>
      </w:pPr>
      <w:r>
        <w:rPr>
          <w:rFonts w:hint="eastAsia" w:ascii="宋体" w:hAnsi="宋体" w:eastAsia="宋体" w:cs="Times New Roman"/>
          <w:b/>
          <w:color w:val="auto"/>
          <w:sz w:val="30"/>
          <w:szCs w:val="30"/>
          <w:highlight w:val="none"/>
          <w:lang w:val="en-US" w:eastAsia="zh-CN"/>
        </w:rPr>
        <w:t>附件4</w:t>
      </w:r>
    </w:p>
    <w:p w14:paraId="3EEF0A62">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ind w:firstLine="472" w:firstLineChars="147"/>
        <w:jc w:val="center"/>
        <w:textAlignment w:val="auto"/>
        <w:rPr>
          <w:rFonts w:hint="eastAsia" w:ascii="宋体" w:hAnsi="Times New Roman" w:eastAsia="宋体" w:cs="Times New Roman"/>
          <w:b/>
          <w:color w:val="auto"/>
          <w:sz w:val="32"/>
          <w:szCs w:val="32"/>
          <w:highlight w:val="none"/>
          <w:lang w:val="en-US" w:eastAsia="zh-CN"/>
        </w:rPr>
      </w:pPr>
      <w:r>
        <w:rPr>
          <w:rFonts w:hint="eastAsia" w:ascii="宋体" w:hAnsi="Times New Roman" w:eastAsia="宋体" w:cs="Times New Roman"/>
          <w:b/>
          <w:color w:val="auto"/>
          <w:sz w:val="32"/>
          <w:szCs w:val="32"/>
          <w:highlight w:val="none"/>
          <w:lang w:val="en-US" w:eastAsia="zh-CN"/>
        </w:rPr>
        <w:t>汽车衡无人值守部分的配置清单报价表</w:t>
      </w:r>
    </w:p>
    <w:tbl>
      <w:tblPr>
        <w:tblStyle w:val="36"/>
        <w:tblW w:w="972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4"/>
        <w:gridCol w:w="2236"/>
        <w:gridCol w:w="1059"/>
        <w:gridCol w:w="1116"/>
        <w:gridCol w:w="1621"/>
        <w:gridCol w:w="1434"/>
        <w:gridCol w:w="1434"/>
      </w:tblGrid>
      <w:tr w14:paraId="72399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BCD4">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2B4D">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设备名称</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8B21">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3359F">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1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8500">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both"/>
              <w:textAlignment w:val="center"/>
              <w:rPr>
                <w:rFonts w:hint="eastAsia"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综合单价（元）</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8A9C">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default" w:ascii="宋体" w:hAnsi="宋体" w:eastAsia="宋体" w:cs="宋体"/>
                <w:b/>
                <w:i w:val="0"/>
                <w:iCs w:val="0"/>
                <w:color w:val="auto"/>
                <w:kern w:val="0"/>
                <w:sz w:val="21"/>
                <w:szCs w:val="21"/>
                <w:highlight w:val="none"/>
                <w:u w:val="none"/>
                <w:lang w:val="en-US" w:eastAsia="zh-CN" w:bidi="ar"/>
              </w:rPr>
            </w:pPr>
            <w:r>
              <w:rPr>
                <w:rFonts w:hint="eastAsia" w:ascii="宋体" w:hAnsi="宋体" w:eastAsia="宋体" w:cs="宋体"/>
                <w:b/>
                <w:i w:val="0"/>
                <w:iCs w:val="0"/>
                <w:color w:val="auto"/>
                <w:kern w:val="0"/>
                <w:sz w:val="21"/>
                <w:szCs w:val="21"/>
                <w:highlight w:val="none"/>
                <w:u w:val="none"/>
                <w:lang w:val="en-US" w:eastAsia="zh-CN" w:bidi="ar"/>
              </w:rPr>
              <w:t>小计（元）</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B4A9">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b/>
                <w:i w:val="0"/>
                <w:iCs w:val="0"/>
                <w:color w:val="auto"/>
                <w:kern w:val="0"/>
                <w:sz w:val="21"/>
                <w:szCs w:val="21"/>
                <w:highlight w:val="none"/>
                <w:u w:val="none"/>
                <w:lang w:val="en-US" w:eastAsia="zh-CN" w:bidi="ar"/>
              </w:rPr>
            </w:pPr>
            <w:r>
              <w:rPr>
                <w:rFonts w:hint="eastAsia" w:ascii="宋体" w:hAnsi="宋体" w:eastAsia="宋体" w:cs="宋体"/>
                <w:b/>
                <w:i w:val="0"/>
                <w:iCs w:val="0"/>
                <w:color w:val="auto"/>
                <w:kern w:val="0"/>
                <w:sz w:val="21"/>
                <w:szCs w:val="21"/>
                <w:highlight w:val="none"/>
                <w:u w:val="none"/>
                <w:lang w:val="en-US" w:eastAsia="zh-CN" w:bidi="ar"/>
              </w:rPr>
              <w:t>备注</w:t>
            </w:r>
          </w:p>
        </w:tc>
      </w:tr>
      <w:tr w14:paraId="7B07C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F1489">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63DA5">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道闸识别一体机</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55668">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B652">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1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6201">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BF6B">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B4BAE">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2F227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1AF09">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4AB9">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单边红外光栅</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39E9">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3C8E2">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对</w:t>
            </w:r>
          </w:p>
        </w:tc>
        <w:tc>
          <w:tcPr>
            <w:tcW w:w="1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ED73">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D2AA1">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1E59">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7A7E4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AA067">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3</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26D3D">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红外安装外壳</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2E4A">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2</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B6FF">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台</w:t>
            </w:r>
          </w:p>
        </w:tc>
        <w:tc>
          <w:tcPr>
            <w:tcW w:w="1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05BF1">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both"/>
              <w:textAlignment w:val="center"/>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E76F">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A48B">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33CE7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0086">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4</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C792">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高杆</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3084">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DA04">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1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259F">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宋体" w:hAnsi="宋体" w:eastAsia="宋体" w:cs="宋体"/>
                <w:i w:val="0"/>
                <w:iCs w:val="0"/>
                <w:color w:val="auto"/>
                <w:sz w:val="21"/>
                <w:szCs w:val="21"/>
                <w:highlight w:val="none"/>
                <w:u w:val="none"/>
                <w:lang w:val="en-US"/>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E8BB8">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54BD0">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3081C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43C2">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5</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50F2">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枪式摄像头</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06379">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5A8FA">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1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EFE8">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0BB5">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BE3FA">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7F3A4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781C">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6</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8098">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安装立杆</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865B2">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9B60">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1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D64C">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4020B">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2814">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72833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C09A">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7</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D9E7">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室外打印机</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4B04E">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2E9E">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1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22B5">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5AEF">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B509">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72371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4814C6B9">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w:t>
            </w:r>
          </w:p>
        </w:tc>
        <w:tc>
          <w:tcPr>
            <w:tcW w:w="2236"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02E6EA3C">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数字式称重传感器</w:t>
            </w:r>
          </w:p>
        </w:tc>
        <w:tc>
          <w:tcPr>
            <w:tcW w:w="1059"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6AAC58F8">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w:t>
            </w:r>
          </w:p>
        </w:tc>
        <w:tc>
          <w:tcPr>
            <w:tcW w:w="1116"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49964A4C">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1621"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19D61CD7">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43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21B93677">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0735B480">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7B9AD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7A780E35">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w:t>
            </w:r>
          </w:p>
        </w:tc>
        <w:tc>
          <w:tcPr>
            <w:tcW w:w="2236"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774261C3">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数字式称重仪表</w:t>
            </w:r>
          </w:p>
        </w:tc>
        <w:tc>
          <w:tcPr>
            <w:tcW w:w="1059"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3DCA220C">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1116"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747B728D">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1621"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2F062F8D">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43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7888C9F4">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59C34947">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48077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4F09B482">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w:t>
            </w:r>
          </w:p>
        </w:tc>
        <w:tc>
          <w:tcPr>
            <w:tcW w:w="2236"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02F4E254">
            <w:pPr>
              <w:keepNext w:val="0"/>
              <w:keepLines w:val="0"/>
              <w:pageBreakBefore w:val="0"/>
              <w:kinsoku/>
              <w:wordWrap/>
              <w:overflowPunct/>
              <w:topLinePunct w:val="0"/>
              <w:autoSpaceDE/>
              <w:autoSpaceDN/>
              <w:bidi w:val="0"/>
              <w:adjustRightInd/>
              <w:spacing w:line="52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光盘刻录机</w:t>
            </w:r>
          </w:p>
        </w:tc>
        <w:tc>
          <w:tcPr>
            <w:tcW w:w="1059"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2251EFB2">
            <w:pPr>
              <w:keepNext w:val="0"/>
              <w:keepLines w:val="0"/>
              <w:pageBreakBefore w:val="0"/>
              <w:kinsoku/>
              <w:wordWrap/>
              <w:overflowPunct/>
              <w:topLinePunct w:val="0"/>
              <w:autoSpaceDE/>
              <w:autoSpaceDN/>
              <w:bidi w:val="0"/>
              <w:adjustRightInd/>
              <w:spacing w:line="52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w:t>
            </w:r>
          </w:p>
        </w:tc>
        <w:tc>
          <w:tcPr>
            <w:tcW w:w="1116"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123A6B7F">
            <w:pPr>
              <w:keepNext w:val="0"/>
              <w:keepLines w:val="0"/>
              <w:pageBreakBefore w:val="0"/>
              <w:kinsoku/>
              <w:wordWrap/>
              <w:overflowPunct/>
              <w:topLinePunct w:val="0"/>
              <w:autoSpaceDE/>
              <w:autoSpaceDN/>
              <w:bidi w:val="0"/>
              <w:adjustRightInd/>
              <w:spacing w:line="52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台</w:t>
            </w:r>
          </w:p>
        </w:tc>
        <w:tc>
          <w:tcPr>
            <w:tcW w:w="1621"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4F81D061">
            <w:pPr>
              <w:keepNext w:val="0"/>
              <w:keepLines w:val="0"/>
              <w:pageBreakBefore w:val="0"/>
              <w:kinsoku/>
              <w:wordWrap/>
              <w:overflowPunct/>
              <w:topLinePunct w:val="0"/>
              <w:autoSpaceDE/>
              <w:autoSpaceDN/>
              <w:bidi w:val="0"/>
              <w:adjustRightInd/>
              <w:spacing w:line="520" w:lineRule="exact"/>
              <w:jc w:val="both"/>
              <w:rPr>
                <w:rFonts w:hint="eastAsia" w:ascii="宋体" w:hAnsi="宋体" w:eastAsia="宋体" w:cs="宋体"/>
                <w:color w:val="auto"/>
                <w:kern w:val="2"/>
                <w:sz w:val="21"/>
                <w:szCs w:val="21"/>
                <w:highlight w:val="none"/>
                <w:lang w:val="en-US" w:eastAsia="zh-CN" w:bidi="ar-SA"/>
              </w:rPr>
            </w:pPr>
          </w:p>
        </w:tc>
        <w:tc>
          <w:tcPr>
            <w:tcW w:w="143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2C6DDC4A">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3661BCCC">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4D48C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5F2D8814">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w:t>
            </w:r>
          </w:p>
        </w:tc>
        <w:tc>
          <w:tcPr>
            <w:tcW w:w="2236"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3A46B28C">
            <w:pPr>
              <w:keepNext w:val="0"/>
              <w:keepLines w:val="0"/>
              <w:pageBreakBefore w:val="0"/>
              <w:kinsoku/>
              <w:wordWrap/>
              <w:overflowPunct/>
              <w:topLinePunct w:val="0"/>
              <w:autoSpaceDE/>
              <w:autoSpaceDN/>
              <w:bidi w:val="0"/>
              <w:adjustRightInd/>
              <w:spacing w:line="52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本地服务器</w:t>
            </w:r>
          </w:p>
        </w:tc>
        <w:tc>
          <w:tcPr>
            <w:tcW w:w="1059"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30792827">
            <w:pPr>
              <w:keepNext w:val="0"/>
              <w:keepLines w:val="0"/>
              <w:pageBreakBefore w:val="0"/>
              <w:kinsoku/>
              <w:wordWrap/>
              <w:overflowPunct/>
              <w:topLinePunct w:val="0"/>
              <w:autoSpaceDE/>
              <w:autoSpaceDN/>
              <w:bidi w:val="0"/>
              <w:adjustRightInd/>
              <w:spacing w:line="52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w:t>
            </w:r>
          </w:p>
        </w:tc>
        <w:tc>
          <w:tcPr>
            <w:tcW w:w="1116"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2C12FB09">
            <w:pPr>
              <w:keepNext w:val="0"/>
              <w:keepLines w:val="0"/>
              <w:pageBreakBefore w:val="0"/>
              <w:kinsoku/>
              <w:wordWrap/>
              <w:overflowPunct/>
              <w:topLinePunct w:val="0"/>
              <w:autoSpaceDE/>
              <w:autoSpaceDN/>
              <w:bidi w:val="0"/>
              <w:adjustRightInd/>
              <w:spacing w:line="52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台</w:t>
            </w:r>
          </w:p>
        </w:tc>
        <w:tc>
          <w:tcPr>
            <w:tcW w:w="1621"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511E74C8">
            <w:pPr>
              <w:keepNext w:val="0"/>
              <w:keepLines w:val="0"/>
              <w:pageBreakBefore w:val="0"/>
              <w:kinsoku/>
              <w:wordWrap/>
              <w:overflowPunct/>
              <w:topLinePunct w:val="0"/>
              <w:autoSpaceDE/>
              <w:autoSpaceDN/>
              <w:bidi w:val="0"/>
              <w:adjustRightInd/>
              <w:spacing w:line="520" w:lineRule="exact"/>
              <w:jc w:val="both"/>
              <w:rPr>
                <w:rFonts w:hint="eastAsia" w:ascii="宋体" w:hAnsi="宋体" w:eastAsia="宋体" w:cs="宋体"/>
                <w:color w:val="auto"/>
                <w:kern w:val="2"/>
                <w:sz w:val="21"/>
                <w:szCs w:val="21"/>
                <w:highlight w:val="none"/>
                <w:lang w:val="en-US" w:eastAsia="zh-CN" w:bidi="ar-SA"/>
              </w:rPr>
            </w:pPr>
          </w:p>
        </w:tc>
        <w:tc>
          <w:tcPr>
            <w:tcW w:w="143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48917851">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FFFFFF" w:themeColor="background1" w:fill="auto"/>
            <w:vAlign w:val="center"/>
          </w:tcPr>
          <w:p w14:paraId="3ABD1405">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43E92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7A8EF">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5E982">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接线盒</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56A6">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2355F">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1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923C">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E6FBA">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20326">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7567F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C364">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13</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E8CD">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机柜</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5A251">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3FE9">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1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53F9F">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AC12">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E2F3">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5DE58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F531">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14</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A1425">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交换机</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D07E">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800D">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1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9417A">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491F">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87DB">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5DA16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DDCEE">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C9A95">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378B">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2FC1B">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69868">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307B">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4E172">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r w14:paraId="6EDAE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7C9C5">
            <w:pPr>
              <w:keepNext w:val="0"/>
              <w:keepLines w:val="0"/>
              <w:pageBreakBefore w:val="0"/>
              <w:widowControl/>
              <w:suppressLineNumbers w:val="0"/>
              <w:kinsoku/>
              <w:wordWrap/>
              <w:overflowPunct/>
              <w:topLinePunct w:val="0"/>
              <w:autoSpaceDE/>
              <w:autoSpaceDN/>
              <w:bidi w:val="0"/>
              <w:adjustRightInd/>
              <w:snapToGrid w:val="0"/>
              <w:spacing w:line="520" w:lineRule="exact"/>
              <w:ind w:left="0" w:leftChars="0" w:right="0" w:rightChars="0" w:firstLine="0" w:firstLineChars="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合计</w:t>
            </w:r>
          </w:p>
        </w:tc>
        <w:tc>
          <w:tcPr>
            <w:tcW w:w="2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745A7">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430CA">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F2C2">
            <w:pPr>
              <w:keepNext w:val="0"/>
              <w:keepLines w:val="0"/>
              <w:pageBreakBefore w:val="0"/>
              <w:widowControl/>
              <w:suppressLineNumbers w:val="0"/>
              <w:kinsoku/>
              <w:wordWrap/>
              <w:overflowPunct/>
              <w:topLinePunct w:val="0"/>
              <w:autoSpaceDE/>
              <w:autoSpaceDN/>
              <w:bidi w:val="0"/>
              <w:adjustRightInd/>
              <w:spacing w:line="52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B1CA">
            <w:pPr>
              <w:keepNext w:val="0"/>
              <w:keepLines w:val="0"/>
              <w:pageBreakBefore w:val="0"/>
              <w:widowControl/>
              <w:suppressLineNumbers w:val="0"/>
              <w:kinsoku/>
              <w:wordWrap/>
              <w:overflowPunct/>
              <w:topLinePunct w:val="0"/>
              <w:autoSpaceDE/>
              <w:autoSpaceDN/>
              <w:bidi w:val="0"/>
              <w:adjustRightInd/>
              <w:spacing w:line="5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D2BF">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1BC0">
            <w:pPr>
              <w:keepNext w:val="0"/>
              <w:keepLines w:val="0"/>
              <w:pageBreakBefore w:val="0"/>
              <w:kinsoku/>
              <w:wordWrap/>
              <w:overflowPunct/>
              <w:topLinePunct w:val="0"/>
              <w:autoSpaceDE/>
              <w:autoSpaceDN/>
              <w:bidi w:val="0"/>
              <w:adjustRightInd/>
              <w:snapToGrid w:val="0"/>
              <w:spacing w:line="520" w:lineRule="exact"/>
              <w:ind w:left="0" w:leftChars="0" w:right="0" w:rightChars="0" w:firstLine="0" w:firstLineChars="0"/>
              <w:jc w:val="left"/>
              <w:rPr>
                <w:rFonts w:hint="eastAsia" w:ascii="宋体" w:hAnsi="宋体" w:eastAsia="宋体" w:cs="宋体"/>
                <w:i w:val="0"/>
                <w:iCs w:val="0"/>
                <w:color w:val="auto"/>
                <w:sz w:val="21"/>
                <w:szCs w:val="21"/>
                <w:highlight w:val="none"/>
                <w:u w:val="none"/>
              </w:rPr>
            </w:pPr>
          </w:p>
        </w:tc>
      </w:tr>
    </w:tbl>
    <w:p w14:paraId="44144877">
      <w:pPr>
        <w:keepNext w:val="0"/>
        <w:keepLines w:val="0"/>
        <w:pageBreakBefore w:val="0"/>
        <w:widowControl w:val="0"/>
        <w:kinsoku/>
        <w:wordWrap/>
        <w:overflowPunct/>
        <w:topLinePunct w:val="0"/>
        <w:autoSpaceDE/>
        <w:autoSpaceDN/>
        <w:bidi w:val="0"/>
        <w:adjustRightInd/>
        <w:snapToGrid/>
        <w:spacing w:line="500" w:lineRule="exact"/>
        <w:ind w:firstLine="310" w:firstLineChars="147"/>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注：1.除上述</w:t>
      </w:r>
      <w:r>
        <w:rPr>
          <w:rFonts w:hint="eastAsia" w:ascii="宋体" w:hAnsi="宋体" w:cs="宋体"/>
          <w:b/>
          <w:bCs/>
          <w:color w:val="auto"/>
          <w:sz w:val="21"/>
          <w:szCs w:val="21"/>
          <w:highlight w:val="none"/>
          <w:lang w:val="en-US" w:eastAsia="zh-CN"/>
        </w:rPr>
        <w:t>必须满足的配置清单</w:t>
      </w:r>
      <w:r>
        <w:rPr>
          <w:rFonts w:hint="eastAsia" w:ascii="宋体" w:hAnsi="宋体" w:eastAsia="宋体" w:cs="宋体"/>
          <w:b/>
          <w:bCs/>
          <w:color w:val="auto"/>
          <w:sz w:val="21"/>
          <w:szCs w:val="21"/>
          <w:highlight w:val="none"/>
          <w:lang w:val="en-US" w:eastAsia="zh-CN"/>
        </w:rPr>
        <w:t>外，投标人根据招标人采购需求，自行确定是否要加装其他软硬件设备，自行增加的软硬件设备费用由投标人自行承担。</w:t>
      </w:r>
    </w:p>
    <w:p w14:paraId="6B85923A">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2.所报综合单价在合同履行过程中不予调整。</w:t>
      </w:r>
    </w:p>
    <w:p w14:paraId="490451D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843" w:firstLineChars="400"/>
        <w:jc w:val="left"/>
        <w:textAlignment w:val="auto"/>
        <w:rPr>
          <w:rFonts w:hint="eastAsia" w:ascii="宋体" w:hAnsi="宋体" w:eastAsia="宋体" w:cs="宋体"/>
          <w:b/>
          <w:bCs/>
          <w:color w:val="auto"/>
          <w:sz w:val="21"/>
          <w:szCs w:val="21"/>
          <w:highlight w:val="none"/>
          <w:lang w:val="en-US" w:eastAsia="zh-CN"/>
        </w:rPr>
      </w:pPr>
    </w:p>
    <w:p w14:paraId="3CBE09E2">
      <w:pPr>
        <w:keepNext w:val="0"/>
        <w:keepLines w:val="0"/>
        <w:pageBreakBefore w:val="0"/>
        <w:widowControl w:val="0"/>
        <w:kinsoku/>
        <w:wordWrap/>
        <w:overflowPunct/>
        <w:topLinePunct w:val="0"/>
        <w:autoSpaceDE/>
        <w:autoSpaceDN/>
        <w:bidi w:val="0"/>
        <w:adjustRightInd/>
        <w:snapToGrid/>
        <w:spacing w:line="500" w:lineRule="exact"/>
        <w:ind w:firstLine="5670" w:firstLineChars="2700"/>
        <w:jc w:val="left"/>
        <w:textAlignment w:val="auto"/>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 xml:space="preserve">投标人（盖章）：  </w:t>
      </w:r>
    </w:p>
    <w:p w14:paraId="46EF6304">
      <w:pPr>
        <w:keepNext w:val="0"/>
        <w:keepLines w:val="0"/>
        <w:pageBreakBefore w:val="0"/>
        <w:widowControl w:val="0"/>
        <w:kinsoku/>
        <w:wordWrap/>
        <w:overflowPunct/>
        <w:topLinePunct w:val="0"/>
        <w:autoSpaceDE/>
        <w:autoSpaceDN/>
        <w:bidi w:val="0"/>
        <w:adjustRightInd/>
        <w:snapToGrid/>
        <w:spacing w:line="500" w:lineRule="exact"/>
        <w:ind w:firstLine="4830" w:firstLineChars="2300"/>
        <w:jc w:val="left"/>
        <w:textAlignment w:val="auto"/>
        <w:rPr>
          <w:rFonts w:hint="eastAsia" w:ascii="宋体"/>
          <w:color w:val="auto"/>
          <w:szCs w:val="32"/>
          <w:highlight w:val="none"/>
        </w:rPr>
      </w:pPr>
      <w:r>
        <w:rPr>
          <w:rFonts w:hint="eastAsia" w:ascii="宋体" w:hAnsi="宋体" w:eastAsia="宋体" w:cs="Times New Roman"/>
          <w:color w:val="auto"/>
          <w:sz w:val="21"/>
          <w:szCs w:val="21"/>
          <w:highlight w:val="none"/>
          <w:lang w:val="en-US" w:eastAsia="zh-CN"/>
        </w:rPr>
        <w:t xml:space="preserve">         日          期：</w:t>
      </w:r>
      <w:r>
        <w:rPr>
          <w:rFonts w:hint="eastAsia" w:ascii="宋体"/>
          <w:color w:val="auto"/>
          <w:szCs w:val="32"/>
          <w:highlight w:val="none"/>
        </w:rPr>
        <w:br w:type="page"/>
      </w:r>
    </w:p>
    <w:p w14:paraId="0FF00D95">
      <w:pPr>
        <w:pStyle w:val="2"/>
        <w:jc w:val="center"/>
        <w:rPr>
          <w:rFonts w:hint="eastAsia" w:ascii="宋体"/>
          <w:b w:val="0"/>
          <w:color w:val="auto"/>
          <w:szCs w:val="32"/>
          <w:highlight w:val="none"/>
        </w:rPr>
      </w:pPr>
      <w:r>
        <w:rPr>
          <w:rFonts w:hint="eastAsia" w:ascii="宋体"/>
          <w:color w:val="auto"/>
          <w:szCs w:val="32"/>
          <w:highlight w:val="none"/>
        </w:rPr>
        <w:t xml:space="preserve">第七章 </w:t>
      </w:r>
      <w:r>
        <w:rPr>
          <w:rFonts w:hint="eastAsia" w:ascii="宋体"/>
          <w:bCs w:val="0"/>
          <w:color w:val="auto"/>
          <w:szCs w:val="32"/>
          <w:highlight w:val="none"/>
        </w:rPr>
        <w:t>招标人、采购代理机构对本招标文件的确认</w:t>
      </w:r>
      <w:bookmarkEnd w:id="105"/>
      <w:bookmarkEnd w:id="106"/>
      <w:bookmarkEnd w:id="107"/>
    </w:p>
    <w:bookmarkEnd w:id="0"/>
    <w:tbl>
      <w:tblPr>
        <w:tblStyle w:val="36"/>
        <w:tblW w:w="0" w:type="auto"/>
        <w:jc w:val="center"/>
        <w:tblLayout w:type="fixed"/>
        <w:tblCellMar>
          <w:top w:w="0" w:type="dxa"/>
          <w:left w:w="108" w:type="dxa"/>
          <w:bottom w:w="0" w:type="dxa"/>
          <w:right w:w="108" w:type="dxa"/>
        </w:tblCellMar>
      </w:tblPr>
      <w:tblGrid>
        <w:gridCol w:w="9460"/>
      </w:tblGrid>
      <w:tr w14:paraId="6F06C978">
        <w:tblPrEx>
          <w:tblCellMar>
            <w:top w:w="0" w:type="dxa"/>
            <w:left w:w="108" w:type="dxa"/>
            <w:bottom w:w="0" w:type="dxa"/>
            <w:right w:w="108" w:type="dxa"/>
          </w:tblCellMar>
        </w:tblPrEx>
        <w:trPr>
          <w:trHeight w:val="5962" w:hRule="atLeast"/>
          <w:jc w:val="center"/>
        </w:trPr>
        <w:tc>
          <w:tcPr>
            <w:tcW w:w="9460" w:type="dxa"/>
            <w:tcBorders>
              <w:top w:val="single" w:color="auto" w:sz="4" w:space="0"/>
              <w:left w:val="single" w:color="auto" w:sz="4" w:space="0"/>
              <w:bottom w:val="single" w:color="auto" w:sz="4" w:space="0"/>
              <w:right w:val="single" w:color="auto" w:sz="4" w:space="0"/>
            </w:tcBorders>
            <w:noWrap w:val="0"/>
            <w:vAlign w:val="top"/>
          </w:tcPr>
          <w:p w14:paraId="54B5B53A">
            <w:pPr>
              <w:spacing w:line="440" w:lineRule="exact"/>
              <w:ind w:firstLine="560" w:firstLineChars="200"/>
              <w:rPr>
                <w:rFonts w:hint="eastAsia" w:ascii="宋体" w:cs="宋体"/>
                <w:color w:val="auto"/>
                <w:sz w:val="28"/>
                <w:szCs w:val="28"/>
                <w:highlight w:val="none"/>
              </w:rPr>
            </w:pPr>
          </w:p>
          <w:p w14:paraId="3CEE0165">
            <w:pPr>
              <w:spacing w:after="156" w:afterLines="50"/>
              <w:rPr>
                <w:rFonts w:hint="eastAsia" w:ascii="宋体" w:cs="宋体"/>
                <w:color w:val="auto"/>
                <w:sz w:val="28"/>
                <w:szCs w:val="28"/>
                <w:highlight w:val="none"/>
              </w:rPr>
            </w:pPr>
            <w:r>
              <w:rPr>
                <w:rFonts w:hint="eastAsia" w:ascii="宋体" w:cs="宋体"/>
                <w:color w:val="auto"/>
                <w:sz w:val="28"/>
                <w:szCs w:val="28"/>
                <w:highlight w:val="none"/>
              </w:rPr>
              <w:t xml:space="preserve">  我单位对</w:t>
            </w:r>
            <w:r>
              <w:rPr>
                <w:rFonts w:hint="eastAsia" w:ascii="宋体" w:cs="宋体"/>
                <w:color w:val="auto"/>
                <w:sz w:val="28"/>
                <w:szCs w:val="28"/>
                <w:highlight w:val="none"/>
                <w:u w:val="single"/>
              </w:rPr>
              <w:t xml:space="preserve"> </w:t>
            </w:r>
            <w:r>
              <w:rPr>
                <w:rFonts w:hint="eastAsia" w:ascii="宋体" w:cs="宋体"/>
                <w:color w:val="auto"/>
                <w:sz w:val="28"/>
                <w:szCs w:val="28"/>
                <w:highlight w:val="none"/>
                <w:u w:val="single"/>
                <w:lang w:eastAsia="zh-CN"/>
              </w:rPr>
              <w:t>滁州市兴滁实业有限公司智能称重系统服务采购项目（</w:t>
            </w:r>
            <w:r>
              <w:rPr>
                <w:rFonts w:hint="eastAsia" w:ascii="宋体" w:cs="宋体"/>
                <w:color w:val="auto"/>
                <w:sz w:val="28"/>
                <w:szCs w:val="28"/>
                <w:highlight w:val="none"/>
                <w:u w:val="single"/>
                <w:lang w:val="en-US" w:eastAsia="zh-CN"/>
              </w:rPr>
              <w:t>二次）</w:t>
            </w:r>
            <w:r>
              <w:rPr>
                <w:rFonts w:hint="eastAsia" w:ascii="宋体" w:cs="宋体"/>
                <w:color w:val="auto"/>
                <w:sz w:val="28"/>
                <w:szCs w:val="28"/>
                <w:highlight w:val="none"/>
                <w:u w:val="single"/>
              </w:rPr>
              <w:t xml:space="preserve"> </w:t>
            </w:r>
            <w:r>
              <w:rPr>
                <w:rFonts w:hint="eastAsia" w:ascii="宋体" w:cs="宋体"/>
                <w:color w:val="auto"/>
                <w:sz w:val="28"/>
                <w:szCs w:val="28"/>
                <w:highlight w:val="none"/>
              </w:rPr>
              <w:t>的招标文件进行确认。</w:t>
            </w:r>
          </w:p>
          <w:p w14:paraId="53AF6623">
            <w:pPr>
              <w:spacing w:line="54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招标单位：</w:t>
            </w:r>
            <w:r>
              <w:rPr>
                <w:rFonts w:hint="eastAsia" w:ascii="宋体" w:cs="宋体"/>
                <w:color w:val="auto"/>
                <w:sz w:val="28"/>
                <w:szCs w:val="28"/>
                <w:highlight w:val="none"/>
                <w:lang w:eastAsia="zh-CN"/>
              </w:rPr>
              <w:t>滁州市兴滁实业有限公司</w:t>
            </w:r>
          </w:p>
          <w:p w14:paraId="4C6C45EE">
            <w:pPr>
              <w:spacing w:line="540" w:lineRule="exact"/>
              <w:ind w:firstLine="560" w:firstLineChars="200"/>
              <w:rPr>
                <w:rFonts w:hint="eastAsia" w:ascii="宋体" w:eastAsia="宋体" w:cs="宋体"/>
                <w:color w:val="auto"/>
                <w:sz w:val="28"/>
                <w:szCs w:val="28"/>
                <w:highlight w:val="none"/>
                <w:lang w:val="en-US" w:eastAsia="zh-CN"/>
              </w:rPr>
            </w:pPr>
            <w:r>
              <w:rPr>
                <w:rFonts w:hint="eastAsia" w:ascii="宋体" w:cs="宋体"/>
                <w:color w:val="auto"/>
                <w:sz w:val="28"/>
                <w:szCs w:val="28"/>
                <w:highlight w:val="none"/>
              </w:rPr>
              <w:t>委托代理人：</w:t>
            </w:r>
            <w:r>
              <w:rPr>
                <w:rFonts w:hint="eastAsia" w:ascii="宋体" w:cs="宋体"/>
                <w:color w:val="auto"/>
                <w:sz w:val="28"/>
                <w:szCs w:val="28"/>
                <w:highlight w:val="none"/>
                <w:lang w:val="en-US" w:eastAsia="zh-CN"/>
              </w:rPr>
              <w:t>张达理</w:t>
            </w:r>
          </w:p>
          <w:p w14:paraId="0AE34175">
            <w:pPr>
              <w:spacing w:line="540" w:lineRule="exact"/>
              <w:ind w:firstLine="560" w:firstLineChars="200"/>
              <w:rPr>
                <w:rFonts w:hint="default" w:ascii="宋体" w:cs="宋体"/>
                <w:color w:val="auto"/>
                <w:sz w:val="28"/>
                <w:szCs w:val="28"/>
                <w:highlight w:val="none"/>
                <w:lang w:val="en-US"/>
              </w:rPr>
            </w:pPr>
            <w:r>
              <w:rPr>
                <w:rFonts w:hint="eastAsia" w:ascii="宋体" w:cs="宋体"/>
                <w:color w:val="auto"/>
                <w:sz w:val="28"/>
                <w:szCs w:val="28"/>
                <w:highlight w:val="none"/>
              </w:rPr>
              <w:t>联系电话：</w:t>
            </w:r>
            <w:r>
              <w:rPr>
                <w:rFonts w:hint="eastAsia" w:ascii="宋体" w:cs="宋体"/>
                <w:color w:val="auto"/>
                <w:sz w:val="28"/>
                <w:szCs w:val="28"/>
                <w:highlight w:val="none"/>
                <w:lang w:val="en-US" w:eastAsia="zh-CN"/>
              </w:rPr>
              <w:t>18705500220</w:t>
            </w:r>
          </w:p>
          <w:p w14:paraId="7AA6EED9">
            <w:pPr>
              <w:spacing w:line="540" w:lineRule="exact"/>
              <w:ind w:firstLine="7140" w:firstLineChars="2550"/>
              <w:rPr>
                <w:rFonts w:hint="eastAsia" w:ascii="宋体" w:cs="宋体"/>
                <w:color w:val="auto"/>
                <w:sz w:val="28"/>
                <w:szCs w:val="28"/>
                <w:highlight w:val="none"/>
              </w:rPr>
            </w:pPr>
          </w:p>
          <w:p w14:paraId="00336E8D">
            <w:pPr>
              <w:spacing w:line="540" w:lineRule="exact"/>
              <w:ind w:firstLine="7140" w:firstLineChars="2550"/>
              <w:rPr>
                <w:rFonts w:hint="eastAsia" w:ascii="宋体" w:cs="宋体"/>
                <w:color w:val="auto"/>
                <w:sz w:val="28"/>
                <w:szCs w:val="28"/>
                <w:highlight w:val="none"/>
              </w:rPr>
            </w:pPr>
            <w:r>
              <w:rPr>
                <w:rFonts w:hint="eastAsia" w:ascii="宋体" w:cs="宋体"/>
                <w:color w:val="auto"/>
                <w:sz w:val="28"/>
                <w:szCs w:val="28"/>
                <w:highlight w:val="none"/>
              </w:rPr>
              <w:t>（盖单位章）</w:t>
            </w:r>
          </w:p>
          <w:p w14:paraId="563D6AB3">
            <w:pPr>
              <w:spacing w:line="540" w:lineRule="exact"/>
              <w:jc w:val="right"/>
              <w:rPr>
                <w:rFonts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tr w14:paraId="30D1EF62">
        <w:tblPrEx>
          <w:tblCellMar>
            <w:top w:w="0" w:type="dxa"/>
            <w:left w:w="108" w:type="dxa"/>
            <w:bottom w:w="0" w:type="dxa"/>
            <w:right w:w="108" w:type="dxa"/>
          </w:tblCellMar>
        </w:tblPrEx>
        <w:trPr>
          <w:trHeight w:val="5471" w:hRule="atLeast"/>
          <w:jc w:val="center"/>
        </w:trPr>
        <w:tc>
          <w:tcPr>
            <w:tcW w:w="9460" w:type="dxa"/>
            <w:tcBorders>
              <w:top w:val="single" w:color="auto" w:sz="4" w:space="0"/>
              <w:left w:val="single" w:color="auto" w:sz="4" w:space="0"/>
              <w:bottom w:val="single" w:color="auto" w:sz="4" w:space="0"/>
              <w:right w:val="single" w:color="auto" w:sz="4" w:space="0"/>
            </w:tcBorders>
            <w:noWrap w:val="0"/>
            <w:vAlign w:val="top"/>
          </w:tcPr>
          <w:p w14:paraId="65E89F77">
            <w:pPr>
              <w:spacing w:line="440" w:lineRule="exact"/>
              <w:rPr>
                <w:rFonts w:hint="eastAsia" w:ascii="宋体" w:cs="宋体"/>
                <w:color w:val="auto"/>
                <w:sz w:val="28"/>
                <w:szCs w:val="28"/>
                <w:highlight w:val="none"/>
              </w:rPr>
            </w:pPr>
          </w:p>
          <w:p w14:paraId="019E0C2C">
            <w:pPr>
              <w:spacing w:line="520" w:lineRule="exact"/>
              <w:ind w:firstLine="560" w:firstLineChars="200"/>
              <w:rPr>
                <w:rFonts w:hint="eastAsia" w:ascii="宋体" w:cs="宋体"/>
                <w:color w:val="auto"/>
                <w:sz w:val="28"/>
                <w:szCs w:val="28"/>
                <w:highlight w:val="none"/>
              </w:rPr>
            </w:pPr>
            <w:r>
              <w:rPr>
                <w:rFonts w:hint="eastAsia" w:ascii="宋体" w:cs="宋体"/>
                <w:color w:val="auto"/>
                <w:sz w:val="28"/>
                <w:szCs w:val="28"/>
                <w:highlight w:val="none"/>
              </w:rPr>
              <w:t>招标代理机构：滁州市城投工程咨询管理有限公司</w:t>
            </w:r>
          </w:p>
          <w:p w14:paraId="167A5651">
            <w:pPr>
              <w:spacing w:line="520" w:lineRule="exact"/>
              <w:ind w:firstLine="560" w:firstLineChars="200"/>
              <w:rPr>
                <w:rFonts w:hint="eastAsia" w:ascii="宋体" w:cs="宋体"/>
                <w:color w:val="auto"/>
                <w:sz w:val="28"/>
                <w:szCs w:val="28"/>
                <w:highlight w:val="none"/>
              </w:rPr>
            </w:pPr>
            <w:r>
              <w:rPr>
                <w:rFonts w:hint="eastAsia" w:ascii="宋体" w:cs="宋体"/>
                <w:color w:val="auto"/>
                <w:sz w:val="28"/>
                <w:szCs w:val="28"/>
                <w:highlight w:val="none"/>
              </w:rPr>
              <w:t>经办人：杨韦</w:t>
            </w:r>
          </w:p>
          <w:p w14:paraId="4E945D8D">
            <w:pPr>
              <w:spacing w:line="520" w:lineRule="exact"/>
              <w:ind w:firstLine="560" w:firstLineChars="200"/>
              <w:rPr>
                <w:rFonts w:hint="eastAsia" w:ascii="宋体" w:cs="宋体"/>
                <w:color w:val="auto"/>
                <w:sz w:val="28"/>
                <w:szCs w:val="28"/>
                <w:highlight w:val="none"/>
              </w:rPr>
            </w:pPr>
            <w:r>
              <w:rPr>
                <w:rFonts w:hint="eastAsia" w:ascii="宋体" w:cs="宋体"/>
                <w:color w:val="auto"/>
                <w:sz w:val="28"/>
                <w:szCs w:val="28"/>
                <w:highlight w:val="none"/>
              </w:rPr>
              <w:t>电  话：0550-3519590、18005501210</w:t>
            </w:r>
          </w:p>
          <w:p w14:paraId="57E148F0">
            <w:pPr>
              <w:spacing w:line="520" w:lineRule="exact"/>
              <w:ind w:firstLine="6300" w:firstLineChars="2250"/>
              <w:rPr>
                <w:rFonts w:hint="eastAsia" w:ascii="宋体" w:cs="宋体"/>
                <w:color w:val="auto"/>
                <w:sz w:val="28"/>
                <w:szCs w:val="28"/>
                <w:highlight w:val="none"/>
              </w:rPr>
            </w:pPr>
          </w:p>
          <w:p w14:paraId="38A31B75">
            <w:pPr>
              <w:pStyle w:val="35"/>
              <w:rPr>
                <w:rFonts w:hint="eastAsia"/>
                <w:color w:val="auto"/>
                <w:kern w:val="2"/>
                <w:sz w:val="21"/>
                <w:szCs w:val="24"/>
                <w:highlight w:val="none"/>
              </w:rPr>
            </w:pPr>
          </w:p>
          <w:p w14:paraId="3DE989F0">
            <w:pPr>
              <w:spacing w:line="520" w:lineRule="exact"/>
              <w:ind w:firstLine="6580" w:firstLineChars="2350"/>
              <w:rPr>
                <w:rFonts w:hint="eastAsia" w:ascii="宋体" w:cs="宋体"/>
                <w:color w:val="auto"/>
                <w:sz w:val="28"/>
                <w:szCs w:val="28"/>
                <w:highlight w:val="none"/>
              </w:rPr>
            </w:pPr>
          </w:p>
          <w:p w14:paraId="5F965646">
            <w:pPr>
              <w:spacing w:line="520" w:lineRule="exact"/>
              <w:ind w:firstLine="7140" w:firstLineChars="2550"/>
              <w:rPr>
                <w:rFonts w:hint="eastAsia" w:ascii="宋体" w:cs="宋体"/>
                <w:color w:val="auto"/>
                <w:sz w:val="28"/>
                <w:szCs w:val="28"/>
                <w:highlight w:val="none"/>
              </w:rPr>
            </w:pPr>
            <w:r>
              <w:rPr>
                <w:rFonts w:hint="eastAsia" w:ascii="宋体" w:cs="宋体"/>
                <w:color w:val="auto"/>
                <w:sz w:val="28"/>
                <w:szCs w:val="28"/>
                <w:highlight w:val="none"/>
              </w:rPr>
              <w:t>（盖单位章）</w:t>
            </w:r>
          </w:p>
          <w:p w14:paraId="2995B274">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tbl>
    <w:p w14:paraId="43275A1B">
      <w:pPr>
        <w:rPr>
          <w:color w:val="auto"/>
          <w:highlight w:val="none"/>
        </w:rPr>
      </w:pPr>
    </w:p>
    <w:sectPr>
      <w:pgSz w:w="11906" w:h="16838"/>
      <w:pgMar w:top="1440" w:right="1417" w:bottom="1417" w:left="1417"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1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34EA69C-3998-4E81-B360-BA5FC09CDFC0}"/>
  </w:font>
  <w:font w:name="黑体">
    <w:panose1 w:val="02010609060101010101"/>
    <w:charset w:val="86"/>
    <w:family w:val="auto"/>
    <w:pitch w:val="default"/>
    <w:sig w:usb0="800002BF" w:usb1="38CF7CFA" w:usb2="00000016" w:usb3="00000000" w:csb0="00040001" w:csb1="00000000"/>
    <w:embedRegular r:id="rId2" w:fontKey="{08236CDA-AC9B-44E2-98C8-AA96464D09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E8974A0-BBE6-4B3E-ADED-399EB49CFA48}"/>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012BC5DC-B784-4145-A25B-D7339278436C}"/>
  </w:font>
  <w:font w:name="Calibri Light">
    <w:panose1 w:val="020F03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yyb"/>
    <w:panose1 w:val="00000000000000000000"/>
    <w:charset w:val="00"/>
    <w:family w:val="auto"/>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Times">
    <w:altName w:val="Times New Roman"/>
    <w:panose1 w:val="02020603050405020304"/>
    <w:charset w:val="00"/>
    <w:family w:val="roman"/>
    <w:pitch w:val="default"/>
    <w:sig w:usb0="00000000" w:usb1="00000000" w:usb2="00000009" w:usb3="00000000" w:csb0="000001FF" w:csb1="00000000"/>
  </w:font>
  <w:font w:name="DokChampa">
    <w:altName w:val="Segoe Print"/>
    <w:panose1 w:val="020B0604020202020204"/>
    <w:charset w:val="00"/>
    <w:family w:val="swiss"/>
    <w:pitch w:val="default"/>
    <w:sig w:usb0="00000000" w:usb1="00000000" w:usb2="00000000" w:usb3="00000000" w:csb0="40010001" w:csb1="00000000"/>
  </w:font>
  <w:font w:name="Segoe Print">
    <w:panose1 w:val="02000600000000000000"/>
    <w:charset w:val="00"/>
    <w:family w:val="auto"/>
    <w:pitch w:val="default"/>
    <w:sig w:usb0="0000028F" w:usb1="00000000" w:usb2="00000000" w:usb3="00000000" w:csb0="2000009F" w:csb1="47010000"/>
  </w:font>
  <w:font w:name="MS Sans Serif">
    <w:altName w:val="yyb"/>
    <w:panose1 w:val="00000000000000000000"/>
    <w:charset w:val="00"/>
    <w:family w:val="auto"/>
    <w:pitch w:val="default"/>
    <w:sig w:usb0="00000000" w:usb1="00000000" w:usb2="00000000" w:usb3="00000000" w:csb0="00040001"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83" w:usb1="288F0000" w:usb2="00000006" w:usb3="00000000" w:csb0="00040001" w:csb1="00000000"/>
    <w:embedRegular r:id="rId5" w:fontKey="{783DFCD6-C41B-430F-9E7C-15F85F4F0147}"/>
  </w:font>
  <w:font w:name="华文中宋">
    <w:panose1 w:val="02010600040101010101"/>
    <w:charset w:val="86"/>
    <w:family w:val="auto"/>
    <w:pitch w:val="default"/>
    <w:sig w:usb0="00000287" w:usb1="080F0000" w:usb2="00000000" w:usb3="00000000" w:csb0="0004009F" w:csb1="DFD70000"/>
    <w:embedRegular r:id="rId6" w:fontKey="{E44124D0-1F27-494D-9FC0-729E04F7FB6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96DDF">
    <w:pPr>
      <w:pStyle w:val="22"/>
      <w:tabs>
        <w:tab w:val="clear" w:pos="4153"/>
        <w:tab w:val="clear" w:pos="8306"/>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9D419">
    <w:pPr>
      <w:pStyle w:val="22"/>
      <w:tabs>
        <w:tab w:val="clear" w:pos="4153"/>
        <w:tab w:val="clear" w:pos="8306"/>
      </w:tabs>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E8EBDD">
                          <w:pPr>
                            <w:pStyle w:val="22"/>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7E8EBDD">
                    <w:pPr>
                      <w:pStyle w:val="22"/>
                    </w:pPr>
                    <w:r>
                      <w:fldChar w:fldCharType="begin"/>
                    </w:r>
                    <w:r>
                      <w:instrText xml:space="preserve"> PAGE  \* MERGEFORMAT </w:instrText>
                    </w:r>
                    <w:r>
                      <w:fldChar w:fldCharType="separate"/>
                    </w:r>
                    <w:r>
                      <w:t>50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A59F2">
    <w:pPr>
      <w:pStyle w:val="24"/>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D47F0">
    <w:pPr>
      <w:pStyle w:val="24"/>
      <w:pBdr>
        <w:bottom w:val="none" w:color="auto" w:sz="0" w:space="0"/>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1">
    <w:nsid w:val="00000005"/>
    <w:multiLevelType w:val="multilevel"/>
    <w:tmpl w:val="00000005"/>
    <w:lvl w:ilvl="0" w:tentative="0">
      <w:start w:val="1"/>
      <w:numFmt w:val="chineseCountingThousand"/>
      <w:pStyle w:val="103"/>
      <w:suff w:val="space"/>
      <w:lvlText w:val="%1、"/>
      <w:lvlJc w:val="left"/>
      <w:pPr>
        <w:ind w:left="425" w:hanging="425"/>
      </w:pPr>
      <w:rPr>
        <w:rFonts w:hint="eastAsia"/>
      </w:rPr>
    </w:lvl>
    <w:lvl w:ilvl="1" w:tentative="0">
      <w:start w:val="1"/>
      <w:numFmt w:val="decimal"/>
      <w:suff w:val="space"/>
      <w:lvlText w:val="%2、"/>
      <w:lvlJc w:val="left"/>
      <w:pPr>
        <w:ind w:left="454" w:hanging="454"/>
      </w:pPr>
      <w:rPr>
        <w:rFonts w:hint="eastAsia"/>
      </w:rPr>
    </w:lvl>
    <w:lvl w:ilvl="2" w:tentative="0">
      <w:start w:val="1"/>
      <w:numFmt w:val="decimal"/>
      <w:suff w:val="space"/>
      <w:lvlText w:val="%2.%3"/>
      <w:lvlJc w:val="left"/>
      <w:pPr>
        <w:ind w:left="454" w:hanging="454"/>
      </w:pPr>
      <w:rPr>
        <w:rFonts w:hint="default" w:ascii="Cambria" w:hAnsi="Cambria"/>
      </w:rPr>
    </w:lvl>
    <w:lvl w:ilvl="3" w:tentative="0">
      <w:start w:val="1"/>
      <w:numFmt w:val="decimal"/>
      <w:lvlText w:val="%2.%3.%4"/>
      <w:lvlJc w:val="left"/>
      <w:pPr>
        <w:ind w:left="454" w:hanging="454"/>
      </w:pPr>
      <w:rPr>
        <w:rFonts w:hint="eastAsia"/>
      </w:rPr>
    </w:lvl>
    <w:lvl w:ilvl="4" w:tentative="0">
      <w:start w:val="1"/>
      <w:numFmt w:val="decimal"/>
      <w:lvlText w:val="%2.%3.%4.%5"/>
      <w:lvlJc w:val="left"/>
      <w:pPr>
        <w:ind w:left="454" w:hanging="454"/>
      </w:pPr>
      <w:rPr>
        <w:rFonts w:hint="eastAsia"/>
      </w:rPr>
    </w:lvl>
    <w:lvl w:ilvl="5" w:tentative="0">
      <w:start w:val="1"/>
      <w:numFmt w:val="decimal"/>
      <w:lvlText w:val="%1.%2.%3.%4.%5.%6"/>
      <w:lvlJc w:val="left"/>
      <w:pPr>
        <w:ind w:left="2550" w:hanging="425"/>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2">
    <w:nsid w:val="00000007"/>
    <w:multiLevelType w:val="multilevel"/>
    <w:tmpl w:val="00000007"/>
    <w:lvl w:ilvl="0" w:tentative="0">
      <w:start w:val="1"/>
      <w:numFmt w:val="chineseCountingThousand"/>
      <w:pStyle w:val="32"/>
      <w:lvlText w:val="%1、"/>
      <w:lvlJc w:val="left"/>
      <w:pPr>
        <w:ind w:left="420" w:hanging="420"/>
      </w:pPr>
      <w:rPr>
        <w:rFonts w:ascii="Times New Roman" w:hAnsi="Times New Roman" w:cs="Times New Roman"/>
        <w:b w:val="0"/>
        <w:bCs w:val="0"/>
        <w:i w:val="0"/>
        <w:iCs w:val="0"/>
        <w:caps w:val="0"/>
        <w:smallCaps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decimal"/>
      <w:pStyle w:val="96"/>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0000000F"/>
    <w:multiLevelType w:val="multilevel"/>
    <w:tmpl w:val="0000000F"/>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5">
    <w:nsid w:val="00000010"/>
    <w:multiLevelType w:val="multilevel"/>
    <w:tmpl w:val="00000010"/>
    <w:lvl w:ilvl="0" w:tentative="0">
      <w:start w:val="1"/>
      <w:numFmt w:val="decimal"/>
      <w:pStyle w:val="10"/>
      <w:lvlText w:val="%1"/>
      <w:lvlJc w:val="left"/>
      <w:pPr>
        <w:tabs>
          <w:tab w:val="left" w:pos="425"/>
        </w:tabs>
        <w:ind w:left="425" w:hanging="425"/>
      </w:pPr>
      <w:rPr>
        <w:rFonts w:hint="default" w:ascii="Times New Roman" w:hAnsi="Times New Roman" w:cs="Times New Roman"/>
        <w:b/>
        <w:i w:val="0"/>
        <w:sz w:val="28"/>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6">
    <w:nsid w:val="00000012"/>
    <w:multiLevelType w:val="multilevel"/>
    <w:tmpl w:val="00000012"/>
    <w:lvl w:ilvl="0" w:tentative="0">
      <w:start w:val="1"/>
      <w:numFmt w:val="chineseCountingThousand"/>
      <w:pStyle w:val="118"/>
      <w:lvlText w:val="%1、"/>
      <w:lvlJc w:val="left"/>
      <w:pPr>
        <w:tabs>
          <w:tab w:val="left" w:pos="425"/>
        </w:tabs>
        <w:ind w:left="425" w:hanging="425"/>
      </w:pPr>
      <w:rPr>
        <w:rFonts w:hint="eastAsia" w:cs="Times New Roman"/>
      </w:rPr>
    </w:lvl>
    <w:lvl w:ilvl="1" w:tentative="0">
      <w:start w:val="1"/>
      <w:numFmt w:val="decimal"/>
      <w:isLgl/>
      <w:lvlText w:val="%1.%2"/>
      <w:lvlJc w:val="left"/>
      <w:pPr>
        <w:tabs>
          <w:tab w:val="left" w:pos="567"/>
        </w:tabs>
        <w:ind w:left="567" w:hanging="567"/>
      </w:pPr>
      <w:rPr>
        <w:rFonts w:hint="default" w:ascii="Arial" w:hAnsi="Arial" w:cs="Arial"/>
      </w:rPr>
    </w:lvl>
    <w:lvl w:ilvl="2" w:tentative="0">
      <w:start w:val="1"/>
      <w:numFmt w:val="decimal"/>
      <w:isLgl/>
      <w:lvlText w:val="%1.%2.%3"/>
      <w:lvlJc w:val="left"/>
      <w:pPr>
        <w:tabs>
          <w:tab w:val="left" w:pos="1069"/>
        </w:tabs>
        <w:ind w:left="1069" w:hanging="709"/>
      </w:pPr>
      <w:rPr>
        <w:rFonts w:hint="default" w:ascii="Arial" w:hAnsi="Arial" w:cs="Arial"/>
      </w:rPr>
    </w:lvl>
    <w:lvl w:ilvl="3" w:tentative="0">
      <w:start w:val="1"/>
      <w:numFmt w:val="decimal"/>
      <w:isLgl/>
      <w:lvlText w:val="%1.%2.%3.%4"/>
      <w:lvlJc w:val="left"/>
      <w:pPr>
        <w:tabs>
          <w:tab w:val="left" w:pos="1080"/>
        </w:tabs>
        <w:ind w:left="851" w:hanging="851"/>
      </w:pPr>
      <w:rPr>
        <w:rFonts w:hint="default" w:ascii="Arial" w:hAnsi="Arial" w:cs="Arial"/>
        <w:sz w:val="24"/>
        <w:szCs w:val="24"/>
      </w:rPr>
    </w:lvl>
    <w:lvl w:ilvl="4" w:tentative="0">
      <w:start w:val="1"/>
      <w:numFmt w:val="decimal"/>
      <w:isLgl/>
      <w:lvlText w:val="%1.%2.%3.%4.%5"/>
      <w:lvlJc w:val="left"/>
      <w:pPr>
        <w:tabs>
          <w:tab w:val="left" w:pos="1440"/>
        </w:tabs>
        <w:ind w:left="992" w:hanging="992"/>
      </w:pPr>
      <w:rPr>
        <w:rFonts w:hint="eastAsia" w:cs="Times New Roman"/>
      </w:rPr>
    </w:lvl>
    <w:lvl w:ilvl="5" w:tentative="0">
      <w:start w:val="1"/>
      <w:numFmt w:val="decimal"/>
      <w:isLgl/>
      <w:lvlText w:val="%1.%2.%3.%4.%5.%6"/>
      <w:lvlJc w:val="left"/>
      <w:pPr>
        <w:tabs>
          <w:tab w:val="left" w:pos="1440"/>
        </w:tabs>
        <w:ind w:left="1134" w:hanging="1134"/>
      </w:pPr>
      <w:rPr>
        <w:rFonts w:hint="eastAsia" w:cs="Times New Roman"/>
      </w:rPr>
    </w:lvl>
    <w:lvl w:ilvl="6" w:tentative="0">
      <w:start w:val="1"/>
      <w:numFmt w:val="decimal"/>
      <w:isLgl/>
      <w:lvlText w:val="%1.%2.%3.%4.%5.%6.%7"/>
      <w:lvlJc w:val="left"/>
      <w:pPr>
        <w:tabs>
          <w:tab w:val="left" w:pos="1800"/>
        </w:tabs>
        <w:ind w:left="1276" w:hanging="1276"/>
      </w:pPr>
      <w:rPr>
        <w:rFonts w:hint="eastAsia" w:cs="Times New Roman"/>
      </w:rPr>
    </w:lvl>
    <w:lvl w:ilvl="7" w:tentative="0">
      <w:start w:val="1"/>
      <w:numFmt w:val="decimal"/>
      <w:isLgl/>
      <w:lvlText w:val="%1.%2.%3.%4.%5.%6.%7.%8"/>
      <w:lvlJc w:val="left"/>
      <w:pPr>
        <w:tabs>
          <w:tab w:val="left" w:pos="1800"/>
        </w:tabs>
        <w:ind w:left="1418" w:hanging="1418"/>
      </w:pPr>
      <w:rPr>
        <w:rFonts w:hint="eastAsia" w:cs="Times New Roman"/>
      </w:rPr>
    </w:lvl>
    <w:lvl w:ilvl="8" w:tentative="0">
      <w:start w:val="1"/>
      <w:numFmt w:val="decimal"/>
      <w:isLgl/>
      <w:lvlText w:val="%1.%2.%3.%4.%5.%6.%7.%8.%9"/>
      <w:lvlJc w:val="left"/>
      <w:pPr>
        <w:tabs>
          <w:tab w:val="left" w:pos="2160"/>
        </w:tabs>
        <w:ind w:left="1559" w:hanging="1559"/>
      </w:pPr>
      <w:rPr>
        <w:rFonts w:hint="eastAsia" w:cs="Times New Roman"/>
      </w:rPr>
    </w:lvl>
  </w:abstractNum>
  <w:abstractNum w:abstractNumId="7">
    <w:nsid w:val="00000014"/>
    <w:multiLevelType w:val="multilevel"/>
    <w:tmpl w:val="00000014"/>
    <w:lvl w:ilvl="0" w:tentative="0">
      <w:start w:val="1"/>
      <w:numFmt w:val="decimal"/>
      <w:pStyle w:val="26"/>
      <w:lvlText w:val="%1."/>
      <w:lvlJc w:val="left"/>
      <w:pPr>
        <w:ind w:left="420" w:firstLine="0"/>
      </w:pPr>
      <w:rPr>
        <w:rFonts w:ascii="Times New Roman" w:hAnsi="Times New Roman" w:cs="Times New Roman"/>
        <w:b w:val="0"/>
        <w:bCs w:val="0"/>
        <w:i w:val="0"/>
        <w:iCs w:val="0"/>
        <w:caps w:val="0"/>
        <w:smallCaps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49E6621"/>
    <w:multiLevelType w:val="singleLevel"/>
    <w:tmpl w:val="549E6621"/>
    <w:lvl w:ilvl="0" w:tentative="0">
      <w:start w:val="1"/>
      <w:numFmt w:val="decimal"/>
      <w:suff w:val="nothing"/>
      <w:lvlText w:val="（%1）"/>
      <w:lvlJc w:val="left"/>
    </w:lvl>
  </w:abstractNum>
  <w:num w:numId="1">
    <w:abstractNumId w:val="4"/>
  </w:num>
  <w:num w:numId="2">
    <w:abstractNumId w:val="5"/>
  </w:num>
  <w:num w:numId="3">
    <w:abstractNumId w:val="7"/>
  </w:num>
  <w:num w:numId="4">
    <w:abstractNumId w:val="2"/>
  </w:num>
  <w:num w:numId="5">
    <w:abstractNumId w:val="3"/>
  </w:num>
  <w:num w:numId="6">
    <w:abstractNumId w:val="1"/>
  </w:num>
  <w:num w:numId="7">
    <w:abstractNumId w:val="6"/>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jMjNhOGFiZDlmMmFjZDZlMWZjN2IzMmRmNzQ3NDcifQ=="/>
  </w:docVars>
  <w:rsids>
    <w:rsidRoot w:val="00172A27"/>
    <w:rsid w:val="000126F2"/>
    <w:rsid w:val="00086696"/>
    <w:rsid w:val="0009024D"/>
    <w:rsid w:val="000F5645"/>
    <w:rsid w:val="00115C78"/>
    <w:rsid w:val="00133ECF"/>
    <w:rsid w:val="00153AFF"/>
    <w:rsid w:val="00186C2B"/>
    <w:rsid w:val="00212728"/>
    <w:rsid w:val="00233C4E"/>
    <w:rsid w:val="00251036"/>
    <w:rsid w:val="002E50F8"/>
    <w:rsid w:val="003225FB"/>
    <w:rsid w:val="00323E97"/>
    <w:rsid w:val="00330766"/>
    <w:rsid w:val="003419E5"/>
    <w:rsid w:val="003955F9"/>
    <w:rsid w:val="00395E25"/>
    <w:rsid w:val="003E670B"/>
    <w:rsid w:val="00401F67"/>
    <w:rsid w:val="00403054"/>
    <w:rsid w:val="00466F77"/>
    <w:rsid w:val="004C4A9A"/>
    <w:rsid w:val="004F3A79"/>
    <w:rsid w:val="004F5165"/>
    <w:rsid w:val="00506947"/>
    <w:rsid w:val="00510AFB"/>
    <w:rsid w:val="00533663"/>
    <w:rsid w:val="005868F5"/>
    <w:rsid w:val="005931B7"/>
    <w:rsid w:val="005A3C00"/>
    <w:rsid w:val="005B5679"/>
    <w:rsid w:val="00620A2A"/>
    <w:rsid w:val="00677F31"/>
    <w:rsid w:val="0069368B"/>
    <w:rsid w:val="007678C6"/>
    <w:rsid w:val="007D541D"/>
    <w:rsid w:val="007F45BE"/>
    <w:rsid w:val="008005F7"/>
    <w:rsid w:val="008201B4"/>
    <w:rsid w:val="00833AB6"/>
    <w:rsid w:val="00847DE1"/>
    <w:rsid w:val="00853109"/>
    <w:rsid w:val="008766D7"/>
    <w:rsid w:val="008C7661"/>
    <w:rsid w:val="008E0C60"/>
    <w:rsid w:val="009255FE"/>
    <w:rsid w:val="009269A2"/>
    <w:rsid w:val="009343AA"/>
    <w:rsid w:val="00937817"/>
    <w:rsid w:val="009B2C38"/>
    <w:rsid w:val="009D17C8"/>
    <w:rsid w:val="009E196C"/>
    <w:rsid w:val="009F2CCC"/>
    <w:rsid w:val="00A012AB"/>
    <w:rsid w:val="00A362E4"/>
    <w:rsid w:val="00A54152"/>
    <w:rsid w:val="00A67D58"/>
    <w:rsid w:val="00A975DD"/>
    <w:rsid w:val="00AF40A6"/>
    <w:rsid w:val="00AF43B5"/>
    <w:rsid w:val="00B06E28"/>
    <w:rsid w:val="00B41BDC"/>
    <w:rsid w:val="00B45701"/>
    <w:rsid w:val="00B502D3"/>
    <w:rsid w:val="00B627A9"/>
    <w:rsid w:val="00B77363"/>
    <w:rsid w:val="00B8500A"/>
    <w:rsid w:val="00BF0751"/>
    <w:rsid w:val="00C069E8"/>
    <w:rsid w:val="00C24AE6"/>
    <w:rsid w:val="00CD391E"/>
    <w:rsid w:val="00CF1FFF"/>
    <w:rsid w:val="00D24FF0"/>
    <w:rsid w:val="00D25ACB"/>
    <w:rsid w:val="00D46C3D"/>
    <w:rsid w:val="00D50329"/>
    <w:rsid w:val="00D651BA"/>
    <w:rsid w:val="00DD6A62"/>
    <w:rsid w:val="00E4156B"/>
    <w:rsid w:val="00E700A9"/>
    <w:rsid w:val="00E70847"/>
    <w:rsid w:val="00E87AA3"/>
    <w:rsid w:val="00EA47C9"/>
    <w:rsid w:val="00F036C9"/>
    <w:rsid w:val="00F13E63"/>
    <w:rsid w:val="00F768E1"/>
    <w:rsid w:val="00FC3E1B"/>
    <w:rsid w:val="00FF16F3"/>
    <w:rsid w:val="015776BA"/>
    <w:rsid w:val="016947F9"/>
    <w:rsid w:val="016B6D6F"/>
    <w:rsid w:val="016F48DB"/>
    <w:rsid w:val="01826A17"/>
    <w:rsid w:val="01CB7DA6"/>
    <w:rsid w:val="01D9415D"/>
    <w:rsid w:val="01DA5E9C"/>
    <w:rsid w:val="01DB6127"/>
    <w:rsid w:val="01DE01EE"/>
    <w:rsid w:val="0219028B"/>
    <w:rsid w:val="02194771"/>
    <w:rsid w:val="022E6257"/>
    <w:rsid w:val="023850C1"/>
    <w:rsid w:val="0245387C"/>
    <w:rsid w:val="02477318"/>
    <w:rsid w:val="0255285E"/>
    <w:rsid w:val="026B1259"/>
    <w:rsid w:val="02827B99"/>
    <w:rsid w:val="028B3260"/>
    <w:rsid w:val="02981993"/>
    <w:rsid w:val="029F2E1F"/>
    <w:rsid w:val="02AC72AB"/>
    <w:rsid w:val="02BC3AEB"/>
    <w:rsid w:val="02D079EE"/>
    <w:rsid w:val="02E1227E"/>
    <w:rsid w:val="02E54D69"/>
    <w:rsid w:val="02F254D6"/>
    <w:rsid w:val="02F53218"/>
    <w:rsid w:val="030355FF"/>
    <w:rsid w:val="03127487"/>
    <w:rsid w:val="031D6EFB"/>
    <w:rsid w:val="032B7262"/>
    <w:rsid w:val="0341645D"/>
    <w:rsid w:val="034321D6"/>
    <w:rsid w:val="035241C7"/>
    <w:rsid w:val="037E320E"/>
    <w:rsid w:val="038A570F"/>
    <w:rsid w:val="039E11BA"/>
    <w:rsid w:val="03A2514E"/>
    <w:rsid w:val="03B409DD"/>
    <w:rsid w:val="03C03826"/>
    <w:rsid w:val="03C30C20"/>
    <w:rsid w:val="03C36058"/>
    <w:rsid w:val="03D1158F"/>
    <w:rsid w:val="03D96696"/>
    <w:rsid w:val="03DB41BC"/>
    <w:rsid w:val="03E75194"/>
    <w:rsid w:val="03EF7C67"/>
    <w:rsid w:val="03FE7EAB"/>
    <w:rsid w:val="041C543C"/>
    <w:rsid w:val="04221DEB"/>
    <w:rsid w:val="04435676"/>
    <w:rsid w:val="044E498E"/>
    <w:rsid w:val="04651CD8"/>
    <w:rsid w:val="046A5576"/>
    <w:rsid w:val="046E6DDE"/>
    <w:rsid w:val="04754611"/>
    <w:rsid w:val="04A942BA"/>
    <w:rsid w:val="04AB3862"/>
    <w:rsid w:val="04BF3332"/>
    <w:rsid w:val="04F01EE9"/>
    <w:rsid w:val="04F76DD4"/>
    <w:rsid w:val="05085485"/>
    <w:rsid w:val="050B6D23"/>
    <w:rsid w:val="053242B0"/>
    <w:rsid w:val="05373674"/>
    <w:rsid w:val="053E4A03"/>
    <w:rsid w:val="05455577"/>
    <w:rsid w:val="05465FAD"/>
    <w:rsid w:val="054B0F4A"/>
    <w:rsid w:val="054C26F9"/>
    <w:rsid w:val="05792454"/>
    <w:rsid w:val="058A5E9A"/>
    <w:rsid w:val="058F1702"/>
    <w:rsid w:val="05A351AD"/>
    <w:rsid w:val="05D215EF"/>
    <w:rsid w:val="05DE3CE5"/>
    <w:rsid w:val="05E82BC0"/>
    <w:rsid w:val="05EC1ED2"/>
    <w:rsid w:val="05F477B7"/>
    <w:rsid w:val="05F678C1"/>
    <w:rsid w:val="061816F7"/>
    <w:rsid w:val="062278D0"/>
    <w:rsid w:val="06370ACC"/>
    <w:rsid w:val="064C3473"/>
    <w:rsid w:val="06530982"/>
    <w:rsid w:val="06581AF4"/>
    <w:rsid w:val="06632AA3"/>
    <w:rsid w:val="06836B5F"/>
    <w:rsid w:val="06967B48"/>
    <w:rsid w:val="06974BCE"/>
    <w:rsid w:val="06A55ADF"/>
    <w:rsid w:val="06A64F55"/>
    <w:rsid w:val="06C453DB"/>
    <w:rsid w:val="06D82C35"/>
    <w:rsid w:val="06DA075B"/>
    <w:rsid w:val="06E65D6F"/>
    <w:rsid w:val="06F224DF"/>
    <w:rsid w:val="06F9554A"/>
    <w:rsid w:val="070457D8"/>
    <w:rsid w:val="070659F4"/>
    <w:rsid w:val="070E2AFA"/>
    <w:rsid w:val="070E6657"/>
    <w:rsid w:val="07153E89"/>
    <w:rsid w:val="0721282E"/>
    <w:rsid w:val="07322345"/>
    <w:rsid w:val="07371FAF"/>
    <w:rsid w:val="075239E7"/>
    <w:rsid w:val="075B445B"/>
    <w:rsid w:val="07750484"/>
    <w:rsid w:val="077A3CEC"/>
    <w:rsid w:val="0788465B"/>
    <w:rsid w:val="07950B26"/>
    <w:rsid w:val="07A2269D"/>
    <w:rsid w:val="07AD2313"/>
    <w:rsid w:val="07B611C8"/>
    <w:rsid w:val="07B76CEE"/>
    <w:rsid w:val="07BE3841"/>
    <w:rsid w:val="07CA07CF"/>
    <w:rsid w:val="07E0529D"/>
    <w:rsid w:val="07E55609"/>
    <w:rsid w:val="07ED2710"/>
    <w:rsid w:val="07F613C5"/>
    <w:rsid w:val="08140B8B"/>
    <w:rsid w:val="08143A40"/>
    <w:rsid w:val="081751D4"/>
    <w:rsid w:val="081E6D6D"/>
    <w:rsid w:val="08293B60"/>
    <w:rsid w:val="082C4FE6"/>
    <w:rsid w:val="08362309"/>
    <w:rsid w:val="08395955"/>
    <w:rsid w:val="084A1910"/>
    <w:rsid w:val="084F5934"/>
    <w:rsid w:val="085D1644"/>
    <w:rsid w:val="08607386"/>
    <w:rsid w:val="08713341"/>
    <w:rsid w:val="088A4403"/>
    <w:rsid w:val="088A5A8D"/>
    <w:rsid w:val="08A13C26"/>
    <w:rsid w:val="08AA2A59"/>
    <w:rsid w:val="08BF40AC"/>
    <w:rsid w:val="08C07429"/>
    <w:rsid w:val="08D15B8E"/>
    <w:rsid w:val="08D35DAA"/>
    <w:rsid w:val="08D51B22"/>
    <w:rsid w:val="08E27D9B"/>
    <w:rsid w:val="08E92ED7"/>
    <w:rsid w:val="08EE00FD"/>
    <w:rsid w:val="08FA50E4"/>
    <w:rsid w:val="08FE1C40"/>
    <w:rsid w:val="092B6141"/>
    <w:rsid w:val="0935241C"/>
    <w:rsid w:val="09420839"/>
    <w:rsid w:val="094620D8"/>
    <w:rsid w:val="09524F20"/>
    <w:rsid w:val="097035F9"/>
    <w:rsid w:val="099217C1"/>
    <w:rsid w:val="09931095"/>
    <w:rsid w:val="09963123"/>
    <w:rsid w:val="09981838"/>
    <w:rsid w:val="09B5283E"/>
    <w:rsid w:val="09C120A6"/>
    <w:rsid w:val="09C166B7"/>
    <w:rsid w:val="09C851E3"/>
    <w:rsid w:val="09CB469C"/>
    <w:rsid w:val="09CF3948"/>
    <w:rsid w:val="09D678FF"/>
    <w:rsid w:val="09E71B0D"/>
    <w:rsid w:val="09EF44EC"/>
    <w:rsid w:val="09F14739"/>
    <w:rsid w:val="09FC4C49"/>
    <w:rsid w:val="0A03621B"/>
    <w:rsid w:val="0A0509EF"/>
    <w:rsid w:val="0A2D3F49"/>
    <w:rsid w:val="0A80786B"/>
    <w:rsid w:val="0A8712AB"/>
    <w:rsid w:val="0AA04DDE"/>
    <w:rsid w:val="0AB12DCE"/>
    <w:rsid w:val="0AB45767"/>
    <w:rsid w:val="0AC43BFC"/>
    <w:rsid w:val="0ACF38CA"/>
    <w:rsid w:val="0AD16319"/>
    <w:rsid w:val="0AD96F7B"/>
    <w:rsid w:val="0ADD081A"/>
    <w:rsid w:val="0AEC4F01"/>
    <w:rsid w:val="0AF3628F"/>
    <w:rsid w:val="0B095AB3"/>
    <w:rsid w:val="0B343101"/>
    <w:rsid w:val="0B4B60CB"/>
    <w:rsid w:val="0B627EDA"/>
    <w:rsid w:val="0B704808"/>
    <w:rsid w:val="0B982B0E"/>
    <w:rsid w:val="0B98567B"/>
    <w:rsid w:val="0BA54B88"/>
    <w:rsid w:val="0BA94BA0"/>
    <w:rsid w:val="0BAB31B1"/>
    <w:rsid w:val="0BAF62FB"/>
    <w:rsid w:val="0BB04180"/>
    <w:rsid w:val="0BC66C7D"/>
    <w:rsid w:val="0BED3778"/>
    <w:rsid w:val="0C232BA4"/>
    <w:rsid w:val="0C2A577B"/>
    <w:rsid w:val="0C2D26E3"/>
    <w:rsid w:val="0C373ADB"/>
    <w:rsid w:val="0C37733F"/>
    <w:rsid w:val="0C3856AB"/>
    <w:rsid w:val="0C3C5A14"/>
    <w:rsid w:val="0C4274CE"/>
    <w:rsid w:val="0C6952DD"/>
    <w:rsid w:val="0CAD06C0"/>
    <w:rsid w:val="0CC53C5B"/>
    <w:rsid w:val="0CD77970"/>
    <w:rsid w:val="0CDB7B95"/>
    <w:rsid w:val="0CE95B9C"/>
    <w:rsid w:val="0CEA5470"/>
    <w:rsid w:val="0CED7133"/>
    <w:rsid w:val="0D077DD0"/>
    <w:rsid w:val="0D2B61B4"/>
    <w:rsid w:val="0D3E4B53"/>
    <w:rsid w:val="0D406E04"/>
    <w:rsid w:val="0D611BD6"/>
    <w:rsid w:val="0D66529D"/>
    <w:rsid w:val="0D6B65B1"/>
    <w:rsid w:val="0D8544BC"/>
    <w:rsid w:val="0D8F76E7"/>
    <w:rsid w:val="0DA20C83"/>
    <w:rsid w:val="0DA707B9"/>
    <w:rsid w:val="0DB848AD"/>
    <w:rsid w:val="0DD7DC29"/>
    <w:rsid w:val="0DE01542"/>
    <w:rsid w:val="0DE87C01"/>
    <w:rsid w:val="0DEF69F4"/>
    <w:rsid w:val="0DF2282E"/>
    <w:rsid w:val="0DFD3DA4"/>
    <w:rsid w:val="0DFE5677"/>
    <w:rsid w:val="0E042561"/>
    <w:rsid w:val="0E0A0A2B"/>
    <w:rsid w:val="0E24538F"/>
    <w:rsid w:val="0E264EFB"/>
    <w:rsid w:val="0E3F1E77"/>
    <w:rsid w:val="0E46735F"/>
    <w:rsid w:val="0E4969BD"/>
    <w:rsid w:val="0E5928AD"/>
    <w:rsid w:val="0E5B4877"/>
    <w:rsid w:val="0E707BF7"/>
    <w:rsid w:val="0E7D0D45"/>
    <w:rsid w:val="0E8611C8"/>
    <w:rsid w:val="0E975183"/>
    <w:rsid w:val="0EAD1661"/>
    <w:rsid w:val="0EBE21D3"/>
    <w:rsid w:val="0EBF7B36"/>
    <w:rsid w:val="0EC51CF1"/>
    <w:rsid w:val="0ECC307F"/>
    <w:rsid w:val="0EE4281A"/>
    <w:rsid w:val="0F0C791F"/>
    <w:rsid w:val="0F1A6FD6"/>
    <w:rsid w:val="0F203DE2"/>
    <w:rsid w:val="0F2C7FC2"/>
    <w:rsid w:val="0F4E7F38"/>
    <w:rsid w:val="0F56503F"/>
    <w:rsid w:val="0F891446"/>
    <w:rsid w:val="0F9A13CF"/>
    <w:rsid w:val="0F9B000F"/>
    <w:rsid w:val="0F9D2C6D"/>
    <w:rsid w:val="0FB747DD"/>
    <w:rsid w:val="0FBA75B5"/>
    <w:rsid w:val="0FC91CB4"/>
    <w:rsid w:val="0FD10D03"/>
    <w:rsid w:val="0FD710A5"/>
    <w:rsid w:val="0FD718E6"/>
    <w:rsid w:val="0FD77F2D"/>
    <w:rsid w:val="0FD83CA6"/>
    <w:rsid w:val="0FEB14C7"/>
    <w:rsid w:val="0FF22FB9"/>
    <w:rsid w:val="10131364"/>
    <w:rsid w:val="101822F4"/>
    <w:rsid w:val="105B218F"/>
    <w:rsid w:val="10616837"/>
    <w:rsid w:val="1074577C"/>
    <w:rsid w:val="107E794C"/>
    <w:rsid w:val="10857989"/>
    <w:rsid w:val="10A3726C"/>
    <w:rsid w:val="10AC25CA"/>
    <w:rsid w:val="10B4201D"/>
    <w:rsid w:val="10CA7A92"/>
    <w:rsid w:val="10EE5DB9"/>
    <w:rsid w:val="10EF574B"/>
    <w:rsid w:val="10F30154"/>
    <w:rsid w:val="10F845FF"/>
    <w:rsid w:val="110C1E59"/>
    <w:rsid w:val="110D0173"/>
    <w:rsid w:val="11125CD9"/>
    <w:rsid w:val="111D5E14"/>
    <w:rsid w:val="11273BC1"/>
    <w:rsid w:val="112951FE"/>
    <w:rsid w:val="11317B11"/>
    <w:rsid w:val="11351403"/>
    <w:rsid w:val="11427629"/>
    <w:rsid w:val="114A2981"/>
    <w:rsid w:val="116E6670"/>
    <w:rsid w:val="117A3C75"/>
    <w:rsid w:val="11826A7D"/>
    <w:rsid w:val="118616F9"/>
    <w:rsid w:val="11904838"/>
    <w:rsid w:val="119F4A7B"/>
    <w:rsid w:val="11A6405B"/>
    <w:rsid w:val="11B83956"/>
    <w:rsid w:val="11C40985"/>
    <w:rsid w:val="11CC786A"/>
    <w:rsid w:val="11D24E50"/>
    <w:rsid w:val="11E93F48"/>
    <w:rsid w:val="11EC68FB"/>
    <w:rsid w:val="11EF1D32"/>
    <w:rsid w:val="12046FD4"/>
    <w:rsid w:val="121420F8"/>
    <w:rsid w:val="12214445"/>
    <w:rsid w:val="12221AB6"/>
    <w:rsid w:val="12273D08"/>
    <w:rsid w:val="12324FEA"/>
    <w:rsid w:val="123D2FB3"/>
    <w:rsid w:val="124538DB"/>
    <w:rsid w:val="125067AE"/>
    <w:rsid w:val="12637655"/>
    <w:rsid w:val="129739A4"/>
    <w:rsid w:val="12A12A75"/>
    <w:rsid w:val="12AC38F3"/>
    <w:rsid w:val="12C549B5"/>
    <w:rsid w:val="12C80001"/>
    <w:rsid w:val="12CF56B4"/>
    <w:rsid w:val="12DB0575"/>
    <w:rsid w:val="12EF558E"/>
    <w:rsid w:val="12F92791"/>
    <w:rsid w:val="13033659"/>
    <w:rsid w:val="130354DD"/>
    <w:rsid w:val="13066050"/>
    <w:rsid w:val="13132BFE"/>
    <w:rsid w:val="132A7687"/>
    <w:rsid w:val="133236CD"/>
    <w:rsid w:val="134F1DF4"/>
    <w:rsid w:val="13557827"/>
    <w:rsid w:val="13557D81"/>
    <w:rsid w:val="135D0F4C"/>
    <w:rsid w:val="13631AD8"/>
    <w:rsid w:val="137F4B64"/>
    <w:rsid w:val="138B3117"/>
    <w:rsid w:val="138E7538"/>
    <w:rsid w:val="13904FC3"/>
    <w:rsid w:val="13C06B9F"/>
    <w:rsid w:val="13CD2CC1"/>
    <w:rsid w:val="13EE1CEA"/>
    <w:rsid w:val="140B464A"/>
    <w:rsid w:val="140D6614"/>
    <w:rsid w:val="14172FEE"/>
    <w:rsid w:val="14264FE0"/>
    <w:rsid w:val="14364B2C"/>
    <w:rsid w:val="1438503B"/>
    <w:rsid w:val="143D057B"/>
    <w:rsid w:val="144933C4"/>
    <w:rsid w:val="145F384E"/>
    <w:rsid w:val="145F3F52"/>
    <w:rsid w:val="14694230"/>
    <w:rsid w:val="14720C0D"/>
    <w:rsid w:val="147D0BDA"/>
    <w:rsid w:val="147D6BCA"/>
    <w:rsid w:val="14860A3B"/>
    <w:rsid w:val="148F527B"/>
    <w:rsid w:val="14972381"/>
    <w:rsid w:val="14AA2FD3"/>
    <w:rsid w:val="14B06F9F"/>
    <w:rsid w:val="14B52807"/>
    <w:rsid w:val="14BA1BCC"/>
    <w:rsid w:val="14C724CE"/>
    <w:rsid w:val="14CA5427"/>
    <w:rsid w:val="14DD669C"/>
    <w:rsid w:val="14E07884"/>
    <w:rsid w:val="14EA0703"/>
    <w:rsid w:val="150572EB"/>
    <w:rsid w:val="150A448F"/>
    <w:rsid w:val="150C68CB"/>
    <w:rsid w:val="152229F1"/>
    <w:rsid w:val="154461CC"/>
    <w:rsid w:val="15597637"/>
    <w:rsid w:val="15804BC3"/>
    <w:rsid w:val="15932B49"/>
    <w:rsid w:val="159C43B4"/>
    <w:rsid w:val="15BD23EA"/>
    <w:rsid w:val="15C9430D"/>
    <w:rsid w:val="15D373E9"/>
    <w:rsid w:val="15E213DA"/>
    <w:rsid w:val="15E52C78"/>
    <w:rsid w:val="15F874DA"/>
    <w:rsid w:val="16210154"/>
    <w:rsid w:val="1633342F"/>
    <w:rsid w:val="164344DD"/>
    <w:rsid w:val="164D087E"/>
    <w:rsid w:val="164E6A70"/>
    <w:rsid w:val="166817B1"/>
    <w:rsid w:val="16683008"/>
    <w:rsid w:val="167C2ACC"/>
    <w:rsid w:val="168E3310"/>
    <w:rsid w:val="16A36DBB"/>
    <w:rsid w:val="16A50D85"/>
    <w:rsid w:val="16B81E85"/>
    <w:rsid w:val="16CF7F44"/>
    <w:rsid w:val="16D33E8D"/>
    <w:rsid w:val="16DC407B"/>
    <w:rsid w:val="16E86EC4"/>
    <w:rsid w:val="16EF3DAF"/>
    <w:rsid w:val="16F94C2D"/>
    <w:rsid w:val="16FE3FF2"/>
    <w:rsid w:val="16FF7D6A"/>
    <w:rsid w:val="171323AA"/>
    <w:rsid w:val="173B5246"/>
    <w:rsid w:val="17516817"/>
    <w:rsid w:val="176A78D9"/>
    <w:rsid w:val="17875FF8"/>
    <w:rsid w:val="17B63456"/>
    <w:rsid w:val="17E31439"/>
    <w:rsid w:val="17F2764F"/>
    <w:rsid w:val="18003BA2"/>
    <w:rsid w:val="1833416F"/>
    <w:rsid w:val="18524B4C"/>
    <w:rsid w:val="185539A5"/>
    <w:rsid w:val="185C36C6"/>
    <w:rsid w:val="18737F6A"/>
    <w:rsid w:val="187D1E98"/>
    <w:rsid w:val="187D53EA"/>
    <w:rsid w:val="188C387F"/>
    <w:rsid w:val="188E5849"/>
    <w:rsid w:val="18A817AE"/>
    <w:rsid w:val="18AF5EEB"/>
    <w:rsid w:val="18B21538"/>
    <w:rsid w:val="18BB7749"/>
    <w:rsid w:val="18C44192"/>
    <w:rsid w:val="18D9512F"/>
    <w:rsid w:val="18ED431E"/>
    <w:rsid w:val="18F45D57"/>
    <w:rsid w:val="18F558C8"/>
    <w:rsid w:val="18F877F3"/>
    <w:rsid w:val="1901601B"/>
    <w:rsid w:val="19070275"/>
    <w:rsid w:val="19106B6F"/>
    <w:rsid w:val="19212219"/>
    <w:rsid w:val="19235F91"/>
    <w:rsid w:val="193C7053"/>
    <w:rsid w:val="193F7C64"/>
    <w:rsid w:val="196C36C2"/>
    <w:rsid w:val="196D1903"/>
    <w:rsid w:val="19724162"/>
    <w:rsid w:val="198F1879"/>
    <w:rsid w:val="19A54BF8"/>
    <w:rsid w:val="19A678A0"/>
    <w:rsid w:val="19B4308D"/>
    <w:rsid w:val="19B47531"/>
    <w:rsid w:val="19C214C4"/>
    <w:rsid w:val="19EB6998"/>
    <w:rsid w:val="19F38882"/>
    <w:rsid w:val="19F70AC5"/>
    <w:rsid w:val="19F85670"/>
    <w:rsid w:val="19F94F44"/>
    <w:rsid w:val="1A1324AA"/>
    <w:rsid w:val="1A2B77F4"/>
    <w:rsid w:val="1A2F16BB"/>
    <w:rsid w:val="1A3908A8"/>
    <w:rsid w:val="1A420699"/>
    <w:rsid w:val="1A501008"/>
    <w:rsid w:val="1A766595"/>
    <w:rsid w:val="1A8C59F8"/>
    <w:rsid w:val="1AA57FC0"/>
    <w:rsid w:val="1AAC1FB7"/>
    <w:rsid w:val="1AAE61FB"/>
    <w:rsid w:val="1AB01AA7"/>
    <w:rsid w:val="1AB23324"/>
    <w:rsid w:val="1ADF554D"/>
    <w:rsid w:val="1AE9320B"/>
    <w:rsid w:val="1AED13C7"/>
    <w:rsid w:val="1B075976"/>
    <w:rsid w:val="1B1069E9"/>
    <w:rsid w:val="1B170CA1"/>
    <w:rsid w:val="1B193AF0"/>
    <w:rsid w:val="1B245FF1"/>
    <w:rsid w:val="1B2D30F7"/>
    <w:rsid w:val="1B7747F3"/>
    <w:rsid w:val="1B79254B"/>
    <w:rsid w:val="1B8056AC"/>
    <w:rsid w:val="1B972C67"/>
    <w:rsid w:val="1BA55384"/>
    <w:rsid w:val="1BD712B5"/>
    <w:rsid w:val="1BDD4B1E"/>
    <w:rsid w:val="1BE35EAC"/>
    <w:rsid w:val="1BE76F28"/>
    <w:rsid w:val="1BF105C9"/>
    <w:rsid w:val="1C063DFC"/>
    <w:rsid w:val="1C177904"/>
    <w:rsid w:val="1C284B16"/>
    <w:rsid w:val="1C5A26D3"/>
    <w:rsid w:val="1C5D0DA4"/>
    <w:rsid w:val="1C5F6917"/>
    <w:rsid w:val="1C6F5742"/>
    <w:rsid w:val="1C740F63"/>
    <w:rsid w:val="1C76287C"/>
    <w:rsid w:val="1C872925"/>
    <w:rsid w:val="1C9B764B"/>
    <w:rsid w:val="1C9E0082"/>
    <w:rsid w:val="1CAA693B"/>
    <w:rsid w:val="1CB14442"/>
    <w:rsid w:val="1CC3162D"/>
    <w:rsid w:val="1CC66428"/>
    <w:rsid w:val="1CC80B99"/>
    <w:rsid w:val="1CCB0E1A"/>
    <w:rsid w:val="1D0113C9"/>
    <w:rsid w:val="1D0A2DA7"/>
    <w:rsid w:val="1D1140B4"/>
    <w:rsid w:val="1D1706EC"/>
    <w:rsid w:val="1D2B18B9"/>
    <w:rsid w:val="1D2D27D8"/>
    <w:rsid w:val="1D3E783E"/>
    <w:rsid w:val="1D47116E"/>
    <w:rsid w:val="1D630F86"/>
    <w:rsid w:val="1D6C3DAB"/>
    <w:rsid w:val="1D7019C1"/>
    <w:rsid w:val="1D752B34"/>
    <w:rsid w:val="1D7E5E8C"/>
    <w:rsid w:val="1D8131AA"/>
    <w:rsid w:val="1D836591"/>
    <w:rsid w:val="1D9236E6"/>
    <w:rsid w:val="1D976424"/>
    <w:rsid w:val="1DB55626"/>
    <w:rsid w:val="1DB7314C"/>
    <w:rsid w:val="1DC15D79"/>
    <w:rsid w:val="1DC53ABB"/>
    <w:rsid w:val="1DC85AE6"/>
    <w:rsid w:val="1DC932FC"/>
    <w:rsid w:val="1DDB503E"/>
    <w:rsid w:val="1DE84D03"/>
    <w:rsid w:val="1DE85A9D"/>
    <w:rsid w:val="1DF13B3B"/>
    <w:rsid w:val="1E0E2B0B"/>
    <w:rsid w:val="1E1660C5"/>
    <w:rsid w:val="1E18008F"/>
    <w:rsid w:val="1E205195"/>
    <w:rsid w:val="1E276322"/>
    <w:rsid w:val="1E5F2F8D"/>
    <w:rsid w:val="1E650DFA"/>
    <w:rsid w:val="1E982F7E"/>
    <w:rsid w:val="1EA949E3"/>
    <w:rsid w:val="1EAC45D3"/>
    <w:rsid w:val="1EC04283"/>
    <w:rsid w:val="1EC71AB5"/>
    <w:rsid w:val="1ECF4FD3"/>
    <w:rsid w:val="1ED0096A"/>
    <w:rsid w:val="1ED7455A"/>
    <w:rsid w:val="1ED815CC"/>
    <w:rsid w:val="1EDB6610"/>
    <w:rsid w:val="1EDC6880"/>
    <w:rsid w:val="1EF34658"/>
    <w:rsid w:val="1F02489B"/>
    <w:rsid w:val="1F095D51"/>
    <w:rsid w:val="1F132604"/>
    <w:rsid w:val="1F1A3993"/>
    <w:rsid w:val="1F242A63"/>
    <w:rsid w:val="1F2627EB"/>
    <w:rsid w:val="1F294332"/>
    <w:rsid w:val="1F2A62AD"/>
    <w:rsid w:val="1F3233D2"/>
    <w:rsid w:val="1F4804CC"/>
    <w:rsid w:val="1F4D3C73"/>
    <w:rsid w:val="1FEB1DE0"/>
    <w:rsid w:val="1FEF6DB8"/>
    <w:rsid w:val="1FF64400"/>
    <w:rsid w:val="200D799B"/>
    <w:rsid w:val="201E4F4F"/>
    <w:rsid w:val="20256A93"/>
    <w:rsid w:val="20384A18"/>
    <w:rsid w:val="20390790"/>
    <w:rsid w:val="203F5E7C"/>
    <w:rsid w:val="205055EF"/>
    <w:rsid w:val="206C46C2"/>
    <w:rsid w:val="20976AB4"/>
    <w:rsid w:val="209854B7"/>
    <w:rsid w:val="20A81514"/>
    <w:rsid w:val="20AB6760"/>
    <w:rsid w:val="20B16579"/>
    <w:rsid w:val="20C95670"/>
    <w:rsid w:val="20D426D2"/>
    <w:rsid w:val="20D65FDF"/>
    <w:rsid w:val="20E85D1A"/>
    <w:rsid w:val="210055F8"/>
    <w:rsid w:val="210466A8"/>
    <w:rsid w:val="21052421"/>
    <w:rsid w:val="2126121F"/>
    <w:rsid w:val="215A53B5"/>
    <w:rsid w:val="216B1A91"/>
    <w:rsid w:val="217B0F40"/>
    <w:rsid w:val="218A192D"/>
    <w:rsid w:val="21A972E1"/>
    <w:rsid w:val="21BF0821"/>
    <w:rsid w:val="21F816C1"/>
    <w:rsid w:val="221C5C74"/>
    <w:rsid w:val="222B0959"/>
    <w:rsid w:val="222D1C2F"/>
    <w:rsid w:val="222F1E4B"/>
    <w:rsid w:val="223631D9"/>
    <w:rsid w:val="2240564F"/>
    <w:rsid w:val="224F6049"/>
    <w:rsid w:val="22575E31"/>
    <w:rsid w:val="226D6AA8"/>
    <w:rsid w:val="22816594"/>
    <w:rsid w:val="22A00653"/>
    <w:rsid w:val="22A301F1"/>
    <w:rsid w:val="22A52EFA"/>
    <w:rsid w:val="22A567AC"/>
    <w:rsid w:val="22A77054"/>
    <w:rsid w:val="22AA3280"/>
    <w:rsid w:val="22BD2FB3"/>
    <w:rsid w:val="22CB1F7F"/>
    <w:rsid w:val="22CC31F6"/>
    <w:rsid w:val="22CF3D2A"/>
    <w:rsid w:val="22D43C96"/>
    <w:rsid w:val="22DB5B2F"/>
    <w:rsid w:val="22E66C6E"/>
    <w:rsid w:val="22EC6903"/>
    <w:rsid w:val="22FB3ADB"/>
    <w:rsid w:val="23076924"/>
    <w:rsid w:val="2318468D"/>
    <w:rsid w:val="23214B81"/>
    <w:rsid w:val="23250B58"/>
    <w:rsid w:val="23287A3B"/>
    <w:rsid w:val="234C2589"/>
    <w:rsid w:val="234E0C74"/>
    <w:rsid w:val="234E10B9"/>
    <w:rsid w:val="235D595F"/>
    <w:rsid w:val="2366667A"/>
    <w:rsid w:val="236B1B92"/>
    <w:rsid w:val="23725A46"/>
    <w:rsid w:val="23962364"/>
    <w:rsid w:val="239F4DAE"/>
    <w:rsid w:val="23A75A11"/>
    <w:rsid w:val="23D46034"/>
    <w:rsid w:val="23DD1433"/>
    <w:rsid w:val="23ED1676"/>
    <w:rsid w:val="23EF1892"/>
    <w:rsid w:val="23F37F14"/>
    <w:rsid w:val="23F956E8"/>
    <w:rsid w:val="23FA0237"/>
    <w:rsid w:val="24005D93"/>
    <w:rsid w:val="24015121"/>
    <w:rsid w:val="24126A21"/>
    <w:rsid w:val="24264B88"/>
    <w:rsid w:val="24305A06"/>
    <w:rsid w:val="2447702E"/>
    <w:rsid w:val="246114DA"/>
    <w:rsid w:val="24765B0F"/>
    <w:rsid w:val="247C0C4C"/>
    <w:rsid w:val="247C50B5"/>
    <w:rsid w:val="248F4E23"/>
    <w:rsid w:val="249B0281"/>
    <w:rsid w:val="24A55645"/>
    <w:rsid w:val="24C22B02"/>
    <w:rsid w:val="24C51203"/>
    <w:rsid w:val="24D570AE"/>
    <w:rsid w:val="24D6035C"/>
    <w:rsid w:val="24D942F0"/>
    <w:rsid w:val="24E01EF1"/>
    <w:rsid w:val="24E2777A"/>
    <w:rsid w:val="24ED22D8"/>
    <w:rsid w:val="24F51DFC"/>
    <w:rsid w:val="250C30B2"/>
    <w:rsid w:val="25423C43"/>
    <w:rsid w:val="25503432"/>
    <w:rsid w:val="2558727E"/>
    <w:rsid w:val="256B13EC"/>
    <w:rsid w:val="2582242A"/>
    <w:rsid w:val="25870903"/>
    <w:rsid w:val="25924268"/>
    <w:rsid w:val="25E67FEE"/>
    <w:rsid w:val="25EF0548"/>
    <w:rsid w:val="25F3318F"/>
    <w:rsid w:val="2629095F"/>
    <w:rsid w:val="26355556"/>
    <w:rsid w:val="263B7010"/>
    <w:rsid w:val="263C7979"/>
    <w:rsid w:val="264B2FCC"/>
    <w:rsid w:val="264E5249"/>
    <w:rsid w:val="2650413E"/>
    <w:rsid w:val="265359DC"/>
    <w:rsid w:val="26551754"/>
    <w:rsid w:val="26605FB5"/>
    <w:rsid w:val="26630315"/>
    <w:rsid w:val="26834513"/>
    <w:rsid w:val="26A10E3D"/>
    <w:rsid w:val="26AC3A6A"/>
    <w:rsid w:val="26B96187"/>
    <w:rsid w:val="26BE763B"/>
    <w:rsid w:val="26DB434F"/>
    <w:rsid w:val="26E730BC"/>
    <w:rsid w:val="270135A4"/>
    <w:rsid w:val="27017C64"/>
    <w:rsid w:val="271635D9"/>
    <w:rsid w:val="27206206"/>
    <w:rsid w:val="272A0E33"/>
    <w:rsid w:val="2751016E"/>
    <w:rsid w:val="2768760E"/>
    <w:rsid w:val="277420AE"/>
    <w:rsid w:val="278C73F8"/>
    <w:rsid w:val="279F3713"/>
    <w:rsid w:val="27B84691"/>
    <w:rsid w:val="27BD1CA7"/>
    <w:rsid w:val="27C923FA"/>
    <w:rsid w:val="27CA464D"/>
    <w:rsid w:val="27CB7F20"/>
    <w:rsid w:val="27E91720"/>
    <w:rsid w:val="27F136A9"/>
    <w:rsid w:val="27F21934"/>
    <w:rsid w:val="27F6382B"/>
    <w:rsid w:val="27FD20A3"/>
    <w:rsid w:val="280F14ED"/>
    <w:rsid w:val="280F3776"/>
    <w:rsid w:val="28123DA1"/>
    <w:rsid w:val="281C4C20"/>
    <w:rsid w:val="283642C0"/>
    <w:rsid w:val="28527CD1"/>
    <w:rsid w:val="286A598B"/>
    <w:rsid w:val="287C7ABF"/>
    <w:rsid w:val="28844573"/>
    <w:rsid w:val="289C366A"/>
    <w:rsid w:val="28AA3FD9"/>
    <w:rsid w:val="28C52BC1"/>
    <w:rsid w:val="28CB64EB"/>
    <w:rsid w:val="28D472A8"/>
    <w:rsid w:val="28E9787B"/>
    <w:rsid w:val="28EE31C0"/>
    <w:rsid w:val="28F434A6"/>
    <w:rsid w:val="29441132"/>
    <w:rsid w:val="29547E8D"/>
    <w:rsid w:val="295D729E"/>
    <w:rsid w:val="29890753"/>
    <w:rsid w:val="298962E5"/>
    <w:rsid w:val="29934A6D"/>
    <w:rsid w:val="29B50E88"/>
    <w:rsid w:val="29B72649"/>
    <w:rsid w:val="29CD1E2A"/>
    <w:rsid w:val="29CF7F37"/>
    <w:rsid w:val="2A0C29B8"/>
    <w:rsid w:val="2A0E5104"/>
    <w:rsid w:val="2A131C98"/>
    <w:rsid w:val="2A336250"/>
    <w:rsid w:val="2A385615"/>
    <w:rsid w:val="2A570E85"/>
    <w:rsid w:val="2A5C1303"/>
    <w:rsid w:val="2A6D13DC"/>
    <w:rsid w:val="2A7E571E"/>
    <w:rsid w:val="2A830F86"/>
    <w:rsid w:val="2A8745B6"/>
    <w:rsid w:val="2A8D46CE"/>
    <w:rsid w:val="2A922F77"/>
    <w:rsid w:val="2A9860B3"/>
    <w:rsid w:val="2A9A1E2C"/>
    <w:rsid w:val="2A9F5694"/>
    <w:rsid w:val="2AA23A25"/>
    <w:rsid w:val="2AAA6513"/>
    <w:rsid w:val="2AD15C14"/>
    <w:rsid w:val="2ADE440E"/>
    <w:rsid w:val="2AE31A25"/>
    <w:rsid w:val="2AE71AF4"/>
    <w:rsid w:val="2B006133"/>
    <w:rsid w:val="2B045837"/>
    <w:rsid w:val="2B07429B"/>
    <w:rsid w:val="2B0D0850"/>
    <w:rsid w:val="2B135332"/>
    <w:rsid w:val="2B147F37"/>
    <w:rsid w:val="2B154372"/>
    <w:rsid w:val="2B230073"/>
    <w:rsid w:val="2B520958"/>
    <w:rsid w:val="2B634913"/>
    <w:rsid w:val="2B683CD8"/>
    <w:rsid w:val="2B7F799F"/>
    <w:rsid w:val="2B85488A"/>
    <w:rsid w:val="2B8F395A"/>
    <w:rsid w:val="2BA07916"/>
    <w:rsid w:val="2BD30AF4"/>
    <w:rsid w:val="2BEC2B5B"/>
    <w:rsid w:val="2BED6137"/>
    <w:rsid w:val="2BFF63EA"/>
    <w:rsid w:val="2C002162"/>
    <w:rsid w:val="2C063C1D"/>
    <w:rsid w:val="2C092D8B"/>
    <w:rsid w:val="2C246995"/>
    <w:rsid w:val="2C3562B0"/>
    <w:rsid w:val="2C385DA0"/>
    <w:rsid w:val="2C447E50"/>
    <w:rsid w:val="2C4944EB"/>
    <w:rsid w:val="2C4B162F"/>
    <w:rsid w:val="2C5D1363"/>
    <w:rsid w:val="2C5F50DB"/>
    <w:rsid w:val="2C792640"/>
    <w:rsid w:val="2C8B4122"/>
    <w:rsid w:val="2C9C1E8B"/>
    <w:rsid w:val="2CA91FCE"/>
    <w:rsid w:val="2CB847EB"/>
    <w:rsid w:val="2CB90C8F"/>
    <w:rsid w:val="2CB97926"/>
    <w:rsid w:val="2CC802FF"/>
    <w:rsid w:val="2CD72C54"/>
    <w:rsid w:val="2CEA709A"/>
    <w:rsid w:val="2D022235"/>
    <w:rsid w:val="2D031F0A"/>
    <w:rsid w:val="2D0F08AF"/>
    <w:rsid w:val="2D1C7470"/>
    <w:rsid w:val="2D2125B0"/>
    <w:rsid w:val="2D2C76B3"/>
    <w:rsid w:val="2D371BB4"/>
    <w:rsid w:val="2D3B78F6"/>
    <w:rsid w:val="2D506D67"/>
    <w:rsid w:val="2D594220"/>
    <w:rsid w:val="2D7C1CBC"/>
    <w:rsid w:val="2D8017AD"/>
    <w:rsid w:val="2D8868B3"/>
    <w:rsid w:val="2DAC4350"/>
    <w:rsid w:val="2DAD7951"/>
    <w:rsid w:val="2E1755ED"/>
    <w:rsid w:val="2E364038"/>
    <w:rsid w:val="2E3A7BAD"/>
    <w:rsid w:val="2E56250D"/>
    <w:rsid w:val="2E623354"/>
    <w:rsid w:val="2E6A4E27"/>
    <w:rsid w:val="2E765E20"/>
    <w:rsid w:val="2E876B6B"/>
    <w:rsid w:val="2E9B12B3"/>
    <w:rsid w:val="2EBA0CEE"/>
    <w:rsid w:val="2ED33B5E"/>
    <w:rsid w:val="2EDA313F"/>
    <w:rsid w:val="2EDE0C99"/>
    <w:rsid w:val="2EE53D89"/>
    <w:rsid w:val="2EEC10D1"/>
    <w:rsid w:val="2EF02962"/>
    <w:rsid w:val="2F012479"/>
    <w:rsid w:val="2F030EDA"/>
    <w:rsid w:val="2F0412C1"/>
    <w:rsid w:val="2F162DA0"/>
    <w:rsid w:val="2F171C9D"/>
    <w:rsid w:val="2F202F46"/>
    <w:rsid w:val="2F2E6FE6"/>
    <w:rsid w:val="2F43007A"/>
    <w:rsid w:val="2F47268D"/>
    <w:rsid w:val="2F484F80"/>
    <w:rsid w:val="2F8F5CD7"/>
    <w:rsid w:val="2F926074"/>
    <w:rsid w:val="2F971630"/>
    <w:rsid w:val="2FA774C5"/>
    <w:rsid w:val="2FB44E46"/>
    <w:rsid w:val="2FCA005B"/>
    <w:rsid w:val="2FFF4CAE"/>
    <w:rsid w:val="30042C3B"/>
    <w:rsid w:val="301F1BC4"/>
    <w:rsid w:val="30204B81"/>
    <w:rsid w:val="302E5110"/>
    <w:rsid w:val="303A5A64"/>
    <w:rsid w:val="304E74D7"/>
    <w:rsid w:val="305111DE"/>
    <w:rsid w:val="30662EDC"/>
    <w:rsid w:val="30815AC1"/>
    <w:rsid w:val="30823A8E"/>
    <w:rsid w:val="30901D07"/>
    <w:rsid w:val="309317F7"/>
    <w:rsid w:val="30C85944"/>
    <w:rsid w:val="30D72E30"/>
    <w:rsid w:val="30D95A3C"/>
    <w:rsid w:val="30E12562"/>
    <w:rsid w:val="30E84AF7"/>
    <w:rsid w:val="31093867"/>
    <w:rsid w:val="31103BE8"/>
    <w:rsid w:val="31175F84"/>
    <w:rsid w:val="31210BB1"/>
    <w:rsid w:val="31490108"/>
    <w:rsid w:val="314B20D2"/>
    <w:rsid w:val="315736D8"/>
    <w:rsid w:val="31660CB9"/>
    <w:rsid w:val="3166515D"/>
    <w:rsid w:val="31684A32"/>
    <w:rsid w:val="316F4012"/>
    <w:rsid w:val="317403C7"/>
    <w:rsid w:val="3179559F"/>
    <w:rsid w:val="317E6003"/>
    <w:rsid w:val="319B6BB5"/>
    <w:rsid w:val="31A1154D"/>
    <w:rsid w:val="31A17F44"/>
    <w:rsid w:val="31AD053C"/>
    <w:rsid w:val="31CB6D6E"/>
    <w:rsid w:val="31D64091"/>
    <w:rsid w:val="31DE2F46"/>
    <w:rsid w:val="31E340B8"/>
    <w:rsid w:val="32056724"/>
    <w:rsid w:val="320B1E88"/>
    <w:rsid w:val="320D7E0E"/>
    <w:rsid w:val="32171FB4"/>
    <w:rsid w:val="321F33DF"/>
    <w:rsid w:val="3220530C"/>
    <w:rsid w:val="325B29A2"/>
    <w:rsid w:val="3268280F"/>
    <w:rsid w:val="32690A61"/>
    <w:rsid w:val="326D226F"/>
    <w:rsid w:val="32755BEE"/>
    <w:rsid w:val="32785148"/>
    <w:rsid w:val="327B2543"/>
    <w:rsid w:val="328533C1"/>
    <w:rsid w:val="32A4546A"/>
    <w:rsid w:val="32B31CDC"/>
    <w:rsid w:val="32ED1980"/>
    <w:rsid w:val="32F1304C"/>
    <w:rsid w:val="32F50547"/>
    <w:rsid w:val="33094881"/>
    <w:rsid w:val="333F3794"/>
    <w:rsid w:val="335A57BD"/>
    <w:rsid w:val="339D7865"/>
    <w:rsid w:val="339E5D33"/>
    <w:rsid w:val="33B977C6"/>
    <w:rsid w:val="33D22636"/>
    <w:rsid w:val="33EC17CD"/>
    <w:rsid w:val="33EF143A"/>
    <w:rsid w:val="33EF1C73"/>
    <w:rsid w:val="33F97BC3"/>
    <w:rsid w:val="33FA6F1E"/>
    <w:rsid w:val="340661A5"/>
    <w:rsid w:val="34076784"/>
    <w:rsid w:val="340903E3"/>
    <w:rsid w:val="340E30B9"/>
    <w:rsid w:val="341E3ACD"/>
    <w:rsid w:val="343678CD"/>
    <w:rsid w:val="34480B4A"/>
    <w:rsid w:val="34484634"/>
    <w:rsid w:val="34555BB2"/>
    <w:rsid w:val="345968B4"/>
    <w:rsid w:val="345A0C5F"/>
    <w:rsid w:val="345B087E"/>
    <w:rsid w:val="346D120F"/>
    <w:rsid w:val="346E774D"/>
    <w:rsid w:val="34702AF7"/>
    <w:rsid w:val="347A2085"/>
    <w:rsid w:val="347F27BE"/>
    <w:rsid w:val="34897199"/>
    <w:rsid w:val="34945B3E"/>
    <w:rsid w:val="34A55090"/>
    <w:rsid w:val="34AD7661"/>
    <w:rsid w:val="34B01E1E"/>
    <w:rsid w:val="34C53F49"/>
    <w:rsid w:val="34E16FD5"/>
    <w:rsid w:val="34E94961"/>
    <w:rsid w:val="34EA39B0"/>
    <w:rsid w:val="34F074A2"/>
    <w:rsid w:val="34FD00FF"/>
    <w:rsid w:val="35171719"/>
    <w:rsid w:val="351A24E7"/>
    <w:rsid w:val="351D1FD7"/>
    <w:rsid w:val="35246EC1"/>
    <w:rsid w:val="352E7D40"/>
    <w:rsid w:val="354B26A0"/>
    <w:rsid w:val="357243F8"/>
    <w:rsid w:val="35853917"/>
    <w:rsid w:val="35906305"/>
    <w:rsid w:val="359C73A0"/>
    <w:rsid w:val="35A10512"/>
    <w:rsid w:val="35A26038"/>
    <w:rsid w:val="35AA3A3A"/>
    <w:rsid w:val="35AA4722"/>
    <w:rsid w:val="35B2271F"/>
    <w:rsid w:val="35BC7482"/>
    <w:rsid w:val="35CF507F"/>
    <w:rsid w:val="360B340E"/>
    <w:rsid w:val="362B32E5"/>
    <w:rsid w:val="36363473"/>
    <w:rsid w:val="365E28A7"/>
    <w:rsid w:val="366B14C0"/>
    <w:rsid w:val="368D102E"/>
    <w:rsid w:val="369342FF"/>
    <w:rsid w:val="369736C3"/>
    <w:rsid w:val="369D456C"/>
    <w:rsid w:val="36A8455A"/>
    <w:rsid w:val="36AE738B"/>
    <w:rsid w:val="36C95F72"/>
    <w:rsid w:val="36DF3C16"/>
    <w:rsid w:val="36E27034"/>
    <w:rsid w:val="36ED1FA3"/>
    <w:rsid w:val="36F04CBD"/>
    <w:rsid w:val="36F36DEE"/>
    <w:rsid w:val="36F6663C"/>
    <w:rsid w:val="36FD514C"/>
    <w:rsid w:val="370E607B"/>
    <w:rsid w:val="372E4027"/>
    <w:rsid w:val="373F79B1"/>
    <w:rsid w:val="37537F32"/>
    <w:rsid w:val="376C4F8C"/>
    <w:rsid w:val="376F2F1F"/>
    <w:rsid w:val="37732CCF"/>
    <w:rsid w:val="378111F8"/>
    <w:rsid w:val="378400EB"/>
    <w:rsid w:val="37897F79"/>
    <w:rsid w:val="37904CE2"/>
    <w:rsid w:val="37976071"/>
    <w:rsid w:val="379D00C8"/>
    <w:rsid w:val="379F2985"/>
    <w:rsid w:val="37C03BF9"/>
    <w:rsid w:val="37CB3408"/>
    <w:rsid w:val="37D818FA"/>
    <w:rsid w:val="37DC5E95"/>
    <w:rsid w:val="37E1109A"/>
    <w:rsid w:val="37E97122"/>
    <w:rsid w:val="37F35CB8"/>
    <w:rsid w:val="37FF5C3F"/>
    <w:rsid w:val="38027C9C"/>
    <w:rsid w:val="381256F7"/>
    <w:rsid w:val="382D2531"/>
    <w:rsid w:val="383A697D"/>
    <w:rsid w:val="383C09C6"/>
    <w:rsid w:val="384F4255"/>
    <w:rsid w:val="385633E2"/>
    <w:rsid w:val="386175C1"/>
    <w:rsid w:val="386F79F1"/>
    <w:rsid w:val="38735660"/>
    <w:rsid w:val="38767A34"/>
    <w:rsid w:val="38795776"/>
    <w:rsid w:val="388D2FD0"/>
    <w:rsid w:val="389205E6"/>
    <w:rsid w:val="38983E4E"/>
    <w:rsid w:val="38A00F55"/>
    <w:rsid w:val="38A84A79"/>
    <w:rsid w:val="38B03902"/>
    <w:rsid w:val="38C435DA"/>
    <w:rsid w:val="38CB5C29"/>
    <w:rsid w:val="38D806EF"/>
    <w:rsid w:val="38EE7F12"/>
    <w:rsid w:val="38F506EA"/>
    <w:rsid w:val="38FB618B"/>
    <w:rsid w:val="392C0A3B"/>
    <w:rsid w:val="39400042"/>
    <w:rsid w:val="39490357"/>
    <w:rsid w:val="397877DC"/>
    <w:rsid w:val="397B0F78"/>
    <w:rsid w:val="399563F4"/>
    <w:rsid w:val="3999678C"/>
    <w:rsid w:val="39A22AAB"/>
    <w:rsid w:val="39A6259B"/>
    <w:rsid w:val="39C742BF"/>
    <w:rsid w:val="39CC1EAE"/>
    <w:rsid w:val="39D377DB"/>
    <w:rsid w:val="39D62060"/>
    <w:rsid w:val="3A223DCB"/>
    <w:rsid w:val="3A296D28"/>
    <w:rsid w:val="3A3462BA"/>
    <w:rsid w:val="3A3F654C"/>
    <w:rsid w:val="3A4D0C68"/>
    <w:rsid w:val="3A4F25D4"/>
    <w:rsid w:val="3A58475F"/>
    <w:rsid w:val="3A5E7E93"/>
    <w:rsid w:val="3A6E6C87"/>
    <w:rsid w:val="3A763C53"/>
    <w:rsid w:val="3AA0348E"/>
    <w:rsid w:val="3AAF722D"/>
    <w:rsid w:val="3AB46F3A"/>
    <w:rsid w:val="3AD13648"/>
    <w:rsid w:val="3AE0388B"/>
    <w:rsid w:val="3B1C0596"/>
    <w:rsid w:val="3B2319C9"/>
    <w:rsid w:val="3B2B241B"/>
    <w:rsid w:val="3B364677"/>
    <w:rsid w:val="3B5B1163"/>
    <w:rsid w:val="3B5F7ABE"/>
    <w:rsid w:val="3B643EB9"/>
    <w:rsid w:val="3B84063D"/>
    <w:rsid w:val="3B8701AA"/>
    <w:rsid w:val="3B8875E3"/>
    <w:rsid w:val="3B955700"/>
    <w:rsid w:val="3BB40A16"/>
    <w:rsid w:val="3BB94AE4"/>
    <w:rsid w:val="3BC27434"/>
    <w:rsid w:val="3BC95C98"/>
    <w:rsid w:val="3BCB453B"/>
    <w:rsid w:val="3BD75940"/>
    <w:rsid w:val="3BDD7DCA"/>
    <w:rsid w:val="3BF42260"/>
    <w:rsid w:val="3C265C15"/>
    <w:rsid w:val="3C284C49"/>
    <w:rsid w:val="3C2E7AAB"/>
    <w:rsid w:val="3C522566"/>
    <w:rsid w:val="3C541BC5"/>
    <w:rsid w:val="3C65673D"/>
    <w:rsid w:val="3C722C08"/>
    <w:rsid w:val="3C7C5F7D"/>
    <w:rsid w:val="3C9506A5"/>
    <w:rsid w:val="3C9C7C85"/>
    <w:rsid w:val="3C9E3DCB"/>
    <w:rsid w:val="3CA31014"/>
    <w:rsid w:val="3CB123E6"/>
    <w:rsid w:val="3CBB6992"/>
    <w:rsid w:val="3CCA65A0"/>
    <w:rsid w:val="3CCF40AD"/>
    <w:rsid w:val="3CDB6174"/>
    <w:rsid w:val="3CED04E1"/>
    <w:rsid w:val="3CF4361D"/>
    <w:rsid w:val="3D050477"/>
    <w:rsid w:val="3D14341C"/>
    <w:rsid w:val="3D3D4FC4"/>
    <w:rsid w:val="3D404852"/>
    <w:rsid w:val="3D477BF1"/>
    <w:rsid w:val="3D4A76E1"/>
    <w:rsid w:val="3D5D5666"/>
    <w:rsid w:val="3DB668C6"/>
    <w:rsid w:val="3DB936E0"/>
    <w:rsid w:val="3DEB4A20"/>
    <w:rsid w:val="3DEE05E6"/>
    <w:rsid w:val="3DF062BF"/>
    <w:rsid w:val="3E0618F6"/>
    <w:rsid w:val="3E0869AC"/>
    <w:rsid w:val="3E2308CE"/>
    <w:rsid w:val="3E246184"/>
    <w:rsid w:val="3E2C6DE7"/>
    <w:rsid w:val="3E2D3B18"/>
    <w:rsid w:val="3E3068D7"/>
    <w:rsid w:val="3E32264F"/>
    <w:rsid w:val="3E3E1A04"/>
    <w:rsid w:val="3E483C21"/>
    <w:rsid w:val="3E53454B"/>
    <w:rsid w:val="3E6F204E"/>
    <w:rsid w:val="3E6F6ECF"/>
    <w:rsid w:val="3E815973"/>
    <w:rsid w:val="3E88151A"/>
    <w:rsid w:val="3E894239"/>
    <w:rsid w:val="3E8C23C2"/>
    <w:rsid w:val="3E8D3D29"/>
    <w:rsid w:val="3E9450B8"/>
    <w:rsid w:val="3EAF3CA0"/>
    <w:rsid w:val="3EC62D97"/>
    <w:rsid w:val="3ED23E32"/>
    <w:rsid w:val="3EE31B9B"/>
    <w:rsid w:val="3F0652EA"/>
    <w:rsid w:val="3F0D6C18"/>
    <w:rsid w:val="3F1735F3"/>
    <w:rsid w:val="3F326B30"/>
    <w:rsid w:val="3F364D39"/>
    <w:rsid w:val="3F505A98"/>
    <w:rsid w:val="3F6207BA"/>
    <w:rsid w:val="3F7B1DD4"/>
    <w:rsid w:val="3F810615"/>
    <w:rsid w:val="3F843560"/>
    <w:rsid w:val="3F8C5D8F"/>
    <w:rsid w:val="3F8E7D59"/>
    <w:rsid w:val="3F984C13"/>
    <w:rsid w:val="3F9F05C1"/>
    <w:rsid w:val="3FA35D92"/>
    <w:rsid w:val="3FA72BC9"/>
    <w:rsid w:val="3FAE2A19"/>
    <w:rsid w:val="3FBD063E"/>
    <w:rsid w:val="3FC90D91"/>
    <w:rsid w:val="3FCF3ECE"/>
    <w:rsid w:val="3FD919BA"/>
    <w:rsid w:val="3FDC2B4A"/>
    <w:rsid w:val="3FFD010D"/>
    <w:rsid w:val="400A40D9"/>
    <w:rsid w:val="40183AC7"/>
    <w:rsid w:val="401A783F"/>
    <w:rsid w:val="401F452F"/>
    <w:rsid w:val="40330901"/>
    <w:rsid w:val="404B17A6"/>
    <w:rsid w:val="40515724"/>
    <w:rsid w:val="405F16F6"/>
    <w:rsid w:val="4068618A"/>
    <w:rsid w:val="406D753F"/>
    <w:rsid w:val="408B38B3"/>
    <w:rsid w:val="40B27A77"/>
    <w:rsid w:val="40D40AAB"/>
    <w:rsid w:val="40D77011"/>
    <w:rsid w:val="40E90FBF"/>
    <w:rsid w:val="40F40090"/>
    <w:rsid w:val="40F55BB6"/>
    <w:rsid w:val="40FB76BC"/>
    <w:rsid w:val="41036525"/>
    <w:rsid w:val="4105404B"/>
    <w:rsid w:val="41072D28"/>
    <w:rsid w:val="41173D7E"/>
    <w:rsid w:val="411E335F"/>
    <w:rsid w:val="412344D1"/>
    <w:rsid w:val="4125450E"/>
    <w:rsid w:val="412973EA"/>
    <w:rsid w:val="41320BB8"/>
    <w:rsid w:val="41891398"/>
    <w:rsid w:val="41AA69A0"/>
    <w:rsid w:val="41B45A71"/>
    <w:rsid w:val="41F71B81"/>
    <w:rsid w:val="42010DBE"/>
    <w:rsid w:val="42044303"/>
    <w:rsid w:val="42075BA1"/>
    <w:rsid w:val="422028F6"/>
    <w:rsid w:val="422425C9"/>
    <w:rsid w:val="42424E2B"/>
    <w:rsid w:val="426365EC"/>
    <w:rsid w:val="426B25D4"/>
    <w:rsid w:val="4278084D"/>
    <w:rsid w:val="428611BC"/>
    <w:rsid w:val="42927B60"/>
    <w:rsid w:val="42BD2703"/>
    <w:rsid w:val="42C27D1A"/>
    <w:rsid w:val="42E04834"/>
    <w:rsid w:val="42E050FB"/>
    <w:rsid w:val="42E63A08"/>
    <w:rsid w:val="43140A2D"/>
    <w:rsid w:val="43301127"/>
    <w:rsid w:val="43364990"/>
    <w:rsid w:val="434075BC"/>
    <w:rsid w:val="434150E2"/>
    <w:rsid w:val="4355293C"/>
    <w:rsid w:val="4359067E"/>
    <w:rsid w:val="436117D4"/>
    <w:rsid w:val="437049F2"/>
    <w:rsid w:val="43707776"/>
    <w:rsid w:val="43842246"/>
    <w:rsid w:val="43935C63"/>
    <w:rsid w:val="43A7763B"/>
    <w:rsid w:val="43B92ECB"/>
    <w:rsid w:val="43BE0166"/>
    <w:rsid w:val="440525B4"/>
    <w:rsid w:val="440E0B44"/>
    <w:rsid w:val="440E3217"/>
    <w:rsid w:val="440F0504"/>
    <w:rsid w:val="441A0C25"/>
    <w:rsid w:val="4421185F"/>
    <w:rsid w:val="4437557C"/>
    <w:rsid w:val="444C2BC0"/>
    <w:rsid w:val="444F71A2"/>
    <w:rsid w:val="445361E5"/>
    <w:rsid w:val="447C0AC8"/>
    <w:rsid w:val="447F3BB4"/>
    <w:rsid w:val="4482717F"/>
    <w:rsid w:val="44A21CDC"/>
    <w:rsid w:val="44A47F95"/>
    <w:rsid w:val="44B37D7B"/>
    <w:rsid w:val="44D05FB9"/>
    <w:rsid w:val="44D75CFE"/>
    <w:rsid w:val="44E5721A"/>
    <w:rsid w:val="44F22B38"/>
    <w:rsid w:val="44F248E6"/>
    <w:rsid w:val="45091C30"/>
    <w:rsid w:val="45244CBC"/>
    <w:rsid w:val="452B1E36"/>
    <w:rsid w:val="452B6B92"/>
    <w:rsid w:val="45350C77"/>
    <w:rsid w:val="453C0257"/>
    <w:rsid w:val="453C7EA3"/>
    <w:rsid w:val="454B3FF6"/>
    <w:rsid w:val="45682DFA"/>
    <w:rsid w:val="456C5AB9"/>
    <w:rsid w:val="45725A92"/>
    <w:rsid w:val="4577128F"/>
    <w:rsid w:val="45952817"/>
    <w:rsid w:val="459534C4"/>
    <w:rsid w:val="45A863B8"/>
    <w:rsid w:val="45BB6D3C"/>
    <w:rsid w:val="45C83899"/>
    <w:rsid w:val="45CC15DB"/>
    <w:rsid w:val="45F91CA4"/>
    <w:rsid w:val="46017508"/>
    <w:rsid w:val="460F14C8"/>
    <w:rsid w:val="46113492"/>
    <w:rsid w:val="46130FB8"/>
    <w:rsid w:val="46132D66"/>
    <w:rsid w:val="46164604"/>
    <w:rsid w:val="46342CDD"/>
    <w:rsid w:val="46431B1A"/>
    <w:rsid w:val="464E1FF0"/>
    <w:rsid w:val="466366B9"/>
    <w:rsid w:val="46764E6B"/>
    <w:rsid w:val="46955E71"/>
    <w:rsid w:val="469A78E4"/>
    <w:rsid w:val="469C7200"/>
    <w:rsid w:val="46B026A8"/>
    <w:rsid w:val="46B06C31"/>
    <w:rsid w:val="46BA3976"/>
    <w:rsid w:val="46C10A14"/>
    <w:rsid w:val="46D67F86"/>
    <w:rsid w:val="46F448C2"/>
    <w:rsid w:val="4703629B"/>
    <w:rsid w:val="47060D7D"/>
    <w:rsid w:val="473F67A2"/>
    <w:rsid w:val="474536E0"/>
    <w:rsid w:val="47463365"/>
    <w:rsid w:val="47596E9F"/>
    <w:rsid w:val="47610BA1"/>
    <w:rsid w:val="476B55F6"/>
    <w:rsid w:val="47777325"/>
    <w:rsid w:val="477E4B57"/>
    <w:rsid w:val="47863A0C"/>
    <w:rsid w:val="47925F0D"/>
    <w:rsid w:val="47A876DF"/>
    <w:rsid w:val="47AA76FA"/>
    <w:rsid w:val="47B370C9"/>
    <w:rsid w:val="48027536"/>
    <w:rsid w:val="48042FA6"/>
    <w:rsid w:val="481C57BF"/>
    <w:rsid w:val="48240342"/>
    <w:rsid w:val="48343468"/>
    <w:rsid w:val="483B47F6"/>
    <w:rsid w:val="485578E8"/>
    <w:rsid w:val="48680CE3"/>
    <w:rsid w:val="487516C9"/>
    <w:rsid w:val="48A147B6"/>
    <w:rsid w:val="48A73C3A"/>
    <w:rsid w:val="48D250C5"/>
    <w:rsid w:val="48D367DD"/>
    <w:rsid w:val="48D9385D"/>
    <w:rsid w:val="48E82D4D"/>
    <w:rsid w:val="48F007F6"/>
    <w:rsid w:val="48F14EB5"/>
    <w:rsid w:val="49177C78"/>
    <w:rsid w:val="491D5CAA"/>
    <w:rsid w:val="49537DE0"/>
    <w:rsid w:val="495518E8"/>
    <w:rsid w:val="49584F34"/>
    <w:rsid w:val="495C4A24"/>
    <w:rsid w:val="4977360C"/>
    <w:rsid w:val="49816239"/>
    <w:rsid w:val="498703ED"/>
    <w:rsid w:val="49C425C9"/>
    <w:rsid w:val="49C72B69"/>
    <w:rsid w:val="49E62540"/>
    <w:rsid w:val="49EB7B56"/>
    <w:rsid w:val="4A0E6954"/>
    <w:rsid w:val="4A1A47F4"/>
    <w:rsid w:val="4A275032"/>
    <w:rsid w:val="4A275F90"/>
    <w:rsid w:val="4A280DAA"/>
    <w:rsid w:val="4A29760D"/>
    <w:rsid w:val="4A2D4613"/>
    <w:rsid w:val="4A392FB7"/>
    <w:rsid w:val="4A522065"/>
    <w:rsid w:val="4A64191B"/>
    <w:rsid w:val="4A657908"/>
    <w:rsid w:val="4A722025"/>
    <w:rsid w:val="4A745F18"/>
    <w:rsid w:val="4A8B3EC0"/>
    <w:rsid w:val="4A9A1CA8"/>
    <w:rsid w:val="4AAC4A05"/>
    <w:rsid w:val="4AB112AD"/>
    <w:rsid w:val="4AB918F6"/>
    <w:rsid w:val="4AC960E9"/>
    <w:rsid w:val="4AD14F9E"/>
    <w:rsid w:val="4AEB42B2"/>
    <w:rsid w:val="4AF403AA"/>
    <w:rsid w:val="4AFD616C"/>
    <w:rsid w:val="4B0A1577"/>
    <w:rsid w:val="4B0B04B0"/>
    <w:rsid w:val="4B1F5D09"/>
    <w:rsid w:val="4B3E2640"/>
    <w:rsid w:val="4B447AD4"/>
    <w:rsid w:val="4B4664C9"/>
    <w:rsid w:val="4B5272B0"/>
    <w:rsid w:val="4B7050AD"/>
    <w:rsid w:val="4B717B63"/>
    <w:rsid w:val="4B7F0E9E"/>
    <w:rsid w:val="4B8E52B1"/>
    <w:rsid w:val="4BA30828"/>
    <w:rsid w:val="4BA93D64"/>
    <w:rsid w:val="4BBE0554"/>
    <w:rsid w:val="4BBF20A9"/>
    <w:rsid w:val="4BCB40E3"/>
    <w:rsid w:val="4BD20FCE"/>
    <w:rsid w:val="4BD74836"/>
    <w:rsid w:val="4BED5E07"/>
    <w:rsid w:val="4BF70A34"/>
    <w:rsid w:val="4BFB1C38"/>
    <w:rsid w:val="4BFD1393"/>
    <w:rsid w:val="4C194E4E"/>
    <w:rsid w:val="4C1C26CD"/>
    <w:rsid w:val="4C2555A1"/>
    <w:rsid w:val="4C2C2DD4"/>
    <w:rsid w:val="4C2F4672"/>
    <w:rsid w:val="4C3C1FA9"/>
    <w:rsid w:val="4C3F1BAE"/>
    <w:rsid w:val="4C5C4D3B"/>
    <w:rsid w:val="4C5D5CA7"/>
    <w:rsid w:val="4C76404F"/>
    <w:rsid w:val="4C770EE0"/>
    <w:rsid w:val="4C8147A2"/>
    <w:rsid w:val="4CA92619"/>
    <w:rsid w:val="4CB26A62"/>
    <w:rsid w:val="4CC44899"/>
    <w:rsid w:val="4CC9033D"/>
    <w:rsid w:val="4CCA20FA"/>
    <w:rsid w:val="4CCA7AE1"/>
    <w:rsid w:val="4CE216E4"/>
    <w:rsid w:val="4CEE0366"/>
    <w:rsid w:val="4CF569B5"/>
    <w:rsid w:val="4CFB4947"/>
    <w:rsid w:val="4D04165B"/>
    <w:rsid w:val="4D11448E"/>
    <w:rsid w:val="4D267823"/>
    <w:rsid w:val="4D275D07"/>
    <w:rsid w:val="4D345032"/>
    <w:rsid w:val="4D3A507C"/>
    <w:rsid w:val="4D5325E2"/>
    <w:rsid w:val="4D6848C0"/>
    <w:rsid w:val="4D8602C2"/>
    <w:rsid w:val="4D9E5143"/>
    <w:rsid w:val="4D9F75D5"/>
    <w:rsid w:val="4DAE03C1"/>
    <w:rsid w:val="4DAE75B5"/>
    <w:rsid w:val="4DC97603"/>
    <w:rsid w:val="4DE1374A"/>
    <w:rsid w:val="4DE163BF"/>
    <w:rsid w:val="4DF168E8"/>
    <w:rsid w:val="4DF72F6D"/>
    <w:rsid w:val="4DFE10C7"/>
    <w:rsid w:val="4E086F29"/>
    <w:rsid w:val="4E0E14C4"/>
    <w:rsid w:val="4E140B6A"/>
    <w:rsid w:val="4E1B739A"/>
    <w:rsid w:val="4E233D62"/>
    <w:rsid w:val="4E2875CB"/>
    <w:rsid w:val="4E407F3C"/>
    <w:rsid w:val="4E41243B"/>
    <w:rsid w:val="4E4267C4"/>
    <w:rsid w:val="4E676345"/>
    <w:rsid w:val="4E6C17FA"/>
    <w:rsid w:val="4E8B5D8F"/>
    <w:rsid w:val="4E943545"/>
    <w:rsid w:val="4EB86BA1"/>
    <w:rsid w:val="4ECC43FA"/>
    <w:rsid w:val="4EDC4454"/>
    <w:rsid w:val="4EE94FAC"/>
    <w:rsid w:val="4F0B3CA6"/>
    <w:rsid w:val="4F107345"/>
    <w:rsid w:val="4F183BE6"/>
    <w:rsid w:val="4F1847B3"/>
    <w:rsid w:val="4F2314B3"/>
    <w:rsid w:val="4F337FD5"/>
    <w:rsid w:val="4F35067F"/>
    <w:rsid w:val="4F3B50DC"/>
    <w:rsid w:val="4F4524DF"/>
    <w:rsid w:val="4F5D5052"/>
    <w:rsid w:val="4F691C49"/>
    <w:rsid w:val="4F7242E4"/>
    <w:rsid w:val="4F813436"/>
    <w:rsid w:val="4F93361D"/>
    <w:rsid w:val="4FB32B00"/>
    <w:rsid w:val="4FB619EF"/>
    <w:rsid w:val="4FBD1F95"/>
    <w:rsid w:val="4FC43323"/>
    <w:rsid w:val="4FC861DA"/>
    <w:rsid w:val="4FFB544B"/>
    <w:rsid w:val="500A342C"/>
    <w:rsid w:val="500D6A78"/>
    <w:rsid w:val="500F69BB"/>
    <w:rsid w:val="502E67CE"/>
    <w:rsid w:val="50324731"/>
    <w:rsid w:val="50406E4E"/>
    <w:rsid w:val="505B77CA"/>
    <w:rsid w:val="50970A38"/>
    <w:rsid w:val="509B22D6"/>
    <w:rsid w:val="50A126B7"/>
    <w:rsid w:val="50A82C45"/>
    <w:rsid w:val="50AE094F"/>
    <w:rsid w:val="50DB294E"/>
    <w:rsid w:val="50DC3D6E"/>
    <w:rsid w:val="51051E45"/>
    <w:rsid w:val="510936E3"/>
    <w:rsid w:val="510A2FB8"/>
    <w:rsid w:val="5112495F"/>
    <w:rsid w:val="51145BE4"/>
    <w:rsid w:val="511856D5"/>
    <w:rsid w:val="51321C80"/>
    <w:rsid w:val="5134215D"/>
    <w:rsid w:val="515661FD"/>
    <w:rsid w:val="516A3A56"/>
    <w:rsid w:val="517255BD"/>
    <w:rsid w:val="517B5C63"/>
    <w:rsid w:val="517F0A58"/>
    <w:rsid w:val="518C4D4D"/>
    <w:rsid w:val="51A46F68"/>
    <w:rsid w:val="51B13335"/>
    <w:rsid w:val="51D75590"/>
    <w:rsid w:val="520209E2"/>
    <w:rsid w:val="521D3CB5"/>
    <w:rsid w:val="522C275E"/>
    <w:rsid w:val="523302EC"/>
    <w:rsid w:val="52426781"/>
    <w:rsid w:val="524349D3"/>
    <w:rsid w:val="52454FAD"/>
    <w:rsid w:val="5246001F"/>
    <w:rsid w:val="524B15B3"/>
    <w:rsid w:val="528374C6"/>
    <w:rsid w:val="528B1ED6"/>
    <w:rsid w:val="52A70D2C"/>
    <w:rsid w:val="52BE405A"/>
    <w:rsid w:val="52E361B6"/>
    <w:rsid w:val="53067DBB"/>
    <w:rsid w:val="531210C9"/>
    <w:rsid w:val="531B14AC"/>
    <w:rsid w:val="532742F5"/>
    <w:rsid w:val="53607807"/>
    <w:rsid w:val="53784DD4"/>
    <w:rsid w:val="538434F5"/>
    <w:rsid w:val="538A03E0"/>
    <w:rsid w:val="538C5F06"/>
    <w:rsid w:val="539835FD"/>
    <w:rsid w:val="53A2397B"/>
    <w:rsid w:val="53B92A73"/>
    <w:rsid w:val="53BB67EB"/>
    <w:rsid w:val="53C71634"/>
    <w:rsid w:val="53D224B3"/>
    <w:rsid w:val="53EB1FF8"/>
    <w:rsid w:val="53EC2E48"/>
    <w:rsid w:val="53F45760"/>
    <w:rsid w:val="53F561A1"/>
    <w:rsid w:val="5406215C"/>
    <w:rsid w:val="543D5452"/>
    <w:rsid w:val="547C41CC"/>
    <w:rsid w:val="54930E84"/>
    <w:rsid w:val="54983866"/>
    <w:rsid w:val="54A379AB"/>
    <w:rsid w:val="54A930AA"/>
    <w:rsid w:val="54B27BEE"/>
    <w:rsid w:val="54BD0C40"/>
    <w:rsid w:val="54BF40B9"/>
    <w:rsid w:val="54D659D2"/>
    <w:rsid w:val="54EA7ADF"/>
    <w:rsid w:val="54F75F49"/>
    <w:rsid w:val="54FC355F"/>
    <w:rsid w:val="551A7499"/>
    <w:rsid w:val="55284354"/>
    <w:rsid w:val="553920BD"/>
    <w:rsid w:val="553E5926"/>
    <w:rsid w:val="55406139"/>
    <w:rsid w:val="55432F3C"/>
    <w:rsid w:val="554A42CB"/>
    <w:rsid w:val="554D5B69"/>
    <w:rsid w:val="5560589C"/>
    <w:rsid w:val="556C4241"/>
    <w:rsid w:val="5579695E"/>
    <w:rsid w:val="558C043F"/>
    <w:rsid w:val="559807C9"/>
    <w:rsid w:val="55A133E3"/>
    <w:rsid w:val="55AB06CF"/>
    <w:rsid w:val="55B87486"/>
    <w:rsid w:val="55BE4C30"/>
    <w:rsid w:val="55C404FA"/>
    <w:rsid w:val="55C45E2B"/>
    <w:rsid w:val="55CC345F"/>
    <w:rsid w:val="55CD5D6F"/>
    <w:rsid w:val="55DC6C16"/>
    <w:rsid w:val="55F04E72"/>
    <w:rsid w:val="56203207"/>
    <w:rsid w:val="56236C6E"/>
    <w:rsid w:val="562468CA"/>
    <w:rsid w:val="562A2C28"/>
    <w:rsid w:val="562C2ED7"/>
    <w:rsid w:val="564D4072"/>
    <w:rsid w:val="564E2A58"/>
    <w:rsid w:val="56557327"/>
    <w:rsid w:val="56610227"/>
    <w:rsid w:val="567551C0"/>
    <w:rsid w:val="567B54EE"/>
    <w:rsid w:val="567C4958"/>
    <w:rsid w:val="5684380C"/>
    <w:rsid w:val="56846C29"/>
    <w:rsid w:val="5689497F"/>
    <w:rsid w:val="56917593"/>
    <w:rsid w:val="56A703F5"/>
    <w:rsid w:val="56BB5CFA"/>
    <w:rsid w:val="56C97471"/>
    <w:rsid w:val="56D64EB7"/>
    <w:rsid w:val="56E314E0"/>
    <w:rsid w:val="56EC754B"/>
    <w:rsid w:val="57282705"/>
    <w:rsid w:val="57493744"/>
    <w:rsid w:val="574C75A3"/>
    <w:rsid w:val="574D2F08"/>
    <w:rsid w:val="575C3A78"/>
    <w:rsid w:val="5774562F"/>
    <w:rsid w:val="57754BF2"/>
    <w:rsid w:val="57BD6FD6"/>
    <w:rsid w:val="57CA16F3"/>
    <w:rsid w:val="57CA3880"/>
    <w:rsid w:val="57DF8ED1"/>
    <w:rsid w:val="57E417E0"/>
    <w:rsid w:val="57EE53E1"/>
    <w:rsid w:val="57F32A52"/>
    <w:rsid w:val="57FE1D7E"/>
    <w:rsid w:val="57FE50EE"/>
    <w:rsid w:val="5805720D"/>
    <w:rsid w:val="58073B8C"/>
    <w:rsid w:val="580E7831"/>
    <w:rsid w:val="58256929"/>
    <w:rsid w:val="582D051B"/>
    <w:rsid w:val="58337298"/>
    <w:rsid w:val="58383060"/>
    <w:rsid w:val="583C2A0F"/>
    <w:rsid w:val="583F3E8F"/>
    <w:rsid w:val="586438F5"/>
    <w:rsid w:val="58A40196"/>
    <w:rsid w:val="58A957AC"/>
    <w:rsid w:val="58BF0B2C"/>
    <w:rsid w:val="58C148A4"/>
    <w:rsid w:val="58C56ED5"/>
    <w:rsid w:val="58D67320"/>
    <w:rsid w:val="58F22CAF"/>
    <w:rsid w:val="593212FE"/>
    <w:rsid w:val="593432C8"/>
    <w:rsid w:val="593E026C"/>
    <w:rsid w:val="593E5EF4"/>
    <w:rsid w:val="593F3A1A"/>
    <w:rsid w:val="594D6137"/>
    <w:rsid w:val="5989503C"/>
    <w:rsid w:val="59977C6E"/>
    <w:rsid w:val="599B50F5"/>
    <w:rsid w:val="59A25D4A"/>
    <w:rsid w:val="59AA17DC"/>
    <w:rsid w:val="59B14918"/>
    <w:rsid w:val="59B15C2B"/>
    <w:rsid w:val="59B25F2D"/>
    <w:rsid w:val="59BF7377"/>
    <w:rsid w:val="59D2668C"/>
    <w:rsid w:val="59D86349"/>
    <w:rsid w:val="59DD0C04"/>
    <w:rsid w:val="59E53268"/>
    <w:rsid w:val="59EC76FE"/>
    <w:rsid w:val="5A034978"/>
    <w:rsid w:val="5A040EEC"/>
    <w:rsid w:val="5A160C1F"/>
    <w:rsid w:val="5A16280E"/>
    <w:rsid w:val="5A1B5A10"/>
    <w:rsid w:val="5A266807"/>
    <w:rsid w:val="5A2C21F1"/>
    <w:rsid w:val="5A3472F2"/>
    <w:rsid w:val="5A5A0A09"/>
    <w:rsid w:val="5A6977D7"/>
    <w:rsid w:val="5A6E45B7"/>
    <w:rsid w:val="5A74532F"/>
    <w:rsid w:val="5A963B0E"/>
    <w:rsid w:val="5A985AD8"/>
    <w:rsid w:val="5AA47119"/>
    <w:rsid w:val="5AA955EF"/>
    <w:rsid w:val="5AAD1584"/>
    <w:rsid w:val="5ACC2E57"/>
    <w:rsid w:val="5AD92379"/>
    <w:rsid w:val="5AEB3E5A"/>
    <w:rsid w:val="5AEE635C"/>
    <w:rsid w:val="5AF0321E"/>
    <w:rsid w:val="5AF905A1"/>
    <w:rsid w:val="5B044F1C"/>
    <w:rsid w:val="5B070568"/>
    <w:rsid w:val="5B1C2265"/>
    <w:rsid w:val="5B2E3D47"/>
    <w:rsid w:val="5B33135D"/>
    <w:rsid w:val="5B435A44"/>
    <w:rsid w:val="5B4672E2"/>
    <w:rsid w:val="5B4A6DD2"/>
    <w:rsid w:val="5B4B2B4A"/>
    <w:rsid w:val="5B572513"/>
    <w:rsid w:val="5B5F7DE8"/>
    <w:rsid w:val="5B6078C7"/>
    <w:rsid w:val="5B633E23"/>
    <w:rsid w:val="5B762629"/>
    <w:rsid w:val="5B773CF2"/>
    <w:rsid w:val="5B8A71CF"/>
    <w:rsid w:val="5B953DC6"/>
    <w:rsid w:val="5B9B5880"/>
    <w:rsid w:val="5BB21D9A"/>
    <w:rsid w:val="5BB7600F"/>
    <w:rsid w:val="5BCD355F"/>
    <w:rsid w:val="5BDC6D33"/>
    <w:rsid w:val="5BF037E6"/>
    <w:rsid w:val="5BFD3E45"/>
    <w:rsid w:val="5C053504"/>
    <w:rsid w:val="5C0F2714"/>
    <w:rsid w:val="5C1A51DE"/>
    <w:rsid w:val="5C2A09B2"/>
    <w:rsid w:val="5C3655A9"/>
    <w:rsid w:val="5C3A263A"/>
    <w:rsid w:val="5C531CB7"/>
    <w:rsid w:val="5C5767C2"/>
    <w:rsid w:val="5C814A76"/>
    <w:rsid w:val="5C9D1184"/>
    <w:rsid w:val="5CAE513F"/>
    <w:rsid w:val="5CAF25EE"/>
    <w:rsid w:val="5CAF7F16"/>
    <w:rsid w:val="5CBE74EA"/>
    <w:rsid w:val="5CC56713"/>
    <w:rsid w:val="5CC71DD8"/>
    <w:rsid w:val="5CCE3A33"/>
    <w:rsid w:val="5CD66444"/>
    <w:rsid w:val="5CF10325"/>
    <w:rsid w:val="5CF82EF2"/>
    <w:rsid w:val="5CF9414D"/>
    <w:rsid w:val="5CF9552F"/>
    <w:rsid w:val="5D0631CD"/>
    <w:rsid w:val="5D0B433F"/>
    <w:rsid w:val="5D17501F"/>
    <w:rsid w:val="5D1D22C5"/>
    <w:rsid w:val="5D213B63"/>
    <w:rsid w:val="5D2E44D2"/>
    <w:rsid w:val="5D3C6BEF"/>
    <w:rsid w:val="5D431D2B"/>
    <w:rsid w:val="5D4569AE"/>
    <w:rsid w:val="5D5E0913"/>
    <w:rsid w:val="5D6D6DA8"/>
    <w:rsid w:val="5D6F2B20"/>
    <w:rsid w:val="5D7C6FEB"/>
    <w:rsid w:val="5D883BE2"/>
    <w:rsid w:val="5D9B5E1F"/>
    <w:rsid w:val="5DA36C6E"/>
    <w:rsid w:val="5DAF116F"/>
    <w:rsid w:val="5DB426F2"/>
    <w:rsid w:val="5DBE7604"/>
    <w:rsid w:val="5DCF35BF"/>
    <w:rsid w:val="5DF11787"/>
    <w:rsid w:val="5DF41277"/>
    <w:rsid w:val="5E0771FD"/>
    <w:rsid w:val="5E2733FB"/>
    <w:rsid w:val="5E340AEC"/>
    <w:rsid w:val="5E3D2C1E"/>
    <w:rsid w:val="5E467ABB"/>
    <w:rsid w:val="5E557927"/>
    <w:rsid w:val="5E647215"/>
    <w:rsid w:val="5E6F6B70"/>
    <w:rsid w:val="5E7128C8"/>
    <w:rsid w:val="5E785A05"/>
    <w:rsid w:val="5E7E5BC7"/>
    <w:rsid w:val="5E8A59E3"/>
    <w:rsid w:val="5EA467FA"/>
    <w:rsid w:val="5EAC5CC5"/>
    <w:rsid w:val="5EBB3B43"/>
    <w:rsid w:val="5EC24ED2"/>
    <w:rsid w:val="5ECF669A"/>
    <w:rsid w:val="5ECF78A2"/>
    <w:rsid w:val="5EF64B7B"/>
    <w:rsid w:val="5F0707E8"/>
    <w:rsid w:val="5F131BD1"/>
    <w:rsid w:val="5F1C68EB"/>
    <w:rsid w:val="5F2931A3"/>
    <w:rsid w:val="5F304531"/>
    <w:rsid w:val="5F3A658F"/>
    <w:rsid w:val="5F443B39"/>
    <w:rsid w:val="5F4621D1"/>
    <w:rsid w:val="5F4B6DF9"/>
    <w:rsid w:val="5F5244A8"/>
    <w:rsid w:val="5F5E109E"/>
    <w:rsid w:val="5F675CE8"/>
    <w:rsid w:val="5F6D7533"/>
    <w:rsid w:val="5F904FD0"/>
    <w:rsid w:val="5F9E101E"/>
    <w:rsid w:val="5FD4310E"/>
    <w:rsid w:val="5FD80582"/>
    <w:rsid w:val="5FE377F5"/>
    <w:rsid w:val="601D2D07"/>
    <w:rsid w:val="60326087"/>
    <w:rsid w:val="603E7754"/>
    <w:rsid w:val="604D407A"/>
    <w:rsid w:val="605E0C2A"/>
    <w:rsid w:val="6061582C"/>
    <w:rsid w:val="6062071A"/>
    <w:rsid w:val="606E6033"/>
    <w:rsid w:val="60712742"/>
    <w:rsid w:val="60787F3E"/>
    <w:rsid w:val="60940AF0"/>
    <w:rsid w:val="609D64AA"/>
    <w:rsid w:val="60A27B32"/>
    <w:rsid w:val="60B92695"/>
    <w:rsid w:val="60BA469F"/>
    <w:rsid w:val="60BE5D83"/>
    <w:rsid w:val="60DD3A26"/>
    <w:rsid w:val="60E51508"/>
    <w:rsid w:val="60F82E2D"/>
    <w:rsid w:val="60FC0223"/>
    <w:rsid w:val="614A3DAA"/>
    <w:rsid w:val="6155027F"/>
    <w:rsid w:val="6164129C"/>
    <w:rsid w:val="616821E1"/>
    <w:rsid w:val="61730B8F"/>
    <w:rsid w:val="61741C6B"/>
    <w:rsid w:val="618463A2"/>
    <w:rsid w:val="618741B1"/>
    <w:rsid w:val="61931421"/>
    <w:rsid w:val="61B2747F"/>
    <w:rsid w:val="61B90451"/>
    <w:rsid w:val="61DE0274"/>
    <w:rsid w:val="61E73B15"/>
    <w:rsid w:val="61EA259B"/>
    <w:rsid w:val="61EB473F"/>
    <w:rsid w:val="61EB7329"/>
    <w:rsid w:val="61F21F72"/>
    <w:rsid w:val="62013F63"/>
    <w:rsid w:val="622540F5"/>
    <w:rsid w:val="623B7475"/>
    <w:rsid w:val="62405FC3"/>
    <w:rsid w:val="62482F7C"/>
    <w:rsid w:val="62677DAD"/>
    <w:rsid w:val="6281113E"/>
    <w:rsid w:val="62854B94"/>
    <w:rsid w:val="62935219"/>
    <w:rsid w:val="62CD6AEC"/>
    <w:rsid w:val="62D94595"/>
    <w:rsid w:val="63103C43"/>
    <w:rsid w:val="631E6C0A"/>
    <w:rsid w:val="632624E0"/>
    <w:rsid w:val="632E0F01"/>
    <w:rsid w:val="633B34A5"/>
    <w:rsid w:val="633B5253"/>
    <w:rsid w:val="6347009B"/>
    <w:rsid w:val="6349032F"/>
    <w:rsid w:val="63566066"/>
    <w:rsid w:val="63901A42"/>
    <w:rsid w:val="639F1C85"/>
    <w:rsid w:val="63B81244"/>
    <w:rsid w:val="63C45248"/>
    <w:rsid w:val="63C60FC0"/>
    <w:rsid w:val="63CB65D6"/>
    <w:rsid w:val="63D41366"/>
    <w:rsid w:val="640E2967"/>
    <w:rsid w:val="640E5F10"/>
    <w:rsid w:val="64153CF6"/>
    <w:rsid w:val="6419594B"/>
    <w:rsid w:val="64264155"/>
    <w:rsid w:val="644C769A"/>
    <w:rsid w:val="64520AA6"/>
    <w:rsid w:val="64664551"/>
    <w:rsid w:val="646D3132"/>
    <w:rsid w:val="647153D0"/>
    <w:rsid w:val="647C392C"/>
    <w:rsid w:val="64800077"/>
    <w:rsid w:val="64805613"/>
    <w:rsid w:val="6486074F"/>
    <w:rsid w:val="649829A9"/>
    <w:rsid w:val="64A77044"/>
    <w:rsid w:val="64BB2AEF"/>
    <w:rsid w:val="64CB26DD"/>
    <w:rsid w:val="64D67929"/>
    <w:rsid w:val="64D771FD"/>
    <w:rsid w:val="64FE478A"/>
    <w:rsid w:val="650171EE"/>
    <w:rsid w:val="65055B18"/>
    <w:rsid w:val="65433804"/>
    <w:rsid w:val="65556AA0"/>
    <w:rsid w:val="65684D07"/>
    <w:rsid w:val="657A02B4"/>
    <w:rsid w:val="657D2B9C"/>
    <w:rsid w:val="658D5D3E"/>
    <w:rsid w:val="6593581A"/>
    <w:rsid w:val="65956E9C"/>
    <w:rsid w:val="65A215B9"/>
    <w:rsid w:val="65BD63F3"/>
    <w:rsid w:val="65C46536"/>
    <w:rsid w:val="65D406EA"/>
    <w:rsid w:val="65F6DA43"/>
    <w:rsid w:val="66536B52"/>
    <w:rsid w:val="66542B2C"/>
    <w:rsid w:val="665723A3"/>
    <w:rsid w:val="66655263"/>
    <w:rsid w:val="667B400E"/>
    <w:rsid w:val="66911D59"/>
    <w:rsid w:val="66BB7F8E"/>
    <w:rsid w:val="66E005EB"/>
    <w:rsid w:val="66E53E53"/>
    <w:rsid w:val="66E55C01"/>
    <w:rsid w:val="66EA7812"/>
    <w:rsid w:val="66FE4522"/>
    <w:rsid w:val="6704527C"/>
    <w:rsid w:val="6732498D"/>
    <w:rsid w:val="673E23A7"/>
    <w:rsid w:val="673F1F3F"/>
    <w:rsid w:val="673F79B4"/>
    <w:rsid w:val="67442824"/>
    <w:rsid w:val="674A1F08"/>
    <w:rsid w:val="67544B35"/>
    <w:rsid w:val="67655FA1"/>
    <w:rsid w:val="67795693"/>
    <w:rsid w:val="677A0A3F"/>
    <w:rsid w:val="67987117"/>
    <w:rsid w:val="67A43BE0"/>
    <w:rsid w:val="67AB6E4B"/>
    <w:rsid w:val="67B37F71"/>
    <w:rsid w:val="67B545A8"/>
    <w:rsid w:val="67CE6C86"/>
    <w:rsid w:val="67D31319"/>
    <w:rsid w:val="67D46EF3"/>
    <w:rsid w:val="67D72D6F"/>
    <w:rsid w:val="67DC6D5A"/>
    <w:rsid w:val="67E206D5"/>
    <w:rsid w:val="67E660D5"/>
    <w:rsid w:val="68303C5A"/>
    <w:rsid w:val="68375408"/>
    <w:rsid w:val="683E4D48"/>
    <w:rsid w:val="685A261F"/>
    <w:rsid w:val="6865349E"/>
    <w:rsid w:val="68655F18"/>
    <w:rsid w:val="68B00491"/>
    <w:rsid w:val="68C14BF3"/>
    <w:rsid w:val="68E343C2"/>
    <w:rsid w:val="68FA309F"/>
    <w:rsid w:val="68FB170C"/>
    <w:rsid w:val="68FE0507"/>
    <w:rsid w:val="69034A64"/>
    <w:rsid w:val="690F3409"/>
    <w:rsid w:val="69272501"/>
    <w:rsid w:val="692C5D69"/>
    <w:rsid w:val="692E7D33"/>
    <w:rsid w:val="692F7608"/>
    <w:rsid w:val="69401815"/>
    <w:rsid w:val="694A487B"/>
    <w:rsid w:val="694D6631"/>
    <w:rsid w:val="695025CA"/>
    <w:rsid w:val="6958090C"/>
    <w:rsid w:val="695928D6"/>
    <w:rsid w:val="69677DFE"/>
    <w:rsid w:val="69765236"/>
    <w:rsid w:val="69845BA5"/>
    <w:rsid w:val="698E07D2"/>
    <w:rsid w:val="69AB0D0D"/>
    <w:rsid w:val="69B27B43"/>
    <w:rsid w:val="69BE0005"/>
    <w:rsid w:val="69DF2DDC"/>
    <w:rsid w:val="69EA352F"/>
    <w:rsid w:val="69EB2192"/>
    <w:rsid w:val="6A2E5B11"/>
    <w:rsid w:val="6A385B92"/>
    <w:rsid w:val="6A3C0286"/>
    <w:rsid w:val="6A4D41E9"/>
    <w:rsid w:val="6A570136"/>
    <w:rsid w:val="6A695DCD"/>
    <w:rsid w:val="6A731776"/>
    <w:rsid w:val="6A753740"/>
    <w:rsid w:val="6A7A6FA8"/>
    <w:rsid w:val="6A7E2C0A"/>
    <w:rsid w:val="6A802F8E"/>
    <w:rsid w:val="6A857F0C"/>
    <w:rsid w:val="6A8614A9"/>
    <w:rsid w:val="6A863F6D"/>
    <w:rsid w:val="6A8B4438"/>
    <w:rsid w:val="6A9A1F2E"/>
    <w:rsid w:val="6AA70ABD"/>
    <w:rsid w:val="6AAD4C88"/>
    <w:rsid w:val="6AB73D58"/>
    <w:rsid w:val="6ABA55F7"/>
    <w:rsid w:val="6AC10733"/>
    <w:rsid w:val="6AC72890"/>
    <w:rsid w:val="6ACD7255"/>
    <w:rsid w:val="6AD2649C"/>
    <w:rsid w:val="6AE03473"/>
    <w:rsid w:val="6AE17565"/>
    <w:rsid w:val="6AE4490D"/>
    <w:rsid w:val="6AFE3735"/>
    <w:rsid w:val="6B2111D2"/>
    <w:rsid w:val="6B327D60"/>
    <w:rsid w:val="6B361E7E"/>
    <w:rsid w:val="6B3C7DBA"/>
    <w:rsid w:val="6B3D4EC2"/>
    <w:rsid w:val="6B43383E"/>
    <w:rsid w:val="6B4E489C"/>
    <w:rsid w:val="6B4E646B"/>
    <w:rsid w:val="6B6D452E"/>
    <w:rsid w:val="6B6F63E1"/>
    <w:rsid w:val="6B797260"/>
    <w:rsid w:val="6B804DE4"/>
    <w:rsid w:val="6B8071BE"/>
    <w:rsid w:val="6B8D5DE3"/>
    <w:rsid w:val="6BAB3285"/>
    <w:rsid w:val="6BB16221"/>
    <w:rsid w:val="6BE40B7D"/>
    <w:rsid w:val="6BE45953"/>
    <w:rsid w:val="6BE94F3A"/>
    <w:rsid w:val="6BF40694"/>
    <w:rsid w:val="6BF6440D"/>
    <w:rsid w:val="6C061F17"/>
    <w:rsid w:val="6C0D1CBF"/>
    <w:rsid w:val="6C0E5BFA"/>
    <w:rsid w:val="6C150D37"/>
    <w:rsid w:val="6C2F1E55"/>
    <w:rsid w:val="6C376EFF"/>
    <w:rsid w:val="6C661592"/>
    <w:rsid w:val="6C741E4F"/>
    <w:rsid w:val="6C787517"/>
    <w:rsid w:val="6C914D27"/>
    <w:rsid w:val="6CAA6CFE"/>
    <w:rsid w:val="6CC369E5"/>
    <w:rsid w:val="6CCE0587"/>
    <w:rsid w:val="6CDC7AA6"/>
    <w:rsid w:val="6CEB1A97"/>
    <w:rsid w:val="6D013FEB"/>
    <w:rsid w:val="6D1930EC"/>
    <w:rsid w:val="6D2C5E19"/>
    <w:rsid w:val="6D2F407A"/>
    <w:rsid w:val="6D5E0586"/>
    <w:rsid w:val="6D5E2408"/>
    <w:rsid w:val="6DA71186"/>
    <w:rsid w:val="6DB30918"/>
    <w:rsid w:val="6DB620A5"/>
    <w:rsid w:val="6DC42A14"/>
    <w:rsid w:val="6DCF04CF"/>
    <w:rsid w:val="6DCF4F15"/>
    <w:rsid w:val="6DD036A3"/>
    <w:rsid w:val="6DD62AF8"/>
    <w:rsid w:val="6DDC4D91"/>
    <w:rsid w:val="6DE81D0F"/>
    <w:rsid w:val="6DE85FD7"/>
    <w:rsid w:val="6DF76B0A"/>
    <w:rsid w:val="6E054DB3"/>
    <w:rsid w:val="6E0D5EB7"/>
    <w:rsid w:val="6E1A0994"/>
    <w:rsid w:val="6E1E4715"/>
    <w:rsid w:val="6E2039C3"/>
    <w:rsid w:val="6E3F209B"/>
    <w:rsid w:val="6E4A0A40"/>
    <w:rsid w:val="6E5309B2"/>
    <w:rsid w:val="6E7004A6"/>
    <w:rsid w:val="6E895A0C"/>
    <w:rsid w:val="6E9879FD"/>
    <w:rsid w:val="6E9A19C7"/>
    <w:rsid w:val="6EBD3E7A"/>
    <w:rsid w:val="6EBD700A"/>
    <w:rsid w:val="6EBF142E"/>
    <w:rsid w:val="6EC72090"/>
    <w:rsid w:val="6ED53771"/>
    <w:rsid w:val="6EFD2502"/>
    <w:rsid w:val="6F082DD5"/>
    <w:rsid w:val="6F10216C"/>
    <w:rsid w:val="6F1352D6"/>
    <w:rsid w:val="6F457799"/>
    <w:rsid w:val="6F4A519B"/>
    <w:rsid w:val="6F5E1724"/>
    <w:rsid w:val="6F6618A9"/>
    <w:rsid w:val="6F71097A"/>
    <w:rsid w:val="6F743FC6"/>
    <w:rsid w:val="6F783707"/>
    <w:rsid w:val="6F7D7049"/>
    <w:rsid w:val="6F963F3C"/>
    <w:rsid w:val="6FE1043B"/>
    <w:rsid w:val="6FF670D1"/>
    <w:rsid w:val="6FFD7734"/>
    <w:rsid w:val="700B760E"/>
    <w:rsid w:val="700D7F77"/>
    <w:rsid w:val="7016288C"/>
    <w:rsid w:val="702E651A"/>
    <w:rsid w:val="703B4AE4"/>
    <w:rsid w:val="70544BEF"/>
    <w:rsid w:val="706E310B"/>
    <w:rsid w:val="70794B97"/>
    <w:rsid w:val="70860455"/>
    <w:rsid w:val="70860D62"/>
    <w:rsid w:val="70891C83"/>
    <w:rsid w:val="708C17E3"/>
    <w:rsid w:val="70981F36"/>
    <w:rsid w:val="70B52AE8"/>
    <w:rsid w:val="70BA01A5"/>
    <w:rsid w:val="70CB2BBE"/>
    <w:rsid w:val="70CD6084"/>
    <w:rsid w:val="70CE6BA0"/>
    <w:rsid w:val="70D016D0"/>
    <w:rsid w:val="70F35BF8"/>
    <w:rsid w:val="71124D16"/>
    <w:rsid w:val="71160F53"/>
    <w:rsid w:val="711A0B9D"/>
    <w:rsid w:val="713A6780"/>
    <w:rsid w:val="713C4FB8"/>
    <w:rsid w:val="71491244"/>
    <w:rsid w:val="714B51FB"/>
    <w:rsid w:val="714D6F6C"/>
    <w:rsid w:val="71582A07"/>
    <w:rsid w:val="716C6988"/>
    <w:rsid w:val="716E28EA"/>
    <w:rsid w:val="717943B6"/>
    <w:rsid w:val="71845F40"/>
    <w:rsid w:val="71900E5F"/>
    <w:rsid w:val="71916F49"/>
    <w:rsid w:val="71A33B87"/>
    <w:rsid w:val="71AB63BC"/>
    <w:rsid w:val="71AE4713"/>
    <w:rsid w:val="71B27028"/>
    <w:rsid w:val="71D25565"/>
    <w:rsid w:val="71D945B4"/>
    <w:rsid w:val="71F11C1F"/>
    <w:rsid w:val="72247F25"/>
    <w:rsid w:val="723314F1"/>
    <w:rsid w:val="723637B5"/>
    <w:rsid w:val="724A62A9"/>
    <w:rsid w:val="725435CA"/>
    <w:rsid w:val="72646574"/>
    <w:rsid w:val="726F7FEC"/>
    <w:rsid w:val="727F33AE"/>
    <w:rsid w:val="72802C82"/>
    <w:rsid w:val="728A6048"/>
    <w:rsid w:val="72A8433C"/>
    <w:rsid w:val="72AA7CFF"/>
    <w:rsid w:val="72BD1CA1"/>
    <w:rsid w:val="72C07522"/>
    <w:rsid w:val="72C1593C"/>
    <w:rsid w:val="72C54B91"/>
    <w:rsid w:val="72D468CD"/>
    <w:rsid w:val="73156124"/>
    <w:rsid w:val="731A30D6"/>
    <w:rsid w:val="731D03D0"/>
    <w:rsid w:val="731F693F"/>
    <w:rsid w:val="7320374B"/>
    <w:rsid w:val="73426189"/>
    <w:rsid w:val="734A425F"/>
    <w:rsid w:val="734C0DB6"/>
    <w:rsid w:val="734F6035"/>
    <w:rsid w:val="73584999"/>
    <w:rsid w:val="735A3B0C"/>
    <w:rsid w:val="7361796E"/>
    <w:rsid w:val="737427E7"/>
    <w:rsid w:val="737669D2"/>
    <w:rsid w:val="737C78ED"/>
    <w:rsid w:val="739369E5"/>
    <w:rsid w:val="739700BA"/>
    <w:rsid w:val="739B4217"/>
    <w:rsid w:val="73AD5CF9"/>
    <w:rsid w:val="73D94D40"/>
    <w:rsid w:val="740D2C3B"/>
    <w:rsid w:val="742E508B"/>
    <w:rsid w:val="744877CF"/>
    <w:rsid w:val="745F1E4B"/>
    <w:rsid w:val="7460720F"/>
    <w:rsid w:val="74692D8A"/>
    <w:rsid w:val="74716D26"/>
    <w:rsid w:val="74933140"/>
    <w:rsid w:val="74B81FE2"/>
    <w:rsid w:val="74B86703"/>
    <w:rsid w:val="74BD1F6B"/>
    <w:rsid w:val="74C33904"/>
    <w:rsid w:val="74CE23CA"/>
    <w:rsid w:val="74DE12C2"/>
    <w:rsid w:val="74E813D5"/>
    <w:rsid w:val="74FF4332"/>
    <w:rsid w:val="750E0AAE"/>
    <w:rsid w:val="75105270"/>
    <w:rsid w:val="75112770"/>
    <w:rsid w:val="751C1388"/>
    <w:rsid w:val="75241FEA"/>
    <w:rsid w:val="75330935"/>
    <w:rsid w:val="75581C94"/>
    <w:rsid w:val="755F3023"/>
    <w:rsid w:val="75644ADD"/>
    <w:rsid w:val="75874327"/>
    <w:rsid w:val="75995FB8"/>
    <w:rsid w:val="75A1188D"/>
    <w:rsid w:val="75A2478B"/>
    <w:rsid w:val="75B50E95"/>
    <w:rsid w:val="75CA0DE4"/>
    <w:rsid w:val="75CD4430"/>
    <w:rsid w:val="75D25EEA"/>
    <w:rsid w:val="75D3788E"/>
    <w:rsid w:val="75F75951"/>
    <w:rsid w:val="75FC4D15"/>
    <w:rsid w:val="75FE0A8D"/>
    <w:rsid w:val="760327D0"/>
    <w:rsid w:val="76097029"/>
    <w:rsid w:val="76133C04"/>
    <w:rsid w:val="762229CE"/>
    <w:rsid w:val="764A4CEF"/>
    <w:rsid w:val="766C1E9B"/>
    <w:rsid w:val="76880357"/>
    <w:rsid w:val="769D2054"/>
    <w:rsid w:val="76AA4771"/>
    <w:rsid w:val="76B31878"/>
    <w:rsid w:val="76B34F7A"/>
    <w:rsid w:val="76CC0B8C"/>
    <w:rsid w:val="76E13170"/>
    <w:rsid w:val="76E311A3"/>
    <w:rsid w:val="772938E8"/>
    <w:rsid w:val="7734344E"/>
    <w:rsid w:val="774424D0"/>
    <w:rsid w:val="77784870"/>
    <w:rsid w:val="77813724"/>
    <w:rsid w:val="77972F48"/>
    <w:rsid w:val="7798554B"/>
    <w:rsid w:val="77A2369A"/>
    <w:rsid w:val="77B561D9"/>
    <w:rsid w:val="77C41863"/>
    <w:rsid w:val="77C56F9E"/>
    <w:rsid w:val="77CB0E43"/>
    <w:rsid w:val="77D85C19"/>
    <w:rsid w:val="77E141C3"/>
    <w:rsid w:val="77E440CA"/>
    <w:rsid w:val="77F008AA"/>
    <w:rsid w:val="77FE2FC7"/>
    <w:rsid w:val="78054355"/>
    <w:rsid w:val="78202F3D"/>
    <w:rsid w:val="782347DB"/>
    <w:rsid w:val="782A5B6A"/>
    <w:rsid w:val="78300CA6"/>
    <w:rsid w:val="78322C70"/>
    <w:rsid w:val="783267CC"/>
    <w:rsid w:val="783951EC"/>
    <w:rsid w:val="783C3AEF"/>
    <w:rsid w:val="783E1615"/>
    <w:rsid w:val="78484242"/>
    <w:rsid w:val="78485FF0"/>
    <w:rsid w:val="784A7F6D"/>
    <w:rsid w:val="784F2AA8"/>
    <w:rsid w:val="786646C8"/>
    <w:rsid w:val="786C4C30"/>
    <w:rsid w:val="7874661E"/>
    <w:rsid w:val="78827754"/>
    <w:rsid w:val="78B8118C"/>
    <w:rsid w:val="78B91B03"/>
    <w:rsid w:val="78BE2756"/>
    <w:rsid w:val="78D12489"/>
    <w:rsid w:val="78D44487"/>
    <w:rsid w:val="78EA354B"/>
    <w:rsid w:val="78EA70A7"/>
    <w:rsid w:val="79075EAB"/>
    <w:rsid w:val="79246961"/>
    <w:rsid w:val="79711576"/>
    <w:rsid w:val="7973634F"/>
    <w:rsid w:val="797F0066"/>
    <w:rsid w:val="79862855"/>
    <w:rsid w:val="798B1DF8"/>
    <w:rsid w:val="798E037A"/>
    <w:rsid w:val="79AB7B9C"/>
    <w:rsid w:val="79B078F9"/>
    <w:rsid w:val="79C36276"/>
    <w:rsid w:val="79D33BD7"/>
    <w:rsid w:val="79E65AC0"/>
    <w:rsid w:val="7A0712A8"/>
    <w:rsid w:val="7A1A5F3C"/>
    <w:rsid w:val="7A293BFF"/>
    <w:rsid w:val="7A2E3F8E"/>
    <w:rsid w:val="7A3A5E0C"/>
    <w:rsid w:val="7A440A39"/>
    <w:rsid w:val="7A486B67"/>
    <w:rsid w:val="7A55245C"/>
    <w:rsid w:val="7A5C5D83"/>
    <w:rsid w:val="7A63380E"/>
    <w:rsid w:val="7A7C01D3"/>
    <w:rsid w:val="7A7E002C"/>
    <w:rsid w:val="7A8734B8"/>
    <w:rsid w:val="7A8A6D94"/>
    <w:rsid w:val="7A906299"/>
    <w:rsid w:val="7A911ED0"/>
    <w:rsid w:val="7A996FD7"/>
    <w:rsid w:val="7A9C562E"/>
    <w:rsid w:val="7AB64546"/>
    <w:rsid w:val="7AC04563"/>
    <w:rsid w:val="7AC15EF1"/>
    <w:rsid w:val="7ACB4729"/>
    <w:rsid w:val="7AE220D3"/>
    <w:rsid w:val="7AE70BAE"/>
    <w:rsid w:val="7AEA7832"/>
    <w:rsid w:val="7AEC455F"/>
    <w:rsid w:val="7AF16E13"/>
    <w:rsid w:val="7AF91823"/>
    <w:rsid w:val="7B0528FD"/>
    <w:rsid w:val="7B05466C"/>
    <w:rsid w:val="7B0703E4"/>
    <w:rsid w:val="7B136D89"/>
    <w:rsid w:val="7B294867"/>
    <w:rsid w:val="7B4D1357"/>
    <w:rsid w:val="7B641393"/>
    <w:rsid w:val="7B6E2F9B"/>
    <w:rsid w:val="7B89704B"/>
    <w:rsid w:val="7B98702C"/>
    <w:rsid w:val="7BC71922"/>
    <w:rsid w:val="7BC77B74"/>
    <w:rsid w:val="7BD04C7A"/>
    <w:rsid w:val="7BD57CCF"/>
    <w:rsid w:val="7BE1417D"/>
    <w:rsid w:val="7BF87D2D"/>
    <w:rsid w:val="7C022E76"/>
    <w:rsid w:val="7C0A4D17"/>
    <w:rsid w:val="7C0A6D20"/>
    <w:rsid w:val="7C156B9F"/>
    <w:rsid w:val="7C213B75"/>
    <w:rsid w:val="7C305719"/>
    <w:rsid w:val="7C3163FF"/>
    <w:rsid w:val="7C3474E9"/>
    <w:rsid w:val="7C620E3B"/>
    <w:rsid w:val="7C896BD7"/>
    <w:rsid w:val="7C8B6DF3"/>
    <w:rsid w:val="7C8D6749"/>
    <w:rsid w:val="7C9B1DD4"/>
    <w:rsid w:val="7CA61385"/>
    <w:rsid w:val="7CB22D0E"/>
    <w:rsid w:val="7CB718F6"/>
    <w:rsid w:val="7CCC0C02"/>
    <w:rsid w:val="7CE24C65"/>
    <w:rsid w:val="7CE64C01"/>
    <w:rsid w:val="7CFB7AD5"/>
    <w:rsid w:val="7D0270B5"/>
    <w:rsid w:val="7D07647A"/>
    <w:rsid w:val="7D0E5A5A"/>
    <w:rsid w:val="7D0F16C6"/>
    <w:rsid w:val="7D123C1F"/>
    <w:rsid w:val="7D1467DB"/>
    <w:rsid w:val="7D2C7C8E"/>
    <w:rsid w:val="7D576182"/>
    <w:rsid w:val="7D625DA6"/>
    <w:rsid w:val="7D871368"/>
    <w:rsid w:val="7D8B70AB"/>
    <w:rsid w:val="7D931348"/>
    <w:rsid w:val="7DAD0637"/>
    <w:rsid w:val="7DC12ACC"/>
    <w:rsid w:val="7DC93376"/>
    <w:rsid w:val="7DCC7C86"/>
    <w:rsid w:val="7DD32800"/>
    <w:rsid w:val="7DF14781"/>
    <w:rsid w:val="7DFA2E1C"/>
    <w:rsid w:val="7E0D3978"/>
    <w:rsid w:val="7E3A287F"/>
    <w:rsid w:val="7E3F7E95"/>
    <w:rsid w:val="7E6873EC"/>
    <w:rsid w:val="7E9E4BBC"/>
    <w:rsid w:val="7EA23BA4"/>
    <w:rsid w:val="7EB10D93"/>
    <w:rsid w:val="7EB459DD"/>
    <w:rsid w:val="7ECD724F"/>
    <w:rsid w:val="7EE22D5E"/>
    <w:rsid w:val="7EF02C27"/>
    <w:rsid w:val="7EF91AB2"/>
    <w:rsid w:val="7EFB3E85"/>
    <w:rsid w:val="7F016EF9"/>
    <w:rsid w:val="7F030EC3"/>
    <w:rsid w:val="7F0E20E8"/>
    <w:rsid w:val="7F175EDC"/>
    <w:rsid w:val="7F177E9D"/>
    <w:rsid w:val="7F2729DE"/>
    <w:rsid w:val="7F390D88"/>
    <w:rsid w:val="7F405C73"/>
    <w:rsid w:val="7F466C3D"/>
    <w:rsid w:val="7F572FBC"/>
    <w:rsid w:val="7F841BB1"/>
    <w:rsid w:val="7F8C2C66"/>
    <w:rsid w:val="7F912972"/>
    <w:rsid w:val="7F9623C1"/>
    <w:rsid w:val="7FAC4722"/>
    <w:rsid w:val="7FAF016F"/>
    <w:rsid w:val="7FC27A71"/>
    <w:rsid w:val="7FCF1996"/>
    <w:rsid w:val="7FD17D13"/>
    <w:rsid w:val="7FD7406F"/>
    <w:rsid w:val="7FDF106F"/>
    <w:rsid w:val="7FF10746"/>
    <w:rsid w:val="7FF7D3C9"/>
    <w:rsid w:val="97A763FD"/>
    <w:rsid w:val="BB6F5A70"/>
    <w:rsid w:val="CF7E2240"/>
    <w:rsid w:val="DDA58CD4"/>
    <w:rsid w:val="DDBFE11A"/>
    <w:rsid w:val="F77F3470"/>
    <w:rsid w:val="F7EF2F33"/>
    <w:rsid w:val="FD3FC0F3"/>
    <w:rsid w:val="FFFFA06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7"/>
    <w:qFormat/>
    <w:uiPriority w:val="0"/>
    <w:pPr>
      <w:keepNext/>
      <w:keepLines/>
      <w:spacing w:before="340" w:beforeLines="0" w:after="330" w:afterLines="0" w:line="578" w:lineRule="auto"/>
      <w:jc w:val="center"/>
      <w:outlineLvl w:val="0"/>
    </w:pPr>
    <w:rPr>
      <w:b/>
      <w:bCs/>
      <w:kern w:val="44"/>
      <w:sz w:val="32"/>
      <w:szCs w:val="44"/>
    </w:rPr>
  </w:style>
  <w:style w:type="paragraph" w:styleId="3">
    <w:name w:val="heading 2"/>
    <w:basedOn w:val="1"/>
    <w:next w:val="1"/>
    <w:qFormat/>
    <w:uiPriority w:val="0"/>
    <w:pPr>
      <w:keepNext/>
      <w:keepLines/>
      <w:numPr>
        <w:ilvl w:val="1"/>
        <w:numId w:val="1"/>
      </w:numPr>
      <w:adjustRightInd w:val="0"/>
      <w:spacing w:line="360" w:lineRule="atLeast"/>
      <w:textAlignment w:val="baseline"/>
      <w:outlineLvl w:val="1"/>
    </w:pPr>
    <w:rPr>
      <w:rFonts w:ascii="Times New Roman" w:hAnsi="Times New Roman" w:eastAsia="宋体" w:cs="Times New Roman"/>
      <w:kern w:val="0"/>
      <w:sz w:val="24"/>
      <w:szCs w:val="20"/>
    </w:rPr>
  </w:style>
  <w:style w:type="paragraph" w:styleId="4">
    <w:name w:val="heading 3"/>
    <w:basedOn w:val="1"/>
    <w:next w:val="1"/>
    <w:qFormat/>
    <w:uiPriority w:val="0"/>
    <w:pPr>
      <w:keepNext/>
      <w:keepLines/>
      <w:spacing w:before="260" w:beforeLines="0" w:after="260" w:afterLines="0" w:line="416" w:lineRule="atLeast"/>
      <w:jc w:val="both"/>
      <w:textAlignment w:val="baseline"/>
      <w:outlineLvl w:val="2"/>
    </w:pPr>
    <w:rPr>
      <w:rFonts w:ascii="Times New Roman" w:hAnsi="Times New Roman" w:eastAsia="宋体" w:cs="Times New Roman"/>
      <w:b/>
      <w:bCs/>
      <w:color w:val="000000"/>
      <w:sz w:val="32"/>
      <w:szCs w:val="32"/>
      <w:u w:val="none" w:color="000000"/>
      <w:lang w:val="en-US" w:eastAsia="zh-CN" w:bidi="ar-SA"/>
    </w:rPr>
  </w:style>
  <w:style w:type="paragraph" w:styleId="5">
    <w:name w:val="heading 4"/>
    <w:basedOn w:val="1"/>
    <w:next w:val="1"/>
    <w:link w:val="58"/>
    <w:qFormat/>
    <w:uiPriority w:val="0"/>
    <w:pPr>
      <w:keepNext/>
      <w:keepLines/>
      <w:widowControl/>
      <w:spacing w:before="280" w:beforeLines="0" w:after="290" w:afterLines="0" w:line="376" w:lineRule="atLeast"/>
      <w:textAlignment w:val="baseline"/>
      <w:outlineLvl w:val="3"/>
    </w:pPr>
    <w:rPr>
      <w:rFonts w:ascii="Arial" w:hAnsi="Arial" w:eastAsia="黑体"/>
      <w:b/>
      <w:bCs/>
      <w:color w:val="000000"/>
      <w:kern w:val="0"/>
      <w:sz w:val="28"/>
      <w:szCs w:val="28"/>
      <w:u w:val="none" w:color="000000"/>
    </w:rPr>
  </w:style>
  <w:style w:type="paragraph" w:styleId="6">
    <w:name w:val="heading 5"/>
    <w:basedOn w:val="1"/>
    <w:next w:val="1"/>
    <w:link w:val="59"/>
    <w:qFormat/>
    <w:uiPriority w:val="0"/>
    <w:pPr>
      <w:keepNext/>
      <w:keepLines/>
      <w:spacing w:before="280" w:beforeLines="0" w:after="290" w:afterLines="0" w:line="376" w:lineRule="auto"/>
      <w:outlineLvl w:val="4"/>
    </w:pPr>
    <w:rPr>
      <w:b/>
      <w:bCs/>
      <w:sz w:val="28"/>
      <w:szCs w:val="28"/>
    </w:rPr>
  </w:style>
  <w:style w:type="paragraph" w:styleId="7">
    <w:name w:val="heading 6"/>
    <w:basedOn w:val="1"/>
    <w:next w:val="1"/>
    <w:link w:val="60"/>
    <w:qFormat/>
    <w:uiPriority w:val="0"/>
    <w:pPr>
      <w:keepNext/>
      <w:keepLines/>
      <w:spacing w:before="240" w:beforeLines="0" w:after="64" w:afterLines="0" w:line="320" w:lineRule="auto"/>
      <w:outlineLvl w:val="5"/>
    </w:pPr>
    <w:rPr>
      <w:rFonts w:ascii="Cambria" w:hAnsi="Cambria"/>
      <w:b/>
      <w:bCs/>
      <w:sz w:val="24"/>
    </w:rPr>
  </w:style>
  <w:style w:type="paragraph" w:styleId="8">
    <w:name w:val="heading 7"/>
    <w:basedOn w:val="1"/>
    <w:next w:val="1"/>
    <w:link w:val="61"/>
    <w:qFormat/>
    <w:uiPriority w:val="0"/>
    <w:pPr>
      <w:keepNext/>
      <w:keepLines/>
      <w:spacing w:before="240" w:beforeLines="0" w:after="64" w:afterLines="0" w:line="320" w:lineRule="auto"/>
      <w:outlineLvl w:val="6"/>
    </w:pPr>
    <w:rPr>
      <w:b/>
      <w:bCs/>
      <w:sz w:val="24"/>
    </w:rPr>
  </w:style>
  <w:style w:type="character" w:default="1" w:styleId="38">
    <w:name w:val="Default Paragraph Font"/>
    <w:qFormat/>
    <w:uiPriority w:val="0"/>
    <w:rPr>
      <w:rFonts w:ascii="Times New Roman" w:hAnsi="Times New Roman" w:eastAsia="宋体" w:cs="Times New Roman"/>
    </w:rPr>
  </w:style>
  <w:style w:type="table" w:default="1" w:styleId="36">
    <w:name w:val="Normal Table"/>
    <w:semiHidden/>
    <w:qFormat/>
    <w:uiPriority w:val="0"/>
    <w:tblPr>
      <w:tblCellMar>
        <w:top w:w="0" w:type="dxa"/>
        <w:left w:w="108" w:type="dxa"/>
        <w:bottom w:w="0" w:type="dxa"/>
        <w:right w:w="108" w:type="dxa"/>
      </w:tblCellMar>
    </w:tblPr>
  </w:style>
  <w:style w:type="paragraph" w:styleId="9">
    <w:name w:val="toc 7"/>
    <w:basedOn w:val="1"/>
    <w:next w:val="1"/>
    <w:qFormat/>
    <w:uiPriority w:val="39"/>
    <w:pPr>
      <w:ind w:left="1260"/>
      <w:jc w:val="left"/>
    </w:pPr>
    <w:rPr>
      <w:sz w:val="18"/>
      <w:szCs w:val="18"/>
    </w:rPr>
  </w:style>
  <w:style w:type="paragraph" w:styleId="10">
    <w:name w:val="List Number 2"/>
    <w:basedOn w:val="1"/>
    <w:qFormat/>
    <w:uiPriority w:val="0"/>
    <w:pPr>
      <w:numPr>
        <w:ilvl w:val="0"/>
        <w:numId w:val="2"/>
      </w:numPr>
      <w:tabs>
        <w:tab w:val="left" w:pos="567"/>
        <w:tab w:val="clear" w:pos="425"/>
      </w:tabs>
      <w:adjustRightInd w:val="0"/>
      <w:spacing w:line="300" w:lineRule="auto"/>
      <w:textAlignment w:val="baseline"/>
    </w:pPr>
    <w:rPr>
      <w:rFonts w:ascii="Times New Roman" w:hAnsi="Times New Roman" w:eastAsia="宋体" w:cs="Times New Roman"/>
      <w:kern w:val="0"/>
      <w:sz w:val="28"/>
      <w:szCs w:val="20"/>
    </w:rPr>
  </w:style>
  <w:style w:type="paragraph" w:styleId="11">
    <w:name w:val="Normal Indent"/>
    <w:basedOn w:val="1"/>
    <w:next w:val="1"/>
    <w:qFormat/>
    <w:uiPriority w:val="0"/>
    <w:pPr>
      <w:adjustRightInd w:val="0"/>
      <w:spacing w:line="360" w:lineRule="atLeast"/>
      <w:ind w:firstLine="482"/>
      <w:textAlignment w:val="baseline"/>
    </w:pPr>
    <w:rPr>
      <w:rFonts w:ascii="Times New Roman" w:hAnsi="Times New Roman" w:eastAsia="宋体" w:cs="Times New Roman"/>
      <w:kern w:val="0"/>
      <w:sz w:val="24"/>
      <w:szCs w:val="20"/>
    </w:rPr>
  </w:style>
  <w:style w:type="paragraph" w:styleId="12">
    <w:name w:val="Document Map"/>
    <w:basedOn w:val="1"/>
    <w:next w:val="1"/>
    <w:qFormat/>
    <w:uiPriority w:val="0"/>
    <w:pPr>
      <w:widowControl/>
      <w:shd w:val="clear" w:color="000000" w:fill="000080"/>
      <w:autoSpaceDE/>
      <w:autoSpaceDN/>
      <w:spacing w:before="0" w:beforeLines="0" w:after="0" w:afterLines="0" w:line="357" w:lineRule="atLeast"/>
      <w:ind w:left="0" w:firstLine="0"/>
      <w:jc w:val="both"/>
    </w:pPr>
    <w:rPr>
      <w:rFonts w:ascii="Times New Roman" w:hAnsi="Times New Roman" w:eastAsia="宋体" w:cs="Times New Roman"/>
      <w:color w:val="000000"/>
      <w:sz w:val="21"/>
    </w:rPr>
  </w:style>
  <w:style w:type="paragraph" w:styleId="13">
    <w:name w:val="annotation text"/>
    <w:basedOn w:val="1"/>
    <w:link w:val="62"/>
    <w:qFormat/>
    <w:uiPriority w:val="0"/>
    <w:pPr>
      <w:jc w:val="left"/>
    </w:pPr>
  </w:style>
  <w:style w:type="paragraph" w:styleId="14">
    <w:name w:val="Body Text"/>
    <w:basedOn w:val="1"/>
    <w:qFormat/>
    <w:uiPriority w:val="0"/>
    <w:pPr>
      <w:spacing w:after="120" w:afterLines="0"/>
    </w:pPr>
    <w:rPr>
      <w:rFonts w:ascii="Times New Roman" w:hAnsi="Times New Roman" w:eastAsia="宋体" w:cs="Times New Roman"/>
    </w:rPr>
  </w:style>
  <w:style w:type="paragraph" w:styleId="15">
    <w:name w:val="Body Text Indent"/>
    <w:basedOn w:val="1"/>
    <w:link w:val="55"/>
    <w:qFormat/>
    <w:uiPriority w:val="0"/>
    <w:pPr>
      <w:spacing w:after="120" w:afterLines="0"/>
      <w:ind w:left="200" w:leftChars="200"/>
    </w:pPr>
  </w:style>
  <w:style w:type="paragraph" w:styleId="16">
    <w:name w:val="index 4"/>
    <w:basedOn w:val="1"/>
    <w:next w:val="1"/>
    <w:qFormat/>
    <w:uiPriority w:val="0"/>
    <w:pPr>
      <w:ind w:left="600" w:leftChars="600"/>
    </w:pPr>
    <w:rPr>
      <w:rFonts w:ascii="Times New Roman" w:hAnsi="Times New Roman" w:eastAsia="宋体" w:cs="Times New Roman"/>
    </w:rPr>
  </w:style>
  <w:style w:type="paragraph" w:styleId="17">
    <w:name w:val="toc 3"/>
    <w:basedOn w:val="1"/>
    <w:next w:val="1"/>
    <w:qFormat/>
    <w:uiPriority w:val="0"/>
    <w:pPr>
      <w:tabs>
        <w:tab w:val="right" w:leader="dot" w:pos="9288"/>
      </w:tabs>
      <w:ind w:left="400" w:leftChars="400"/>
    </w:pPr>
    <w:rPr>
      <w:rFonts w:ascii="宋体" w:hAnsi="Times New Roman" w:eastAsia="宋体" w:cs="Times New Roman"/>
    </w:rPr>
  </w:style>
  <w:style w:type="paragraph" w:styleId="18">
    <w:name w:val="Plain Text"/>
    <w:basedOn w:val="1"/>
    <w:link w:val="63"/>
    <w:qFormat/>
    <w:uiPriority w:val="0"/>
    <w:rPr>
      <w:rFonts w:ascii="宋体"/>
      <w:color w:val="000000"/>
      <w:szCs w:val="20"/>
      <w:u w:val="none" w:color="000000"/>
    </w:rPr>
  </w:style>
  <w:style w:type="paragraph" w:styleId="19">
    <w:name w:val="Date"/>
    <w:basedOn w:val="1"/>
    <w:next w:val="1"/>
    <w:link w:val="64"/>
    <w:qFormat/>
    <w:uiPriority w:val="0"/>
    <w:rPr>
      <w:rFonts w:ascii="Arial" w:hAnsi="Arial" w:eastAsia="仿宋_GB2312"/>
      <w:color w:val="000000"/>
      <w:sz w:val="32"/>
      <w:szCs w:val="20"/>
      <w:u w:val="none" w:color="000000"/>
    </w:rPr>
  </w:style>
  <w:style w:type="paragraph" w:styleId="20">
    <w:name w:val="Body Text Indent 2"/>
    <w:basedOn w:val="1"/>
    <w:link w:val="65"/>
    <w:qFormat/>
    <w:uiPriority w:val="0"/>
    <w:pPr>
      <w:spacing w:after="120" w:afterLines="0" w:line="480" w:lineRule="auto"/>
      <w:ind w:left="420" w:leftChars="200"/>
    </w:pPr>
  </w:style>
  <w:style w:type="paragraph" w:styleId="21">
    <w:name w:val="Balloon Text"/>
    <w:basedOn w:val="1"/>
    <w:link w:val="66"/>
    <w:qFormat/>
    <w:uiPriority w:val="0"/>
    <w:rPr>
      <w:sz w:val="18"/>
      <w:szCs w:val="18"/>
    </w:rPr>
  </w:style>
  <w:style w:type="paragraph" w:styleId="22">
    <w:name w:val="footer"/>
    <w:basedOn w:val="1"/>
    <w:link w:val="67"/>
    <w:qFormat/>
    <w:uiPriority w:val="0"/>
    <w:pPr>
      <w:tabs>
        <w:tab w:val="center" w:pos="4153"/>
        <w:tab w:val="right" w:pos="8306"/>
      </w:tabs>
      <w:snapToGrid w:val="0"/>
      <w:jc w:val="left"/>
    </w:pPr>
    <w:rPr>
      <w:sz w:val="18"/>
      <w:szCs w:val="18"/>
    </w:rPr>
  </w:style>
  <w:style w:type="paragraph" w:styleId="23">
    <w:name w:val="envelope return"/>
    <w:basedOn w:val="1"/>
    <w:next w:val="9"/>
    <w:qFormat/>
    <w:uiPriority w:val="0"/>
    <w:pPr>
      <w:snapToGrid w:val="0"/>
    </w:pPr>
    <w:rPr>
      <w:rFonts w:ascii="Arial" w:hAnsi="Arial" w:eastAsia="宋体" w:cs="Times New Roman"/>
    </w:rPr>
  </w:style>
  <w:style w:type="paragraph" w:styleId="24">
    <w:name w:val="header"/>
    <w:basedOn w:val="1"/>
    <w:link w:val="68"/>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qFormat/>
    <w:uiPriority w:val="0"/>
    <w:rPr>
      <w:rFonts w:ascii="Times New Roman" w:hAnsi="Times New Roman" w:eastAsia="宋体" w:cs="Times New Roman"/>
    </w:rPr>
  </w:style>
  <w:style w:type="paragraph" w:styleId="26">
    <w:name w:val="Subtitle"/>
    <w:basedOn w:val="1"/>
    <w:next w:val="1"/>
    <w:qFormat/>
    <w:uiPriority w:val="0"/>
    <w:pPr>
      <w:numPr>
        <w:ilvl w:val="0"/>
        <w:numId w:val="3"/>
      </w:numPr>
      <w:spacing w:line="360" w:lineRule="auto"/>
      <w:jc w:val="left"/>
      <w:outlineLvl w:val="1"/>
    </w:pPr>
    <w:rPr>
      <w:rFonts w:ascii="Calibri Light" w:hAnsi="Calibri Light" w:eastAsia="宋体" w:cs="Times New Roman"/>
      <w:bCs/>
      <w:kern w:val="28"/>
      <w:szCs w:val="32"/>
    </w:rPr>
  </w:style>
  <w:style w:type="paragraph" w:styleId="27">
    <w:name w:val="List"/>
    <w:basedOn w:val="1"/>
    <w:next w:val="1"/>
    <w:qFormat/>
    <w:uiPriority w:val="0"/>
    <w:pPr>
      <w:widowControl w:val="0"/>
      <w:spacing w:line="240" w:lineRule="auto"/>
      <w:ind w:left="420" w:hanging="420"/>
      <w:textAlignment w:val="auto"/>
    </w:pPr>
    <w:rPr>
      <w:rFonts w:ascii="Arial" w:hAnsi="Arial" w:eastAsia="楷体_GB2312" w:cs="Times New Roman"/>
      <w:color w:val="auto"/>
      <w:kern w:val="2"/>
      <w:sz w:val="28"/>
      <w:u w:val="none" w:color="auto"/>
    </w:rPr>
  </w:style>
  <w:style w:type="paragraph" w:styleId="28">
    <w:name w:val="toc 6"/>
    <w:basedOn w:val="1"/>
    <w:next w:val="1"/>
    <w:qFormat/>
    <w:uiPriority w:val="0"/>
    <w:pPr>
      <w:autoSpaceDE w:val="0"/>
      <w:autoSpaceDN w:val="0"/>
      <w:ind w:left="1700"/>
      <w:jc w:val="left"/>
      <w:textAlignment w:val="baseline"/>
    </w:pPr>
    <w:rPr>
      <w:kern w:val="0"/>
      <w:sz w:val="18"/>
      <w:szCs w:val="18"/>
    </w:rPr>
  </w:style>
  <w:style w:type="paragraph" w:styleId="29">
    <w:name w:val="toc 2"/>
    <w:basedOn w:val="1"/>
    <w:next w:val="1"/>
    <w:qFormat/>
    <w:uiPriority w:val="0"/>
    <w:pPr>
      <w:ind w:left="200" w:leftChars="200"/>
    </w:pPr>
    <w:rPr>
      <w:rFonts w:ascii="Times New Roman" w:hAnsi="Times New Roman" w:eastAsia="宋体" w:cs="Times New Roman"/>
    </w:rPr>
  </w:style>
  <w:style w:type="paragraph" w:styleId="3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Arial" w:hAnsi="Arial"/>
    </w:rPr>
  </w:style>
  <w:style w:type="paragraph" w:styleId="31">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rPr>
  </w:style>
  <w:style w:type="paragraph" w:styleId="32">
    <w:name w:val="Title"/>
    <w:basedOn w:val="1"/>
    <w:next w:val="1"/>
    <w:qFormat/>
    <w:uiPriority w:val="0"/>
    <w:pPr>
      <w:numPr>
        <w:ilvl w:val="0"/>
        <w:numId w:val="4"/>
      </w:numPr>
      <w:spacing w:line="360" w:lineRule="auto"/>
      <w:jc w:val="left"/>
      <w:outlineLvl w:val="0"/>
    </w:pPr>
    <w:rPr>
      <w:rFonts w:ascii="Cambria" w:hAnsi="Cambria" w:eastAsia="宋体" w:cs="Times New Roman"/>
      <w:b/>
      <w:bCs/>
      <w:sz w:val="28"/>
      <w:szCs w:val="32"/>
    </w:rPr>
  </w:style>
  <w:style w:type="paragraph" w:styleId="33">
    <w:name w:val="annotation subject"/>
    <w:basedOn w:val="13"/>
    <w:next w:val="13"/>
    <w:link w:val="69"/>
    <w:qFormat/>
    <w:uiPriority w:val="0"/>
    <w:rPr>
      <w:b/>
      <w:bCs/>
    </w:rPr>
  </w:style>
  <w:style w:type="paragraph" w:styleId="34">
    <w:name w:val="Body Text First Indent"/>
    <w:basedOn w:val="14"/>
    <w:qFormat/>
    <w:uiPriority w:val="0"/>
    <w:pPr>
      <w:ind w:firstLine="420" w:firstLineChars="100"/>
    </w:pPr>
    <w:rPr>
      <w:rFonts w:ascii="Times New Roman" w:hAnsi="Times New Roman" w:eastAsia="宋体" w:cs="Times New Roman"/>
    </w:rPr>
  </w:style>
  <w:style w:type="paragraph" w:styleId="35">
    <w:name w:val="Body Text First Indent 2"/>
    <w:basedOn w:val="15"/>
    <w:link w:val="56"/>
    <w:qFormat/>
    <w:uiPriority w:val="0"/>
    <w:pPr>
      <w:ind w:left="420" w:firstLine="420" w:firstLineChars="200"/>
    </w:pPr>
    <w:rPr>
      <w:kern w:val="0"/>
      <w:sz w:val="20"/>
      <w:szCs w:val="20"/>
    </w:r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9">
    <w:name w:val="Strong"/>
    <w:basedOn w:val="38"/>
    <w:qFormat/>
    <w:uiPriority w:val="0"/>
    <w:rPr>
      <w:rFonts w:ascii="Times New Roman" w:hAnsi="Times New Roman" w:eastAsia="宋体" w:cs="Times New Roman"/>
      <w:b/>
    </w:rPr>
  </w:style>
  <w:style w:type="character" w:styleId="40">
    <w:name w:val="page number"/>
    <w:qFormat/>
    <w:uiPriority w:val="0"/>
    <w:rPr>
      <w:rFonts w:ascii="Times New Roman" w:hAnsi="Times New Roman" w:eastAsia="宋体" w:cs="Times New Roman"/>
    </w:rPr>
  </w:style>
  <w:style w:type="character" w:styleId="41">
    <w:name w:val="FollowedHyperlink"/>
    <w:qFormat/>
    <w:uiPriority w:val="0"/>
    <w:rPr>
      <w:rFonts w:ascii="Times New Roman" w:hAnsi="Times New Roman" w:eastAsia="宋体" w:cs="Times New Roman"/>
      <w:color w:val="333333"/>
      <w:u w:val="none"/>
    </w:rPr>
  </w:style>
  <w:style w:type="character" w:styleId="42">
    <w:name w:val="Emphasis"/>
    <w:qFormat/>
    <w:uiPriority w:val="0"/>
    <w:rPr>
      <w:rFonts w:ascii="Times New Roman" w:hAnsi="Times New Roman" w:eastAsia="宋体" w:cs="Times New Roman"/>
      <w:i/>
      <w:iCs/>
    </w:rPr>
  </w:style>
  <w:style w:type="character" w:styleId="43">
    <w:name w:val="HTML Definition"/>
    <w:qFormat/>
    <w:uiPriority w:val="0"/>
    <w:rPr>
      <w:rFonts w:ascii="Times New Roman" w:hAnsi="Times New Roman" w:eastAsia="宋体" w:cs="Times New Roman"/>
    </w:rPr>
  </w:style>
  <w:style w:type="character" w:styleId="44">
    <w:name w:val="HTML Typewriter"/>
    <w:qFormat/>
    <w:uiPriority w:val="0"/>
    <w:rPr>
      <w:rFonts w:hint="default" w:ascii="monospace" w:hAnsi="monospace" w:eastAsia="monospace" w:cs="monospace"/>
      <w:sz w:val="20"/>
    </w:rPr>
  </w:style>
  <w:style w:type="character" w:styleId="45">
    <w:name w:val="HTML Acronym"/>
    <w:qFormat/>
    <w:uiPriority w:val="0"/>
    <w:rPr>
      <w:rFonts w:ascii="Times New Roman" w:hAnsi="Times New Roman" w:eastAsia="宋体" w:cs="Times New Roman"/>
    </w:rPr>
  </w:style>
  <w:style w:type="character" w:styleId="46">
    <w:name w:val="HTML Variable"/>
    <w:qFormat/>
    <w:uiPriority w:val="0"/>
    <w:rPr>
      <w:rFonts w:ascii="Times New Roman" w:hAnsi="Times New Roman" w:eastAsia="宋体" w:cs="Times New Roman"/>
    </w:rPr>
  </w:style>
  <w:style w:type="character" w:styleId="47">
    <w:name w:val="Hyperlink"/>
    <w:qFormat/>
    <w:uiPriority w:val="0"/>
    <w:rPr>
      <w:rFonts w:ascii="Times New Roman" w:hAnsi="Times New Roman" w:eastAsia="宋体" w:cs="Times New Roman"/>
      <w:color w:val="333333"/>
      <w:u w:val="none"/>
    </w:rPr>
  </w:style>
  <w:style w:type="character" w:styleId="48">
    <w:name w:val="HTML Code"/>
    <w:qFormat/>
    <w:uiPriority w:val="0"/>
    <w:rPr>
      <w:rFonts w:hint="default" w:ascii="monospace" w:hAnsi="monospace" w:eastAsia="monospace" w:cs="monospace"/>
      <w:sz w:val="20"/>
    </w:rPr>
  </w:style>
  <w:style w:type="character" w:styleId="49">
    <w:name w:val="annotation reference"/>
    <w:qFormat/>
    <w:uiPriority w:val="0"/>
    <w:rPr>
      <w:rFonts w:ascii="Times New Roman" w:hAnsi="Times New Roman" w:eastAsia="宋体" w:cs="Times New Roman"/>
      <w:sz w:val="21"/>
      <w:szCs w:val="21"/>
    </w:rPr>
  </w:style>
  <w:style w:type="character" w:styleId="50">
    <w:name w:val="HTML Cite"/>
    <w:qFormat/>
    <w:uiPriority w:val="0"/>
    <w:rPr>
      <w:rFonts w:ascii="Times New Roman" w:hAnsi="Times New Roman" w:eastAsia="宋体" w:cs="Times New Roman"/>
    </w:rPr>
  </w:style>
  <w:style w:type="character" w:styleId="51">
    <w:name w:val="HTML Keyboard"/>
    <w:qFormat/>
    <w:uiPriority w:val="0"/>
    <w:rPr>
      <w:rFonts w:hint="default" w:ascii="monospace" w:hAnsi="monospace" w:eastAsia="monospace" w:cs="monospace"/>
      <w:sz w:val="20"/>
    </w:rPr>
  </w:style>
  <w:style w:type="character" w:styleId="52">
    <w:name w:val="HTML Sample"/>
    <w:qFormat/>
    <w:uiPriority w:val="0"/>
    <w:rPr>
      <w:rFonts w:ascii="monospace" w:hAnsi="monospace" w:eastAsia="monospace" w:cs="monospace"/>
    </w:rPr>
  </w:style>
  <w:style w:type="paragraph" w:customStyle="1" w:styleId="53">
    <w:name w:val="正文文字 8"/>
    <w:basedOn w:val="1"/>
    <w:next w:val="1"/>
    <w:qFormat/>
    <w:uiPriority w:val="0"/>
    <w:pPr>
      <w:ind w:left="240"/>
    </w:pPr>
    <w:rPr>
      <w:sz w:val="16"/>
    </w:rPr>
  </w:style>
  <w:style w:type="paragraph" w:customStyle="1" w:styleId="54">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55">
    <w:name w:val="正文文本缩进 Char"/>
    <w:link w:val="15"/>
    <w:qFormat/>
    <w:uiPriority w:val="0"/>
    <w:rPr>
      <w:rFonts w:ascii="Times New Roman" w:hAnsi="Times New Roman" w:eastAsia="宋体" w:cs="Times New Roman"/>
      <w:kern w:val="2"/>
      <w:sz w:val="21"/>
      <w:szCs w:val="24"/>
    </w:rPr>
  </w:style>
  <w:style w:type="character" w:customStyle="1" w:styleId="56">
    <w:name w:val="正文首行缩进 2 Char"/>
    <w:link w:val="35"/>
    <w:qFormat/>
    <w:uiPriority w:val="0"/>
    <w:rPr>
      <w:rFonts w:ascii="Times New Roman" w:hAnsi="Times New Roman" w:eastAsia="宋体" w:cs="Times New Roman"/>
    </w:rPr>
  </w:style>
  <w:style w:type="character" w:customStyle="1" w:styleId="57">
    <w:name w:val="标题 1 Char"/>
    <w:link w:val="2"/>
    <w:qFormat/>
    <w:uiPriority w:val="0"/>
    <w:rPr>
      <w:rFonts w:ascii="Times New Roman" w:hAnsi="Times New Roman" w:eastAsia="宋体" w:cs="Times New Roman"/>
      <w:b/>
      <w:bCs/>
      <w:kern w:val="44"/>
      <w:sz w:val="32"/>
      <w:szCs w:val="44"/>
    </w:rPr>
  </w:style>
  <w:style w:type="character" w:customStyle="1" w:styleId="58">
    <w:name w:val="标题 4 Char"/>
    <w:link w:val="5"/>
    <w:qFormat/>
    <w:uiPriority w:val="0"/>
    <w:rPr>
      <w:rFonts w:ascii="Arial" w:hAnsi="Arial" w:eastAsia="黑体" w:cs="Times New Roman"/>
      <w:b/>
      <w:bCs/>
      <w:color w:val="000000"/>
      <w:sz w:val="28"/>
      <w:szCs w:val="28"/>
      <w:u w:val="none" w:color="000000"/>
      <w:lang w:val="en-US" w:eastAsia="zh-CN" w:bidi="ar-SA"/>
    </w:rPr>
  </w:style>
  <w:style w:type="character" w:customStyle="1" w:styleId="59">
    <w:name w:val="标题 5 Char"/>
    <w:link w:val="6"/>
    <w:qFormat/>
    <w:uiPriority w:val="0"/>
    <w:rPr>
      <w:rFonts w:ascii="Times New Roman" w:hAnsi="Times New Roman" w:eastAsia="宋体" w:cs="Times New Roman"/>
      <w:b/>
      <w:bCs/>
      <w:kern w:val="2"/>
      <w:sz w:val="28"/>
      <w:szCs w:val="28"/>
    </w:rPr>
  </w:style>
  <w:style w:type="character" w:customStyle="1" w:styleId="60">
    <w:name w:val="标题 6 Char"/>
    <w:link w:val="7"/>
    <w:qFormat/>
    <w:uiPriority w:val="0"/>
    <w:rPr>
      <w:rFonts w:ascii="Cambria" w:hAnsi="Cambria" w:eastAsia="宋体" w:cs="Times New Roman"/>
      <w:b/>
      <w:bCs/>
      <w:kern w:val="2"/>
      <w:sz w:val="24"/>
      <w:szCs w:val="24"/>
    </w:rPr>
  </w:style>
  <w:style w:type="character" w:customStyle="1" w:styleId="61">
    <w:name w:val="标题 7 Char"/>
    <w:link w:val="8"/>
    <w:qFormat/>
    <w:uiPriority w:val="0"/>
    <w:rPr>
      <w:rFonts w:ascii="Times New Roman" w:hAnsi="Times New Roman" w:eastAsia="宋体" w:cs="Times New Roman"/>
      <w:b/>
      <w:bCs/>
      <w:kern w:val="2"/>
      <w:sz w:val="24"/>
      <w:szCs w:val="24"/>
    </w:rPr>
  </w:style>
  <w:style w:type="character" w:customStyle="1" w:styleId="62">
    <w:name w:val="批注文字 Char"/>
    <w:link w:val="13"/>
    <w:qFormat/>
    <w:uiPriority w:val="0"/>
    <w:rPr>
      <w:rFonts w:ascii="Times New Roman" w:hAnsi="Times New Roman" w:eastAsia="宋体" w:cs="Times New Roman"/>
      <w:kern w:val="2"/>
      <w:sz w:val="21"/>
      <w:szCs w:val="24"/>
    </w:rPr>
  </w:style>
  <w:style w:type="character" w:customStyle="1" w:styleId="63">
    <w:name w:val="纯文本 Char"/>
    <w:link w:val="18"/>
    <w:qFormat/>
    <w:uiPriority w:val="0"/>
    <w:rPr>
      <w:rFonts w:ascii="宋体" w:hAnsi="Times New Roman" w:eastAsia="宋体" w:cs="Times New Roman"/>
      <w:color w:val="000000"/>
      <w:kern w:val="2"/>
      <w:sz w:val="21"/>
      <w:u w:val="none" w:color="000000"/>
      <w:lang w:val="en-US" w:eastAsia="zh-CN" w:bidi="ar-SA"/>
    </w:rPr>
  </w:style>
  <w:style w:type="character" w:customStyle="1" w:styleId="64">
    <w:name w:val="日期 Char"/>
    <w:link w:val="19"/>
    <w:qFormat/>
    <w:uiPriority w:val="0"/>
    <w:rPr>
      <w:rFonts w:ascii="Arial" w:hAnsi="Arial" w:eastAsia="仿宋_GB2312" w:cs="Times New Roman"/>
      <w:color w:val="000000"/>
      <w:kern w:val="2"/>
      <w:sz w:val="32"/>
      <w:u w:val="none" w:color="000000"/>
    </w:rPr>
  </w:style>
  <w:style w:type="character" w:customStyle="1" w:styleId="65">
    <w:name w:val="正文文本缩进 2 Char"/>
    <w:link w:val="20"/>
    <w:qFormat/>
    <w:uiPriority w:val="0"/>
    <w:rPr>
      <w:rFonts w:ascii="Times New Roman" w:hAnsi="Times New Roman" w:eastAsia="宋体" w:cs="Times New Roman"/>
      <w:kern w:val="2"/>
      <w:sz w:val="21"/>
      <w:szCs w:val="24"/>
    </w:rPr>
  </w:style>
  <w:style w:type="character" w:customStyle="1" w:styleId="66">
    <w:name w:val="批注框文本 Char"/>
    <w:link w:val="21"/>
    <w:qFormat/>
    <w:uiPriority w:val="0"/>
    <w:rPr>
      <w:rFonts w:ascii="Times New Roman" w:hAnsi="Times New Roman" w:eastAsia="宋体" w:cs="Times New Roman"/>
      <w:kern w:val="2"/>
      <w:sz w:val="18"/>
      <w:szCs w:val="18"/>
    </w:rPr>
  </w:style>
  <w:style w:type="character" w:customStyle="1" w:styleId="67">
    <w:name w:val="页脚 Char"/>
    <w:link w:val="22"/>
    <w:qFormat/>
    <w:uiPriority w:val="0"/>
    <w:rPr>
      <w:rFonts w:ascii="Times New Roman" w:hAnsi="Times New Roman" w:eastAsia="宋体" w:cs="Times New Roman"/>
      <w:kern w:val="2"/>
      <w:sz w:val="18"/>
      <w:szCs w:val="18"/>
    </w:rPr>
  </w:style>
  <w:style w:type="character" w:customStyle="1" w:styleId="68">
    <w:name w:val="页眉 Char"/>
    <w:link w:val="24"/>
    <w:qFormat/>
    <w:uiPriority w:val="0"/>
    <w:rPr>
      <w:rFonts w:ascii="Times New Roman" w:hAnsi="Times New Roman" w:eastAsia="宋体" w:cs="Times New Roman"/>
      <w:kern w:val="2"/>
      <w:sz w:val="18"/>
      <w:szCs w:val="18"/>
    </w:rPr>
  </w:style>
  <w:style w:type="character" w:customStyle="1" w:styleId="69">
    <w:name w:val="批注主题 Char"/>
    <w:link w:val="33"/>
    <w:qFormat/>
    <w:uiPriority w:val="0"/>
    <w:rPr>
      <w:rFonts w:ascii="Times New Roman" w:hAnsi="Times New Roman" w:eastAsia="宋体" w:cs="Times New Roman"/>
      <w:b/>
      <w:bCs/>
      <w:kern w:val="2"/>
      <w:sz w:val="21"/>
      <w:szCs w:val="24"/>
    </w:rPr>
  </w:style>
  <w:style w:type="character" w:customStyle="1" w:styleId="70">
    <w:name w:val="图表 Char Char"/>
    <w:link w:val="71"/>
    <w:qFormat/>
    <w:uiPriority w:val="0"/>
    <w:rPr>
      <w:rFonts w:ascii="Times New Roman" w:hAnsi="Times New Roman" w:eastAsia="宋体" w:cs="Times New Roman"/>
      <w:kern w:val="2"/>
      <w:sz w:val="21"/>
      <w:szCs w:val="21"/>
    </w:rPr>
  </w:style>
  <w:style w:type="paragraph" w:customStyle="1" w:styleId="71">
    <w:name w:val="图表"/>
    <w:basedOn w:val="1"/>
    <w:next w:val="1"/>
    <w:link w:val="70"/>
    <w:qFormat/>
    <w:uiPriority w:val="0"/>
    <w:pPr>
      <w:jc w:val="center"/>
    </w:pPr>
    <w:rPr>
      <w:szCs w:val="21"/>
    </w:rPr>
  </w:style>
  <w:style w:type="character" w:customStyle="1" w:styleId="72">
    <w:name w:val="【正文】 Char Char"/>
    <w:link w:val="73"/>
    <w:qFormat/>
    <w:uiPriority w:val="0"/>
    <w:rPr>
      <w:rFonts w:ascii="Times New Roman" w:hAnsi="Times New Roman" w:eastAsia="宋体" w:cs="DokChampa"/>
      <w:kern w:val="2"/>
      <w:sz w:val="24"/>
      <w:szCs w:val="22"/>
    </w:rPr>
  </w:style>
  <w:style w:type="paragraph" w:customStyle="1" w:styleId="73">
    <w:name w:val="【正文】"/>
    <w:basedOn w:val="1"/>
    <w:link w:val="72"/>
    <w:qFormat/>
    <w:uiPriority w:val="0"/>
    <w:pPr>
      <w:spacing w:line="360" w:lineRule="auto"/>
      <w:ind w:firstLine="480" w:firstLineChars="200"/>
    </w:pPr>
    <w:rPr>
      <w:sz w:val="24"/>
      <w:szCs w:val="22"/>
    </w:rPr>
  </w:style>
  <w:style w:type="character" w:customStyle="1" w:styleId="74">
    <w:name w:val="selected"/>
    <w:qFormat/>
    <w:uiPriority w:val="0"/>
    <w:rPr>
      <w:rFonts w:ascii="Times New Roman" w:hAnsi="Times New Roman" w:eastAsia="宋体" w:cs="Times New Roman"/>
      <w:shd w:val="clear" w:color="auto" w:fill="B00006"/>
    </w:rPr>
  </w:style>
  <w:style w:type="character" w:customStyle="1" w:styleId="75">
    <w:name w:val="font21"/>
    <w:basedOn w:val="38"/>
    <w:qFormat/>
    <w:uiPriority w:val="0"/>
    <w:rPr>
      <w:rFonts w:hint="eastAsia" w:ascii="宋体" w:hAnsi="宋体" w:eastAsia="宋体" w:cs="宋体"/>
      <w:color w:val="000000"/>
      <w:sz w:val="18"/>
      <w:szCs w:val="18"/>
      <w:u w:val="none"/>
    </w:rPr>
  </w:style>
  <w:style w:type="character" w:customStyle="1" w:styleId="76">
    <w:name w:val="bds_nopic"/>
    <w:qFormat/>
    <w:uiPriority w:val="0"/>
    <w:rPr>
      <w:rFonts w:ascii="Times New Roman" w:hAnsi="Times New Roman" w:eastAsia="宋体" w:cs="Times New Roman"/>
    </w:rPr>
  </w:style>
  <w:style w:type="character" w:customStyle="1" w:styleId="77">
    <w:name w:val="NormalCharacter"/>
    <w:qFormat/>
    <w:uiPriority w:val="0"/>
    <w:rPr>
      <w:rFonts w:ascii="Times New Roman" w:hAnsi="Times New Roman" w:eastAsia="宋体" w:cs="Times New Roman"/>
      <w:kern w:val="2"/>
      <w:sz w:val="21"/>
      <w:szCs w:val="24"/>
      <w:lang w:val="en-US" w:eastAsia="zh-CN" w:bidi="ar-SA"/>
    </w:rPr>
  </w:style>
  <w:style w:type="character" w:customStyle="1" w:styleId="78">
    <w:name w:val="gpa"/>
    <w:qFormat/>
    <w:uiPriority w:val="0"/>
    <w:rPr>
      <w:rFonts w:ascii="Arial" w:hAnsi="Arial" w:eastAsia="宋体" w:cs="Arial"/>
      <w:sz w:val="15"/>
      <w:szCs w:val="15"/>
    </w:rPr>
  </w:style>
  <w:style w:type="character" w:customStyle="1" w:styleId="79">
    <w:name w:val="正文首行缩进 2 Char1"/>
    <w:qFormat/>
    <w:uiPriority w:val="0"/>
    <w:rPr>
      <w:rFonts w:ascii="Times New Roman" w:hAnsi="Times New Roman" w:eastAsia="宋体" w:cs="Times New Roman"/>
    </w:rPr>
  </w:style>
  <w:style w:type="character" w:customStyle="1" w:styleId="80">
    <w:name w:val="列出段落 Char"/>
    <w:link w:val="81"/>
    <w:qFormat/>
    <w:uiPriority w:val="0"/>
    <w:rPr>
      <w:rFonts w:ascii="Calibri" w:hAnsi="Calibri" w:eastAsia="宋体" w:cs="Times New Roman"/>
      <w:kern w:val="2"/>
      <w:sz w:val="21"/>
      <w:szCs w:val="22"/>
      <w:lang w:val="en-US" w:eastAsia="zh-CN" w:bidi="ar-SA"/>
    </w:rPr>
  </w:style>
  <w:style w:type="paragraph" w:customStyle="1" w:styleId="81">
    <w:name w:val="List Paragraph1"/>
    <w:basedOn w:val="1"/>
    <w:link w:val="80"/>
    <w:qFormat/>
    <w:uiPriority w:val="0"/>
    <w:pPr>
      <w:spacing w:line="312" w:lineRule="auto"/>
      <w:ind w:firstLine="420" w:firstLineChars="200"/>
    </w:pPr>
    <w:rPr>
      <w:rFonts w:ascii="Calibri" w:hAnsi="Calibri"/>
      <w:szCs w:val="22"/>
    </w:rPr>
  </w:style>
  <w:style w:type="character" w:customStyle="1" w:styleId="82">
    <w:name w:val="bds_nopic2"/>
    <w:qFormat/>
    <w:uiPriority w:val="0"/>
    <w:rPr>
      <w:rFonts w:ascii="Times New Roman" w:hAnsi="Times New Roman" w:eastAsia="宋体" w:cs="Times New Roman"/>
    </w:rPr>
  </w:style>
  <w:style w:type="character" w:customStyle="1" w:styleId="83">
    <w:name w:val="font61"/>
    <w:qFormat/>
    <w:uiPriority w:val="0"/>
    <w:rPr>
      <w:rFonts w:hint="default" w:ascii="MS Sans Serif" w:hAnsi="MS Sans Serif" w:eastAsia="MS Sans Serif" w:cs="MS Sans Serif"/>
      <w:color w:val="000000"/>
      <w:sz w:val="18"/>
      <w:szCs w:val="18"/>
      <w:u w:val="none"/>
    </w:rPr>
  </w:style>
  <w:style w:type="character" w:customStyle="1" w:styleId="84">
    <w:name w:val="bds_more1"/>
    <w:qFormat/>
    <w:uiPriority w:val="0"/>
    <w:rPr>
      <w:rFonts w:ascii="Times New Roman" w:hAnsi="Times New Roman" w:eastAsia="宋体" w:cs="Times New Roman"/>
    </w:rPr>
  </w:style>
  <w:style w:type="character" w:customStyle="1" w:styleId="85">
    <w:name w:val="font71"/>
    <w:qFormat/>
    <w:uiPriority w:val="0"/>
    <w:rPr>
      <w:rFonts w:hint="default" w:ascii="MS Sans Serif" w:hAnsi="MS Sans Serif" w:eastAsia="MS Sans Serif" w:cs="MS Sans Serif"/>
      <w:color w:val="000000"/>
      <w:sz w:val="18"/>
      <w:szCs w:val="18"/>
      <w:u w:val="none"/>
    </w:rPr>
  </w:style>
  <w:style w:type="character" w:customStyle="1" w:styleId="86">
    <w:name w:val="first-child"/>
    <w:qFormat/>
    <w:uiPriority w:val="0"/>
    <w:rPr>
      <w:rFonts w:ascii="Times New Roman" w:hAnsi="Times New Roman" w:eastAsia="宋体" w:cs="Times New Roman"/>
    </w:rPr>
  </w:style>
  <w:style w:type="character" w:customStyle="1" w:styleId="87">
    <w:name w:val="bds_nopic1"/>
    <w:qFormat/>
    <w:uiPriority w:val="0"/>
    <w:rPr>
      <w:rFonts w:ascii="Times New Roman" w:hAnsi="Times New Roman" w:eastAsia="宋体" w:cs="Times New Roman"/>
    </w:rPr>
  </w:style>
  <w:style w:type="character" w:customStyle="1" w:styleId="88">
    <w:name w:val="layui-this"/>
    <w:qFormat/>
    <w:uiPriority w:val="0"/>
    <w:rPr>
      <w:rFonts w:ascii="Times New Roman" w:hAnsi="Times New Roman" w:eastAsia="宋体" w:cs="Times New Roman"/>
      <w:bdr w:val="single" w:color="EEEEEE" w:sz="6" w:space="0"/>
      <w:shd w:val="clear" w:color="auto" w:fill="FFFFFF"/>
    </w:rPr>
  </w:style>
  <w:style w:type="character" w:customStyle="1" w:styleId="89">
    <w:name w:val="font81"/>
    <w:qFormat/>
    <w:uiPriority w:val="0"/>
    <w:rPr>
      <w:rFonts w:ascii="Arial Unicode MS" w:hAnsi="Arial Unicode MS" w:eastAsia="Arial Unicode MS" w:cs="Arial Unicode MS"/>
      <w:color w:val="000000"/>
      <w:sz w:val="18"/>
      <w:szCs w:val="18"/>
      <w:u w:val="none"/>
    </w:rPr>
  </w:style>
  <w:style w:type="character" w:customStyle="1" w:styleId="90">
    <w:name w:val="apple-converted-space"/>
    <w:qFormat/>
    <w:uiPriority w:val="0"/>
    <w:rPr>
      <w:rFonts w:ascii="Times New Roman" w:hAnsi="Times New Roman" w:eastAsia="宋体" w:cs="Times New Roman"/>
    </w:rPr>
  </w:style>
  <w:style w:type="character" w:customStyle="1" w:styleId="91">
    <w:name w:val="displayarti"/>
    <w:qFormat/>
    <w:uiPriority w:val="0"/>
    <w:rPr>
      <w:rFonts w:ascii="Times New Roman" w:hAnsi="Times New Roman" w:eastAsia="宋体" w:cs="Times New Roman"/>
      <w:color w:val="FFFFFF"/>
      <w:shd w:val="clear" w:color="auto" w:fill="A00000"/>
    </w:rPr>
  </w:style>
  <w:style w:type="character" w:customStyle="1" w:styleId="92">
    <w:name w:val="font131"/>
    <w:qFormat/>
    <w:uiPriority w:val="0"/>
    <w:rPr>
      <w:rFonts w:hint="eastAsia" w:ascii="宋体" w:hAnsi="宋体" w:eastAsia="宋体" w:cs="宋体"/>
      <w:b/>
      <w:bCs/>
      <w:color w:val="000000"/>
      <w:sz w:val="20"/>
      <w:szCs w:val="20"/>
      <w:u w:val="none"/>
    </w:rPr>
  </w:style>
  <w:style w:type="character" w:customStyle="1" w:styleId="93">
    <w:name w:val="bds_more2"/>
    <w:qFormat/>
    <w:uiPriority w:val="0"/>
    <w:rPr>
      <w:rFonts w:ascii="Times New Roman" w:hAnsi="Times New Roman" w:eastAsia="宋体" w:cs="Times New Roman"/>
    </w:rPr>
  </w:style>
  <w:style w:type="character" w:customStyle="1" w:styleId="94">
    <w:name w:val="bds_more"/>
    <w:qFormat/>
    <w:uiPriority w:val="0"/>
    <w:rPr>
      <w:rFonts w:hint="eastAsia" w:ascii="宋体" w:hAnsi="宋体" w:eastAsia="宋体" w:cs="宋体"/>
    </w:rPr>
  </w:style>
  <w:style w:type="paragraph" w:customStyle="1" w:styleId="95">
    <w:name w:val=" Char Char Char Char"/>
    <w:basedOn w:val="1"/>
    <w:qFormat/>
    <w:uiPriority w:val="0"/>
    <w:rPr>
      <w:rFonts w:ascii="Tahoma" w:hAnsi="Tahoma" w:eastAsia="宋体" w:cs="Times New Roman"/>
      <w:sz w:val="24"/>
      <w:szCs w:val="20"/>
    </w:rPr>
  </w:style>
  <w:style w:type="paragraph" w:customStyle="1" w:styleId="96">
    <w:name w:val="标题4"/>
    <w:basedOn w:val="1"/>
    <w:qFormat/>
    <w:uiPriority w:val="0"/>
    <w:pPr>
      <w:numPr>
        <w:ilvl w:val="0"/>
        <w:numId w:val="5"/>
      </w:numPr>
      <w:spacing w:line="360" w:lineRule="auto"/>
      <w:ind w:left="720" w:leftChars="300"/>
      <w:jc w:val="left"/>
    </w:pPr>
    <w:rPr>
      <w:rFonts w:ascii="宋体" w:hAnsi="宋体" w:eastAsia="宋体" w:cs="Times New Roman"/>
      <w:sz w:val="18"/>
      <w:szCs w:val="18"/>
    </w:rPr>
  </w:style>
  <w:style w:type="paragraph" w:customStyle="1" w:styleId="97">
    <w:name w:val="Table Paragraph"/>
    <w:basedOn w:val="1"/>
    <w:qFormat/>
    <w:uiPriority w:val="0"/>
    <w:rPr>
      <w:rFonts w:ascii="宋体" w:hAnsi="宋体" w:eastAsia="宋体" w:cs="宋体"/>
      <w:lang w:val="zh-CN" w:eastAsia="zh-CN" w:bidi="zh-CN"/>
    </w:rPr>
  </w:style>
  <w:style w:type="paragraph" w:customStyle="1" w:styleId="98">
    <w:name w:val="p0"/>
    <w:basedOn w:val="1"/>
    <w:qFormat/>
    <w:uiPriority w:val="0"/>
    <w:pPr>
      <w:widowControl/>
      <w:spacing w:line="365" w:lineRule="atLeast"/>
      <w:ind w:left="1"/>
      <w:textAlignment w:val="bottom"/>
    </w:pPr>
    <w:rPr>
      <w:rFonts w:ascii="Calibri" w:hAnsi="Calibri" w:eastAsia="宋体" w:cs="Times New Roman"/>
      <w:kern w:val="0"/>
      <w:sz w:val="20"/>
      <w:szCs w:val="22"/>
    </w:rPr>
  </w:style>
  <w:style w:type="paragraph" w:customStyle="1" w:styleId="99">
    <w:name w:val="正文 New"/>
    <w:next w:val="100"/>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paragraph" w:customStyle="1" w:styleId="100">
    <w:name w:val="正文缩进1"/>
    <w:basedOn w:val="1"/>
    <w:next w:val="12"/>
    <w:qFormat/>
    <w:uiPriority w:val="0"/>
    <w:pPr>
      <w:widowControl w:val="0"/>
      <w:autoSpaceDE/>
      <w:autoSpaceDN/>
      <w:spacing w:before="0" w:beforeLines="0" w:after="0" w:afterLines="0" w:line="360" w:lineRule="atLeast"/>
      <w:ind w:left="0" w:firstLine="482"/>
      <w:jc w:val="both"/>
    </w:pPr>
    <w:rPr>
      <w:rFonts w:ascii="Times New Roman" w:hAnsi="Times New Roman" w:eastAsia="宋体" w:cs="Times New Roman"/>
      <w:sz w:val="24"/>
    </w:rPr>
  </w:style>
  <w:style w:type="paragraph" w:customStyle="1" w:styleId="101">
    <w:name w:val="Char Char Char Char Char Char Char1 Char"/>
    <w:basedOn w:val="1"/>
    <w:qFormat/>
    <w:uiPriority w:val="0"/>
    <w:rPr>
      <w:rFonts w:ascii="Tahoma" w:hAnsi="Tahoma" w:eastAsia="宋体" w:cs="Times New Roman"/>
      <w:sz w:val="24"/>
      <w:szCs w:val="20"/>
    </w:rPr>
  </w:style>
  <w:style w:type="paragraph" w:customStyle="1" w:styleId="102">
    <w:name w:val=" Char"/>
    <w:basedOn w:val="1"/>
    <w:qFormat/>
    <w:uiPriority w:val="0"/>
    <w:rPr>
      <w:rFonts w:ascii="Times New Roman" w:hAnsi="Times New Roman" w:eastAsia="宋体" w:cs="Times New Roman"/>
    </w:rPr>
  </w:style>
  <w:style w:type="paragraph" w:customStyle="1" w:styleId="103">
    <w:name w:val="（无样式）"/>
    <w:basedOn w:val="1"/>
    <w:qFormat/>
    <w:uiPriority w:val="0"/>
    <w:pPr>
      <w:widowControl/>
      <w:numPr>
        <w:ilvl w:val="0"/>
        <w:numId w:val="6"/>
      </w:numPr>
      <w:spacing w:line="360" w:lineRule="auto"/>
      <w:ind w:firstLine="0"/>
    </w:pPr>
    <w:rPr>
      <w:rFonts w:ascii="Times New Roman" w:hAnsi="Times New Roman" w:eastAsia="宋体" w:cs="Times New Roman"/>
      <w:sz w:val="24"/>
      <w:szCs w:val="20"/>
    </w:rPr>
  </w:style>
  <w:style w:type="paragraph" w:customStyle="1" w:styleId="104">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val="en-US" w:eastAsia="zh-CN" w:bidi="ar-SA"/>
    </w:rPr>
  </w:style>
  <w:style w:type="paragraph" w:customStyle="1" w:styleId="105">
    <w:name w:val="节标题"/>
    <w:basedOn w:val="1"/>
    <w:next w:val="1"/>
    <w:qFormat/>
    <w:uiPriority w:val="0"/>
    <w:pPr>
      <w:widowControl/>
      <w:spacing w:line="289" w:lineRule="atLeast"/>
      <w:jc w:val="center"/>
      <w:textAlignment w:val="baseline"/>
    </w:pPr>
    <w:rPr>
      <w:rFonts w:ascii="Times New Roman" w:hAnsi="Times New Roman" w:eastAsia="宋体" w:cs="Times New Roman"/>
      <w:color w:val="000000"/>
      <w:kern w:val="0"/>
      <w:sz w:val="28"/>
      <w:szCs w:val="20"/>
      <w:u w:val="none" w:color="000000"/>
    </w:rPr>
  </w:style>
  <w:style w:type="paragraph" w:customStyle="1" w:styleId="106">
    <w:name w:val="_Style 102"/>
    <w:qFormat/>
    <w:uiPriority w:val="0"/>
    <w:rPr>
      <w:rFonts w:ascii="Times New Roman" w:hAnsi="Times New Roman" w:eastAsia="宋体" w:cs="Times New Roman"/>
      <w:kern w:val="2"/>
      <w:sz w:val="21"/>
      <w:szCs w:val="24"/>
      <w:lang w:val="en-US" w:eastAsia="zh-CN" w:bidi="ar-SA"/>
    </w:rPr>
  </w:style>
  <w:style w:type="paragraph" w:customStyle="1" w:styleId="107">
    <w:name w:val="Char"/>
    <w:basedOn w:val="1"/>
    <w:next w:val="1"/>
    <w:qFormat/>
    <w:uiPriority w:val="0"/>
    <w:pPr>
      <w:widowControl/>
      <w:spacing w:line="360" w:lineRule="auto"/>
      <w:jc w:val="left"/>
    </w:pPr>
    <w:rPr>
      <w:rFonts w:ascii="Times New Roman" w:hAnsi="Times New Roman" w:eastAsia="宋体" w:cs="Times New Roman"/>
      <w:kern w:val="0"/>
      <w:szCs w:val="20"/>
      <w:lang w:eastAsia="en-US"/>
    </w:rPr>
  </w:style>
  <w:style w:type="paragraph" w:customStyle="1" w:styleId="108">
    <w:name w:val="_Style 2"/>
    <w:basedOn w:val="1"/>
    <w:qFormat/>
    <w:uiPriority w:val="0"/>
    <w:rPr>
      <w:rFonts w:ascii="Times New Roman" w:hAnsi="Times New Roman" w:eastAsia="宋体" w:cs="Times New Roman"/>
    </w:rPr>
  </w:style>
  <w:style w:type="paragraph" w:customStyle="1" w:styleId="109">
    <w:name w:val="列出段落2"/>
    <w:basedOn w:val="1"/>
    <w:qFormat/>
    <w:uiPriority w:val="0"/>
    <w:pPr>
      <w:ind w:firstLine="420" w:firstLineChars="200"/>
    </w:pPr>
    <w:rPr>
      <w:rFonts w:ascii="Calibri" w:hAnsi="Calibri" w:eastAsia="宋体" w:cs="Times New Roman"/>
      <w:szCs w:val="22"/>
    </w:rPr>
  </w:style>
  <w:style w:type="paragraph" w:customStyle="1" w:styleId="110">
    <w:name w:val="*正文"/>
    <w:basedOn w:val="1"/>
    <w:qFormat/>
    <w:uiPriority w:val="0"/>
    <w:pPr>
      <w:widowControl/>
      <w:snapToGrid w:val="0"/>
      <w:ind w:firstLine="560"/>
      <w:jc w:val="left"/>
    </w:pPr>
    <w:rPr>
      <w:rFonts w:ascii="仿宋_GB2312" w:hAnsi="Times New Roman" w:eastAsia="宋体" w:cs="Times New Roman"/>
      <w:color w:val="191919"/>
      <w:sz w:val="28"/>
      <w:szCs w:val="28"/>
    </w:rPr>
  </w:style>
  <w:style w:type="paragraph" w:customStyle="1" w:styleId="111">
    <w:name w:val="列出段落1"/>
    <w:basedOn w:val="1"/>
    <w:qFormat/>
    <w:uiPriority w:val="0"/>
    <w:pPr>
      <w:ind w:firstLine="420" w:firstLineChars="200"/>
    </w:pPr>
    <w:rPr>
      <w:rFonts w:ascii="Times New Roman" w:hAnsi="Times New Roman" w:eastAsia="宋体" w:cs="Times New Roman"/>
    </w:rPr>
  </w:style>
  <w:style w:type="paragraph" w:customStyle="1" w:styleId="112">
    <w:name w:val="HtmlNormal"/>
    <w:basedOn w:val="1"/>
    <w:qFormat/>
    <w:uiPriority w:val="0"/>
    <w:pPr>
      <w:widowControl/>
      <w:spacing w:before="100" w:beforeLines="0" w:beforeAutospacing="1" w:after="100" w:afterLines="0" w:afterAutospacing="1"/>
      <w:jc w:val="left"/>
    </w:pPr>
    <w:rPr>
      <w:rFonts w:ascii="宋体" w:hAnsi="宋体" w:eastAsia="宋体" w:cs="Times New Roman"/>
      <w:kern w:val="0"/>
      <w:sz w:val="24"/>
    </w:rPr>
  </w:style>
  <w:style w:type="paragraph" w:styleId="113">
    <w:name w:val="List Paragraph"/>
    <w:basedOn w:val="1"/>
    <w:qFormat/>
    <w:uiPriority w:val="0"/>
    <w:pPr>
      <w:spacing w:line="360" w:lineRule="auto"/>
      <w:ind w:firstLine="420" w:firstLineChars="200"/>
    </w:pPr>
    <w:rPr>
      <w:rFonts w:ascii="宋体" w:hAnsi="宋体" w:eastAsia="宋体" w:cs="宋体"/>
      <w:sz w:val="24"/>
    </w:rPr>
  </w:style>
  <w:style w:type="paragraph" w:customStyle="1" w:styleId="114">
    <w:name w:val="列出段落11"/>
    <w:basedOn w:val="1"/>
    <w:qFormat/>
    <w:uiPriority w:val="0"/>
    <w:pPr>
      <w:spacing w:after="120" w:afterLines="0" w:line="360" w:lineRule="auto"/>
      <w:ind w:firstLine="420" w:firstLineChars="200"/>
    </w:pPr>
    <w:rPr>
      <w:rFonts w:ascii="Calibri" w:hAnsi="Calibri" w:eastAsia="宋体" w:cs="Times New Roman"/>
      <w:szCs w:val="22"/>
    </w:rPr>
  </w:style>
  <w:style w:type="paragraph" w:customStyle="1" w:styleId="115">
    <w:name w:val="_Style 4"/>
    <w:basedOn w:val="1"/>
    <w:qFormat/>
    <w:uiPriority w:val="0"/>
    <w:pPr>
      <w:adjustRightInd w:val="0"/>
      <w:ind w:firstLine="420" w:firstLineChars="200"/>
      <w:jc w:val="left"/>
      <w:textAlignment w:val="baseline"/>
    </w:pPr>
    <w:rPr>
      <w:rFonts w:ascii="Times New Roman" w:hAnsi="Times New Roman" w:eastAsia="宋体" w:cs="Times New Roman"/>
      <w:kern w:val="0"/>
      <w:szCs w:val="20"/>
    </w:rPr>
  </w:style>
  <w:style w:type="paragraph" w:customStyle="1" w:styleId="116">
    <w:name w:val="List Paragraph2"/>
    <w:basedOn w:val="1"/>
    <w:qFormat/>
    <w:uiPriority w:val="0"/>
    <w:pPr>
      <w:spacing w:line="360" w:lineRule="auto"/>
      <w:ind w:firstLine="420"/>
    </w:pPr>
    <w:rPr>
      <w:rFonts w:ascii="Times New Roman" w:hAnsi="Times New Roman" w:eastAsia="宋体" w:cs="Times New Roman"/>
      <w:color w:val="000000"/>
      <w:sz w:val="24"/>
      <w:szCs w:val="21"/>
    </w:rPr>
  </w:style>
  <w:style w:type="paragraph" w:customStyle="1" w:styleId="117">
    <w:name w:val="样式1"/>
    <w:basedOn w:val="1"/>
    <w:qFormat/>
    <w:uiPriority w:val="0"/>
    <w:pPr>
      <w:spacing w:line="360" w:lineRule="auto"/>
      <w:jc w:val="center"/>
    </w:pPr>
    <w:rPr>
      <w:rFonts w:ascii="Times New Roman" w:hAnsi="Times New Roman" w:eastAsia="宋体" w:cs="Times New Roman"/>
      <w:b/>
      <w:sz w:val="30"/>
      <w:szCs w:val="30"/>
    </w:rPr>
  </w:style>
  <w:style w:type="paragraph" w:customStyle="1" w:styleId="118">
    <w:name w:val="列表2"/>
    <w:basedOn w:val="1"/>
    <w:next w:val="1"/>
    <w:qFormat/>
    <w:uiPriority w:val="0"/>
    <w:pPr>
      <w:numPr>
        <w:ilvl w:val="0"/>
        <w:numId w:val="7"/>
      </w:numPr>
      <w:spacing w:line="200" w:lineRule="atLeast"/>
    </w:pPr>
    <w:rPr>
      <w:rFonts w:ascii="Times New Roman" w:hAnsi="Times New Roman" w:eastAsia="仿宋" w:cs="Times New Roman"/>
      <w:sz w:val="28"/>
    </w:rPr>
  </w:style>
  <w:style w:type="paragraph" w:customStyle="1" w:styleId="119">
    <w:name w:val="标题3-副本"/>
    <w:basedOn w:val="26"/>
    <w:qFormat/>
    <w:uiPriority w:val="0"/>
    <w:pPr>
      <w:numPr>
        <w:ilvl w:val="0"/>
        <w:numId w:val="0"/>
      </w:numPr>
      <w:ind w:left="840"/>
    </w:pPr>
    <w:rPr>
      <w:rFonts w:ascii="Times New Roman" w:hAnsi="Times New Roman" w:eastAsia="宋体" w:cs="Times New Roman"/>
    </w:rPr>
  </w:style>
  <w:style w:type="paragraph" w:customStyle="1" w:styleId="120">
    <w:name w:val="_Style 117"/>
    <w:basedOn w:val="1"/>
    <w:next w:val="1"/>
    <w:qFormat/>
    <w:uiPriority w:val="0"/>
    <w:pPr>
      <w:pBdr>
        <w:bottom w:val="single" w:color="auto" w:sz="6" w:space="1"/>
      </w:pBdr>
      <w:jc w:val="center"/>
    </w:pPr>
    <w:rPr>
      <w:rFonts w:ascii="Arial" w:eastAsia="宋体"/>
      <w:vanish/>
      <w:sz w:val="16"/>
    </w:rPr>
  </w:style>
  <w:style w:type="paragraph" w:customStyle="1" w:styleId="121">
    <w:name w:val="_Style 118"/>
    <w:basedOn w:val="1"/>
    <w:next w:val="1"/>
    <w:qFormat/>
    <w:uiPriority w:val="0"/>
    <w:pPr>
      <w:pBdr>
        <w:top w:val="single" w:color="auto" w:sz="6" w:space="1"/>
      </w:pBdr>
      <w:jc w:val="center"/>
    </w:pPr>
    <w:rPr>
      <w:rFonts w:ascii="Arial" w:eastAsia="宋体"/>
      <w:vanish/>
      <w:sz w:val="16"/>
    </w:rPr>
  </w:style>
  <w:style w:type="paragraph" w:customStyle="1" w:styleId="122">
    <w:name w:val="无间隔1"/>
    <w:basedOn w:val="1"/>
    <w:qFormat/>
    <w:uiPriority w:val="0"/>
    <w:pPr>
      <w:widowControl/>
      <w:adjustRightInd w:val="0"/>
      <w:snapToGrid w:val="0"/>
      <w:jc w:val="left"/>
    </w:pPr>
    <w:rPr>
      <w:rFonts w:ascii="Tahoma" w:hAnsi="Tahoma" w:eastAsia="微软雅黑" w:cs="Times New Roman"/>
      <w:kern w:val="0"/>
      <w:sz w:val="24"/>
      <w:szCs w:val="22"/>
    </w:rPr>
  </w:style>
  <w:style w:type="paragraph" w:customStyle="1" w:styleId="123">
    <w:name w:val="text-tag1"/>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124">
    <w:name w:val="font11"/>
    <w:qFormat/>
    <w:uiPriority w:val="0"/>
    <w:rPr>
      <w:rFonts w:hint="eastAsia" w:ascii="宋体" w:hAnsi="宋体" w:eastAsia="宋体" w:cs="宋体"/>
      <w:color w:val="000000"/>
      <w:sz w:val="16"/>
      <w:szCs w:val="16"/>
      <w:u w:val="none"/>
    </w:rPr>
  </w:style>
  <w:style w:type="character" w:customStyle="1" w:styleId="125">
    <w:name w:val="font31"/>
    <w:basedOn w:val="38"/>
    <w:qFormat/>
    <w:uiPriority w:val="0"/>
    <w:rPr>
      <w:rFonts w:ascii="宋体" w:hAnsi="宋体" w:eastAsia="宋体" w:cs="宋体"/>
      <w:color w:val="000000"/>
      <w:sz w:val="16"/>
      <w:szCs w:val="16"/>
      <w:u w:val="none"/>
    </w:rPr>
  </w:style>
  <w:style w:type="character" w:customStyle="1" w:styleId="126">
    <w:name w:val="font41"/>
    <w:basedOn w:val="38"/>
    <w:qFormat/>
    <w:uiPriority w:val="0"/>
    <w:rPr>
      <w:rFonts w:hint="eastAsia" w:ascii="宋体" w:hAnsi="宋体" w:eastAsia="宋体" w:cs="宋体"/>
      <w:color w:val="000000"/>
      <w:sz w:val="21"/>
      <w:szCs w:val="21"/>
      <w:u w:val="none"/>
    </w:rPr>
  </w:style>
  <w:style w:type="character" w:customStyle="1" w:styleId="127">
    <w:name w:val="hover"/>
    <w:basedOn w:val="38"/>
    <w:qFormat/>
    <w:uiPriority w:val="0"/>
  </w:style>
  <w:style w:type="character" w:customStyle="1" w:styleId="128">
    <w:name w:val="hover1"/>
    <w:basedOn w:val="38"/>
    <w:qFormat/>
    <w:uiPriority w:val="0"/>
    <w:rPr>
      <w:color w:val="2590EB"/>
    </w:rPr>
  </w:style>
  <w:style w:type="character" w:customStyle="1" w:styleId="129">
    <w:name w:val="hover2"/>
    <w:basedOn w:val="38"/>
    <w:qFormat/>
    <w:uiPriority w:val="0"/>
    <w:rPr>
      <w:color w:val="2590EB"/>
    </w:rPr>
  </w:style>
  <w:style w:type="character" w:customStyle="1" w:styleId="130">
    <w:name w:val="hover3"/>
    <w:basedOn w:val="38"/>
    <w:qFormat/>
    <w:uiPriority w:val="0"/>
    <w:rPr>
      <w:color w:val="2590EB"/>
      <w:shd w:val="clear" w:fill="E9F4FD"/>
    </w:rPr>
  </w:style>
  <w:style w:type="table" w:customStyle="1" w:styleId="131">
    <w:name w:val="Table Normal"/>
    <w:semiHidden/>
    <w:unhideWhenUsed/>
    <w:qFormat/>
    <w:uiPriority w:val="0"/>
    <w:tblPr>
      <w:tblCellMar>
        <w:top w:w="0" w:type="dxa"/>
        <w:left w:w="0" w:type="dxa"/>
        <w:bottom w:w="0" w:type="dxa"/>
        <w:right w:w="0" w:type="dxa"/>
      </w:tblCellMar>
    </w:tblPr>
  </w:style>
  <w:style w:type="paragraph" w:customStyle="1" w:styleId="132">
    <w:name w:val="Table Text"/>
    <w:basedOn w:val="1"/>
    <w:semiHidden/>
    <w:qFormat/>
    <w:uiPriority w:val="0"/>
    <w:rPr>
      <w:rFonts w:ascii="宋体" w:hAnsi="宋体" w:eastAsia="宋体" w:cs="宋体"/>
      <w:sz w:val="20"/>
      <w:szCs w:val="20"/>
      <w:lang w:val="en-US" w:eastAsia="en-US" w:bidi="ar-SA"/>
    </w:rPr>
  </w:style>
  <w:style w:type="character" w:customStyle="1" w:styleId="133">
    <w:name w:val="hover4"/>
    <w:basedOn w:val="38"/>
    <w:qFormat/>
    <w:uiPriority w:val="0"/>
    <w:rPr>
      <w:color w:val="2590EB"/>
      <w:shd w:val="clear" w:fill="E9F4FD"/>
    </w:rPr>
  </w:style>
  <w:style w:type="character" w:customStyle="1" w:styleId="134">
    <w:name w:val="mini-outputtext1"/>
    <w:basedOn w:val="38"/>
    <w:qFormat/>
    <w:uiPriority w:val="0"/>
  </w:style>
  <w:style w:type="character" w:customStyle="1" w:styleId="135">
    <w:name w:val="active"/>
    <w:basedOn w:val="38"/>
    <w:qFormat/>
    <w:uiPriority w:val="0"/>
    <w:rPr>
      <w:color w:val="015293"/>
      <w:bdr w:val="single" w:color="015293" w:sz="6" w:space="0"/>
    </w:rPr>
  </w:style>
  <w:style w:type="character" w:customStyle="1" w:styleId="136">
    <w:name w:val="span2"/>
    <w:basedOn w:val="38"/>
    <w:qFormat/>
    <w:uiPriority w:val="0"/>
    <w:rPr>
      <w:color w:val="FFFFFF"/>
      <w:shd w:val="clear" w:fill="004798"/>
    </w:rPr>
  </w:style>
  <w:style w:type="character" w:customStyle="1" w:styleId="137">
    <w:name w:val="last-child"/>
    <w:basedOn w:val="38"/>
    <w:qFormat/>
    <w:uiPriority w:val="0"/>
  </w:style>
  <w:style w:type="character" w:customStyle="1" w:styleId="138">
    <w:name w:val="last-child1"/>
    <w:basedOn w:val="38"/>
    <w:qFormat/>
    <w:uiPriority w:val="0"/>
  </w:style>
  <w:style w:type="character" w:customStyle="1" w:styleId="139">
    <w:name w:val="hover8"/>
    <w:basedOn w:val="38"/>
    <w:qFormat/>
    <w:uiPriority w:val="0"/>
    <w:rPr>
      <w:color w:val="333333"/>
    </w:rPr>
  </w:style>
  <w:style w:type="character" w:customStyle="1" w:styleId="140">
    <w:name w:val="hover9"/>
    <w:basedOn w:val="38"/>
    <w:qFormat/>
    <w:uiPriority w:val="0"/>
    <w:rPr>
      <w:bdr w:val="single" w:color="F2F2F2" w:sz="6" w:space="0"/>
      <w:shd w:val="clear" w:fill="F2F2F2"/>
    </w:rPr>
  </w:style>
  <w:style w:type="character" w:customStyle="1" w:styleId="141">
    <w:name w:val="hover10"/>
    <w:basedOn w:val="38"/>
    <w:qFormat/>
    <w:uiPriority w:val="0"/>
    <w:rPr>
      <w:color w:val="FFFFFF"/>
      <w:bdr w:val="single" w:color="00A680" w:sz="6" w:space="0"/>
      <w:shd w:val="clear" w:fill="00A680"/>
    </w:rPr>
  </w:style>
  <w:style w:type="character" w:customStyle="1" w:styleId="142">
    <w:name w:val="hover11"/>
    <w:basedOn w:val="38"/>
    <w:qFormat/>
    <w:uiPriority w:val="0"/>
    <w:rPr>
      <w:color w:val="BBBBBB"/>
      <w:bdr w:val="single" w:color="FFFFFF" w:sz="6" w:space="0"/>
      <w:shd w:val="clear" w:fill="FFFFFF"/>
    </w:rPr>
  </w:style>
  <w:style w:type="character" w:customStyle="1" w:styleId="143">
    <w:name w:val="hover12"/>
    <w:basedOn w:val="38"/>
    <w:qFormat/>
    <w:uiPriority w:val="0"/>
    <w:rPr>
      <w:bdr w:val="single" w:color="D0F0E3" w:sz="6" w:space="0"/>
      <w:shd w:val="clear" w:fill="D0F0E3"/>
    </w:rPr>
  </w:style>
  <w:style w:type="character" w:customStyle="1" w:styleId="144">
    <w:name w:val="hover13"/>
    <w:basedOn w:val="38"/>
    <w:qFormat/>
    <w:uiPriority w:val="0"/>
    <w:rPr>
      <w:bdr w:val="single" w:color="F2F2F2" w:sz="6" w:space="0"/>
      <w:shd w:val="clear" w:fill="F2F2F2"/>
    </w:rPr>
  </w:style>
  <w:style w:type="character" w:customStyle="1" w:styleId="145">
    <w:name w:val="hover14"/>
    <w:basedOn w:val="38"/>
    <w:qFormat/>
    <w:uiPriority w:val="0"/>
    <w:rPr>
      <w:color w:val="FFFFFF"/>
      <w:bdr w:val="single" w:color="00A680" w:sz="6" w:space="0"/>
      <w:shd w:val="clear" w:fill="00A680"/>
    </w:rPr>
  </w:style>
  <w:style w:type="character" w:customStyle="1" w:styleId="146">
    <w:name w:val="hover15"/>
    <w:basedOn w:val="38"/>
    <w:qFormat/>
    <w:uiPriority w:val="0"/>
    <w:rPr>
      <w:color w:val="BBBBBB"/>
      <w:bdr w:val="single" w:color="FFFFFF" w:sz="6" w:space="0"/>
      <w:shd w:val="clear" w:fill="FFFFFF"/>
    </w:rPr>
  </w:style>
  <w:style w:type="character" w:customStyle="1" w:styleId="147">
    <w:name w:val="hover16"/>
    <w:basedOn w:val="38"/>
    <w:qFormat/>
    <w:uiPriority w:val="0"/>
    <w:rPr>
      <w:bdr w:val="single" w:color="D0F0E3" w:sz="6" w:space="0"/>
      <w:shd w:val="clear" w:fill="D0F0E3"/>
    </w:rPr>
  </w:style>
  <w:style w:type="character" w:customStyle="1" w:styleId="148">
    <w:name w:val="span1"/>
    <w:basedOn w:val="38"/>
    <w:qFormat/>
    <w:uiPriority w:val="0"/>
    <w:rPr>
      <w:color w:val="666666"/>
      <w:shd w:val="clear" w:fill="EDEDED"/>
    </w:rPr>
  </w:style>
  <w:style w:type="character" w:customStyle="1" w:styleId="149">
    <w:name w:val="first-child1"/>
    <w:basedOn w:val="38"/>
    <w:qFormat/>
    <w:uiPriority w:val="0"/>
  </w:style>
  <w:style w:type="character" w:customStyle="1" w:styleId="150">
    <w:name w:val="span3"/>
    <w:basedOn w:val="38"/>
    <w:qFormat/>
    <w:uiPriority w:val="0"/>
    <w:rPr>
      <w:color w:val="004798"/>
    </w:rPr>
  </w:style>
  <w:style w:type="character" w:customStyle="1" w:styleId="151">
    <w:name w:val="span4"/>
    <w:basedOn w:val="38"/>
    <w:qFormat/>
    <w:uiPriority w:val="0"/>
    <w:rPr>
      <w:color w:val="DD3232"/>
      <w:shd w:val="clear" w:fill="FEB5B5"/>
    </w:rPr>
  </w:style>
  <w:style w:type="paragraph" w:customStyle="1" w:styleId="152">
    <w:name w:val="范本-表格-宋体-五号-两端对齐"/>
    <w:basedOn w:val="1"/>
    <w:qFormat/>
    <w:uiPriority w:val="0"/>
    <w:pPr>
      <w:adjustRightInd w:val="0"/>
      <w:spacing w:line="400" w:lineRule="exact"/>
    </w:pPr>
    <w:rPr>
      <w:rFonts w:ascii="Calibri" w:hAnsi="Calibri" w:eastAsia="宋体" w:cs="Times New Roman"/>
      <w:szCs w:val="21"/>
    </w:rPr>
  </w:style>
  <w:style w:type="character" w:customStyle="1" w:styleId="153">
    <w:name w:val="timeaxis"/>
    <w:basedOn w:val="38"/>
    <w:qFormat/>
    <w:uiPriority w:val="0"/>
  </w:style>
  <w:style w:type="character" w:customStyle="1" w:styleId="154">
    <w:name w:val="layui-layer-tabnow"/>
    <w:basedOn w:val="38"/>
    <w:qFormat/>
    <w:uiPriority w:val="0"/>
    <w:rPr>
      <w:bdr w:val="single" w:color="CCCCCC" w:sz="6" w:space="0"/>
      <w:shd w:val="clear" w:fill="FFFFFF"/>
    </w:rPr>
  </w:style>
  <w:style w:type="character" w:customStyle="1" w:styleId="155">
    <w:name w:val="time"/>
    <w:basedOn w:val="38"/>
    <w:qFormat/>
    <w:uiPriority w:val="0"/>
  </w:style>
  <w:style w:type="character" w:customStyle="1" w:styleId="156">
    <w:name w:val="status"/>
    <w:basedOn w:val="38"/>
    <w:qFormat/>
    <w:uiPriority w:val="0"/>
    <w:rPr>
      <w:color w:val="0776DD"/>
    </w:rPr>
  </w:style>
  <w:style w:type="character" w:customStyle="1" w:styleId="157">
    <w:name w:val="room"/>
    <w:basedOn w:val="38"/>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f65ef4b6-33b2-4e27-b0f2-ce8f2f374dc6</errorID>
      <errorWord>。；</errorWord>
      <group>L1_Punc</group>
      <groupName>标点问题</groupName>
      <ability>L2_Punc_CN</ability>
      <abilityName>标点符号问题</abilityName>
      <candidateList>
        <item>。</item>
      </candidateList>
      <explain/>
      <paraID>200F0E70</paraID>
      <start>88</start>
      <end>89</end>
      <status>modified</status>
      <modifiedWord>。</modifiedWord>
      <trackRevisions>false</trackRevisions>
    </reviewItem>
    <reviewItem>
      <errorID>417eeb08-37ff-4ad7-8dc1-4d5d4bcf1f34</errorID>
      <errorWord>（</errorWord>
      <group>L1_Format</group>
      <groupName>格式问题</groupName>
      <ability>L2_HalfPunc_CN</ability>
      <abilityName>全半角问题</abilityName>
      <candidateList>
        <item>(</item>
      </candidateList>
      <explain>文本全半角错误。</explain>
      <paraID> D74A0D7</paraID>
      <start>0</start>
      <end>1</end>
      <status>unmodified</status>
      <modifiedWord/>
      <trackRevisions>false</trackRevisions>
    </reviewItem>
    <reviewItem>
      <errorID>b66020fc-39f4-4e59-a152-3a127a00dae9</errorID>
      <errorWord>,</errorWord>
      <group>L1_Format</group>
      <groupName>格式问题</groupName>
      <ability>L2_HalfPunc_CN</ability>
      <abilityName>全半角问题</abilityName>
      <candidateList>
        <item>，</item>
      </candidateList>
      <explain>文本全半角错误。</explain>
      <paraID>26F60FA8</paraID>
      <start>3</start>
      <end>4</end>
      <status>unmodified</status>
      <modifiedWord/>
      <trackRevisions>false</trackRevisions>
    </reviewItem>
    <reviewItem>
      <errorID>e014b409-e4a2-445e-abfd-bb52454002eb</errorID>
      <errorWord>一次性支付给</errorWord>
      <group>L1_Word</group>
      <groupName>字词问题</groupName>
      <ability>L2_Typo</ability>
      <abilityName>字词错误</abilityName>
      <candidateList>
        <item>一次性支付</item>
      </candidateList>
      <explain/>
      <paraID>34FD9A70</paraID>
      <start>28</start>
      <end>34</end>
      <status>unmodified</status>
      <modifiedWord/>
      <trackRevisions>false</trackRevisions>
    </reviewItem>
    <reviewItem>
      <errorID>e36c2ea5-652a-4984-9665-1f35e628400e</errorID>
      <errorWord>:</errorWord>
      <group>L1_Format</group>
      <groupName>格式问题</groupName>
      <ability>L2_HalfPunc_CN</ability>
      <abilityName>全半角问题</abilityName>
      <candidateList>
        <item>：</item>
      </candidateList>
      <explain>文本全半角错误。</explain>
      <paraID>3E1120C7</paraID>
      <start>10</start>
      <end>11</end>
      <status>unmodified</status>
      <modifiedWord/>
      <trackRevisions>false</trackRevisions>
    </reviewItem>
    <reviewItem>
      <errorID>5f11da68-3ad8-430b-8cde-364cb969c3fd</errorID>
      <errorWord>:</errorWord>
      <group>L1_Format</group>
      <groupName>格式问题</groupName>
      <ability>L2_HalfPunc_CN</ability>
      <abilityName>全半角问题</abilityName>
      <candidateList>
        <item>：</item>
      </candidateList>
      <explain>文本全半角错误。</explain>
      <paraID>18BCC25F</paraID>
      <start>12</start>
      <end>13</end>
      <status>unmodified</status>
      <modifiedWord/>
      <trackRevisions>false</trackRevisions>
    </reviewItem>
    <reviewItem>
      <errorID>baf500a8-4a32-4e57-be2d-8b518b99e0e1</errorID>
      <errorWord>(</errorWord>
      <group>L1_Format</group>
      <groupName>格式问题</groupName>
      <ability>L2_HalfPunc_CN</ability>
      <abilityName>全半角问题</abilityName>
      <candidateList>
        <item>（</item>
      </candidateList>
      <explain>文本全半角错误。</explain>
      <paraID> 22B3409</paraID>
      <start>8</start>
      <end>9</end>
      <status>unmodified</status>
      <modifiedWord/>
      <trackRevisions>false</trackRevisions>
    </reviewItem>
    <reviewItem>
      <errorID>e7f740ae-b14a-4f1f-aeaf-7b9f59cb4e72</errorID>
      <errorWord>必须严格按</errorWord>
      <group>L1_Word</group>
      <groupName>字词问题</groupName>
      <ability>L2_Typo</ability>
      <abilityName>字词错误</abilityName>
      <candidateList>
        <item>必须严格按照</item>
      </candidateList>
      <explain/>
      <paraID>3BB0FD92</paraID>
      <start>42</start>
      <end>47</end>
      <status>unmodified</status>
      <modifiedWord/>
      <trackRevisions>false</trackRevisions>
    </reviewItem>
    <reviewItem>
      <errorID>d317c6d5-5a21-466c-80b7-9131689a0792</errorID>
      <errorWord>法律、法规</errorWord>
      <group>L1_Word</group>
      <groupName>字词问题</groupName>
      <ability>L2_Typo</ability>
      <abilityName>字词错误</abilityName>
      <candidateList>
        <item>法律法规</item>
      </candidateList>
      <explain/>
      <paraID>7CCCDC9D</paraID>
      <start>32</start>
      <end>37</end>
      <status>unmodified</status>
      <modifiedWord/>
      <trackRevisions>false</trackRevisions>
    </reviewItem>
    <reviewItem>
      <errorID>87508049-6b6b-40ef-973f-f7ca0efe81dc</errorID>
      <errorWord>、以及</errorWord>
      <group>L1_Punc</group>
      <groupName>标点问题</groupName>
      <ability>L2_Punc_CN</ability>
      <abilityName>标点符号问题</abilityName>
      <candidateList>
        <item>，以及</item>
      </candidateList>
      <explain>连接词前后不宜使用顿号，建议使用逗号。</explain>
      <paraID>5F4B94EC</paraID>
      <start>12</start>
      <end>15</end>
      <status>unmodified</status>
      <modifiedWord/>
      <trackRevisions>false</trackRevisions>
    </reviewItem>
    <reviewItem>
      <errorID>a3fa656f-db79-47ed-907f-9ffbcb531b10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61370081</paraID>
      <start>86</start>
      <end>89</end>
      <status>unmodified</status>
      <modifiedWord/>
      <trackRevisions>false</trackRevisions>
    </reviewItem>
    <reviewItem>
      <errorID>a38f516f-a911-4afd-91c5-1a45aeffe6c5</errorID>
      <errorWord>免费赠送</errorWord>
      <group>L1_Word</group>
      <groupName>字词问题</groupName>
      <ability>L2_Typo</ability>
      <abilityName>字词错误</abilityName>
      <candidateList>
        <item>赠送</item>
      </candidateList>
      <explain/>
      <paraID>3FB23BBB</paraID>
      <start>88</start>
      <end>92</end>
      <status>unmodified</status>
      <modifiedWord/>
      <trackRevisions>false</trackRevisions>
    </reviewItem>
    <reviewItem>
      <errorID>96b2ff26-0846-42ec-9c8b-3d2453598092</errorID>
      <errorWord>,</errorWord>
      <group>L1_Format</group>
      <groupName>格式问题</groupName>
      <ability>L2_HalfPunc_CN</ability>
      <abilityName>全半角问题</abilityName>
      <candidateList>
        <item>，</item>
      </candidateList>
      <explain>文本全半角错误。</explain>
      <paraID>53E28C38</paraID>
      <start>41</start>
      <end>42</end>
      <status>unmodified</status>
      <modifiedWord/>
      <trackRevisions>false</trackRevisions>
    </reviewItem>
    <reviewItem>
      <errorID>f2cce5fc-47b5-4e48-ba2a-928688a6d301</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1EA5C20E</paraID>
      <start>0</start>
      <end>3</end>
      <status>unmodified</status>
      <modifiedWord/>
      <trackRevisions>false</trackRevisions>
    </reviewItem>
    <reviewItem>
      <errorID>0f53f09b-ba02-4022-80cf-fa554b116fb4</errorID>
      <errorWord>，</errorWord>
      <group>L1_Word</group>
      <groupName>字词问题</groupName>
      <ability>L2_Typo</ability>
      <abilityName>字词错误</abilityName>
      <candidateList>
        <item>，在</item>
      </candidateList>
      <explain/>
      <paraID>6FB21991</paraID>
      <start>14</start>
      <end>15</end>
      <status>unmodified</status>
      <modifiedWord/>
      <trackRevisions>false</trackRevisions>
    </reviewItem>
    <reviewItem>
      <errorID>ec2f32dc-44c1-4ce8-8fff-42374511deec</errorID>
      <errorWord>,</errorWord>
      <group>L1_Format</group>
      <groupName>格式问题</groupName>
      <ability>L2_HalfPunc_CN</ability>
      <abilityName>全半角问题</abilityName>
      <candidateList>
        <item>，</item>
      </candidateList>
      <explain>文本全半角错误。</explain>
      <paraID>6DA4A811</paraID>
      <start>21</start>
      <end>22</end>
      <status>unmodified</status>
      <modifiedWord/>
      <trackRevisions>false</trackRevisions>
    </reviewItem>
    <reviewItem>
      <errorID>238bca58-2d7e-46d2-9336-88c2adc56bcb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660C42D0</paraID>
      <start>0</start>
      <end>3</end>
      <status>unmodified</status>
      <modifiedWord/>
      <trackRevisions>false</trackRevisions>
    </reviewItem>
    <reviewItem>
      <errorID>704d0dc6-82d5-4e09-8022-76f623c36638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5AE8FE98</paraID>
      <start>0</start>
      <end>3</end>
      <status>unmodified</status>
      <modifiedWord/>
      <trackRevisions>false</trackRevisions>
    </reviewItem>
    <reviewItem>
      <errorID>fd91bed1-6060-4980-9747-be29c5f23de7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453064DB</paraID>
      <start>0</start>
      <end>3</end>
      <status>unmodified</status>
      <modifiedWord/>
      <trackRevisions>false</trackRevisions>
    </reviewItem>
    <reviewItem>
      <errorID>3fd800f2-221c-49d6-9238-76c764c1a5dc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5B711E88</paraID>
      <start>0</start>
      <end>3</end>
      <status>unmodified</status>
      <modifiedWord/>
      <trackRevisions>false</trackRevisions>
    </reviewItem>
    <reviewItem>
      <errorID>c6bc5b88-8e58-44db-bfc4-36d938a9d5f6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73CB2A09</paraID>
      <start>0</start>
      <end>3</end>
      <status>unmodified</status>
      <modifiedWord/>
      <trackRevisions>false</trackRevisions>
    </reviewItem>
    <reviewItem>
      <errorID>44d3cfb3-9257-4b17-be51-b65a187020ed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322A9312</paraID>
      <start>0</start>
      <end>3</end>
      <status>unmodified</status>
      <modifiedWord/>
      <trackRevisions>false</trackRevisions>
    </reviewItem>
    <reviewItem>
      <errorID>24cb50ed-d70b-4531-b9f2-b3b412862db2</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44CAF792</paraID>
      <start>7</start>
      <end>11</end>
      <status>unmodified</status>
      <modifiedWord/>
      <trackRevisions>false</trackRevisions>
    </reviewItem>
    <reviewItem>
      <errorID>317c4162-5a37-4f70-ab20-097ac61e6f3d</errorID>
      <errorWord>透漏</errorWord>
      <group>L1_Word</group>
      <groupName>字词问题</groupName>
      <ability>L2_Typo</ability>
      <abilityName>字词错误</abilityName>
      <candidateList>
        <item>透露</item>
      </candidateList>
      <explain>存在发音相同字词的误用。</explain>
      <paraID>14D4C5C3</paraID>
      <start>32</start>
      <end>34</end>
      <status>unmodified</status>
      <modifiedWord/>
      <trackRevisions>false</trackRevisions>
    </reviewItem>
    <reviewItem>
      <errorID>9f0ab582-b294-433f-8d7d-ac537e1f76c4</errorID>
      <errorWord>透漏</errorWord>
      <group>L1_Word</group>
      <groupName>字词问题</groupName>
      <ability>L2_Typo</ability>
      <abilityName>字词错误</abilityName>
      <candidateList>
        <item>透露</item>
      </candidateList>
      <explain>存在发音相同字词的误用。</explain>
      <paraID>480EE5D4</paraID>
      <start>37</start>
      <end>39</end>
      <status>unmodified</status>
      <modifiedWord/>
      <trackRevisions>false</trackRevisions>
    </reviewItem>
    <reviewItem>
      <errorID>a779f3dd-49f0-4161-bcbb-24a386911ed0</errorID>
      <errorWord>,</errorWord>
      <group>L1_Format</group>
      <groupName>格式问题</groupName>
      <ability>L2_HalfPunc_CN</ability>
      <abilityName>全半角问题</abilityName>
      <candidateList>
        <item>，</item>
      </candidateList>
      <explain>文本全半角错误。</explain>
      <paraID>619F45D8</paraID>
      <start>59</start>
      <end>60</end>
      <status>unmodified</status>
      <modifiedWord/>
      <trackRevisions>false</trackRevisions>
    </reviewItem>
    <reviewItem>
      <errorID>ad1629a5-2340-453a-81f9-306cfe8ca11c</errorID>
      <errorWord>法律、法规</errorWord>
      <group>L1_Word</group>
      <groupName>字词问题</groupName>
      <ability>L2_Typo</ability>
      <abilityName>字词错误</abilityName>
      <candidateList>
        <item>法律法规</item>
      </candidateList>
      <explain/>
      <paraID>5C638886</paraID>
      <start>25</start>
      <end>30</end>
      <status>unmodified</status>
      <modifiedWord/>
      <trackRevisions>false</trackRevisions>
    </reviewItem>
    <reviewItem>
      <errorID>fcd329ff-edff-4ee3-85be-1fd863497b9e</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 FA621D6</paraID>
      <start>73</start>
      <end>77</end>
      <status>unmodified</status>
      <modifiedWord/>
      <trackRevisions>false</trackRevisions>
    </reviewItem>
    <reviewItem>
      <errorID>1acaac83-25fd-477d-ae88-3d6641eee480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69D2704D</paraID>
      <start>0</start>
      <end>2</end>
      <status>unmodified</status>
      <modifiedWord/>
      <trackRevisions>false</trackRevisions>
    </reviewItem>
    <reviewItem>
      <errorID>437a69e8-f186-4644-a8e5-5f863493d6f4</errorID>
      <errorWord>其它</errorWord>
      <group>L1_Word</group>
      <groupName>字词问题</groupName>
      <ability>L2_Alias</ability>
      <abilityName>也作/曾用词</abilityName>
      <candidateList>
        <item>其他</item>
      </candidateList>
      <explain>词汇[其它]为不规范表述或旧称，其规范书面表述为[其他]。</explain>
      <paraID>40721524</paraID>
      <start>76</start>
      <end>78</end>
      <status>unmodified</status>
      <modifiedWord/>
      <trackRevisions>false</trackRevisions>
    </reviewItem>
    <reviewItem>
      <errorID>83a11d51-ee30-4069-9625-794be720f410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5AEEEA7F</paraID>
      <start>0</start>
      <end>2</end>
      <status>unmodified</status>
      <modifiedWord/>
      <trackRevisions>false</trackRevisions>
    </reviewItem>
    <reviewItem>
      <errorID>b29f41dd-dc42-4a9d-ba57-dfd8a8ed6445</errorID>
      <errorWord>:</errorWord>
      <group>L1_Format</group>
      <groupName>格式问题</groupName>
      <ability>L2_HalfPunc_CN</ability>
      <abilityName>全半角问题</abilityName>
      <candidateList>
        <item>：</item>
      </candidateList>
      <explain>文本全半角错误。</explain>
      <paraID> 24ECF41</paraID>
      <start>7</start>
      <end>8</end>
      <status>unmodified</status>
      <modifiedWord/>
      <trackRevisions>false</trackRevisions>
    </reviewItem>
    <reviewItem>
      <errorID>fd34206e-039d-4e69-b0ae-967cae3756c5</errorID>
      <errorWord>(</errorWord>
      <group>L1_Format</group>
      <groupName>格式问题</groupName>
      <ability>L2_HalfPunc_CN</ability>
      <abilityName>全半角问题</abilityName>
      <candidateList>
        <item>（</item>
      </candidateList>
      <explain>文本全半角错误。</explain>
      <paraID> C9F220B</paraID>
      <start>20</start>
      <end>21</end>
      <status>unmodified</status>
      <modifiedWord/>
      <trackRevisions>false</trackRevisions>
    </reviewItem>
    <reviewItem>
      <errorID>3d83a07c-5e85-4e91-8e21-750fa99bcf2c</errorID>
      <errorWord>)</errorWord>
      <group>L1_Format</group>
      <groupName>格式问题</groupName>
      <ability>L2_HalfPunc_CN</ability>
      <abilityName>全半角问题</abilityName>
      <candidateList>
        <item>）</item>
      </candidateList>
      <explain>文本全半角错误。</explain>
      <paraID> C9F220B</paraID>
      <start>43</start>
      <end>44</end>
      <status>unmodified</status>
      <modifiedWord/>
      <trackRevisions>false</trackRevisions>
    </reviewItem>
    <reviewItem>
      <errorID>6eec6832-edbf-44a5-84c5-e09c257beaca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6C52594A</paraID>
      <start>1</start>
      <end>4</end>
      <status>unmodified</status>
      <modifiedWord/>
      <trackRevisions>false</trackRevisions>
    </reviewItem>
    <reviewItem>
      <errorID>e7a25ec4-6354-4dbf-981d-0f823591f6a8</errorID>
      <errorWord>括</errorWord>
      <group>L1_Word</group>
      <groupName>字词问题</groupName>
      <ability>L2_Typo</ability>
      <abilityName>字词错误</abilityName>
      <candidateList>
        <item>括但</item>
      </candidateList>
      <explain/>
      <paraID>7D59E45B</paraID>
      <start>13</start>
      <end>14</end>
      <status>unmodified</status>
      <modifiedWord/>
      <trackRevisions>false</trackRevisions>
    </reviewItem>
    <reviewItem>
      <errorID>b09f1557-f0f9-4731-84d3-a62bd37ba794</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 BCF7B17</paraID>
      <start>27</start>
      <end>31</end>
      <status>unmodified</status>
      <modifiedWord/>
      <trackRevisions>false</trackRevisions>
    </reviewItem>
    <reviewItem>
      <errorID>6054b6cc-a9f7-46b2-85fd-8dc91871dfef</errorID>
      <errorWord>一步</errorWord>
      <group>L1_Knowledge</group>
      <groupName>知识性问题</groupName>
      <ability>L2_Knowledge</ability>
      <abilityName>其他知识</abilityName>
      <candidateList>
        <item>一道</item>
      </candidateList>
      <explain/>
      <paraID> 38A954C</paraID>
      <start>18</start>
      <end>20</end>
      <status>unmodified</status>
      <modifiedWord/>
      <trackRevisions>false</trackRevisions>
    </reviewItem>
    <reviewItem>
      <errorID>bdcca851-e7cb-4def-b6dc-a36005341950</errorID>
      <errorWord>,</errorWord>
      <group>L1_Format</group>
      <groupName>格式问题</groupName>
      <ability>L2_HalfPunc_CN</ability>
      <abilityName>全半角问题</abilityName>
      <candidateList>
        <item>，</item>
      </candidateList>
      <explain>文本全半角错误。</explain>
      <paraID>414E14D9</paraID>
      <start>20</start>
      <end>21</end>
      <status>unmodified</status>
      <modifiedWord/>
      <trackRevisions>false</trackRevisions>
    </reviewItem>
    <reviewItem>
      <errorID>30bc7ad7-e8fe-4b76-8cde-31b5a67cafb8</errorID>
      <errorWord>详实</errorWord>
      <group>L1_Word</group>
      <groupName>字词问题</groupName>
      <ability>L2_Typo</ability>
      <abilityName>字词错误</abilityName>
      <candidateList>
        <item>翔实</item>
      </candidateList>
      <explain/>
      <paraID>2F458706</paraID>
      <start>5</start>
      <end>7</end>
      <status>unmodified</status>
      <modifiedWord/>
      <trackRevisions>false</trackRevisions>
    </reviewItem>
    <reviewItem>
      <errorID>51a64942-3535-4730-a012-ab4b3b3716e8</errorID>
      <errorWord>详实</errorWord>
      <group>L1_Word</group>
      <groupName>字词问题</groupName>
      <ability>L2_Typo</ability>
      <abilityName>字词错误</abilityName>
      <candidateList>
        <item>翔实</item>
      </candidateList>
      <explain>存在发音相同字词的误用。</explain>
      <paraID> F93DDF7</paraID>
      <start>6</start>
      <end>8</end>
      <status>unmodified</status>
      <modifiedWord/>
      <trackRevisions>false</trackRevisions>
    </reviewItem>
    <reviewItem>
      <errorID>bc814315-371f-4320-8eb0-c649b41e99f4</errorID>
      <errorWord>详实</errorWord>
      <group>L1_Word</group>
      <groupName>字词问题</groupName>
      <ability>L2_Typo</ability>
      <abilityName>字词错误</abilityName>
      <candidateList>
        <item>翔实</item>
      </candidateList>
      <explain/>
      <paraID>280C5A76</paraID>
      <start>7</start>
      <end>9</end>
      <status>unmodified</status>
      <modifiedWord/>
      <trackRevisions>false</trackRevisions>
    </reviewItem>
    <reviewItem>
      <errorID>f9a8ae93-9947-40bb-bcbe-386186a876cb</errorID>
      <errorWord>件</errorWord>
      <group>L1_Word</group>
      <groupName>字词问题</groupName>
      <ability>L2_Typo</ability>
      <abilityName>字词错误</abilityName>
      <candidateList>
        <item>件和</item>
      </candidateList>
      <explain/>
      <paraID>77FCDD5F</paraID>
      <start>97</start>
      <end>98</end>
      <status>unmodified</status>
      <modifiedWord/>
      <trackRevisions>false</trackRevisions>
    </reviewItem>
    <reviewItem>
      <errorID>9a30fe9f-37e9-438a-93bc-6bb2d64e29f5</errorID>
      <errorWord>,</errorWord>
      <group>L1_Format</group>
      <groupName>格式问题</groupName>
      <ability>L2_HalfPunc_CN</ability>
      <abilityName>全半角问题</abilityName>
      <candidateList>
        <item>，</item>
      </candidateList>
      <explain>文本全半角错误。</explain>
      <paraID>52539C10</paraID>
      <start>15</start>
      <end>16</end>
      <status>unmodified</status>
      <modifiedWord/>
      <trackRevisions>false</trackRevisions>
    </reviewItem>
    <reviewItem>
      <errorID>ed81ee7b-f3e6-4f7c-a130-1116ff972b09</errorID>
      <errorWord>:</errorWord>
      <group>L1_Format</group>
      <groupName>格式问题</groupName>
      <ability>L2_HalfPunc_CN</ability>
      <abilityName>全半角问题</abilityName>
      <candidateList>
        <item>：</item>
      </candidateList>
      <explain>文本全半角错误。</explain>
      <paraID>52539C10</paraID>
      <start>23</start>
      <end>24</end>
      <status>unmodified</status>
      <modifiedWord/>
      <trackRevisions>false</trackRevisions>
    </reviewItem>
    <reviewItem>
      <errorID>bd0158a2-de39-4e68-a37d-ba47ef890c26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3DB89858</paraID>
      <start>0</start>
      <end>3</end>
      <status>unmodified</status>
      <modifiedWord/>
      <trackRevisions>false</trackRevisions>
    </reviewItem>
    <reviewItem>
      <errorID>83620751-ba74-4be2-9971-c36ad130b122</errorID>
      <errorWord>,</errorWord>
      <group>L1_Format</group>
      <groupName>格式问题</groupName>
      <ability>L2_HalfPunc_CN</ability>
      <abilityName>全半角问题</abilityName>
      <candidateList>
        <item>，</item>
      </candidateList>
      <explain>文本全半角错误。</explain>
      <paraID>1B288997</paraID>
      <start>15</start>
      <end>16</end>
      <status>unmodified</status>
      <modifiedWord/>
      <trackRevisions>false</trackRevisions>
    </reviewItem>
    <reviewItem>
      <errorID>968c98a5-2430-4385-b14a-8fe6cb252b4f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51D08EB6</paraID>
      <start>0</start>
      <end>3</end>
      <status>unmodified</status>
      <modifiedWord/>
      <trackRevisions>false</trackRevisions>
    </reviewItem>
    <reviewItem>
      <errorID>f391e5fc-dc5b-4d54-b41f-4418646c9eae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629F8374</paraID>
      <start>0</start>
      <end>3</end>
      <status>unmodified</status>
      <modifiedWord/>
      <trackRevisions>false</trackRevisions>
    </reviewItem>
    <reviewItem>
      <errorID>d409878b-0c18-42f9-a4ee-73145fb4741b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149EF601</paraID>
      <start>0</start>
      <end>3</end>
      <status>unmodified</status>
      <modifiedWord/>
      <trackRevisions>false</trackRevisions>
    </reviewItem>
    <reviewItem>
      <errorID>3e7a4f04-2a15-4079-b1a5-47f62bf9d61e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2D9119DB</paraID>
      <start>0</start>
      <end>3</end>
      <status>unmodified</status>
      <modifiedWord/>
      <trackRevisions>false</trackRevisions>
    </reviewItem>
    <reviewItem>
      <errorID>18b0c34e-7bfc-4fd8-88e2-3dda86748f0e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EFD1C00</paraID>
      <start>0</start>
      <end>3</end>
      <status>unmodified</status>
      <modifiedWord/>
      <trackRevisions>false</trackRevisions>
    </reviewItem>
    <reviewItem>
      <errorID>07acdffb-f435-446d-bc99-10c270824874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4D46EF21</paraID>
      <start>0</start>
      <end>3</end>
      <status>unmodified</status>
      <modifiedWord/>
      <trackRevisions>false</trackRevisions>
    </reviewItem>
    <reviewItem>
      <errorID>3e1ac9f9-7626-440e-95c8-503141970133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4BE821A4</paraID>
      <start>0</start>
      <end>3</end>
      <status>unmodified</status>
      <modifiedWord/>
      <trackRevisions>false</trackRevisions>
    </reviewItem>
    <reviewItem>
      <errorID>1e82f335-b821-4043-adf8-522e9b6c619a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973073A</paraID>
      <start>0</start>
      <end>3</end>
      <status>unmodified</status>
      <modifiedWord/>
      <trackRevisions>false</trackRevisions>
    </reviewItem>
    <reviewItem>
      <errorID>9c2b96df-e481-4fe4-b08c-bb2f3d2e80ec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14D32DA5</paraID>
      <start>0</start>
      <end>3</end>
      <status>unmodified</status>
      <modifiedWord/>
      <trackRevisions>false</trackRevisions>
    </reviewItem>
    <reviewItem>
      <errorID>e92ecac7-b64f-47ce-9029-90617e3beebb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D4CA10D</paraID>
      <start>0</start>
      <end>4</end>
      <status>unmodified</status>
      <modifiedWord/>
      <trackRevisions>false</trackRevisions>
    </reviewItem>
    <reviewItem>
      <errorID>c1d26df7-2770-4092-a534-a4606c0da2c8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23283FAE</paraID>
      <start>0</start>
      <end>4</end>
      <status>unmodified</status>
      <modifiedWord/>
      <trackRevisions>false</trackRevisions>
    </reviewItem>
    <reviewItem>
      <errorID>176a3d9e-e962-4c2f-8e95-969924639f33</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6670241A</paraID>
      <start>0</start>
      <end>4</end>
      <status>unmodified</status>
      <modifiedWord/>
      <trackRevisions>false</trackRevisions>
    </reviewItem>
    <reviewItem>
      <errorID>5e0c1381-2a30-4dd5-a3d1-48dc81a31a52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1FF03626</paraID>
      <start>0</start>
      <end>4</end>
      <status>unmodified</status>
      <modifiedWord/>
      <trackRevisions>false</trackRevisions>
    </reviewItem>
    <reviewItem>
      <errorID>640a4427-09eb-4a83-a5a7-04e10f09b725</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1FF03626</paraID>
      <start>4</start>
      <end>8</end>
      <status>unmodified</status>
      <modifiedWord/>
      <trackRevisions>false</trackRevisions>
    </reviewItem>
    <reviewItem>
      <errorID>c9262c11-dea4-4a9d-9382-99a619c608bb</errorID>
      <errorWord>委员会委</errorWord>
      <group>L1_Word</group>
      <groupName>字词问题</groupName>
      <ability>L2_Typo</ability>
      <abilityName>字词错误</abilityName>
      <candidateList>
        <item>委员会</item>
      </candidateList>
      <explain/>
      <paraID>1FF03626</paraID>
      <start>12</start>
      <end>15</end>
      <status>modified</status>
      <modifiedWord>委员会</modifiedWord>
      <trackRevisions>false</trackRevisions>
    </reviewItem>
    <reviewItem>
      <errorID>ab832f14-ce10-4d67-9cf9-7782431363ff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1142FEC8</paraID>
      <start>0</start>
      <end>4</end>
      <status>unmodified</status>
      <modifiedWord/>
      <trackRevisions>false</trackRevisions>
    </reviewItem>
    <reviewItem>
      <errorID>dc840895-3381-497a-90c1-afa253c08c34</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3880FE8B</paraID>
      <start>0</start>
      <end>4</end>
      <status>unmodified</status>
      <modifiedWord/>
      <trackRevisions>false</trackRevisions>
    </reviewItem>
    <reviewItem>
      <errorID>203c83c9-6c71-432c-a4f8-98d27fef5ebf</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2F9C7556</paraID>
      <start>0</start>
      <end>4</end>
      <status>unmodified</status>
      <modifiedWord/>
      <trackRevisions>false</trackRevisions>
    </reviewItem>
    <reviewItem>
      <errorID>3cc669e9-ff52-4dde-b07a-1442e0ad7b73</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2F9C7556</paraID>
      <start>11</start>
      <end>15</end>
      <status>unmodified</status>
      <modifiedWord/>
      <trackRevisions>false</trackRevisions>
    </reviewItem>
    <reviewItem>
      <errorID>cf91601d-ff4f-4695-8102-c85b955d6a03</errorID>
      <errorWord>,</errorWord>
      <group>L1_Format</group>
      <groupName>格式问题</groupName>
      <ability>L2_HalfPunc_CN</ability>
      <abilityName>全半角问题</abilityName>
      <candidateList>
        <item>，</item>
      </candidateList>
      <explain>文本全半角错误。</explain>
      <paraID>504E86B7</paraID>
      <start>16</start>
      <end>17</end>
      <status>unmodified</status>
      <modifiedWord/>
      <trackRevisions>false</trackRevisions>
    </reviewItem>
    <reviewItem>
      <errorID>6599c870-a2d0-4901-b115-ec0f489f4aff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70996AB7</paraID>
      <start>0</start>
      <end>3</end>
      <status>unmodified</status>
      <modifiedWord/>
      <trackRevisions>false</trackRevisions>
    </reviewItem>
    <reviewItem>
      <errorID>844c3100-59ab-4a62-825c-460d4295dee8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1C2B0FF7</paraID>
      <start>0</start>
      <end>3</end>
      <status>unmodified</status>
      <modifiedWord/>
      <trackRevisions>false</trackRevisions>
    </reviewItem>
    <reviewItem>
      <errorID>6b9b897c-2240-429a-8097-5aeefc1afe9d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522FED92</paraID>
      <start>0</start>
      <end>3</end>
      <status>unmodified</status>
      <modifiedWord/>
      <trackRevisions>false</trackRevisions>
    </reviewItem>
    <reviewItem>
      <errorID>681ebb78-4ee4-4bcb-8640-e579f23acf0a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4B9B6FEE</paraID>
      <start>0</start>
      <end>3</end>
      <status>unmodified</status>
      <modifiedWord/>
      <trackRevisions>false</trackRevisions>
    </reviewItem>
    <reviewItem>
      <errorID>d512e5da-7da0-4075-bc68-0cec219d0fbd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4AFF2E55</paraID>
      <start>0</start>
      <end>3</end>
      <status>unmodified</status>
      <modifiedWord/>
      <trackRevisions>false</trackRevisions>
    </reviewItem>
    <reviewItem>
      <errorID>8413d9c2-e67e-42c5-976a-01e303b860a3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14D8709E</paraID>
      <start>0</start>
      <end>3</end>
      <status>unmodified</status>
      <modifiedWord/>
      <trackRevisions>false</trackRevisions>
    </reviewItem>
    <reviewItem>
      <errorID>e378795e-0695-46f5-b226-b1ddeb6e56bb</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7986B156</paraID>
      <start>3</start>
      <end>7</end>
      <status>unmodified</status>
      <modifiedWord/>
      <trackRevisions>false</trackRevisions>
    </reviewItem>
    <reviewItem>
      <errorID>cc755d0a-4fc1-4f9b-be9c-54242d3c8689</errorID>
      <errorWord>委员会委</errorWord>
      <group>L1_Word</group>
      <groupName>字词问题</groupName>
      <ability>L2_Typo</ability>
      <abilityName>字词错误</abilityName>
      <candidateList>
        <item>委员会</item>
      </candidateList>
      <explain/>
      <paraID>7986B156</paraID>
      <start>11</start>
      <end>14</end>
      <status>modified</status>
      <modifiedWord>委员会</modifiedWord>
      <trackRevisions>false</trackRevisions>
    </reviewItem>
    <reviewItem>
      <errorID>afb87242-d4ac-4e07-ab6b-94b2c24ddb04</errorID>
      <errorWord>;</errorWord>
      <group>L1_Format</group>
      <groupName>格式问题</groupName>
      <ability>L2_HalfPunc_CN</ability>
      <abilityName>全半角问题</abilityName>
      <candidateList>
        <item>；</item>
      </candidateList>
      <explain>文本全半角错误。</explain>
      <paraID>1CB27C3C</paraID>
      <start>22</start>
      <end>23</end>
      <status>unmodified</status>
      <modifiedWord/>
      <trackRevisions>false</trackRevisions>
    </reviewItem>
    <reviewItem>
      <errorID>97054913-9a2a-483c-bb64-44166f4ed5d3</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5625C5CE</paraID>
      <start>10</start>
      <end>14</end>
      <status>unmodified</status>
      <modifiedWord/>
      <trackRevisions>false</trackRevisions>
    </reviewItem>
    <reviewItem>
      <errorID>80c6802c-464d-4a93-b6fb-570d062cb150</errorID>
      <errorWord>,</errorWord>
      <group>L1_Format</group>
      <groupName>格式问题</groupName>
      <ability>L2_HalfPunc_CN</ability>
      <abilityName>全半角问题</abilityName>
      <candidateList>
        <item>，</item>
      </candidateList>
      <explain>文本全半角错误。</explain>
      <paraID>48F26B77</paraID>
      <start>15</start>
      <end>16</end>
      <status>unmodified</status>
      <modifiedWord/>
      <trackRevisions>false</trackRevisions>
    </reviewItem>
    <reviewItem>
      <errorID>a4b722ae-2798-480d-95cb-cea76bc6fda1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6B3F3F1B</paraID>
      <start>0</start>
      <end>3</end>
      <status>unmodified</status>
      <modifiedWord/>
      <trackRevisions>false</trackRevisions>
    </reviewItem>
    <reviewItem>
      <errorID>165c0360-91ad-49c5-b2fe-818121778716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15CA1160</paraID>
      <start>0</start>
      <end>3</end>
      <status>unmodified</status>
      <modifiedWord/>
      <trackRevisions>false</trackRevisions>
    </reviewItem>
    <reviewItem>
      <errorID>539cec60-4755-4c62-b6b0-441a6136d286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406ADF6</paraID>
      <start>0</start>
      <end>3</end>
      <status>unmodified</status>
      <modifiedWord/>
      <trackRevisions>false</trackRevisions>
    </reviewItem>
    <reviewItem>
      <errorID>13267235-2fe4-4848-831e-ffc6763a4e0b</errorID>
      <errorWord>法律、法规</errorWord>
      <group>L1_Word</group>
      <groupName>字词问题</groupName>
      <ability>L2_Typo</ability>
      <abilityName>字词错误</abilityName>
      <candidateList>
        <item>法律法规</item>
      </candidateList>
      <explain/>
      <paraID> 406ADF6</paraID>
      <start>13</start>
      <end>18</end>
      <status>unmodified</status>
      <modifiedWord/>
      <trackRevisions>false</trackRevisions>
    </reviewItem>
    <reviewItem>
      <errorID>1ec3b2cc-957e-43be-8fb0-de2a302040f9</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38BC2E2B</paraID>
      <start>3</start>
      <end>7</end>
      <status>unmodified</status>
      <modifiedWord/>
      <trackRevisions>false</trackRevisions>
    </reviewItem>
    <reviewItem>
      <errorID>e6a0ccee-961e-4e11-9897-0e6c52e1e509</errorID>
      <errorWord>委员会委</errorWord>
      <group>L1_Word</group>
      <groupName>字词问题</groupName>
      <ability>L2_Typo</ability>
      <abilityName>字词错误</abilityName>
      <candidateList>
        <item>委员会</item>
      </candidateList>
      <explain/>
      <paraID>38BC2E2B</paraID>
      <start>11</start>
      <end>14</end>
      <status>modified</status>
      <modifiedWord>委员会</modifiedWord>
      <trackRevisions>false</trackRevisions>
    </reviewItem>
    <reviewItem>
      <errorID>4c0b1453-14bb-4944-840c-5514ba73531d</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35311766</paraID>
      <start>10</start>
      <end>14</end>
      <status>unmodified</status>
      <modifiedWord/>
      <trackRevisions>false</trackRevisions>
    </reviewItem>
    <reviewItem>
      <errorID>6b609ffd-ce16-47da-9aa3-c4050c22c47d</errorID>
      <errorWord>无需安装任何</errorWord>
      <group>L1_Word</group>
      <groupName>字词问题</groupName>
      <ability>L2_Alias</ability>
      <abilityName>也作/曾用词</abilityName>
      <candidateList>
        <item>无须安装任何</item>
      </candidateList>
      <explain>词汇[无需安装任何]为不规范表述或旧称，其规范书面表述为[无须安装任何]。</explain>
      <paraID>34DF3D1A</paraID>
      <start>46</start>
      <end>52</end>
      <status>unmodified</status>
      <modifiedWord/>
      <trackRevisions>false</trackRevisions>
    </reviewItem>
    <reviewItem>
      <errorID>5b5f7cf1-147f-45ac-982f-a3831e13c114</errorID>
      <errorWord>客商端</errorWord>
      <group>L1_Word</group>
      <groupName>字词问题</groupName>
      <ability>L2_Typo</ability>
      <abilityName>字词错误</abilityName>
      <candidateList>
        <item>客户端</item>
      </candidateList>
      <explain/>
      <paraID>619AB925</paraID>
      <start>11</start>
      <end>14</end>
      <status>unmodified</status>
      <modifiedWord/>
      <trackRevisions>false</trackRevisions>
    </reviewItem>
    <reviewItem>
      <errorID>a4e9b538-f5e6-42de-8b07-88bb0e6d9d0b</errorID>
      <errorWord>，</errorWord>
      <group>L1_Word</group>
      <groupName>字词问题</groupName>
      <ability>L2_Typo</ability>
      <abilityName>字词错误</abilityName>
      <candidateList>
        <item>，在</item>
      </candidateList>
      <explain/>
      <paraID>723236A3</paraID>
      <start>288</start>
      <end>289</end>
      <status>unmodified</status>
      <modifiedWord/>
      <trackRevisions>false</trackRevisions>
    </reviewItem>
    <reviewItem>
      <errorID>e484c331-78bb-47cd-afae-038ed5f8f066</errorID>
      <errorWord>负责为</errorWord>
      <group>L1_Word</group>
      <groupName>字词问题</groupName>
      <ability>L2_Typo</ability>
      <abilityName>字词错误</abilityName>
      <candidateList>
        <item>负责</item>
      </candidateList>
      <explain/>
      <paraID>1EC90925</paraID>
      <start>5</start>
      <end>8</end>
      <status>unmodified</status>
      <modifiedWord/>
      <trackRevisions>false</trackRevisions>
    </reviewItem>
    <reviewItem>
      <errorID>8be7f157-527e-482e-9546-d26ff31d6dc1</errorID>
      <errorWord>(</errorWord>
      <group>L1_Format</group>
      <groupName>格式问题</groupName>
      <ability>L2_HalfPunc_CN</ability>
      <abilityName>全半角问题</abilityName>
      <candidateList>
        <item>（</item>
      </candidateList>
      <explain>文本全半角错误。</explain>
      <paraID>47EA3BFC</paraID>
      <start>6</start>
      <end>7</end>
      <status>unmodified</status>
      <modifiedWord/>
      <trackRevisions>false</trackRevisions>
    </reviewItem>
    <reviewItem>
      <errorID>9aed8dc2-c059-4fd9-9574-cd33d8e710fc</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4EC76BD5</paraID>
      <start>0</start>
      <end>4</end>
      <status>unmodified</status>
      <modifiedWord/>
      <trackRevisions>false</trackRevisions>
    </reviewItem>
    <reviewItem>
      <errorID>d33005a7-ca58-48d9-bce4-f311e99a883e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4267992E</paraID>
      <start>0</start>
      <end>2</end>
      <status>unmodified</status>
      <modifiedWord/>
      <trackRevisions>false</trackRevisions>
    </reviewItem>
    <reviewItem>
      <errorID>92ae51a8-3d7a-41dd-96ad-a9262ae4da4f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3ADC651A</paraID>
      <start>0</start>
      <end>2</end>
      <status>unmodified</status>
      <modifiedWord/>
      <trackRevisions>false</trackRevisions>
    </reviewItem>
    <reviewItem>
      <errorID>c21ffba4-b7dc-4126-9401-fe98cb5cbb21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26E26467</paraID>
      <start>0</start>
      <end>2</end>
      <status>unmodified</status>
      <modifiedWord/>
      <trackRevisions>false</trackRevisions>
    </reviewItem>
    <reviewItem>
      <errorID>55c1e2ba-12b2-49e9-82bb-7b5de3432ba0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79BABE94</paraID>
      <start>0</start>
      <end>2</end>
      <status>unmodified</status>
      <modifiedWord/>
      <trackRevisions>false</trackRevisions>
    </reviewItem>
    <reviewItem>
      <errorID>5603233c-a2aa-4fa3-8ce9-1d908b6cbdf7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13CBFBE5</paraID>
      <start>0</start>
      <end>2</end>
      <status>unmodified</status>
      <modifiedWord/>
      <trackRevisions>false</trackRevisions>
    </reviewItem>
    <reviewItem>
      <errorID>1cb10adb-3d9f-44f9-bf50-d2b2f7fdfe73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712A9722</paraID>
      <start>0</start>
      <end>2</end>
      <status>unmodified</status>
      <modifiedWord/>
      <trackRevisions>false</trackRevisions>
    </reviewItem>
    <reviewItem>
      <errorID>8401fa05-cd60-4e39-98cf-7f863cfd1c55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25283EC8</paraID>
      <start>0</start>
      <end>2</end>
      <status>unmodified</status>
      <modifiedWord/>
      <trackRevisions>false</trackRevisions>
    </reviewItem>
    <reviewItem>
      <errorID>890f6569-c31b-465a-85eb-3ba93d0d4d73</errorID>
      <errorWord>~</errorWord>
      <group>L1_Format</group>
      <groupName>格式问题</groupName>
      <ability>L2_HalfPunc_CN</ability>
      <abilityName>全半角问题</abilityName>
      <candidateList>
        <item>～</item>
      </candidateList>
      <explain>文本全半角错误。</explain>
      <paraID>25283EC8</paraID>
      <start>8</start>
      <end>9</end>
      <status>unmodified</status>
      <modifiedWord/>
      <trackRevisions>false</trackRevisions>
    </reviewItem>
    <reviewItem>
      <errorID>1bcc3058-47ab-4092-9e97-7e4a79645233</errorID>
      <errorWord>:</errorWord>
      <group>L1_Format</group>
      <groupName>格式问题</groupName>
      <ability>L2_HalfPunc_CN</ability>
      <abilityName>全半角问题</abilityName>
      <candidateList>
        <item>：</item>
      </candidateList>
      <explain>文本全半角错误。</explain>
      <paraID>25283EC8</paraID>
      <start>18</start>
      <end>19</end>
      <status>unmodified</status>
      <modifiedWord/>
      <trackRevisions>false</trackRevisions>
    </reviewItem>
    <reviewItem>
      <errorID>2df44161-92f4-4700-8a5f-24c00a89f65d</errorID>
      <errorWord>&gt;</errorWord>
      <group>L1_Format</group>
      <groupName>格式问题</groupName>
      <ability>L2_HalfPunc_CN</ability>
      <abilityName>全半角问题</abilityName>
      <candidateList>
        <item>〉</item>
      </candidateList>
      <explain>文本全半角错误。</explain>
      <paraID>25283EC8</paraID>
      <start>33</start>
      <end>34</end>
      <status>unmodified</status>
      <modifiedWord/>
      <trackRevisions>false</trackRevisions>
    </reviewItem>
    <reviewItem>
      <errorID>e4a7c31c-ac7c-4d90-8ad8-464d4d5437a2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411FC5F</paraID>
      <start>0</start>
      <end>2</end>
      <status>unmodified</status>
      <modifiedWord/>
      <trackRevisions>false</trackRevisions>
    </reviewItem>
    <reviewItem>
      <errorID>2ad2abf0-fd5c-4028-b151-1e87d9b70abc</errorID>
      <errorWord>&lt;</errorWord>
      <group>L1_Format</group>
      <groupName>格式问题</groupName>
      <ability>L2_HalfPunc_CN</ability>
      <abilityName>全半角问题</abilityName>
      <candidateList>
        <item>〈</item>
      </candidateList>
      <explain>文本全半角错误。</explain>
      <paraID> 411FC5F</paraID>
      <start>156</start>
      <end>157</end>
      <status>unmodified</status>
      <modifiedWord/>
      <trackRevisions>false</trackRevisions>
    </reviewItem>
    <reviewItem>
      <errorID>cf1f1117-29d3-42c1-b1dc-8d6fb8f2c75e</errorID>
      <errorWord>&lt;</errorWord>
      <group>L1_Format</group>
      <groupName>格式问题</groupName>
      <ability>L2_HalfPunc_CN</ability>
      <abilityName>全半角问题</abilityName>
      <candidateList>
        <item>〈</item>
      </candidateList>
      <explain>文本全半角错误。</explain>
      <paraID> 411FC5F</paraID>
      <start>165</start>
      <end>166</end>
      <status>unmodified</status>
      <modifiedWord/>
      <trackRevisions>false</trackRevisions>
    </reviewItem>
    <reviewItem>
      <errorID>04550e99-694e-4c74-92e6-8e642a62a707</errorID>
      <errorWord>&lt;</errorWord>
      <group>L1_Format</group>
      <groupName>格式问题</groupName>
      <ability>L2_HalfPunc_CN</ability>
      <abilityName>全半角问题</abilityName>
      <candidateList>
        <item>〈</item>
      </candidateList>
      <explain>文本全半角错误。</explain>
      <paraID> 411FC5F</paraID>
      <start>176</start>
      <end>177</end>
      <status>unmodified</status>
      <modifiedWord/>
      <trackRevisions>false</trackRevisions>
    </reviewItem>
    <reviewItem>
      <errorID>9f62a33d-3e8f-45be-b937-dd85887211c9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6C5AFD88</paraID>
      <start>0</start>
      <end>2</end>
      <status>unmodified</status>
      <modifiedWord/>
      <trackRevisions>false</trackRevisions>
    </reviewItem>
    <reviewItem>
      <errorID>f7e5d845-003b-42db-b11c-216861513bb0</errorID>
      <errorWord>~</errorWord>
      <group>L1_Format</group>
      <groupName>格式问题</groupName>
      <ability>L2_HalfPunc_CN</ability>
      <abilityName>全半角问题</abilityName>
      <candidateList>
        <item>～</item>
      </candidateList>
      <explain>文本全半角错误。</explain>
      <paraID>6C5AFD88</paraID>
      <start>13</start>
      <end>14</end>
      <status>unmodified</status>
      <modifiedWord/>
      <trackRevisions>false</trackRevisions>
    </reviewItem>
    <reviewItem>
      <errorID>b7339c56-0c03-40c8-90ec-16b7f646c1bc</errorID>
      <errorWord>&gt;</errorWord>
      <group>L1_Format</group>
      <groupName>格式问题</groupName>
      <ability>L2_HalfPunc_CN</ability>
      <abilityName>全半角问题</abilityName>
      <candidateList>
        <item>〉</item>
      </candidateList>
      <explain>文本全半角错误。</explain>
      <paraID>6C5AFD88</paraID>
      <start>30</start>
      <end>31</end>
      <status>unmodified</status>
      <modifiedWord/>
      <trackRevisions>false</trackRevisions>
    </reviewItem>
    <reviewItem>
      <errorID>672c121a-d542-454a-99c5-708ca7595a30</errorID>
      <errorWord>剐</errorWord>
      <group>L1_Word</group>
      <groupName>字词问题</groupName>
      <ability>L2_Typo</ability>
      <abilityName>字词错误</abilityName>
      <candidateList>
        <item>刮</item>
      </candidateList>
      <explain>存在发音相同字词的误用。</explain>
      <paraID>6C5AFD88</paraID>
      <start>52</start>
      <end>53</end>
      <status>unmodified</status>
      <modifiedWord/>
      <trackRevisions>false</trackRevisions>
    </reviewItem>
    <reviewItem>
      <errorID>16a52f9c-ec00-4956-b87b-9397368e4851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6F703D19</paraID>
      <start>0</start>
      <end>3</end>
      <status>unmodified</status>
      <modifiedWord/>
      <trackRevisions>false</trackRevisions>
    </reviewItem>
    <reviewItem>
      <errorID>cd43afe7-8e6c-4b8a-b633-a4fafa937745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6F703D19</paraID>
      <start>55</start>
      <end>56</end>
      <status>unmodified</status>
      <modifiedWord/>
      <trackRevisions>false</trackRevisions>
    </reviewItem>
    <reviewItem>
      <errorID>874c5352-f6ff-4877-8afe-0dbb7d91684b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4D1514C2</paraID>
      <start>0</start>
      <end>3</end>
      <status>unmodified</status>
      <modifiedWord/>
      <trackRevisions>false</trackRevisions>
    </reviewItem>
    <reviewItem>
      <errorID>09a92bde-ce35-46d7-85dd-580397a98030</errorID>
      <errorWord>:</errorWord>
      <group>L1_Format</group>
      <groupName>格式问题</groupName>
      <ability>L2_HalfPunc_CN</ability>
      <abilityName>全半角问题</abilityName>
      <candidateList>
        <item>：</item>
      </candidateList>
      <explain>文本全半角错误。</explain>
      <paraID>5FC92658</paraID>
      <start>4</start>
      <end>5</end>
      <status>unmodified</status>
      <modifiedWord/>
      <trackRevisions>false</trackRevisions>
    </reviewItem>
    <reviewItem>
      <errorID>71628ce6-4af6-4c10-aa60-8deb8aa656ac</errorID>
      <errorWord>高杆</errorWord>
      <group>L1_Word</group>
      <groupName>字词问题</groupName>
      <ability>L2_Alias</ability>
      <abilityName>也作/曾用词</abilityName>
      <candidateList>
        <item>高秆</item>
      </candidateList>
      <explain>词汇[高杆]为不规范表述或旧称，其规范书面表述为[高秆]。</explain>
      <paraID>141D5C7B</paraID>
      <start>0</start>
      <end>2</end>
      <status>unmodified</status>
      <modifiedWord/>
      <trackRevisions>false</trackRevisions>
    </reviewItem>
    <reviewItem>
      <errorID>83b1c700-3608-4c6b-86e7-ae4202486203</errorID>
      <errorWord>24千</errorWord>
      <group>L1_Knowledge</group>
      <groupName>知识性问题</groupName>
      <ability>L2_Knowledge</ability>
      <abilityName>其他知识</abilityName>
      <candidateList>
        <item>24000</item>
      </candidateList>
      <explain>根据GB/T 15835-2011规定，只有“万”、“亿可以与阿拉伯数字混用，例如：“4万”、“4亿”、“4万亿”等。其他情况应统一使用阿拉伯数字。</explain>
      <paraID> 443AE02</paraID>
      <start>0</start>
      <end>3</end>
      <status>unmodified</status>
      <modifiedWord/>
      <trackRevisions>false</trackRevisions>
    </reviewItem>
    <reviewItem>
      <errorID>fde440a4-8985-4c9b-95f0-9a72bbcd4c29</errorID>
      <errorWord>,</errorWord>
      <group>L1_Format</group>
      <groupName>格式问题</groupName>
      <ability>L2_HalfPunc_CN</ability>
      <abilityName>全半角问题</abilityName>
      <candidateList>
        <item>，</item>
      </candidateList>
      <explain>文本全半角错误。</explain>
      <paraID> 443AE02</paraID>
      <start>6</start>
      <end>7</end>
      <status>unmodified</status>
      <modifiedWord/>
      <trackRevisions>false</trackRevisions>
    </reviewItem>
    <reviewItem>
      <errorID>d790581b-9d87-4ecc-b58b-1009ec642e65</errorID>
      <errorWord>2千</errorWord>
      <group>L1_Knowledge</group>
      <groupName>知识性问题</groupName>
      <ability>L2_Knowledge</ability>
      <abilityName>其他知识</abilityName>
      <candidateList>
        <item>2000</item>
      </candidateList>
      <explain>根据GB/T 15835-2011规定，只有“万”、“亿可以与阿拉伯数字混用，例如：“4万”、“4亿”、“4万亿”等。其他情况应统一使用阿拉伯数字。</explain>
      <paraID> 443AE02</paraID>
      <start>7</start>
      <end>9</end>
      <status>unmodified</status>
      <modifiedWord/>
      <trackRevisions>false</trackRevisions>
    </reviewItem>
    <reviewItem>
      <errorID>9a24bdfe-af2c-441e-b703-9f33491300c7</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 344A150</paraID>
      <start>2</start>
      <end>6</end>
      <status>unmodified</status>
      <modifiedWord/>
      <trackRevisions>false</trackRevisions>
    </reviewItem>
    <reviewItem>
      <errorID>00e35f63-7717-4a29-8147-a0e8d54596e2</errorID>
      <errorWord>中华人民共和国民法典</errorWord>
      <group>L1_Knowledge</group>
      <groupName>知识性问题</groupName>
      <ability>L2_Knowledge</ability>
      <abilityName>其他知识</abilityName>
      <candidateList>
        <item>《中华人民共和国民法典》</item>
      </candidateList>
      <explain>完整法律法规名称需要加书名号，请注意检查。</explain>
      <paraID>7B92D641</paraID>
      <start>79</start>
      <end>91</end>
      <status>modified</status>
      <modifiedWord>《中华人民共和国民法典》</modifiedWord>
      <trackRevisions>false</trackRevisions>
    </reviewItem>
    <reviewItem>
      <errorID>5da62f05-8850-44de-801c-fde9bdfc6594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99AAEB4</paraID>
      <start>0</start>
      <end>2</end>
      <status>unmodified</status>
      <modifiedWord/>
      <trackRevisions>false</trackRevisions>
    </reviewItem>
    <reviewItem>
      <errorID>50a203a9-c2cb-44ae-93f2-fb72385ba831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2B78700E</paraID>
      <start>0</start>
      <end>2</end>
      <status>unmodified</status>
      <modifiedWord/>
      <trackRevisions>false</trackRevisions>
    </reviewItem>
    <reviewItem>
      <errorID>47c7d9c1-f188-471f-8805-e705ab7d9af3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65FA3F97</paraID>
      <start>0</start>
      <end>2</end>
      <status>unmodified</status>
      <modifiedWord/>
      <trackRevisions>false</trackRevisions>
    </reviewItem>
    <reviewItem>
      <errorID>ac998709-0854-471b-bdc1-ed9b684a6085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6C77A5F0</paraID>
      <start>0</start>
      <end>2</end>
      <status>unmodified</status>
      <modifiedWord/>
      <trackRevisions>false</trackRevisions>
    </reviewItem>
    <reviewItem>
      <errorID>a09fdba9-7a3e-4e11-91b0-420ec56e753f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3E2D3B40</paraID>
      <start>0</start>
      <end>2</end>
      <status>unmodified</status>
      <modifiedWord/>
      <trackRevisions>false</trackRevisions>
    </reviewItem>
    <reviewItem>
      <errorID>a00e5961-d75c-4bd7-a082-10dcdb828224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55FEDEC1</paraID>
      <start>0</start>
      <end>2</end>
      <status>unmodified</status>
      <modifiedWord/>
      <trackRevisions>false</trackRevisions>
    </reviewItem>
    <reviewItem>
      <errorID>6cc52bd5-a049-4c36-b476-b259c22f9781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27FEFF4E</paraID>
      <start>0</start>
      <end>2</end>
      <status>unmodified</status>
      <modifiedWord/>
      <trackRevisions>false</trackRevisions>
    </reviewItem>
    <reviewItem>
      <errorID>a07c99db-dc55-42ec-9ee2-641d3776005b</errorID>
      <errorWord>JB</errorWord>
      <group>L1_Sensitive</group>
      <groupName>敏感问题</groupName>
      <ability>L2_Abuse</ability>
      <abilityName>侮辱言辞</abilityName>
      <candidateList/>
      <explain>【侮辱言辞】句中涉及侮辱性的敏感内容，请注意甄别。</explain>
      <paraID>51A836B2</paraID>
      <start>10</start>
      <end>12</end>
      <status>unmodified</status>
      <modifiedWord/>
      <trackRevisions>false</trackRevisions>
    </reviewItem>
    <reviewItem>
      <errorID>d4ea2f77-283e-4ec0-b78f-ddf813bf8aab</errorID>
      <errorWord>JB</errorWord>
      <group>L1_Sensitive</group>
      <groupName>敏感问题</groupName>
      <ability>L2_Abuse</ability>
      <abilityName>侮辱言辞</abilityName>
      <candidateList/>
      <explain>【侮辱言辞】句中涉及侮辱性的敏感内容，请注意甄别。</explain>
      <paraID>47C26F50</paraID>
      <start>10</start>
      <end>12</end>
      <status>unmodified</status>
      <modifiedWord/>
      <trackRevisions>false</trackRevisions>
    </reviewItem>
    <reviewItem>
      <errorID>1df20465-b18d-4afb-82fe-179a6342e0b5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4480E0B9</paraID>
      <start>0</start>
      <end>2</end>
      <status>unmodified</status>
      <modifiedWord/>
      <trackRevisions>false</trackRevisions>
    </reviewItem>
    <reviewItem>
      <errorID>26fc2de9-52a8-40df-8118-9db90b729e80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268439B</paraID>
      <start>0</start>
      <end>3</end>
      <status>unmodified</status>
      <modifiedWord/>
      <trackRevisions>false</trackRevisions>
    </reviewItem>
    <reviewItem>
      <errorID>69d0e2a5-7249-463f-b0ca-fed6e78ab532</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7A9EB267</paraID>
      <start>0</start>
      <end>3</end>
      <status>unmodified</status>
      <modifiedWord/>
      <trackRevisions>false</trackRevisions>
    </reviewItem>
    <reviewItem>
      <errorID>87431a7b-870e-468e-b619-972cfe96ba93</errorID>
      <errorWord>.</errorWord>
      <group>L1_Format</group>
      <groupName>格式问题</groupName>
      <ability>L2_HalfPunc_CN</ability>
      <abilityName>全半角问题</abilityName>
      <candidateList>
        <item>。</item>
      </candidateList>
      <explain>文本全半角错误。</explain>
      <paraID> AED5A02</paraID>
      <start>14</start>
      <end>15</end>
      <status>unmodified</status>
      <modifiedWord/>
      <trackRevisions>false</trackRevisions>
    </reviewItem>
    <reviewItem>
      <errorID>c95a4467-1fdb-417a-89a5-803fba5a297d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7AE67BF2</paraID>
      <start>0</start>
      <end>3</end>
      <status>unmodified</status>
      <modifiedWord/>
      <trackRevisions>false</trackRevisions>
    </reviewItem>
    <reviewItem>
      <errorID>61994da2-c66b-4943-9d2f-50e74ba5a5bb</errorID>
      <errorWord>提出的</errorWord>
      <group>L1_Word</group>
      <groupName>字词问题</groupName>
      <ability>L2_Typo</ability>
      <abilityName>字词错误</abilityName>
      <candidateList>
        <item>提出</item>
      </candidateList>
      <explain/>
      <paraID>71EEFEDE</paraID>
      <start>30</start>
      <end>33</end>
      <status>unmodified</status>
      <modifiedWord/>
      <trackRevisions>false</trackRevisions>
    </reviewItem>
    <reviewItem>
      <errorID>bdb86efd-a349-4d7c-8388-5ecde99e7906</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1182AD21</paraID>
      <start>0</start>
      <end>3</end>
      <status>unmodified</status>
      <modifiedWord/>
      <trackRevisions>false</trackRevisions>
    </reviewItem>
    <reviewItem>
      <errorID>be7faedf-2fb0-4475-97d9-c32949dfc8c7</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525AD6E5</paraID>
      <start>0</start>
      <end>3</end>
      <status>unmodified</status>
      <modifiedWord/>
      <trackRevisions>false</trackRevisions>
    </reviewItem>
    <reviewItem>
      <errorID>a111d69c-6366-4e37-af6b-c881c94e2b09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3C927744</paraID>
      <start>0</start>
      <end>3</end>
      <status>unmodified</status>
      <modifiedWord/>
      <trackRevisions>false</trackRevisions>
    </reviewItem>
    <reviewItem>
      <errorID>a97ab5c4-9fa1-4b7f-bbac-19abc0b05c16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38FCA436</paraID>
      <start>0</start>
      <end>3</end>
      <status>unmodified</status>
      <modifiedWord/>
      <trackRevisions>false</trackRevisions>
    </reviewItem>
    <reviewItem>
      <errorID>47bf6c04-6297-44f1-ad9f-f1d252917e4b</errorID>
      <errorWord>帐</errorWord>
      <group>L1_Word</group>
      <groupName>字词问题</groupName>
      <ability>L2_Typo</ability>
      <abilityName>字词错误</abilityName>
      <candidateList>
        <item>账</item>
      </candidateList>
      <explain>存在发音相同字词的误用。</explain>
      <paraID>7CE4516D</paraID>
      <start>0</start>
      <end>1</end>
      <status>unmodified</status>
      <modifiedWord/>
      <trackRevisions>false</trackRevisions>
    </reviewItem>
    <reviewItem>
      <errorID>cadf27cb-31e3-4584-8fb0-54f410847168</errorID>
      <errorWord>帐    号：</errorWord>
      <group>L1_Word</group>
      <groupName>字词问题</groupName>
      <ability>L2_Typo</ability>
      <abilityName>字词错误</abilityName>
      <candidateList>
        <item>账    号：</item>
      </candidateList>
      <explain/>
      <paraID>7CE4516D</paraID>
      <start>31</start>
      <end>38</end>
      <status>unmodified</status>
      <modifiedWord/>
      <trackRevisions>false</trackRevisions>
    </reviewItem>
    <reviewItem>
      <errorID>5bc9ed10-3d79-448f-b389-1b5ab37ad0a7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1B3C131A</paraID>
      <start>0</start>
      <end>2</end>
      <status>unmodified</status>
      <modifiedWord/>
      <trackRevisions>false</trackRevisions>
    </reviewItem>
    <reviewItem>
      <errorID>f766ccab-ddd4-4f39-bdeb-ae8baa9178fa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2B2D0826</paraID>
      <start>0</start>
      <end>2</end>
      <status>unmodified</status>
      <modifiedWord/>
      <trackRevisions>false</trackRevisions>
    </reviewItem>
    <reviewItem>
      <errorID>98bbbb21-d397-4465-b4e7-9db5450f0e38</errorID>
      <errorWord>法律、法规</errorWord>
      <group>L1_Word</group>
      <groupName>字词问题</groupName>
      <ability>L2_Typo</ability>
      <abilityName>字词错误</abilityName>
      <candidateList>
        <item>法律法规</item>
      </candidateList>
      <explain/>
      <paraID>350768D9</paraID>
      <start>20</start>
      <end>25</end>
      <status>unmodified</status>
      <modifiedWord/>
      <trackRevisions>false</trackRevisions>
    </reviewItem>
    <reviewItem>
      <errorID>e1a1473e-ee60-474f-81a1-d188b274a097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D4303ED</paraID>
      <start>0</start>
      <end>2</end>
      <status>unmodified</status>
      <modifiedWord/>
      <trackRevisions>false</trackRevisions>
    </reviewItem>
    <reviewItem>
      <errorID>e1b6c3fa-1fef-49b9-b99f-ffff64e85b78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F167530</paraID>
      <start>0</start>
      <end>3</end>
      <status>unmodified</status>
      <modifiedWord/>
      <trackRevisions>false</trackRevisions>
    </reviewItem>
    <reviewItem>
      <errorID>6e688bae-775f-4c06-aec5-23571de90d90</errorID>
      <errorWord>和其它有关</errorWord>
      <group>L1_Word</group>
      <groupName>字词问题</groupName>
      <ability>L2_Alias</ability>
      <abilityName>也作/曾用词</abilityName>
      <candidateList>
        <item>和其他有关</item>
      </candidateList>
      <explain>词汇[和其它有关]为不规范表述或旧称，其规范书面表述为[和其他有关]。</explain>
      <paraID>30C20882</paraID>
      <start>13</start>
      <end>18</end>
      <status>unmodified</status>
      <modifiedWord/>
      <trackRevisions>false</trackRevisions>
    </reviewItem>
    <reviewItem>
      <errorID>a46d4ac5-7f8d-4764-887c-1496d1b55c96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35519D3D</paraID>
      <start>0</start>
      <end>2</end>
      <status>unmodified</status>
      <modifiedWord/>
      <trackRevisions>false</trackRevisions>
    </reviewItem>
    <reviewItem>
      <errorID>8157bcb8-a18b-4ae7-8c5f-8b0f7a1c9cb3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5350813F</paraID>
      <start>0</start>
      <end>3</end>
      <status>unmodified</status>
      <modifiedWord/>
      <trackRevisions>false</trackRevisions>
    </reviewItem>
    <reviewItem>
      <errorID>884fd124-5a34-4526-bf4a-e103bf9626b0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14D5583</paraID>
      <start>0</start>
      <end>3</end>
      <status>unmodified</status>
      <modifiedWord/>
      <trackRevisions>false</trackRevisions>
    </reviewItem>
    <reviewItem>
      <errorID>2622ae56-d8c5-4d71-b217-df8190d2a51b</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52342AC1</paraID>
      <start>0</start>
      <end>2</end>
      <status>unmodified</status>
      <modifiedWord/>
      <trackRevisions>false</trackRevisions>
    </reviewItem>
    <reviewItem>
      <errorID>4a017f5d-3f75-4808-83d6-932ee325a55c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670E654</paraID>
      <start>0</start>
      <end>2</end>
      <status>unmodified</status>
      <modifiedWord/>
      <trackRevisions>false</trackRevisions>
    </reviewItem>
    <reviewItem>
      <errorID>d61e06e3-6064-4a9b-bd95-59d8ada26703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128C1C1A</paraID>
      <start>0</start>
      <end>2</end>
      <status>unmodified</status>
      <modifiedWord/>
      <trackRevisions>false</trackRevisions>
    </reviewItem>
    <reviewItem>
      <errorID>f63f4b9b-3732-46d9-8298-a5430f90ff3c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234CFC42</paraID>
      <start>0</start>
      <end>3</end>
      <status>unmodified</status>
      <modifiedWord/>
      <trackRevisions>false</trackRevisions>
    </reviewItem>
    <reviewItem>
      <errorID>25889101-00cf-4449-818b-1c50d0bbb4d1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2B7E6E5F</paraID>
      <start>0</start>
      <end>3</end>
      <status>unmodified</status>
      <modifiedWord/>
      <trackRevisions>false</trackRevisions>
    </reviewItem>
    <reviewItem>
      <errorID>8d3b2d19-8d6b-4be5-a1c4-7b5d16882336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77D00B4D</paraID>
      <start>0</start>
      <end>3</end>
      <status>unmodified</status>
      <modifiedWord/>
      <trackRevisions>false</trackRevisions>
    </reviewItem>
    <reviewItem>
      <errorID>a23100cd-f5d3-498d-b27d-b03029e56011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4F3E3870</paraID>
      <start>0</start>
      <end>2</end>
      <status>unmodified</status>
      <modifiedWord/>
      <trackRevisions>false</trackRevisions>
    </reviewItem>
    <reviewItem>
      <errorID>c5b88e3f-be9b-4ed1-b394-1490d65f10f3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3E47AFE6</paraID>
      <start>0</start>
      <end>2</end>
      <status>unmodified</status>
      <modifiedWord/>
      <trackRevisions>false</trackRevisions>
    </reviewItem>
    <reviewItem>
      <errorID>cbfca129-a458-4518-bcbb-eda3dee892a0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2AEA2FEE</paraID>
      <start>0</start>
      <end>3</end>
      <status>unmodified</status>
      <modifiedWord/>
      <trackRevisions>false</trackRevisions>
    </reviewItem>
    <reviewItem>
      <errorID>6871e73f-e0aa-40bc-bf85-83c3c63209c1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3450CDFD</paraID>
      <start>0</start>
      <end>3</end>
      <status>unmodified</status>
      <modifiedWord/>
      <trackRevisions>false</trackRevisions>
    </reviewItem>
    <reviewItem>
      <errorID>5ae38453-7e1d-46e0-b678-6bb88e1b9776</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4C93A76F</paraID>
      <start>0</start>
      <end>2</end>
      <status>unmodified</status>
      <modifiedWord/>
      <trackRevisions>false</trackRevisions>
    </reviewItem>
    <reviewItem>
      <errorID>3e7e9503-1762-4883-b9af-27c720ab50c7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713E6A7E</paraID>
      <start>0</start>
      <end>2</end>
      <status>unmodified</status>
      <modifiedWord/>
      <trackRevisions>false</trackRevisions>
    </reviewItem>
    <reviewItem>
      <errorID>3198ccd8-0c06-4148-8fb7-c873cdb0f141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30AA9CFC</paraID>
      <start>0</start>
      <end>3</end>
      <status>unmodified</status>
      <modifiedWord/>
      <trackRevisions>false</trackRevisions>
    </reviewItem>
    <reviewItem>
      <errorID>52600664-326c-4545-907a-5f60e80085d1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5CA353B2</paraID>
      <start>0</start>
      <end>3</end>
      <status>unmodified</status>
      <modifiedWord/>
      <trackRevisions>false</trackRevisions>
    </reviewItem>
    <reviewItem>
      <errorID>ba0824f7-fa88-488b-95f8-172f566a8627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1335840E</paraID>
      <start>0</start>
      <end>3</end>
      <status>unmodified</status>
      <modifiedWord/>
      <trackRevisions>false</trackRevisions>
    </reviewItem>
    <reviewItem>
      <errorID>e396992a-2efe-4f9c-954b-ae292fe624c4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1EDC8AEB</paraID>
      <start>0</start>
      <end>2</end>
      <status>unmodified</status>
      <modifiedWord/>
      <trackRevisions>false</trackRevisions>
    </reviewItem>
    <reviewItem>
      <errorID>e1c55f18-eb8b-49ad-8e5e-7721e06eb14e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37A26CE</paraID>
      <start>0</start>
      <end>3</end>
      <status>unmodified</status>
      <modifiedWord/>
      <trackRevisions>false</trackRevisions>
    </reviewItem>
    <reviewItem>
      <errorID>16196a2d-75e8-4a1c-9431-feaef644376f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21EE5B41</paraID>
      <start>0</start>
      <end>3</end>
      <status>unmodified</status>
      <modifiedWord/>
      <trackRevisions>false</trackRevisions>
    </reviewItem>
    <reviewItem>
      <errorID>793e760d-54ba-412a-bb88-867e00ad0848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5A7EB55</paraID>
      <start>0</start>
      <end>3</end>
      <status>unmodified</status>
      <modifiedWord/>
      <trackRevisions>false</trackRevisions>
    </reviewItem>
    <reviewItem>
      <errorID>5b9988d2-86b5-46d4-ae8c-b897ebef502b</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1C05E96C</paraID>
      <start>0</start>
      <end>2</end>
      <status>unmodified</status>
      <modifiedWord/>
      <trackRevisions>false</trackRevisions>
    </reviewItem>
    <reviewItem>
      <errorID>4ffb0c70-5abc-4d97-95b4-df75f5d77a07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409DB74F</paraID>
      <start>0</start>
      <end>3</end>
      <status>unmodified</status>
      <modifiedWord/>
      <trackRevisions>false</trackRevisions>
    </reviewItem>
    <reviewItem>
      <errorID>e8ec8e8c-c9ee-48fa-826d-4b2e1667ef70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2381C873</paraID>
      <start>0</start>
      <end>3</end>
      <status>unmodified</status>
      <modifiedWord/>
      <trackRevisions>false</trackRevisions>
    </reviewItem>
    <reviewItem>
      <errorID>0392f51c-61b1-44a3-8a7d-fdb9f3ff338a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71C2A9DA</paraID>
      <start>0</start>
      <end>3</end>
      <status>unmodified</status>
      <modifiedWord/>
      <trackRevisions>false</trackRevisions>
    </reviewItem>
    <reviewItem>
      <errorID>9e0df7c6-9b6f-4e4b-989d-a3ea71f2170e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5BA603C9</paraID>
      <start>0</start>
      <end>3</end>
      <status>unmodified</status>
      <modifiedWord/>
      <trackRevisions>false</trackRevisions>
    </reviewItem>
    <reviewItem>
      <errorID>e4ef0e3f-a0d1-42c7-b0a0-ca3a20e9889b</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1D7DDCDA</paraID>
      <start>0</start>
      <end>2</end>
      <status>unmodified</status>
      <modifiedWord/>
      <trackRevisions>false</trackRevisions>
    </reviewItem>
    <reviewItem>
      <errorID>b7f6e926-e4a4-43bc-aa1a-8d3a5ad11d29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497BEC64</paraID>
      <start>0</start>
      <end>3</end>
      <status>unmodified</status>
      <modifiedWord/>
      <trackRevisions>false</trackRevisions>
    </reviewItem>
    <reviewItem>
      <errorID>6fbbcff9-a2b3-4253-b5c1-ba7d7b0cd23d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2AB1430C</paraID>
      <start>0</start>
      <end>3</end>
      <status>unmodified</status>
      <modifiedWord/>
      <trackRevisions>false</trackRevisions>
    </reviewItem>
    <reviewItem>
      <errorID>b9ebda39-dd35-4bba-9874-b3861a3d4d95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21EDA0D2</paraID>
      <start>0</start>
      <end>3</end>
      <status>unmodified</status>
      <modifiedWord/>
      <trackRevisions>false</trackRevisions>
    </reviewItem>
    <reviewItem>
      <errorID>02685b61-41eb-420e-82ac-939af2e3e193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422120BC</paraID>
      <start>0</start>
      <end>3</end>
      <status>unmodified</status>
      <modifiedWord/>
      <trackRevisions>false</trackRevisions>
    </reviewItem>
    <reviewItem>
      <errorID>34652ed6-3b9f-4bc1-9b9f-c38feb2a545d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2317A82C</paraID>
      <start>0</start>
      <end>3</end>
      <status>unmodified</status>
      <modifiedWord/>
      <trackRevisions>false</trackRevisions>
    </reviewItem>
    <reviewItem>
      <errorID>d10b63d7-861f-48dc-9828-a6fe9105edf5</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2AEB14B</paraID>
      <start>0</start>
      <end>2</end>
      <status>unmodified</status>
      <modifiedWord/>
      <trackRevisions>false</trackRevisions>
    </reviewItem>
    <reviewItem>
      <errorID>6000924a-639e-4432-89c9-5e9f92727532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5F1B7DB5</paraID>
      <start>0</start>
      <end>3</end>
      <status>unmodified</status>
      <modifiedWord/>
      <trackRevisions>false</trackRevisions>
    </reviewItem>
    <reviewItem>
      <errorID>56785eea-4656-4826-9704-8e334c389d1c</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6734B9D0</paraID>
      <start>0</start>
      <end>3</end>
      <status>unmodified</status>
      <modifiedWord/>
      <trackRevisions>false</trackRevisions>
    </reviewItem>
    <reviewItem>
      <errorID>714480c4-b138-4269-b049-cfd41bc82b82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2C6B14AE</paraID>
      <start>0</start>
      <end>3</end>
      <status>unmodified</status>
      <modifiedWord/>
      <trackRevisions>false</trackRevisions>
    </reviewItem>
    <reviewItem>
      <errorID>dd014709-1598-444d-858c-7813dc29e625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3E6F0EAA</paraID>
      <start>0</start>
      <end>3</end>
      <status>unmodified</status>
      <modifiedWord/>
      <trackRevisions>false</trackRevisions>
    </reviewItem>
    <reviewItem>
      <errorID>9b9f3962-0e77-44c8-973c-352467fd5168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68B6282</paraID>
      <start>0</start>
      <end>3</end>
      <status>unmodified</status>
      <modifiedWord/>
      <trackRevisions>false</trackRevisions>
    </reviewItem>
    <reviewItem>
      <errorID>cb31eb95-fdb4-448e-aa6a-82bb56ef1da8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4650063A</paraID>
      <start>0</start>
      <end>3</end>
      <status>unmodified</status>
      <modifiedWord/>
      <trackRevisions>false</trackRevisions>
    </reviewItem>
    <reviewItem>
      <errorID>cd21fc6c-bee4-4e64-ad65-04ed16523aba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49F91047</paraID>
      <start>0</start>
      <end>3</end>
      <status>unmodified</status>
      <modifiedWord/>
      <trackRevisions>false</trackRevisions>
    </reviewItem>
    <reviewItem>
      <errorID>e9fb5727-ecff-45cc-af6e-eae3b9922284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665CA665</paraID>
      <start>0</start>
      <end>3</end>
      <status>unmodified</status>
      <modifiedWord/>
      <trackRevisions>false</trackRevisions>
    </reviewItem>
    <reviewItem>
      <errorID>684643ce-378f-4010-a06a-4847b239c12b</errorID>
      <errorWord>仍</errorWord>
      <group>L1_Word</group>
      <groupName>字词问题</groupName>
      <ability>L2_Typo</ability>
      <abilityName>字词错误</abilityName>
      <candidateList>
        <item>仍有</item>
      </candidateList>
      <explain/>
      <paraID>665CA665</paraID>
      <start>31</start>
      <end>32</end>
      <status>unmodified</status>
      <modifiedWord/>
      <trackRevisions>false</trackRevisions>
    </reviewItem>
    <reviewItem>
      <errorID>69ddc41f-8126-4d55-8c2c-c1f7136a75cc</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2CE615A5</paraID>
      <start>0</start>
      <end>3</end>
      <status>unmodified</status>
      <modifiedWord/>
      <trackRevisions>false</trackRevisions>
    </reviewItem>
    <reviewItem>
      <errorID>db5b4473-d7dc-4b34-a43a-30f8ff131b52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6B08A312</paraID>
      <start>0</start>
      <end>3</end>
      <status>unmodified</status>
      <modifiedWord/>
      <trackRevisions>false</trackRevisions>
    </reviewItem>
    <reviewItem>
      <errorID>08cd95eb-8cc5-418a-9570-174171aaaae3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27F44807</paraID>
      <start>0</start>
      <end>3</end>
      <status>unmodified</status>
      <modifiedWord/>
      <trackRevisions>false</trackRevisions>
    </reviewItem>
    <reviewItem>
      <errorID>940f4653-43c1-493f-92dc-ae5153869c3a</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38C82399</paraID>
      <start>0</start>
      <end>2</end>
      <status>unmodified</status>
      <modifiedWord/>
      <trackRevisions>false</trackRevisions>
    </reviewItem>
    <reviewItem>
      <errorID>f92e5880-91b4-4090-846a-f3e38778c32d</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24CC4C0B</paraID>
      <start>0</start>
      <end>3</end>
      <status>unmodified</status>
      <modifiedWord/>
      <trackRevisions>false</trackRevisions>
    </reviewItem>
    <reviewItem>
      <errorID>eb6abe00-55f5-4bc1-aa62-18a18f445f5d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1B02DE78</paraID>
      <start>0</start>
      <end>3</end>
      <status>unmodified</status>
      <modifiedWord/>
      <trackRevisions>false</trackRevisions>
    </reviewItem>
    <reviewItem>
      <errorID>7a7d12fb-6121-4164-b246-d4001dc22435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24E223E8</paraID>
      <start>0</start>
      <end>3</end>
      <status>unmodified</status>
      <modifiedWord/>
      <trackRevisions>false</trackRevisions>
    </reviewItem>
    <reviewItem>
      <errorID>e8cbff9f-4872-4f3f-8aee-b13f9fe6c163</errorID>
      <errorWord>其它</errorWord>
      <group>L1_Word</group>
      <groupName>字词问题</groupName>
      <ability>L2_Alias</ability>
      <abilityName>也作/曾用词</abilityName>
      <candidateList>
        <item>其他</item>
      </candidateList>
      <explain>词汇[其它]为不规范表述或旧称，其规范书面表述为[其他]。</explain>
      <paraID>  5E08B8</paraID>
      <start>86</start>
      <end>88</end>
      <status>unmodified</status>
      <modifiedWord/>
      <trackRevisions>false</trackRevisions>
    </reviewItem>
    <reviewItem>
      <errorID>0722ed1b-e884-4b70-9bf0-c3a6d12c849c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695C2718</paraID>
      <start>0</start>
      <end>3</end>
      <status>unmodified</status>
      <modifiedWord/>
      <trackRevisions>false</trackRevisions>
    </reviewItem>
    <reviewItem>
      <errorID>a78c03df-3f26-4a47-ab1d-829db1f19e03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60CC5370</paraID>
      <start>0</start>
      <end>3</end>
      <status>unmodified</status>
      <modifiedWord/>
      <trackRevisions>false</trackRevisions>
    </reviewItem>
    <reviewItem>
      <errorID>135fdb6e-4eb2-44ba-8384-86f2931ff4d0</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18D997B0</paraID>
      <start>0</start>
      <end>2</end>
      <status>unmodified</status>
      <modifiedWord/>
      <trackRevisions>false</trackRevisions>
    </reviewItem>
    <reviewItem>
      <errorID>55a18ada-582c-4e51-9f51-f2989f5f6389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7A227B2</paraID>
      <start>0</start>
      <end>3</end>
      <status>unmodified</status>
      <modifiedWord/>
      <trackRevisions>false</trackRevisions>
    </reviewItem>
    <reviewItem>
      <errorID>178e53e6-38db-46da-b906-34219d2f71aa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1C656759</paraID>
      <start>0</start>
      <end>3</end>
      <status>unmodified</status>
      <modifiedWord/>
      <trackRevisions>false</trackRevisions>
    </reviewItem>
    <reviewItem>
      <errorID>b0eb3a25-2904-4c7d-bcf6-46faf417d2e3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2BFD990C</paraID>
      <start>0</start>
      <end>3</end>
      <status>unmodified</status>
      <modifiedWord/>
      <trackRevisions>false</trackRevisions>
    </reviewItem>
    <reviewItem>
      <errorID>cedd95dd-2659-430c-8c29-534f3a64fcaa</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2A37327A</paraID>
      <start>0</start>
      <end>2</end>
      <status>unmodified</status>
      <modifiedWord/>
      <trackRevisions>false</trackRevisions>
    </reviewItem>
    <reviewItem>
      <errorID>8285b0b6-ea46-481d-853e-4e49a2cf1fba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69650E97</paraID>
      <start>0</start>
      <end>3</end>
      <status>unmodified</status>
      <modifiedWord/>
      <trackRevisions>false</trackRevisions>
    </reviewItem>
    <reviewItem>
      <errorID>8afc024d-01b8-4977-97e2-c6aae4a5a749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548BFCE5</paraID>
      <start>0</start>
      <end>3</end>
      <status>unmodified</status>
      <modifiedWord/>
      <trackRevisions>false</trackRevisions>
    </reviewItem>
    <reviewItem>
      <errorID>4ac1e465-30ed-42b8-9320-16a36ed5d605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AB60C8B</paraID>
      <start>0</start>
      <end>3</end>
      <status>unmodified</status>
      <modifiedWord/>
      <trackRevisions>false</trackRevisions>
    </reviewItem>
    <reviewItem>
      <errorID>f80899e8-598b-4754-8fd2-e8f17585beb6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23D15BC2</paraID>
      <start>0</start>
      <end>3</end>
      <status>unmodified</status>
      <modifiedWord/>
      <trackRevisions>false</trackRevisions>
    </reviewItem>
    <reviewItem>
      <errorID>0d4583a4-76e8-41ff-9c75-908e6ea87f37</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DB241BA</paraID>
      <start>0</start>
      <end>3</end>
      <status>unmodified</status>
      <modifiedWord/>
      <trackRevisions>false</trackRevisions>
    </reviewItem>
    <reviewItem>
      <errorID>ae19fec6-6c41-478e-bd38-bad21db2c11a</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11BF2F40</paraID>
      <start>0</start>
      <end>2</end>
      <status>unmodified</status>
      <modifiedWord/>
      <trackRevisions>false</trackRevisions>
    </reviewItem>
    <reviewItem>
      <errorID>17b295c8-000c-415d-af03-6aa930a51f9b</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6DE0816F</paraID>
      <start>0</start>
      <end>3</end>
      <status>unmodified</status>
      <modifiedWord/>
      <trackRevisions>false</trackRevisions>
    </reviewItem>
    <reviewItem>
      <errorID>a9fa844d-54f0-46c2-8559-d9a6760ef34f</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39E8ED22</paraID>
      <start>0</start>
      <end>3</end>
      <status>unmodified</status>
      <modifiedWord/>
      <trackRevisions>false</trackRevisions>
    </reviewItem>
    <reviewItem>
      <errorID>4fad070c-0e50-4852-a06e-a7ed27caf993</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50BACCBB</paraID>
      <start>0</start>
      <end>3</end>
      <status>unmodified</status>
      <modifiedWord/>
      <trackRevisions>false</trackRevisions>
    </reviewItem>
    <reviewItem>
      <errorID>c279f678-8524-4818-bf54-93bf2af0efb5</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5EA6E94</paraID>
      <start>0</start>
      <end>3</end>
      <status>unmodified</status>
      <modifiedWord/>
      <trackRevisions>false</trackRevisions>
    </reviewItem>
    <reviewItem>
      <errorID>e5a31890-a55f-4b01-84cd-bbdbc5396f7f</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11695F1F</paraID>
      <start>0</start>
      <end>3</end>
      <status>unmodified</status>
      <modifiedWord/>
      <trackRevisions>false</trackRevisions>
    </reviewItem>
    <reviewItem>
      <errorID>d408e0b8-ad1c-4f1a-8ad7-10d4e4f810c9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F82A3E3</paraID>
      <start>20</start>
      <end>23</end>
      <status>unmodified</status>
      <modifiedWord/>
      <trackRevisions>false</trackRevisions>
    </reviewItem>
    <reviewItem>
      <errorID>ed65f7dd-b5c8-4f72-9855-f8dd464fadf6</errorID>
      <errorWord>(</errorWord>
      <group>L1_Format</group>
      <groupName>格式问题</groupName>
      <ability>L2_HalfPunc_CN</ability>
      <abilityName>全半角问题</abilityName>
      <candidateList>
        <item>（</item>
      </candidateList>
      <explain>文本全半角错误。</explain>
      <paraID>337272C4</paraID>
      <start>91</start>
      <end>92</end>
      <status>unmodified</status>
      <modifiedWord/>
      <trackRevisions>false</trackRevisions>
    </reviewItem>
    <reviewItem>
      <errorID>5329c77e-ac53-4595-996e-5b451778eebe</errorID>
      <errorWord>......</errorWord>
      <group>L1_Punc</group>
      <groupName>标点问题</groupName>
      <ability>L2_Punc_CN</ability>
      <abilityName>标点符号问题</abilityName>
      <candidateList>
        <item>……</item>
      </candidateList>
      <explain/>
      <paraID>60B76685</paraID>
      <start>0</start>
      <end>6</end>
      <status>unmodified</status>
      <modifiedWord/>
      <trackRevisions>false</trackRevisions>
    </reviewItem>
    <reviewItem>
      <errorID>ab311d57-2380-46b9-8ce8-fd9c2060441a</errorID>
      <errorWord>(</errorWord>
      <group>L1_Format</group>
      <groupName>格式问题</groupName>
      <ability>L2_HalfPunc_CN</ability>
      <abilityName>全半角问题</abilityName>
      <candidateList>
        <item>（</item>
      </candidateList>
      <explain>文本全半角错误。</explain>
      <paraID>3D0CA067</paraID>
      <start>35</start>
      <end>36</end>
      <status>unmodified</status>
      <modifiedWord/>
      <trackRevisions>false</trackRevisions>
    </reviewItem>
    <reviewItem>
      <errorID>1fc13a55-f4fe-4524-ae69-74fcc206d8c9</errorID>
      <errorWord>)</errorWord>
      <group>L1_Format</group>
      <groupName>格式问题</groupName>
      <ability>L2_HalfPunc_CN</ability>
      <abilityName>全半角问题</abilityName>
      <candidateList>
        <item>）</item>
      </candidateList>
      <explain>文本全半角错误。</explain>
      <paraID>3D0CA067</paraID>
      <start>41</start>
      <end>42</end>
      <status>unmodified</status>
      <modifiedWord/>
      <trackRevisions>false</trackRevisions>
    </reviewItem>
    <reviewItem>
      <errorID>d8db9c9d-1e4e-4a44-b232-7f4fd7625074</errorID>
      <errorWord>(</errorWord>
      <group>L1_Format</group>
      <groupName>格式问题</groupName>
      <ability>L2_HalfPunc_CN</ability>
      <abilityName>全半角问题</abilityName>
      <candidateList>
        <item>（</item>
      </candidateList>
      <explain>文本全半角错误。</explain>
      <paraID> F587213</paraID>
      <start>37</start>
      <end>38</end>
      <status>unmodified</status>
      <modifiedWord/>
      <trackRevisions>false</trackRevisions>
    </reviewItem>
    <reviewItem>
      <errorID>fbc648b7-9525-4832-98dd-c38cddba666c</errorID>
      <errorWord>)</errorWord>
      <group>L1_Format</group>
      <groupName>格式问题</groupName>
      <ability>L2_HalfPunc_CN</ability>
      <abilityName>全半角问题</abilityName>
      <candidateList>
        <item>）</item>
      </candidateList>
      <explain>文本全半角错误。</explain>
      <paraID> F587213</paraID>
      <start>40</start>
      <end>41</end>
      <status>unmodified</status>
      <modifiedWord/>
      <trackRevisions>false</trackRevisions>
    </reviewItem>
    <reviewItem>
      <errorID>e2a45093-b4b7-4274-8877-1bc060091b26</errorID>
      <errorWord>)</errorWord>
      <group>L1_Format</group>
      <groupName>格式问题</groupName>
      <ability>L2_HalfPunc_CN</ability>
      <abilityName>全半角问题</abilityName>
      <candidateList>
        <item>）</item>
      </candidateList>
      <explain>文本全半角错误。</explain>
      <paraID>265D23AE</paraID>
      <start>3</start>
      <end>4</end>
      <status>unmodified</status>
      <modifiedWord/>
      <trackRevisions>false</trackRevisions>
    </reviewItem>
    <reviewItem>
      <errorID>dda80705-2d8d-496a-805a-5c5161377113</errorID>
      <errorWord>(</errorWord>
      <group>L1_Format</group>
      <groupName>格式问题</groupName>
      <ability>L2_HalfPunc_CN</ability>
      <abilityName>全半角问题</abilityName>
      <candidateList>
        <item>（</item>
      </candidateList>
      <explain>文本全半角错误。</explain>
      <paraID>633D8441</paraID>
      <start>9</start>
      <end>10</end>
      <status>unmodified</status>
      <modifiedWord/>
      <trackRevisions>false</trackRevisions>
    </reviewItem>
    <reviewItem>
      <errorID>9d760988-fa78-46e0-b557-539521944a6e</errorID>
      <errorWord>)</errorWord>
      <group>L1_Format</group>
      <groupName>格式问题</groupName>
      <ability>L2_HalfPunc_CN</ability>
      <abilityName>全半角问题</abilityName>
      <candidateList>
        <item>）</item>
      </candidateList>
      <explain>文本全半角错误。</explain>
      <paraID>633D8441</paraID>
      <start>13</start>
      <end>14</end>
      <status>unmodified</status>
      <modifiedWord/>
      <trackRevisions>false</trackRevisions>
    </reviewItem>
    <reviewItem>
      <errorID>91485888-8219-4582-9808-ad90d1da4baa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19C9845A</paraID>
      <start>0</start>
      <end>2</end>
      <status>unmodified</status>
      <modifiedWord/>
      <trackRevisions>false</trackRevisions>
    </reviewItem>
    <reviewItem>
      <errorID>f7fb0a4f-c4bb-430d-9702-c7c12013c562</errorID>
      <errorWord>(</errorWord>
      <group>L1_Format</group>
      <groupName>格式问题</groupName>
      <ability>L2_HalfPunc_CN</ability>
      <abilityName>全半角问题</abilityName>
      <candidateList>
        <item>（</item>
      </candidateList>
      <explain>文本全半角错误。</explain>
      <paraID>19C9845A</paraID>
      <start>68</start>
      <end>69</end>
      <status>unmodified</status>
      <modifiedWord/>
      <trackRevisions>false</trackRevisions>
    </reviewItem>
    <reviewItem>
      <errorID>82582e67-834f-476d-9485-c2783b8165ce</errorID>
      <errorWord>)</errorWord>
      <group>L1_Format</group>
      <groupName>格式问题</groupName>
      <ability>L2_HalfPunc_CN</ability>
      <abilityName>全半角问题</abilityName>
      <candidateList>
        <item>）</item>
      </candidateList>
      <explain>文本全半角错误。</explain>
      <paraID>19C9845A</paraID>
      <start>74</start>
      <end>75</end>
      <status>unmodified</status>
      <modifiedWord/>
      <trackRevisions>false</trackRevisions>
    </reviewItem>
    <reviewItem>
      <errorID>96c1ebb5-5072-4226-a036-a7f068c15a9c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7E7EC9A5</paraID>
      <start>0</start>
      <end>2</end>
      <status>unmodified</status>
      <modifiedWord/>
      <trackRevisions>false</trackRevisions>
    </reviewItem>
    <reviewItem>
      <errorID>754c66db-70a4-44a2-8e6d-a973cb9f65ec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50E4D188</paraID>
      <start>0</start>
      <end>2</end>
      <status>unmodified</status>
      <modifiedWord/>
      <trackRevisions>false</trackRevisions>
    </reviewItem>
    <reviewItem>
      <errorID>ed4eb798-b957-4e0f-a7d8-05ece956defe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3BBDA8AC</paraID>
      <start>0</start>
      <end>2</end>
      <status>unmodified</status>
      <modifiedWord/>
      <trackRevisions>false</trackRevisions>
    </reviewItem>
    <reviewItem>
      <errorID>dbe90d64-6c4b-44e2-84e9-6a3c063d8b4a</errorID>
      <errorWord>提交的</errorWord>
      <group>L1_Word</group>
      <groupName>字词问题</groupName>
      <ability>L2_Typo</ability>
      <abilityName>字词错误</abilityName>
      <candidateList>
        <item>提交</item>
      </candidateList>
      <explain/>
      <paraID>3BBDA8AC</paraID>
      <start>14</start>
      <end>17</end>
      <status>unmodified</status>
      <modifiedWord/>
      <trackRevisions>false</trackRevisions>
    </reviewItem>
    <reviewItem>
      <errorID>c8addb3b-114f-425e-abac-f0c2bb50c116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78A1FF82</paraID>
      <start>0</start>
      <end>2</end>
      <status>unmodified</status>
      <modifiedWord/>
      <trackRevisions>false</trackRevisions>
    </reviewItem>
    <reviewItem>
      <errorID>1ed15a97-1e88-4d03-946a-40c0938c7ced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403CEBF0</paraID>
      <start>0</start>
      <end>2</end>
      <status>unmodified</status>
      <modifiedWord/>
      <trackRevisions>false</trackRevisions>
    </reviewItem>
    <reviewItem>
      <errorID>276bdd06-cfbc-4832-8c2e-67dc77aec197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70425351</paraID>
      <start>0</start>
      <end>2</end>
      <status>unmodified</status>
      <modifiedWord/>
      <trackRevisions>false</trackRevisions>
    </reviewItem>
    <reviewItem>
      <errorID>21c57ac2-699f-4b97-83d7-28f6136b16bf</errorID>
      <errorWord>(</errorWord>
      <group>L1_Format</group>
      <groupName>格式问题</groupName>
      <ability>L2_HalfPunc_CN</ability>
      <abilityName>全半角问题</abilityName>
      <candidateList>
        <item>（</item>
      </candidateList>
      <explain>文本全半角错误。</explain>
      <paraID>1A7B459B</paraID>
      <start>4</start>
      <end>5</end>
      <status>unmodified</status>
      <modifiedWord/>
      <trackRevisions>false</trackRevisions>
    </reviewItem>
    <reviewItem>
      <errorID>c0b1ef72-eedb-4711-b9c6-098b438206e5</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5385EC2E</paraID>
      <start>0</start>
      <end>4</end>
      <status>unmodified</status>
      <modifiedWord/>
      <trackRevisions>false</trackRevisions>
    </reviewItem>
    <reviewItem>
      <errorID>e6f91524-b840-4e45-847c-32042ece505d</errorID>
      <errorWord>费用后</errorWord>
      <group>L1_Word</group>
      <groupName>字词问题</groupName>
      <ability>L2_Typo</ability>
      <abilityName>字词错误</abilityName>
      <candidateList>
        <item>费用</item>
      </candidateList>
      <explain/>
      <paraID>531C4CCB</paraID>
      <start>37</start>
      <end>40</end>
      <status>unmodified</status>
      <modifiedWord/>
      <trackRevisions>false</trackRevisions>
    </reviewItem>
    <reviewItem>
      <errorID>dc4175d0-eb22-4034-a468-9dc6384ad89d</errorID>
      <errorWord>高杆</errorWord>
      <group>L1_Word</group>
      <groupName>字词问题</groupName>
      <ability>L2_Alias</ability>
      <abilityName>也作/曾用词</abilityName>
      <candidateList>
        <item>高秆</item>
      </candidateList>
      <explain>词汇[高杆]为不规范表述或旧称，其规范书面表述为[高秆]。</explain>
      <paraID> 9C5C792</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38340a-6bb4-48cf-ab46-ca24b79008df}">
  <ds:schemaRefs/>
</ds:datastoreItem>
</file>

<file path=docProps/app.xml><?xml version="1.0" encoding="utf-8"?>
<Properties xmlns="http://schemas.openxmlformats.org/officeDocument/2006/extended-properties" xmlns:vt="http://schemas.openxmlformats.org/officeDocument/2006/docPropsVTypes">
  <Template>Normal</Template>
  <Pages>67</Pages>
  <Words>2838</Words>
  <Characters>3722</Characters>
  <Lines>414</Lines>
  <Paragraphs>116</Paragraphs>
  <TotalTime>4</TotalTime>
  <ScaleCrop>false</ScaleCrop>
  <LinksUpToDate>false</LinksUpToDate>
  <CharactersWithSpaces>3966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2022-04-23T19:46:00Z</dcterms:created>
  <dc:creator>陈倩倩</dc:creator>
  <cp:lastModifiedBy>韦韦</cp:lastModifiedBy>
  <cp:lastPrinted>2026-10-17T06:14:00Z</cp:lastPrinted>
  <dcterms:modified xsi:type="dcterms:W3CDTF">2026-10-20T02:38:52Z</dcterms:modified>
  <dc:title>滁州市人力资源和社会保障信息中心信息网络设备采购及安装项目</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21AA2BBA39B3B26B445DD06AA17B10E7_43</vt:lpwstr>
  </property>
  <property fmtid="{D5CDD505-2E9C-101B-9397-08002B2CF9AE}" pid="4" name="KSOTemplateDocerSaveRecord">
    <vt:lpwstr>eyJoZGlkIjoiZmQ5MGI3YTdkMjVkZTZjM2ZjZTQ5YjMxYTJjZjRlOWEiLCJ1c2VySWQiOiIzNjE4MjQ5In0=</vt:lpwstr>
  </property>
</Properties>
</file>