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BEA7F1">
      <w:pPr>
        <w:pStyle w:val="2"/>
        <w:ind w:left="0" w:leftChars="0" w:firstLine="0" w:firstLineChars="0"/>
        <w:rPr>
          <w:highlight w:val="none"/>
        </w:rPr>
      </w:pPr>
      <w:bookmarkStart w:id="0" w:name="_Toc461631222"/>
      <w:bookmarkStart w:id="1" w:name="_Toc246996898"/>
      <w:bookmarkStart w:id="2" w:name="_Toc506107265"/>
      <w:bookmarkStart w:id="3" w:name="_Toc247085669"/>
      <w:bookmarkStart w:id="4" w:name="_Toc324404811"/>
      <w:bookmarkStart w:id="5" w:name="_Toc296602400"/>
      <w:bookmarkStart w:id="6" w:name="_Toc15058843"/>
      <w:bookmarkStart w:id="7" w:name="OLE_LINK3"/>
      <w:bookmarkStart w:id="8" w:name="OLE_LINK2"/>
      <w:bookmarkStart w:id="9" w:name="OLE_LINK4"/>
      <w:bookmarkStart w:id="10" w:name="OLE_LINK1"/>
      <w:bookmarkStart w:id="11" w:name="OLE_LINK5"/>
    </w:p>
    <w:p w14:paraId="2A2621CC">
      <w:pPr>
        <w:pStyle w:val="2"/>
        <w:ind w:left="0" w:leftChars="0" w:firstLine="0" w:firstLineChars="0"/>
        <w:jc w:val="center"/>
      </w:pPr>
      <w:r>
        <w:rPr>
          <w:rFonts w:hint="eastAsia" w:hAnsi="宋体" w:cs="宋体"/>
          <w:b/>
          <w:color w:val="auto"/>
          <w:kern w:val="0"/>
          <w:sz w:val="56"/>
          <w:szCs w:val="56"/>
          <w:highlight w:val="none"/>
          <w:lang w:eastAsia="zh-CN"/>
        </w:rPr>
        <w:t>滁州至南京城际铁路（滁州段）二期工程高铁站、琅琊山站装饰装修及附属升级改造三标段项目</w:t>
      </w:r>
    </w:p>
    <w:p w14:paraId="6386BAEC">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07F53F6">
      <w:pPr>
        <w:pStyle w:val="2"/>
        <w:rPr>
          <w:color w:val="auto"/>
          <w:highlight w:val="none"/>
        </w:rPr>
      </w:pPr>
    </w:p>
    <w:p w14:paraId="691FE4D6">
      <w:pPr>
        <w:rPr>
          <w:color w:val="auto"/>
          <w:highlight w:val="none"/>
        </w:rPr>
      </w:pPr>
    </w:p>
    <w:p w14:paraId="7E411827">
      <w:pPr>
        <w:pStyle w:val="2"/>
        <w:rPr>
          <w:color w:val="auto"/>
          <w:highlight w:val="none"/>
        </w:rPr>
      </w:pPr>
    </w:p>
    <w:p w14:paraId="6CF62471">
      <w:pPr>
        <w:rPr>
          <w:color w:val="auto"/>
          <w:highlight w:val="none"/>
        </w:rPr>
      </w:pPr>
    </w:p>
    <w:p w14:paraId="276FE2C2">
      <w:pPr>
        <w:pStyle w:val="2"/>
        <w:rPr>
          <w:color w:val="auto"/>
          <w:highlight w:val="none"/>
        </w:rPr>
      </w:pPr>
    </w:p>
    <w:p w14:paraId="6EBADFFD"/>
    <w:p w14:paraId="57C971B3">
      <w:pPr>
        <w:pStyle w:val="2"/>
      </w:pPr>
    </w:p>
    <w:p w14:paraId="00CEC72B"/>
    <w:p w14:paraId="0FB3EFCA">
      <w:pPr>
        <w:pStyle w:val="2"/>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ascii="宋体" w:cs="Times New Roman"/>
          <w:sz w:val="30"/>
          <w:szCs w:val="30"/>
          <w:highlight w:val="none"/>
          <w:u w:val="single"/>
          <w:lang w:eastAsia="zh-CN"/>
        </w:rPr>
        <w:t>滁州市滁宁城际铁路开发建设有限公司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529E7FC8">
      <w:pPr>
        <w:spacing w:line="720" w:lineRule="exact"/>
        <w:jc w:val="center"/>
        <w:rPr>
          <w:rFonts w:ascii="黑体" w:eastAsia="黑体"/>
          <w:b/>
          <w:color w:val="auto"/>
          <w:sz w:val="32"/>
          <w:szCs w:val="32"/>
          <w:highlight w:val="none"/>
        </w:rPr>
      </w:pPr>
      <w:r>
        <w:rPr>
          <w:rFonts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6</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1</w:t>
      </w:r>
      <w:r>
        <w:rPr>
          <w:rFonts w:hint="eastAsia" w:ascii="宋体" w:hAnsi="宋体"/>
          <w:color w:val="auto"/>
          <w:sz w:val="30"/>
          <w:szCs w:val="30"/>
          <w:highlight w:val="none"/>
        </w:rPr>
        <w:t>月</w:t>
      </w:r>
    </w:p>
    <w:p w14:paraId="68344BF2">
      <w:pPr>
        <w:jc w:val="center"/>
        <w:rPr>
          <w:sz w:val="44"/>
          <w:szCs w:val="44"/>
          <w:highlight w:val="none"/>
        </w:rPr>
        <w:sectPr>
          <w:headerReference r:id="rId4" w:type="first"/>
          <w:footerReference r:id="rId6" w:type="first"/>
          <w:headerReference r:id="rId3" w:type="default"/>
          <w:footerReference r:id="rId5" w:type="default"/>
          <w:pgSz w:w="11906" w:h="16838"/>
          <w:pgMar w:top="1134" w:right="1417" w:bottom="1134" w:left="1417" w:header="851" w:footer="992" w:gutter="0"/>
          <w:pgNumType w:fmt="decimal"/>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52042287"/>
      <w:bookmarkStart w:id="13" w:name="_Toc152045511"/>
      <w:bookmarkStart w:id="14" w:name="_Toc144974479"/>
      <w:bookmarkStart w:id="15" w:name="_Toc179632527"/>
    </w:p>
    <w:p w14:paraId="5640D698">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 …………………………………………………………………1</w:t>
      </w:r>
    </w:p>
    <w:p w14:paraId="3C99874F">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………………………………………………………………3</w:t>
      </w:r>
    </w:p>
    <w:p w14:paraId="468EC88E">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资格审查办法……………………………………………………………14</w:t>
      </w:r>
    </w:p>
    <w:p w14:paraId="74112958">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评标办法…………………………………………………………………1</w:t>
      </w:r>
      <w:r>
        <w:rPr>
          <w:rFonts w:hint="eastAsia" w:ascii="宋体" w:hAnsi="宋体" w:cs="宋体"/>
          <w:color w:val="000000"/>
          <w:kern w:val="0"/>
          <w:sz w:val="24"/>
          <w:szCs w:val="24"/>
          <w:highlight w:val="none"/>
          <w:u w:color="000000"/>
          <w:lang w:val="en-US" w:eastAsia="zh-CN" w:bidi="ar"/>
        </w:rPr>
        <w:t>5</w:t>
      </w:r>
    </w:p>
    <w:p w14:paraId="7020586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采购需求…………………………………………………………………</w:t>
      </w:r>
      <w:r>
        <w:rPr>
          <w:rFonts w:hint="eastAsia" w:ascii="宋体" w:hAnsi="宋体" w:cs="宋体"/>
          <w:color w:val="000000"/>
          <w:kern w:val="0"/>
          <w:sz w:val="24"/>
          <w:szCs w:val="24"/>
          <w:highlight w:val="none"/>
          <w:u w:color="000000"/>
          <w:lang w:val="en-US" w:eastAsia="zh-CN" w:bidi="ar"/>
        </w:rPr>
        <w:t>21</w:t>
      </w:r>
    </w:p>
    <w:p w14:paraId="69E987B4">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合同条款及格式…………………………………………………………2</w:t>
      </w:r>
      <w:r>
        <w:rPr>
          <w:rFonts w:hint="eastAsia" w:ascii="宋体" w:hAnsi="宋体" w:cs="宋体"/>
          <w:color w:val="000000"/>
          <w:kern w:val="0"/>
          <w:sz w:val="24"/>
          <w:szCs w:val="24"/>
          <w:highlight w:val="none"/>
          <w:u w:color="000000"/>
          <w:lang w:val="en-US" w:eastAsia="zh-CN" w:bidi="ar"/>
        </w:rPr>
        <w:t>2</w:t>
      </w:r>
    </w:p>
    <w:p w14:paraId="33706457">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w:t>
      </w:r>
      <w:r>
        <w:rPr>
          <w:rFonts w:hint="eastAsia" w:ascii="宋体" w:hAnsi="宋体" w:cs="宋体"/>
          <w:color w:val="000000"/>
          <w:kern w:val="0"/>
          <w:sz w:val="24"/>
          <w:szCs w:val="24"/>
          <w:highlight w:val="none"/>
          <w:u w:color="000000"/>
          <w:lang w:val="en-US" w:eastAsia="zh-CN" w:bidi="ar"/>
        </w:rPr>
        <w:t>28</w:t>
      </w:r>
    </w:p>
    <w:p w14:paraId="319E7688">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w:t>
      </w:r>
      <w:r>
        <w:rPr>
          <w:rFonts w:hint="eastAsia" w:ascii="宋体" w:hAnsi="宋体" w:cs="宋体"/>
          <w:color w:val="000000"/>
          <w:kern w:val="0"/>
          <w:sz w:val="24"/>
          <w:szCs w:val="24"/>
          <w:highlight w:val="none"/>
          <w:u w:color="000000"/>
          <w:lang w:val="en-US" w:eastAsia="zh-CN" w:bidi="ar"/>
        </w:rPr>
        <w:t>39</w:t>
      </w:r>
    </w:p>
    <w:p w14:paraId="6F3E9F9B">
      <w:pPr>
        <w:pStyle w:val="2"/>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7" w:type="default"/>
          <w:pgSz w:w="11906" w:h="16838"/>
          <w:pgMar w:top="1134" w:right="1417" w:bottom="1134" w:left="1417" w:header="851" w:footer="992" w:gutter="0"/>
          <w:pgNumType w:fmt="decimal" w:start="1"/>
          <w:cols w:space="720" w:num="1"/>
          <w:docGrid w:type="lines" w:linePitch="312" w:charSpace="0"/>
        </w:sectPr>
      </w:pPr>
    </w:p>
    <w:bookmarkEnd w:id="12"/>
    <w:bookmarkEnd w:id="13"/>
    <w:bookmarkEnd w:id="14"/>
    <w:bookmarkEnd w:id="15"/>
    <w:p w14:paraId="48ABFA16">
      <w:pPr>
        <w:pStyle w:val="44"/>
        <w:spacing w:beforeLines="50" w:afterLines="50" w:line="440" w:lineRule="exact"/>
        <w:rPr>
          <w:rFonts w:hint="eastAsia"/>
          <w:bCs/>
          <w:szCs w:val="32"/>
          <w:highlight w:val="none"/>
          <w:lang w:val="en-US"/>
        </w:rPr>
      </w:pPr>
      <w:bookmarkStart w:id="16" w:name="_Toc179632544"/>
      <w:bookmarkStart w:id="17" w:name="_Toc246996173"/>
      <w:bookmarkStart w:id="18" w:name="_Toc506107267"/>
      <w:bookmarkStart w:id="19" w:name="_Toc15058844"/>
      <w:bookmarkStart w:id="20" w:name="_Toc247085687"/>
      <w:bookmarkStart w:id="21" w:name="_Toc35425050"/>
      <w:bookmarkStart w:id="22" w:name="_Toc152042303"/>
      <w:bookmarkStart w:id="23" w:name="_Toc246996916"/>
      <w:bookmarkStart w:id="24" w:name="_Toc35424883"/>
      <w:bookmarkStart w:id="25" w:name="_Toc78803321"/>
      <w:bookmarkStart w:id="26" w:name="_Toc152045527"/>
      <w:bookmarkStart w:id="27" w:name="_Toc324404813"/>
      <w:bookmarkStart w:id="28" w:name="_Toc144974495"/>
      <w:r>
        <w:rPr>
          <w:rFonts w:hint="eastAsia"/>
          <w:bCs/>
          <w:szCs w:val="32"/>
          <w:highlight w:val="none"/>
          <w:lang w:eastAsia="zh-CN"/>
        </w:rPr>
        <w:t>第一章</w:t>
      </w:r>
      <w:r>
        <w:rPr>
          <w:rFonts w:hint="eastAsia"/>
          <w:bCs/>
          <w:szCs w:val="32"/>
          <w:highlight w:val="none"/>
          <w:lang w:val="en-US"/>
        </w:rPr>
        <w:t xml:space="preserve">  </w:t>
      </w:r>
      <w:bookmarkStart w:id="29" w:name="_Toc7358"/>
      <w:bookmarkEnd w:id="29"/>
      <w:bookmarkStart w:id="30" w:name="_Toc18980_WPSOffice_Level1"/>
      <w:bookmarkEnd w:id="30"/>
      <w:r>
        <w:rPr>
          <w:rFonts w:hint="eastAsia"/>
          <w:bCs/>
          <w:szCs w:val="32"/>
          <w:highlight w:val="none"/>
          <w:lang w:eastAsia="zh-CN"/>
        </w:rPr>
        <w:t>招标公告</w:t>
      </w:r>
    </w:p>
    <w:p w14:paraId="18589C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31" w:name="_Toc28359002"/>
      <w:bookmarkEnd w:id="31"/>
      <w:bookmarkStart w:id="32" w:name="_Toc28359079"/>
      <w:bookmarkEnd w:id="32"/>
      <w:bookmarkStart w:id="33" w:name="_Toc58430305"/>
      <w:bookmarkEnd w:id="33"/>
      <w:bookmarkStart w:id="34" w:name="_Toc35393621"/>
      <w:bookmarkEnd w:id="34"/>
      <w:bookmarkStart w:id="35" w:name="_Toc35393790"/>
      <w:r>
        <w:rPr>
          <w:rFonts w:hint="eastAsia" w:ascii="宋体" w:hAnsi="宋体" w:eastAsia="宋体" w:cs="宋体"/>
          <w:color w:val="000000"/>
          <w:kern w:val="0"/>
          <w:sz w:val="24"/>
          <w:szCs w:val="24"/>
          <w:highlight w:val="none"/>
          <w:u w:color="000000"/>
          <w:lang w:val="en-US" w:eastAsia="zh-CN" w:bidi="ar"/>
        </w:rPr>
        <w:t>项目概况</w:t>
      </w:r>
    </w:p>
    <w:p w14:paraId="0F96E57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cs="宋体"/>
          <w:color w:val="000000"/>
          <w:kern w:val="0"/>
          <w:sz w:val="24"/>
          <w:szCs w:val="24"/>
          <w:highlight w:val="none"/>
          <w:u w:color="000000"/>
          <w:lang w:val="en-US" w:eastAsia="zh-CN" w:bidi="ar"/>
        </w:rPr>
        <w:t>滁州至南京城际铁路（滁州段）二期工程高铁站、琅琊山站装饰装修及附属升级改造三标段项目</w:t>
      </w:r>
      <w:r>
        <w:rPr>
          <w:rFonts w:hint="eastAsia" w:ascii="宋体" w:hAnsi="宋体" w:eastAsia="宋体" w:cs="宋体"/>
          <w:color w:val="000000"/>
          <w:kern w:val="0"/>
          <w:sz w:val="24"/>
          <w:szCs w:val="24"/>
          <w:highlight w:val="none"/>
          <w:u w:color="000000"/>
          <w:lang w:val="en-US" w:eastAsia="zh-CN" w:bidi="ar"/>
        </w:rPr>
        <w:t>的潜在投标人应在滁州市滁宁城际铁路开发建设有限公司网站（http://czctgs.cn/）获取招标文件，并于20</w:t>
      </w:r>
      <w:r>
        <w:rPr>
          <w:rFonts w:hint="eastAsia" w:ascii="宋体" w:hAnsi="宋体" w:cs="宋体"/>
          <w:color w:val="000000"/>
          <w:kern w:val="0"/>
          <w:sz w:val="24"/>
          <w:szCs w:val="24"/>
          <w:highlight w:val="none"/>
          <w:u w:color="000000"/>
          <w:lang w:val="en-US" w:eastAsia="zh-CN" w:bidi="ar"/>
        </w:rPr>
        <w:t>26</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cs="宋体"/>
          <w:color w:val="000000"/>
          <w:kern w:val="0"/>
          <w:sz w:val="24"/>
          <w:szCs w:val="24"/>
          <w:highlight w:val="none"/>
          <w:u w:color="000000"/>
          <w:lang w:val="en-US" w:eastAsia="zh-CN" w:bidi="ar"/>
        </w:rPr>
        <w:t>1</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cs="宋体"/>
          <w:color w:val="000000"/>
          <w:kern w:val="0"/>
          <w:sz w:val="24"/>
          <w:szCs w:val="24"/>
          <w:highlight w:val="none"/>
          <w:u w:color="000000"/>
          <w:lang w:val="en-US" w:eastAsia="zh-CN" w:bidi="ar"/>
        </w:rPr>
        <w:t>21</w:t>
      </w:r>
      <w:r>
        <w:rPr>
          <w:rFonts w:hint="eastAsia" w:ascii="宋体" w:hAnsi="宋体" w:eastAsia="宋体" w:cs="宋体"/>
          <w:color w:val="000000"/>
          <w:kern w:val="0"/>
          <w:sz w:val="24"/>
          <w:szCs w:val="24"/>
          <w:highlight w:val="none"/>
          <w:u w:color="000000"/>
          <w:lang w:val="en-US" w:eastAsia="zh-CN" w:bidi="ar"/>
        </w:rPr>
        <w:t>日1</w:t>
      </w:r>
      <w:r>
        <w:rPr>
          <w:rFonts w:hint="eastAsia" w:ascii="宋体" w:hAnsi="宋体" w:cs="宋体"/>
          <w:color w:val="000000"/>
          <w:kern w:val="0"/>
          <w:sz w:val="24"/>
          <w:szCs w:val="24"/>
          <w:highlight w:val="none"/>
          <w:u w:color="000000"/>
          <w:lang w:val="en-US" w:eastAsia="zh-CN" w:bidi="ar"/>
        </w:rPr>
        <w:t>0</w:t>
      </w:r>
      <w:r>
        <w:rPr>
          <w:rFonts w:hint="eastAsia" w:ascii="宋体" w:hAnsi="宋体" w:eastAsia="宋体" w:cs="宋体"/>
          <w:color w:val="000000"/>
          <w:kern w:val="0"/>
          <w:sz w:val="24"/>
          <w:szCs w:val="24"/>
          <w:highlight w:val="none"/>
          <w:u w:color="000000"/>
          <w:lang w:val="en-US" w:eastAsia="zh-CN" w:bidi="ar"/>
        </w:rPr>
        <w:t>时</w:t>
      </w:r>
      <w:r>
        <w:rPr>
          <w:rFonts w:hint="eastAsia" w:ascii="宋体" w:hAnsi="宋体" w:cs="宋体"/>
          <w:color w:val="000000"/>
          <w:kern w:val="0"/>
          <w:sz w:val="24"/>
          <w:szCs w:val="24"/>
          <w:highlight w:val="none"/>
          <w:u w:color="000000"/>
          <w:lang w:val="en-US" w:eastAsia="zh-CN" w:bidi="ar"/>
        </w:rPr>
        <w:t>3</w:t>
      </w:r>
      <w:r>
        <w:rPr>
          <w:rFonts w:hint="eastAsia" w:ascii="宋体" w:hAnsi="宋体" w:eastAsia="宋体" w:cs="宋体"/>
          <w:color w:val="000000"/>
          <w:kern w:val="0"/>
          <w:sz w:val="24"/>
          <w:szCs w:val="24"/>
          <w:highlight w:val="none"/>
          <w:u w:color="000000"/>
          <w:lang w:val="en-US" w:eastAsia="zh-CN" w:bidi="ar"/>
        </w:rPr>
        <w:t>0分（北京时间）前递交投标文件。</w:t>
      </w:r>
    </w:p>
    <w:p w14:paraId="3A2F58D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35"/>
    </w:p>
    <w:p w14:paraId="15E445D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项目名称：滁州至南京城际铁路（滁州段）二期工程高铁站、琅琊山站装饰装修及附属升级改造三标段项目</w:t>
      </w:r>
    </w:p>
    <w:p w14:paraId="7B23B9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预算金额：250000.00元</w:t>
      </w:r>
    </w:p>
    <w:p w14:paraId="6E6B8C8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最高限价：本项目最高限价为（人民币）250000.00元，投标报价不得超过最高限价，否则按无效投标处理。</w:t>
      </w:r>
    </w:p>
    <w:p w14:paraId="7AD4283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采购需求:详见附件《工程量清单》。</w:t>
      </w:r>
    </w:p>
    <w:p w14:paraId="0178D75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工期：于2026年2月8日前完成并交付。</w:t>
      </w:r>
    </w:p>
    <w:p w14:paraId="7C79C6D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本项目不接受联合体投标。</w:t>
      </w:r>
    </w:p>
    <w:p w14:paraId="27FDF9F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4D30750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Times New Roman"/>
          <w:b w:val="0"/>
          <w:bCs w:val="0"/>
          <w:kern w:val="0"/>
          <w:sz w:val="24"/>
          <w:szCs w:val="24"/>
          <w:highlight w:val="none"/>
          <w:lang w:val="en-US" w:eastAsia="zh-CN" w:bidi="ar-SA"/>
        </w:rPr>
        <w:t>投标人</w:t>
      </w:r>
      <w:r>
        <w:rPr>
          <w:rFonts w:hint="eastAsia" w:ascii="宋体" w:hAnsi="宋体" w:cs="Times New Roman"/>
          <w:b w:val="0"/>
          <w:bCs w:val="0"/>
          <w:kern w:val="0"/>
          <w:sz w:val="24"/>
          <w:szCs w:val="24"/>
          <w:highlight w:val="none"/>
          <w:lang w:val="en-US" w:eastAsia="zh-CN" w:bidi="ar-SA"/>
        </w:rPr>
        <w:t>须</w:t>
      </w:r>
      <w:r>
        <w:rPr>
          <w:rFonts w:hint="eastAsia" w:ascii="宋体" w:hAnsi="宋体" w:eastAsia="宋体" w:cs="宋体"/>
          <w:b w:val="0"/>
          <w:bCs w:val="0"/>
          <w:color w:val="000000"/>
          <w:kern w:val="0"/>
          <w:sz w:val="24"/>
          <w:szCs w:val="24"/>
          <w:highlight w:val="none"/>
          <w:u w:color="000000"/>
          <w:lang w:val="en-US" w:eastAsia="zh-CN" w:bidi="ar"/>
        </w:rPr>
        <w:t>同时满足下列要求：</w:t>
      </w:r>
    </w:p>
    <w:p w14:paraId="12661B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①具备电力工程施工总承包叁级（或以上）资质，并具有有效的安全生产许可证；</w:t>
      </w:r>
    </w:p>
    <w:p w14:paraId="023DCA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②具备有效的《承装（修、试）电力设施许可证》，且承装类、承修类、承试类许可等级均须达到三级及以上（按照现行有效的《承装（修、试）电力设施许可证》等级标准认定）。</w:t>
      </w:r>
    </w:p>
    <w:p w14:paraId="51DB6ED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注：对于持有尚未换发新证、且仍在有效期内的旧版《承装（修、试）电力设施许可证》的投标人，承装类、承修类、承试类许可等级均须达到五级及以上。</w:t>
      </w:r>
    </w:p>
    <w:p w14:paraId="636BD57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05BD6AC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 xml:space="preserve"> 202</w:t>
      </w:r>
      <w:r>
        <w:rPr>
          <w:rFonts w:hint="eastAsia" w:ascii="宋体" w:hAnsi="宋体" w:cs="宋体"/>
          <w:color w:val="000000"/>
          <w:kern w:val="0"/>
          <w:sz w:val="24"/>
          <w:szCs w:val="24"/>
          <w:highlight w:val="none"/>
          <w:u w:val="single" w:color="000000"/>
          <w:lang w:val="en-US" w:eastAsia="zh-CN" w:bidi="ar"/>
        </w:rPr>
        <w:t>6</w:t>
      </w:r>
      <w:r>
        <w:rPr>
          <w:rFonts w:hint="eastAsia" w:ascii="宋体" w:hAnsi="宋体" w:eastAsia="宋体" w:cs="宋体"/>
          <w:color w:val="000000"/>
          <w:kern w:val="0"/>
          <w:sz w:val="24"/>
          <w:szCs w:val="24"/>
          <w:highlight w:val="none"/>
          <w:u w:val="single" w:color="000000"/>
          <w:lang w:val="en-US" w:eastAsia="zh-CN" w:bidi="ar"/>
        </w:rPr>
        <w:t>年</w:t>
      </w:r>
      <w:r>
        <w:rPr>
          <w:rFonts w:hint="eastAsia" w:ascii="宋体" w:hAnsi="宋体" w:cs="宋体"/>
          <w:color w:val="000000"/>
          <w:kern w:val="0"/>
          <w:sz w:val="24"/>
          <w:szCs w:val="24"/>
          <w:highlight w:val="none"/>
          <w:u w:val="single" w:color="000000"/>
          <w:lang w:val="en-US" w:eastAsia="zh-CN" w:bidi="ar"/>
        </w:rPr>
        <w:t>1</w:t>
      </w:r>
      <w:r>
        <w:rPr>
          <w:rFonts w:hint="eastAsia" w:ascii="宋体" w:hAnsi="宋体" w:eastAsia="宋体" w:cs="宋体"/>
          <w:color w:val="000000"/>
          <w:kern w:val="0"/>
          <w:sz w:val="24"/>
          <w:szCs w:val="24"/>
          <w:highlight w:val="none"/>
          <w:u w:val="single" w:color="000000"/>
          <w:lang w:val="en-US" w:eastAsia="zh-CN" w:bidi="ar"/>
        </w:rPr>
        <w:t>月</w:t>
      </w:r>
      <w:r>
        <w:rPr>
          <w:rFonts w:hint="eastAsia" w:ascii="宋体" w:hAnsi="宋体" w:cs="宋体"/>
          <w:color w:val="000000"/>
          <w:kern w:val="0"/>
          <w:sz w:val="24"/>
          <w:szCs w:val="24"/>
          <w:highlight w:val="none"/>
          <w:u w:val="single" w:color="000000"/>
          <w:lang w:val="en-US" w:eastAsia="zh-CN" w:bidi="ar"/>
        </w:rPr>
        <w:t>16</w:t>
      </w:r>
      <w:r>
        <w:rPr>
          <w:rFonts w:hint="eastAsia" w:ascii="宋体" w:hAnsi="宋体" w:eastAsia="宋体" w:cs="宋体"/>
          <w:color w:val="000000"/>
          <w:kern w:val="0"/>
          <w:sz w:val="24"/>
          <w:szCs w:val="24"/>
          <w:highlight w:val="none"/>
          <w:u w:val="single" w:color="000000"/>
          <w:lang w:val="en-US" w:eastAsia="zh-CN" w:bidi="ar"/>
        </w:rPr>
        <w:t>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w:t>
      </w:r>
      <w:r>
        <w:rPr>
          <w:rFonts w:hint="eastAsia" w:ascii="宋体" w:hAnsi="宋体" w:cs="宋体"/>
          <w:color w:val="000000"/>
          <w:kern w:val="0"/>
          <w:sz w:val="24"/>
          <w:szCs w:val="24"/>
          <w:highlight w:val="none"/>
          <w:u w:val="single" w:color="000000"/>
          <w:lang w:val="en-US" w:eastAsia="zh-CN" w:bidi="ar"/>
        </w:rPr>
        <w:t>6</w:t>
      </w:r>
      <w:r>
        <w:rPr>
          <w:rFonts w:hint="eastAsia" w:ascii="宋体" w:hAnsi="宋体" w:eastAsia="宋体" w:cs="宋体"/>
          <w:color w:val="000000"/>
          <w:kern w:val="0"/>
          <w:sz w:val="24"/>
          <w:szCs w:val="24"/>
          <w:highlight w:val="none"/>
          <w:u w:val="single" w:color="000000"/>
          <w:lang w:val="en-US" w:eastAsia="zh-CN" w:bidi="ar"/>
        </w:rPr>
        <w:t>年</w:t>
      </w:r>
      <w:r>
        <w:rPr>
          <w:rFonts w:hint="eastAsia" w:ascii="宋体" w:hAnsi="宋体" w:cs="宋体"/>
          <w:color w:val="000000"/>
          <w:kern w:val="0"/>
          <w:sz w:val="24"/>
          <w:szCs w:val="24"/>
          <w:highlight w:val="none"/>
          <w:u w:val="single" w:color="000000"/>
          <w:lang w:val="en-US" w:eastAsia="zh-CN" w:bidi="ar"/>
        </w:rPr>
        <w:t>1</w:t>
      </w:r>
      <w:r>
        <w:rPr>
          <w:rFonts w:hint="eastAsia" w:ascii="宋体" w:hAnsi="宋体" w:eastAsia="宋体" w:cs="宋体"/>
          <w:color w:val="000000"/>
          <w:kern w:val="0"/>
          <w:sz w:val="24"/>
          <w:szCs w:val="24"/>
          <w:highlight w:val="none"/>
          <w:u w:val="single" w:color="000000"/>
          <w:lang w:val="en-US" w:eastAsia="zh-CN" w:bidi="ar"/>
        </w:rPr>
        <w:t>月</w:t>
      </w:r>
      <w:r>
        <w:rPr>
          <w:rFonts w:hint="eastAsia" w:ascii="宋体" w:hAnsi="宋体" w:cs="宋体"/>
          <w:color w:val="000000"/>
          <w:kern w:val="0"/>
          <w:sz w:val="24"/>
          <w:szCs w:val="24"/>
          <w:highlight w:val="none"/>
          <w:u w:val="single" w:color="000000"/>
          <w:lang w:val="en-US" w:eastAsia="zh-CN" w:bidi="ar"/>
        </w:rPr>
        <w:t>21</w:t>
      </w:r>
      <w:r>
        <w:rPr>
          <w:rFonts w:hint="eastAsia" w:ascii="宋体" w:hAnsi="宋体" w:eastAsia="宋体" w:cs="宋体"/>
          <w:color w:val="000000"/>
          <w:kern w:val="0"/>
          <w:sz w:val="24"/>
          <w:szCs w:val="24"/>
          <w:highlight w:val="none"/>
          <w:u w:val="single" w:color="000000"/>
          <w:lang w:val="en-US" w:eastAsia="zh-CN" w:bidi="ar"/>
        </w:rPr>
        <w:t>日</w:t>
      </w:r>
    </w:p>
    <w:p w14:paraId="378273C7">
      <w:pPr>
        <w:keepNext w:val="0"/>
        <w:keepLines w:val="0"/>
        <w:pageBreakBefore w:val="0"/>
        <w:kinsoku/>
        <w:overflowPunct/>
        <w:topLinePunct w:val="0"/>
        <w:autoSpaceDE/>
        <w:autoSpaceDN/>
        <w:bidi w:val="0"/>
        <w:adjustRightInd/>
        <w:snapToGrid/>
        <w:spacing w:line="360" w:lineRule="auto"/>
        <w:ind w:firstLine="540"/>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滁州市滁宁城际铁路开发建设有限公司</w:t>
      </w:r>
      <w:r>
        <w:rPr>
          <w:rFonts w:hint="eastAsia" w:ascii="宋体" w:hAnsi="宋体" w:cs="宋体"/>
          <w:color w:val="auto"/>
          <w:sz w:val="24"/>
          <w:szCs w:val="24"/>
          <w:highlight w:val="none"/>
        </w:rPr>
        <w:t>网站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http://czctgs.cn/</w:t>
      </w:r>
      <w:r>
        <w:rPr>
          <w:rFonts w:hint="eastAsia" w:ascii="宋体" w:hAnsi="宋体" w:cs="宋体"/>
          <w:color w:val="auto"/>
          <w:sz w:val="24"/>
          <w:szCs w:val="24"/>
          <w:highlight w:val="none"/>
          <w:u w:val="single"/>
        </w:rPr>
        <w:t>）</w:t>
      </w:r>
    </w:p>
    <w:p w14:paraId="0DF687B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18E8277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7730048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宋体"/>
          <w:b/>
          <w:bCs w:val="0"/>
          <w:sz w:val="24"/>
          <w:szCs w:val="24"/>
          <w:highlight w:val="none"/>
          <w:lang w:val="en-US" w:eastAsia="zh-CN"/>
        </w:rPr>
      </w:pPr>
      <w:bookmarkStart w:id="36" w:name="_Toc35393793"/>
      <w:bookmarkEnd w:id="36"/>
      <w:bookmarkStart w:id="37" w:name="_Toc58430308"/>
      <w:bookmarkEnd w:id="37"/>
      <w:bookmarkStart w:id="38" w:name="_Toc28359082"/>
      <w:bookmarkEnd w:id="38"/>
      <w:bookmarkStart w:id="39" w:name="_Toc28359005"/>
      <w:bookmarkEnd w:id="39"/>
      <w:r>
        <w:rPr>
          <w:rFonts w:hint="eastAsia" w:ascii="宋体" w:hAnsi="宋体" w:cs="宋体"/>
          <w:b/>
          <w:color w:val="auto"/>
          <w:sz w:val="24"/>
          <w:szCs w:val="24"/>
          <w:highlight w:val="none"/>
        </w:rPr>
        <w:t>四、提交投标文件截止时间和</w:t>
      </w:r>
      <w:r>
        <w:rPr>
          <w:rFonts w:hint="eastAsia" w:ascii="宋体" w:hAnsi="宋体" w:cs="宋体"/>
          <w:b/>
          <w:color w:val="auto"/>
          <w:sz w:val="24"/>
          <w:szCs w:val="24"/>
          <w:highlight w:val="none"/>
          <w:lang w:val="en-US" w:eastAsia="zh-CN"/>
        </w:rPr>
        <w:t>递交方式</w:t>
      </w:r>
    </w:p>
    <w:p w14:paraId="7607F42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截止时间：</w:t>
      </w:r>
      <w:r>
        <w:rPr>
          <w:rFonts w:hint="eastAsia" w:ascii="宋体" w:hAnsi="宋体" w:eastAsia="宋体" w:cs="宋体"/>
          <w:bCs/>
          <w:color w:val="000000"/>
          <w:kern w:val="0"/>
          <w:sz w:val="24"/>
          <w:szCs w:val="24"/>
          <w:highlight w:val="none"/>
          <w:u w:val="single" w:color="000000"/>
          <w:lang w:val="en-US" w:eastAsia="zh-CN" w:bidi="ar"/>
        </w:rPr>
        <w:t>202</w:t>
      </w:r>
      <w:r>
        <w:rPr>
          <w:rFonts w:hint="eastAsia" w:ascii="宋体" w:hAnsi="宋体" w:cs="宋体"/>
          <w:bCs/>
          <w:color w:val="000000"/>
          <w:kern w:val="0"/>
          <w:sz w:val="24"/>
          <w:szCs w:val="24"/>
          <w:highlight w:val="none"/>
          <w:u w:val="single" w:color="000000"/>
          <w:lang w:val="en-US" w:eastAsia="zh-CN" w:bidi="ar"/>
        </w:rPr>
        <w:t>6</w:t>
      </w:r>
      <w:r>
        <w:rPr>
          <w:rFonts w:hint="eastAsia" w:ascii="宋体" w:hAnsi="宋体" w:eastAsia="宋体" w:cs="宋体"/>
          <w:bCs/>
          <w:color w:val="000000"/>
          <w:kern w:val="0"/>
          <w:sz w:val="24"/>
          <w:szCs w:val="24"/>
          <w:highlight w:val="none"/>
          <w:u w:val="single" w:color="000000"/>
          <w:lang w:val="en-US" w:eastAsia="zh-CN" w:bidi="ar"/>
        </w:rPr>
        <w:t>年</w:t>
      </w:r>
      <w:r>
        <w:rPr>
          <w:rFonts w:hint="eastAsia" w:ascii="宋体" w:hAnsi="宋体" w:cs="宋体"/>
          <w:bCs/>
          <w:color w:val="000000"/>
          <w:kern w:val="0"/>
          <w:sz w:val="24"/>
          <w:szCs w:val="24"/>
          <w:highlight w:val="none"/>
          <w:u w:val="single" w:color="000000"/>
          <w:lang w:val="en-US" w:eastAsia="zh-CN" w:bidi="ar"/>
        </w:rPr>
        <w:t>1</w:t>
      </w:r>
      <w:r>
        <w:rPr>
          <w:rFonts w:hint="eastAsia" w:ascii="宋体" w:hAnsi="宋体" w:eastAsia="宋体" w:cs="宋体"/>
          <w:bCs/>
          <w:color w:val="000000"/>
          <w:kern w:val="0"/>
          <w:sz w:val="24"/>
          <w:szCs w:val="24"/>
          <w:highlight w:val="none"/>
          <w:u w:val="single" w:color="000000"/>
          <w:lang w:val="en-US" w:eastAsia="zh-CN" w:bidi="ar"/>
        </w:rPr>
        <w:t>月</w:t>
      </w:r>
      <w:r>
        <w:rPr>
          <w:rFonts w:hint="eastAsia" w:ascii="宋体" w:hAnsi="宋体" w:cs="宋体"/>
          <w:bCs/>
          <w:color w:val="000000"/>
          <w:kern w:val="0"/>
          <w:sz w:val="24"/>
          <w:szCs w:val="24"/>
          <w:highlight w:val="none"/>
          <w:u w:val="single" w:color="000000"/>
          <w:lang w:val="en-US" w:eastAsia="zh-CN" w:bidi="ar"/>
        </w:rPr>
        <w:t>21</w:t>
      </w:r>
      <w:r>
        <w:rPr>
          <w:rFonts w:hint="eastAsia" w:ascii="宋体" w:hAnsi="宋体" w:eastAsia="宋体" w:cs="宋体"/>
          <w:bCs/>
          <w:color w:val="000000"/>
          <w:kern w:val="0"/>
          <w:sz w:val="24"/>
          <w:szCs w:val="24"/>
          <w:highlight w:val="none"/>
          <w:u w:val="single" w:color="000000"/>
          <w:lang w:val="en-US" w:eastAsia="zh-CN" w:bidi="ar"/>
        </w:rPr>
        <w:t>日</w:t>
      </w:r>
      <w:r>
        <w:rPr>
          <w:rFonts w:hint="eastAsia" w:ascii="宋体" w:hAnsi="宋体" w:cs="宋体"/>
          <w:bCs/>
          <w:color w:val="000000"/>
          <w:kern w:val="0"/>
          <w:sz w:val="24"/>
          <w:szCs w:val="24"/>
          <w:highlight w:val="none"/>
          <w:u w:val="single" w:color="000000"/>
          <w:lang w:val="en-US" w:eastAsia="zh-CN" w:bidi="ar"/>
        </w:rPr>
        <w:t>10</w:t>
      </w:r>
      <w:r>
        <w:rPr>
          <w:rFonts w:hint="eastAsia" w:ascii="宋体" w:hAnsi="宋体" w:eastAsia="宋体" w:cs="宋体"/>
          <w:bCs/>
          <w:color w:val="000000"/>
          <w:kern w:val="0"/>
          <w:sz w:val="24"/>
          <w:szCs w:val="24"/>
          <w:highlight w:val="none"/>
          <w:u w:val="single" w:color="000000"/>
          <w:lang w:val="en-US" w:eastAsia="zh-CN" w:bidi="ar"/>
        </w:rPr>
        <w:t>时</w:t>
      </w:r>
      <w:r>
        <w:rPr>
          <w:rFonts w:hint="eastAsia" w:ascii="宋体" w:hAnsi="宋体" w:cs="宋体"/>
          <w:bCs/>
          <w:color w:val="000000"/>
          <w:kern w:val="0"/>
          <w:sz w:val="24"/>
          <w:szCs w:val="24"/>
          <w:highlight w:val="none"/>
          <w:u w:val="single" w:color="000000"/>
          <w:lang w:val="en-US" w:eastAsia="zh-CN" w:bidi="ar"/>
        </w:rPr>
        <w:t>3</w:t>
      </w:r>
      <w:r>
        <w:rPr>
          <w:rFonts w:hint="eastAsia" w:ascii="宋体" w:hAnsi="宋体" w:eastAsia="宋体" w:cs="宋体"/>
          <w:bCs/>
          <w:color w:val="000000"/>
          <w:kern w:val="0"/>
          <w:sz w:val="24"/>
          <w:szCs w:val="24"/>
          <w:highlight w:val="none"/>
          <w:u w:val="single" w:color="000000"/>
          <w:lang w:val="en-US" w:eastAsia="zh-CN" w:bidi="ar"/>
        </w:rPr>
        <w:t>0分</w:t>
      </w:r>
      <w:r>
        <w:rPr>
          <w:rFonts w:hint="eastAsia" w:ascii="宋体" w:hAnsi="宋体" w:eastAsia="宋体" w:cs="宋体"/>
          <w:bCs/>
          <w:color w:val="000000"/>
          <w:kern w:val="0"/>
          <w:sz w:val="24"/>
          <w:szCs w:val="24"/>
          <w:highlight w:val="none"/>
          <w:u w:color="000000"/>
          <w:lang w:val="en-US" w:eastAsia="zh-CN" w:bidi="ar"/>
        </w:rPr>
        <w:t>（北京时间）</w:t>
      </w:r>
    </w:p>
    <w:p w14:paraId="75F86DE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Calibri" w:eastAsia="宋体" w:cs="Times New Roman"/>
          <w:color w:val="auto"/>
          <w:sz w:val="21"/>
          <w:szCs w:val="21"/>
          <w:highlight w:val="none"/>
          <w:lang w:val="en-US" w:eastAsia="zh-CN"/>
        </w:rPr>
      </w:pPr>
      <w:r>
        <w:rPr>
          <w:rFonts w:hint="eastAsia" w:ascii="宋体" w:hAnsi="宋体" w:cs="宋体"/>
          <w:color w:val="auto"/>
          <w:sz w:val="24"/>
          <w:szCs w:val="24"/>
          <w:highlight w:val="none"/>
          <w:lang w:val="en-US" w:eastAsia="zh-CN"/>
        </w:rPr>
        <w:t>投标文件递交方式：</w:t>
      </w:r>
      <w:r>
        <w:rPr>
          <w:rFonts w:hint="default" w:ascii="宋体" w:hAnsi="宋体" w:cs="宋体"/>
          <w:color w:val="auto"/>
          <w:sz w:val="24"/>
          <w:szCs w:val="24"/>
          <w:highlight w:val="none"/>
          <w:lang w:val="en-US" w:eastAsia="zh-CN"/>
        </w:rPr>
        <w:t>①</w:t>
      </w:r>
      <w:r>
        <w:rPr>
          <w:rFonts w:hint="eastAsia" w:ascii="宋体" w:hAnsi="宋体" w:cs="宋体"/>
          <w:color w:val="auto"/>
          <w:sz w:val="24"/>
          <w:szCs w:val="24"/>
          <w:highlight w:val="none"/>
          <w:lang w:val="en-US" w:eastAsia="zh-CN"/>
        </w:rPr>
        <w:t>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"mailto:2、在递交截止时间后30分钟内，将解压密码通过邮箱发送至代理机构邮箱（czsctgczx@163.com）" </w:instrText>
      </w:r>
      <w:r>
        <w:rPr>
          <w:rFonts w:hint="eastAsia" w:ascii="宋体" w:hAnsi="宋体" w:cs="宋体"/>
          <w:color w:val="auto"/>
          <w:sz w:val="24"/>
          <w:szCs w:val="24"/>
          <w:highlight w:val="none"/>
          <w:lang w:val="en-US" w:eastAsia="zh-CN"/>
        </w:rPr>
        <w:fldChar w:fldCharType="separate"/>
      </w:r>
      <w:r>
        <w:rPr>
          <w:rFonts w:hint="default" w:ascii="宋体" w:hAnsi="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在投标截止时间后30分钟内，将投标文件密码通过邮箱发送至滁州市城投工程咨询管理有限公司邮箱（czsctzx@163.com）</w: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，未在规定时间内发送密码或发送的密码无法正确打开投标文件的，投标文件将被拒绝。</w:t>
      </w:r>
    </w:p>
    <w:p w14:paraId="30ED522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1482384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30219B9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6423585F">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1.招标人信息</w:t>
      </w:r>
    </w:p>
    <w:p w14:paraId="07A896B2">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eastAsia="zh-CN" w:bidi="ar"/>
        </w:rPr>
      </w:pPr>
      <w:bookmarkStart w:id="40" w:name="_Toc28359087"/>
      <w:r>
        <w:rPr>
          <w:rFonts w:hint="eastAsia" w:ascii="宋体" w:hAnsi="宋体" w:eastAsia="宋体" w:cs="宋体"/>
          <w:bCs/>
          <w:color w:val="000000"/>
          <w:kern w:val="0"/>
          <w:sz w:val="24"/>
          <w:highlight w:val="none"/>
          <w:u w:color="000000"/>
          <w:lang w:bidi="ar"/>
        </w:rPr>
        <w:t>名称：</w:t>
      </w:r>
      <w:r>
        <w:rPr>
          <w:rFonts w:hint="eastAsia" w:ascii="宋体" w:hAnsi="宋体" w:eastAsia="宋体" w:cs="宋体"/>
          <w:bCs/>
          <w:color w:val="000000"/>
          <w:kern w:val="0"/>
          <w:sz w:val="24"/>
          <w:highlight w:val="none"/>
          <w:u w:color="000000"/>
          <w:lang w:eastAsia="zh-CN" w:bidi="ar"/>
        </w:rPr>
        <w:t>滁州市滁宁城际铁路开发建设有限公司</w:t>
      </w:r>
    </w:p>
    <w:p w14:paraId="0A32F287">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eastAsia="zh-CN" w:bidi="ar"/>
        </w:rPr>
      </w:pPr>
      <w:r>
        <w:rPr>
          <w:rFonts w:hint="eastAsia" w:ascii="宋体" w:hAnsi="宋体" w:eastAsia="宋体" w:cs="宋体"/>
          <w:bCs/>
          <w:color w:val="000000"/>
          <w:kern w:val="0"/>
          <w:sz w:val="24"/>
          <w:highlight w:val="none"/>
          <w:u w:color="000000"/>
          <w:lang w:bidi="ar"/>
        </w:rPr>
        <w:t>地址：</w:t>
      </w:r>
      <w:r>
        <w:rPr>
          <w:rFonts w:hint="eastAsia" w:ascii="宋体" w:hAnsi="宋体" w:eastAsia="宋体" w:cs="宋体"/>
          <w:bCs/>
          <w:color w:val="000000"/>
          <w:kern w:val="0"/>
          <w:sz w:val="24"/>
          <w:highlight w:val="none"/>
          <w:u w:color="000000"/>
          <w:lang w:eastAsia="zh-CN" w:bidi="ar"/>
        </w:rPr>
        <w:t>滁州市徽州路与扬子路交叉口东南侧7楼</w:t>
      </w:r>
    </w:p>
    <w:p w14:paraId="1F74C4A8">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联系方式：</w:t>
      </w:r>
      <w:r>
        <w:rPr>
          <w:rFonts w:hint="eastAsia" w:ascii="宋体" w:hAnsi="宋体" w:eastAsia="宋体" w:cs="宋体"/>
          <w:bCs/>
          <w:color w:val="000000"/>
          <w:kern w:val="0"/>
          <w:sz w:val="24"/>
          <w:highlight w:val="none"/>
          <w:u w:color="000000"/>
          <w:lang w:eastAsia="zh-CN" w:bidi="ar"/>
        </w:rPr>
        <w:t>13339207910</w:t>
      </w:r>
      <w:r>
        <w:rPr>
          <w:rFonts w:hint="eastAsia" w:ascii="宋体" w:hAnsi="宋体" w:eastAsia="宋体" w:cs="宋体"/>
          <w:bCs/>
          <w:color w:val="000000"/>
          <w:kern w:val="0"/>
          <w:sz w:val="24"/>
          <w:highlight w:val="none"/>
          <w:u w:color="000000"/>
          <w:lang w:bidi="ar"/>
        </w:rPr>
        <w:t xml:space="preserve"> </w:t>
      </w:r>
      <w:bookmarkStart w:id="41" w:name="_Toc28359009"/>
      <w:bookmarkStart w:id="42" w:name="_Toc28359086"/>
    </w:p>
    <w:bookmarkEnd w:id="41"/>
    <w:bookmarkEnd w:id="42"/>
    <w:p w14:paraId="75CB189C">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2.</w:t>
      </w:r>
      <w:bookmarkEnd w:id="40"/>
      <w:r>
        <w:rPr>
          <w:rFonts w:hint="eastAsia" w:ascii="宋体" w:hAnsi="宋体" w:eastAsia="宋体" w:cs="宋体"/>
          <w:bCs/>
          <w:color w:val="000000"/>
          <w:kern w:val="0"/>
          <w:sz w:val="24"/>
          <w:highlight w:val="none"/>
          <w:u w:color="000000"/>
          <w:lang w:bidi="ar"/>
        </w:rPr>
        <w:t>代理机构信息</w:t>
      </w:r>
    </w:p>
    <w:p w14:paraId="6000E0E7">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名称：滁州市城投工程咨询管理有限公司</w:t>
      </w:r>
    </w:p>
    <w:p w14:paraId="2468A590">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地址：滁州市龙蟠大道109号房产大厦6楼605室</w:t>
      </w:r>
    </w:p>
    <w:p w14:paraId="78B07993">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联系方式：0550-3519519、18005505728</w:t>
      </w:r>
    </w:p>
    <w:p w14:paraId="0AE1C7E9">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3.项目联系方式</w:t>
      </w:r>
    </w:p>
    <w:p w14:paraId="1418D49E">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项目联系人：</w:t>
      </w:r>
      <w:r>
        <w:rPr>
          <w:rFonts w:hint="eastAsia" w:ascii="宋体" w:hAnsi="宋体" w:eastAsia="宋体" w:cs="宋体"/>
          <w:bCs/>
          <w:color w:val="000000"/>
          <w:kern w:val="0"/>
          <w:sz w:val="24"/>
          <w:highlight w:val="none"/>
          <w:u w:color="000000"/>
          <w:lang w:eastAsia="zh-CN" w:bidi="ar"/>
        </w:rPr>
        <w:t>杨雅辰</w:t>
      </w:r>
      <w:r>
        <w:rPr>
          <w:rFonts w:hint="eastAsia" w:ascii="宋体" w:hAnsi="宋体" w:eastAsia="宋体" w:cs="宋体"/>
          <w:bCs/>
          <w:color w:val="000000"/>
          <w:kern w:val="0"/>
          <w:sz w:val="24"/>
          <w:highlight w:val="none"/>
          <w:u w:color="000000"/>
          <w:lang w:bidi="ar"/>
        </w:rPr>
        <w:t xml:space="preserve">、周蓓蕾       </w:t>
      </w:r>
    </w:p>
    <w:p w14:paraId="06AAFC02">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电话：</w:t>
      </w:r>
      <w:r>
        <w:rPr>
          <w:rFonts w:hint="eastAsia" w:ascii="宋体" w:hAnsi="宋体" w:eastAsia="宋体" w:cs="宋体"/>
          <w:bCs/>
          <w:color w:val="000000"/>
          <w:kern w:val="0"/>
          <w:sz w:val="24"/>
          <w:highlight w:val="none"/>
          <w:u w:color="000000"/>
          <w:lang w:eastAsia="zh-CN" w:bidi="ar"/>
        </w:rPr>
        <w:t>13339207910</w:t>
      </w:r>
      <w:r>
        <w:rPr>
          <w:rFonts w:hint="eastAsia" w:ascii="宋体" w:hAnsi="宋体" w:eastAsia="宋体" w:cs="宋体"/>
          <w:bCs/>
          <w:color w:val="000000"/>
          <w:kern w:val="0"/>
          <w:sz w:val="24"/>
          <w:highlight w:val="none"/>
          <w:u w:color="000000"/>
          <w:lang w:bidi="ar"/>
        </w:rPr>
        <w:t>、18005505728</w:t>
      </w:r>
    </w:p>
    <w:p w14:paraId="7C1F8FDB">
      <w:pPr>
        <w:pStyle w:val="44"/>
        <w:spacing w:beforeLines="50" w:afterLines="50" w:line="440" w:lineRule="exact"/>
        <w:rPr>
          <w:rFonts w:hint="eastAsia"/>
          <w:bCs/>
          <w:szCs w:val="32"/>
          <w:highlight w:val="none"/>
          <w:lang w:val="en-US" w:eastAsia="zh-CN"/>
        </w:rPr>
      </w:pPr>
      <w:r>
        <w:rPr>
          <w:rFonts w:hint="eastAsia"/>
          <w:bCs/>
          <w:szCs w:val="32"/>
          <w:highlight w:val="none"/>
        </w:rPr>
        <w:br w:type="page"/>
      </w:r>
      <w:bookmarkEnd w:id="16"/>
      <w:bookmarkEnd w:id="17"/>
      <w:bookmarkEnd w:id="18"/>
      <w:bookmarkEnd w:id="19"/>
      <w:bookmarkEnd w:id="20"/>
      <w:bookmarkEnd w:id="21"/>
      <w:bookmarkEnd w:id="22"/>
      <w:bookmarkEnd w:id="23"/>
      <w:bookmarkEnd w:id="24"/>
      <w:bookmarkEnd w:id="25"/>
      <w:bookmarkEnd w:id="26"/>
      <w:bookmarkEnd w:id="27"/>
      <w:bookmarkEnd w:id="28"/>
      <w:r>
        <w:rPr>
          <w:rFonts w:hint="eastAsia"/>
          <w:bCs/>
          <w:szCs w:val="32"/>
          <w:highlight w:val="none"/>
          <w:lang w:val="en-US" w:eastAsia="zh-CN"/>
        </w:rPr>
        <w:t xml:space="preserve">  第二章 投标人须知</w:t>
      </w:r>
      <w:bookmarkStart w:id="43" w:name="_Toc9559"/>
      <w:bookmarkEnd w:id="43"/>
      <w:bookmarkStart w:id="44" w:name="_Toc144974496"/>
      <w:bookmarkStart w:id="45" w:name="_Toc506107268"/>
      <w:bookmarkStart w:id="46" w:name="_Toc179632545"/>
      <w:bookmarkStart w:id="47" w:name="_Toc15058845"/>
      <w:bookmarkStart w:id="48" w:name="_Toc246996174"/>
      <w:bookmarkStart w:id="49" w:name="_Toc152042304"/>
      <w:bookmarkStart w:id="50" w:name="_Toc324404814"/>
      <w:bookmarkStart w:id="51" w:name="_Toc246996917"/>
      <w:bookmarkStart w:id="52" w:name="_Toc35425051"/>
      <w:bookmarkStart w:id="53" w:name="_Toc247085688"/>
      <w:bookmarkStart w:id="54" w:name="_Toc35424884"/>
      <w:bookmarkStart w:id="55" w:name="_Toc152045528"/>
    </w:p>
    <w:p w14:paraId="594BBBF6">
      <w:pPr>
        <w:pStyle w:val="44"/>
        <w:spacing w:beforeLines="50" w:afterLines="50" w:line="440" w:lineRule="exact"/>
        <w:rPr>
          <w:b/>
          <w:bCs/>
          <w:sz w:val="28"/>
          <w:szCs w:val="28"/>
          <w:highlight w:val="none"/>
        </w:rPr>
      </w:pPr>
      <w:r>
        <w:rPr>
          <w:rFonts w:hint="eastAsia"/>
          <w:b/>
          <w:bCs/>
          <w:sz w:val="28"/>
          <w:szCs w:val="28"/>
          <w:highlight w:val="none"/>
        </w:rPr>
        <w:t>投标人须知前附表</w:t>
      </w:r>
      <w:bookmarkEnd w:id="44"/>
      <w:bookmarkEnd w:id="45"/>
      <w:bookmarkEnd w:id="46"/>
      <w:bookmarkEnd w:id="47"/>
      <w:bookmarkEnd w:id="48"/>
      <w:bookmarkEnd w:id="49"/>
      <w:bookmarkEnd w:id="50"/>
      <w:bookmarkEnd w:id="51"/>
      <w:bookmarkEnd w:id="52"/>
      <w:bookmarkEnd w:id="53"/>
      <w:bookmarkEnd w:id="54"/>
      <w:bookmarkEnd w:id="55"/>
    </w:p>
    <w:tbl>
      <w:tblPr>
        <w:tblStyle w:val="47"/>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700257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47A66D15">
            <w:pPr>
              <w:pStyle w:val="25"/>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highlight w:val="none"/>
                <w:lang w:val="en-US" w:eastAsia="zh-CN"/>
              </w:rPr>
            </w:pPr>
            <w:bookmarkStart w:id="56" w:name="_Toc246996175"/>
            <w:bookmarkStart w:id="57" w:name="_Toc506107269"/>
            <w:bookmarkStart w:id="58" w:name="_Toc246996918"/>
            <w:bookmarkStart w:id="59" w:name="_Toc35425053"/>
            <w:bookmarkStart w:id="60" w:name="_Toc152045529"/>
            <w:bookmarkStart w:id="61" w:name="_Toc78803322"/>
            <w:bookmarkStart w:id="62" w:name="_Toc15058846"/>
            <w:bookmarkStart w:id="63" w:name="_Toc179632546"/>
            <w:bookmarkStart w:id="64" w:name="_Toc144974497"/>
            <w:bookmarkStart w:id="65" w:name="_Toc152042305"/>
            <w:bookmarkStart w:id="66" w:name="_Toc35424887"/>
            <w:bookmarkStart w:id="67" w:name="_Toc324404815"/>
            <w:bookmarkStart w:id="68" w:name="_Toc247085689"/>
            <w:bookmarkStart w:id="69" w:name="_Toc5813"/>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594100DD">
            <w:pPr>
              <w:pStyle w:val="25"/>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783DA0C9">
            <w:pPr>
              <w:pStyle w:val="25"/>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cs="Times New Roman"/>
                <w:b/>
                <w:bCs w:val="0"/>
                <w:highlight w:val="none"/>
              </w:rPr>
              <w:t>说明与要求</w:t>
            </w:r>
          </w:p>
        </w:tc>
      </w:tr>
      <w:tr w14:paraId="1094E6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5758D1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6F5B747">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FAB18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cs="Times New Roman"/>
                <w:highlight w:val="none"/>
                <w:lang w:val="en-US" w:eastAsia="zh-CN"/>
              </w:rPr>
            </w:pPr>
            <w:r>
              <w:rPr>
                <w:rFonts w:hint="eastAsia" w:cs="Times New Roman"/>
                <w:highlight w:val="none"/>
                <w:lang w:val="en-US" w:eastAsia="zh-CN"/>
              </w:rPr>
              <w:t>滁州至南京城际铁路（滁州段）二期工程高铁站、琅琊山站装饰装修及附属升级改造三标段项目</w:t>
            </w:r>
          </w:p>
        </w:tc>
      </w:tr>
      <w:tr w14:paraId="00F762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DF98E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6436667">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ascii="宋体" w:hAnsi="宋体" w:eastAsia="宋体" w:cs="Times New Roman"/>
                <w:highlight w:val="none"/>
                <w:lang w:val="en-US"/>
              </w:rPr>
            </w:pPr>
            <w:r>
              <w:rPr>
                <w:rFonts w:hint="eastAsia" w:cs="Times New Roman"/>
                <w:highlight w:val="none"/>
                <w:lang w:val="en-US" w:eastAsia="zh-CN"/>
              </w:rPr>
              <w:t>工</w:t>
            </w:r>
            <w:r>
              <w:rPr>
                <w:rFonts w:hint="eastAsia" w:ascii="宋体" w:hAnsi="宋体" w:eastAsia="宋体" w:cs="Times New Roman"/>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859BC4">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651D55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B6A10">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E99B68D">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hint="eastAsia" w:cs="Times New Roman"/>
                <w:highlight w:val="none"/>
                <w:lang w:val="en-US" w:eastAsia="zh-CN"/>
              </w:rPr>
              <w:t>建设</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1A7DC1C">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highlight w:val="none"/>
                <w:lang w:val="en-US"/>
              </w:rPr>
            </w:pPr>
            <w:r>
              <w:rPr>
                <w:rFonts w:hint="eastAsia" w:ascii="宋体" w:hAnsi="宋体" w:eastAsia="宋体" w:cs="宋体"/>
                <w:color w:val="000000"/>
                <w:szCs w:val="21"/>
                <w:highlight w:val="none"/>
                <w:lang w:val="en-US" w:eastAsia="zh-CN"/>
              </w:rPr>
              <w:t>招标人指定地点</w:t>
            </w:r>
          </w:p>
        </w:tc>
      </w:tr>
      <w:tr w14:paraId="27087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573FA24">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BACA72">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3E1BAA">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highlight w:val="none"/>
                <w:lang w:val="en-US"/>
              </w:rPr>
            </w:pPr>
            <w:r>
              <w:rPr>
                <w:rFonts w:hint="eastAsia" w:ascii="宋体" w:hAnsi="宋体" w:eastAsia="宋体" w:cs="宋体"/>
                <w:highlight w:val="none"/>
                <w:lang w:eastAsia="zh-CN"/>
              </w:rPr>
              <w:t>杨雅辰</w:t>
            </w:r>
            <w:r>
              <w:rPr>
                <w:rFonts w:hint="eastAsia" w:ascii="宋体" w:hAnsi="宋体" w:eastAsia="宋体" w:cs="宋体"/>
                <w:highlight w:val="none"/>
              </w:rPr>
              <w:t xml:space="preserve">  </w:t>
            </w:r>
            <w:r>
              <w:rPr>
                <w:rFonts w:hint="eastAsia" w:ascii="宋体" w:hAnsi="宋体" w:eastAsia="宋体" w:cs="宋体"/>
                <w:highlight w:val="none"/>
                <w:lang w:eastAsia="zh-CN"/>
              </w:rPr>
              <w:t>13339207910</w:t>
            </w:r>
          </w:p>
        </w:tc>
      </w:tr>
      <w:tr w14:paraId="0473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07BAC8">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06E67F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8478BB">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highlight w:val="none"/>
                <w:lang w:val="en-US"/>
              </w:rPr>
            </w:pPr>
            <w:r>
              <w:rPr>
                <w:rFonts w:hint="eastAsia" w:ascii="宋体" w:hAnsi="宋体" w:eastAsia="宋体" w:cs="宋体"/>
                <w:highlight w:val="none"/>
              </w:rPr>
              <w:t xml:space="preserve">周蓓蕾 </w:t>
            </w:r>
            <w:r>
              <w:rPr>
                <w:rFonts w:hint="eastAsia" w:ascii="宋体" w:hAnsi="宋体" w:eastAsia="宋体" w:cs="宋体"/>
                <w:highlight w:val="none"/>
                <w:lang w:val="en-US" w:eastAsia="zh-CN"/>
              </w:rPr>
              <w:t xml:space="preserve"> </w:t>
            </w:r>
            <w:r>
              <w:rPr>
                <w:rFonts w:hint="eastAsia" w:ascii="宋体" w:hAnsi="宋体" w:eastAsia="宋体" w:cs="宋体"/>
                <w:highlight w:val="none"/>
                <w:lang w:val="en-US"/>
              </w:rPr>
              <w:t>0550-3519519  18005505728</w:t>
            </w:r>
          </w:p>
        </w:tc>
      </w:tr>
      <w:tr w14:paraId="71E730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AD46A87">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4D8AC4">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EF74E4A">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default" w:ascii="宋体" w:hAnsi="宋体" w:eastAsia="宋体" w:cs="宋体"/>
                <w:bCs/>
                <w:color w:val="000000"/>
                <w:szCs w:val="21"/>
                <w:highlight w:val="none"/>
                <w:lang w:val="en-US" w:eastAsia="zh-CN"/>
              </w:rPr>
              <w:t>自筹资金</w:t>
            </w:r>
          </w:p>
        </w:tc>
      </w:tr>
      <w:tr w14:paraId="79EABF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867D64">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A8E1709">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45C6E93">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250000.00元</w:t>
            </w:r>
          </w:p>
        </w:tc>
      </w:tr>
      <w:tr w14:paraId="38A50F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8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0B22ED3">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236DCD">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CDE3C66">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ascii="宋体" w:hAnsi="宋体" w:cs="宋体"/>
                <w:bCs/>
                <w:color w:val="000000"/>
                <w:szCs w:val="21"/>
                <w:highlight w:val="none"/>
                <w:lang w:val="en-US" w:eastAsia="zh-CN"/>
              </w:rPr>
              <w:t>250000.00元</w:t>
            </w:r>
            <w:r>
              <w:rPr>
                <w:rFonts w:hint="eastAsia" w:ascii="宋体" w:hAnsi="宋体" w:eastAsia="宋体" w:cs="宋体"/>
                <w:bCs/>
                <w:color w:val="000000"/>
                <w:szCs w:val="21"/>
                <w:highlight w:val="none"/>
                <w:lang w:val="en-US" w:eastAsia="zh-CN"/>
              </w:rPr>
              <w:t>，投标报价不得超过最高限价，否则按无效投标处理。</w:t>
            </w:r>
          </w:p>
        </w:tc>
      </w:tr>
      <w:tr w14:paraId="2BF564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5C7E64">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9493B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5665B0F">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采购需求</w:t>
            </w:r>
            <w:r>
              <w:rPr>
                <w:rFonts w:hint="eastAsia" w:hAnsi="宋体" w:cs="宋体"/>
                <w:bCs/>
                <w:color w:val="000000"/>
                <w:szCs w:val="21"/>
                <w:highlight w:val="none"/>
              </w:rPr>
              <w:t>》</w:t>
            </w:r>
          </w:p>
        </w:tc>
      </w:tr>
      <w:tr w14:paraId="4EF948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7B3C99">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A480FC">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5470FC">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67EB94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980FE8">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4B21C">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3A0820B">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4137AF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6BC84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FE82CD">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DFC2F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76501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D80BB2">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6F3AD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BA31F89">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34B7D1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87E94C">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7C10255">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0210882">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不召开</w:t>
            </w:r>
          </w:p>
        </w:tc>
      </w:tr>
      <w:tr w14:paraId="28B13B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128AA3">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FA6039">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325BE35">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 w:val="0"/>
                <w:bCs w:val="0"/>
                <w:highlight w:val="none"/>
                <w:lang w:val="en-US"/>
              </w:rPr>
            </w:pPr>
            <w:r>
              <w:rPr>
                <w:rFonts w:hint="eastAsia" w:ascii="宋体" w:hAnsi="宋体" w:eastAsia="宋体" w:cs="宋体"/>
                <w:b w:val="0"/>
                <w:bCs w:val="0"/>
                <w:highlight w:val="none"/>
              </w:rPr>
              <w:t>如投标人对招标文件有疑问，请于</w:t>
            </w:r>
            <w:r>
              <w:rPr>
                <w:rFonts w:hint="eastAsia" w:ascii="宋体" w:hAnsi="宋体" w:eastAsia="宋体" w:cs="宋体"/>
                <w:b w:val="0"/>
                <w:bCs w:val="0"/>
                <w:highlight w:val="none"/>
                <w:lang w:val="en-US"/>
              </w:rPr>
              <w:t>202</w:t>
            </w:r>
            <w:r>
              <w:rPr>
                <w:rFonts w:hint="eastAsia" w:ascii="宋体" w:hAnsi="宋体" w:cs="宋体"/>
                <w:b w:val="0"/>
                <w:bCs w:val="0"/>
                <w:highlight w:val="none"/>
                <w:lang w:val="en-US" w:eastAsia="zh-CN"/>
              </w:rPr>
              <w:t>6</w:t>
            </w:r>
            <w:r>
              <w:rPr>
                <w:rFonts w:hint="eastAsia" w:ascii="宋体" w:hAnsi="宋体" w:eastAsia="宋体" w:cs="宋体"/>
                <w:b w:val="0"/>
                <w:bCs w:val="0"/>
                <w:highlight w:val="none"/>
              </w:rPr>
              <w:t>年</w:t>
            </w:r>
            <w:r>
              <w:rPr>
                <w:rFonts w:hint="eastAsia" w:ascii="宋体" w:hAnsi="宋体" w:cs="宋体"/>
                <w:b w:val="0"/>
                <w:bCs w:val="0"/>
                <w:highlight w:val="none"/>
                <w:lang w:val="en-US" w:eastAsia="zh-CN"/>
              </w:rPr>
              <w:t>1</w:t>
            </w:r>
            <w:r>
              <w:rPr>
                <w:rFonts w:hint="eastAsia" w:ascii="宋体" w:hAnsi="宋体" w:eastAsia="宋体" w:cs="宋体"/>
                <w:b w:val="0"/>
                <w:bCs w:val="0"/>
                <w:highlight w:val="none"/>
              </w:rPr>
              <w:t>月</w:t>
            </w:r>
            <w:r>
              <w:rPr>
                <w:rFonts w:hint="eastAsia" w:ascii="宋体" w:hAnsi="宋体" w:cs="宋体"/>
                <w:b w:val="0"/>
                <w:bCs w:val="0"/>
                <w:highlight w:val="none"/>
                <w:lang w:val="en-US" w:eastAsia="zh-CN"/>
              </w:rPr>
              <w:t>18</w:t>
            </w:r>
            <w:r>
              <w:rPr>
                <w:rFonts w:hint="eastAsia" w:ascii="宋体" w:hAnsi="宋体" w:eastAsia="宋体" w:cs="宋体"/>
                <w:b w:val="0"/>
                <w:bCs w:val="0"/>
                <w:highlight w:val="none"/>
              </w:rPr>
              <w:t>日</w:t>
            </w:r>
            <w:r>
              <w:rPr>
                <w:rFonts w:hint="eastAsia" w:ascii="宋体" w:hAnsi="宋体" w:eastAsia="宋体" w:cs="宋体"/>
                <w:b w:val="0"/>
                <w:bCs w:val="0"/>
                <w:highlight w:val="none"/>
                <w:lang w:val="en-US"/>
              </w:rPr>
              <w:t>17</w:t>
            </w:r>
            <w:r>
              <w:rPr>
                <w:rFonts w:hint="eastAsia" w:ascii="宋体" w:hAnsi="宋体" w:eastAsia="宋体" w:cs="宋体"/>
                <w:b w:val="0"/>
                <w:bCs w:val="0"/>
                <w:highlight w:val="none"/>
              </w:rPr>
              <w:t>时前将疑问内容以书面的形式加盖投标单位公章，发送至滁州市城投工程咨询管理有限公司邮箱（</w:t>
            </w:r>
            <w:r>
              <w:rPr>
                <w:rFonts w:hint="eastAsia" w:ascii="宋体" w:hAnsi="宋体" w:eastAsia="宋体" w:cs="宋体"/>
                <w:b w:val="0"/>
                <w:bCs w:val="0"/>
                <w:highlight w:val="none"/>
                <w:lang w:val="en-US"/>
              </w:rPr>
              <w:t>czsctzx@163.com</w:t>
            </w:r>
            <w:r>
              <w:rPr>
                <w:rFonts w:hint="eastAsia" w:ascii="宋体" w:hAnsi="宋体" w:eastAsia="宋体" w:cs="宋体"/>
                <w:b w:val="0"/>
                <w:bCs w:val="0"/>
                <w:highlight w:val="none"/>
              </w:rPr>
              <w:t>）。</w:t>
            </w:r>
          </w:p>
        </w:tc>
      </w:tr>
      <w:tr w14:paraId="3B1A25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87AB22E">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92CEA6">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DD75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招标人将在</w:t>
            </w:r>
            <w:r>
              <w:rPr>
                <w:rFonts w:hint="eastAsia" w:ascii="宋体" w:hAnsi="宋体" w:eastAsia="宋体" w:cs="宋体"/>
                <w:b w:val="0"/>
                <w:bCs w:val="0"/>
                <w:color w:val="auto"/>
                <w:kern w:val="2"/>
                <w:sz w:val="21"/>
                <w:szCs w:val="21"/>
                <w:highlight w:val="none"/>
                <w:u w:color="auto"/>
                <w:lang w:val="en-US" w:eastAsia="zh-CN" w:bidi="ar"/>
              </w:rPr>
              <w:t>202</w:t>
            </w:r>
            <w:r>
              <w:rPr>
                <w:rFonts w:hint="eastAsia" w:ascii="宋体" w:hAnsi="宋体" w:cs="宋体"/>
                <w:b w:val="0"/>
                <w:bCs w:val="0"/>
                <w:color w:val="auto"/>
                <w:kern w:val="2"/>
                <w:sz w:val="21"/>
                <w:szCs w:val="21"/>
                <w:highlight w:val="none"/>
                <w:u w:color="auto"/>
                <w:lang w:val="en-US" w:eastAsia="zh-CN" w:bidi="ar"/>
              </w:rPr>
              <w:t>6</w:t>
            </w:r>
            <w:r>
              <w:rPr>
                <w:rFonts w:hint="eastAsia" w:ascii="宋体" w:hAnsi="宋体" w:eastAsia="宋体" w:cs="宋体"/>
                <w:b w:val="0"/>
                <w:bCs w:val="0"/>
                <w:color w:val="auto"/>
                <w:kern w:val="2"/>
                <w:sz w:val="21"/>
                <w:szCs w:val="21"/>
                <w:highlight w:val="none"/>
                <w:u w:color="auto"/>
                <w:lang w:val="en-US" w:eastAsia="zh-CN" w:bidi="ar"/>
              </w:rPr>
              <w:t>年</w:t>
            </w:r>
            <w:r>
              <w:rPr>
                <w:rFonts w:hint="eastAsia" w:ascii="宋体" w:hAnsi="宋体" w:cs="宋体"/>
                <w:b w:val="0"/>
                <w:bCs w:val="0"/>
                <w:color w:val="auto"/>
                <w:kern w:val="2"/>
                <w:sz w:val="21"/>
                <w:szCs w:val="21"/>
                <w:highlight w:val="none"/>
                <w:u w:color="auto"/>
                <w:lang w:val="en-US" w:eastAsia="zh-CN" w:bidi="ar"/>
              </w:rPr>
              <w:t>1</w:t>
            </w:r>
            <w:r>
              <w:rPr>
                <w:rFonts w:hint="eastAsia" w:ascii="宋体" w:hAnsi="宋体" w:eastAsia="宋体" w:cs="宋体"/>
                <w:b w:val="0"/>
                <w:bCs w:val="0"/>
                <w:color w:val="auto"/>
                <w:kern w:val="2"/>
                <w:sz w:val="21"/>
                <w:szCs w:val="21"/>
                <w:highlight w:val="none"/>
                <w:u w:color="auto"/>
                <w:lang w:val="en-US" w:eastAsia="zh-CN" w:bidi="ar"/>
              </w:rPr>
              <w:t>月</w:t>
            </w:r>
            <w:r>
              <w:rPr>
                <w:rFonts w:hint="eastAsia" w:ascii="宋体" w:hAnsi="宋体" w:cs="宋体"/>
                <w:b w:val="0"/>
                <w:bCs w:val="0"/>
                <w:color w:val="auto"/>
                <w:kern w:val="2"/>
                <w:sz w:val="21"/>
                <w:szCs w:val="21"/>
                <w:highlight w:val="none"/>
                <w:u w:color="auto"/>
                <w:lang w:val="en-US" w:eastAsia="zh-CN" w:bidi="ar"/>
              </w:rPr>
              <w:t>19</w:t>
            </w:r>
            <w:r>
              <w:rPr>
                <w:rFonts w:hint="eastAsia" w:ascii="宋体" w:hAnsi="宋体" w:eastAsia="宋体" w:cs="宋体"/>
                <w:b w:val="0"/>
                <w:bCs w:val="0"/>
                <w:color w:val="auto"/>
                <w:kern w:val="2"/>
                <w:sz w:val="21"/>
                <w:szCs w:val="21"/>
                <w:highlight w:val="none"/>
                <w:u w:color="auto"/>
                <w:lang w:val="en-US" w:eastAsia="zh-CN" w:bidi="ar"/>
              </w:rPr>
              <w:t>日17时后</w:t>
            </w:r>
            <w:r>
              <w:rPr>
                <w:rFonts w:hint="eastAsia" w:ascii="宋体" w:hAnsi="宋体" w:eastAsia="宋体" w:cs="宋体"/>
                <w:b w:val="0"/>
                <w:bCs w:val="0"/>
                <w:color w:val="000000"/>
                <w:kern w:val="2"/>
                <w:sz w:val="21"/>
                <w:szCs w:val="21"/>
                <w:highlight w:val="none"/>
                <w:u w:color="000000"/>
                <w:lang w:val="en-US" w:eastAsia="zh-CN" w:bidi="ar"/>
              </w:rPr>
              <w:t>以澄清公告形式在</w:t>
            </w:r>
            <w:r>
              <w:rPr>
                <w:rFonts w:hint="eastAsia" w:ascii="宋体" w:hAnsi="宋体" w:eastAsia="宋体" w:cs="宋体"/>
                <w:szCs w:val="21"/>
                <w:highlight w:val="none"/>
                <w:lang w:eastAsia="zh-CN"/>
              </w:rPr>
              <w:t>滁州市滁宁城际铁路开发建设有限公司</w:t>
            </w:r>
            <w:r>
              <w:rPr>
                <w:rFonts w:hint="eastAsia" w:ascii="宋体" w:hAnsi="宋体" w:eastAsia="宋体" w:cs="宋体"/>
                <w:szCs w:val="21"/>
                <w:highlight w:val="none"/>
                <w:lang w:val="en-US" w:eastAsia="zh-CN"/>
              </w:rPr>
              <w:t>网站</w:t>
            </w:r>
            <w:r>
              <w:rPr>
                <w:rFonts w:hint="eastAsia" w:ascii="宋体" w:hAnsi="宋体" w:eastAsia="宋体" w:cs="宋体"/>
                <w:szCs w:val="21"/>
                <w:highlight w:val="none"/>
              </w:rPr>
              <w:t xml:space="preserve">（ </w:t>
            </w:r>
            <w:r>
              <w:rPr>
                <w:rFonts w:hint="eastAsia" w:ascii="宋体" w:hAnsi="宋体" w:eastAsia="宋体" w:cs="宋体"/>
                <w:szCs w:val="21"/>
                <w:highlight w:val="none"/>
                <w:lang w:eastAsia="zh-CN"/>
              </w:rPr>
              <w:t>http://czctgs.cn/</w:t>
            </w:r>
            <w:r>
              <w:rPr>
                <w:rFonts w:hint="eastAsia" w:ascii="宋体" w:hAnsi="宋体" w:eastAsia="宋体" w:cs="宋体"/>
                <w:szCs w:val="21"/>
                <w:highlight w:val="none"/>
              </w:rPr>
              <w:t>）发布。</w:t>
            </w:r>
          </w:p>
        </w:tc>
      </w:tr>
      <w:tr w14:paraId="7BAAA1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2C9316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0E28CE">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0FDACB">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407C07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A93D04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F5E23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EED71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w:t>
            </w:r>
            <w:r>
              <w:rPr>
                <w:rFonts w:hint="eastAsia" w:ascii="宋体" w:hAnsi="宋体" w:cs="宋体"/>
                <w:color w:val="000000"/>
                <w:kern w:val="2"/>
                <w:sz w:val="21"/>
                <w:szCs w:val="21"/>
                <w:highlight w:val="none"/>
                <w:u w:color="000000"/>
                <w:lang w:val="en-US" w:eastAsia="zh-CN" w:bidi="ar"/>
              </w:rPr>
              <w:t>3000</w:t>
            </w:r>
            <w:r>
              <w:rPr>
                <w:rFonts w:hint="eastAsia" w:ascii="宋体" w:hAnsi="宋体" w:eastAsia="宋体" w:cs="宋体"/>
                <w:color w:val="000000"/>
                <w:kern w:val="2"/>
                <w:sz w:val="21"/>
                <w:szCs w:val="21"/>
                <w:highlight w:val="none"/>
                <w:u w:color="000000"/>
                <w:lang w:val="en-US" w:eastAsia="zh-CN" w:bidi="ar"/>
              </w:rPr>
              <w:t>元，不含专家评审费（专家评审费用以实际支付为准，预计2000元整）。</w:t>
            </w:r>
          </w:p>
          <w:p w14:paraId="79F68D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代理服务费及专家评审费支付主体：中标单位，中标单位在获取中标通知书时一次性支付给代理机构。</w:t>
            </w:r>
          </w:p>
        </w:tc>
      </w:tr>
      <w:tr w14:paraId="337FD4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687F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DAD7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05F0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095D2B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3F3FFE">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6F23E6">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D95535">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9ADB8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7C91D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DBF5B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AC6FA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71AD8C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C50D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37CCB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FD7E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17F2F4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05B7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A0CC6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C519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rPr>
              <w:t>在</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21</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0分</w:t>
            </w:r>
            <w:r>
              <w:rPr>
                <w:rFonts w:hint="eastAsia" w:ascii="宋体" w:hAnsi="宋体" w:cs="宋体"/>
                <w:bCs/>
                <w:spacing w:val="-4"/>
                <w:kern w:val="0"/>
                <w:szCs w:val="21"/>
                <w:highlight w:val="none"/>
              </w:rPr>
              <w:t>（北京时间）</w:t>
            </w:r>
          </w:p>
        </w:tc>
      </w:tr>
      <w:tr w14:paraId="0F8496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CAFC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02FE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2F0A94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494B49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6813D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45A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D41A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开标时间：202</w:t>
            </w:r>
            <w:r>
              <w:rPr>
                <w:rFonts w:hint="eastAsia" w:ascii="宋体" w:hAnsi="宋体" w:cs="宋体"/>
                <w:color w:val="000000"/>
                <w:kern w:val="2"/>
                <w:sz w:val="21"/>
                <w:szCs w:val="21"/>
                <w:highlight w:val="none"/>
                <w:u w:color="000000"/>
                <w:lang w:val="en-US" w:eastAsia="zh-CN" w:bidi="ar"/>
              </w:rPr>
              <w:t>6</w:t>
            </w:r>
            <w:r>
              <w:rPr>
                <w:rFonts w:hint="eastAsia" w:ascii="宋体" w:hAnsi="宋体" w:eastAsia="宋体" w:cs="宋体"/>
                <w:color w:val="000000"/>
                <w:kern w:val="2"/>
                <w:sz w:val="21"/>
                <w:szCs w:val="21"/>
                <w:highlight w:val="none"/>
                <w:u w:color="000000"/>
                <w:lang w:val="en-US" w:eastAsia="zh-CN" w:bidi="ar"/>
              </w:rPr>
              <w:t>年</w:t>
            </w:r>
            <w:r>
              <w:rPr>
                <w:rFonts w:hint="eastAsia" w:ascii="宋体" w:hAnsi="宋体" w:cs="宋体"/>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月</w:t>
            </w:r>
            <w:r>
              <w:rPr>
                <w:rFonts w:hint="eastAsia" w:ascii="宋体" w:hAnsi="宋体" w:cs="宋体"/>
                <w:color w:val="000000"/>
                <w:kern w:val="2"/>
                <w:sz w:val="21"/>
                <w:szCs w:val="21"/>
                <w:highlight w:val="none"/>
                <w:u w:color="000000"/>
                <w:lang w:val="en-US" w:eastAsia="zh-CN" w:bidi="ar"/>
              </w:rPr>
              <w:t>21</w:t>
            </w:r>
            <w:r>
              <w:rPr>
                <w:rFonts w:hint="eastAsia" w:ascii="宋体" w:hAnsi="宋体" w:eastAsia="宋体" w:cs="宋体"/>
                <w:color w:val="000000"/>
                <w:kern w:val="2"/>
                <w:sz w:val="21"/>
                <w:szCs w:val="21"/>
                <w:highlight w:val="none"/>
                <w:u w:color="000000"/>
                <w:lang w:val="en-US" w:eastAsia="zh-CN" w:bidi="ar"/>
              </w:rPr>
              <w:t>日1</w:t>
            </w:r>
            <w:r>
              <w:rPr>
                <w:rFonts w:hint="eastAsia" w:ascii="宋体" w:hAnsi="宋体" w:cs="宋体"/>
                <w:color w:val="000000"/>
                <w:kern w:val="2"/>
                <w:sz w:val="21"/>
                <w:szCs w:val="21"/>
                <w:highlight w:val="none"/>
                <w:u w:color="000000"/>
                <w:lang w:val="en-US" w:eastAsia="zh-CN" w:bidi="ar"/>
              </w:rPr>
              <w:t>0</w:t>
            </w:r>
            <w:r>
              <w:rPr>
                <w:rFonts w:hint="eastAsia" w:ascii="宋体" w:hAnsi="宋体" w:eastAsia="宋体" w:cs="宋体"/>
                <w:color w:val="000000"/>
                <w:kern w:val="2"/>
                <w:sz w:val="21"/>
                <w:szCs w:val="21"/>
                <w:highlight w:val="none"/>
                <w:u w:color="000000"/>
                <w:lang w:val="en-US" w:eastAsia="zh-CN" w:bidi="ar"/>
              </w:rPr>
              <w:t>时</w:t>
            </w:r>
            <w:r>
              <w:rPr>
                <w:rFonts w:hint="eastAsia" w:ascii="宋体" w:hAnsi="宋体" w:cs="宋体"/>
                <w:color w:val="000000"/>
                <w:kern w:val="2"/>
                <w:sz w:val="21"/>
                <w:szCs w:val="21"/>
                <w:highlight w:val="none"/>
                <w:u w:color="000000"/>
                <w:lang w:val="en-US" w:eastAsia="zh-CN" w:bidi="ar"/>
              </w:rPr>
              <w:t>3</w:t>
            </w:r>
            <w:r>
              <w:rPr>
                <w:rFonts w:hint="eastAsia" w:ascii="宋体" w:hAnsi="宋体" w:eastAsia="宋体" w:cs="宋体"/>
                <w:color w:val="000000"/>
                <w:kern w:val="2"/>
                <w:sz w:val="21"/>
                <w:szCs w:val="21"/>
                <w:highlight w:val="none"/>
                <w:u w:color="000000"/>
                <w:lang w:val="en-US" w:eastAsia="zh-CN" w:bidi="ar"/>
              </w:rPr>
              <w:t>0分（北京时间）</w:t>
            </w:r>
          </w:p>
          <w:p w14:paraId="325F25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开标地点：滁州市滁宁城际铁路开发建设有限公司七楼会议室 (滁州市徽州路与扬子路交叉口东南侧)。</w:t>
            </w:r>
          </w:p>
        </w:tc>
      </w:tr>
      <w:tr w14:paraId="21895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D9ECE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1241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CB77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F7A06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8370E4">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BD1B6BA">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A9C2E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2F9371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777FF74">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4FBF4CA">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736FA09">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116BD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298F76B">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7110AC3">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5DDA3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166E425">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49D092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FECE8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C00E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349A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0F6CC5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78DD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74902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AA56F7F">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 xml:space="preserve">是否收取履约担保：☑收取，□不收取 </w:t>
            </w:r>
          </w:p>
          <w:p w14:paraId="7F11DB0C">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履约担保的形式：支持银行转账、银行保函（见索即付无条件保函）、担保保函、商业保险、第三方担保（无条件担保）使用</w:t>
            </w:r>
          </w:p>
          <w:p w14:paraId="01DFB2C8">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履约担保的金额</w:t>
            </w:r>
            <w:r>
              <w:rPr>
                <w:rFonts w:hint="eastAsia" w:cs="宋体"/>
                <w:color w:val="auto"/>
                <w:sz w:val="21"/>
                <w:szCs w:val="21"/>
                <w:highlight w:val="none"/>
                <w:lang w:val="en-US" w:eastAsia="zh-CN"/>
              </w:rPr>
              <w:t>（人民币）</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中标合同金额</w:t>
            </w:r>
            <w:r>
              <w:rPr>
                <w:rFonts w:hint="default" w:ascii="Arial" w:hAnsi="Arial" w:cs="Arial"/>
                <w:color w:val="auto"/>
                <w:sz w:val="21"/>
                <w:szCs w:val="21"/>
                <w:highlight w:val="none"/>
                <w:lang w:val="en-US" w:eastAsia="zh-CN"/>
              </w:rPr>
              <w:t>×</w:t>
            </w:r>
            <w:r>
              <w:rPr>
                <w:rFonts w:hint="eastAsia" w:cs="宋体"/>
                <w:color w:val="auto"/>
                <w:sz w:val="21"/>
                <w:szCs w:val="21"/>
                <w:highlight w:val="none"/>
                <w:lang w:val="en-US" w:eastAsia="zh-CN"/>
              </w:rPr>
              <w:t>10%</w:t>
            </w:r>
          </w:p>
          <w:p w14:paraId="0AB68E0F">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D08028A">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270F3007">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54215B9D">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E2E96B9">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履约保证金退还时限：履约保证金在合同履行期满后一个月内无息退还。</w:t>
            </w:r>
          </w:p>
          <w:p w14:paraId="78D2EB15">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4CFEF352">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221D9EFB">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269E4ED8">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7AB31801">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4、采用第三方担保的具体要求：按招标人要求提供</w:t>
            </w:r>
          </w:p>
          <w:p w14:paraId="56104A7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auto"/>
                <w:sz w:val="21"/>
                <w:szCs w:val="21"/>
                <w:highlight w:val="none"/>
                <w:lang w:val="en-US" w:eastAsia="zh-CN"/>
              </w:rPr>
              <w:t>注：汇款务必注明缴款人名称及用途，切勿以现金存入。</w:t>
            </w:r>
          </w:p>
        </w:tc>
      </w:tr>
      <w:tr w14:paraId="025A2B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15"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9BEAA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997DAA9">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双方签订合同且投标人实质性开工后，甲方向乙方支付合同总价20%的预付款。工程完工并验收通过后，中标人提交付款申请及工作量清单，招标人审核后30天内向中标人一次性支付结算总价的95%，剩余5%金额待2年质保期满后一次性支付。</w:t>
            </w:r>
          </w:p>
        </w:tc>
      </w:tr>
      <w:tr w14:paraId="4C5D02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52900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C6B4F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26AE79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77CC69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F05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931E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7B0B5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606E4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3E3D1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7F98C8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E0E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92E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14:paraId="54777F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DE91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CD0D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、本项目严禁非法转包，一经发现，招标人依法处理。</w:t>
            </w:r>
          </w:p>
          <w:p w14:paraId="17F40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rPr>
              <w:t>、本文件的最终解释权归招标人、招标代理机构所有。</w:t>
            </w:r>
          </w:p>
        </w:tc>
      </w:tr>
      <w:tr w14:paraId="44117E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499AD6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5AFEB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1、本项目采购清单中的技术规格以及参照的品牌或型号、推荐品牌仅起说明作用，并没有任何限制性。投标人在投标过程中可以选用替代标准、品牌/型号，但这些替代要实质上满足或者优于采购清单的相关要求。</w:t>
            </w:r>
          </w:p>
          <w:p w14:paraId="11CF7E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2、评标委员会只依靠投标人递交的投标文件及其按照招标文件要求提供的所有证明材料进行评审，而不依靠任何外来的证明材料。</w:t>
            </w:r>
          </w:p>
          <w:p w14:paraId="437F6B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r>
              <w:rPr>
                <w:rFonts w:hint="default" w:ascii="Times New Roman" w:hAnsi="Times New Roman" w:eastAsia="宋体" w:cs="Times New Roman"/>
                <w:highlight w:val="none"/>
                <w:lang w:val="en-US" w:eastAsia="zh-CN"/>
              </w:rPr>
              <w:t>①</w:t>
            </w:r>
            <w:r>
              <w:rPr>
                <w:rFonts w:hint="eastAsia" w:ascii="Times New Roman" w:hAnsi="Times New Roman" w:eastAsia="宋体" w:cs="Times New Roman"/>
                <w:highlight w:val="none"/>
                <w:lang w:val="en-US" w:eastAsia="zh-CN"/>
              </w:rPr>
              <w:t>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"mailto:2、在递交截止时间后30分钟内，将解压密码通过邮箱发送至代理机构邮箱（czsctgczx@163.com）" </w:instrText>
            </w:r>
            <w:r>
              <w:rPr>
                <w:rFonts w:hint="eastAsia" w:ascii="Times New Roman" w:hAnsi="Times New Roman" w:eastAsia="宋体" w:cs="Times New Roman"/>
                <w:highlight w:val="none"/>
                <w:lang w:val="en-US" w:eastAsia="zh-CN"/>
              </w:rPr>
              <w:fldChar w:fldCharType="separate"/>
            </w:r>
            <w:r>
              <w:rPr>
                <w:rFonts w:hint="default" w:ascii="Times New Roman" w:hAnsi="Times New Roman" w:eastAsia="宋体" w:cs="Times New Roman"/>
                <w:highlight w:val="none"/>
                <w:lang w:val="en-US" w:eastAsia="zh-CN"/>
              </w:rPr>
              <w:t>②</w:t>
            </w:r>
            <w:r>
              <w:rPr>
                <w:rFonts w:hint="eastAsia" w:ascii="Times New Roman" w:hAnsi="Times New Roman" w:eastAsia="宋体" w:cs="Times New Roman"/>
                <w:highlight w:val="none"/>
                <w:lang w:val="en-US" w:eastAsia="zh-CN"/>
              </w:rPr>
              <w:t>在投标截止时间后30分钟内，将投标文件密码通过邮箱发送至滁州市城投工程咨询管理有限公司邮箱（czsctzx@163.com）</w:t>
            </w:r>
            <w:r>
              <w:rPr>
                <w:rFonts w:hint="eastAsia" w:ascii="Times New Roman" w:hAnsi="Times New Roman" w:eastAsia="宋体" w:cs="Times New Roman"/>
                <w:highlight w:val="none"/>
                <w:lang w:val="en-US" w:eastAsia="zh-CN"/>
              </w:rPr>
              <w:fldChar w:fldCharType="end"/>
            </w:r>
            <w:r>
              <w:rPr>
                <w:rFonts w:hint="eastAsia" w:ascii="Times New Roman" w:hAnsi="Times New Roman" w:eastAsia="宋体" w:cs="Times New Roman"/>
                <w:highlight w:val="none"/>
                <w:lang w:val="en-US" w:eastAsia="zh-CN"/>
              </w:rPr>
              <w:t>，未在规定时间内发送密码或发送的密码无法正确打开投标文件的，投标文件将被拒绝。</w:t>
            </w:r>
          </w:p>
          <w:p w14:paraId="553C0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4、中标人提供的所有货物、材料或配件必须是全新的、合格的且未曾使用过的，否则，造成的一切后果由中标人承担。</w:t>
            </w:r>
          </w:p>
          <w:p w14:paraId="5D962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5、对于有损坏等未通过招标人验收合格的货物，中标人应自行清理出招标人场地并承担所有相关费用，不增加结算金额。</w:t>
            </w:r>
          </w:p>
          <w:p w14:paraId="627B7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6、招标人对本项目执行过程中的所有争议拥有最终的裁决权，投标人应无条件地服从招标人的裁决，不得以任何理由提出增加本项目合同费用和延误本项目工期。</w:t>
            </w:r>
          </w:p>
          <w:p w14:paraId="48DFD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eastAsia="宋体"/>
                <w:highlight w:val="none"/>
                <w:lang w:val="en-US" w:eastAsia="zh-CN"/>
              </w:rPr>
            </w:pPr>
            <w:r>
              <w:rPr>
                <w:rFonts w:hint="eastAsia"/>
                <w:highlight w:val="none"/>
                <w:lang w:val="en-US" w:eastAsia="zh-CN"/>
              </w:rPr>
              <w:t>7、本项目严禁非法转包，一经发现，招标人依法处理。</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bookmarkEnd w:id="56"/>
    <w:bookmarkEnd w:id="57"/>
    <w:bookmarkEnd w:id="58"/>
    <w:bookmarkEnd w:id="59"/>
    <w:bookmarkEnd w:id="60"/>
    <w:bookmarkEnd w:id="61"/>
    <w:bookmarkEnd w:id="62"/>
    <w:bookmarkEnd w:id="63"/>
    <w:bookmarkEnd w:id="64"/>
    <w:bookmarkEnd w:id="65"/>
    <w:bookmarkEnd w:id="66"/>
    <w:bookmarkEnd w:id="67"/>
    <w:bookmarkEnd w:id="68"/>
    <w:bookmarkEnd w:id="69"/>
    <w:p w14:paraId="70861B6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70" w:name="_Toc14421_WPSOffice_Level3"/>
      <w:bookmarkStart w:id="71" w:name="_Toc324404864"/>
      <w:bookmarkStart w:id="72" w:name="_Toc35424939"/>
      <w:bookmarkStart w:id="73" w:name="_Toc15058902"/>
      <w:bookmarkStart w:id="74" w:name="_Toc35425105"/>
      <w:bookmarkStart w:id="75" w:name="_Toc506107317"/>
      <w:bookmarkStart w:id="76" w:name="_Toc296602475"/>
      <w:r>
        <w:rPr>
          <w:rFonts w:hint="eastAsia" w:ascii="宋体" w:hAnsi="宋体" w:eastAsia="宋体" w:cs="宋体"/>
          <w:b/>
          <w:bCs w:val="0"/>
          <w:color w:val="000000"/>
          <w:kern w:val="0"/>
          <w:sz w:val="28"/>
          <w:szCs w:val="28"/>
          <w:highlight w:val="none"/>
          <w:u w:color="000000"/>
          <w:lang w:val="en-US" w:eastAsia="zh-CN" w:bidi="ar"/>
        </w:rPr>
        <w:t>（一）总  则</w:t>
      </w:r>
      <w:bookmarkEnd w:id="70"/>
    </w:p>
    <w:p w14:paraId="1450E2E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59CCB18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7B8FA9E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5217CD6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工期：见投标人须知前附表。</w:t>
      </w:r>
    </w:p>
    <w:p w14:paraId="11E575A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建设地点：见投标人须知前附表。</w:t>
      </w:r>
    </w:p>
    <w:p w14:paraId="525D438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 见投标人须知前附表。</w:t>
      </w:r>
    </w:p>
    <w:p w14:paraId="562F3E0C">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57C644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39880DF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028BE2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0C8AB17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2.招标范围</w:t>
      </w:r>
    </w:p>
    <w:p w14:paraId="34E37F3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5F00FF9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7F8DAA3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3.标包划分</w:t>
      </w:r>
    </w:p>
    <w:p w14:paraId="04EA65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22023A2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4.招标方式</w:t>
      </w:r>
    </w:p>
    <w:p w14:paraId="1356CB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4FF9A6A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28F0C4EC">
      <w:pPr>
        <w:snapToGrid w:val="0"/>
        <w:spacing w:line="440" w:lineRule="exact"/>
        <w:ind w:firstLine="420" w:firstLineChars="200"/>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固定单价 。</w:t>
      </w:r>
      <w:r>
        <w:rPr>
          <w:rFonts w:hint="eastAsia" w:ascii="宋体"/>
          <w:szCs w:val="21"/>
          <w:highlight w:val="none"/>
        </w:rPr>
        <w:t>招标范围内中标</w:t>
      </w:r>
      <w:r>
        <w:rPr>
          <w:rFonts w:hint="eastAsia" w:ascii="宋体"/>
          <w:szCs w:val="21"/>
          <w:highlight w:val="none"/>
          <w:lang w:val="en-US" w:eastAsia="zh-CN"/>
        </w:rPr>
        <w:t>综合</w:t>
      </w:r>
      <w:r>
        <w:rPr>
          <w:rFonts w:hint="eastAsia" w:ascii="宋体"/>
          <w:szCs w:val="21"/>
          <w:highlight w:val="none"/>
        </w:rPr>
        <w:t>单价一次性包死，结算时不予调整</w:t>
      </w:r>
      <w:r>
        <w:rPr>
          <w:rFonts w:hint="eastAsia" w:ascii="宋体"/>
          <w:szCs w:val="21"/>
          <w:highlight w:val="none"/>
          <w:lang w:eastAsia="zh-CN"/>
        </w:rPr>
        <w:t>。</w:t>
      </w:r>
    </w:p>
    <w:p w14:paraId="17B744C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6.评标办法</w:t>
      </w:r>
    </w:p>
    <w:p w14:paraId="2C0E3A7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val="en-US" w:eastAsia="zh-CN"/>
        </w:rPr>
        <w:t>综合评估法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（详见第三章评标办法）</w:t>
      </w:r>
    </w:p>
    <w:p w14:paraId="18E13A8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7.投标人资格</w:t>
      </w:r>
    </w:p>
    <w:p w14:paraId="3554198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7204AA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8. 投标费用</w:t>
      </w:r>
    </w:p>
    <w:p w14:paraId="3096D3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26BEB4A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9.</w:t>
      </w:r>
      <w:bookmarkStart w:id="77" w:name="_Toc247513962"/>
      <w:bookmarkEnd w:id="77"/>
      <w:bookmarkStart w:id="78" w:name="_Toc152042315"/>
      <w:bookmarkEnd w:id="78"/>
      <w:bookmarkStart w:id="79" w:name="_Toc152045539"/>
      <w:bookmarkEnd w:id="79"/>
      <w:bookmarkStart w:id="80" w:name="_Toc247527563"/>
      <w:bookmarkEnd w:id="80"/>
      <w:bookmarkStart w:id="81" w:name="_Toc296602429"/>
      <w:bookmarkEnd w:id="81"/>
      <w:bookmarkStart w:id="82" w:name="_Toc144974507"/>
      <w:bookmarkEnd w:id="82"/>
      <w:bookmarkStart w:id="83"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83"/>
    </w:p>
    <w:p w14:paraId="639CC004">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E5EBC99">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2C0E97D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00B7B6F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265F8154">
      <w:pPr>
        <w:spacing w:line="440" w:lineRule="exact"/>
        <w:ind w:firstLine="409" w:firstLineChars="195"/>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7666C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88BA412">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53DEAF3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11.联合投标</w:t>
      </w:r>
    </w:p>
    <w:p w14:paraId="199643C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5B9C257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12.招标代理费</w:t>
      </w:r>
    </w:p>
    <w:p w14:paraId="5DDF504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6CB500F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13.投标人应注意的事项</w:t>
      </w:r>
    </w:p>
    <w:p w14:paraId="74C0D6C2">
      <w:pPr>
        <w:spacing w:line="440" w:lineRule="exact"/>
        <w:ind w:firstLine="409" w:firstLineChars="195"/>
        <w:rPr>
          <w:rFonts w:hint="eastAsia" w:ascii="宋体"/>
          <w:color w:val="000000"/>
          <w:szCs w:val="21"/>
          <w:highlight w:val="none"/>
        </w:rPr>
      </w:pPr>
      <w:bookmarkStart w:id="84" w:name="_Toc10668_WPSOffice_Level3"/>
      <w:bookmarkEnd w:id="84"/>
      <w:bookmarkStart w:id="85" w:name="_Toc24655"/>
      <w:bookmarkEnd w:id="85"/>
      <w:r>
        <w:rPr>
          <w:rFonts w:hint="eastAsia" w:ascii="宋体"/>
          <w:color w:val="000000"/>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24A39A9">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13.2投标人对采购内容中规定的技术参数、规格、数量和要求等必须满足招标文件的相关要求。</w:t>
      </w:r>
    </w:p>
    <w:p w14:paraId="03A4BD68">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3</w:t>
      </w:r>
      <w:r>
        <w:rPr>
          <w:rFonts w:hint="eastAsia" w:ascii="宋体"/>
          <w:color w:val="000000"/>
          <w:szCs w:val="21"/>
          <w:highlight w:val="none"/>
        </w:rPr>
        <w:t xml:space="preserve"> 单位负责人为同一人或者存在直接控股、管理关系的不同</w:t>
      </w:r>
      <w:r>
        <w:rPr>
          <w:rFonts w:hint="eastAsia" w:ascii="宋体"/>
          <w:color w:val="000000"/>
          <w:szCs w:val="21"/>
          <w:highlight w:val="none"/>
          <w:lang w:eastAsia="zh-CN"/>
        </w:rPr>
        <w:t>投标人</w:t>
      </w:r>
      <w:r>
        <w:rPr>
          <w:rFonts w:hint="eastAsia" w:ascii="宋体"/>
          <w:color w:val="000000"/>
          <w:szCs w:val="21"/>
          <w:highlight w:val="none"/>
        </w:rPr>
        <w:t>，不得参加同一合同项下的采购活动。</w:t>
      </w:r>
    </w:p>
    <w:p w14:paraId="5C0E54DC">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4</w:t>
      </w:r>
      <w:r>
        <w:rPr>
          <w:rFonts w:hint="eastAsia" w:ascii="宋体"/>
          <w:color w:val="000000"/>
          <w:szCs w:val="21"/>
          <w:highlight w:val="none"/>
        </w:rPr>
        <w:t>投标人被视为充分熟悉本招标项目所在地的与履行合同有关的各种情况，包括但不限于：</w:t>
      </w:r>
    </w:p>
    <w:p w14:paraId="47C137E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（1）国家对本次投标货物和服务的生产、安装调试、验收、维修等有关法律、法规及行业管理标准；</w:t>
      </w:r>
    </w:p>
    <w:p w14:paraId="6DF0A25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（2）安徽省及滁州市等有关管理部门的相关规定；</w:t>
      </w:r>
    </w:p>
    <w:p w14:paraId="71F8EB8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（3）招标人的相关场地情况、基础建设、电力供应情况及相关设计标准。</w:t>
      </w:r>
    </w:p>
    <w:p w14:paraId="5AC4D613">
      <w:pPr>
        <w:spacing w:line="440" w:lineRule="exact"/>
        <w:ind w:firstLine="409" w:firstLineChars="195"/>
        <w:rPr>
          <w:rFonts w:hint="eastAsia" w:ascii="宋体"/>
          <w:color w:val="000000"/>
          <w:szCs w:val="21"/>
          <w:highlight w:val="none"/>
        </w:rPr>
      </w:pPr>
      <w:r>
        <w:rPr>
          <w:rFonts w:hint="eastAsia" w:ascii="宋体"/>
          <w:color w:val="000000"/>
          <w:szCs w:val="21"/>
          <w:highlight w:val="none"/>
        </w:rPr>
        <w:t>本招标文件不再对上述情况进行描述。</w:t>
      </w:r>
    </w:p>
    <w:p w14:paraId="60B234D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14.保密</w:t>
      </w:r>
    </w:p>
    <w:p w14:paraId="2E1D6A97">
      <w:pPr>
        <w:spacing w:line="400" w:lineRule="exact"/>
        <w:ind w:firstLine="315" w:firstLineChars="150"/>
        <w:rPr>
          <w:rFonts w:hint="eastAsia" w:ascii="宋体"/>
          <w:szCs w:val="21"/>
          <w:highlight w:val="none"/>
        </w:rPr>
      </w:pPr>
      <w:r>
        <w:rPr>
          <w:rFonts w:hint="eastAsia" w:ascii="宋体"/>
          <w:szCs w:val="21"/>
          <w:highlight w:val="none"/>
        </w:rPr>
        <w:t xml:space="preserve">参与招标投标活动的各方应对招标文件和投标文件中的商业和技术等秘密保密，违者应对由此造成的后果承担法律责任。 </w:t>
      </w:r>
    </w:p>
    <w:p w14:paraId="04A9461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2A7E08B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15.招标文件的编制依据</w:t>
      </w:r>
    </w:p>
    <w:p w14:paraId="4B540CF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1C216F3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16.招标文件的组成</w:t>
      </w:r>
    </w:p>
    <w:p w14:paraId="6C67678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61B36A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6580E6A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21BFA46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00E5379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用户需求书</w:t>
      </w:r>
    </w:p>
    <w:p w14:paraId="355012D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5D8FBF7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投标文件格式文本</w:t>
      </w:r>
    </w:p>
    <w:p w14:paraId="4CEC56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招标人、招标代理机构对本文件的确认</w:t>
      </w:r>
    </w:p>
    <w:p w14:paraId="7AF1FAE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0F53CA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0108F4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751773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17.招标文件的异议、澄清</w:t>
      </w:r>
    </w:p>
    <w:p w14:paraId="170B6F44">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5887848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22D38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18.招标文件的发出</w:t>
      </w:r>
    </w:p>
    <w:p w14:paraId="620F9D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滁州市滁宁城际铁路开发建设有限公司网站（http://czctgs.cn/）</w:t>
      </w:r>
      <w:r>
        <w:rPr>
          <w:rFonts w:hint="eastAsia" w:ascii="宋体" w:hAnsi="宋体" w:eastAsia="宋体" w:cs="宋体"/>
          <w:bCs/>
          <w:color w:val="000000"/>
          <w:kern w:val="0"/>
          <w:sz w:val="21"/>
          <w:szCs w:val="21"/>
          <w:highlight w:val="none"/>
          <w:u w:color="000000"/>
          <w:lang w:val="en-US" w:eastAsia="zh-CN" w:bidi="ar"/>
        </w:rPr>
        <w:t>发出。</w:t>
      </w:r>
    </w:p>
    <w:p w14:paraId="5E41863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86" w:name="_Toc1549_WPSOffice_Level3"/>
      <w:bookmarkEnd w:id="86"/>
      <w:bookmarkStart w:id="87" w:name="_Toc9710"/>
      <w:r>
        <w:rPr>
          <w:rFonts w:hint="eastAsia" w:ascii="宋体" w:hAnsi="宋体" w:eastAsia="宋体" w:cs="宋体"/>
          <w:b/>
          <w:bCs w:val="0"/>
          <w:color w:val="000000"/>
          <w:kern w:val="0"/>
          <w:sz w:val="21"/>
          <w:szCs w:val="21"/>
          <w:highlight w:val="none"/>
          <w:u w:color="000000"/>
          <w:lang w:val="en-US" w:eastAsia="zh-CN" w:bidi="ar"/>
        </w:rPr>
        <w:t>19.样品</w:t>
      </w:r>
      <w:bookmarkEnd w:id="87"/>
    </w:p>
    <w:p w14:paraId="1B7F09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514E009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04C401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20.投标的语言及度量衡单位</w:t>
      </w:r>
    </w:p>
    <w:p w14:paraId="082664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20.1投标人的投标文件、以及投标人与招标人就投标的所有往来函电，均须使用简体中文。</w:t>
      </w:r>
    </w:p>
    <w:p w14:paraId="27BC427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20.2除招标文件中另有规定外，投标文件所使用的度量衡均须采用法定计量单位。</w:t>
      </w:r>
    </w:p>
    <w:p w14:paraId="6902AFB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21.投标文件的组成</w:t>
      </w:r>
    </w:p>
    <w:p w14:paraId="7EA8AE3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21.1投标文件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签字盖章完毕后扫描成一个连续性的整体加密PDF格式文件。</w:t>
      </w:r>
    </w:p>
    <w:p w14:paraId="77FA7B7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21.2投标文件的编制</w:t>
      </w:r>
    </w:p>
    <w:p w14:paraId="0DD3EC4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（1）投标文件应按第六章“投标文件格式文本”进行编写，如有必要，可以增加附页，作为投标文件的组成部分。</w:t>
      </w:r>
    </w:p>
    <w:p w14:paraId="1ED397A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4D90F91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22.1投标报价文件中的单价和总价全部采用人民币表示。</w:t>
      </w:r>
    </w:p>
    <w:p w14:paraId="21B3207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22.2投标人只允许有一个方案、一个报价。</w:t>
      </w:r>
    </w:p>
    <w:p w14:paraId="0F2868F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22.3投标报价的综合单价包括完成本项目全部供货及服务的一切费用：包括但不限于</w:t>
      </w:r>
      <w:r>
        <w:rPr>
          <w:rFonts w:hint="eastAsia" w:ascii="宋体" w:hAnsi="宋体" w:cs="宋体"/>
          <w:bCs/>
          <w:color w:val="000000"/>
          <w:kern w:val="0"/>
          <w:sz w:val="21"/>
          <w:szCs w:val="21"/>
          <w:highlight w:val="none"/>
          <w:u w:color="000000"/>
          <w:lang w:val="en-US" w:eastAsia="zh-CN" w:bidi="ar"/>
        </w:rPr>
        <w:t>施工费、人工费、</w:t>
      </w:r>
      <w:r>
        <w:rPr>
          <w:rFonts w:hint="eastAsia" w:ascii="宋体" w:hAnsi="宋体" w:eastAsia="宋体" w:cs="宋体"/>
          <w:bCs/>
          <w:color w:val="000000"/>
          <w:kern w:val="0"/>
          <w:sz w:val="21"/>
          <w:szCs w:val="21"/>
          <w:highlight w:val="none"/>
          <w:u w:color="000000"/>
          <w:lang w:val="en-US" w:eastAsia="zh-CN" w:bidi="ar"/>
        </w:rPr>
        <w:t>材料费、装卸费、运输费、管理费、安装费、其他费用（如包装费、仓储费、保管费）</w:t>
      </w:r>
      <w:r>
        <w:rPr>
          <w:rFonts w:hint="eastAsia" w:ascii="宋体" w:hAnsi="宋体" w:cs="宋体"/>
          <w:bCs/>
          <w:color w:val="000000"/>
          <w:kern w:val="0"/>
          <w:sz w:val="21"/>
          <w:szCs w:val="21"/>
          <w:highlight w:val="none"/>
          <w:u w:color="000000"/>
          <w:lang w:val="en-US" w:eastAsia="zh-CN" w:bidi="ar"/>
        </w:rPr>
        <w:t>、</w:t>
      </w:r>
      <w:r>
        <w:rPr>
          <w:rFonts w:hint="eastAsia" w:ascii="宋体" w:hAnsi="宋体" w:eastAsia="宋体" w:cs="宋体"/>
          <w:color w:val="000000"/>
          <w:szCs w:val="21"/>
          <w:highlight w:val="none"/>
          <w:lang w:val="en-US" w:eastAsia="zh-CN"/>
        </w:rPr>
        <w:t>安装调试费、质保期内服务费</w:t>
      </w:r>
      <w:r>
        <w:rPr>
          <w:rFonts w:hint="eastAsia" w:ascii="宋体" w:hAnsi="宋体" w:eastAsia="宋体" w:cs="宋体"/>
          <w:bCs/>
          <w:color w:val="000000"/>
          <w:kern w:val="0"/>
          <w:sz w:val="21"/>
          <w:szCs w:val="21"/>
          <w:highlight w:val="none"/>
          <w:u w:color="000000"/>
          <w:lang w:val="en-US" w:eastAsia="zh-CN" w:bidi="ar"/>
        </w:rPr>
        <w:t>、利润、招标代理费、专家评审费、售后服务费、税金、政策性文件规定及合同包含的所有风险和责任等、货物送至招标人指定地点前的各项应有费用。投标时投标人必须保证报价的完整性，如有漏报，则视为优惠，中标后不允许追加费用。投标人应当保持单项价格的合理性，严禁出现不平衡报价的情况，项目采购结束后，招标人有权对各单项价格进行核查，对于严重超过市场价格的单价，将在正式合同中明确：对于认定为不平衡报价的单项，如果发生数量变动，将按照有利于招标人的单价进行认价。</w:t>
      </w:r>
    </w:p>
    <w:p w14:paraId="7E64935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22.4</w:t>
      </w:r>
      <w:r>
        <w:rPr>
          <w:rFonts w:hint="eastAsia" w:ascii="宋体" w:hAnsi="宋体" w:eastAsia="宋体" w:cs="宋体"/>
          <w:color w:val="000000"/>
          <w:kern w:val="0"/>
          <w:sz w:val="21"/>
          <w:szCs w:val="21"/>
          <w:highlight w:val="none"/>
          <w:u w:color="000000"/>
          <w:lang w:val="en-US" w:eastAsia="zh-CN" w:bidi="ar"/>
        </w:rPr>
        <w:t>投标报价的价格是完成项目全部内容（包括后期的相关服务）的价格，其单价即为履行合同的固定单价。</w:t>
      </w:r>
    </w:p>
    <w:p w14:paraId="3BC942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22.5投标报价应由法定代表人或被授权人签署。</w:t>
      </w:r>
    </w:p>
    <w:p w14:paraId="2387930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22.6投标人的投标报价和投标单价均不得超过各最高限价，否则将作为无效投标处理。</w:t>
      </w:r>
    </w:p>
    <w:p w14:paraId="40767D0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22.7总投标价中不得包含招标文件要求以外的内容，否则，在评标时不予核减，但在授予合同时，招标人有权将这部分价格从其中标价格中扣除。</w:t>
      </w:r>
    </w:p>
    <w:p w14:paraId="5D3C3FE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0F2BD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71F91FC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除投标人须知前附表另有规定外，投标有效期为30天。</w:t>
      </w:r>
    </w:p>
    <w:p w14:paraId="7FF7D9E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4114C40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7802E4B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38203D2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24.1本项目不要求投标人提交投标保证金。</w:t>
      </w:r>
    </w:p>
    <w:p w14:paraId="1A27035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88" w:name="_Toc6570_WPSOffice_Level3"/>
      <w:bookmarkEnd w:id="88"/>
      <w:bookmarkStart w:id="89"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89"/>
    </w:p>
    <w:p w14:paraId="4B02DAA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90" w:name="_Toc490"/>
      <w:bookmarkEnd w:id="90"/>
      <w:bookmarkStart w:id="91" w:name="_Toc30407_WPSOffice_Level3"/>
      <w:bookmarkEnd w:id="91"/>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6D8571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25.1投标文件份数：一份电子文件。投标人中标后须递交与网上电子投标文件完全一致的纸质版投标文件，并按要求加盖公章；份数：正本1份，副本2份；中标单位领取中标通知书时，一并递交给招标代理机构。</w:t>
      </w:r>
    </w:p>
    <w:p w14:paraId="1BC2AF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52BCCB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004DDB9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26.1 </w:t>
      </w:r>
      <w:r>
        <w:rPr>
          <w:rFonts w:hint="eastAsia" w:ascii="宋体" w:hAnsi="宋体" w:eastAsia="宋体" w:cs="宋体"/>
          <w:highlight w:val="none"/>
          <w:lang w:val="en-US" w:eastAsia="zh-CN"/>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en-US" w:eastAsia="zh-CN"/>
        </w:rPr>
        <w:t>②在投标截止时间后30分钟内，将投标文件密码通过邮箱发送至滁州市城投工程咨询管理有限公司邮箱（czsctzx@163.com）</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en-US" w:eastAsia="zh-CN"/>
        </w:rPr>
        <w:t>，未在规定时间内发送密码或发送的密码无法正确打开投标文件的，投标文件将被拒绝。</w:t>
      </w:r>
    </w:p>
    <w:p w14:paraId="46C7614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27.投标文件的修改与撤回</w:t>
      </w:r>
    </w:p>
    <w:p w14:paraId="46D4D53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0AD94E0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3CC5436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92" w:name="_Toc28864"/>
      <w:bookmarkEnd w:id="92"/>
      <w:bookmarkStart w:id="93" w:name="_Toc8453_WPSOffice_Level3"/>
      <w:r>
        <w:rPr>
          <w:rFonts w:hint="eastAsia" w:ascii="宋体" w:hAnsi="宋体" w:eastAsia="宋体" w:cs="宋体"/>
          <w:b/>
          <w:bCs w:val="0"/>
          <w:color w:val="000000"/>
          <w:kern w:val="0"/>
          <w:sz w:val="21"/>
          <w:szCs w:val="21"/>
          <w:highlight w:val="none"/>
          <w:u w:color="000000"/>
          <w:lang w:val="en-US" w:eastAsia="zh-CN" w:bidi="ar"/>
        </w:rPr>
        <w:t>28.开标</w:t>
      </w:r>
    </w:p>
    <w:p w14:paraId="78FF2967">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59BA622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14:paraId="0674F21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3A695C4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spacing w:val="-8"/>
          <w:highlight w:val="none"/>
          <w:lang w:val="en-US"/>
        </w:rPr>
      </w:pPr>
      <w:bookmarkStart w:id="94" w:name="_Toc15542_WPSOffice_Level3"/>
      <w:bookmarkEnd w:id="94"/>
      <w:r>
        <w:rPr>
          <w:rFonts w:hint="eastAsia" w:ascii="宋体" w:hAnsi="宋体" w:eastAsia="宋体" w:cs="宋体"/>
          <w:color w:val="000000"/>
          <w:kern w:val="0"/>
          <w:sz w:val="21"/>
          <w:szCs w:val="21"/>
          <w:highlight w:val="none"/>
          <w:u w:color="000000"/>
          <w:lang w:val="en-US" w:eastAsia="zh-CN" w:bidi="ar"/>
        </w:rPr>
        <w:t>28.2.1招标人可以邀请相关监督部门参加。</w:t>
      </w:r>
    </w:p>
    <w:p w14:paraId="2579DBB6">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369871E8">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2E22E9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05D0BFA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2A644C53">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2E42E5C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D6D04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631FA14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43AE57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2FB402A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30.1评标委员会的组成</w:t>
      </w:r>
    </w:p>
    <w:p w14:paraId="07A7CB9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78CE78D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5EA3AC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7A572C1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9C9852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76CC8F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A85ECD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7C50A6A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2C38B40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193F35E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31.评标</w:t>
      </w:r>
    </w:p>
    <w:p w14:paraId="59BAA62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4F2910A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728C1302">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0E92CD6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95" w:name="_Toc5272_WPSOffice_Level3"/>
      <w:bookmarkEnd w:id="95"/>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26324A5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1488779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3AE005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66DB30D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7075DC5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4418AF0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4902699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E5167D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74E6BBC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6"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337BABAD">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（4）法律、法规规定的其他情形。</w:t>
      </w:r>
    </w:p>
    <w:p w14:paraId="1BA786CD">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93"/>
    </w:p>
    <w:p w14:paraId="416185CB">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3</w:t>
      </w:r>
      <w:r>
        <w:rPr>
          <w:rFonts w:hint="eastAsia" w:ascii="宋体" w:hAnsi="宋体" w:eastAsia="宋体" w:cs="宋体"/>
          <w:b/>
          <w:color w:val="000000"/>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4</w:t>
      </w:r>
      <w:r>
        <w:rPr>
          <w:rFonts w:hint="eastAsia" w:ascii="宋体" w:hAnsi="宋体" w:eastAsia="宋体" w:cs="宋体"/>
          <w:b/>
          <w:color w:val="000000"/>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5</w:t>
      </w:r>
      <w:r>
        <w:rPr>
          <w:rFonts w:hint="eastAsia" w:ascii="宋体" w:hAnsi="宋体" w:eastAsia="宋体" w:cs="宋体"/>
          <w:b/>
          <w:color w:val="000000"/>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A34F50C">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6</w:t>
      </w:r>
      <w:r>
        <w:rPr>
          <w:rFonts w:hint="eastAsia" w:ascii="宋体" w:hAnsi="宋体" w:eastAsia="宋体" w:cs="宋体"/>
          <w:b/>
          <w:color w:val="000000"/>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  </w:t>
      </w:r>
      <w:r>
        <w:rPr>
          <w:rFonts w:hint="eastAsia" w:ascii="宋体" w:hAnsi="Times New Roman" w:eastAsia="宋体" w:cs="Times New Roman"/>
          <w:b/>
          <w:szCs w:val="21"/>
          <w:highlight w:val="none"/>
        </w:rPr>
        <w:t xml:space="preserve"> </w:t>
      </w:r>
      <w:r>
        <w:rPr>
          <w:rFonts w:hint="eastAsia" w:ascii="宋体" w:hAnsi="宋体" w:eastAsia="宋体" w:cs="宋体"/>
          <w:b/>
          <w:color w:val="000000"/>
          <w:kern w:val="0"/>
          <w:szCs w:val="21"/>
          <w:highlight w:val="none"/>
          <w:u w:color="000000"/>
          <w:lang w:bidi="ar"/>
        </w:rPr>
        <w:t xml:space="preserve"> </w:t>
      </w:r>
      <w:bookmarkStart w:id="96" w:name="_Toc7247"/>
      <w:bookmarkEnd w:id="96"/>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7</w:t>
      </w:r>
      <w:r>
        <w:rPr>
          <w:rFonts w:hint="eastAsia" w:ascii="宋体" w:hAnsi="宋体" w:eastAsia="宋体" w:cs="宋体"/>
          <w:b/>
          <w:color w:val="000000"/>
          <w:kern w:val="0"/>
          <w:szCs w:val="21"/>
          <w:highlight w:val="none"/>
          <w:u w:color="000000"/>
          <w:lang w:bidi="ar"/>
        </w:rPr>
        <w:t>.</w:t>
      </w:r>
      <w:bookmarkStart w:id="97" w:name="_Toc217446068"/>
      <w:r>
        <w:rPr>
          <w:rFonts w:hint="eastAsia" w:ascii="宋体" w:hAnsi="宋体" w:eastAsia="宋体" w:cs="宋体"/>
          <w:b/>
          <w:color w:val="000000"/>
          <w:kern w:val="0"/>
          <w:szCs w:val="21"/>
          <w:highlight w:val="none"/>
          <w:u w:color="000000"/>
          <w:lang w:bidi="ar"/>
        </w:rPr>
        <w:t>履约保证金</w:t>
      </w:r>
      <w:bookmarkEnd w:id="97"/>
    </w:p>
    <w:p w14:paraId="1331EEB6">
      <w:pPr>
        <w:spacing w:line="420" w:lineRule="exact"/>
        <w:ind w:firstLine="420" w:firstLineChars="200"/>
        <w:jc w:val="left"/>
        <w:rPr>
          <w:rFonts w:ascii="宋体" w:hAnsi="Times New Roman" w:eastAsia="宋体" w:cs="Times New Roman"/>
          <w:szCs w:val="21"/>
          <w:highlight w:val="none"/>
        </w:rPr>
      </w:pPr>
      <w:bookmarkStart w:id="98" w:name="_Toc316_WPSOffice_Level3"/>
      <w:bookmarkEnd w:id="98"/>
      <w:bookmarkStart w:id="99"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99"/>
      <w:r>
        <w:rPr>
          <w:rFonts w:hint="eastAsia" w:ascii="宋体" w:hAnsi="Times New Roman" w:eastAsia="宋体" w:cs="Times New Roman"/>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50AA17C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.1项要求提交履约担保的，视为放弃中标，给招标人造成损失的，中标人还应</w:t>
      </w:r>
      <w:r>
        <w:rPr>
          <w:rFonts w:hint="eastAsia" w:ascii="宋体" w:hAnsi="Times New Roman" w:eastAsia="宋体" w:cs="Times New Roman"/>
          <w:szCs w:val="21"/>
          <w:highlight w:val="none"/>
          <w:lang w:val="en-US" w:eastAsia="zh-CN"/>
        </w:rPr>
        <w:t>当</w:t>
      </w:r>
      <w:r>
        <w:rPr>
          <w:rFonts w:hint="eastAsia" w:ascii="宋体" w:hAnsi="Times New Roman" w:eastAsia="宋体" w:cs="Times New Roman"/>
          <w:szCs w:val="21"/>
          <w:highlight w:val="none"/>
        </w:rPr>
        <w:t>予以赔偿。</w:t>
      </w:r>
    </w:p>
    <w:p w14:paraId="4360FEA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0ABC5FD6">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DEE210A">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597F92C7">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5BCB5901">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6AA59F21">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100"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71"/>
      <w:r>
        <w:rPr>
          <w:rFonts w:hint="eastAsia" w:ascii="宋体"/>
          <w:b/>
          <w:sz w:val="32"/>
          <w:szCs w:val="32"/>
          <w:highlight w:val="none"/>
        </w:rPr>
        <w:t>办法</w:t>
      </w:r>
      <w:bookmarkEnd w:id="72"/>
      <w:bookmarkEnd w:id="73"/>
      <w:bookmarkEnd w:id="74"/>
      <w:bookmarkEnd w:id="75"/>
      <w:bookmarkEnd w:id="100"/>
    </w:p>
    <w:p w14:paraId="4B417167">
      <w:pPr>
        <w:spacing w:before="156" w:beforeLines="50" w:after="156" w:afterLines="50" w:line="440" w:lineRule="exact"/>
        <w:jc w:val="center"/>
        <w:outlineLvl w:val="1"/>
        <w:rPr>
          <w:rFonts w:ascii="宋体" w:hAnsi="Times New Roman" w:eastAsia="宋体" w:cs="Times New Roman"/>
          <w:b/>
          <w:color w:val="000000"/>
          <w:sz w:val="28"/>
          <w:szCs w:val="28"/>
          <w:highlight w:val="none"/>
        </w:rPr>
      </w:pPr>
      <w:bookmarkStart w:id="101" w:name="_Toc35425111"/>
      <w:bookmarkStart w:id="102" w:name="_Toc35424945"/>
      <w:bookmarkStart w:id="103" w:name="_Toc506107323"/>
      <w:bookmarkStart w:id="104" w:name="_Toc15058912"/>
      <w:r>
        <w:rPr>
          <w:rFonts w:hint="eastAsia" w:ascii="宋体" w:hAnsi="Times New Roman" w:eastAsia="宋体" w:cs="Times New Roman"/>
          <w:b/>
          <w:color w:val="000000"/>
          <w:sz w:val="28"/>
          <w:szCs w:val="28"/>
          <w:highlight w:val="none"/>
        </w:rPr>
        <w:t>（一）资格审查办法前附表</w:t>
      </w:r>
    </w:p>
    <w:p w14:paraId="1CEBE11D">
      <w:pPr>
        <w:adjustRightInd w:val="0"/>
        <w:snapToGrid w:val="0"/>
        <w:spacing w:line="560" w:lineRule="exact"/>
        <w:jc w:val="left"/>
        <w:rPr>
          <w:szCs w:val="21"/>
          <w:highlight w:val="none"/>
        </w:rPr>
      </w:pPr>
      <w:r>
        <w:rPr>
          <w:rFonts w:hint="eastAsia"/>
          <w:color w:val="000000"/>
          <w:highlight w:val="none"/>
        </w:rPr>
        <w:t>1.资信证明文件评审</w:t>
      </w:r>
      <w:r>
        <w:rPr>
          <w:rFonts w:hint="eastAsia" w:ascii="宋体"/>
          <w:b/>
          <w:szCs w:val="21"/>
          <w:highlight w:val="none"/>
        </w:rPr>
        <w:t>:</w:t>
      </w:r>
    </w:p>
    <w:tbl>
      <w:tblPr>
        <w:tblStyle w:val="4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0EE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38981DCF">
            <w:pPr>
              <w:spacing w:line="320" w:lineRule="exact"/>
              <w:jc w:val="center"/>
              <w:rPr>
                <w:color w:val="000000"/>
                <w:highlight w:val="none"/>
              </w:rPr>
            </w:pPr>
            <w:r>
              <w:rPr>
                <w:rFonts w:hint="eastAsia" w:ascii="黑体" w:eastAsia="黑体" w:cs="黑体"/>
                <w:b/>
                <w:bCs/>
                <w:color w:val="000000"/>
                <w:szCs w:val="21"/>
                <w:highlight w:val="none"/>
              </w:rPr>
              <w:t>序号</w:t>
            </w:r>
          </w:p>
        </w:tc>
        <w:tc>
          <w:tcPr>
            <w:tcW w:w="4243" w:type="dxa"/>
            <w:gridSpan w:val="2"/>
            <w:vAlign w:val="center"/>
          </w:tcPr>
          <w:p w14:paraId="573A21C8">
            <w:pPr>
              <w:spacing w:line="320" w:lineRule="exact"/>
              <w:jc w:val="center"/>
              <w:rPr>
                <w:color w:val="000000"/>
                <w:highlight w:val="none"/>
              </w:rPr>
            </w:pPr>
            <w:r>
              <w:rPr>
                <w:rFonts w:hint="eastAsia" w:ascii="宋体" w:hAnsi="宋体"/>
                <w:color w:val="000000"/>
                <w:szCs w:val="21"/>
                <w:highlight w:val="none"/>
              </w:rPr>
              <w:t>评审因素</w:t>
            </w:r>
          </w:p>
        </w:tc>
        <w:tc>
          <w:tcPr>
            <w:tcW w:w="3929" w:type="dxa"/>
            <w:vAlign w:val="center"/>
          </w:tcPr>
          <w:p w14:paraId="54D724EC">
            <w:pPr>
              <w:spacing w:line="320" w:lineRule="exact"/>
              <w:jc w:val="center"/>
              <w:rPr>
                <w:color w:val="000000"/>
                <w:highlight w:val="none"/>
              </w:rPr>
            </w:pPr>
            <w:r>
              <w:rPr>
                <w:rFonts w:hint="eastAsia" w:ascii="宋体" w:hAnsi="宋体"/>
                <w:color w:val="000000"/>
                <w:szCs w:val="21"/>
                <w:highlight w:val="none"/>
              </w:rPr>
              <w:t>评审标准</w:t>
            </w:r>
          </w:p>
        </w:tc>
      </w:tr>
      <w:tr w14:paraId="16CC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3CFF81FE">
            <w:pPr>
              <w:spacing w:line="320" w:lineRule="exact"/>
              <w:jc w:val="center"/>
              <w:rPr>
                <w:rFonts w:ascii="宋体" w:hAnsi="宋体"/>
                <w:color w:val="000000"/>
                <w:szCs w:val="21"/>
                <w:highlight w:val="none"/>
              </w:rPr>
            </w:pPr>
            <w:r>
              <w:rPr>
                <w:rFonts w:hint="eastAsia" w:ascii="宋体" w:hAnsi="宋体"/>
                <w:color w:val="000000"/>
                <w:szCs w:val="21"/>
                <w:highlight w:val="none"/>
              </w:rPr>
              <w:t>1</w:t>
            </w:r>
          </w:p>
        </w:tc>
        <w:tc>
          <w:tcPr>
            <w:tcW w:w="1235" w:type="dxa"/>
            <w:vAlign w:val="center"/>
          </w:tcPr>
          <w:p w14:paraId="20257B59">
            <w:pPr>
              <w:spacing w:line="320" w:lineRule="exact"/>
              <w:jc w:val="center"/>
              <w:rPr>
                <w:rFonts w:ascii="宋体" w:hAnsi="宋体"/>
                <w:color w:val="000000"/>
                <w:szCs w:val="21"/>
                <w:highlight w:val="none"/>
              </w:rPr>
            </w:pPr>
            <w:r>
              <w:rPr>
                <w:rFonts w:hint="eastAsia" w:ascii="宋体"/>
                <w:color w:val="000000"/>
                <w:szCs w:val="21"/>
                <w:highlight w:val="none"/>
              </w:rPr>
              <w:t>重要要求</w:t>
            </w:r>
          </w:p>
        </w:tc>
        <w:tc>
          <w:tcPr>
            <w:tcW w:w="3008" w:type="dxa"/>
            <w:vAlign w:val="center"/>
          </w:tcPr>
          <w:p w14:paraId="2B4DC8B6">
            <w:pPr>
              <w:keepNext w:val="0"/>
              <w:keepLines w:val="0"/>
              <w:pageBreakBefore w:val="0"/>
              <w:kinsoku/>
              <w:wordWrap/>
              <w:overflowPunct/>
              <w:topLinePunct w:val="0"/>
              <w:autoSpaceDN/>
              <w:bidi w:val="0"/>
              <w:adjustRightInd/>
              <w:snapToGrid/>
              <w:spacing w:line="300" w:lineRule="exact"/>
              <w:jc w:val="left"/>
              <w:textAlignment w:val="auto"/>
              <w:rPr>
                <w:rFonts w:ascii="宋体" w:hAnsi="宋体"/>
                <w:color w:val="000000"/>
                <w:szCs w:val="21"/>
                <w:highlight w:val="none"/>
              </w:rPr>
            </w:pPr>
            <w:r>
              <w:rPr>
                <w:rFonts w:hint="eastAsia"/>
                <w:color w:val="000000"/>
                <w:highlight w:val="none"/>
              </w:rPr>
              <w:t>（1）法定代表人身份证明和本人有效身份证(或法定代表人授权委托书和委托代理人有效身份证)</w:t>
            </w:r>
          </w:p>
        </w:tc>
        <w:tc>
          <w:tcPr>
            <w:tcW w:w="3929" w:type="dxa"/>
            <w:vAlign w:val="center"/>
          </w:tcPr>
          <w:p w14:paraId="724AEEEB">
            <w:pPr>
              <w:keepNext w:val="0"/>
              <w:keepLines w:val="0"/>
              <w:pageBreakBefore w:val="0"/>
              <w:kinsoku/>
              <w:wordWrap/>
              <w:overflowPunct/>
              <w:topLinePunct w:val="0"/>
              <w:autoSpaceDN/>
              <w:bidi w:val="0"/>
              <w:adjustRightInd/>
              <w:snapToGrid/>
              <w:spacing w:line="300" w:lineRule="exact"/>
              <w:jc w:val="left"/>
              <w:textAlignment w:val="auto"/>
              <w:rPr>
                <w:rFonts w:ascii="宋体" w:hAnsi="宋体"/>
                <w:color w:val="000000"/>
                <w:szCs w:val="21"/>
                <w:highlight w:val="none"/>
              </w:rPr>
            </w:pPr>
            <w:r>
              <w:rPr>
                <w:rFonts w:hint="eastAsia"/>
                <w:color w:val="000000"/>
                <w:highlight w:val="none"/>
              </w:rPr>
              <w:t>检验电子标书。</w:t>
            </w:r>
          </w:p>
        </w:tc>
      </w:tr>
      <w:tr w14:paraId="753C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86CEAE">
            <w:pPr>
              <w:spacing w:line="320" w:lineRule="exact"/>
              <w:jc w:val="center"/>
              <w:rPr>
                <w:rFonts w:ascii="宋体" w:hAnsi="宋体"/>
                <w:color w:val="000000"/>
                <w:szCs w:val="21"/>
                <w:highlight w:val="none"/>
              </w:rPr>
            </w:pPr>
            <w:r>
              <w:rPr>
                <w:rFonts w:hint="eastAsia" w:ascii="宋体" w:hAnsi="宋体"/>
                <w:color w:val="000000"/>
                <w:szCs w:val="21"/>
                <w:highlight w:val="none"/>
              </w:rPr>
              <w:t>2</w:t>
            </w:r>
          </w:p>
        </w:tc>
        <w:tc>
          <w:tcPr>
            <w:tcW w:w="1235" w:type="dxa"/>
            <w:vMerge w:val="restart"/>
            <w:vAlign w:val="center"/>
          </w:tcPr>
          <w:p w14:paraId="170C2FA5">
            <w:pPr>
              <w:spacing w:line="320" w:lineRule="exact"/>
              <w:rPr>
                <w:rFonts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vAlign w:val="center"/>
          </w:tcPr>
          <w:p w14:paraId="111C5BC2">
            <w:pPr>
              <w:keepNext w:val="0"/>
              <w:keepLines w:val="0"/>
              <w:pageBreakBefore w:val="0"/>
              <w:kinsoku/>
              <w:wordWrap/>
              <w:overflowPunct/>
              <w:topLinePunct w:val="0"/>
              <w:autoSpaceDN/>
              <w:bidi w:val="0"/>
              <w:adjustRightInd/>
              <w:snapToGrid/>
              <w:spacing w:line="300" w:lineRule="exact"/>
              <w:jc w:val="left"/>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（2）具有独立承担民事责任的能力</w:t>
            </w:r>
          </w:p>
        </w:tc>
        <w:tc>
          <w:tcPr>
            <w:tcW w:w="3929" w:type="dxa"/>
            <w:vAlign w:val="center"/>
          </w:tcPr>
          <w:p w14:paraId="04F5B469">
            <w:pPr>
              <w:keepNext w:val="0"/>
              <w:keepLines w:val="0"/>
              <w:pageBreakBefore w:val="0"/>
              <w:kinsoku/>
              <w:wordWrap/>
              <w:overflowPunct/>
              <w:topLinePunct w:val="0"/>
              <w:autoSpaceDN/>
              <w:bidi w:val="0"/>
              <w:adjustRightInd/>
              <w:snapToGrid/>
              <w:spacing w:line="300" w:lineRule="exact"/>
              <w:jc w:val="left"/>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评审核验电子标书中的下列证书、证明材料：</w:t>
            </w:r>
          </w:p>
          <w:p w14:paraId="4FE89A7E">
            <w:pPr>
              <w:keepNext w:val="0"/>
              <w:keepLines w:val="0"/>
              <w:pageBreakBefore w:val="0"/>
              <w:kinsoku/>
              <w:wordWrap/>
              <w:overflowPunct/>
              <w:topLinePunct w:val="0"/>
              <w:autoSpaceDN/>
              <w:bidi w:val="0"/>
              <w:adjustRightInd/>
              <w:snapToGrid/>
              <w:spacing w:line="300" w:lineRule="exact"/>
              <w:jc w:val="left"/>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投标人有效的营业执照、税务登记证、组织机构码证（或“三证合一证书”）</w:t>
            </w:r>
          </w:p>
        </w:tc>
      </w:tr>
      <w:tr w14:paraId="4D57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vAlign w:val="center"/>
          </w:tcPr>
          <w:p w14:paraId="1C49C859">
            <w:pPr>
              <w:spacing w:line="320" w:lineRule="exact"/>
              <w:jc w:val="center"/>
              <w:rPr>
                <w:rFonts w:hint="eastAsia" w:ascii="宋体" w:hAnsi="宋体"/>
                <w:color w:val="000000"/>
                <w:szCs w:val="21"/>
                <w:highlight w:val="none"/>
              </w:rPr>
            </w:pPr>
          </w:p>
        </w:tc>
        <w:tc>
          <w:tcPr>
            <w:tcW w:w="1235" w:type="dxa"/>
            <w:vMerge w:val="continue"/>
            <w:vAlign w:val="center"/>
          </w:tcPr>
          <w:p w14:paraId="3DE7A573">
            <w:pPr>
              <w:spacing w:line="320" w:lineRule="exact"/>
              <w:rPr>
                <w:rFonts w:hint="eastAsia" w:ascii="宋体" w:hAnsi="宋体"/>
                <w:color w:val="000000"/>
                <w:szCs w:val="21"/>
                <w:highlight w:val="none"/>
              </w:rPr>
            </w:pPr>
          </w:p>
        </w:tc>
        <w:tc>
          <w:tcPr>
            <w:tcW w:w="3008" w:type="dxa"/>
            <w:vAlign w:val="center"/>
          </w:tcPr>
          <w:p w14:paraId="6C24FB14">
            <w:pPr>
              <w:keepNext w:val="0"/>
              <w:keepLines w:val="0"/>
              <w:pageBreakBefore w:val="0"/>
              <w:kinsoku/>
              <w:wordWrap/>
              <w:overflowPunct/>
              <w:topLinePunct w:val="0"/>
              <w:autoSpaceDN/>
              <w:bidi w:val="0"/>
              <w:adjustRightInd/>
              <w:snapToGrid/>
              <w:spacing w:line="300" w:lineRule="exact"/>
              <w:textAlignment w:val="auto"/>
              <w:rPr>
                <w:rFonts w:hint="default" w:ascii="宋体" w:hAnsi="宋体" w:eastAsia="宋体" w:cs="Times New Roman"/>
                <w:color w:val="000000"/>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eastAsia="宋体" w:cs="Times New Roman"/>
                <w:color w:val="000000"/>
                <w:szCs w:val="21"/>
                <w:highlight w:val="none"/>
                <w:lang w:val="en-US" w:eastAsia="zh-CN"/>
              </w:rPr>
              <w:t>）</w:t>
            </w:r>
            <w:r>
              <w:rPr>
                <w:rFonts w:hint="eastAsia" w:ascii="宋体" w:hAnsi="宋体" w:eastAsia="宋体" w:cs="Times New Roman"/>
                <w:color w:val="000000"/>
                <w:szCs w:val="21"/>
                <w:highlight w:val="none"/>
              </w:rPr>
              <w:t>企业资质证书</w:t>
            </w:r>
            <w:r>
              <w:rPr>
                <w:rFonts w:hint="eastAsia" w:ascii="宋体" w:hAnsi="宋体" w:eastAsia="宋体" w:cs="Times New Roman"/>
                <w:color w:val="000000"/>
                <w:szCs w:val="21"/>
                <w:highlight w:val="none"/>
                <w:lang w:val="en-US" w:eastAsia="zh-CN"/>
              </w:rPr>
              <w:t>及</w:t>
            </w:r>
            <w:r>
              <w:rPr>
                <w:rFonts w:hint="eastAsia" w:ascii="宋体" w:hAnsi="宋体" w:eastAsia="宋体" w:cs="Times New Roman"/>
                <w:color w:val="000000"/>
                <w:szCs w:val="21"/>
                <w:highlight w:val="none"/>
              </w:rPr>
              <w:t>企业安全生产许可证</w:t>
            </w:r>
          </w:p>
        </w:tc>
        <w:tc>
          <w:tcPr>
            <w:tcW w:w="3929" w:type="dxa"/>
            <w:vAlign w:val="center"/>
          </w:tcPr>
          <w:p w14:paraId="1051D7ED">
            <w:pPr>
              <w:keepNext w:val="0"/>
              <w:keepLines w:val="0"/>
              <w:pageBreakBefore w:val="0"/>
              <w:kinsoku/>
              <w:wordWrap/>
              <w:overflowPunct/>
              <w:topLinePunct w:val="0"/>
              <w:autoSpaceDN/>
              <w:bidi w:val="0"/>
              <w:adjustRightInd/>
              <w:snapToGrid/>
              <w:spacing w:line="300" w:lineRule="exact"/>
              <w:jc w:val="left"/>
              <w:textAlignment w:val="auto"/>
              <w:rPr>
                <w:rFonts w:hint="eastAsia" w:ascii="宋体" w:hAnsi="宋体" w:eastAsia="宋体" w:cs="Times New Roman"/>
                <w:color w:val="000000"/>
                <w:szCs w:val="21"/>
                <w:highlight w:val="none"/>
              </w:rPr>
            </w:pPr>
            <w:r>
              <w:rPr>
                <w:rFonts w:hint="eastAsia"/>
                <w:color w:val="000000"/>
                <w:highlight w:val="none"/>
              </w:rPr>
              <w:t>检验电子标书</w:t>
            </w:r>
          </w:p>
        </w:tc>
      </w:tr>
      <w:tr w14:paraId="676F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vAlign w:val="center"/>
          </w:tcPr>
          <w:p w14:paraId="3DAB3D3C">
            <w:pPr>
              <w:spacing w:line="320" w:lineRule="exact"/>
              <w:jc w:val="center"/>
              <w:rPr>
                <w:rFonts w:hint="eastAsia" w:ascii="宋体" w:hAnsi="宋体"/>
                <w:color w:val="000000"/>
                <w:szCs w:val="21"/>
                <w:highlight w:val="none"/>
              </w:rPr>
            </w:pPr>
          </w:p>
        </w:tc>
        <w:tc>
          <w:tcPr>
            <w:tcW w:w="1235" w:type="dxa"/>
            <w:vMerge w:val="continue"/>
            <w:vAlign w:val="center"/>
          </w:tcPr>
          <w:p w14:paraId="005B4993">
            <w:pPr>
              <w:spacing w:line="320" w:lineRule="exact"/>
              <w:rPr>
                <w:rFonts w:hint="eastAsia" w:ascii="宋体" w:hAnsi="宋体"/>
                <w:color w:val="000000"/>
                <w:szCs w:val="21"/>
                <w:highlight w:val="none"/>
              </w:rPr>
            </w:pPr>
          </w:p>
        </w:tc>
        <w:tc>
          <w:tcPr>
            <w:tcW w:w="3008" w:type="dxa"/>
            <w:vAlign w:val="center"/>
          </w:tcPr>
          <w:p w14:paraId="770E0819">
            <w:pPr>
              <w:keepNext w:val="0"/>
              <w:keepLines w:val="0"/>
              <w:pageBreakBefore w:val="0"/>
              <w:kinsoku/>
              <w:wordWrap/>
              <w:overflowPunct/>
              <w:topLinePunct w:val="0"/>
              <w:autoSpaceDN/>
              <w:bidi w:val="0"/>
              <w:adjustRightInd/>
              <w:snapToGrid/>
              <w:spacing w:line="300" w:lineRule="exact"/>
              <w:textAlignment w:val="auto"/>
              <w:rPr>
                <w:rFonts w:hint="eastAsia" w:ascii="宋体" w:hAnsi="宋体" w:cs="Times New Roman"/>
                <w:color w:val="000000"/>
                <w:szCs w:val="21"/>
                <w:highlight w:val="none"/>
                <w:lang w:eastAsia="zh-CN"/>
              </w:rPr>
            </w:pPr>
            <w:r>
              <w:rPr>
                <w:rFonts w:hint="eastAsia" w:ascii="宋体" w:hAnsi="宋体" w:cs="宋体"/>
                <w:szCs w:val="21"/>
                <w:highlight w:val="none"/>
                <w:lang w:val="en-US" w:eastAsia="zh-CN"/>
              </w:rPr>
              <w:t>（4）企业有效</w:t>
            </w:r>
            <w:r>
              <w:rPr>
                <w:rFonts w:hint="eastAsia" w:ascii="宋体" w:hAnsi="宋体" w:cs="宋体"/>
                <w:szCs w:val="21"/>
                <w:highlight w:val="none"/>
              </w:rPr>
              <w:t>电力设施许可证</w:t>
            </w:r>
          </w:p>
        </w:tc>
        <w:tc>
          <w:tcPr>
            <w:tcW w:w="3929" w:type="dxa"/>
            <w:vAlign w:val="center"/>
          </w:tcPr>
          <w:p w14:paraId="68A042FB">
            <w:pPr>
              <w:keepNext w:val="0"/>
              <w:keepLines w:val="0"/>
              <w:pageBreakBefore w:val="0"/>
              <w:kinsoku/>
              <w:wordWrap/>
              <w:overflowPunct/>
              <w:topLinePunct w:val="0"/>
              <w:autoSpaceDN/>
              <w:bidi w:val="0"/>
              <w:adjustRightInd/>
              <w:snapToGrid/>
              <w:spacing w:line="300" w:lineRule="exact"/>
              <w:jc w:val="left"/>
              <w:textAlignment w:val="auto"/>
              <w:rPr>
                <w:rFonts w:hint="eastAsia" w:ascii="宋体" w:hAnsi="宋体" w:eastAsia="宋体" w:cs="Times New Roman"/>
                <w:color w:val="000000"/>
                <w:szCs w:val="21"/>
                <w:highlight w:val="none"/>
              </w:rPr>
            </w:pPr>
            <w:r>
              <w:rPr>
                <w:rFonts w:hint="eastAsia"/>
                <w:color w:val="000000"/>
                <w:highlight w:val="none"/>
              </w:rPr>
              <w:t>检验电子标书</w:t>
            </w:r>
          </w:p>
        </w:tc>
      </w:tr>
      <w:tr w14:paraId="259E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6EB63B71">
            <w:pPr>
              <w:spacing w:line="320" w:lineRule="exact"/>
              <w:jc w:val="center"/>
              <w:rPr>
                <w:rFonts w:ascii="宋体" w:hAnsi="宋体"/>
                <w:color w:val="000000"/>
                <w:szCs w:val="21"/>
                <w:highlight w:val="none"/>
              </w:rPr>
            </w:pPr>
          </w:p>
        </w:tc>
        <w:tc>
          <w:tcPr>
            <w:tcW w:w="1235" w:type="dxa"/>
            <w:vMerge w:val="continue"/>
            <w:vAlign w:val="center"/>
          </w:tcPr>
          <w:p w14:paraId="3221AF15">
            <w:pPr>
              <w:spacing w:line="320" w:lineRule="exact"/>
              <w:rPr>
                <w:rFonts w:ascii="宋体" w:hAnsi="宋体"/>
                <w:color w:val="000000"/>
                <w:szCs w:val="21"/>
                <w:highlight w:val="none"/>
              </w:rPr>
            </w:pPr>
          </w:p>
        </w:tc>
        <w:tc>
          <w:tcPr>
            <w:tcW w:w="3008" w:type="dxa"/>
            <w:vAlign w:val="center"/>
          </w:tcPr>
          <w:p w14:paraId="78A19AC6">
            <w:pPr>
              <w:keepNext w:val="0"/>
              <w:keepLines w:val="0"/>
              <w:pageBreakBefore w:val="0"/>
              <w:widowControl/>
              <w:kinsoku/>
              <w:wordWrap/>
              <w:overflowPunct/>
              <w:topLinePunct w:val="0"/>
              <w:autoSpaceDE w:val="0"/>
              <w:autoSpaceDN/>
              <w:bidi w:val="0"/>
              <w:adjustRightInd/>
              <w:snapToGrid/>
              <w:spacing w:line="300" w:lineRule="exact"/>
              <w:jc w:val="left"/>
              <w:textAlignment w:val="auto"/>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cs="Times New Roman"/>
                <w:color w:val="000000"/>
                <w:szCs w:val="21"/>
                <w:highlight w:val="none"/>
                <w:lang w:val="en-US" w:eastAsia="zh-CN"/>
              </w:rPr>
              <w:t>5</w:t>
            </w:r>
            <w:r>
              <w:rPr>
                <w:rFonts w:hint="eastAsia" w:ascii="宋体" w:hAnsi="宋体" w:eastAsia="宋体" w:cs="Times New Roman"/>
                <w:color w:val="000000"/>
                <w:szCs w:val="21"/>
                <w:highlight w:val="none"/>
              </w:rPr>
              <w:t>）诚信投标承诺书</w:t>
            </w:r>
          </w:p>
        </w:tc>
        <w:tc>
          <w:tcPr>
            <w:tcW w:w="3929" w:type="dxa"/>
            <w:vAlign w:val="center"/>
          </w:tcPr>
          <w:p w14:paraId="1B6F7B2F">
            <w:pPr>
              <w:keepNext w:val="0"/>
              <w:keepLines w:val="0"/>
              <w:pageBreakBefore w:val="0"/>
              <w:kinsoku/>
              <w:wordWrap/>
              <w:overflowPunct/>
              <w:topLinePunct w:val="0"/>
              <w:autoSpaceDN/>
              <w:bidi w:val="0"/>
              <w:adjustRightInd/>
              <w:snapToGrid/>
              <w:spacing w:line="300" w:lineRule="exact"/>
              <w:jc w:val="left"/>
              <w:textAlignment w:val="auto"/>
              <w:rPr>
                <w:rFonts w:ascii="宋体"/>
                <w:b/>
                <w:color w:val="000000"/>
                <w:szCs w:val="21"/>
                <w:highlight w:val="none"/>
              </w:rPr>
            </w:pPr>
            <w:r>
              <w:rPr>
                <w:rFonts w:hint="eastAsia"/>
                <w:color w:val="000000"/>
                <w:highlight w:val="none"/>
              </w:rPr>
              <w:t>格式见附件，检验电子标书</w:t>
            </w:r>
          </w:p>
        </w:tc>
      </w:tr>
      <w:tr w14:paraId="3751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vAlign w:val="center"/>
          </w:tcPr>
          <w:p w14:paraId="5C6F3385">
            <w:pPr>
              <w:spacing w:line="320" w:lineRule="exact"/>
              <w:jc w:val="center"/>
              <w:rPr>
                <w:rFonts w:ascii="宋体" w:hAnsi="宋体"/>
                <w:color w:val="000000"/>
                <w:szCs w:val="21"/>
                <w:highlight w:val="none"/>
              </w:rPr>
            </w:pPr>
          </w:p>
        </w:tc>
        <w:tc>
          <w:tcPr>
            <w:tcW w:w="1235" w:type="dxa"/>
            <w:vMerge w:val="continue"/>
            <w:vAlign w:val="center"/>
          </w:tcPr>
          <w:p w14:paraId="40531A6E">
            <w:pPr>
              <w:spacing w:line="320" w:lineRule="exact"/>
              <w:rPr>
                <w:rFonts w:ascii="宋体" w:hAnsi="宋体"/>
                <w:color w:val="000000"/>
                <w:szCs w:val="21"/>
                <w:highlight w:val="none"/>
              </w:rPr>
            </w:pPr>
          </w:p>
        </w:tc>
        <w:tc>
          <w:tcPr>
            <w:tcW w:w="3008" w:type="dxa"/>
            <w:vAlign w:val="center"/>
          </w:tcPr>
          <w:p w14:paraId="3DFACE3C">
            <w:pPr>
              <w:keepNext w:val="0"/>
              <w:keepLines w:val="0"/>
              <w:pageBreakBefore w:val="0"/>
              <w:widowControl/>
              <w:kinsoku/>
              <w:wordWrap/>
              <w:overflowPunct/>
              <w:topLinePunct w:val="0"/>
              <w:autoSpaceDE w:val="0"/>
              <w:autoSpaceDN/>
              <w:bidi w:val="0"/>
              <w:adjustRightInd/>
              <w:snapToGrid/>
              <w:spacing w:line="300" w:lineRule="exact"/>
              <w:jc w:val="left"/>
              <w:textAlignment w:val="auto"/>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cs="Times New Roman"/>
                <w:color w:val="000000"/>
                <w:szCs w:val="21"/>
                <w:highlight w:val="none"/>
                <w:lang w:val="en-US" w:eastAsia="zh-CN"/>
              </w:rPr>
              <w:t>6</w:t>
            </w:r>
            <w:r>
              <w:rPr>
                <w:rFonts w:hint="eastAsia" w:ascii="宋体" w:hAnsi="宋体" w:eastAsia="宋体" w:cs="Times New Roman"/>
                <w:color w:val="000000"/>
                <w:szCs w:val="21"/>
                <w:highlight w:val="none"/>
              </w:rPr>
              <w:t>）服务承诺书</w:t>
            </w:r>
          </w:p>
        </w:tc>
        <w:tc>
          <w:tcPr>
            <w:tcW w:w="3929" w:type="dxa"/>
            <w:vAlign w:val="center"/>
          </w:tcPr>
          <w:p w14:paraId="0043AD0E">
            <w:pPr>
              <w:keepNext w:val="0"/>
              <w:keepLines w:val="0"/>
              <w:pageBreakBefore w:val="0"/>
              <w:kinsoku/>
              <w:wordWrap/>
              <w:overflowPunct/>
              <w:topLinePunct w:val="0"/>
              <w:autoSpaceDN/>
              <w:bidi w:val="0"/>
              <w:adjustRightInd/>
              <w:snapToGrid/>
              <w:spacing w:line="300" w:lineRule="exact"/>
              <w:jc w:val="left"/>
              <w:textAlignment w:val="auto"/>
              <w:rPr>
                <w:rFonts w:ascii="宋体"/>
                <w:color w:val="000000"/>
                <w:szCs w:val="21"/>
                <w:highlight w:val="none"/>
              </w:rPr>
            </w:pPr>
            <w:r>
              <w:rPr>
                <w:rFonts w:hint="eastAsia"/>
                <w:color w:val="000000"/>
                <w:highlight w:val="none"/>
              </w:rPr>
              <w:t>格式见附件，检验电子标书</w:t>
            </w:r>
          </w:p>
        </w:tc>
      </w:tr>
    </w:tbl>
    <w:p w14:paraId="48C504E4">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Times New Roman" w:hAnsi="Times New Roman" w:eastAsia="宋体" w:cs="Times New Roman"/>
          <w:color w:val="000000"/>
          <w:highlight w:val="none"/>
        </w:rPr>
      </w:pPr>
      <w:bookmarkStart w:id="105" w:name="_Toc60061492"/>
      <w:bookmarkStart w:id="106" w:name="_Toc95223395"/>
      <w:bookmarkStart w:id="107" w:name="_Toc506107320"/>
      <w:bookmarkStart w:id="108" w:name="_Toc15058909"/>
      <w:r>
        <w:rPr>
          <w:rFonts w:hint="eastAsia" w:ascii="Times New Roman" w:hAnsi="Times New Roman" w:eastAsia="宋体" w:cs="Times New Roman"/>
          <w:color w:val="000000"/>
          <w:highlight w:val="none"/>
        </w:rPr>
        <w:t>2.审查办法</w:t>
      </w:r>
      <w:bookmarkEnd w:id="105"/>
      <w:bookmarkEnd w:id="106"/>
      <w:bookmarkEnd w:id="107"/>
      <w:bookmarkEnd w:id="108"/>
    </w:p>
    <w:p w14:paraId="43494882">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Times New Roman" w:hAnsi="Times New Roman" w:eastAsia="宋体" w:cs="Times New Roman"/>
          <w:color w:val="000000"/>
          <w:highlight w:val="none"/>
        </w:rPr>
      </w:pPr>
      <w:bookmarkStart w:id="109" w:name="_Toc60061493"/>
      <w:bookmarkStart w:id="110" w:name="_Toc506107321"/>
      <w:bookmarkStart w:id="111" w:name="_Toc15058910"/>
      <w:bookmarkStart w:id="112" w:name="_Toc324404868"/>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487CE32A">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Times New Roman" w:hAnsi="Times New Roman" w:eastAsia="宋体" w:cs="Times New Roman"/>
          <w:color w:val="000000"/>
          <w:highlight w:val="none"/>
        </w:rPr>
      </w:pPr>
      <w:bookmarkStart w:id="113" w:name="_Toc95223396"/>
      <w:r>
        <w:rPr>
          <w:rFonts w:hint="eastAsia" w:ascii="Times New Roman" w:hAnsi="Times New Roman" w:eastAsia="宋体" w:cs="Times New Roman"/>
          <w:color w:val="000000"/>
          <w:highlight w:val="none"/>
        </w:rPr>
        <w:t>3.资格审查委员会和审查标准</w:t>
      </w:r>
      <w:bookmarkEnd w:id="109"/>
      <w:bookmarkEnd w:id="110"/>
      <w:bookmarkEnd w:id="111"/>
      <w:bookmarkEnd w:id="112"/>
      <w:bookmarkEnd w:id="113"/>
    </w:p>
    <w:p w14:paraId="3CCF7432">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6D624F34">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084BDCE5">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（1）未发送标书或电子标书经审查不合格；</w:t>
      </w:r>
    </w:p>
    <w:p w14:paraId="3258CC51">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（2）电子标书无法打开。</w:t>
      </w:r>
    </w:p>
    <w:p w14:paraId="47E91E7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Times New Roman" w:hAnsi="Times New Roman" w:eastAsia="宋体" w:cs="Times New Roman"/>
          <w:color w:val="000000"/>
          <w:highlight w:val="none"/>
        </w:rPr>
      </w:pPr>
      <w:bookmarkStart w:id="114" w:name="_Toc15058911"/>
      <w:bookmarkStart w:id="115" w:name="_Toc324404869"/>
      <w:bookmarkStart w:id="116" w:name="_Toc506107322"/>
      <w:bookmarkStart w:id="117" w:name="_Toc95223397"/>
      <w:bookmarkStart w:id="118" w:name="_Toc60061494"/>
      <w:r>
        <w:rPr>
          <w:rFonts w:hint="eastAsia" w:ascii="Times New Roman" w:hAnsi="Times New Roman" w:eastAsia="宋体" w:cs="Times New Roman"/>
          <w:color w:val="000000"/>
          <w:highlight w:val="none"/>
        </w:rPr>
        <w:t>4.审查结果</w:t>
      </w:r>
      <w:bookmarkEnd w:id="114"/>
      <w:bookmarkEnd w:id="115"/>
      <w:bookmarkEnd w:id="116"/>
      <w:bookmarkEnd w:id="117"/>
      <w:bookmarkEnd w:id="118"/>
    </w:p>
    <w:p w14:paraId="499FC75D">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500CB5F4">
      <w:pPr>
        <w:pStyle w:val="6"/>
        <w:spacing w:beforeLines="50" w:afterLines="50"/>
        <w:rPr>
          <w:highlight w:val="none"/>
        </w:rPr>
      </w:pPr>
      <w:r>
        <w:rPr>
          <w:rFonts w:hint="eastAsia"/>
          <w:highlight w:val="none"/>
        </w:rPr>
        <w:br w:type="page"/>
      </w:r>
      <w:bookmarkStart w:id="119" w:name="_Toc78803380"/>
      <w:r>
        <w:rPr>
          <w:rFonts w:hint="eastAsia" w:ascii="Arial" w:hAnsi="Arial"/>
          <w:kern w:val="0"/>
          <w:sz w:val="32"/>
          <w:szCs w:val="32"/>
          <w:highlight w:val="none"/>
        </w:rPr>
        <w:t>第</w:t>
      </w:r>
      <w:r>
        <w:rPr>
          <w:rFonts w:hint="eastAsia" w:ascii="Arial" w:hAnsi="Arial"/>
          <w:kern w:val="0"/>
          <w:sz w:val="32"/>
          <w:szCs w:val="32"/>
          <w:highlight w:val="none"/>
          <w:lang w:val="en-US" w:eastAsia="zh-CN"/>
        </w:rPr>
        <w:t>四</w:t>
      </w:r>
      <w:r>
        <w:rPr>
          <w:rFonts w:hint="eastAsia" w:ascii="Arial" w:hAnsi="Arial"/>
          <w:kern w:val="0"/>
          <w:sz w:val="32"/>
          <w:szCs w:val="32"/>
          <w:highlight w:val="none"/>
        </w:rPr>
        <w:t>章  评标办法</w:t>
      </w:r>
      <w:bookmarkEnd w:id="76"/>
      <w:bookmarkEnd w:id="101"/>
      <w:bookmarkEnd w:id="102"/>
      <w:bookmarkEnd w:id="103"/>
      <w:bookmarkEnd w:id="104"/>
      <w:bookmarkEnd w:id="119"/>
    </w:p>
    <w:p w14:paraId="3303ED71">
      <w:pPr>
        <w:spacing w:beforeLines="50" w:afterLines="50" w:line="440" w:lineRule="exact"/>
        <w:jc w:val="center"/>
        <w:rPr>
          <w:rFonts w:ascii="宋体" w:hAnsi="宋体" w:cs="宋体"/>
          <w:b/>
          <w:bCs/>
          <w:sz w:val="28"/>
          <w:szCs w:val="28"/>
          <w:highlight w:val="none"/>
        </w:rPr>
      </w:pPr>
      <w:bookmarkStart w:id="120" w:name="_Toc35425112"/>
      <w:bookmarkStart w:id="121" w:name="_Toc35424946"/>
      <w:r>
        <w:rPr>
          <w:rFonts w:hint="eastAsia" w:ascii="宋体" w:hAnsi="宋体" w:cs="宋体"/>
          <w:b/>
          <w:bCs/>
          <w:sz w:val="28"/>
          <w:szCs w:val="28"/>
          <w:highlight w:val="none"/>
        </w:rPr>
        <w:t>评标办法前附表</w:t>
      </w:r>
      <w:bookmarkEnd w:id="120"/>
      <w:bookmarkEnd w:id="121"/>
    </w:p>
    <w:p w14:paraId="0701628E">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（一）资信标评分细则（</w:t>
      </w:r>
      <w:r>
        <w:rPr>
          <w:rFonts w:hint="eastAsia" w:cs="Times New Roman"/>
          <w:b/>
          <w:color w:val="auto"/>
          <w:sz w:val="28"/>
          <w:szCs w:val="21"/>
          <w:lang w:val="en-US" w:eastAsia="zh-CN"/>
        </w:rPr>
        <w:t>1</w:t>
      </w:r>
      <w:r>
        <w:rPr>
          <w:rFonts w:hint="eastAsia" w:ascii="Times New Roman" w:hAnsi="Times New Roman" w:eastAsia="宋体" w:cs="Times New Roman"/>
          <w:b/>
          <w:color w:val="auto"/>
          <w:sz w:val="28"/>
          <w:szCs w:val="21"/>
          <w:lang w:val="en-US" w:eastAsia="zh-CN"/>
        </w:rPr>
        <w:t>0分）</w:t>
      </w:r>
    </w:p>
    <w:tbl>
      <w:tblPr>
        <w:tblStyle w:val="48"/>
        <w:tblW w:w="5401" w:type="pct"/>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7552"/>
      </w:tblGrid>
      <w:tr w14:paraId="3CC2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36" w:type="pct"/>
            <w:vAlign w:val="center"/>
          </w:tcPr>
          <w:p w14:paraId="0F663B4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评审因素</w:t>
            </w:r>
          </w:p>
        </w:tc>
        <w:tc>
          <w:tcPr>
            <w:tcW w:w="3763" w:type="pct"/>
            <w:vAlign w:val="center"/>
          </w:tcPr>
          <w:p w14:paraId="16800EF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2" w:firstLineChars="20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评审标准</w:t>
            </w:r>
          </w:p>
        </w:tc>
      </w:tr>
      <w:tr w14:paraId="612B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36" w:type="pct"/>
            <w:vAlign w:val="center"/>
          </w:tcPr>
          <w:p w14:paraId="1C5B2E0E">
            <w:pPr>
              <w:spacing w:before="69" w:line="360" w:lineRule="exact"/>
              <w:jc w:val="center"/>
              <w:rPr>
                <w:rFonts w:hint="eastAsia" w:ascii="宋体" w:hAnsi="宋体" w:eastAsia="宋体" w:cs="宋体"/>
                <w:spacing w:val="-2"/>
                <w:position w:val="11"/>
                <w:sz w:val="21"/>
                <w:szCs w:val="21"/>
                <w:highlight w:val="none"/>
                <w:lang w:val="en-US" w:eastAsia="zh-CN"/>
              </w:rPr>
            </w:pPr>
            <w:r>
              <w:rPr>
                <w:rFonts w:hint="eastAsia" w:ascii="宋体" w:hAnsi="宋体" w:eastAsia="宋体" w:cs="宋体"/>
                <w:spacing w:val="-2"/>
                <w:position w:val="11"/>
                <w:sz w:val="21"/>
                <w:szCs w:val="21"/>
                <w:highlight w:val="none"/>
                <w:lang w:val="en-US" w:eastAsia="zh-CN"/>
              </w:rPr>
              <w:t>企业业绩（</w:t>
            </w:r>
            <w:r>
              <w:rPr>
                <w:rFonts w:hint="eastAsia" w:ascii="宋体" w:hAnsi="宋体" w:cs="宋体"/>
                <w:spacing w:val="-2"/>
                <w:position w:val="11"/>
                <w:sz w:val="21"/>
                <w:szCs w:val="21"/>
                <w:highlight w:val="none"/>
                <w:lang w:val="en-US" w:eastAsia="zh-CN"/>
              </w:rPr>
              <w:t>1</w:t>
            </w:r>
            <w:r>
              <w:rPr>
                <w:rFonts w:hint="eastAsia" w:ascii="宋体" w:hAnsi="宋体" w:eastAsia="宋体" w:cs="宋体"/>
                <w:spacing w:val="-2"/>
                <w:position w:val="11"/>
                <w:sz w:val="21"/>
                <w:szCs w:val="21"/>
                <w:highlight w:val="none"/>
                <w:lang w:val="en-US" w:eastAsia="zh-CN"/>
              </w:rPr>
              <w:t>0分）</w:t>
            </w:r>
          </w:p>
        </w:tc>
        <w:tc>
          <w:tcPr>
            <w:tcW w:w="3763" w:type="pct"/>
            <w:vAlign w:val="top"/>
          </w:tcPr>
          <w:p w14:paraId="415C650C">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自2020年1月1日至投标截止日（以合同签订时间为准），投标人每提供一个</w:t>
            </w:r>
            <w:r>
              <w:rPr>
                <w:rFonts w:hint="eastAsia"/>
                <w:color w:val="auto"/>
                <w:highlight w:val="none"/>
                <w:lang w:val="en-US" w:eastAsia="zh-CN"/>
              </w:rPr>
              <w:t>电力施工业绩</w:t>
            </w:r>
            <w:r>
              <w:rPr>
                <w:rFonts w:hint="eastAsia" w:ascii="宋体" w:hAnsi="宋体" w:eastAsia="宋体" w:cs="宋体"/>
                <w:b w:val="0"/>
                <w:bCs/>
                <w:color w:val="auto"/>
                <w:sz w:val="21"/>
                <w:szCs w:val="21"/>
                <w:highlight w:val="none"/>
                <w:lang w:val="en-US" w:eastAsia="zh-CN"/>
              </w:rPr>
              <w:t>的得</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0分；其他的不得分，本项满分</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0分。</w:t>
            </w:r>
          </w:p>
          <w:p w14:paraId="776760AE">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【投标文件中须提供合同扫描件；若上述材料均未体现评分内容的还须另外提供业主证明材料扫描件。】</w:t>
            </w:r>
          </w:p>
          <w:p w14:paraId="7BBB90AC">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投标人投标时只须提供1个评审业绩，若投标人提供业绩个数超过1个，则按照排列顺序从首个业绩开始评审至对应数量（1个），超出部分业绩不进行评审。对应数量（1个）业绩不符合招标文件要求不得分的，不再补充评审超出部分业绩。如：提供1个业绩即得满分的，按照投标文件排序评审第一项业绩，其余超出部分不再评审。</w:t>
            </w:r>
          </w:p>
        </w:tc>
      </w:tr>
    </w:tbl>
    <w:p w14:paraId="6EF3540D">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w:t>
      </w:r>
      <w:r>
        <w:rPr>
          <w:rFonts w:hint="eastAsia" w:cs="Times New Roman"/>
          <w:b/>
          <w:color w:val="auto"/>
          <w:sz w:val="28"/>
          <w:szCs w:val="21"/>
          <w:lang w:val="en-US" w:eastAsia="zh-CN"/>
        </w:rPr>
        <w:t>二</w:t>
      </w:r>
      <w:r>
        <w:rPr>
          <w:rFonts w:hint="eastAsia" w:ascii="Times New Roman" w:hAnsi="Times New Roman" w:eastAsia="宋体" w:cs="Times New Roman"/>
          <w:b/>
          <w:color w:val="auto"/>
          <w:sz w:val="28"/>
          <w:szCs w:val="21"/>
          <w:lang w:val="en-US" w:eastAsia="zh-CN"/>
        </w:rPr>
        <w:t>）技术标评分细则（</w:t>
      </w:r>
      <w:r>
        <w:rPr>
          <w:rFonts w:hint="eastAsia" w:cs="Times New Roman"/>
          <w:b/>
          <w:color w:val="auto"/>
          <w:sz w:val="28"/>
          <w:szCs w:val="21"/>
          <w:lang w:val="en-US" w:eastAsia="zh-CN"/>
        </w:rPr>
        <w:t>5</w:t>
      </w:r>
      <w:r>
        <w:rPr>
          <w:rFonts w:hint="eastAsia" w:ascii="Times New Roman" w:hAnsi="Times New Roman" w:cs="Times New Roman"/>
          <w:b/>
          <w:color w:val="auto"/>
          <w:sz w:val="28"/>
          <w:szCs w:val="21"/>
          <w:lang w:val="en-US" w:eastAsia="zh-CN"/>
        </w:rPr>
        <w:t>0</w:t>
      </w:r>
      <w:r>
        <w:rPr>
          <w:rFonts w:hint="eastAsia" w:ascii="Times New Roman" w:hAnsi="Times New Roman" w:eastAsia="宋体" w:cs="Times New Roman"/>
          <w:b/>
          <w:color w:val="auto"/>
          <w:sz w:val="28"/>
          <w:szCs w:val="21"/>
          <w:lang w:val="en-US" w:eastAsia="zh-CN"/>
        </w:rPr>
        <w:t>分）</w:t>
      </w:r>
    </w:p>
    <w:tbl>
      <w:tblPr>
        <w:tblStyle w:val="47"/>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239"/>
        <w:gridCol w:w="5985"/>
      </w:tblGrid>
      <w:tr w14:paraId="17EB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14:paraId="014AC285">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375" w:type="dxa"/>
            <w:gridSpan w:val="2"/>
            <w:noWrap w:val="0"/>
            <w:vAlign w:val="center"/>
          </w:tcPr>
          <w:p w14:paraId="780A823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985" w:type="dxa"/>
            <w:noWrap w:val="0"/>
            <w:vAlign w:val="center"/>
          </w:tcPr>
          <w:p w14:paraId="2B31D815">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60F5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223B8D15">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14:paraId="735CB3D0">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239" w:type="dxa"/>
            <w:noWrap w:val="0"/>
            <w:vAlign w:val="center"/>
          </w:tcPr>
          <w:p w14:paraId="233E2358">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985" w:type="dxa"/>
            <w:noWrap w:val="0"/>
            <w:vAlign w:val="center"/>
          </w:tcPr>
          <w:p w14:paraId="04ED4DB0">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14:paraId="20C290B1">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否则经评委会一致认定后,按照无效投标处理。</w:t>
            </w:r>
          </w:p>
        </w:tc>
      </w:tr>
      <w:tr w14:paraId="5125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14:paraId="228588E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14:paraId="6236784C">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239" w:type="dxa"/>
            <w:noWrap w:val="0"/>
            <w:vAlign w:val="center"/>
          </w:tcPr>
          <w:p w14:paraId="212240FF">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985" w:type="dxa"/>
            <w:noWrap w:val="0"/>
            <w:vAlign w:val="top"/>
          </w:tcPr>
          <w:p w14:paraId="6963AA3E">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14:paraId="5F26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14:paraId="6C518B09">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7ADE3609">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239" w:type="dxa"/>
            <w:noWrap w:val="0"/>
            <w:vAlign w:val="center"/>
          </w:tcPr>
          <w:p w14:paraId="5315AF10">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985" w:type="dxa"/>
            <w:noWrap w:val="0"/>
            <w:vAlign w:val="top"/>
          </w:tcPr>
          <w:p w14:paraId="795F7743">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C3C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14:paraId="1F84E0DA">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22D216A5">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239" w:type="dxa"/>
            <w:noWrap w:val="0"/>
            <w:vAlign w:val="center"/>
          </w:tcPr>
          <w:p w14:paraId="4708DFB7">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985" w:type="dxa"/>
            <w:noWrap w:val="0"/>
            <w:vAlign w:val="top"/>
          </w:tcPr>
          <w:p w14:paraId="1C062D2A">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7DB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3F25A31A">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09D15A5B">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23B268C7">
            <w:pPr>
              <w:spacing w:before="69"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spacing w:val="-2"/>
                <w:position w:val="11"/>
                <w:sz w:val="21"/>
                <w:szCs w:val="21"/>
                <w:highlight w:val="none"/>
                <w:lang w:val="en-US" w:eastAsia="zh-CN"/>
              </w:rPr>
              <w:t>技术</w:t>
            </w:r>
            <w:r>
              <w:rPr>
                <w:rFonts w:hint="eastAsia" w:ascii="宋体" w:hAnsi="宋体" w:eastAsia="宋体" w:cs="宋体"/>
                <w:spacing w:val="-2"/>
                <w:position w:val="11"/>
                <w:sz w:val="21"/>
                <w:szCs w:val="21"/>
                <w:highlight w:val="none"/>
                <w:lang w:val="en-US" w:eastAsia="zh-CN"/>
              </w:rPr>
              <w:t>方案（</w:t>
            </w:r>
            <w:r>
              <w:rPr>
                <w:rFonts w:hint="eastAsia" w:ascii="宋体" w:hAnsi="宋体" w:cs="宋体"/>
                <w:spacing w:val="-2"/>
                <w:position w:val="11"/>
                <w:sz w:val="21"/>
                <w:szCs w:val="21"/>
                <w:highlight w:val="none"/>
                <w:lang w:val="en-US" w:eastAsia="zh-CN"/>
              </w:rPr>
              <w:t>4</w:t>
            </w:r>
            <w:r>
              <w:rPr>
                <w:rFonts w:hint="eastAsia" w:ascii="宋体" w:hAnsi="宋体" w:eastAsia="宋体" w:cs="宋体"/>
                <w:spacing w:val="-2"/>
                <w:position w:val="11"/>
                <w:sz w:val="21"/>
                <w:szCs w:val="21"/>
                <w:highlight w:val="none"/>
                <w:lang w:val="en-US" w:eastAsia="zh-CN"/>
              </w:rPr>
              <w:t>0分）</w:t>
            </w:r>
          </w:p>
        </w:tc>
        <w:tc>
          <w:tcPr>
            <w:tcW w:w="5985" w:type="dxa"/>
            <w:shd w:val="clear" w:color="auto" w:fill="auto"/>
            <w:noWrap w:val="0"/>
            <w:vAlign w:val="top"/>
          </w:tcPr>
          <w:p w14:paraId="2D9AC4F1">
            <w:pPr>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包括①、总体筹划；②、工程进度计划与措施及施工网络图；③、主要施工方案和技术措施；④、主要物资供应计划；⑤、劳动力安排计划，主要施工机械、设备进场计划；⑥、确保工程质量的管理体系与措施；⑦、确保安全生产的管理体系与措施；⑧、确保文明施工的管理体系与措施；⑨、工程重难点及对应保证措施；⑩、危大工程安全管理与新技术、新产品、新工艺、新材料应用（如有）等。每项分值</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分，其中优得</w:t>
            </w:r>
            <w:r>
              <w:rPr>
                <w:rFonts w:hint="eastAsia" w:ascii="宋体" w:hAnsi="宋体" w:eastAsia="宋体" w:cs="Times New Roman"/>
                <w:b w:val="0"/>
                <w:bCs w:val="0"/>
                <w:color w:val="auto"/>
                <w:kern w:val="0"/>
                <w:szCs w:val="21"/>
                <w:highlight w:val="none"/>
                <w:u w:val="none" w:color="000000"/>
                <w:lang w:val="en-US" w:eastAsia="zh-CN"/>
              </w:rPr>
              <w:t>3分＜F≤4</w:t>
            </w:r>
            <w:r>
              <w:rPr>
                <w:rFonts w:hint="eastAsia" w:ascii="宋体" w:hAnsi="宋体" w:eastAsia="宋体" w:cs="宋体"/>
                <w:b w:val="0"/>
                <w:bCs/>
                <w:color w:val="auto"/>
                <w:sz w:val="21"/>
                <w:szCs w:val="21"/>
                <w:highlight w:val="none"/>
                <w:lang w:val="en-US" w:eastAsia="zh-CN"/>
              </w:rPr>
              <w:t>分，良得</w:t>
            </w:r>
            <w:r>
              <w:rPr>
                <w:rFonts w:hint="eastAsia" w:ascii="宋体" w:hAnsi="宋体" w:eastAsia="宋体" w:cs="Times New Roman"/>
                <w:b w:val="0"/>
                <w:bCs w:val="0"/>
                <w:color w:val="auto"/>
                <w:kern w:val="0"/>
                <w:szCs w:val="21"/>
                <w:highlight w:val="none"/>
                <w:u w:val="none" w:color="000000"/>
                <w:lang w:val="en-US" w:eastAsia="zh-CN"/>
              </w:rPr>
              <w:t>2分＜F≤3</w:t>
            </w:r>
            <w:r>
              <w:rPr>
                <w:rFonts w:hint="eastAsia" w:ascii="宋体" w:hAnsi="宋体" w:eastAsia="宋体" w:cs="宋体"/>
                <w:b w:val="0"/>
                <w:bCs/>
                <w:color w:val="auto"/>
                <w:sz w:val="21"/>
                <w:szCs w:val="21"/>
                <w:highlight w:val="none"/>
                <w:lang w:val="en-US" w:eastAsia="zh-CN"/>
              </w:rPr>
              <w:t>分，一般得</w:t>
            </w:r>
            <w:r>
              <w:rPr>
                <w:rFonts w:hint="eastAsia" w:ascii="宋体" w:hAnsi="宋体" w:eastAsia="宋体" w:cs="Times New Roman"/>
                <w:b w:val="0"/>
                <w:bCs w:val="0"/>
                <w:color w:val="auto"/>
                <w:kern w:val="0"/>
                <w:szCs w:val="21"/>
                <w:highlight w:val="none"/>
                <w:u w:val="none" w:color="000000"/>
                <w:lang w:val="en-US" w:eastAsia="zh-CN"/>
              </w:rPr>
              <w:t>1分＜F≤2</w:t>
            </w:r>
            <w:r>
              <w:rPr>
                <w:rFonts w:hint="eastAsia" w:ascii="宋体" w:hAnsi="宋体" w:eastAsia="宋体" w:cs="宋体"/>
                <w:b w:val="0"/>
                <w:bCs/>
                <w:color w:val="auto"/>
                <w:sz w:val="21"/>
                <w:szCs w:val="21"/>
                <w:highlight w:val="none"/>
                <w:lang w:val="en-US" w:eastAsia="zh-CN"/>
              </w:rPr>
              <w:t>分，合格得</w:t>
            </w:r>
            <w:r>
              <w:rPr>
                <w:rFonts w:hint="eastAsia" w:ascii="宋体" w:hAnsi="宋体" w:eastAsia="宋体" w:cs="Times New Roman"/>
                <w:b w:val="0"/>
                <w:bCs w:val="0"/>
                <w:color w:val="auto"/>
                <w:kern w:val="0"/>
                <w:szCs w:val="21"/>
                <w:highlight w:val="none"/>
                <w:u w:val="none" w:color="000000"/>
                <w:lang w:val="en-US" w:eastAsia="zh-CN"/>
              </w:rPr>
              <w:t>0分＜F≤1</w:t>
            </w:r>
            <w:r>
              <w:rPr>
                <w:rFonts w:hint="eastAsia" w:ascii="宋体" w:hAnsi="宋体" w:eastAsia="宋体" w:cs="宋体"/>
                <w:b w:val="0"/>
                <w:bCs/>
                <w:color w:val="auto"/>
                <w:sz w:val="21"/>
                <w:szCs w:val="21"/>
                <w:highlight w:val="none"/>
                <w:lang w:val="en-US" w:eastAsia="zh-CN"/>
              </w:rPr>
              <w:t>分，不合格或未提供的不得分。</w:t>
            </w:r>
          </w:p>
        </w:tc>
      </w:tr>
      <w:tr w14:paraId="3348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4F634BA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1F07C468">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1BC02E79">
            <w:pPr>
              <w:spacing w:before="69"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spacing w:val="-2"/>
                <w:position w:val="11"/>
                <w:sz w:val="21"/>
                <w:szCs w:val="21"/>
                <w:highlight w:val="none"/>
                <w:lang w:val="en-US" w:eastAsia="zh-CN"/>
              </w:rPr>
              <w:t>后期维护方案（</w:t>
            </w:r>
            <w:r>
              <w:rPr>
                <w:rFonts w:hint="eastAsia" w:ascii="宋体" w:hAnsi="宋体" w:cs="宋体"/>
                <w:spacing w:val="-2"/>
                <w:position w:val="11"/>
                <w:sz w:val="21"/>
                <w:szCs w:val="21"/>
                <w:highlight w:val="none"/>
                <w:lang w:val="en-US" w:eastAsia="zh-CN"/>
              </w:rPr>
              <w:t>10</w:t>
            </w:r>
            <w:r>
              <w:rPr>
                <w:rFonts w:hint="eastAsia" w:ascii="宋体" w:hAnsi="宋体" w:eastAsia="宋体" w:cs="宋体"/>
                <w:spacing w:val="-2"/>
                <w:position w:val="11"/>
                <w:sz w:val="21"/>
                <w:szCs w:val="21"/>
                <w:highlight w:val="none"/>
                <w:lang w:val="en-US" w:eastAsia="zh-CN"/>
              </w:rPr>
              <w:t>分）</w:t>
            </w:r>
          </w:p>
        </w:tc>
        <w:tc>
          <w:tcPr>
            <w:tcW w:w="5985" w:type="dxa"/>
            <w:shd w:val="clear" w:color="auto" w:fill="auto"/>
            <w:noWrap w:val="0"/>
            <w:vAlign w:val="top"/>
          </w:tcPr>
          <w:p w14:paraId="07BFE3F1">
            <w:pPr>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根据投标人针对本项目的维护服务方案进行综合评审，优秀得</w:t>
            </w:r>
            <w:r>
              <w:rPr>
                <w:rFonts w:hint="eastAsia" w:ascii="宋体" w:hAnsi="宋体" w:eastAsia="宋体" w:cs="Times New Roman"/>
                <w:b w:val="0"/>
                <w:bCs w:val="0"/>
                <w:color w:val="auto"/>
                <w:kern w:val="0"/>
                <w:szCs w:val="21"/>
                <w:highlight w:val="none"/>
                <w:u w:val="none" w:color="000000"/>
                <w:lang w:val="en-US" w:eastAsia="zh-CN"/>
              </w:rPr>
              <w:t>得8分＜F≤10分</w:t>
            </w:r>
            <w:r>
              <w:rPr>
                <w:rFonts w:hint="eastAsia" w:ascii="宋体" w:hAnsi="宋体" w:eastAsia="宋体" w:cs="宋体"/>
                <w:b w:val="0"/>
                <w:bCs/>
                <w:color w:val="auto"/>
                <w:sz w:val="21"/>
                <w:szCs w:val="21"/>
                <w:highlight w:val="none"/>
                <w:lang w:val="en-US" w:eastAsia="zh-CN"/>
              </w:rPr>
              <w:t>，良好</w:t>
            </w:r>
            <w:r>
              <w:rPr>
                <w:rFonts w:hint="eastAsia" w:ascii="宋体" w:hAnsi="宋体" w:eastAsia="宋体" w:cs="Times New Roman"/>
                <w:b w:val="0"/>
                <w:bCs w:val="0"/>
                <w:color w:val="auto"/>
                <w:kern w:val="0"/>
                <w:szCs w:val="21"/>
                <w:highlight w:val="none"/>
                <w:u w:val="none" w:color="000000"/>
                <w:lang w:val="en-US" w:eastAsia="zh-CN"/>
              </w:rPr>
              <w:t>得6分＜F≤8分</w:t>
            </w:r>
            <w:r>
              <w:rPr>
                <w:rFonts w:hint="eastAsia" w:ascii="宋体" w:hAnsi="宋体" w:eastAsia="宋体" w:cs="宋体"/>
                <w:b w:val="0"/>
                <w:bCs/>
                <w:color w:val="auto"/>
                <w:sz w:val="21"/>
                <w:szCs w:val="21"/>
                <w:highlight w:val="none"/>
                <w:lang w:val="en-US" w:eastAsia="zh-CN"/>
              </w:rPr>
              <w:t>，一般</w:t>
            </w:r>
            <w:r>
              <w:rPr>
                <w:rFonts w:hint="eastAsia" w:ascii="宋体" w:hAnsi="宋体" w:eastAsia="宋体" w:cs="Times New Roman"/>
                <w:b w:val="0"/>
                <w:bCs w:val="0"/>
                <w:color w:val="auto"/>
                <w:kern w:val="0"/>
                <w:szCs w:val="21"/>
                <w:highlight w:val="none"/>
                <w:u w:val="none" w:color="000000"/>
                <w:lang w:val="en-US" w:eastAsia="zh-CN"/>
              </w:rPr>
              <w:t>得4分＜F≤6分</w:t>
            </w:r>
            <w:r>
              <w:rPr>
                <w:rFonts w:hint="eastAsia" w:ascii="宋体" w:hAnsi="宋体" w:eastAsia="宋体" w:cs="宋体"/>
                <w:b w:val="0"/>
                <w:bCs/>
                <w:color w:val="auto"/>
                <w:sz w:val="21"/>
                <w:szCs w:val="21"/>
                <w:highlight w:val="none"/>
                <w:lang w:val="en-US" w:eastAsia="zh-CN"/>
              </w:rPr>
              <w:t>，合格</w:t>
            </w:r>
            <w:r>
              <w:rPr>
                <w:rFonts w:hint="eastAsia" w:ascii="宋体" w:hAnsi="宋体" w:cs="宋体"/>
                <w:b w:val="0"/>
                <w:bCs/>
                <w:color w:val="auto"/>
                <w:sz w:val="21"/>
                <w:szCs w:val="21"/>
                <w:highlight w:val="none"/>
                <w:lang w:val="en-US" w:eastAsia="zh-CN"/>
              </w:rPr>
              <w:t>得</w:t>
            </w:r>
            <w:r>
              <w:rPr>
                <w:rFonts w:hint="eastAsia" w:ascii="宋体" w:hAnsi="宋体" w:eastAsia="宋体" w:cs="Times New Roman"/>
                <w:b w:val="0"/>
                <w:bCs w:val="0"/>
                <w:color w:val="auto"/>
                <w:kern w:val="0"/>
                <w:szCs w:val="21"/>
                <w:highlight w:val="none"/>
                <w:u w:val="none" w:color="000000"/>
                <w:lang w:val="en-US" w:eastAsia="zh-CN"/>
              </w:rPr>
              <w:t>2分＜F≤4分</w:t>
            </w:r>
            <w:r>
              <w:rPr>
                <w:rFonts w:hint="eastAsia" w:ascii="宋体" w:hAnsi="宋体" w:eastAsia="宋体" w:cs="宋体"/>
                <w:b w:val="0"/>
                <w:bCs/>
                <w:color w:val="auto"/>
                <w:sz w:val="21"/>
                <w:szCs w:val="21"/>
                <w:highlight w:val="none"/>
                <w:lang w:val="en-US" w:eastAsia="zh-CN"/>
              </w:rPr>
              <w:t>，不合格或未提供的不得分。</w:t>
            </w:r>
          </w:p>
        </w:tc>
      </w:tr>
    </w:tbl>
    <w:p w14:paraId="669BBA0D">
      <w:pPr>
        <w:pStyle w:val="199"/>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szCs w:val="21"/>
          <w:highlight w:val="none"/>
          <w:lang w:eastAsia="zh-CN"/>
        </w:rPr>
      </w:pPr>
      <w:r>
        <w:rPr>
          <w:rFonts w:hint="eastAsia" w:ascii="宋体" w:hAnsi="宋体" w:cs="宋体"/>
          <w:b/>
          <w:bCs/>
          <w:szCs w:val="21"/>
          <w:highlight w:val="none"/>
        </w:rPr>
        <w:t>注</w:t>
      </w:r>
      <w:r>
        <w:rPr>
          <w:rFonts w:hint="eastAsia" w:ascii="宋体" w:hAnsi="宋体" w:cs="宋体"/>
          <w:b/>
          <w:bCs/>
          <w:szCs w:val="21"/>
          <w:highlight w:val="none"/>
          <w:lang w:eastAsia="zh-CN"/>
        </w:rPr>
        <w:t>：</w:t>
      </w:r>
      <w:r>
        <w:rPr>
          <w:rFonts w:hint="eastAsia" w:ascii="宋体" w:hAnsi="宋体" w:cs="宋体"/>
          <w:b/>
          <w:bCs/>
          <w:szCs w:val="21"/>
          <w:highlight w:val="none"/>
        </w:rPr>
        <w:t>该项由专家评委评审打分，取所有评委评分的平均值为最终得分，保留两位小数点，第三位四舍五入</w:t>
      </w:r>
      <w:r>
        <w:rPr>
          <w:rFonts w:hint="eastAsia" w:ascii="宋体" w:hAnsi="宋体" w:cs="宋体"/>
          <w:b/>
          <w:bCs/>
          <w:szCs w:val="21"/>
          <w:highlight w:val="none"/>
          <w:lang w:eastAsia="zh-CN"/>
        </w:rPr>
        <w:t>。</w:t>
      </w:r>
    </w:p>
    <w:p w14:paraId="0B4C772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（三）商务标评审（</w:t>
      </w:r>
      <w:r>
        <w:rPr>
          <w:rFonts w:hint="eastAsia" w:cs="Times New Roman"/>
          <w:b/>
          <w:color w:val="auto"/>
          <w:sz w:val="28"/>
          <w:szCs w:val="21"/>
          <w:lang w:val="en-US" w:eastAsia="zh-CN"/>
        </w:rPr>
        <w:t>4</w:t>
      </w:r>
      <w:r>
        <w:rPr>
          <w:rFonts w:hint="eastAsia" w:ascii="Times New Roman" w:hAnsi="Times New Roman" w:eastAsia="宋体" w:cs="Times New Roman"/>
          <w:b/>
          <w:color w:val="auto"/>
          <w:sz w:val="28"/>
          <w:szCs w:val="21"/>
          <w:lang w:val="en-US" w:eastAsia="zh-CN"/>
        </w:rPr>
        <w:t>0分）</w:t>
      </w:r>
    </w:p>
    <w:tbl>
      <w:tblPr>
        <w:tblStyle w:val="4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2158"/>
        <w:gridCol w:w="5008"/>
      </w:tblGrid>
      <w:tr w14:paraId="3073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14:paraId="7C34A325">
            <w:pPr>
              <w:spacing w:line="440" w:lineRule="exact"/>
              <w:jc w:val="center"/>
              <w:rPr>
                <w:rFonts w:ascii="宋体" w:hAnsi="宋体" w:cs="宋体"/>
                <w:b/>
                <w:bCs/>
                <w:szCs w:val="21"/>
                <w:highlight w:val="none"/>
              </w:rPr>
            </w:pPr>
            <w:r>
              <w:rPr>
                <w:rFonts w:hint="eastAsia" w:ascii="宋体" w:hAnsi="宋体" w:cs="宋体"/>
                <w:b/>
                <w:bCs/>
                <w:szCs w:val="21"/>
                <w:highlight w:val="none"/>
              </w:rPr>
              <w:t>条款号</w:t>
            </w:r>
          </w:p>
        </w:tc>
        <w:tc>
          <w:tcPr>
            <w:tcW w:w="2158" w:type="dxa"/>
            <w:noWrap/>
            <w:vAlign w:val="center"/>
          </w:tcPr>
          <w:p w14:paraId="1CF92DDF">
            <w:pPr>
              <w:spacing w:line="440" w:lineRule="exact"/>
              <w:jc w:val="center"/>
              <w:rPr>
                <w:rFonts w:ascii="宋体" w:hAnsi="宋体" w:cs="宋体"/>
                <w:b/>
                <w:bCs/>
                <w:szCs w:val="21"/>
                <w:highlight w:val="none"/>
              </w:rPr>
            </w:pPr>
            <w:r>
              <w:rPr>
                <w:rFonts w:hint="eastAsia" w:ascii="宋体" w:hAnsi="宋体" w:cs="宋体"/>
                <w:b/>
                <w:bCs/>
                <w:szCs w:val="21"/>
                <w:highlight w:val="none"/>
              </w:rPr>
              <w:t>评审因素</w:t>
            </w:r>
          </w:p>
        </w:tc>
        <w:tc>
          <w:tcPr>
            <w:tcW w:w="5008" w:type="dxa"/>
            <w:noWrap/>
            <w:vAlign w:val="center"/>
          </w:tcPr>
          <w:p w14:paraId="10027A3D">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3C6C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14:paraId="1606681B">
            <w:pPr>
              <w:spacing w:line="440" w:lineRule="exact"/>
              <w:jc w:val="center"/>
              <w:rPr>
                <w:rFonts w:ascii="宋体" w:hAnsi="宋体" w:cs="宋体"/>
                <w:szCs w:val="21"/>
                <w:highlight w:val="none"/>
              </w:rPr>
            </w:pPr>
            <w:r>
              <w:rPr>
                <w:rFonts w:hint="eastAsia" w:ascii="宋体" w:hAnsi="宋体" w:cs="宋体"/>
                <w:szCs w:val="21"/>
                <w:highlight w:val="none"/>
              </w:rPr>
              <w:t>4.2.1</w:t>
            </w:r>
          </w:p>
        </w:tc>
        <w:tc>
          <w:tcPr>
            <w:tcW w:w="1860" w:type="dxa"/>
            <w:gridSpan w:val="2"/>
            <w:vMerge w:val="restart"/>
            <w:noWrap/>
            <w:vAlign w:val="center"/>
          </w:tcPr>
          <w:p w14:paraId="2ABF61DD">
            <w:pPr>
              <w:spacing w:line="440" w:lineRule="exact"/>
              <w:jc w:val="center"/>
              <w:rPr>
                <w:rFonts w:ascii="宋体" w:hAnsi="宋体" w:cs="宋体"/>
                <w:szCs w:val="21"/>
                <w:highlight w:val="none"/>
              </w:rPr>
            </w:pPr>
            <w:r>
              <w:rPr>
                <w:rFonts w:hint="eastAsia" w:ascii="宋体" w:hAnsi="宋体" w:cs="宋体"/>
                <w:szCs w:val="21"/>
                <w:highlight w:val="none"/>
              </w:rPr>
              <w:t>形式评审标准</w:t>
            </w:r>
          </w:p>
        </w:tc>
        <w:tc>
          <w:tcPr>
            <w:tcW w:w="2158" w:type="dxa"/>
            <w:noWrap/>
            <w:vAlign w:val="center"/>
          </w:tcPr>
          <w:p w14:paraId="73517A2E">
            <w:pPr>
              <w:spacing w:line="440" w:lineRule="exact"/>
              <w:rPr>
                <w:rFonts w:ascii="宋体" w:hAnsi="宋体" w:cs="宋体"/>
                <w:szCs w:val="21"/>
                <w:highlight w:val="none"/>
              </w:rPr>
            </w:pPr>
            <w:r>
              <w:rPr>
                <w:rFonts w:hint="eastAsia" w:ascii="宋体" w:hAnsi="宋体" w:cs="宋体"/>
                <w:szCs w:val="21"/>
                <w:highlight w:val="none"/>
              </w:rPr>
              <w:t>投标函签字盖章</w:t>
            </w:r>
          </w:p>
        </w:tc>
        <w:tc>
          <w:tcPr>
            <w:tcW w:w="5008" w:type="dxa"/>
            <w:noWrap/>
          </w:tcPr>
          <w:p w14:paraId="2DBE6DD3">
            <w:pPr>
              <w:spacing w:line="440" w:lineRule="exact"/>
              <w:rPr>
                <w:rFonts w:ascii="宋体" w:hAnsi="宋体" w:cs="宋体"/>
                <w:szCs w:val="21"/>
                <w:highlight w:val="none"/>
              </w:rPr>
            </w:pPr>
            <w:r>
              <w:rPr>
                <w:rFonts w:hint="eastAsia" w:ascii="宋体" w:hAnsi="宋体" w:cs="宋体"/>
                <w:szCs w:val="21"/>
                <w:highlight w:val="none"/>
              </w:rPr>
              <w:t>有投标人及其法定代表人签章</w:t>
            </w:r>
          </w:p>
        </w:tc>
      </w:tr>
      <w:tr w14:paraId="5E02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274A7B26">
            <w:pPr>
              <w:spacing w:line="440" w:lineRule="exact"/>
              <w:rPr>
                <w:rFonts w:ascii="宋体" w:hAnsi="宋体" w:cs="宋体"/>
                <w:szCs w:val="21"/>
                <w:highlight w:val="none"/>
              </w:rPr>
            </w:pPr>
          </w:p>
        </w:tc>
        <w:tc>
          <w:tcPr>
            <w:tcW w:w="1860" w:type="dxa"/>
            <w:gridSpan w:val="2"/>
            <w:vMerge w:val="continue"/>
            <w:noWrap/>
          </w:tcPr>
          <w:p w14:paraId="7570E8C7">
            <w:pPr>
              <w:spacing w:line="440" w:lineRule="exact"/>
              <w:rPr>
                <w:rFonts w:ascii="宋体" w:hAnsi="宋体" w:cs="宋体"/>
                <w:szCs w:val="21"/>
                <w:highlight w:val="none"/>
              </w:rPr>
            </w:pPr>
          </w:p>
        </w:tc>
        <w:tc>
          <w:tcPr>
            <w:tcW w:w="2158" w:type="dxa"/>
            <w:noWrap/>
            <w:vAlign w:val="center"/>
          </w:tcPr>
          <w:p w14:paraId="45179B0C">
            <w:pPr>
              <w:spacing w:line="440" w:lineRule="exact"/>
              <w:rPr>
                <w:rFonts w:ascii="宋体" w:hAnsi="宋体" w:cs="宋体"/>
                <w:szCs w:val="21"/>
                <w:highlight w:val="none"/>
              </w:rPr>
            </w:pPr>
            <w:r>
              <w:rPr>
                <w:rFonts w:hint="eastAsia" w:ascii="宋体" w:hAnsi="宋体" w:cs="宋体"/>
                <w:szCs w:val="21"/>
                <w:highlight w:val="none"/>
              </w:rPr>
              <w:t>投标文件格式</w:t>
            </w:r>
          </w:p>
        </w:tc>
        <w:tc>
          <w:tcPr>
            <w:tcW w:w="5008" w:type="dxa"/>
            <w:noWrap/>
          </w:tcPr>
          <w:p w14:paraId="24166B6D">
            <w:pPr>
              <w:spacing w:line="440" w:lineRule="exact"/>
              <w:jc w:val="left"/>
              <w:rPr>
                <w:rFonts w:ascii="宋体" w:hAnsi="宋体" w:cs="宋体"/>
                <w:szCs w:val="21"/>
                <w:highlight w:val="none"/>
              </w:rPr>
            </w:pPr>
            <w:r>
              <w:rPr>
                <w:rFonts w:hint="eastAsia" w:ascii="宋体" w:hAnsi="宋体" w:cs="宋体"/>
                <w:szCs w:val="21"/>
                <w:highlight w:val="none"/>
              </w:rPr>
              <w:t>符合第</w:t>
            </w:r>
            <w:r>
              <w:rPr>
                <w:rFonts w:hint="eastAsia" w:ascii="宋体" w:hAnsi="宋体" w:cs="宋体"/>
                <w:szCs w:val="21"/>
                <w:highlight w:val="none"/>
                <w:lang w:val="en-US" w:eastAsia="zh-CN"/>
              </w:rPr>
              <w:t>七</w:t>
            </w:r>
            <w:r>
              <w:rPr>
                <w:rFonts w:hint="eastAsia" w:ascii="宋体" w:hAnsi="宋体" w:cs="宋体"/>
                <w:szCs w:val="21"/>
                <w:highlight w:val="none"/>
              </w:rPr>
              <w:t>章“投标文件格式”的要求</w:t>
            </w:r>
          </w:p>
        </w:tc>
      </w:tr>
      <w:tr w14:paraId="327F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7C9F9938">
            <w:pPr>
              <w:spacing w:line="440" w:lineRule="exact"/>
              <w:rPr>
                <w:rFonts w:ascii="宋体" w:hAnsi="宋体" w:cs="宋体"/>
                <w:szCs w:val="21"/>
                <w:highlight w:val="none"/>
              </w:rPr>
            </w:pPr>
          </w:p>
        </w:tc>
        <w:tc>
          <w:tcPr>
            <w:tcW w:w="1860" w:type="dxa"/>
            <w:gridSpan w:val="2"/>
            <w:vMerge w:val="continue"/>
            <w:noWrap/>
          </w:tcPr>
          <w:p w14:paraId="083A6289">
            <w:pPr>
              <w:spacing w:line="440" w:lineRule="exact"/>
              <w:rPr>
                <w:rFonts w:ascii="宋体" w:hAnsi="宋体" w:cs="宋体"/>
                <w:szCs w:val="21"/>
                <w:highlight w:val="none"/>
              </w:rPr>
            </w:pPr>
          </w:p>
        </w:tc>
        <w:tc>
          <w:tcPr>
            <w:tcW w:w="2158" w:type="dxa"/>
            <w:noWrap/>
            <w:vAlign w:val="center"/>
          </w:tcPr>
          <w:p w14:paraId="5EC25201">
            <w:pPr>
              <w:spacing w:line="440" w:lineRule="exact"/>
              <w:rPr>
                <w:rFonts w:ascii="宋体" w:hAnsi="宋体" w:cs="宋体"/>
                <w:szCs w:val="21"/>
                <w:highlight w:val="none"/>
              </w:rPr>
            </w:pPr>
            <w:r>
              <w:rPr>
                <w:rFonts w:hint="eastAsia" w:ascii="宋体" w:hAnsi="宋体" w:cs="宋体"/>
                <w:szCs w:val="21"/>
                <w:highlight w:val="none"/>
              </w:rPr>
              <w:t>报价唯一</w:t>
            </w:r>
          </w:p>
        </w:tc>
        <w:tc>
          <w:tcPr>
            <w:tcW w:w="5008" w:type="dxa"/>
            <w:noWrap/>
          </w:tcPr>
          <w:p w14:paraId="1080A4B7">
            <w:pPr>
              <w:spacing w:line="440" w:lineRule="exact"/>
              <w:jc w:val="left"/>
              <w:rPr>
                <w:rFonts w:ascii="宋体" w:hAnsi="宋体" w:cs="宋体"/>
                <w:szCs w:val="21"/>
                <w:highlight w:val="none"/>
              </w:rPr>
            </w:pPr>
            <w:r>
              <w:rPr>
                <w:rFonts w:hint="eastAsia" w:ascii="宋体" w:hAnsi="宋体" w:cs="宋体"/>
                <w:szCs w:val="21"/>
                <w:highlight w:val="none"/>
              </w:rPr>
              <w:t>只能有一个报价</w:t>
            </w:r>
          </w:p>
        </w:tc>
      </w:tr>
      <w:tr w14:paraId="7D30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14:paraId="27814028">
            <w:pPr>
              <w:spacing w:line="440" w:lineRule="exact"/>
              <w:jc w:val="center"/>
              <w:rPr>
                <w:rFonts w:ascii="宋体" w:hAnsi="宋体" w:cs="宋体"/>
                <w:szCs w:val="21"/>
                <w:highlight w:val="none"/>
              </w:rPr>
            </w:pPr>
            <w:r>
              <w:rPr>
                <w:rFonts w:hint="eastAsia" w:ascii="宋体" w:hAnsi="宋体" w:cs="宋体"/>
                <w:szCs w:val="21"/>
                <w:highlight w:val="none"/>
              </w:rPr>
              <w:t>4.2.2</w:t>
            </w:r>
          </w:p>
        </w:tc>
        <w:tc>
          <w:tcPr>
            <w:tcW w:w="1860" w:type="dxa"/>
            <w:gridSpan w:val="2"/>
            <w:vMerge w:val="restart"/>
            <w:noWrap/>
            <w:vAlign w:val="center"/>
          </w:tcPr>
          <w:p w14:paraId="477FB6B5">
            <w:pPr>
              <w:spacing w:line="440" w:lineRule="exact"/>
              <w:rPr>
                <w:rFonts w:ascii="宋体" w:hAnsi="宋体" w:cs="宋体"/>
                <w:szCs w:val="21"/>
                <w:highlight w:val="none"/>
              </w:rPr>
            </w:pPr>
            <w:r>
              <w:rPr>
                <w:rFonts w:hint="eastAsia" w:ascii="宋体" w:hAnsi="宋体" w:cs="宋体"/>
                <w:szCs w:val="21"/>
                <w:highlight w:val="none"/>
              </w:rPr>
              <w:t>响应性评审标准</w:t>
            </w:r>
          </w:p>
        </w:tc>
        <w:tc>
          <w:tcPr>
            <w:tcW w:w="2158" w:type="dxa"/>
            <w:noWrap/>
            <w:vAlign w:val="center"/>
          </w:tcPr>
          <w:p w14:paraId="341144D6">
            <w:pPr>
              <w:spacing w:line="440" w:lineRule="exact"/>
              <w:rPr>
                <w:rFonts w:ascii="宋体" w:hAnsi="宋体" w:cs="宋体"/>
                <w:szCs w:val="21"/>
                <w:highlight w:val="none"/>
              </w:rPr>
            </w:pPr>
            <w:r>
              <w:rPr>
                <w:rFonts w:hint="eastAsia" w:ascii="宋体" w:hAnsi="宋体" w:cs="宋体"/>
                <w:szCs w:val="21"/>
                <w:highlight w:val="none"/>
                <w:lang w:val="en-US" w:eastAsia="zh-CN"/>
              </w:rPr>
              <w:t>工期</w:t>
            </w:r>
            <w:r>
              <w:rPr>
                <w:rFonts w:hint="eastAsia" w:ascii="宋体" w:hAnsi="宋体" w:cs="宋体"/>
                <w:szCs w:val="21"/>
                <w:highlight w:val="none"/>
              </w:rPr>
              <w:t>期限</w:t>
            </w:r>
          </w:p>
        </w:tc>
        <w:tc>
          <w:tcPr>
            <w:tcW w:w="5008" w:type="dxa"/>
            <w:noWrap/>
            <w:vAlign w:val="center"/>
          </w:tcPr>
          <w:p w14:paraId="37215412">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5507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1AFE4EF1">
            <w:pPr>
              <w:spacing w:line="440" w:lineRule="exact"/>
              <w:rPr>
                <w:rFonts w:ascii="宋体" w:hAnsi="宋体" w:cs="宋体"/>
                <w:szCs w:val="21"/>
                <w:highlight w:val="none"/>
              </w:rPr>
            </w:pPr>
          </w:p>
        </w:tc>
        <w:tc>
          <w:tcPr>
            <w:tcW w:w="1860" w:type="dxa"/>
            <w:gridSpan w:val="2"/>
            <w:vMerge w:val="continue"/>
            <w:noWrap/>
          </w:tcPr>
          <w:p w14:paraId="7B4C01AA">
            <w:pPr>
              <w:spacing w:line="440" w:lineRule="exact"/>
              <w:rPr>
                <w:rFonts w:ascii="宋体" w:hAnsi="宋体" w:cs="宋体"/>
                <w:szCs w:val="21"/>
                <w:highlight w:val="none"/>
              </w:rPr>
            </w:pPr>
          </w:p>
        </w:tc>
        <w:tc>
          <w:tcPr>
            <w:tcW w:w="2158" w:type="dxa"/>
            <w:noWrap/>
            <w:vAlign w:val="center"/>
          </w:tcPr>
          <w:p w14:paraId="1A3A3F53">
            <w:pPr>
              <w:spacing w:line="440" w:lineRule="exact"/>
              <w:rPr>
                <w:rFonts w:ascii="宋体" w:hAnsi="宋体" w:cs="宋体"/>
                <w:szCs w:val="21"/>
                <w:highlight w:val="none"/>
              </w:rPr>
            </w:pPr>
            <w:r>
              <w:rPr>
                <w:rFonts w:hint="eastAsia" w:ascii="宋体" w:hAnsi="宋体" w:cs="宋体"/>
                <w:szCs w:val="21"/>
                <w:highlight w:val="none"/>
              </w:rPr>
              <w:t>投标有效期</w:t>
            </w:r>
          </w:p>
        </w:tc>
        <w:tc>
          <w:tcPr>
            <w:tcW w:w="5008" w:type="dxa"/>
            <w:noWrap/>
            <w:vAlign w:val="center"/>
          </w:tcPr>
          <w:p w14:paraId="4CC287BA">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3F30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14:paraId="2D8AC126">
            <w:pPr>
              <w:spacing w:line="440" w:lineRule="exact"/>
              <w:rPr>
                <w:rFonts w:ascii="宋体" w:hAnsi="宋体" w:cs="宋体"/>
                <w:szCs w:val="21"/>
                <w:highlight w:val="none"/>
              </w:rPr>
            </w:pPr>
          </w:p>
        </w:tc>
        <w:tc>
          <w:tcPr>
            <w:tcW w:w="1860" w:type="dxa"/>
            <w:gridSpan w:val="2"/>
            <w:vMerge w:val="continue"/>
            <w:noWrap/>
          </w:tcPr>
          <w:p w14:paraId="6058B882">
            <w:pPr>
              <w:spacing w:line="440" w:lineRule="exact"/>
              <w:rPr>
                <w:rFonts w:ascii="宋体" w:hAnsi="宋体" w:cs="宋体"/>
                <w:szCs w:val="21"/>
                <w:highlight w:val="none"/>
              </w:rPr>
            </w:pPr>
          </w:p>
        </w:tc>
        <w:tc>
          <w:tcPr>
            <w:tcW w:w="2158" w:type="dxa"/>
            <w:noWrap/>
            <w:vAlign w:val="center"/>
          </w:tcPr>
          <w:p w14:paraId="59243F41">
            <w:pPr>
              <w:spacing w:line="440" w:lineRule="exact"/>
              <w:rPr>
                <w:rFonts w:ascii="宋体" w:hAnsi="宋体" w:cs="宋体"/>
                <w:szCs w:val="21"/>
                <w:highlight w:val="none"/>
              </w:rPr>
            </w:pPr>
            <w:r>
              <w:rPr>
                <w:rFonts w:hint="eastAsia" w:ascii="宋体" w:hAnsi="宋体" w:cs="宋体"/>
                <w:szCs w:val="21"/>
                <w:highlight w:val="none"/>
              </w:rPr>
              <w:t>工程质量</w:t>
            </w:r>
          </w:p>
        </w:tc>
        <w:tc>
          <w:tcPr>
            <w:tcW w:w="5008" w:type="dxa"/>
            <w:noWrap/>
            <w:vAlign w:val="center"/>
          </w:tcPr>
          <w:p w14:paraId="6B69FB9B">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2F17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14:paraId="58017497">
            <w:pPr>
              <w:spacing w:line="440" w:lineRule="exact"/>
              <w:rPr>
                <w:rFonts w:ascii="宋体" w:hAnsi="宋体" w:cs="宋体"/>
                <w:szCs w:val="21"/>
                <w:highlight w:val="none"/>
              </w:rPr>
            </w:pPr>
          </w:p>
        </w:tc>
        <w:tc>
          <w:tcPr>
            <w:tcW w:w="1860" w:type="dxa"/>
            <w:gridSpan w:val="2"/>
            <w:vMerge w:val="continue"/>
            <w:noWrap/>
          </w:tcPr>
          <w:p w14:paraId="03CDB8FB">
            <w:pPr>
              <w:spacing w:line="440" w:lineRule="exact"/>
              <w:rPr>
                <w:rFonts w:ascii="宋体" w:hAnsi="宋体" w:cs="宋体"/>
                <w:szCs w:val="21"/>
                <w:highlight w:val="none"/>
              </w:rPr>
            </w:pPr>
          </w:p>
        </w:tc>
        <w:tc>
          <w:tcPr>
            <w:tcW w:w="2158" w:type="dxa"/>
            <w:noWrap/>
            <w:vAlign w:val="center"/>
          </w:tcPr>
          <w:p w14:paraId="68CD3BA7">
            <w:pPr>
              <w:spacing w:line="440" w:lineRule="exact"/>
              <w:rPr>
                <w:rFonts w:ascii="宋体" w:hAnsi="宋体" w:cs="宋体"/>
                <w:szCs w:val="21"/>
                <w:highlight w:val="none"/>
              </w:rPr>
            </w:pPr>
            <w:r>
              <w:rPr>
                <w:rFonts w:hint="eastAsia" w:ascii="宋体" w:hAnsi="宋体" w:cs="宋体"/>
                <w:szCs w:val="21"/>
                <w:highlight w:val="none"/>
              </w:rPr>
              <w:t>投标文件内容</w:t>
            </w:r>
          </w:p>
        </w:tc>
        <w:tc>
          <w:tcPr>
            <w:tcW w:w="5008" w:type="dxa"/>
            <w:noWrap/>
            <w:vAlign w:val="center"/>
          </w:tcPr>
          <w:p w14:paraId="7A7D463D">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1D93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7CC84D4C">
            <w:pPr>
              <w:spacing w:line="440" w:lineRule="exact"/>
              <w:rPr>
                <w:rFonts w:ascii="宋体" w:hAnsi="宋体" w:cs="宋体"/>
                <w:szCs w:val="21"/>
                <w:highlight w:val="none"/>
              </w:rPr>
            </w:pPr>
          </w:p>
        </w:tc>
        <w:tc>
          <w:tcPr>
            <w:tcW w:w="1860" w:type="dxa"/>
            <w:gridSpan w:val="2"/>
            <w:vMerge w:val="continue"/>
            <w:noWrap/>
          </w:tcPr>
          <w:p w14:paraId="6C3BBE5A">
            <w:pPr>
              <w:spacing w:line="440" w:lineRule="exact"/>
              <w:rPr>
                <w:rFonts w:ascii="宋体" w:hAnsi="宋体" w:cs="宋体"/>
                <w:szCs w:val="21"/>
                <w:highlight w:val="none"/>
              </w:rPr>
            </w:pPr>
          </w:p>
        </w:tc>
        <w:tc>
          <w:tcPr>
            <w:tcW w:w="2158" w:type="dxa"/>
            <w:noWrap/>
            <w:vAlign w:val="center"/>
          </w:tcPr>
          <w:p w14:paraId="7B8E7F30">
            <w:pPr>
              <w:spacing w:line="440" w:lineRule="exact"/>
              <w:rPr>
                <w:rFonts w:ascii="宋体" w:hAnsi="宋体" w:cs="宋体"/>
                <w:szCs w:val="21"/>
                <w:highlight w:val="none"/>
              </w:rPr>
            </w:pPr>
            <w:r>
              <w:rPr>
                <w:rFonts w:hint="eastAsia" w:ascii="宋体" w:hAnsi="宋体" w:cs="宋体"/>
                <w:szCs w:val="21"/>
                <w:highlight w:val="none"/>
              </w:rPr>
              <w:t>投标报价</w:t>
            </w:r>
          </w:p>
        </w:tc>
        <w:tc>
          <w:tcPr>
            <w:tcW w:w="5008" w:type="dxa"/>
            <w:noWrap/>
            <w:vAlign w:val="center"/>
          </w:tcPr>
          <w:p w14:paraId="2BF22B2C">
            <w:pPr>
              <w:spacing w:line="440" w:lineRule="exact"/>
              <w:rPr>
                <w:rFonts w:ascii="宋体" w:hAnsi="宋体" w:cs="宋体"/>
                <w:szCs w:val="21"/>
                <w:highlight w:val="none"/>
              </w:rPr>
            </w:pPr>
            <w:r>
              <w:rPr>
                <w:rFonts w:hint="eastAsia" w:ascii="宋体" w:hAnsi="宋体" w:cs="宋体"/>
                <w:szCs w:val="21"/>
                <w:highlight w:val="none"/>
              </w:rPr>
              <w:t>不高于最高限价</w:t>
            </w:r>
          </w:p>
        </w:tc>
      </w:tr>
      <w:tr w14:paraId="1CF6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14:paraId="7018FE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商务评分</w:t>
            </w:r>
          </w:p>
          <w:p w14:paraId="67AD6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bCs/>
                <w:color w:val="auto"/>
                <w:szCs w:val="21"/>
                <w:highlight w:val="none"/>
                <w:lang w:val="en-US"/>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分）</w:t>
            </w:r>
          </w:p>
        </w:tc>
        <w:tc>
          <w:tcPr>
            <w:tcW w:w="8111" w:type="dxa"/>
            <w:gridSpan w:val="3"/>
            <w:noWrap/>
            <w:vAlign w:val="center"/>
          </w:tcPr>
          <w:p w14:paraId="0ED839D6">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1.本项目最高限价为：</w:t>
            </w:r>
            <w:r>
              <w:rPr>
                <w:rFonts w:hint="eastAsia" w:ascii="宋体" w:hAnsi="宋体" w:cs="宋体"/>
                <w:b w:val="0"/>
                <w:bCs/>
                <w:color w:val="auto"/>
                <w:sz w:val="21"/>
                <w:szCs w:val="21"/>
                <w:highlight w:val="none"/>
                <w:lang w:val="en-US" w:eastAsia="zh-CN"/>
              </w:rPr>
              <w:t>250000.00</w:t>
            </w:r>
            <w:r>
              <w:rPr>
                <w:rFonts w:hint="eastAsia" w:ascii="宋体" w:hAnsi="宋体" w:eastAsia="宋体" w:cs="宋体"/>
                <w:b w:val="0"/>
                <w:bCs/>
                <w:color w:val="auto"/>
                <w:sz w:val="21"/>
                <w:szCs w:val="21"/>
                <w:highlight w:val="none"/>
                <w:lang w:val="en-US" w:eastAsia="zh-CN"/>
              </w:rPr>
              <w:t>元；投标单位投标报价不得高于招标人发布的最高限价，否则按无效标处理。</w:t>
            </w:r>
          </w:p>
          <w:p w14:paraId="1214DE4D">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2.评标基准价为B，B值为通过详细评审的所有有效投标人投标报价的算术平均值。</w:t>
            </w:r>
          </w:p>
          <w:p w14:paraId="3C222F91">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3.计算报价偏差率，偏差率=|（投标报价-评标基准价）/评标基准价|×100%</w:t>
            </w:r>
          </w:p>
          <w:p w14:paraId="25EA7D46">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计算报价得分</w:t>
            </w:r>
          </w:p>
          <w:p w14:paraId="34D45E34">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①投标报价等于评标基准价的得满分。</w:t>
            </w:r>
          </w:p>
          <w:p w14:paraId="2F2E5F94">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②投标报价高于评标基准价的，投标报价得分=报价满分值-偏差率×100×0.2</w:t>
            </w:r>
          </w:p>
          <w:p w14:paraId="7C1D08EF">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③投标报价低于评标基准价的，投标报价得分=报价满分值-偏差率×100×0.1</w:t>
            </w:r>
          </w:p>
          <w:p w14:paraId="03F4BDD2">
            <w:pPr>
              <w:jc w:val="left"/>
              <w:rPr>
                <w:color w:val="auto"/>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本项分值由评标委员会负责组织计算，计算过程中，评标基准价B值、偏差率、报价得分均保留两位小数，小数点后第三位四舍五入。</w:t>
            </w:r>
          </w:p>
        </w:tc>
      </w:tr>
    </w:tbl>
    <w:p w14:paraId="1ABFAED1">
      <w:pPr>
        <w:shd w:val="clear"/>
        <w:adjustRightInd w:val="0"/>
        <w:snapToGrid w:val="0"/>
        <w:spacing w:line="560" w:lineRule="exact"/>
        <w:ind w:firstLine="316" w:firstLineChars="150"/>
        <w:rPr>
          <w:rFonts w:hint="eastAsia" w:ascii="黑体" w:hAnsi="黑体" w:eastAsia="黑体" w:cs="黑体"/>
          <w:b/>
          <w:color w:val="auto"/>
          <w:szCs w:val="21"/>
          <w:highlight w:val="none"/>
        </w:rPr>
      </w:pPr>
      <w:bookmarkStart w:id="122" w:name="_Toc246996975"/>
      <w:bookmarkStart w:id="123" w:name="_Toc6491"/>
      <w:bookmarkStart w:id="124" w:name="_Toc506107324"/>
      <w:bookmarkStart w:id="125" w:name="_Toc78803381"/>
      <w:bookmarkStart w:id="126" w:name="_Toc15058913"/>
      <w:bookmarkStart w:id="127" w:name="_Toc179632607"/>
      <w:bookmarkStart w:id="128" w:name="_Toc152045589"/>
      <w:bookmarkStart w:id="129" w:name="_Toc35424947"/>
      <w:bookmarkStart w:id="130" w:name="_Toc35425113"/>
      <w:bookmarkStart w:id="131" w:name="_Toc144974556"/>
      <w:bookmarkStart w:id="132" w:name="_Toc247085747"/>
      <w:bookmarkStart w:id="133" w:name="_Toc324404872"/>
      <w:bookmarkStart w:id="134" w:name="_Toc246996232"/>
      <w:bookmarkStart w:id="135" w:name="_Toc152042366"/>
      <w:r>
        <w:rPr>
          <w:rFonts w:hint="eastAsia" w:ascii="黑体" w:hAnsi="黑体" w:eastAsia="黑体" w:cs="黑体"/>
          <w:b/>
          <w:color w:val="auto"/>
          <w:szCs w:val="21"/>
          <w:highlight w:val="none"/>
        </w:rPr>
        <w:t>商务标评审表注：</w:t>
      </w:r>
    </w:p>
    <w:p w14:paraId="7CFC35BA">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2"/>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、只有通过详细评审的投标人才能参加评分。</w:t>
      </w:r>
    </w:p>
    <w:p w14:paraId="723FCFE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、本表所称投标报价是指按招标文件规定修正后的投标</w:t>
      </w:r>
      <w:r>
        <w:rPr>
          <w:rFonts w:hint="eastAsia" w:ascii="宋体" w:hAnsi="宋体" w:cs="宋体"/>
          <w:color w:val="auto"/>
          <w:szCs w:val="21"/>
          <w:highlight w:val="none"/>
          <w:lang w:val="en-US" w:eastAsia="zh-CN"/>
        </w:rPr>
        <w:t>单</w:t>
      </w:r>
      <w:r>
        <w:rPr>
          <w:rFonts w:hint="eastAsia" w:ascii="宋体" w:hAnsi="宋体" w:cs="宋体"/>
          <w:color w:val="auto"/>
          <w:szCs w:val="21"/>
          <w:highlight w:val="none"/>
        </w:rPr>
        <w:t>价（多算投标报价、多报费用不扣减）。</w:t>
      </w:r>
    </w:p>
    <w:p w14:paraId="59E5148A">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72AB4E8">
      <w:pPr>
        <w:pageBreakBefore w:val="0"/>
        <w:widowControl w:val="0"/>
        <w:kinsoku/>
        <w:wordWrap/>
        <w:overflowPunct/>
        <w:topLinePunct w:val="0"/>
        <w:autoSpaceDE/>
        <w:autoSpaceDN/>
        <w:bidi w:val="0"/>
        <w:adjustRightInd/>
        <w:snapToGrid w:val="0"/>
        <w:spacing w:line="400" w:lineRule="exact"/>
        <w:ind w:right="252" w:rightChars="120" w:firstLine="420" w:firstLineChars="200"/>
        <w:jc w:val="left"/>
        <w:textAlignment w:val="auto"/>
        <w:rPr>
          <w:rFonts w:ascii="宋体" w:hAnsi="宋体" w:cs="宋体"/>
          <w:szCs w:val="21"/>
          <w:highlight w:val="none"/>
        </w:rPr>
      </w:pPr>
      <w:bookmarkStart w:id="136" w:name="_Toc324404873"/>
      <w:bookmarkStart w:id="137" w:name="_Toc152045590"/>
      <w:bookmarkStart w:id="138" w:name="_Toc246996976"/>
      <w:bookmarkStart w:id="139" w:name="_Toc152042367"/>
      <w:bookmarkStart w:id="140" w:name="_Toc179632608"/>
      <w:bookmarkStart w:id="141" w:name="_Toc246996233"/>
      <w:bookmarkStart w:id="142" w:name="_Toc144974557"/>
      <w:bookmarkStart w:id="143" w:name="_Toc247085748"/>
      <w:bookmarkStart w:id="144" w:name="_Toc296602478"/>
      <w:r>
        <w:rPr>
          <w:rFonts w:hint="eastAsia" w:ascii="宋体" w:hAnsi="宋体" w:cs="宋体"/>
          <w:szCs w:val="21"/>
          <w:highlight w:val="none"/>
        </w:rPr>
        <w:t>本次评标采用综合评估法。评标委员会对满足招标文件实质性要求的投标文件，按照本章规定的评分标准进行打分，并按总得分（</w:t>
      </w:r>
      <w:r>
        <w:rPr>
          <w:rFonts w:hint="eastAsia" w:ascii="宋体" w:hAnsi="宋体" w:cs="宋体"/>
          <w:szCs w:val="21"/>
          <w:highlight w:val="none"/>
          <w:lang w:val="en-US" w:eastAsia="zh-CN"/>
        </w:rPr>
        <w:t>资信分+</w:t>
      </w:r>
      <w:r>
        <w:rPr>
          <w:rFonts w:hint="eastAsia" w:ascii="宋体" w:hAnsi="宋体" w:cs="宋体"/>
          <w:szCs w:val="21"/>
          <w:highlight w:val="none"/>
        </w:rPr>
        <w:t>技术分+商务分）由高到低顺序推荐中标候选人</w:t>
      </w:r>
      <w:r>
        <w:rPr>
          <w:rFonts w:hint="eastAsia" w:ascii="宋体" w:hAnsi="宋体" w:cs="宋体"/>
          <w:szCs w:val="21"/>
          <w:highlight w:val="none"/>
          <w:lang w:val="en-US" w:eastAsia="zh-CN"/>
        </w:rPr>
        <w:t>3</w:t>
      </w:r>
      <w:r>
        <w:rPr>
          <w:rFonts w:hint="eastAsia" w:ascii="宋体" w:hAnsi="宋体" w:cs="宋体"/>
          <w:szCs w:val="21"/>
          <w:highlight w:val="none"/>
        </w:rPr>
        <w:t>名，并标明</w:t>
      </w:r>
      <w:r>
        <w:rPr>
          <w:rFonts w:hint="eastAsia" w:ascii="宋体" w:hAnsi="宋体" w:cs="宋体"/>
          <w:color w:val="auto"/>
          <w:szCs w:val="21"/>
          <w:highlight w:val="none"/>
        </w:rPr>
        <w:t>排序，但投标报价低于其成本的除外。总评分相等时，以投标报价低的优先；若投标报价也相等，由</w:t>
      </w:r>
      <w:r>
        <w:rPr>
          <w:rFonts w:hint="eastAsia" w:ascii="宋体" w:hAnsi="宋体" w:cs="宋体"/>
          <w:szCs w:val="21"/>
          <w:highlight w:val="none"/>
        </w:rPr>
        <w:t>招标人抽签确定。</w:t>
      </w:r>
    </w:p>
    <w:p w14:paraId="3F12DD3B">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45" w:name="_Toc35424948"/>
      <w:bookmarkStart w:id="146" w:name="_Toc506107325"/>
      <w:bookmarkStart w:id="147" w:name="_Toc11945"/>
      <w:bookmarkStart w:id="148" w:name="_Toc15058914"/>
      <w:bookmarkStart w:id="149" w:name="_Toc78803382"/>
      <w:bookmarkStart w:id="150" w:name="_Toc35425114"/>
      <w:r>
        <w:rPr>
          <w:rFonts w:hint="eastAsia" w:ascii="宋体" w:hAnsi="宋体" w:eastAsia="宋体" w:cs="宋体"/>
          <w:highlight w:val="none"/>
        </w:rPr>
        <w:t>2.评标委员会的职责</w:t>
      </w:r>
      <w:bookmarkEnd w:id="136"/>
      <w:bookmarkEnd w:id="145"/>
      <w:bookmarkEnd w:id="146"/>
      <w:bookmarkEnd w:id="147"/>
      <w:bookmarkEnd w:id="148"/>
      <w:bookmarkEnd w:id="149"/>
      <w:bookmarkEnd w:id="150"/>
    </w:p>
    <w:p w14:paraId="009BCFE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9C91FE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bookmarkStart w:id="151" w:name="_Toc78803383"/>
      <w:r>
        <w:rPr>
          <w:rFonts w:hint="eastAsia" w:ascii="宋体" w:hAnsi="宋体" w:cs="宋体"/>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bookmarkEnd w:id="151"/>
    </w:p>
    <w:p w14:paraId="2EE942C7">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52" w:name="_Toc17377"/>
      <w:bookmarkStart w:id="153" w:name="_Toc506107326"/>
      <w:bookmarkStart w:id="154" w:name="_Toc15058915"/>
      <w:bookmarkStart w:id="155" w:name="_Toc78803384"/>
      <w:bookmarkStart w:id="156" w:name="_Toc35424949"/>
      <w:bookmarkStart w:id="157" w:name="_Toc35425115"/>
      <w:bookmarkStart w:id="158" w:name="_Toc324404874"/>
      <w:r>
        <w:rPr>
          <w:rFonts w:hint="eastAsia" w:ascii="宋体" w:hAnsi="宋体" w:eastAsia="宋体" w:cs="宋体"/>
          <w:highlight w:val="none"/>
        </w:rPr>
        <w:t>3.评标程序</w:t>
      </w:r>
      <w:bookmarkEnd w:id="152"/>
      <w:bookmarkEnd w:id="153"/>
      <w:bookmarkEnd w:id="154"/>
      <w:bookmarkEnd w:id="155"/>
      <w:bookmarkEnd w:id="156"/>
      <w:bookmarkEnd w:id="157"/>
      <w:bookmarkEnd w:id="158"/>
    </w:p>
    <w:p w14:paraId="6091849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评标先做准备工作，先进行</w:t>
      </w:r>
      <w:r>
        <w:rPr>
          <w:rFonts w:hint="eastAsia" w:ascii="宋体" w:hAnsi="宋体" w:eastAsia="宋体" w:cs="宋体"/>
          <w:szCs w:val="21"/>
          <w:highlight w:val="none"/>
          <w:lang w:val="en-US" w:eastAsia="zh-CN"/>
        </w:rPr>
        <w:t>资格审查</w:t>
      </w:r>
      <w:r>
        <w:rPr>
          <w:rFonts w:hint="eastAsia" w:ascii="宋体" w:hAnsi="宋体" w:eastAsia="宋体" w:cs="宋体"/>
          <w:szCs w:val="21"/>
          <w:highlight w:val="none"/>
        </w:rPr>
        <w:t>，然后进行技术标评审，最后进行商务标评审。</w:t>
      </w:r>
    </w:p>
    <w:p w14:paraId="6E980930">
      <w:pPr>
        <w:pStyle w:val="7"/>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59" w:name="_Toc35424950"/>
      <w:bookmarkStart w:id="160" w:name="_Toc15058916"/>
      <w:bookmarkStart w:id="161" w:name="_Toc27389"/>
      <w:bookmarkStart w:id="162" w:name="_Toc35425116"/>
      <w:bookmarkStart w:id="163" w:name="_Toc78803385"/>
      <w:r>
        <w:rPr>
          <w:rFonts w:hint="eastAsia" w:ascii="宋体" w:hAnsi="宋体" w:eastAsia="宋体" w:cs="宋体"/>
          <w:highlight w:val="none"/>
        </w:rPr>
        <w:t>3.1评标准备工作</w:t>
      </w:r>
      <w:bookmarkEnd w:id="159"/>
      <w:bookmarkEnd w:id="160"/>
      <w:bookmarkEnd w:id="161"/>
      <w:bookmarkEnd w:id="162"/>
      <w:bookmarkEnd w:id="163"/>
    </w:p>
    <w:p w14:paraId="12DD11E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36FCFB9">
      <w:pPr>
        <w:pStyle w:val="7"/>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64" w:name="_Toc24650"/>
      <w:bookmarkStart w:id="165" w:name="_Toc35425117"/>
      <w:bookmarkStart w:id="166" w:name="_Toc35424951"/>
      <w:bookmarkStart w:id="167" w:name="_Toc15058917"/>
      <w:bookmarkStart w:id="168" w:name="_Toc78803386"/>
      <w:bookmarkStart w:id="169" w:name="_Toc1299"/>
      <w:bookmarkStart w:id="170" w:name="_Toc12200"/>
      <w:bookmarkStart w:id="171" w:name="_Toc506107327"/>
      <w:bookmarkStart w:id="172" w:name="_Toc35425120"/>
      <w:bookmarkStart w:id="173" w:name="_Toc324404875"/>
      <w:bookmarkStart w:id="174" w:name="_Toc35424954"/>
      <w:bookmarkStart w:id="175" w:name="_Toc15058919"/>
      <w:r>
        <w:rPr>
          <w:rFonts w:hint="eastAsia" w:ascii="宋体" w:hAnsi="宋体" w:eastAsia="宋体" w:cs="宋体"/>
          <w:highlight w:val="none"/>
        </w:rPr>
        <w:t>3.2</w:t>
      </w:r>
      <w:r>
        <w:rPr>
          <w:rFonts w:hint="eastAsia" w:ascii="宋体" w:hAnsi="宋体" w:eastAsia="宋体" w:cs="宋体"/>
          <w:highlight w:val="none"/>
          <w:lang w:val="en-US" w:eastAsia="zh-CN"/>
        </w:rPr>
        <w:t>资信</w:t>
      </w:r>
      <w:r>
        <w:rPr>
          <w:rFonts w:hint="eastAsia" w:ascii="宋体" w:hAnsi="宋体" w:eastAsia="宋体" w:cs="宋体"/>
          <w:highlight w:val="none"/>
        </w:rPr>
        <w:t>标评审</w:t>
      </w:r>
    </w:p>
    <w:p w14:paraId="10624BE7">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highlight w:val="none"/>
        </w:rPr>
      </w:pPr>
      <w:r>
        <w:rPr>
          <w:rFonts w:hint="eastAsia" w:ascii="宋体" w:hAnsi="宋体" w:cs="宋体"/>
          <w:szCs w:val="21"/>
          <w:highlight w:val="none"/>
        </w:rPr>
        <w:t>详见</w:t>
      </w:r>
      <w:r>
        <w:rPr>
          <w:rFonts w:hint="eastAsia" w:ascii="宋体" w:hAnsi="宋体" w:cs="宋体"/>
          <w:szCs w:val="21"/>
          <w:highlight w:val="none"/>
          <w:lang w:val="en-US" w:eastAsia="zh-CN"/>
        </w:rPr>
        <w:t>资信</w:t>
      </w:r>
      <w:r>
        <w:rPr>
          <w:rFonts w:hint="eastAsia" w:ascii="宋体" w:hAnsi="宋体" w:cs="宋体"/>
          <w:szCs w:val="21"/>
          <w:highlight w:val="none"/>
        </w:rPr>
        <w:t>标评审表。</w:t>
      </w:r>
    </w:p>
    <w:p w14:paraId="13E391E0">
      <w:pPr>
        <w:pStyle w:val="7"/>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3</w:t>
      </w:r>
      <w:r>
        <w:rPr>
          <w:rFonts w:hint="eastAsia" w:ascii="宋体" w:hAnsi="宋体" w:eastAsia="宋体" w:cs="宋体"/>
          <w:highlight w:val="none"/>
        </w:rPr>
        <w:t>技术标评审</w:t>
      </w:r>
      <w:bookmarkEnd w:id="164"/>
      <w:bookmarkEnd w:id="165"/>
      <w:bookmarkEnd w:id="166"/>
      <w:bookmarkEnd w:id="167"/>
      <w:bookmarkEnd w:id="168"/>
      <w:bookmarkEnd w:id="169"/>
    </w:p>
    <w:p w14:paraId="755D589C">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详见技术标评审表。</w:t>
      </w:r>
    </w:p>
    <w:p w14:paraId="3DC15C5A">
      <w:pPr>
        <w:pStyle w:val="7"/>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76" w:name="_Toc78803387"/>
      <w:bookmarkStart w:id="177" w:name="_Toc15058918"/>
      <w:bookmarkStart w:id="178" w:name="_Toc35424952"/>
      <w:bookmarkStart w:id="179" w:name="_Toc11990"/>
      <w:bookmarkStart w:id="180" w:name="_Toc35425118"/>
      <w:bookmarkStart w:id="181" w:name="_Toc17468"/>
      <w:r>
        <w:rPr>
          <w:rFonts w:hint="eastAsia" w:ascii="宋体" w:hAnsi="宋体" w:eastAsia="宋体" w:cs="宋体"/>
          <w:highlight w:val="none"/>
        </w:rPr>
        <w:t>3.</w:t>
      </w:r>
      <w:r>
        <w:rPr>
          <w:rFonts w:hint="eastAsia" w:ascii="宋体" w:hAnsi="宋体" w:eastAsia="宋体" w:cs="宋体"/>
          <w:highlight w:val="none"/>
          <w:lang w:val="en-US" w:eastAsia="zh-CN"/>
        </w:rPr>
        <w:t>4</w:t>
      </w:r>
      <w:r>
        <w:rPr>
          <w:rFonts w:hint="eastAsia" w:ascii="宋体" w:hAnsi="宋体" w:eastAsia="宋体" w:cs="宋体"/>
          <w:highlight w:val="none"/>
        </w:rPr>
        <w:t>商务标评审</w:t>
      </w:r>
      <w:bookmarkEnd w:id="176"/>
      <w:bookmarkEnd w:id="177"/>
      <w:bookmarkEnd w:id="178"/>
      <w:bookmarkEnd w:id="179"/>
      <w:bookmarkEnd w:id="180"/>
      <w:bookmarkEnd w:id="181"/>
    </w:p>
    <w:p w14:paraId="39D20E5D">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详见商务标评审表。</w:t>
      </w:r>
    </w:p>
    <w:p w14:paraId="56AFC15C">
      <w:pPr>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cs="宋体"/>
          <w:color w:val="auto"/>
          <w:szCs w:val="21"/>
          <w:highlight w:val="none"/>
        </w:rPr>
      </w:pPr>
      <w:bookmarkStart w:id="182" w:name="_Toc26895"/>
      <w:bookmarkStart w:id="183" w:name="_Toc35425119"/>
      <w:bookmarkStart w:id="184" w:name="_Toc78803388"/>
      <w:bookmarkStart w:id="185" w:name="_Toc18087"/>
      <w:bookmarkStart w:id="186" w:name="_Toc35424953"/>
      <w:r>
        <w:rPr>
          <w:rStyle w:val="198"/>
          <w:rFonts w:hint="eastAsia" w:ascii="宋体" w:hAnsi="宋体" w:eastAsia="宋体" w:cs="宋体"/>
          <w:highlight w:val="none"/>
        </w:rPr>
        <w:t>3.</w:t>
      </w:r>
      <w:r>
        <w:rPr>
          <w:rStyle w:val="198"/>
          <w:rFonts w:hint="eastAsia" w:ascii="宋体" w:hAnsi="宋体" w:cs="宋体"/>
          <w:highlight w:val="none"/>
          <w:lang w:val="en-US"/>
        </w:rPr>
        <w:t>5</w:t>
      </w:r>
      <w:r>
        <w:rPr>
          <w:rStyle w:val="198"/>
          <w:rFonts w:hint="eastAsia" w:ascii="宋体" w:hAnsi="宋体" w:eastAsia="宋体" w:cs="宋体"/>
          <w:highlight w:val="none"/>
        </w:rPr>
        <w:t>推荐中标候选人</w:t>
      </w:r>
      <w:bookmarkEnd w:id="182"/>
      <w:bookmarkEnd w:id="183"/>
      <w:bookmarkEnd w:id="184"/>
      <w:bookmarkEnd w:id="185"/>
      <w:bookmarkEnd w:id="186"/>
      <w:r>
        <w:rPr>
          <w:rFonts w:hint="eastAsia" w:ascii="宋体" w:hAnsi="宋体" w:cs="宋体"/>
          <w:b/>
          <w:bCs/>
          <w:highlight w:val="none"/>
        </w:rPr>
        <w:t>：</w:t>
      </w:r>
      <w:r>
        <w:rPr>
          <w:rFonts w:hint="eastAsia" w:ascii="宋体" w:hAnsi="宋体" w:cs="宋体"/>
          <w:highlight w:val="none"/>
        </w:rPr>
        <w:t>资</w:t>
      </w:r>
      <w:r>
        <w:rPr>
          <w:rFonts w:hint="eastAsia" w:ascii="宋体" w:hAnsi="宋体" w:cs="宋体"/>
          <w:highlight w:val="none"/>
          <w:lang w:val="en-US" w:eastAsia="zh-CN"/>
        </w:rPr>
        <w:t>格审查</w:t>
      </w:r>
      <w:r>
        <w:rPr>
          <w:rFonts w:hint="eastAsia" w:ascii="宋体" w:hAnsi="宋体" w:cs="宋体"/>
          <w:highlight w:val="none"/>
        </w:rPr>
        <w:t>、技术标评审、商务标</w:t>
      </w:r>
      <w:r>
        <w:rPr>
          <w:rFonts w:hint="eastAsia" w:ascii="宋体" w:hAnsi="宋体" w:cs="宋体"/>
          <w:color w:val="auto"/>
          <w:highlight w:val="none"/>
        </w:rPr>
        <w:t>评审后，推荐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3113A55A">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87" w:name="_Toc78803389"/>
      <w:r>
        <w:rPr>
          <w:rFonts w:hint="eastAsia" w:ascii="宋体" w:hAnsi="宋体" w:eastAsia="宋体" w:cs="宋体"/>
          <w:highlight w:val="none"/>
        </w:rPr>
        <w:t>4.评审内容</w:t>
      </w:r>
      <w:bookmarkEnd w:id="170"/>
      <w:bookmarkEnd w:id="171"/>
      <w:bookmarkEnd w:id="172"/>
      <w:bookmarkEnd w:id="173"/>
      <w:bookmarkEnd w:id="174"/>
      <w:bookmarkEnd w:id="175"/>
      <w:bookmarkEnd w:id="187"/>
    </w:p>
    <w:p w14:paraId="0F1392E9">
      <w:pPr>
        <w:pStyle w:val="7"/>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88" w:name="_Toc78803390"/>
      <w:bookmarkStart w:id="189" w:name="_Toc9630"/>
      <w:r>
        <w:rPr>
          <w:rFonts w:hint="eastAsia" w:ascii="宋体" w:hAnsi="宋体" w:eastAsia="宋体" w:cs="宋体"/>
          <w:highlight w:val="none"/>
        </w:rPr>
        <w:t>4.1</w:t>
      </w:r>
      <w:bookmarkEnd w:id="188"/>
      <w:bookmarkEnd w:id="189"/>
      <w:bookmarkStart w:id="190" w:name="_Toc3531"/>
      <w:bookmarkStart w:id="191" w:name="_Toc35425122"/>
      <w:bookmarkStart w:id="192" w:name="_Toc35424956"/>
      <w:bookmarkStart w:id="193" w:name="_Toc78803391"/>
      <w:bookmarkStart w:id="194" w:name="_Toc15058921"/>
      <w:bookmarkStart w:id="195" w:name="_Toc324404876"/>
      <w:r>
        <w:rPr>
          <w:rFonts w:hint="eastAsia" w:ascii="宋体" w:hAnsi="宋体" w:eastAsia="宋体" w:cs="宋体"/>
          <w:highlight w:val="none"/>
        </w:rPr>
        <w:t>商务标评审</w:t>
      </w:r>
      <w:bookmarkEnd w:id="190"/>
      <w:bookmarkEnd w:id="191"/>
      <w:bookmarkEnd w:id="192"/>
      <w:bookmarkEnd w:id="193"/>
      <w:bookmarkEnd w:id="194"/>
    </w:p>
    <w:p w14:paraId="79EFB73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只有通过技术标评审的投标才能够进入本阶段评审。</w:t>
      </w:r>
    </w:p>
    <w:p w14:paraId="7908D5C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4.1.1形式性评审标准：见商务标评审表。</w:t>
      </w:r>
    </w:p>
    <w:p w14:paraId="5FDB81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4.1.2响应性评审标准：见商务标评审表。</w:t>
      </w:r>
    </w:p>
    <w:p w14:paraId="5104F40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评标委员会依据上述标准对投标文件进行初步评审。有一项不符合评审标准的，作无效投标处理。</w:t>
      </w:r>
    </w:p>
    <w:p w14:paraId="5FFAD8B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4.1.3投标报价评审</w:t>
      </w:r>
    </w:p>
    <w:p w14:paraId="43D228E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914B09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4.1.4评标委员会审查投标文件，投标报价有错误的，评标委员会按以下原则对投标报价进行修正。</w:t>
      </w:r>
    </w:p>
    <w:p w14:paraId="263D918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（1）投标文件中的大写金额与小写金额不一致的，以大写金额为准。</w:t>
      </w:r>
    </w:p>
    <w:p w14:paraId="62D11E9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highlight w:val="none"/>
        </w:rPr>
        <w:t>（2）总价金额与依据单价计算出的结果不一致的，以单价金额为准修正总价，但单价金额小数点有明显错误的除外。</w:t>
      </w:r>
    </w:p>
    <w:p w14:paraId="5839829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96" w:name="_Toc78803392"/>
      <w:bookmarkStart w:id="197" w:name="_Toc506107328"/>
      <w:bookmarkStart w:id="198" w:name="_Toc15058922"/>
      <w:bookmarkStart w:id="199" w:name="_Toc35425123"/>
      <w:bookmarkStart w:id="200" w:name="_Toc35424957"/>
      <w:bookmarkStart w:id="201" w:name="_Toc13125"/>
      <w:r>
        <w:rPr>
          <w:rFonts w:hint="eastAsia" w:ascii="宋体" w:hAnsi="宋体" w:eastAsia="宋体" w:cs="宋体"/>
          <w:highlight w:val="none"/>
        </w:rPr>
        <w:t>5.无效投标条款</w:t>
      </w:r>
      <w:bookmarkEnd w:id="195"/>
      <w:bookmarkEnd w:id="196"/>
      <w:bookmarkEnd w:id="197"/>
      <w:bookmarkEnd w:id="198"/>
      <w:bookmarkEnd w:id="199"/>
      <w:bookmarkEnd w:id="200"/>
      <w:bookmarkEnd w:id="201"/>
    </w:p>
    <w:p w14:paraId="0DF5C34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1</w:t>
      </w:r>
      <w:r>
        <w:rPr>
          <w:rFonts w:hint="eastAsia" w:ascii="宋体" w:hAnsi="宋体" w:cs="宋体"/>
          <w:szCs w:val="21"/>
          <w:highlight w:val="none"/>
        </w:rPr>
        <w:t>由资格审查委员会（评标委员会）按资格审查办法前附表要求对投标人审查资料的第二章《资格审查办法》进行核验。投标申请人有下列情形之一的，其资格审查为不合格：</w:t>
      </w:r>
    </w:p>
    <w:p w14:paraId="528FDC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（1）未上传电子标书或电子标书经审查不合格；</w:t>
      </w:r>
    </w:p>
    <w:p w14:paraId="18F3565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）法律、法规规定的其他情形。</w:t>
      </w:r>
    </w:p>
    <w:p w14:paraId="0343ABA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投标人有下列情形的，经评审后其投标作无效投标处理无效投标：</w:t>
      </w:r>
    </w:p>
    <w:p w14:paraId="2F946A1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.1商标评审</w:t>
      </w:r>
    </w:p>
    <w:p w14:paraId="5AF5194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(1)评标委员会依据《商务标评审表》进行形式性评审和响应性评审。有一项不符合评审标准的，做无效投标处理；</w:t>
      </w:r>
    </w:p>
    <w:p w14:paraId="5172AA9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（2）商务标详细评审标准中有任何一项不能通过评审的，作无效投标处理。</w:t>
      </w:r>
    </w:p>
    <w:p w14:paraId="57BB8B8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3</w:t>
      </w:r>
      <w:r>
        <w:rPr>
          <w:rFonts w:hint="eastAsia" w:ascii="宋体" w:hAnsi="宋体" w:cs="宋体"/>
          <w:szCs w:val="21"/>
          <w:highlight w:val="none"/>
        </w:rPr>
        <w:t>其他无效投标情况：</w:t>
      </w:r>
    </w:p>
    <w:p w14:paraId="78EF0F0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ED44CD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（2）按第三章《评标方法》4.2.4条款修正错误的原则及方法调整或修正投标文件的投标报价，调整或修正的价格经投标人书面确认后具有约束力。投标人不接修正价格的，其投标将被拒绝。</w:t>
      </w:r>
    </w:p>
    <w:p w14:paraId="6F0CAC9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）投标人有串通投标、弄虚作假、行贿等违法行为。</w:t>
      </w:r>
    </w:p>
    <w:p w14:paraId="125E949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）投标文件没有对招标文件的实质性要求和条件作出响应。</w:t>
      </w:r>
    </w:p>
    <w:p w14:paraId="0FC2026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）未按规定的格式填写导致实质性内容不全以及实质上不响应，或者关键字迹模糊、无法辨认。</w:t>
      </w:r>
    </w:p>
    <w:p w14:paraId="1099022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）同一投标人提交两个以上不同的投标文件或者投标报价，但招标文件规定提交备选投标的除外。</w:t>
      </w:r>
    </w:p>
    <w:p w14:paraId="0C71CF4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）投标文件中存在招标人不能接受的其他实质性条件。</w:t>
      </w:r>
    </w:p>
    <w:p w14:paraId="641BCD2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）投标文件中填报的拟任项目负责人与资格审查通过的项目负责人前后不一致的。</w:t>
      </w:r>
    </w:p>
    <w:p w14:paraId="6FD5979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）投标人拒不按照要求对投标文件进行澄清、说明、补正的，或评标委员会根据招标文件的规定对招标文件的计算错误进行修正后，投标人不接受修正的投标报价的。</w:t>
      </w:r>
    </w:p>
    <w:p w14:paraId="62290F1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）投标人单方面出现其他投标人材料。</w:t>
      </w:r>
    </w:p>
    <w:p w14:paraId="7E65EDB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）法律、法规规定的其他情形。</w:t>
      </w:r>
    </w:p>
    <w:p w14:paraId="6C2FB7F4">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02" w:name="_Toc78803393"/>
      <w:bookmarkStart w:id="203" w:name="_Toc27846"/>
      <w:bookmarkStart w:id="204" w:name="_Toc324404877"/>
      <w:bookmarkStart w:id="205" w:name="_Toc15058923"/>
      <w:bookmarkStart w:id="206" w:name="_Toc35424958"/>
      <w:bookmarkStart w:id="207" w:name="_Toc35425124"/>
      <w:bookmarkStart w:id="208" w:name="_Toc506107329"/>
      <w:r>
        <w:rPr>
          <w:rFonts w:hint="eastAsia" w:ascii="宋体" w:hAnsi="宋体" w:eastAsia="宋体" w:cs="宋体"/>
          <w:highlight w:val="none"/>
        </w:rPr>
        <w:t>6.投标文件的澄清和补正</w:t>
      </w:r>
      <w:bookmarkEnd w:id="202"/>
      <w:bookmarkEnd w:id="203"/>
      <w:bookmarkEnd w:id="204"/>
      <w:bookmarkEnd w:id="205"/>
      <w:bookmarkEnd w:id="206"/>
      <w:bookmarkEnd w:id="207"/>
      <w:bookmarkEnd w:id="208"/>
    </w:p>
    <w:p w14:paraId="2F477AC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681AC39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6.2澄清、说明和补正不得改变投标文件的实质性内容（算术性错误修正的除外）。投标人的书面澄清、说明和补正属于投标文件的组成部分。</w:t>
      </w:r>
    </w:p>
    <w:p w14:paraId="2FE1D5D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6.3评标委员会对投标人提交的澄清、说明和补正有疑问的，可以要求投标人进一步澄清、说明或补正、直至满足评标委员会的要求。</w:t>
      </w:r>
    </w:p>
    <w:p w14:paraId="149643F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按照投标文件规定进行澄清、补正后的投标报价经投标人的法定代表人或其委托代理人确认后即为该投标人的最终投标报价。投标人一旦中标，此报价即为中标价。</w:t>
      </w:r>
    </w:p>
    <w:p w14:paraId="4D82B21A">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09" w:name="_Toc506107330"/>
      <w:bookmarkStart w:id="210" w:name="_Toc35425125"/>
      <w:bookmarkStart w:id="211" w:name="_Toc78803394"/>
      <w:bookmarkStart w:id="212" w:name="_Toc13990"/>
      <w:bookmarkStart w:id="213" w:name="_Toc15058924"/>
      <w:bookmarkStart w:id="214" w:name="_Toc35424959"/>
      <w:bookmarkStart w:id="215" w:name="_Toc324404878"/>
      <w:r>
        <w:rPr>
          <w:rFonts w:hint="eastAsia" w:ascii="宋体" w:hAnsi="宋体" w:eastAsia="宋体" w:cs="宋体"/>
          <w:highlight w:val="none"/>
        </w:rPr>
        <w:t>7.评分标准</w:t>
      </w:r>
      <w:bookmarkEnd w:id="209"/>
      <w:bookmarkEnd w:id="210"/>
      <w:bookmarkEnd w:id="211"/>
      <w:bookmarkEnd w:id="212"/>
      <w:bookmarkEnd w:id="213"/>
      <w:bookmarkEnd w:id="214"/>
      <w:bookmarkEnd w:id="215"/>
    </w:p>
    <w:p w14:paraId="7936729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szCs w:val="21"/>
          <w:highlight w:val="none"/>
        </w:rPr>
      </w:pPr>
      <w:bookmarkStart w:id="216" w:name="_Toc506107331"/>
      <w:bookmarkStart w:id="217" w:name="_Toc15058925"/>
      <w:bookmarkStart w:id="218" w:name="_Toc35425126"/>
      <w:bookmarkStart w:id="219" w:name="_Toc324404879"/>
      <w:bookmarkStart w:id="220" w:name="_Toc22863"/>
      <w:bookmarkStart w:id="221" w:name="_Toc35424960"/>
      <w:bookmarkStart w:id="222" w:name="_Toc78803395"/>
      <w:r>
        <w:rPr>
          <w:rFonts w:hint="eastAsia" w:ascii="宋体" w:hAnsi="宋体" w:cs="宋体"/>
          <w:szCs w:val="21"/>
          <w:highlight w:val="none"/>
          <w:lang w:val="en-US" w:eastAsia="zh-CN"/>
        </w:rPr>
        <w:t>资信</w:t>
      </w:r>
      <w:r>
        <w:rPr>
          <w:rFonts w:hint="eastAsia" w:ascii="宋体" w:hAnsi="宋体" w:cs="宋体"/>
          <w:szCs w:val="21"/>
          <w:highlight w:val="none"/>
        </w:rPr>
        <w:t>标评分标准：见</w:t>
      </w:r>
      <w:r>
        <w:rPr>
          <w:rFonts w:hint="eastAsia" w:ascii="宋体" w:hAnsi="宋体" w:cs="宋体"/>
          <w:szCs w:val="21"/>
          <w:highlight w:val="none"/>
          <w:lang w:val="en-US" w:eastAsia="zh-CN"/>
        </w:rPr>
        <w:t>资信</w:t>
      </w:r>
      <w:r>
        <w:rPr>
          <w:rFonts w:hint="eastAsia" w:ascii="宋体" w:hAnsi="宋体" w:cs="宋体"/>
          <w:szCs w:val="21"/>
          <w:highlight w:val="none"/>
        </w:rPr>
        <w:t>标评审表。</w:t>
      </w:r>
    </w:p>
    <w:p w14:paraId="55C79CD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技术标评分标准：见技术标评审表。</w:t>
      </w:r>
    </w:p>
    <w:p w14:paraId="22DFDD5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商务标评分标准：见商务标评审表。</w:t>
      </w:r>
    </w:p>
    <w:p w14:paraId="26B2972C">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8.评审结果</w:t>
      </w:r>
      <w:bookmarkEnd w:id="216"/>
      <w:bookmarkEnd w:id="217"/>
      <w:bookmarkEnd w:id="218"/>
      <w:bookmarkEnd w:id="219"/>
      <w:bookmarkEnd w:id="220"/>
      <w:bookmarkEnd w:id="221"/>
      <w:bookmarkEnd w:id="222"/>
    </w:p>
    <w:p w14:paraId="6C92BA2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8.1除投标人须知前附表授权直接确定中标人外，评标委员会按照总得分由高到低顺序推荐中标候选人。</w:t>
      </w:r>
    </w:p>
    <w:p w14:paraId="538B5B0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8.2评标委员会完成评标后，应当向招标人提交书面评标报告。评标报告应当如实记载以下内容：</w:t>
      </w:r>
    </w:p>
    <w:p w14:paraId="32C6C45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（1）基本情况和数据表。</w:t>
      </w:r>
    </w:p>
    <w:p w14:paraId="420D2A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（2）评标委员会成员名单。</w:t>
      </w:r>
    </w:p>
    <w:p w14:paraId="02179E2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（3）开标记录。</w:t>
      </w:r>
    </w:p>
    <w:p w14:paraId="11B25BD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（4）符合要求的投标人一览表。</w:t>
      </w:r>
    </w:p>
    <w:p w14:paraId="43A3025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（5）废标情况说明。</w:t>
      </w:r>
    </w:p>
    <w:p w14:paraId="424F00F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（6）评标标准、评标方法或者评标因素。</w:t>
      </w:r>
    </w:p>
    <w:p w14:paraId="2FCC2BB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（7）经评审的价格一览表。</w:t>
      </w:r>
    </w:p>
    <w:p w14:paraId="2E69437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（8）经评审的投标人排序。</w:t>
      </w:r>
    </w:p>
    <w:p w14:paraId="3FF8F21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（9）推荐的中标候选人名单与签订合同前要处理的事宜。</w:t>
      </w:r>
    </w:p>
    <w:p w14:paraId="1CB6501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4179719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8.3评标委员会推荐的中标候选人应当限定在</w:t>
      </w:r>
      <w:r>
        <w:rPr>
          <w:rFonts w:hint="eastAsia" w:ascii="宋体" w:hAnsi="宋体" w:cs="宋体"/>
          <w:color w:val="auto"/>
          <w:szCs w:val="21"/>
          <w:highlight w:val="none"/>
          <w:u w:val="single"/>
          <w:lang w:val="en-US" w:eastAsia="zh-CN"/>
        </w:rPr>
        <w:t xml:space="preserve">3 </w:t>
      </w:r>
      <w:r>
        <w:rPr>
          <w:rFonts w:hint="eastAsia" w:ascii="宋体" w:hAnsi="宋体" w:cs="宋体"/>
          <w:color w:val="auto"/>
          <w:szCs w:val="21"/>
          <w:highlight w:val="none"/>
        </w:rPr>
        <w:t>名。</w:t>
      </w:r>
    </w:p>
    <w:p w14:paraId="6FC4896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8.4依法必须进行招标的项目，招标人应当确定排名第一的中标候选人为中标人。第一中标候选人放弃中标、因不可抗力提出不能履行合同，不按招标文件要求提交履约保证金，或者被查实存在影响中标结果的违法行为等情形，不符合中标条件的，投标保证金不予退还，招标人可以按照评标委员会提出的中标候选人名单排序依次确定其他中标候选人为中标人，也可以依法重新组织招标。</w:t>
      </w:r>
    </w:p>
    <w:p w14:paraId="1EF70C6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E1A994F">
      <w:pPr>
        <w:pStyle w:val="7"/>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23" w:name="_Toc15058926"/>
      <w:bookmarkStart w:id="224" w:name="_Toc324404880"/>
      <w:bookmarkStart w:id="225" w:name="_Toc78803396"/>
      <w:bookmarkStart w:id="226" w:name="_Toc1576"/>
      <w:bookmarkStart w:id="227" w:name="_Toc35425127"/>
      <w:bookmarkStart w:id="228" w:name="_Toc35424961"/>
      <w:bookmarkStart w:id="229" w:name="_Toc506107332"/>
      <w:r>
        <w:rPr>
          <w:rFonts w:hint="eastAsia" w:ascii="宋体" w:hAnsi="宋体" w:eastAsia="宋体" w:cs="宋体"/>
          <w:highlight w:val="none"/>
        </w:rPr>
        <w:t>9.其他</w:t>
      </w:r>
      <w:bookmarkEnd w:id="223"/>
      <w:bookmarkEnd w:id="224"/>
      <w:bookmarkEnd w:id="225"/>
      <w:bookmarkEnd w:id="226"/>
      <w:bookmarkEnd w:id="227"/>
      <w:bookmarkEnd w:id="228"/>
      <w:bookmarkEnd w:id="229"/>
    </w:p>
    <w:p w14:paraId="51C03621">
      <w:pPr>
        <w:pageBreakBefore w:val="0"/>
        <w:widowControl w:val="0"/>
        <w:kinsoku/>
        <w:wordWrap/>
        <w:overflowPunct/>
        <w:topLinePunct w:val="0"/>
        <w:autoSpaceDE/>
        <w:autoSpaceDN/>
        <w:bidi w:val="0"/>
        <w:adjustRightInd/>
        <w:spacing w:line="400" w:lineRule="exact"/>
        <w:ind w:firstLine="420" w:firstLineChars="200"/>
        <w:jc w:val="left"/>
        <w:textAlignment w:val="auto"/>
        <w:rPr>
          <w:highlight w:val="none"/>
        </w:rPr>
      </w:pPr>
      <w:r>
        <w:rPr>
          <w:rFonts w:hint="eastAsia" w:ascii="宋体" w:hAnsi="宋体" w:cs="宋体"/>
          <w:szCs w:val="21"/>
          <w:highlight w:val="none"/>
        </w:rPr>
        <w:t>投标人提供的与投标文件有关的各类证书、证明、文件、资料等的真实性、合法性由投标人负全责。</w:t>
      </w:r>
      <w:bookmarkEnd w:id="137"/>
      <w:bookmarkEnd w:id="138"/>
      <w:bookmarkEnd w:id="139"/>
      <w:bookmarkEnd w:id="140"/>
      <w:bookmarkEnd w:id="141"/>
      <w:bookmarkEnd w:id="142"/>
      <w:bookmarkEnd w:id="143"/>
      <w:bookmarkEnd w:id="144"/>
      <w:bookmarkStart w:id="230" w:name="_Toc152042387"/>
      <w:bookmarkStart w:id="231" w:name="_Toc417623601"/>
      <w:bookmarkStart w:id="232" w:name="_Toc247085767"/>
      <w:bookmarkStart w:id="233" w:name="_Toc179632627"/>
      <w:bookmarkStart w:id="234" w:name="_Toc246996252"/>
      <w:bookmarkStart w:id="235" w:name="_Toc152045609"/>
      <w:bookmarkStart w:id="236" w:name="_Toc324404881"/>
      <w:bookmarkStart w:id="237" w:name="_Toc246996995"/>
      <w:bookmarkStart w:id="238" w:name="_Toc144974577"/>
    </w:p>
    <w:bookmarkEnd w:id="230"/>
    <w:bookmarkEnd w:id="231"/>
    <w:bookmarkEnd w:id="232"/>
    <w:bookmarkEnd w:id="233"/>
    <w:bookmarkEnd w:id="234"/>
    <w:bookmarkEnd w:id="235"/>
    <w:bookmarkEnd w:id="236"/>
    <w:bookmarkEnd w:id="237"/>
    <w:bookmarkEnd w:id="238"/>
    <w:p w14:paraId="01EE8AAD">
      <w:pPr>
        <w:rPr>
          <w:highlight w:val="none"/>
        </w:rPr>
      </w:pPr>
      <w:bookmarkStart w:id="239" w:name="_Toc152045767"/>
      <w:bookmarkStart w:id="240" w:name="_Toc144974826"/>
      <w:bookmarkStart w:id="241" w:name="_Toc35425128"/>
      <w:bookmarkStart w:id="242" w:name="_Toc179632785"/>
      <w:bookmarkStart w:id="243" w:name="_Toc35424962"/>
      <w:bookmarkStart w:id="244" w:name="_Toc152042546"/>
      <w:bookmarkStart w:id="245" w:name="_Toc15058927"/>
      <w:bookmarkStart w:id="246" w:name="_Toc506107333"/>
    </w:p>
    <w:p w14:paraId="65923B12">
      <w:pPr>
        <w:rPr>
          <w:rFonts w:hint="eastAsia"/>
        </w:rPr>
      </w:pPr>
      <w:r>
        <w:rPr>
          <w:rFonts w:hint="eastAsia"/>
          <w:highlight w:val="none"/>
        </w:rPr>
        <w:br w:type="page"/>
      </w:r>
      <w:bookmarkStart w:id="247" w:name="_Toc78803397"/>
    </w:p>
    <w:bookmarkEnd w:id="239"/>
    <w:bookmarkEnd w:id="240"/>
    <w:bookmarkEnd w:id="241"/>
    <w:bookmarkEnd w:id="242"/>
    <w:bookmarkEnd w:id="243"/>
    <w:bookmarkEnd w:id="244"/>
    <w:bookmarkEnd w:id="245"/>
    <w:bookmarkEnd w:id="246"/>
    <w:bookmarkEnd w:id="247"/>
    <w:p w14:paraId="46A319BF">
      <w:pPr>
        <w:pStyle w:val="44"/>
        <w:spacing w:beforeLines="50" w:afterLines="50" w:line="440" w:lineRule="exact"/>
        <w:rPr>
          <w:rFonts w:hint="eastAsia" w:eastAsia="宋体" w:cs="Times New Roman"/>
          <w:bCs/>
          <w:szCs w:val="32"/>
          <w:highlight w:val="none"/>
          <w:lang w:val="en-US" w:eastAsia="zh-CN"/>
        </w:rPr>
      </w:pPr>
      <w:bookmarkStart w:id="248" w:name="_Toc506107340"/>
      <w:bookmarkStart w:id="249" w:name="_Toc179632806"/>
      <w:bookmarkStart w:id="250" w:name="_Toc35425136"/>
      <w:bookmarkStart w:id="251" w:name="_Toc247085872"/>
      <w:bookmarkStart w:id="252" w:name="_Toc152042575"/>
      <w:bookmarkStart w:id="253" w:name="_Toc246997097"/>
      <w:bookmarkStart w:id="254" w:name="_Toc78803398"/>
      <w:bookmarkStart w:id="255" w:name="_Toc15058934"/>
      <w:bookmarkStart w:id="256" w:name="_Toc324404888"/>
      <w:bookmarkStart w:id="257" w:name="_Toc152045786"/>
      <w:bookmarkStart w:id="258" w:name="_Toc246996354"/>
      <w:bookmarkStart w:id="259" w:name="_Toc144974855"/>
      <w:bookmarkStart w:id="260" w:name="_Toc35424970"/>
      <w:r>
        <w:rPr>
          <w:rFonts w:hint="eastAsia" w:eastAsia="宋体" w:cs="Times New Roman"/>
          <w:bCs/>
          <w:szCs w:val="32"/>
          <w:highlight w:val="none"/>
        </w:rPr>
        <w:t>第</w:t>
      </w:r>
      <w:r>
        <w:rPr>
          <w:rFonts w:hint="eastAsia" w:eastAsia="宋体" w:cs="Times New Roman"/>
          <w:bCs/>
          <w:szCs w:val="32"/>
          <w:highlight w:val="none"/>
          <w:lang w:val="en-US" w:eastAsia="zh-CN"/>
        </w:rPr>
        <w:t>五</w:t>
      </w:r>
      <w:r>
        <w:rPr>
          <w:rFonts w:hint="eastAsia" w:eastAsia="宋体" w:cs="Times New Roman"/>
          <w:bCs/>
          <w:szCs w:val="32"/>
          <w:highlight w:val="none"/>
        </w:rPr>
        <w:t xml:space="preserve">章 </w:t>
      </w:r>
      <w:r>
        <w:rPr>
          <w:rFonts w:hint="eastAsia" w:cs="Times New Roman"/>
          <w:bCs/>
          <w:szCs w:val="32"/>
          <w:highlight w:val="none"/>
          <w:lang w:val="en-US" w:eastAsia="zh-CN"/>
        </w:rPr>
        <w:t>采购需求</w:t>
      </w:r>
    </w:p>
    <w:p w14:paraId="04F7BF0B">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2" w:firstLineChars="200"/>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一、</w:t>
      </w:r>
      <w:r>
        <w:rPr>
          <w:rFonts w:hint="eastAsia" w:ascii="宋体" w:hAnsi="宋体" w:cs="宋体"/>
          <w:b/>
          <w:sz w:val="21"/>
          <w:szCs w:val="21"/>
          <w:highlight w:val="none"/>
          <w:lang w:val="en-US" w:eastAsia="zh-CN"/>
        </w:rPr>
        <w:t>采购需求及要求</w:t>
      </w:r>
    </w:p>
    <w:p w14:paraId="078DE2B0">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r>
        <w:rPr>
          <w:rFonts w:hint="eastAsia" w:ascii="宋体" w:hAnsi="宋体" w:eastAsia="宋体" w:cs="宋体"/>
          <w:color w:val="000000"/>
          <w:szCs w:val="21"/>
          <w:highlight w:val="none"/>
          <w:lang w:val="en-US" w:eastAsia="zh-CN"/>
        </w:rPr>
        <w:t>根据琅琊山站、高铁站、政务中心站的装饰装修及附属升级改造设计，增加了一些站内外的用电设施。具体如下：</w:t>
      </w:r>
    </w:p>
    <w:p w14:paraId="7B532597">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drawing>
          <wp:anchor distT="0" distB="0" distL="114300" distR="114300" simplePos="0" relativeHeight="251659264" behindDoc="0" locked="0" layoutInCell="1" allowOverlap="1">
            <wp:simplePos x="0" y="0"/>
            <wp:positionH relativeFrom="column">
              <wp:posOffset>925830</wp:posOffset>
            </wp:positionH>
            <wp:positionV relativeFrom="paragraph">
              <wp:posOffset>173990</wp:posOffset>
            </wp:positionV>
            <wp:extent cx="3905250" cy="1457325"/>
            <wp:effectExtent l="0" t="0" r="0" b="9525"/>
            <wp:wrapTopAndBottom/>
            <wp:docPr id="1" name="图片 1" descr="91db2a5882778266f5ee1b63baecd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db2a5882778266f5ee1b63baecd397"/>
                    <pic:cNvPicPr>
                      <a:picLocks noChangeAspect="1"/>
                    </pic:cNvPicPr>
                  </pic:nvPicPr>
                  <pic:blipFill>
                    <a:blip r:embed="rId11"/>
                    <a:stretch>
                      <a:fillRect/>
                    </a:stretch>
                  </pic:blipFill>
                  <pic:spPr>
                    <a:xfrm>
                      <a:off x="0" y="0"/>
                      <a:ext cx="3905250" cy="1457325"/>
                    </a:xfrm>
                    <a:prstGeom prst="rect">
                      <a:avLst/>
                    </a:prstGeom>
                  </pic:spPr>
                </pic:pic>
              </a:graphicData>
            </a:graphic>
          </wp:anchor>
        </w:drawing>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lang w:val="en-US" w:eastAsia="zh-CN"/>
        </w:rPr>
        <w:t>电源及配电箱配置参数，具体如下：</w:t>
      </w:r>
    </w:p>
    <w:p w14:paraId="1A40DAA1">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市政府站：站台A端400v抽屉柜-站台A端配电间-站厅A端强电间（安装配电箱、电缆长度100M）-站厅-1号口（1号回路LED/2号回路室外充电桩、总功率34KW）——采用WDZB1-YJY-5X16电缆供电，进线开关80A。</w:t>
      </w:r>
    </w:p>
    <w:p w14:paraId="0A97E16A">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琅琊山站：站厅A端400v抽屉柜-站厅A端配电间（安装配电箱、电缆长度150M）-站厅3号口通道旁（1号回路文创墙）-3号口通道（2号回路投影）-3号口楼梯上方（3号回路LED）-3号口室外（4号回路出站口装饰灯/5号回路充电桩/6号回路商铺用电、总功率50KW）——采用WDZB1-YJY-4X70+1X35电缆供电，进线开关125A。</w:t>
      </w:r>
    </w:p>
    <w:p w14:paraId="574EC5BB">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高铁站：400v-配电间（安装配电箱、电缆长度300M）-站厅（1号回路商铺用电）-站厅室外（2号回路LED、总功率70KW）——采用WDZB1-YJY-4X95+1X50电缆供电，进线开关160A。</w:t>
      </w:r>
    </w:p>
    <w:p w14:paraId="508BDF4F">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3.中标单位进场后需根据招标人提供的初步方案制定施工方案，方案经招标人审核同意后实施。</w:t>
      </w:r>
    </w:p>
    <w:p w14:paraId="064316EA">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二</w:t>
      </w:r>
      <w:r>
        <w:rPr>
          <w:rFonts w:hint="eastAsia" w:ascii="宋体" w:hAnsi="宋体" w:eastAsia="宋体" w:cs="宋体"/>
          <w:b/>
          <w:sz w:val="21"/>
          <w:szCs w:val="21"/>
          <w:highlight w:val="none"/>
          <w:lang w:val="en-US" w:eastAsia="zh-CN"/>
        </w:rPr>
        <w:t>、</w:t>
      </w:r>
      <w:r>
        <w:rPr>
          <w:rFonts w:hint="eastAsia" w:ascii="宋体" w:hAnsi="宋体" w:cs="宋体"/>
          <w:b/>
          <w:sz w:val="21"/>
          <w:szCs w:val="21"/>
          <w:highlight w:val="none"/>
          <w:lang w:val="en-US" w:eastAsia="zh-CN"/>
        </w:rPr>
        <w:t>报价要求</w:t>
      </w:r>
      <w:bookmarkStart w:id="273" w:name="_GoBack"/>
      <w:bookmarkEnd w:id="273"/>
    </w:p>
    <w:p w14:paraId="408E5D6F">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投标人应根据工程量清单</w:t>
      </w:r>
      <w:r>
        <w:rPr>
          <w:rFonts w:hint="eastAsia" w:ascii="宋体" w:hAnsi="宋体" w:cs="宋体"/>
          <w:color w:val="000000"/>
          <w:szCs w:val="21"/>
          <w:highlight w:val="none"/>
          <w:lang w:val="en-US" w:eastAsia="zh-CN"/>
        </w:rPr>
        <w:t>（详见附件）格式进行</w:t>
      </w:r>
      <w:r>
        <w:rPr>
          <w:rFonts w:hint="eastAsia" w:ascii="宋体" w:hAnsi="宋体" w:eastAsia="宋体" w:cs="宋体"/>
          <w:color w:val="000000"/>
          <w:szCs w:val="21"/>
          <w:highlight w:val="none"/>
          <w:lang w:val="en-US" w:eastAsia="zh-CN"/>
        </w:rPr>
        <w:t>分项报价。工程量清单应包含</w:t>
      </w:r>
      <w:r>
        <w:rPr>
          <w:rFonts w:hint="eastAsia" w:ascii="宋体" w:hAnsi="宋体" w:cs="宋体"/>
          <w:color w:val="000000"/>
          <w:szCs w:val="21"/>
          <w:highlight w:val="none"/>
          <w:lang w:val="en-US" w:eastAsia="zh-CN"/>
        </w:rPr>
        <w:t>施工</w:t>
      </w:r>
      <w:r>
        <w:rPr>
          <w:rFonts w:hint="eastAsia" w:ascii="宋体" w:hAnsi="宋体" w:eastAsia="宋体" w:cs="宋体"/>
          <w:color w:val="000000"/>
          <w:szCs w:val="21"/>
          <w:highlight w:val="none"/>
          <w:lang w:val="en-US" w:eastAsia="zh-CN"/>
        </w:rPr>
        <w:t>、材料、设备采购、安装调试及质保期内服务等全部内容；清单单价为全费用综合单价。</w:t>
      </w:r>
    </w:p>
    <w:p w14:paraId="445FB6DA">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000000"/>
          <w:szCs w:val="21"/>
          <w:highlight w:val="none"/>
          <w:lang w:val="en-US" w:eastAsia="zh-CN"/>
        </w:rPr>
      </w:pPr>
    </w:p>
    <w:p w14:paraId="4233ACF1">
      <w:pPr>
        <w:rPr>
          <w:rFonts w:hint="eastAsia"/>
          <w:bCs/>
          <w:szCs w:val="32"/>
          <w:highlight w:val="none"/>
        </w:rPr>
      </w:pPr>
    </w:p>
    <w:p w14:paraId="48288666">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3389CEF0">
      <w:pPr>
        <w:jc w:val="cente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1986CF0B">
      <w:pPr>
        <w:spacing w:line="360" w:lineRule="auto"/>
        <w:jc w:val="center"/>
        <w:rPr>
          <w:rFonts w:hint="eastAsia" w:ascii="Times New Roman" w:hAnsi="Times New Roman" w:eastAsia="微软雅黑" w:cs="Times New Roman"/>
          <w:b/>
          <w:bCs/>
          <w:color w:val="000000" w:themeColor="text1"/>
          <w:sz w:val="44"/>
          <w:szCs w:val="44"/>
          <w:lang w:eastAsia="zh-CN"/>
          <w14:textFill>
            <w14:solidFill>
              <w14:schemeClr w14:val="tx1"/>
            </w14:solidFill>
          </w14:textFill>
        </w:rPr>
      </w:pPr>
    </w:p>
    <w:p w14:paraId="00B887B0">
      <w:pPr>
        <w:spacing w:line="360" w:lineRule="auto"/>
        <w:jc w:val="center"/>
        <w:rPr>
          <w:rFonts w:ascii="Times New Roman" w:hAnsi="Times New Roman" w:eastAsia="微软雅黑" w:cs="Times New Roman"/>
          <w:b/>
          <w:bCs/>
          <w:color w:val="000000" w:themeColor="text1"/>
          <w:sz w:val="44"/>
          <w:szCs w:val="44"/>
          <w14:textFill>
            <w14:solidFill>
              <w14:schemeClr w14:val="tx1"/>
            </w14:solidFill>
          </w14:textFill>
        </w:rPr>
      </w:pPr>
      <w:r>
        <w:rPr>
          <w:rFonts w:hint="eastAsia" w:eastAsia="微软雅黑" w:cs="Times New Roman"/>
          <w:b/>
          <w:bCs/>
          <w:color w:val="000000" w:themeColor="text1"/>
          <w:sz w:val="44"/>
          <w:szCs w:val="44"/>
          <w:lang w:eastAsia="zh-CN"/>
          <w14:textFill>
            <w14:solidFill>
              <w14:schemeClr w14:val="tx1"/>
            </w14:solidFill>
          </w14:textFill>
        </w:rPr>
        <w:t>滁州至南京城际铁路（滁州段）二期工程高铁站、琅琊山站装饰装修及附属升级改造三标段项目</w:t>
      </w:r>
      <w:r>
        <w:rPr>
          <w:rFonts w:ascii="Times New Roman" w:hAnsi="Times New Roman" w:eastAsia="微软雅黑" w:cs="Times New Roman"/>
          <w:b/>
          <w:bCs/>
          <w:color w:val="000000" w:themeColor="text1"/>
          <w:sz w:val="44"/>
          <w:szCs w:val="44"/>
          <w14:textFill>
            <w14:solidFill>
              <w14:schemeClr w14:val="tx1"/>
            </w14:solidFill>
          </w14:textFill>
        </w:rPr>
        <w:t>合同</w:t>
      </w:r>
    </w:p>
    <w:p w14:paraId="5608024F">
      <w:pPr>
        <w:spacing w:line="360" w:lineRule="auto"/>
        <w:rPr>
          <w:rFonts w:ascii="Times New Roman" w:hAnsi="Times New Roman"/>
          <w:color w:val="000000" w:themeColor="text1"/>
          <w:sz w:val="32"/>
          <w:szCs w:val="32"/>
          <w14:textFill>
            <w14:solidFill>
              <w14:schemeClr w14:val="tx1"/>
            </w14:solidFill>
          </w14:textFill>
        </w:rPr>
      </w:pPr>
    </w:p>
    <w:p w14:paraId="5CECB9EC">
      <w:pPr>
        <w:spacing w:line="360" w:lineRule="auto"/>
        <w:rPr>
          <w:rFonts w:hint="eastAsia" w:ascii="宋体" w:hAnsi="宋体" w:eastAsia="宋体" w:cs="宋体"/>
          <w:color w:val="000000" w:themeColor="text1"/>
          <w:sz w:val="21"/>
          <w:szCs w:val="21"/>
          <w14:textFill>
            <w14:solidFill>
              <w14:schemeClr w14:val="tx1"/>
            </w14:solidFill>
          </w14:textFill>
        </w:rPr>
      </w:pPr>
    </w:p>
    <w:p w14:paraId="0A312FF1">
      <w:pPr>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合同编号：</w:t>
      </w:r>
    </w:p>
    <w:p w14:paraId="2EE8AB6F">
      <w:pPr>
        <w:spacing w:line="360" w:lineRule="auto"/>
        <w:jc w:val="center"/>
        <w:rPr>
          <w:rFonts w:hint="eastAsia" w:ascii="宋体" w:hAnsi="宋体" w:eastAsia="宋体" w:cs="宋体"/>
          <w:b/>
          <w:bCs/>
          <w:color w:val="000000" w:themeColor="text1"/>
          <w:sz w:val="21"/>
          <w:szCs w:val="21"/>
          <w14:textFill>
            <w14:solidFill>
              <w14:schemeClr w14:val="tx1"/>
            </w14:solidFill>
          </w14:textFill>
        </w:rPr>
      </w:pPr>
    </w:p>
    <w:p w14:paraId="53C636B6">
      <w:pPr>
        <w:rPr>
          <w:rFonts w:hint="eastAsia" w:ascii="宋体" w:hAnsi="宋体" w:eastAsia="宋体" w:cs="宋体"/>
          <w:color w:val="000000" w:themeColor="text1"/>
          <w:sz w:val="21"/>
          <w:szCs w:val="21"/>
          <w14:textFill>
            <w14:solidFill>
              <w14:schemeClr w14:val="tx1"/>
            </w14:solidFill>
          </w14:textFill>
        </w:rPr>
      </w:pPr>
    </w:p>
    <w:p w14:paraId="188BD0FD">
      <w:pPr>
        <w:rPr>
          <w:rFonts w:hint="eastAsia" w:ascii="宋体" w:hAnsi="宋体" w:eastAsia="宋体" w:cs="宋体"/>
          <w:color w:val="000000" w:themeColor="text1"/>
          <w:sz w:val="21"/>
          <w:szCs w:val="21"/>
          <w14:textFill>
            <w14:solidFill>
              <w14:schemeClr w14:val="tx1"/>
            </w14:solidFill>
          </w14:textFill>
        </w:rPr>
      </w:pPr>
    </w:p>
    <w:p w14:paraId="1B88EA96">
      <w:pPr>
        <w:rPr>
          <w:rFonts w:hint="eastAsia" w:ascii="宋体" w:hAnsi="宋体" w:eastAsia="宋体" w:cs="宋体"/>
          <w:color w:val="000000" w:themeColor="text1"/>
          <w:sz w:val="21"/>
          <w:szCs w:val="21"/>
          <w14:textFill>
            <w14:solidFill>
              <w14:schemeClr w14:val="tx1"/>
            </w14:solidFill>
          </w14:textFill>
        </w:rPr>
      </w:pPr>
    </w:p>
    <w:p w14:paraId="3F5368E1">
      <w:pPr>
        <w:pStyle w:val="7"/>
        <w:rPr>
          <w:rFonts w:hint="eastAsia" w:ascii="宋体" w:hAnsi="宋体" w:eastAsia="宋体" w:cs="宋体"/>
          <w:color w:val="000000" w:themeColor="text1"/>
          <w:sz w:val="21"/>
          <w:szCs w:val="21"/>
          <w14:textFill>
            <w14:solidFill>
              <w14:schemeClr w14:val="tx1"/>
            </w14:solidFill>
          </w14:textFill>
        </w:rPr>
      </w:pPr>
    </w:p>
    <w:p w14:paraId="1B6934B1">
      <w:pPr>
        <w:rPr>
          <w:rFonts w:hint="eastAsia" w:ascii="宋体" w:hAnsi="宋体" w:eastAsia="宋体" w:cs="宋体"/>
          <w:color w:val="000000" w:themeColor="text1"/>
          <w:sz w:val="21"/>
          <w:szCs w:val="21"/>
          <w14:textFill>
            <w14:solidFill>
              <w14:schemeClr w14:val="tx1"/>
            </w14:solidFill>
          </w14:textFill>
        </w:rPr>
      </w:pPr>
    </w:p>
    <w:p w14:paraId="58CAA80B">
      <w:pPr>
        <w:pStyle w:val="7"/>
        <w:rPr>
          <w:rFonts w:hint="eastAsia" w:ascii="宋体" w:hAnsi="宋体" w:eastAsia="宋体" w:cs="宋体"/>
          <w:color w:val="000000" w:themeColor="text1"/>
          <w:sz w:val="21"/>
          <w:szCs w:val="21"/>
          <w14:textFill>
            <w14:solidFill>
              <w14:schemeClr w14:val="tx1"/>
            </w14:solidFill>
          </w14:textFill>
        </w:rPr>
      </w:pPr>
    </w:p>
    <w:p w14:paraId="00F36ACC">
      <w:pPr>
        <w:rPr>
          <w:rFonts w:hint="eastAsia" w:ascii="宋体" w:hAnsi="宋体" w:eastAsia="宋体" w:cs="宋体"/>
          <w:color w:val="000000" w:themeColor="text1"/>
          <w:sz w:val="21"/>
          <w:szCs w:val="21"/>
          <w14:textFill>
            <w14:solidFill>
              <w14:schemeClr w14:val="tx1"/>
            </w14:solidFill>
          </w14:textFill>
        </w:rPr>
      </w:pPr>
    </w:p>
    <w:p w14:paraId="48C80488">
      <w:pPr>
        <w:rPr>
          <w:rFonts w:hint="eastAsia" w:ascii="宋体" w:hAnsi="宋体" w:eastAsia="宋体" w:cs="宋体"/>
          <w:color w:val="000000" w:themeColor="text1"/>
          <w:sz w:val="21"/>
          <w:szCs w:val="21"/>
          <w14:textFill>
            <w14:solidFill>
              <w14:schemeClr w14:val="tx1"/>
            </w14:solidFill>
          </w14:textFill>
        </w:rPr>
      </w:pPr>
    </w:p>
    <w:p w14:paraId="02FBAB6D">
      <w:pPr>
        <w:rPr>
          <w:rFonts w:hint="eastAsia" w:ascii="宋体" w:hAnsi="宋体" w:eastAsia="宋体" w:cs="宋体"/>
          <w:color w:val="000000" w:themeColor="text1"/>
          <w:sz w:val="21"/>
          <w:szCs w:val="21"/>
          <w14:textFill>
            <w14:solidFill>
              <w14:schemeClr w14:val="tx1"/>
            </w14:solidFill>
          </w14:textFill>
        </w:rPr>
      </w:pPr>
    </w:p>
    <w:p w14:paraId="186A2F9F">
      <w:pPr>
        <w:rPr>
          <w:rFonts w:hint="eastAsia" w:ascii="宋体" w:hAnsi="宋体" w:eastAsia="宋体" w:cs="宋体"/>
          <w:color w:val="000000" w:themeColor="text1"/>
          <w:sz w:val="21"/>
          <w:szCs w:val="21"/>
          <w14:textFill>
            <w14:solidFill>
              <w14:schemeClr w14:val="tx1"/>
            </w14:solidFill>
          </w14:textFill>
        </w:rPr>
      </w:pPr>
    </w:p>
    <w:p w14:paraId="11308ED5">
      <w:pPr>
        <w:rPr>
          <w:rFonts w:hint="eastAsia" w:ascii="宋体" w:hAnsi="宋体" w:eastAsia="宋体" w:cs="宋体"/>
          <w:color w:val="000000" w:themeColor="text1"/>
          <w:sz w:val="21"/>
          <w:szCs w:val="21"/>
          <w14:textFill>
            <w14:solidFill>
              <w14:schemeClr w14:val="tx1"/>
            </w14:solidFill>
          </w14:textFill>
        </w:rPr>
      </w:pPr>
    </w:p>
    <w:p w14:paraId="45DAB94D">
      <w:pPr>
        <w:rPr>
          <w:rFonts w:hint="eastAsia" w:ascii="宋体" w:hAnsi="宋体" w:eastAsia="宋体" w:cs="宋体"/>
          <w:color w:val="000000" w:themeColor="text1"/>
          <w:sz w:val="21"/>
          <w:szCs w:val="21"/>
          <w14:textFill>
            <w14:solidFill>
              <w14:schemeClr w14:val="tx1"/>
            </w14:solidFill>
          </w14:textFill>
        </w:rPr>
      </w:pPr>
    </w:p>
    <w:p w14:paraId="5725CD8C">
      <w:pPr>
        <w:rPr>
          <w:rFonts w:hint="eastAsia" w:ascii="宋体" w:hAnsi="宋体" w:eastAsia="宋体" w:cs="宋体"/>
          <w:color w:val="000000" w:themeColor="text1"/>
          <w:sz w:val="21"/>
          <w:szCs w:val="21"/>
          <w14:textFill>
            <w14:solidFill>
              <w14:schemeClr w14:val="tx1"/>
            </w14:solidFill>
          </w14:textFill>
        </w:rPr>
      </w:pPr>
    </w:p>
    <w:p w14:paraId="7BED9A09">
      <w:pPr>
        <w:pStyle w:val="7"/>
        <w:rPr>
          <w:rFonts w:hint="eastAsia"/>
        </w:rPr>
      </w:pPr>
    </w:p>
    <w:p w14:paraId="091E82D9">
      <w:pPr>
        <w:rPr>
          <w:rFonts w:hint="eastAsia" w:ascii="宋体" w:hAnsi="宋体" w:eastAsia="宋体" w:cs="宋体"/>
          <w:color w:val="000000" w:themeColor="text1"/>
          <w:sz w:val="21"/>
          <w:szCs w:val="21"/>
          <w14:textFill>
            <w14:solidFill>
              <w14:schemeClr w14:val="tx1"/>
            </w14:solidFill>
          </w14:textFill>
        </w:rPr>
      </w:pPr>
    </w:p>
    <w:p w14:paraId="505E3589">
      <w:pPr>
        <w:rPr>
          <w:rFonts w:hint="eastAsia" w:ascii="宋体" w:hAnsi="宋体" w:eastAsia="宋体" w:cs="宋体"/>
          <w:color w:val="000000" w:themeColor="text1"/>
          <w:sz w:val="21"/>
          <w:szCs w:val="21"/>
          <w14:textFill>
            <w14:solidFill>
              <w14:schemeClr w14:val="tx1"/>
            </w14:solidFill>
          </w14:textFill>
        </w:rPr>
      </w:pPr>
    </w:p>
    <w:p w14:paraId="716DC9A8">
      <w:pPr>
        <w:rPr>
          <w:rFonts w:hint="eastAsia" w:ascii="宋体" w:hAnsi="宋体" w:eastAsia="宋体" w:cs="宋体"/>
          <w:color w:val="000000" w:themeColor="text1"/>
          <w:sz w:val="21"/>
          <w:szCs w:val="21"/>
          <w14:textFill>
            <w14:solidFill>
              <w14:schemeClr w14:val="tx1"/>
            </w14:solidFill>
          </w14:textFill>
        </w:rPr>
      </w:pPr>
    </w:p>
    <w:p w14:paraId="1E5B900F">
      <w:pPr>
        <w:ind w:firstLine="630" w:firstLineChars="3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p>
    <w:p w14:paraId="241AFB5A">
      <w:pPr>
        <w:jc w:val="center"/>
        <w:rPr>
          <w:rFonts w:hint="eastAsia" w:ascii="宋体" w:hAnsi="宋体" w:eastAsia="宋体" w:cs="宋体"/>
          <w:color w:val="000000" w:themeColor="text1"/>
          <w:sz w:val="21"/>
          <w:szCs w:val="21"/>
          <w14:textFill>
            <w14:solidFill>
              <w14:schemeClr w14:val="tx1"/>
            </w14:solidFill>
          </w14:textFill>
        </w:rPr>
      </w:pPr>
    </w:p>
    <w:p w14:paraId="03288366">
      <w:pPr>
        <w:ind w:firstLine="630" w:firstLineChars="3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p>
    <w:p w14:paraId="748D1A00">
      <w:pPr>
        <w:rPr>
          <w:rFonts w:hint="eastAsia" w:ascii="宋体" w:hAnsi="宋体" w:eastAsia="宋体" w:cs="宋体"/>
          <w:color w:val="000000" w:themeColor="text1"/>
          <w:sz w:val="21"/>
          <w:szCs w:val="21"/>
          <w14:textFill>
            <w14:solidFill>
              <w14:schemeClr w14:val="tx1"/>
            </w14:solidFill>
          </w14:textFill>
        </w:rPr>
      </w:pPr>
    </w:p>
    <w:p w14:paraId="6F34CC7F">
      <w:pPr>
        <w:ind w:firstLine="630" w:firstLineChars="3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签订时间：</w:t>
      </w:r>
      <w:r>
        <w:rPr>
          <w:rFonts w:hint="eastAsia" w:ascii="宋体" w:hAnsi="宋体" w:eastAsia="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年   月</w:t>
      </w:r>
      <w:r>
        <w:rPr>
          <w:rFonts w:hint="eastAsia" w:ascii="宋体" w:hAnsi="宋体" w:eastAsia="宋体" w:cs="宋体"/>
          <w:color w:val="000000" w:themeColor="text1"/>
          <w:sz w:val="21"/>
          <w:szCs w:val="21"/>
          <w:lang w:val="en-US" w:eastAsia="zh-CN"/>
          <w14:textFill>
            <w14:solidFill>
              <w14:schemeClr w14:val="tx1"/>
            </w14:solidFill>
          </w14:textFill>
        </w:rPr>
        <w:t xml:space="preserve">   日</w:t>
      </w:r>
    </w:p>
    <w:p w14:paraId="1752A8E7">
      <w:pPr>
        <w:jc w:val="center"/>
        <w:rPr>
          <w:rFonts w:hint="eastAsia" w:ascii="宋体" w:hAnsi="宋体" w:eastAsia="宋体" w:cs="宋体"/>
          <w:color w:val="000000" w:themeColor="text1"/>
          <w:sz w:val="21"/>
          <w:szCs w:val="21"/>
          <w14:textFill>
            <w14:solidFill>
              <w14:schemeClr w14:val="tx1"/>
            </w14:solidFill>
          </w14:textFill>
        </w:rPr>
      </w:pPr>
    </w:p>
    <w:p w14:paraId="0FFB63B9">
      <w:pPr>
        <w:rPr>
          <w:rStyle w:val="215"/>
          <w:rFonts w:hint="eastAsia" w:ascii="宋体" w:hAnsi="宋体" w:eastAsia="宋体" w:cs="宋体"/>
          <w:color w:val="000000" w:themeColor="text1"/>
          <w:sz w:val="21"/>
          <w:szCs w:val="21"/>
          <w14:textFill>
            <w14:solidFill>
              <w14:schemeClr w14:val="tx1"/>
            </w14:solidFill>
          </w14:textFill>
        </w:rPr>
      </w:pPr>
      <w:r>
        <w:rPr>
          <w:rStyle w:val="215"/>
          <w:rFonts w:hint="eastAsia" w:ascii="宋体" w:hAnsi="宋体" w:eastAsia="宋体" w:cs="宋体"/>
          <w:color w:val="000000" w:themeColor="text1"/>
          <w:sz w:val="21"/>
          <w:szCs w:val="21"/>
          <w14:textFill>
            <w14:solidFill>
              <w14:schemeClr w14:val="tx1"/>
            </w14:solidFill>
          </w14:textFill>
        </w:rPr>
        <w:br w:type="page"/>
      </w:r>
    </w:p>
    <w:p w14:paraId="0624D0EF">
      <w:pPr>
        <w:spacing w:line="360" w:lineRule="auto"/>
        <w:rPr>
          <w:rStyle w:val="215"/>
          <w:rFonts w:hint="eastAsia" w:ascii="宋体" w:hAnsi="宋体" w:eastAsia="宋体" w:cs="宋体"/>
          <w:color w:val="000000" w:themeColor="text1"/>
          <w:sz w:val="21"/>
          <w:szCs w:val="21"/>
          <w:u w:val="single"/>
          <w:lang w:eastAsia="zh-CN"/>
          <w14:textFill>
            <w14:solidFill>
              <w14:schemeClr w14:val="tx1"/>
            </w14:solidFill>
          </w14:textFill>
        </w:rPr>
      </w:pPr>
      <w:r>
        <w:rPr>
          <w:rStyle w:val="215"/>
          <w:rFonts w:hint="eastAsia" w:ascii="宋体" w:hAnsi="宋体" w:eastAsia="宋体" w:cs="宋体"/>
          <w:color w:val="000000" w:themeColor="text1"/>
          <w:sz w:val="21"/>
          <w:szCs w:val="21"/>
          <w14:textFill>
            <w14:solidFill>
              <w14:schemeClr w14:val="tx1"/>
            </w14:solidFill>
          </w14:textFill>
        </w:rPr>
        <w:t>甲方（全称）</w:t>
      </w:r>
      <w:r>
        <w:rPr>
          <w:rStyle w:val="215"/>
          <w:rFonts w:hint="eastAsia" w:ascii="宋体" w:hAnsi="宋体" w:eastAsia="宋体" w:cs="宋体"/>
          <w:color w:val="000000" w:themeColor="text1"/>
          <w:sz w:val="21"/>
          <w:szCs w:val="21"/>
          <w:lang w:eastAsia="zh-CN"/>
          <w14:textFill>
            <w14:solidFill>
              <w14:schemeClr w14:val="tx1"/>
            </w14:solidFill>
          </w14:textFill>
        </w:rPr>
        <w:t>：</w:t>
      </w:r>
    </w:p>
    <w:p w14:paraId="081DB18F">
      <w:pPr>
        <w:spacing w:line="360" w:lineRule="auto"/>
        <w:rPr>
          <w:rFonts w:hint="eastAsia" w:ascii="宋体" w:hAnsi="宋体" w:eastAsia="宋体" w:cs="宋体"/>
          <w:b/>
          <w:color w:val="000000" w:themeColor="text1"/>
          <w:sz w:val="21"/>
          <w:szCs w:val="21"/>
          <w:u w:val="single"/>
          <w14:textFill>
            <w14:solidFill>
              <w14:schemeClr w14:val="tx1"/>
            </w14:solidFill>
          </w14:textFill>
        </w:rPr>
      </w:pPr>
      <w:r>
        <w:rPr>
          <w:rStyle w:val="215"/>
          <w:rFonts w:hint="eastAsia" w:ascii="宋体" w:hAnsi="宋体" w:eastAsia="宋体" w:cs="宋体"/>
          <w:color w:val="000000" w:themeColor="text1"/>
          <w:sz w:val="21"/>
          <w:szCs w:val="21"/>
          <w14:textFill>
            <w14:solidFill>
              <w14:schemeClr w14:val="tx1"/>
            </w14:solidFill>
          </w14:textFill>
        </w:rPr>
        <w:t>乙方（全称）：</w:t>
      </w:r>
    </w:p>
    <w:p w14:paraId="7C4E1674">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滁州市滁宁城际铁路开发建设有限公司</w:t>
      </w:r>
      <w:r>
        <w:rPr>
          <w:rFonts w:hint="eastAsia" w:ascii="宋体" w:hAnsi="宋体" w:eastAsia="宋体" w:cs="宋体"/>
          <w:color w:val="000000" w:themeColor="text1"/>
          <w:sz w:val="21"/>
          <w:szCs w:val="21"/>
          <w14:textFill>
            <w14:solidFill>
              <w14:schemeClr w14:val="tx1"/>
            </w14:solidFill>
          </w14:textFill>
        </w:rPr>
        <w:t>（以下简称“甲方”）______</w:t>
      </w:r>
      <w:r>
        <w:rPr>
          <w:rFonts w:hint="eastAsia" w:ascii="宋体" w:hAnsi="宋体" w:eastAsia="宋体" w:cs="宋体"/>
          <w:bCs/>
          <w:color w:val="000000" w:themeColor="text1"/>
          <w:sz w:val="21"/>
          <w:szCs w:val="21"/>
          <w14:textFill>
            <w14:solidFill>
              <w14:schemeClr w14:val="tx1"/>
            </w14:solidFill>
          </w14:textFill>
        </w:rPr>
        <w:t>（以</w:t>
      </w:r>
      <w:r>
        <w:rPr>
          <w:rFonts w:hint="eastAsia" w:ascii="宋体" w:hAnsi="宋体" w:eastAsia="宋体" w:cs="宋体"/>
          <w:color w:val="000000" w:themeColor="text1"/>
          <w:sz w:val="21"/>
          <w:szCs w:val="21"/>
          <w14:textFill>
            <w14:solidFill>
              <w14:schemeClr w14:val="tx1"/>
            </w14:solidFill>
          </w14:textFill>
        </w:rPr>
        <w:t>下简称“乙方”）就</w:t>
      </w:r>
      <w:r>
        <w:rPr>
          <w:rFonts w:hint="eastAsia" w:ascii="宋体" w:hAnsi="宋体" w:cs="宋体"/>
          <w:color w:val="000000" w:themeColor="text1"/>
          <w:sz w:val="21"/>
          <w:szCs w:val="21"/>
          <w:lang w:eastAsia="zh-CN"/>
          <w14:textFill>
            <w14:solidFill>
              <w14:schemeClr w14:val="tx1"/>
            </w14:solidFill>
          </w14:textFill>
        </w:rPr>
        <w:t>滁州至南京城际铁路（滁州段）二期工程高铁站、琅琊山站装饰装修及附属升级改造三标段项目</w:t>
      </w:r>
      <w:r>
        <w:rPr>
          <w:rFonts w:hint="eastAsia" w:ascii="宋体" w:hAnsi="宋体"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事宜，依照《中华人民共和国</w:t>
      </w:r>
      <w:r>
        <w:rPr>
          <w:rFonts w:hint="eastAsia" w:ascii="宋体" w:hAnsi="宋体" w:eastAsia="宋体" w:cs="宋体"/>
          <w:color w:val="000000" w:themeColor="text1"/>
          <w:sz w:val="21"/>
          <w:szCs w:val="21"/>
          <w:lang w:val="en-US" w:eastAsia="zh-CN"/>
          <w14:textFill>
            <w14:solidFill>
              <w14:schemeClr w14:val="tx1"/>
            </w14:solidFill>
          </w14:textFill>
        </w:rPr>
        <w:t>民法典</w:t>
      </w:r>
      <w:r>
        <w:rPr>
          <w:rFonts w:hint="eastAsia" w:ascii="宋体" w:hAnsi="宋体" w:eastAsia="宋体" w:cs="宋体"/>
          <w:color w:val="000000" w:themeColor="text1"/>
          <w:sz w:val="21"/>
          <w:szCs w:val="21"/>
          <w14:textFill>
            <w14:solidFill>
              <w14:schemeClr w14:val="tx1"/>
            </w14:solidFill>
          </w14:textFill>
        </w:rPr>
        <w:t>》及其他有关法律、行政法规，遵循平等、自愿、公平和诚实信用的原则，双方共同达成并订立如下协议。</w:t>
      </w:r>
    </w:p>
    <w:p w14:paraId="6AEF373D">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释义</w:t>
      </w:r>
    </w:p>
    <w:p w14:paraId="05867CA0">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1、合同</w:t>
      </w:r>
      <w:r>
        <w:rPr>
          <w:rFonts w:hint="eastAsia" w:ascii="宋体" w:hAnsi="宋体" w:eastAsia="宋体" w:cs="宋体"/>
          <w:color w:val="000000" w:themeColor="text1"/>
          <w:sz w:val="21"/>
          <w:szCs w:val="21"/>
          <w:lang w:val="en-US" w:eastAsia="zh-CN"/>
          <w14:textFill>
            <w14:solidFill>
              <w14:schemeClr w14:val="tx1"/>
            </w14:solidFill>
          </w14:textFill>
        </w:rPr>
        <w:t>标的</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滁州至南京城际铁路（滁州段）二期工程高铁站、琅琊山站装饰装修及附属升级改造三标段项目</w:t>
      </w:r>
      <w:r>
        <w:rPr>
          <w:rFonts w:hint="eastAsia" w:ascii="宋体" w:hAnsi="宋体" w:eastAsia="宋体" w:cs="宋体"/>
          <w:color w:val="000000" w:themeColor="text1"/>
          <w:sz w:val="21"/>
          <w:szCs w:val="21"/>
          <w:lang w:eastAsia="zh-CN"/>
          <w14:textFill>
            <w14:solidFill>
              <w14:schemeClr w14:val="tx1"/>
            </w14:solidFill>
          </w14:textFill>
        </w:rPr>
        <w:t>。</w:t>
      </w:r>
    </w:p>
    <w:p w14:paraId="03534269">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、履约保证金：为保证乙方履行本合同约定之各项义务和责任，在签订本合同后，由乙方向甲方提供履约保证金（可采用现金、支票、银行履约保函（见索即付保函）、</w:t>
      </w:r>
      <w:r>
        <w:rPr>
          <w:rFonts w:hint="eastAsia" w:ascii="宋体" w:hAnsi="宋体" w:eastAsia="宋体" w:cs="宋体"/>
          <w:color w:val="000000" w:themeColor="text1"/>
          <w:sz w:val="21"/>
          <w:szCs w:val="21"/>
          <w:lang w:val="en-US" w:eastAsia="zh-CN"/>
          <w14:textFill>
            <w14:solidFill>
              <w14:schemeClr w14:val="tx1"/>
            </w14:solidFill>
          </w14:textFill>
        </w:rPr>
        <w:t>担保</w:t>
      </w:r>
      <w:r>
        <w:rPr>
          <w:rFonts w:hint="eastAsia" w:ascii="宋体" w:hAnsi="宋体" w:eastAsia="宋体" w:cs="宋体"/>
          <w:color w:val="000000" w:themeColor="text1"/>
          <w:sz w:val="21"/>
          <w:szCs w:val="21"/>
          <w:lang w:eastAsia="zh-CN"/>
          <w14:textFill>
            <w14:solidFill>
              <w14:schemeClr w14:val="tx1"/>
            </w14:solidFill>
          </w14:textFill>
        </w:rPr>
        <w:t>等形式）。合同期内乙方无违约行为，甲方将全额无息退还给乙方。</w:t>
      </w:r>
    </w:p>
    <w:p w14:paraId="7BC2BA53">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税费：包括任何管辖区域过去、现在或将来的任何性质的税费、扣除或预扣以及与之有关的任何利息或罚金，而且，为避免产生疑义，其中包括但不限于中国境内所应缴纳的印花税、企业所得税、增值税等全部税费。</w:t>
      </w:r>
    </w:p>
    <w:p w14:paraId="0A03F585">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、附件和补充协议：本合同的所有附件以及相关的补充协议都为本合同的有效组成部分，与本合同具有同等法律效力。</w:t>
      </w:r>
    </w:p>
    <w:p w14:paraId="182C04FA">
      <w:pPr>
        <w:rPr>
          <w:rFonts w:hint="default"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二、合同标的、</w:t>
      </w:r>
      <w:r>
        <w:rPr>
          <w:rFonts w:hint="eastAsia" w:ascii="宋体" w:hAnsi="宋体" w:eastAsia="宋体" w:cs="宋体"/>
          <w:b/>
          <w:bCs/>
          <w:color w:val="000000" w:themeColor="text1"/>
          <w:sz w:val="21"/>
          <w:szCs w:val="21"/>
          <w:lang w:val="en-US" w:eastAsia="zh-CN"/>
          <w14:textFill>
            <w14:solidFill>
              <w14:schemeClr w14:val="tx1"/>
            </w14:solidFill>
          </w14:textFill>
        </w:rPr>
        <w:t>招标</w:t>
      </w:r>
      <w:r>
        <w:rPr>
          <w:rFonts w:hint="eastAsia" w:ascii="宋体" w:hAnsi="宋体" w:eastAsia="宋体" w:cs="宋体"/>
          <w:b/>
          <w:bCs/>
          <w:color w:val="000000" w:themeColor="text1"/>
          <w:sz w:val="21"/>
          <w:szCs w:val="21"/>
          <w14:textFill>
            <w14:solidFill>
              <w14:schemeClr w14:val="tx1"/>
            </w14:solidFill>
          </w14:textFill>
        </w:rPr>
        <w:t>范围、</w:t>
      </w:r>
      <w:r>
        <w:rPr>
          <w:rFonts w:hint="eastAsia" w:ascii="宋体" w:hAnsi="宋体" w:eastAsia="宋体" w:cs="宋体"/>
          <w:b/>
          <w:bCs/>
          <w:color w:val="000000" w:themeColor="text1"/>
          <w:sz w:val="21"/>
          <w:szCs w:val="21"/>
          <w:lang w:val="en-US" w:eastAsia="zh-CN"/>
          <w14:textFill>
            <w14:solidFill>
              <w14:schemeClr w14:val="tx1"/>
            </w14:solidFill>
          </w14:textFill>
        </w:rPr>
        <w:t>服务期</w:t>
      </w:r>
    </w:p>
    <w:p w14:paraId="26DA4FFF">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1、合同标的：本合同标的为</w:t>
      </w:r>
      <w:r>
        <w:rPr>
          <w:rFonts w:hint="eastAsia" w:ascii="宋体" w:hAnsi="宋体" w:cs="宋体"/>
          <w:color w:val="000000" w:themeColor="text1"/>
          <w:sz w:val="21"/>
          <w:szCs w:val="21"/>
          <w:highlight w:val="none"/>
          <w:lang w:val="en-US" w:eastAsia="zh-CN"/>
          <w14:textFill>
            <w14:solidFill>
              <w14:schemeClr w14:val="tx1"/>
            </w14:solidFill>
          </w14:textFill>
        </w:rPr>
        <w:t>滁州至南京城际铁路（滁州段）二期工程高铁站、琅琊山站装饰装修及附属升级改造三标段项目</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737F048">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2.招标范围：</w:t>
      </w:r>
    </w:p>
    <w:p w14:paraId="277FEB5C">
      <w:pPr>
        <w:spacing w:line="360"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3.服务验收标准：</w:t>
      </w:r>
      <w:r>
        <w:rPr>
          <w:rFonts w:hint="eastAsia" w:ascii="宋体" w:hAnsi="宋体" w:eastAsia="宋体" w:cs="宋体"/>
          <w:color w:val="000000" w:themeColor="text1"/>
          <w:sz w:val="21"/>
          <w:szCs w:val="21"/>
          <w:highlight w:val="none"/>
          <w:lang w:val="en-US" w:eastAsia="zh-CN"/>
          <w14:textFill>
            <w14:solidFill>
              <w14:schemeClr w14:val="tx1"/>
            </w14:solidFill>
          </w14:textFill>
        </w:rPr>
        <w:t>对于乙方委派人员完成的技术服务成果和质量标准，按照甲方服务要求和项目质量管理规定执行。经甲方验收不合格的，乙方应当要求其委派人员按照甲方要求进行整改直至验收合格。甲方或其指定人员签署的服务验收单作为乙方申请付款的依据。</w:t>
      </w:r>
    </w:p>
    <w:p w14:paraId="0E445546">
      <w:pPr>
        <w:rPr>
          <w:rFonts w:hint="default"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三、计价方式、报酬及支付方式</w:t>
      </w:r>
    </w:p>
    <w:p w14:paraId="5561077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 本项目合同计价方式：固定单价。</w:t>
      </w:r>
    </w:p>
    <w:p w14:paraId="3AD913A0">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5.2 本合同价款：</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p>
    <w:p w14:paraId="665DBEAC">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5.3支付方式：</w:t>
      </w:r>
    </w:p>
    <w:p w14:paraId="446F54B4">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四、履约保证金</w:t>
      </w:r>
    </w:p>
    <w:p w14:paraId="39C7B9A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履约担保的形式：</w:t>
      </w:r>
    </w:p>
    <w:p w14:paraId="552757F5">
      <w:pPr>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履约担保的金额：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元。</w:t>
      </w:r>
    </w:p>
    <w:p w14:paraId="6158446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收款单位：                 </w:t>
      </w:r>
    </w:p>
    <w:p w14:paraId="635DCB3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开户银行：                   </w:t>
      </w:r>
    </w:p>
    <w:p w14:paraId="799744F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银行账号：                  </w:t>
      </w:r>
    </w:p>
    <w:p w14:paraId="213AA07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513E866E">
      <w:pPr>
        <w:spacing w:line="360" w:lineRule="auto"/>
        <w:ind w:firstLine="420"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履约保证金退还时限：履约保证金在合同履行期满后一个月内无息退还。</w:t>
      </w:r>
    </w:p>
    <w:p w14:paraId="0FA5C11A">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五</w:t>
      </w:r>
      <w:r>
        <w:rPr>
          <w:rFonts w:hint="eastAsia" w:ascii="宋体" w:hAnsi="宋体" w:eastAsia="宋体" w:cs="宋体"/>
          <w:b/>
          <w:bCs/>
          <w:color w:val="000000" w:themeColor="text1"/>
          <w:sz w:val="21"/>
          <w:szCs w:val="21"/>
          <w14:textFill>
            <w14:solidFill>
              <w14:schemeClr w14:val="tx1"/>
            </w14:solidFill>
          </w14:textFill>
        </w:rPr>
        <w:t>、合同变更</w:t>
      </w:r>
    </w:p>
    <w:p w14:paraId="4591DB1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双方在履行本协议过程中，根据项目的需要，可协商一致对协议进行变更，并签署相关的变更协议。未经双方协商一致，协议任何一方均不得擅自变更本协议，单位名称的变化并不影响本协议约定任何权利、义务、责任。</w:t>
      </w:r>
    </w:p>
    <w:p w14:paraId="2020ED6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1、甲方主体变更</w:t>
      </w:r>
    </w:p>
    <w:p w14:paraId="0503F38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甲方可能在协议履行过程中发生主体的变化，因此在此特别说明：</w:t>
      </w:r>
    </w:p>
    <w:p w14:paraId="06B118B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1.1甲方的主体变更、企业名称变更等有关事宜不需要取得乙方的同意或批准，但在变更前甲方应书面告知乙方；</w:t>
      </w:r>
    </w:p>
    <w:p w14:paraId="5AFF86F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1.2甲方主体变更完成后，须将主体变更的情况书面告知乙方，明确甲方在本协议中的承接主体。乙方须无条件接受甲方的此种变化并签订相应的补充协议。</w:t>
      </w:r>
    </w:p>
    <w:p w14:paraId="727A871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2、乙方的主体变更</w:t>
      </w:r>
    </w:p>
    <w:p w14:paraId="50F60C0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为保障协议的履行，乙方如发生分立、合并、兼并、收购、重组等主体变化时，须书面提前告知甲方。如甲方认为乙方的此种变化可能会不利于本协议的履行、本项目的合作时，</w:t>
      </w:r>
    </w:p>
    <w:p w14:paraId="09E16BB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甲方有权要求变更协议内容或要求乙方提供补充担保，也有权提前终止本协议而不承担任何责任，且甲方无需对此种判断（即甲方认为乙方的变化可能影响本协议履行）向乙方提出任何书面的解释、证明或其他任何方式的确认。</w:t>
      </w:r>
    </w:p>
    <w:p w14:paraId="78168B5F">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六</w:t>
      </w:r>
      <w:r>
        <w:rPr>
          <w:rFonts w:hint="eastAsia" w:ascii="宋体" w:hAnsi="宋体" w:eastAsia="宋体" w:cs="宋体"/>
          <w:b/>
          <w:bCs/>
          <w:color w:val="000000" w:themeColor="text1"/>
          <w:sz w:val="21"/>
          <w:szCs w:val="21"/>
          <w14:textFill>
            <w14:solidFill>
              <w14:schemeClr w14:val="tx1"/>
            </w14:solidFill>
          </w14:textFill>
        </w:rPr>
        <w:t>、违约处理</w:t>
      </w:r>
    </w:p>
    <w:p w14:paraId="7E93B80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1、正常终止</w:t>
      </w:r>
    </w:p>
    <w:p w14:paraId="4C3656F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本协议约定的服务期限届满。</w:t>
      </w:r>
    </w:p>
    <w:p w14:paraId="5AACB2F3">
      <w:pPr>
        <w:numPr>
          <w:ilvl w:val="0"/>
          <w:numId w:val="1"/>
        </w:num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甲乙双方应全面地履行本合同，不履行或不完全履行的，视为违约，应承担相应的违约责任。</w:t>
      </w:r>
    </w:p>
    <w:p w14:paraId="3D19D5B9">
      <w:pPr>
        <w:numPr>
          <w:ilvl w:val="0"/>
          <w:numId w:val="1"/>
        </w:num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合同期内，如因不可抗力事件因素造成双方无法继续履行合同，双方均不承担违约责任。因不可抗力而终止合同的甲方将无息退还乙方的全部履约保证金（履约保函），有需扣除的部分除外。</w:t>
      </w:r>
    </w:p>
    <w:p w14:paraId="1019412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如乙方擅自提前终止本协议时，甲方已收取的履约保证金不退还乙方。此外，乙方须向甲方赔偿因擅自提前终止协议而给甲方造成的经济损失(包括直接损失和间接损失），损失赔偿的数额最高不超过履约保证金的100%。</w:t>
      </w:r>
    </w:p>
    <w:p w14:paraId="6B00942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如甲方擅自提前终止本协议的，甲方须向乙方退还履约保证金。此外，甲方须向乙方赔偿因擅自提前终止协议而给乙方造成的经济损失(包括直接损失和间接损失），损失赔偿的数额最高不超过履约保证金的100%。</w:t>
      </w:r>
    </w:p>
    <w:p w14:paraId="2D2EE0D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6、合同期内，如因滁宁城际铁路交通整体需要进行基建维修、交通车站布局调整、不可抗力因素造成甲方阶段性或长期无法继续履行合同，甲方不承担违约责任。</w:t>
      </w:r>
    </w:p>
    <w:p w14:paraId="5AB5F62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7、在合同履行期内，因任何一方重大违约，经催告后违约方仍不纠正违约行为的，另一方有权解除合同。</w:t>
      </w:r>
    </w:p>
    <w:p w14:paraId="250B805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乙方在经营过程中，由于乙方行为产生的任何经济、法律、行政后果，甲方不负任何责任。因乙方行为给甲方造成经济损失的，乙方必须在损失事实发生后30日内给予甲方赔偿，但甲方应提供相应证据；乙方拒不赔偿的，甲方有权直接从乙方的履约保证金（履约保函）中扣除，履约保证金（履约保函）金额不足以赔偿的，甲方有权向乙方追偿。</w:t>
      </w:r>
    </w:p>
    <w:p w14:paraId="2A7025B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9、有下列情形之一的，甲方有权终止合同，并扣除履约保函(保证金）作为乙方违约金，并有权就因乙方所造成的损失向乙方索赔：</w:t>
      </w:r>
    </w:p>
    <w:p w14:paraId="1140772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9.1乙方因违反国家有关政策、法规，而被国家行政机关责令停业。</w:t>
      </w:r>
    </w:p>
    <w:p w14:paraId="68DD5F4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9.2乙方未经甲方书面同意，擅自对甲方所提供的经营设施设备进行改造。</w:t>
      </w:r>
    </w:p>
    <w:p w14:paraId="1DB5015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9.3乙方未提交或未按时、足额向甲方提交履约保证金（履约保函）满30日的。</w:t>
      </w:r>
    </w:p>
    <w:p w14:paraId="7D157CD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9.4乙方违反甲方相关管理制度并造成甲方严重损失的，并且乙方履约保证金(履约保函）金额和预付的合同价款不足弥补甲方经济损失的。</w:t>
      </w:r>
    </w:p>
    <w:p w14:paraId="635464F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10、不可抗力</w:t>
      </w:r>
    </w:p>
    <w:p w14:paraId="2432FAF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10.1本条所述的“不可抗力”系指那些无法控制，不可预见的事件，但不包括违约或疏忽。不可抗力包括但不限于：战争、暴乱、洪水、台风、地震、防疫限制和禁运等。</w:t>
      </w:r>
    </w:p>
    <w:p w14:paraId="56CBCD8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10.2若不可抗力发生使合同执行受阻，则合同执行时间根据受影响的时间相应延长，但合同报价不得调整。</w:t>
      </w:r>
    </w:p>
    <w:p w14:paraId="612360B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10.3受阻方应在不可抗力事件发生后7天内，以书面形式将不可抗力的情况和原因通知另一方，并附上有关证明材料。</w:t>
      </w:r>
    </w:p>
    <w:p w14:paraId="1C82A4A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10.4任何因不可抗力所导致延误履行合同或不能履行合同，受阻方将不因此而构成违约。</w:t>
      </w:r>
    </w:p>
    <w:p w14:paraId="4A8EE4A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10.5在发生任何不可抗力的情况时，只要合理可行，甲方和乙方双方应尽力继续履行其合同中的义务。如不可抗力的发生并未对合同的执行带来实质性影响，任何一方不得以此</w:t>
      </w:r>
    </w:p>
    <w:p w14:paraId="32F4F7D8">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为理由终止合同。在未终止合同的情况下，不可抗力造成的损失由合同双方各自承担。</w:t>
      </w:r>
    </w:p>
    <w:p w14:paraId="09A730C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10.6如果不可抗力已发生并持续一百八十（180）天，则尽管由于此原因可能已允许乙方延长工期，双方中任何一方均有权在通知对方三十（30）天后终止合同。如果三十(30）天的期限到期后不可抗力仍在持续，本合同即告终止。</w:t>
      </w:r>
    </w:p>
    <w:p w14:paraId="26EF35C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10.7如果不可抗力的情况发生并因此根据民法典双方均被解除或进一步履行合同，乙方的履约保证金不被没收。</w:t>
      </w:r>
    </w:p>
    <w:p w14:paraId="65320C15">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七、资料</w:t>
      </w:r>
    </w:p>
    <w:p w14:paraId="14F6B46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没有甲方事先书面同意，乙方不得将由甲方提供的有关合同或任何合同条文、规格、计划、图纸、模型、样品或资料提供给乙方雇用的、履行本合同以外的任何其他人。即使向本合同的雇员提供，也应注意保密并限于履行合同必须的范围。</w:t>
      </w:r>
    </w:p>
    <w:p w14:paraId="7ED3D2A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2、如果甲方收到乙方提交的文件后发现有遗漏、损坏或内容有差异，乙方收到甲方通知后应在7日内免费更换。</w:t>
      </w:r>
    </w:p>
    <w:p w14:paraId="2504ED3D">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3、乙方应提交文件的全部费用由乙方自行负责，甲方不另行支付任何费用。</w:t>
      </w:r>
    </w:p>
    <w:p w14:paraId="357445A1">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八、知识产权</w:t>
      </w:r>
    </w:p>
    <w:p w14:paraId="7B694A1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乙方应保证其根据本协议为甲方提供的软件、技术资料具有永久合法使用权，并保证免受第三方提出侵犯其任何专利、注册的设计、版权、商标或商品名称、或其他任何知识产权的起诉和索赔；如果甲方因此遭受第三方索赔或起诉，乙方承诺负责处理上述索赔或起诉，自行承担解决上述第三方索赔或起诉的所有费用，并负责消除第三方索赔或起诉对甲方的不利影响，赔偿甲方因此而遭受的全部损失和支付的费用。</w:t>
      </w:r>
    </w:p>
    <w:p w14:paraId="35C4AD48">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2、 乙方保证，双方在本项目执行中形成的任何工作成果、技术方案及其他知识产权（包括但不限于著作权、专利权、专利申请权、技术秘密等），所对应的权利归甲方所有，乙方及其委派人员不因履行本合同项下的技术服务而享有任何知识产权及相关权益。 </w:t>
      </w:r>
    </w:p>
    <w:p w14:paraId="597B728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3、甲方提供给乙方的企业标识、图片、文字等任何资料、文件的知识产权归属于甲方，乙方仅能在本项目范围内使用。 </w:t>
      </w:r>
    </w:p>
    <w:p w14:paraId="6306C290">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九、税费</w:t>
      </w:r>
    </w:p>
    <w:p w14:paraId="763F1F6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1、中国政府根据现行的税法及相关法规规定对甲方征收的与本协议有关的一切税费均由甲方负担，甲方对自身的收入全额缴税；</w:t>
      </w:r>
    </w:p>
    <w:p w14:paraId="50E592C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2、中国政府根据现行的税法及相关法规规定对乙方征收的与本协议有关的一切税费均由乙方负担；</w:t>
      </w:r>
    </w:p>
    <w:p w14:paraId="7745CFB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3、在中国境外和香港、澳门及台湾区域发生的与本协议有关的一切税费均由乙方负担。</w:t>
      </w:r>
    </w:p>
    <w:p w14:paraId="4A04EFA3">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十、争议解决</w:t>
      </w:r>
    </w:p>
    <w:p w14:paraId="3F2A6FF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本合同履行过程中产生的纠纷，双方应友好协商解决，协商不成的，任何一方有权向滁州仲裁委员会提起仲裁。</w:t>
      </w:r>
    </w:p>
    <w:p w14:paraId="7B312D48">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w:t>
      </w:r>
      <w:r>
        <w:rPr>
          <w:rFonts w:hint="eastAsia" w:ascii="宋体" w:hAnsi="宋体" w:eastAsia="宋体" w:cs="宋体"/>
          <w:b/>
          <w:bCs/>
          <w:color w:val="000000" w:themeColor="text1"/>
          <w:sz w:val="21"/>
          <w:szCs w:val="21"/>
          <w:lang w:val="en-US" w:eastAsia="zh-CN"/>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、其它</w:t>
      </w:r>
    </w:p>
    <w:p w14:paraId="3A17B22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1、本合同的订立、效力、解释和争议等均由中华人民共和国法律管辖。</w:t>
      </w:r>
    </w:p>
    <w:p w14:paraId="1CE13EA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2、合同未尽事宜由双方根据国家有关法律、法规的规定，共同协商订立补充协议，补充协议应符合《中华人民共和国民法典》及其他有关法律、法规和规定，与本合同具有同等的法律效力。</w:t>
      </w:r>
    </w:p>
    <w:p w14:paraId="281548C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3、本合同与下列文件一起构成合同文件，下列文件互相补充和解释，如有不明确或不一致之处，以合同约定次序在先者为准。</w:t>
      </w:r>
    </w:p>
    <w:p w14:paraId="6B7B063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3.1中标通知书；</w:t>
      </w:r>
    </w:p>
    <w:p w14:paraId="49BDCFA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3.2本合同补充合同（如有)；</w:t>
      </w:r>
    </w:p>
    <w:p w14:paraId="27F98E7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3.3甲乙方承诺文件；</w:t>
      </w:r>
    </w:p>
    <w:p w14:paraId="7C992A6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3.4其他合同文件。</w:t>
      </w:r>
    </w:p>
    <w:p w14:paraId="191727F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4、本合同自甲方、乙方签字并加盖各自公司印章后生效。</w:t>
      </w:r>
    </w:p>
    <w:p w14:paraId="58B00B5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5、本合同正本一式拾份，甲方执陆份，乙方执肆份，具有同等法律效力。</w:t>
      </w:r>
    </w:p>
    <w:p w14:paraId="1AFD7F32">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w:t>
      </w:r>
      <w:r>
        <w:rPr>
          <w:rFonts w:hint="eastAsia" w:ascii="宋体" w:hAnsi="宋体" w:eastAsia="宋体" w:cs="宋体"/>
          <w:b/>
          <w:bCs/>
          <w:color w:val="000000" w:themeColor="text1"/>
          <w:sz w:val="21"/>
          <w:szCs w:val="21"/>
          <w:lang w:val="en-US"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文件送达与签收</w:t>
      </w:r>
    </w:p>
    <w:p w14:paraId="2556834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1、与合同有关的通知、批准、证明、证书、指示、要求、请求、同意、意见、确定和决定等，均应采用书面形式。</w:t>
      </w:r>
    </w:p>
    <w:p w14:paraId="796128B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甲乙双方就本项目中的通知、批准、证明、证书、指示、要求、请求、同意、意见、确定和决定等来往函件，均应在合同约定的期限内送达指定地点和接收人，并办理签收手续，相关邮件以到达对方邮箱时间为准。</w:t>
      </w:r>
    </w:p>
    <w:p w14:paraId="17F400E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3、为便于双方执行合同，双方约定本项目联络人如下：</w:t>
      </w:r>
    </w:p>
    <w:p w14:paraId="616D3A2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甲方联络人： </w:t>
      </w:r>
    </w:p>
    <w:p w14:paraId="485871B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w:t>
      </w:r>
    </w:p>
    <w:p w14:paraId="2F1F0DF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邮件地址：</w:t>
      </w:r>
    </w:p>
    <w:p w14:paraId="15E8346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乙方联络人：</w:t>
      </w:r>
    </w:p>
    <w:p w14:paraId="57291438">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联系电话： </w:t>
      </w:r>
    </w:p>
    <w:p w14:paraId="6E403313">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邮件地址：</w:t>
      </w:r>
    </w:p>
    <w:p w14:paraId="7002FF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p w14:paraId="7CB4D8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乙方：</w:t>
      </w:r>
    </w:p>
    <w:p w14:paraId="28C436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（盖章）</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（盖章）</w:t>
      </w:r>
    </w:p>
    <w:p w14:paraId="37A895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 xml:space="preserve">   法定代表人</w:t>
      </w:r>
    </w:p>
    <w:p w14:paraId="7F2A16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或授权代表：（签字）</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或授权代表：（签字）</w:t>
      </w:r>
    </w:p>
    <w:p w14:paraId="5E1D1A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时间：    年    月   日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时间：    年    月    日</w:t>
      </w:r>
    </w:p>
    <w:p w14:paraId="6E8021A5">
      <w:pPr>
        <w:keepNext w:val="0"/>
        <w:keepLines w:val="0"/>
        <w:pageBreakBefore w:val="0"/>
        <w:widowControl w:val="0"/>
        <w:kinsoku/>
        <w:wordWrap/>
        <w:overflowPunct/>
        <w:topLinePunct w:val="0"/>
        <w:autoSpaceDE/>
        <w:autoSpaceDN/>
        <w:bidi w:val="0"/>
        <w:adjustRightInd/>
        <w:snapToGrid/>
        <w:spacing w:line="400" w:lineRule="exact"/>
        <w:textAlignment w:val="auto"/>
        <w:rPr>
          <w:highlight w:val="none"/>
        </w:rPr>
      </w:pPr>
      <w:r>
        <w:rPr>
          <w:rFonts w:hint="eastAsia" w:ascii="宋体" w:hAnsi="宋体" w:eastAsia="宋体" w:cs="宋体"/>
          <w:color w:val="000000" w:themeColor="text1"/>
          <w:sz w:val="21"/>
          <w:szCs w:val="21"/>
          <w14:textFill>
            <w14:solidFill>
              <w14:schemeClr w14:val="tx1"/>
            </w14:solidFill>
          </w14:textFill>
        </w:rPr>
        <w:t xml:space="preserve">地址：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地址：</w:t>
      </w:r>
    </w:p>
    <w:p w14:paraId="2B39FAA3">
      <w:pPr>
        <w:rPr>
          <w:rFonts w:hint="eastAsia"/>
          <w:bCs/>
          <w:szCs w:val="32"/>
          <w:highlight w:val="none"/>
        </w:rPr>
      </w:pPr>
      <w:r>
        <w:rPr>
          <w:rFonts w:hint="eastAsia"/>
          <w:bCs/>
          <w:szCs w:val="32"/>
          <w:highlight w:val="none"/>
        </w:rPr>
        <w:br w:type="page"/>
      </w:r>
    </w:p>
    <w:p w14:paraId="3A3DFD1F">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七</w:t>
      </w:r>
      <w:r>
        <w:rPr>
          <w:rFonts w:hint="eastAsia"/>
          <w:bCs/>
          <w:szCs w:val="32"/>
          <w:highlight w:val="none"/>
        </w:rPr>
        <w:t>章  投标文件格式</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0B28D98A">
      <w:pPr>
        <w:jc w:val="center"/>
        <w:rPr>
          <w:rFonts w:eastAsia="黑体"/>
          <w:sz w:val="44"/>
          <w:szCs w:val="44"/>
          <w:highlight w:val="none"/>
        </w:rPr>
      </w:pPr>
      <w:r>
        <w:rPr>
          <w:rFonts w:hint="eastAsia" w:eastAsia="黑体"/>
          <w:sz w:val="44"/>
          <w:szCs w:val="44"/>
          <w:highlight w:val="none"/>
        </w:rPr>
        <w:t>（资信证明文件）</w:t>
      </w:r>
    </w:p>
    <w:p w14:paraId="4404D72F">
      <w:pPr>
        <w:jc w:val="center"/>
        <w:rPr>
          <w:rFonts w:eastAsia="黑体"/>
          <w:sz w:val="44"/>
          <w:szCs w:val="44"/>
          <w:highlight w:val="none"/>
        </w:rPr>
      </w:pPr>
      <w:r>
        <w:rPr>
          <w:rFonts w:hint="eastAsia" w:eastAsia="黑体"/>
          <w:sz w:val="44"/>
          <w:szCs w:val="44"/>
          <w:highlight w:val="none"/>
        </w:rPr>
        <w:t xml:space="preserve"> </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2"/>
        <w:ind w:firstLine="420"/>
        <w:rPr>
          <w:rFonts w:ascii="Times New Roman"/>
          <w:szCs w:val="24"/>
          <w:highlight w:val="none"/>
        </w:rPr>
      </w:pPr>
    </w:p>
    <w:p w14:paraId="3062FE47">
      <w:pPr>
        <w:rPr>
          <w:rFonts w:ascii="Times New Roman"/>
          <w:szCs w:val="24"/>
          <w:highlight w:val="none"/>
        </w:rPr>
      </w:pPr>
    </w:p>
    <w:p w14:paraId="78F93F73">
      <w:pPr>
        <w:pStyle w:val="2"/>
        <w:rPr>
          <w:rFonts w:ascii="Times New Roman"/>
          <w:szCs w:val="24"/>
          <w:highlight w:val="none"/>
        </w:rPr>
      </w:pPr>
    </w:p>
    <w:p w14:paraId="1E9D0BD8">
      <w:pPr>
        <w:rPr>
          <w:rFonts w:ascii="Times New Roman"/>
          <w:szCs w:val="24"/>
          <w:highlight w:val="none"/>
        </w:rPr>
      </w:pPr>
    </w:p>
    <w:p w14:paraId="13AFD6AD">
      <w:pPr>
        <w:pStyle w:val="2"/>
      </w:pPr>
    </w:p>
    <w:p w14:paraId="0799C826">
      <w:pPr>
        <w:pStyle w:val="2"/>
        <w:ind w:firstLine="420"/>
        <w:rPr>
          <w:highlight w:val="none"/>
        </w:rPr>
      </w:pPr>
    </w:p>
    <w:p w14:paraId="63F5BB9B">
      <w:pPr>
        <w:rPr>
          <w:rFonts w:eastAsia="黑体"/>
          <w:sz w:val="28"/>
          <w:szCs w:val="28"/>
          <w:highlight w:val="none"/>
        </w:rPr>
      </w:pPr>
    </w:p>
    <w:p w14:paraId="6ECEBDFF">
      <w:pPr>
        <w:rPr>
          <w:rFonts w:eastAsia="黑体"/>
          <w:sz w:val="28"/>
          <w:szCs w:val="28"/>
          <w:highlight w:val="none"/>
        </w:rPr>
      </w:pPr>
    </w:p>
    <w:p w14:paraId="62522776">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097218CB">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211A5DCF">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7802AEA0">
      <w:pPr>
        <w:rPr>
          <w:highlight w:val="none"/>
        </w:rPr>
      </w:pPr>
      <w:bookmarkStart w:id="261" w:name="_Toc35424971"/>
      <w:bookmarkStart w:id="262" w:name="_Toc35425137"/>
      <w:bookmarkStart w:id="263" w:name="_Toc12683"/>
    </w:p>
    <w:p w14:paraId="5288B7B1">
      <w:pPr>
        <w:spacing w:beforeLines="50" w:afterLines="50" w:line="440" w:lineRule="exact"/>
        <w:ind w:firstLine="643" w:firstLineChars="200"/>
        <w:jc w:val="center"/>
        <w:rPr>
          <w:rStyle w:val="121"/>
          <w:rFonts w:hint="eastAsia" w:ascii="宋体" w:hAnsi="宋体" w:cs="宋体"/>
          <w:sz w:val="32"/>
          <w:highlight w:val="none"/>
        </w:rPr>
      </w:pPr>
      <w:bookmarkStart w:id="264" w:name="_Toc78803399"/>
      <w:r>
        <w:rPr>
          <w:rStyle w:val="121"/>
          <w:rFonts w:hint="eastAsia" w:ascii="宋体" w:hAnsi="宋体" w:cs="宋体"/>
          <w:sz w:val="32"/>
          <w:highlight w:val="none"/>
        </w:rPr>
        <w:br w:type="page"/>
      </w:r>
      <w:bookmarkEnd w:id="261"/>
      <w:bookmarkEnd w:id="262"/>
      <w:bookmarkEnd w:id="263"/>
      <w:bookmarkEnd w:id="264"/>
    </w:p>
    <w:p w14:paraId="28C89471">
      <w:pPr>
        <w:spacing w:beforeLines="50" w:afterLines="50" w:line="440" w:lineRule="exact"/>
        <w:ind w:firstLine="643" w:firstLineChars="200"/>
        <w:jc w:val="center"/>
        <w:rPr>
          <w:rStyle w:val="121"/>
          <w:rFonts w:hint="eastAsia" w:ascii="宋体" w:hAnsi="宋体" w:cs="宋体"/>
          <w:sz w:val="32"/>
          <w:highlight w:val="none"/>
        </w:rPr>
      </w:pPr>
    </w:p>
    <w:p w14:paraId="0EBCA57C">
      <w:pPr>
        <w:spacing w:beforeLines="50" w:afterLines="50" w:line="440" w:lineRule="exact"/>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录</w:t>
      </w:r>
    </w:p>
    <w:p w14:paraId="5025579D">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（1）法人代表人身份证明及其有效身份证（或法人代表授权委托书及其有效身份证）（格式见附件）；</w:t>
      </w:r>
    </w:p>
    <w:p w14:paraId="34E4B2F8">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（2）投标人有效的营业执照、税务登记证、组织机构代码证（或三合一证书）</w:t>
      </w:r>
      <w:r>
        <w:rPr>
          <w:rFonts w:hint="eastAsia" w:ascii="宋体" w:hAnsi="Times New Roman" w:eastAsia="宋体" w:cs="Times New Roman"/>
          <w:color w:val="auto"/>
          <w:szCs w:val="21"/>
          <w:highlight w:val="none"/>
          <w:lang w:eastAsia="zh-CN"/>
        </w:rPr>
        <w:t>；</w:t>
      </w:r>
    </w:p>
    <w:p w14:paraId="36747EFE">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企业资质证书</w:t>
      </w:r>
      <w:r>
        <w:rPr>
          <w:rFonts w:hint="eastAsia" w:ascii="宋体" w:hAnsi="Times New Roman" w:eastAsia="宋体" w:cs="Times New Roman"/>
          <w:color w:val="auto"/>
          <w:szCs w:val="21"/>
          <w:highlight w:val="none"/>
          <w:lang w:val="en-US" w:eastAsia="zh-CN"/>
        </w:rPr>
        <w:t>及</w:t>
      </w:r>
      <w:r>
        <w:rPr>
          <w:rFonts w:hint="eastAsia" w:ascii="宋体" w:hAnsi="Times New Roman" w:eastAsia="宋体" w:cs="Times New Roman"/>
          <w:color w:val="auto"/>
          <w:szCs w:val="21"/>
          <w:highlight w:val="none"/>
        </w:rPr>
        <w:t>企业安全生产许可证</w:t>
      </w:r>
      <w:r>
        <w:rPr>
          <w:rFonts w:hint="eastAsia" w:ascii="宋体" w:hAnsi="Times New Roman" w:eastAsia="宋体" w:cs="Times New Roman"/>
          <w:color w:val="auto"/>
          <w:szCs w:val="21"/>
          <w:highlight w:val="none"/>
          <w:lang w:eastAsia="zh-CN"/>
        </w:rPr>
        <w:t>；</w:t>
      </w:r>
    </w:p>
    <w:p w14:paraId="0D57BF18">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（4）企业有效</w:t>
      </w:r>
      <w:r>
        <w:rPr>
          <w:rFonts w:hint="eastAsia" w:ascii="宋体" w:hAnsi="Times New Roman" w:eastAsia="宋体" w:cs="Times New Roman"/>
          <w:color w:val="auto"/>
          <w:szCs w:val="21"/>
          <w:highlight w:val="none"/>
        </w:rPr>
        <w:t>电力设施许可证</w:t>
      </w:r>
    </w:p>
    <w:p w14:paraId="476E7636">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诚信投标承诺书（格式见附件）</w:t>
      </w:r>
      <w:r>
        <w:rPr>
          <w:rFonts w:hint="eastAsia" w:ascii="宋体" w:hAnsi="Times New Roman" w:eastAsia="宋体" w:cs="Times New Roman"/>
          <w:color w:val="auto"/>
          <w:szCs w:val="21"/>
          <w:highlight w:val="none"/>
          <w:lang w:eastAsia="zh-CN"/>
        </w:rPr>
        <w:t>；</w:t>
      </w:r>
    </w:p>
    <w:p w14:paraId="5220DE43">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val="en-US" w:eastAsia="zh-CN"/>
        </w:rPr>
        <w:t>（6）</w:t>
      </w:r>
      <w:r>
        <w:rPr>
          <w:rFonts w:hint="eastAsia" w:ascii="宋体" w:hAnsi="Times New Roman" w:eastAsia="宋体" w:cs="Times New Roman"/>
          <w:color w:val="auto"/>
          <w:szCs w:val="21"/>
          <w:highlight w:val="none"/>
        </w:rPr>
        <w:t>服务承诺：是否响应招标文件要求的书面说明和服务承诺书（格式见附件）</w:t>
      </w:r>
      <w:r>
        <w:rPr>
          <w:rFonts w:hint="eastAsia" w:ascii="宋体" w:hAnsi="Times New Roman" w:eastAsia="宋体" w:cs="Times New Roman"/>
          <w:color w:val="auto"/>
          <w:szCs w:val="21"/>
          <w:highlight w:val="none"/>
          <w:lang w:eastAsia="zh-CN"/>
        </w:rPr>
        <w:t>；</w:t>
      </w:r>
    </w:p>
    <w:p w14:paraId="40D371A2">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rPr>
        <w:t>招标文件中要求的资信评审（评分）的支持资料</w:t>
      </w:r>
      <w:r>
        <w:rPr>
          <w:rFonts w:hint="eastAsia" w:ascii="宋体" w:hAnsi="Times New Roman" w:eastAsia="宋体" w:cs="Times New Roman"/>
          <w:color w:val="auto"/>
          <w:szCs w:val="21"/>
          <w:highlight w:val="none"/>
          <w:lang w:eastAsia="zh-CN"/>
        </w:rPr>
        <w:t>。</w:t>
      </w:r>
    </w:p>
    <w:p w14:paraId="0EFA1573">
      <w:pPr>
        <w:spacing w:line="360" w:lineRule="auto"/>
        <w:ind w:firstLine="420" w:firstLineChars="200"/>
        <w:rPr>
          <w:rFonts w:hint="eastAsia" w:ascii="宋体" w:hAnsi="Times New Roman" w:eastAsia="宋体" w:cs="Times New Roman"/>
          <w:color w:val="auto"/>
          <w:szCs w:val="21"/>
          <w:highlight w:val="none"/>
          <w:lang w:val="en-US" w:eastAsia="zh-CN"/>
        </w:rPr>
      </w:pP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265" w:name="_Toc26598"/>
      <w:bookmarkStart w:id="266" w:name="_Toc503196197"/>
      <w:bookmarkStart w:id="267" w:name="_Toc506107356"/>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52876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sz w:val="28"/>
          <w:szCs w:val="28"/>
          <w:highlight w:val="none"/>
        </w:rPr>
      </w:pPr>
      <w:r>
        <w:rPr>
          <w:rFonts w:hint="eastAsia"/>
          <w:b/>
          <w:sz w:val="28"/>
          <w:szCs w:val="28"/>
          <w:highlight w:val="none"/>
        </w:rPr>
        <w:t>（2）诚信投标承诺书</w:t>
      </w:r>
      <w:bookmarkEnd w:id="265"/>
      <w:bookmarkEnd w:id="266"/>
      <w:bookmarkEnd w:id="267"/>
    </w:p>
    <w:p w14:paraId="4F449F9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0CD1A1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一、将遵循公开、公正和诚实信用的原则自愿参加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3F2062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5E140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DBBD4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55B90D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1FA4827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p>
    <w:p w14:paraId="1DA010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w:t>
      </w:r>
      <w:r>
        <w:rPr>
          <w:rFonts w:hint="eastAsia" w:ascii="宋体" w:hAnsi="宋体"/>
          <w:color w:val="000000"/>
          <w:szCs w:val="21"/>
          <w:highlight w:val="none"/>
          <w:lang w:val="en-US" w:eastAsia="zh-CN"/>
        </w:rPr>
        <w:t>服务</w:t>
      </w:r>
      <w:r>
        <w:rPr>
          <w:rFonts w:hint="eastAsia" w:ascii="宋体" w:hAnsi="宋体"/>
          <w:color w:val="000000"/>
          <w:szCs w:val="21"/>
          <w:highlight w:val="none"/>
        </w:rPr>
        <w:t>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477CF4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、保证中标之后，按照投标文件承诺派驻人员，如有违反，同意接受</w:t>
      </w:r>
      <w:r>
        <w:rPr>
          <w:rFonts w:hint="eastAsia" w:ascii="宋体" w:hAnsi="宋体"/>
          <w:color w:val="000000"/>
          <w:szCs w:val="21"/>
          <w:highlight w:val="none"/>
          <w:lang w:val="en-US" w:eastAsia="zh-CN"/>
        </w:rPr>
        <w:t>招标</w:t>
      </w:r>
      <w:r>
        <w:rPr>
          <w:rFonts w:hint="eastAsia" w:ascii="宋体" w:hAnsi="宋体"/>
          <w:color w:val="000000"/>
          <w:szCs w:val="21"/>
          <w:highlight w:val="none"/>
        </w:rPr>
        <w:t>单位违约处罚；</w:t>
      </w:r>
    </w:p>
    <w:p w14:paraId="5DD150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4D6E76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eastAsia="宋体" w:cs="Times New Roman"/>
          <w:color w:val="000000"/>
          <w:szCs w:val="21"/>
          <w:highlight w:val="none"/>
          <w:lang w:eastAsia="zh-CN"/>
        </w:rPr>
        <w:t>。</w:t>
      </w:r>
    </w:p>
    <w:p w14:paraId="364DDAF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3D1BCA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p>
    <w:p w14:paraId="30865D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BDE0E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45D54A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szCs w:val="21"/>
          <w:highlight w:val="none"/>
        </w:rPr>
      </w:pPr>
    </w:p>
    <w:p w14:paraId="5D3E338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208B8A18">
      <w:pP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br w:type="page"/>
      </w:r>
    </w:p>
    <w:p w14:paraId="49A65DB9">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p>
    <w:p w14:paraId="4757AEB0">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2667690F">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sz w:val="28"/>
          <w:szCs w:val="28"/>
          <w:highlight w:val="none"/>
        </w:rPr>
      </w:pPr>
      <w:r>
        <w:rPr>
          <w:rFonts w:hint="eastAsia"/>
          <w:b/>
          <w:bCs/>
          <w:sz w:val="28"/>
          <w:szCs w:val="28"/>
          <w:highlight w:val="none"/>
          <w:lang w:eastAsia="zh-CN"/>
        </w:rPr>
        <w:t>（</w:t>
      </w:r>
      <w:r>
        <w:rPr>
          <w:rFonts w:hint="eastAsia"/>
          <w:b/>
          <w:bCs/>
          <w:sz w:val="28"/>
          <w:szCs w:val="28"/>
          <w:highlight w:val="none"/>
          <w:lang w:val="en-US" w:eastAsia="zh-CN"/>
        </w:rPr>
        <w:t>3）</w:t>
      </w:r>
      <w:r>
        <w:rPr>
          <w:rFonts w:hint="eastAsia"/>
          <w:b/>
          <w:bCs/>
          <w:sz w:val="28"/>
          <w:szCs w:val="28"/>
          <w:highlight w:val="none"/>
        </w:rPr>
        <w:t>服务承诺书</w:t>
      </w:r>
    </w:p>
    <w:p w14:paraId="10CD5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1ECF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w:t>
      </w:r>
      <w:r>
        <w:rPr>
          <w:rFonts w:hint="eastAsia" w:ascii="宋体" w:hAnsi="宋体"/>
          <w:color w:val="000000"/>
          <w:sz w:val="24"/>
          <w:highlight w:val="none"/>
          <w:lang w:eastAsia="zh-CN"/>
        </w:rPr>
        <w:t>）</w:t>
      </w:r>
      <w:r>
        <w:rPr>
          <w:rFonts w:hint="eastAsia" w:ascii="宋体" w:hAnsi="宋体"/>
          <w:color w:val="000000"/>
          <w:sz w:val="24"/>
          <w:highlight w:val="none"/>
        </w:rPr>
        <w:t>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若发现有偏离且不能按招标人要求调整的，招标人有权终止合同重新招标，我方承担因此产生的所有经济责任。</w:t>
      </w:r>
    </w:p>
    <w:p w14:paraId="4A0F9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特此声明</w:t>
      </w:r>
      <w:r>
        <w:rPr>
          <w:rFonts w:hint="eastAsia" w:ascii="宋体" w:hAnsi="宋体"/>
          <w:color w:val="000000"/>
          <w:sz w:val="24"/>
          <w:highlight w:val="none"/>
          <w:lang w:eastAsia="zh-CN"/>
        </w:rPr>
        <w:t>。</w:t>
      </w:r>
    </w:p>
    <w:p w14:paraId="3CF139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32D189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5055D4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5056A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77714590">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371AA314">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033D7BF9">
      <w:pPr>
        <w:spacing w:line="400" w:lineRule="exact"/>
        <w:ind w:firstLine="482" w:firstLineChars="200"/>
        <w:rPr>
          <w:rFonts w:ascii="宋体" w:hAnsi="宋体"/>
          <w:b/>
          <w:color w:val="000000"/>
          <w:sz w:val="24"/>
          <w:highlight w:val="none"/>
        </w:rPr>
      </w:pPr>
    </w:p>
    <w:p w14:paraId="3C4BD23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20C41B8D">
      <w:pPr>
        <w:rPr>
          <w:rFonts w:hint="eastAsia" w:ascii="宋体" w:hAnsi="宋体" w:eastAsia="宋体" w:cs="Times New Roman"/>
          <w:color w:val="000000"/>
          <w:szCs w:val="21"/>
          <w:highlight w:val="none"/>
        </w:rPr>
      </w:pPr>
    </w:p>
    <w:p w14:paraId="2BC6E2D1">
      <w:pPr>
        <w:jc w:val="center"/>
        <w:rPr>
          <w:rFonts w:eastAsia="黑体"/>
          <w:sz w:val="28"/>
          <w:szCs w:val="28"/>
          <w:highlight w:val="none"/>
        </w:rPr>
      </w:pPr>
    </w:p>
    <w:p w14:paraId="66E43672">
      <w:pPr>
        <w:jc w:val="center"/>
        <w:rPr>
          <w:rFonts w:eastAsia="黑体"/>
          <w:sz w:val="28"/>
          <w:szCs w:val="28"/>
          <w:highlight w:val="none"/>
        </w:rPr>
      </w:pPr>
    </w:p>
    <w:p w14:paraId="20447F5C">
      <w:pPr>
        <w:jc w:val="center"/>
        <w:rPr>
          <w:rFonts w:eastAsia="黑体"/>
          <w:sz w:val="20"/>
          <w:szCs w:val="20"/>
          <w:highlight w:val="none"/>
        </w:rPr>
      </w:pPr>
      <w:r>
        <w:rPr>
          <w:rFonts w:eastAsia="黑体"/>
          <w:sz w:val="28"/>
          <w:szCs w:val="28"/>
          <w:highlight w:val="none"/>
        </w:rPr>
        <w:t>（项目名称）</w:t>
      </w:r>
    </w:p>
    <w:p w14:paraId="66B855F2">
      <w:pPr>
        <w:jc w:val="center"/>
        <w:rPr>
          <w:rFonts w:eastAsia="黑体"/>
          <w:sz w:val="20"/>
          <w:szCs w:val="20"/>
          <w:highlight w:val="none"/>
        </w:rPr>
      </w:pPr>
    </w:p>
    <w:p w14:paraId="792DB5BC">
      <w:pPr>
        <w:rPr>
          <w:rFonts w:eastAsia="黑体"/>
          <w:sz w:val="20"/>
          <w:szCs w:val="20"/>
          <w:highlight w:val="none"/>
        </w:rPr>
      </w:pPr>
    </w:p>
    <w:p w14:paraId="60025CC7">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二</w:t>
      </w:r>
    </w:p>
    <w:p w14:paraId="11881936">
      <w:pPr>
        <w:jc w:val="center"/>
        <w:rPr>
          <w:rFonts w:eastAsia="黑体"/>
          <w:sz w:val="44"/>
          <w:szCs w:val="44"/>
          <w:highlight w:val="none"/>
        </w:rPr>
      </w:pPr>
      <w:r>
        <w:rPr>
          <w:rFonts w:hint="eastAsia" w:eastAsia="黑体"/>
          <w:sz w:val="44"/>
          <w:szCs w:val="44"/>
          <w:highlight w:val="none"/>
        </w:rPr>
        <w:t>（技术标文件）</w:t>
      </w:r>
    </w:p>
    <w:p w14:paraId="78C47936">
      <w:pPr>
        <w:rPr>
          <w:rFonts w:eastAsia="黑体"/>
          <w:sz w:val="28"/>
          <w:szCs w:val="28"/>
          <w:highlight w:val="none"/>
        </w:rPr>
      </w:pPr>
    </w:p>
    <w:p w14:paraId="13EF90FD">
      <w:pPr>
        <w:rPr>
          <w:rFonts w:eastAsia="黑体"/>
          <w:sz w:val="28"/>
          <w:szCs w:val="28"/>
          <w:highlight w:val="none"/>
        </w:rPr>
      </w:pPr>
    </w:p>
    <w:p w14:paraId="4307D5B0">
      <w:pPr>
        <w:rPr>
          <w:rFonts w:eastAsia="黑体"/>
          <w:sz w:val="28"/>
          <w:szCs w:val="28"/>
          <w:highlight w:val="none"/>
        </w:rPr>
      </w:pPr>
    </w:p>
    <w:p w14:paraId="6B2C05F0">
      <w:pPr>
        <w:pStyle w:val="2"/>
        <w:ind w:firstLine="560"/>
        <w:rPr>
          <w:rFonts w:eastAsia="黑体"/>
          <w:sz w:val="28"/>
          <w:szCs w:val="28"/>
          <w:highlight w:val="none"/>
        </w:rPr>
      </w:pPr>
    </w:p>
    <w:p w14:paraId="1D0BEC5C">
      <w:pPr>
        <w:rPr>
          <w:rFonts w:eastAsia="黑体"/>
          <w:sz w:val="28"/>
          <w:szCs w:val="28"/>
          <w:highlight w:val="none"/>
        </w:rPr>
      </w:pPr>
    </w:p>
    <w:p w14:paraId="28D93157">
      <w:pPr>
        <w:pStyle w:val="2"/>
        <w:ind w:firstLine="560"/>
        <w:rPr>
          <w:rFonts w:eastAsia="黑体"/>
          <w:sz w:val="28"/>
          <w:szCs w:val="28"/>
          <w:highlight w:val="none"/>
        </w:rPr>
      </w:pPr>
    </w:p>
    <w:p w14:paraId="1FFAD3CF">
      <w:pPr>
        <w:rPr>
          <w:highlight w:val="none"/>
        </w:rPr>
      </w:pPr>
    </w:p>
    <w:p w14:paraId="0D2C3844">
      <w:pPr>
        <w:rPr>
          <w:rFonts w:eastAsia="黑体"/>
          <w:sz w:val="28"/>
          <w:szCs w:val="28"/>
          <w:highlight w:val="none"/>
        </w:rPr>
      </w:pPr>
    </w:p>
    <w:p w14:paraId="3D9426D8">
      <w:pPr>
        <w:rPr>
          <w:rFonts w:eastAsia="黑体"/>
          <w:sz w:val="28"/>
          <w:szCs w:val="28"/>
          <w:highlight w:val="none"/>
        </w:rPr>
      </w:pPr>
    </w:p>
    <w:p w14:paraId="21A6EBE5">
      <w:pPr>
        <w:rPr>
          <w:rFonts w:eastAsia="黑体"/>
          <w:sz w:val="28"/>
          <w:szCs w:val="28"/>
          <w:highlight w:val="none"/>
        </w:rPr>
      </w:pPr>
    </w:p>
    <w:p w14:paraId="02F825C3">
      <w:pPr>
        <w:rPr>
          <w:rFonts w:eastAsia="黑体"/>
          <w:sz w:val="28"/>
          <w:szCs w:val="28"/>
          <w:highlight w:val="none"/>
        </w:rPr>
      </w:pPr>
    </w:p>
    <w:p w14:paraId="65C29CBB">
      <w:pPr>
        <w:rPr>
          <w:rFonts w:eastAsia="黑体"/>
          <w:sz w:val="28"/>
          <w:szCs w:val="28"/>
          <w:highlight w:val="none"/>
        </w:rPr>
      </w:pPr>
    </w:p>
    <w:p w14:paraId="10883D19">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3B6C62B9">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1FCEEEFE">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3CA1B276">
      <w:pPr>
        <w:rPr>
          <w:rFonts w:hint="eastAsia" w:ascii="宋体" w:hAnsi="宋体"/>
          <w:b/>
          <w:sz w:val="32"/>
          <w:szCs w:val="32"/>
          <w:highlight w:val="none"/>
        </w:rPr>
      </w:pPr>
      <w:r>
        <w:rPr>
          <w:rFonts w:hint="eastAsia" w:ascii="宋体" w:hAnsi="宋体"/>
          <w:b/>
          <w:sz w:val="32"/>
          <w:szCs w:val="32"/>
          <w:highlight w:val="none"/>
        </w:rPr>
        <w:br w:type="page"/>
      </w:r>
    </w:p>
    <w:p w14:paraId="0542242B">
      <w:pPr>
        <w:spacing w:beforeLines="50" w:afterLines="50" w:line="440" w:lineRule="exact"/>
        <w:ind w:firstLine="643" w:firstLineChars="200"/>
        <w:jc w:val="center"/>
        <w:rPr>
          <w:rStyle w:val="121"/>
          <w:rFonts w:hint="eastAsia" w:ascii="宋体" w:hAnsi="宋体" w:cs="宋体"/>
          <w:sz w:val="32"/>
          <w:highlight w:val="none"/>
        </w:rPr>
      </w:pPr>
    </w:p>
    <w:p w14:paraId="43AB31C5">
      <w:pPr>
        <w:spacing w:beforeLines="50" w:afterLines="50" w:line="440" w:lineRule="exact"/>
        <w:jc w:val="center"/>
        <w:rPr>
          <w:rStyle w:val="121"/>
          <w:rFonts w:ascii="宋体" w:hAnsi="宋体" w:cs="宋体"/>
          <w:sz w:val="32"/>
          <w:highlight w:val="none"/>
        </w:rPr>
      </w:pPr>
      <w:r>
        <w:rPr>
          <w:rStyle w:val="121"/>
          <w:rFonts w:hint="eastAsia" w:ascii="宋体" w:hAnsi="宋体" w:cs="宋体"/>
          <w:sz w:val="32"/>
          <w:highlight w:val="none"/>
        </w:rPr>
        <w:t>目</w:t>
      </w:r>
      <w:r>
        <w:rPr>
          <w:rStyle w:val="121"/>
          <w:rFonts w:hint="eastAsia" w:ascii="宋体" w:hAnsi="宋体" w:cs="宋体"/>
          <w:sz w:val="32"/>
          <w:highlight w:val="none"/>
          <w:lang w:val="en-US"/>
        </w:rPr>
        <w:t xml:space="preserve">  </w:t>
      </w:r>
      <w:r>
        <w:rPr>
          <w:rStyle w:val="121"/>
          <w:rFonts w:hint="eastAsia" w:ascii="宋体" w:hAnsi="宋体" w:cs="宋体"/>
          <w:sz w:val="32"/>
          <w:highlight w:val="none"/>
        </w:rPr>
        <w:t>录</w:t>
      </w:r>
    </w:p>
    <w:p w14:paraId="5C4FA8A3">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技术</w:t>
      </w:r>
      <w:r>
        <w:rPr>
          <w:rFonts w:hint="eastAsia" w:ascii="宋体" w:hAnsi="宋体" w:eastAsia="宋体" w:cs="宋体"/>
          <w:szCs w:val="21"/>
          <w:highlight w:val="none"/>
          <w:lang w:val="en-US" w:eastAsia="zh-CN"/>
        </w:rPr>
        <w:t>方案；</w:t>
      </w:r>
    </w:p>
    <w:p w14:paraId="13481846">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）后期维护方案。</w:t>
      </w:r>
    </w:p>
    <w:p w14:paraId="288211B0">
      <w:pPr>
        <w:spacing w:line="440" w:lineRule="exact"/>
        <w:ind w:firstLine="420" w:firstLineChars="200"/>
        <w:jc w:val="left"/>
        <w:rPr>
          <w:rFonts w:hint="eastAsia" w:ascii="宋体" w:hAnsi="宋体" w:eastAsia="宋体" w:cs="宋体"/>
          <w:szCs w:val="21"/>
          <w:highlight w:val="none"/>
          <w:lang w:eastAsia="zh-CN"/>
        </w:rPr>
      </w:pPr>
    </w:p>
    <w:p w14:paraId="2EEC4B9E">
      <w:pPr>
        <w:pStyle w:val="2"/>
        <w:rPr>
          <w:rFonts w:hint="eastAsia"/>
        </w:rPr>
      </w:pPr>
    </w:p>
    <w:p w14:paraId="1B05D583">
      <w:pPr>
        <w:rPr>
          <w:rFonts w:hint="eastAsia" w:ascii="宋体" w:hAnsi="宋体"/>
          <w:b/>
          <w:sz w:val="32"/>
          <w:szCs w:val="32"/>
          <w:highlight w:val="none"/>
        </w:rPr>
      </w:pPr>
      <w:r>
        <w:rPr>
          <w:rFonts w:hint="eastAsia" w:ascii="宋体" w:hAnsi="宋体"/>
          <w:b/>
          <w:sz w:val="32"/>
          <w:szCs w:val="32"/>
          <w:highlight w:val="none"/>
        </w:rPr>
        <w:br w:type="page"/>
      </w:r>
    </w:p>
    <w:p w14:paraId="7537EA8B">
      <w:pPr>
        <w:jc w:val="center"/>
        <w:rPr>
          <w:rFonts w:eastAsia="黑体"/>
          <w:sz w:val="28"/>
          <w:szCs w:val="28"/>
          <w:highlight w:val="none"/>
        </w:rPr>
      </w:pPr>
    </w:p>
    <w:p w14:paraId="22366C21">
      <w:pPr>
        <w:jc w:val="center"/>
        <w:rPr>
          <w:rFonts w:eastAsia="黑体"/>
          <w:sz w:val="28"/>
          <w:szCs w:val="28"/>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三</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6F4198FD">
      <w:pPr>
        <w:rPr>
          <w:rFonts w:eastAsia="黑体"/>
          <w:sz w:val="28"/>
          <w:szCs w:val="28"/>
          <w:highlight w:val="none"/>
        </w:rPr>
      </w:pPr>
    </w:p>
    <w:p w14:paraId="18D553B1">
      <w:pPr>
        <w:rPr>
          <w:rFonts w:eastAsia="黑体"/>
          <w:sz w:val="28"/>
          <w:szCs w:val="28"/>
          <w:highlight w:val="none"/>
        </w:rPr>
      </w:pPr>
    </w:p>
    <w:p w14:paraId="0E5FE50F">
      <w:pPr>
        <w:rPr>
          <w:rFonts w:eastAsia="黑体"/>
          <w:sz w:val="28"/>
          <w:szCs w:val="28"/>
          <w:highlight w:val="none"/>
        </w:rPr>
      </w:pPr>
    </w:p>
    <w:p w14:paraId="74AFA9E2">
      <w:pPr>
        <w:rPr>
          <w:rFonts w:eastAsia="黑体"/>
          <w:sz w:val="28"/>
          <w:szCs w:val="28"/>
          <w:highlight w:val="none"/>
        </w:rPr>
      </w:pPr>
    </w:p>
    <w:p w14:paraId="078AB10D">
      <w:pPr>
        <w:rPr>
          <w:rFonts w:eastAsia="黑体"/>
          <w:sz w:val="28"/>
          <w:szCs w:val="28"/>
          <w:highlight w:val="none"/>
        </w:rPr>
      </w:pPr>
    </w:p>
    <w:p w14:paraId="5C03182B">
      <w:pPr>
        <w:rPr>
          <w:rFonts w:eastAsia="黑体"/>
          <w:sz w:val="28"/>
          <w:szCs w:val="28"/>
          <w:highlight w:val="none"/>
        </w:rPr>
      </w:pPr>
    </w:p>
    <w:p w14:paraId="50FB798D">
      <w:pPr>
        <w:rPr>
          <w:rFonts w:eastAsia="黑体"/>
          <w:sz w:val="28"/>
          <w:szCs w:val="28"/>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4CAB06D8">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350C1BB2">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0EDBB5CC">
      <w:pPr>
        <w:rPr>
          <w:rFonts w:hint="eastAsia" w:ascii="宋体" w:hAnsi="宋体"/>
          <w:b/>
          <w:sz w:val="32"/>
          <w:szCs w:val="32"/>
          <w:highlight w:val="none"/>
        </w:rPr>
      </w:pPr>
      <w:r>
        <w:rPr>
          <w:rFonts w:hint="eastAsia" w:ascii="宋体" w:hAnsi="宋体"/>
          <w:b/>
          <w:sz w:val="32"/>
          <w:szCs w:val="32"/>
          <w:highlight w:val="none"/>
        </w:rPr>
        <w:br w:type="page"/>
      </w:r>
    </w:p>
    <w:p w14:paraId="239E86E0">
      <w:pPr>
        <w:spacing w:beforeLines="50" w:afterLines="50" w:line="440" w:lineRule="exact"/>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录</w:t>
      </w:r>
    </w:p>
    <w:p w14:paraId="5D9F7386">
      <w:pPr>
        <w:numPr>
          <w:ilvl w:val="0"/>
          <w:numId w:val="2"/>
        </w:num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投标函；</w:t>
      </w:r>
    </w:p>
    <w:p w14:paraId="0B4BEFCE">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w:t>
      </w:r>
      <w:r>
        <w:rPr>
          <w:rFonts w:hint="eastAsia" w:ascii="宋体" w:cs="Times New Roman"/>
          <w:color w:val="auto"/>
          <w:szCs w:val="21"/>
          <w:highlight w:val="none"/>
          <w:lang w:val="en-US" w:eastAsia="zh-CN"/>
        </w:rPr>
        <w:t>工程量清单</w:t>
      </w:r>
      <w:r>
        <w:rPr>
          <w:rFonts w:hint="eastAsia" w:ascii="宋体" w:hAnsi="Times New Roman" w:eastAsia="宋体" w:cs="Times New Roman"/>
          <w:color w:val="auto"/>
          <w:szCs w:val="21"/>
          <w:highlight w:val="none"/>
          <w:lang w:val="en-US" w:eastAsia="zh-CN"/>
        </w:rPr>
        <w:t>（格式见附件）；</w:t>
      </w:r>
    </w:p>
    <w:p w14:paraId="485A9E6D">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投标人认为需要提供的其他证明材料。</w:t>
      </w:r>
    </w:p>
    <w:p w14:paraId="3B019531">
      <w:pPr>
        <w:rPr>
          <w:rFonts w:hint="eastAsia" w:ascii="宋体" w:hAnsi="宋体"/>
          <w:b/>
          <w:sz w:val="32"/>
          <w:szCs w:val="32"/>
          <w:highlight w:val="none"/>
        </w:rPr>
      </w:pPr>
      <w:r>
        <w:rPr>
          <w:rFonts w:hint="eastAsia" w:ascii="宋体" w:hAnsi="宋体"/>
          <w:b/>
          <w:sz w:val="32"/>
          <w:szCs w:val="32"/>
          <w:highlight w:val="none"/>
        </w:rPr>
        <w:br w:type="page"/>
      </w:r>
    </w:p>
    <w:p w14:paraId="5D358DCD">
      <w:pPr>
        <w:jc w:val="center"/>
        <w:rPr>
          <w:rFonts w:ascii="宋体" w:hAnsi="宋体"/>
          <w:b/>
          <w:sz w:val="32"/>
          <w:szCs w:val="32"/>
          <w:highlight w:val="none"/>
        </w:rPr>
      </w:pPr>
      <w:r>
        <w:rPr>
          <w:rFonts w:hint="eastAsia" w:ascii="宋体" w:hAnsi="宋体"/>
          <w:b/>
          <w:sz w:val="32"/>
          <w:szCs w:val="32"/>
          <w:highlight w:val="none"/>
        </w:rPr>
        <w:t>（1）投 标 函</w:t>
      </w:r>
    </w:p>
    <w:p w14:paraId="04586C13">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sz w:val="24"/>
          <w:szCs w:val="24"/>
          <w:highlight w:val="none"/>
          <w:lang w:val="en-US"/>
        </w:rPr>
      </w:pPr>
      <w:bookmarkStart w:id="268" w:name="_Toc35424974"/>
      <w:bookmarkStart w:id="269" w:name="_Toc35425140"/>
      <w:bookmarkStart w:id="270" w:name="_Toc506107366"/>
      <w:bookmarkStart w:id="271" w:name="_Toc15058950"/>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 xml:space="preserve"> </w:t>
      </w:r>
    </w:p>
    <w:p w14:paraId="1CDE2A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000000"/>
          <w:sz w:val="24"/>
          <w:szCs w:val="24"/>
          <w:highlight w:val="none"/>
        </w:rPr>
        <w:t xml:space="preserve">根据你方的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招标文件，遵照《中华人民共和国招标投标法》等有关规定，经踏勘项目现场和研究上述招标文件的投标须知、合同条件、</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清单和其他有关文件后，我方愿以 （币种，金额、单位）</w:t>
      </w:r>
      <w:r>
        <w:rPr>
          <w:rFonts w:hint="eastAsia" w:ascii="宋体" w:hAnsi="宋体" w:eastAsia="宋体" w:cs="宋体"/>
          <w:color w:val="000000"/>
          <w:sz w:val="24"/>
          <w:szCs w:val="24"/>
          <w:highlight w:val="none"/>
          <w:u w:val="single"/>
        </w:rPr>
        <w:t xml:space="preserve"> 人民币           元</w:t>
      </w:r>
      <w:r>
        <w:rPr>
          <w:rFonts w:hint="eastAsia" w:ascii="宋体" w:hAnsi="宋体" w:eastAsia="宋体" w:cs="宋体"/>
          <w:color w:val="000000"/>
          <w:sz w:val="24"/>
          <w:szCs w:val="24"/>
          <w:highlight w:val="none"/>
        </w:rPr>
        <w:t>的投标报价承包上述</w:t>
      </w: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，并承担任何质量缺陷保修责任。</w:t>
      </w:r>
    </w:p>
    <w:p w14:paraId="20C845A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64" w:firstLineChars="200"/>
        <w:jc w:val="left"/>
        <w:textAlignment w:val="auto"/>
        <w:rPr>
          <w:rFonts w:ascii="宋体" w:hAnsi="宋体"/>
          <w:color w:val="auto"/>
          <w:spacing w:val="-4"/>
          <w:sz w:val="24"/>
          <w:szCs w:val="24"/>
          <w:highlight w:val="none"/>
        </w:rPr>
      </w:pPr>
      <w:r>
        <w:rPr>
          <w:rFonts w:hint="eastAsia" w:ascii="宋体" w:hAnsi="宋体"/>
          <w:color w:val="auto"/>
          <w:spacing w:val="-4"/>
          <w:sz w:val="24"/>
          <w:szCs w:val="24"/>
          <w:highlight w:val="none"/>
        </w:rPr>
        <w:t>我方已详细审核全部招标文件及有关附件，承诺招标文件及有关附件中所有条款。</w:t>
      </w:r>
    </w:p>
    <w:p w14:paraId="5D2524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3、一旦我方中标，保证按照招标人要求开始实施本项目，并</w:t>
      </w:r>
      <w:r>
        <w:rPr>
          <w:rFonts w:hint="eastAsia" w:ascii="宋体" w:hAnsi="宋体" w:eastAsia="宋体" w:cs="宋体"/>
          <w:color w:val="000000"/>
          <w:kern w:val="0"/>
          <w:sz w:val="24"/>
          <w:szCs w:val="24"/>
          <w:highlight w:val="none"/>
          <w:u w:val="single" w:color="auto"/>
          <w:lang w:val="en-US" w:eastAsia="zh-CN" w:bidi="ar"/>
        </w:rPr>
        <w:t>2026</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cs="宋体"/>
          <w:color w:val="000000"/>
          <w:kern w:val="0"/>
          <w:sz w:val="24"/>
          <w:szCs w:val="24"/>
          <w:highlight w:val="none"/>
          <w:u w:val="single" w:color="auto"/>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cs="宋体"/>
          <w:color w:val="000000"/>
          <w:kern w:val="0"/>
          <w:sz w:val="24"/>
          <w:szCs w:val="24"/>
          <w:highlight w:val="none"/>
          <w:u w:val="single" w:color="auto"/>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日前完成并交付</w:t>
      </w:r>
      <w:r>
        <w:rPr>
          <w:rFonts w:hint="eastAsia" w:ascii="宋体" w:hAnsi="宋体"/>
          <w:color w:val="auto"/>
          <w:sz w:val="24"/>
          <w:szCs w:val="24"/>
          <w:highlight w:val="none"/>
        </w:rPr>
        <w:t>。</w:t>
      </w:r>
    </w:p>
    <w:p w14:paraId="41DC06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4、如果我方在本投标书有效期内撤回投标书，或在中标通知书下达后</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30</w:t>
      </w:r>
      <w:r>
        <w:rPr>
          <w:rFonts w:ascii="宋体" w:hAnsi="宋体"/>
          <w:color w:val="auto"/>
          <w:sz w:val="24"/>
          <w:szCs w:val="24"/>
          <w:highlight w:val="none"/>
          <w:u w:val="single"/>
        </w:rPr>
        <w:t xml:space="preserve"> </w:t>
      </w:r>
      <w:r>
        <w:rPr>
          <w:rFonts w:hint="eastAsia" w:ascii="宋体" w:hAnsi="宋体"/>
          <w:color w:val="auto"/>
          <w:sz w:val="24"/>
          <w:szCs w:val="24"/>
          <w:highlight w:val="none"/>
        </w:rPr>
        <w:t>天内未能或拒绝签订合同书，或自行转标，贵单位有权没收投标保证金，并另选中标单位。</w:t>
      </w:r>
    </w:p>
    <w:p w14:paraId="5A0DB9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5、如果我方中标我方将按照招标文件的规定提交履约担保。项目验收合格后，方可退还。</w:t>
      </w:r>
    </w:p>
    <w:p w14:paraId="7A10B8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6、投标有效期为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0</w:t>
      </w:r>
      <w:r>
        <w:rPr>
          <w:rFonts w:hint="eastAsia" w:ascii="宋体" w:hAnsi="宋体"/>
          <w:color w:val="auto"/>
          <w:sz w:val="24"/>
          <w:szCs w:val="24"/>
          <w:highlight w:val="none"/>
        </w:rPr>
        <w:t>日历天（从投标截止之日算起）。</w:t>
      </w:r>
    </w:p>
    <w:p w14:paraId="769CB8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7、我单位提供如下通讯地址：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电子邮箱（地址），确认本项目相关法律文书均通过提供的以上地址送达，相关文书只要发送至以上电子邮箱（地址）即视为送达，投标人愿意承担一切法律后果。</w:t>
      </w:r>
    </w:p>
    <w:p w14:paraId="3C9C729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000000"/>
          <w:kern w:val="0"/>
          <w:sz w:val="24"/>
          <w:szCs w:val="24"/>
          <w:highlight w:val="none"/>
          <w:u w:color="000000"/>
          <w:lang w:val="en-US" w:eastAsia="zh-CN" w:bidi="ar"/>
        </w:rPr>
      </w:pPr>
    </w:p>
    <w:p w14:paraId="6FAD6C69">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05F1A06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38B5F29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08A2C3E9">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0C097334">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1AD9791D">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bookmarkEnd w:id="7"/>
    <w:bookmarkEnd w:id="8"/>
    <w:bookmarkEnd w:id="9"/>
    <w:bookmarkEnd w:id="10"/>
    <w:bookmarkEnd w:id="11"/>
    <w:bookmarkEnd w:id="268"/>
    <w:bookmarkEnd w:id="269"/>
    <w:bookmarkEnd w:id="270"/>
    <w:bookmarkEnd w:id="271"/>
    <w:p w14:paraId="061EA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000000"/>
          <w:sz w:val="28"/>
          <w:szCs w:val="28"/>
          <w:highlight w:val="none"/>
          <w:lang w:eastAsia="zh-CN"/>
        </w:rPr>
      </w:pPr>
      <w:bookmarkStart w:id="272" w:name="_Toc78803402"/>
    </w:p>
    <w:p w14:paraId="3EA83AD1">
      <w:pPr>
        <w:rPr>
          <w:rFonts w:hint="eastAsia" w:ascii="Times New Roman" w:hAnsi="Times New Roman" w:eastAsia="宋体" w:cs="Times New Roman"/>
          <w:b/>
          <w:color w:val="000000"/>
          <w:sz w:val="28"/>
          <w:szCs w:val="28"/>
          <w:highlight w:val="none"/>
          <w:lang w:eastAsia="zh-CN"/>
        </w:rPr>
      </w:pPr>
      <w:r>
        <w:rPr>
          <w:rFonts w:hint="eastAsia" w:ascii="Times New Roman" w:hAnsi="Times New Roman" w:eastAsia="宋体" w:cs="Times New Roman"/>
          <w:b/>
          <w:color w:val="000000"/>
          <w:sz w:val="28"/>
          <w:szCs w:val="28"/>
          <w:highlight w:val="none"/>
          <w:lang w:eastAsia="zh-CN"/>
        </w:rPr>
        <w:br w:type="page"/>
      </w:r>
    </w:p>
    <w:p w14:paraId="558628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color w:val="000000"/>
          <w:sz w:val="28"/>
          <w:szCs w:val="28"/>
          <w:highlight w:val="none"/>
          <w:lang w:val="en-US" w:eastAsia="zh-CN"/>
        </w:rPr>
      </w:pPr>
      <w:r>
        <w:rPr>
          <w:rFonts w:hint="eastAsia" w:ascii="Times New Roman" w:hAnsi="Times New Roman" w:eastAsia="宋体" w:cs="Times New Roman"/>
          <w:b/>
          <w:color w:val="000000"/>
          <w:sz w:val="28"/>
          <w:szCs w:val="28"/>
          <w:highlight w:val="none"/>
          <w:lang w:eastAsia="zh-CN"/>
        </w:rPr>
        <w:t>（</w:t>
      </w:r>
      <w:r>
        <w:rPr>
          <w:rFonts w:hint="eastAsia" w:ascii="Times New Roman" w:hAnsi="Times New Roman" w:eastAsia="宋体" w:cs="Times New Roman"/>
          <w:b/>
          <w:color w:val="000000"/>
          <w:sz w:val="28"/>
          <w:szCs w:val="28"/>
          <w:highlight w:val="none"/>
          <w:lang w:val="en-US" w:eastAsia="zh-CN"/>
        </w:rPr>
        <w:t>2）</w:t>
      </w:r>
      <w:r>
        <w:rPr>
          <w:rFonts w:hint="eastAsia" w:cs="Times New Roman"/>
          <w:b/>
          <w:color w:val="000000"/>
          <w:sz w:val="28"/>
          <w:szCs w:val="28"/>
          <w:highlight w:val="none"/>
          <w:lang w:val="en-US" w:eastAsia="zh-CN"/>
        </w:rPr>
        <w:t>工程量清单</w:t>
      </w:r>
      <w:r>
        <w:rPr>
          <w:rFonts w:hint="eastAsia" w:ascii="Times New Roman" w:hAnsi="Times New Roman" w:eastAsia="宋体" w:cs="Times New Roman"/>
          <w:b/>
          <w:color w:val="000000"/>
          <w:sz w:val="28"/>
          <w:szCs w:val="28"/>
          <w:highlight w:val="none"/>
          <w:lang w:val="en-US" w:eastAsia="zh-CN"/>
        </w:rPr>
        <w:t>格式</w:t>
      </w:r>
    </w:p>
    <w:p w14:paraId="20831E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000000"/>
          <w:sz w:val="28"/>
          <w:szCs w:val="28"/>
          <w:highlight w:val="none"/>
          <w:lang w:val="en-US" w:eastAsia="zh-CN"/>
        </w:rPr>
      </w:pPr>
      <w:r>
        <w:rPr>
          <w:rFonts w:hint="eastAsia" w:ascii="Times New Roman" w:hAnsi="Times New Roman" w:eastAsia="宋体" w:cs="Times New Roman"/>
          <w:b w:val="0"/>
          <w:bCs/>
          <w:color w:val="000000"/>
          <w:sz w:val="28"/>
          <w:szCs w:val="28"/>
          <w:highlight w:val="none"/>
          <w:lang w:val="en-US" w:eastAsia="zh-CN"/>
        </w:rPr>
        <w:t>详见附件</w:t>
      </w:r>
    </w:p>
    <w:p w14:paraId="3EF298C0">
      <w:pPr>
        <w:rPr>
          <w:rFonts w:hint="eastAsia"/>
          <w:bCs/>
          <w:szCs w:val="32"/>
          <w:highlight w:val="none"/>
        </w:rPr>
      </w:pPr>
      <w:r>
        <w:rPr>
          <w:rFonts w:hint="eastAsia"/>
          <w:bCs/>
          <w:szCs w:val="32"/>
          <w:highlight w:val="none"/>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272"/>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滁州至南京城际铁路（滁州段）二期工程高铁站、琅琊山站装饰装修及附属升级改造三标段项目</w:t>
            </w:r>
            <w:r>
              <w:rPr>
                <w:rFonts w:hint="eastAsia"/>
                <w:sz w:val="28"/>
                <w:szCs w:val="28"/>
                <w:highlight w:val="none"/>
                <w:u w:val="single"/>
              </w:rPr>
              <w:t xml:space="preserve"> </w:t>
            </w:r>
            <w:r>
              <w:rPr>
                <w:rFonts w:hint="eastAsia"/>
                <w:sz w:val="28"/>
                <w:szCs w:val="28"/>
                <w:highlight w:val="none"/>
              </w:rPr>
              <w:t>的招标文件进行确认。</w:t>
            </w:r>
          </w:p>
          <w:p w14:paraId="7EF3D570">
            <w:pPr>
              <w:widowControl/>
              <w:spacing w:line="72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招标人：</w:t>
            </w:r>
            <w:r>
              <w:rPr>
                <w:rFonts w:hint="eastAsia" w:ascii="宋体" w:hAnsi="宋体" w:eastAsia="宋体" w:cs="宋体"/>
                <w:color w:val="000000"/>
                <w:sz w:val="28"/>
                <w:szCs w:val="28"/>
                <w:highlight w:val="none"/>
                <w:u w:color="000000"/>
                <w:lang w:eastAsia="zh-CN" w:bidi="ar"/>
              </w:rPr>
              <w:t>滁州市滁宁城际铁路开发建设有限公司</w:t>
            </w:r>
            <w:r>
              <w:rPr>
                <w:rFonts w:hint="eastAsia" w:ascii="宋体" w:hAnsi="宋体" w:eastAsia="宋体" w:cs="宋体"/>
                <w:color w:val="000000"/>
                <w:sz w:val="28"/>
                <w:szCs w:val="28"/>
                <w:highlight w:val="none"/>
                <w:u w:color="000000"/>
                <w:lang w:bidi="ar"/>
              </w:rPr>
              <w:t xml:space="preserve"> </w:t>
            </w:r>
          </w:p>
          <w:p w14:paraId="2D40A092">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联系人：</w:t>
            </w:r>
            <w:r>
              <w:rPr>
                <w:rFonts w:hint="eastAsia" w:ascii="宋体" w:hAnsi="宋体" w:eastAsia="宋体" w:cs="宋体"/>
                <w:color w:val="000000"/>
                <w:sz w:val="28"/>
                <w:szCs w:val="28"/>
                <w:highlight w:val="none"/>
                <w:u w:color="000000"/>
                <w:lang w:eastAsia="zh-CN" w:bidi="ar"/>
              </w:rPr>
              <w:t>杨雅辰</w:t>
            </w:r>
          </w:p>
          <w:p w14:paraId="74DEAFC0">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联系电话：</w:t>
            </w:r>
            <w:r>
              <w:rPr>
                <w:rFonts w:hint="eastAsia" w:ascii="宋体" w:hAnsi="宋体" w:eastAsia="宋体" w:cs="宋体"/>
                <w:color w:val="000000"/>
                <w:sz w:val="28"/>
                <w:szCs w:val="28"/>
                <w:highlight w:val="none"/>
                <w:u w:color="000000"/>
                <w:lang w:eastAsia="zh-CN" w:bidi="ar"/>
              </w:rPr>
              <w:t>13339207910</w:t>
            </w: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w:t>
            </w:r>
          </w:p>
          <w:p w14:paraId="72A7FF77">
            <w:pPr>
              <w:pStyle w:val="2"/>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9"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w:t>
            </w:r>
          </w:p>
          <w:p w14:paraId="4EDF8AEB">
            <w:pPr>
              <w:pStyle w:val="2"/>
              <w:ind w:firstLine="420"/>
              <w:rPr>
                <w:highlight w:val="none"/>
              </w:rPr>
            </w:pPr>
          </w:p>
        </w:tc>
      </w:tr>
    </w:tbl>
    <w:p w14:paraId="3F0E2E69"/>
    <w:sectPr>
      <w:headerReference r:id="rId8" w:type="default"/>
      <w:footerReference r:id="rId9"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〇.">
    <w:altName w:val="黑体"/>
    <w:panose1 w:val="00000000000000000000"/>
    <w:charset w:val="86"/>
    <w:family w:val="swiss"/>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30"/>
      <w:rPr>
        <w:rStyle w:val="51"/>
      </w:rPr>
    </w:pPr>
  </w:p>
  <w:p w14:paraId="5343591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C09D">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30"/>
      <w:rPr>
        <w:rStyle w:val="51"/>
      </w:rPr>
    </w:pPr>
  </w:p>
  <w:p w14:paraId="78B0040E">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30"/>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21B25">
                          <w:pPr>
                            <w:pStyle w:val="3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921B25">
                    <w:pPr>
                      <w:pStyle w:val="30"/>
                    </w:pPr>
                    <w:r>
                      <w:fldChar w:fldCharType="begin"/>
                    </w:r>
                    <w:r>
                      <w:instrText xml:space="preserve"> PAGE  \* MERGEFORMAT </w:instrText>
                    </w:r>
                    <w:r>
                      <w:fldChar w:fldCharType="separate"/>
                    </w:r>
                    <w:r>
                      <w:t>50</w:t>
                    </w:r>
                    <w:r>
                      <w:fldChar w:fldCharType="end"/>
                    </w:r>
                  </w:p>
                </w:txbxContent>
              </v:textbox>
            </v:shape>
          </w:pict>
        </mc:Fallback>
      </mc:AlternateContent>
    </w:r>
  </w:p>
  <w:p w14:paraId="01B2BA8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20F0">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D362945"/>
    <w:multiLevelType w:val="singleLevel"/>
    <w:tmpl w:val="0D362945"/>
    <w:lvl w:ilvl="0" w:tentative="0">
      <w:start w:val="2"/>
      <w:numFmt w:val="decimal"/>
      <w:suff w:val="nothing"/>
      <w:lvlText w:val="%1、"/>
      <w:lvlJc w:val="left"/>
    </w:lvl>
  </w:abstractNum>
  <w:abstractNum w:abstractNumId="2">
    <w:nsid w:val="41BBF03D"/>
    <w:multiLevelType w:val="singleLevel"/>
    <w:tmpl w:val="41BBF03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15767"/>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63F79"/>
    <w:rsid w:val="06CA61EA"/>
    <w:rsid w:val="06CE3AAD"/>
    <w:rsid w:val="06D3256B"/>
    <w:rsid w:val="06E93094"/>
    <w:rsid w:val="07103285"/>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B254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759E0"/>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8B661F"/>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B547E"/>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5778E"/>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124D9"/>
    <w:rsid w:val="1CFE11B3"/>
    <w:rsid w:val="1D00167E"/>
    <w:rsid w:val="1D01132A"/>
    <w:rsid w:val="1D022EEB"/>
    <w:rsid w:val="1D2C5B34"/>
    <w:rsid w:val="1D3444B7"/>
    <w:rsid w:val="1D3A1AFC"/>
    <w:rsid w:val="1D3B5834"/>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EF50E7"/>
    <w:rsid w:val="28F402DA"/>
    <w:rsid w:val="28FC78BE"/>
    <w:rsid w:val="29000A40"/>
    <w:rsid w:val="290F29AF"/>
    <w:rsid w:val="292D0766"/>
    <w:rsid w:val="293634F4"/>
    <w:rsid w:val="2942437E"/>
    <w:rsid w:val="29600B3C"/>
    <w:rsid w:val="29606D8E"/>
    <w:rsid w:val="29671ECA"/>
    <w:rsid w:val="29770361"/>
    <w:rsid w:val="2985201E"/>
    <w:rsid w:val="298E4055"/>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A95EBC"/>
    <w:rsid w:val="2CB43679"/>
    <w:rsid w:val="2CB62CA6"/>
    <w:rsid w:val="2CD40261"/>
    <w:rsid w:val="2CEE34EF"/>
    <w:rsid w:val="2CF605F7"/>
    <w:rsid w:val="2D016FE9"/>
    <w:rsid w:val="2D14362B"/>
    <w:rsid w:val="2D2E304F"/>
    <w:rsid w:val="2D3C07FE"/>
    <w:rsid w:val="2D5148FD"/>
    <w:rsid w:val="2D5756FC"/>
    <w:rsid w:val="2D5D5591"/>
    <w:rsid w:val="2D711ADD"/>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7F97FCC"/>
    <w:rsid w:val="38042FDA"/>
    <w:rsid w:val="381C3F20"/>
    <w:rsid w:val="3822692C"/>
    <w:rsid w:val="3824223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0E7D79"/>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04B39"/>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4D032B"/>
    <w:rsid w:val="49507E2D"/>
    <w:rsid w:val="49512BB1"/>
    <w:rsid w:val="495E0009"/>
    <w:rsid w:val="49641F5D"/>
    <w:rsid w:val="49666B6B"/>
    <w:rsid w:val="496F2CCC"/>
    <w:rsid w:val="498F64FC"/>
    <w:rsid w:val="49AD1724"/>
    <w:rsid w:val="49BE7E39"/>
    <w:rsid w:val="49C40005"/>
    <w:rsid w:val="49C65419"/>
    <w:rsid w:val="49D04BAB"/>
    <w:rsid w:val="49EA0282"/>
    <w:rsid w:val="49EA1794"/>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D41ACF"/>
    <w:rsid w:val="52E45ACB"/>
    <w:rsid w:val="52E71802"/>
    <w:rsid w:val="52F47AFB"/>
    <w:rsid w:val="53071B37"/>
    <w:rsid w:val="530A5973"/>
    <w:rsid w:val="530B5DDF"/>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5206"/>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551B92"/>
    <w:rsid w:val="57614844"/>
    <w:rsid w:val="57664CC0"/>
    <w:rsid w:val="576A00D2"/>
    <w:rsid w:val="576A530D"/>
    <w:rsid w:val="57865B66"/>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A4AEA"/>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260284"/>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95E3D"/>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0196D"/>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27283"/>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1"/>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0"/>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3"/>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next w:val="21"/>
    <w:link w:val="143"/>
    <w:qFormat/>
    <w:uiPriority w:val="0"/>
  </w:style>
  <w:style w:type="paragraph" w:customStyle="1" w:styleId="21">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22">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next w:val="1"/>
    <w:link w:val="137"/>
    <w:qFormat/>
    <w:uiPriority w:val="0"/>
    <w:rPr>
      <w:rFonts w:ascii="Courier New"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line="360" w:lineRule="exact"/>
      <w:ind w:firstLine="600" w:firstLineChars="250"/>
      <w:jc w:val="left"/>
    </w:pPr>
    <w:rPr>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qFormat/>
    <w:uiPriority w:val="0"/>
    <w:pPr>
      <w:spacing w:line="440" w:lineRule="exact"/>
    </w:pPr>
    <w:rPr>
      <w:sz w:val="28"/>
    </w:rPr>
  </w:style>
  <w:style w:type="paragraph" w:styleId="42">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99"/>
    <w:pPr>
      <w:widowControl/>
      <w:spacing w:beforeAutospacing="1" w:afterAutospacing="1"/>
      <w:jc w:val="left"/>
    </w:pPr>
    <w:rPr>
      <w:rFonts w:ascii="宋体" w:hAnsi="宋体" w:cs="宋体"/>
      <w:kern w:val="0"/>
      <w:sz w:val="24"/>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customStyle="1" w:styleId="65">
    <w:name w:val="正文文字 8"/>
    <w:basedOn w:val="1"/>
    <w:next w:val="1"/>
    <w:qFormat/>
    <w:uiPriority w:val="0"/>
    <w:pPr>
      <w:ind w:left="240"/>
    </w:pPr>
    <w:rPr>
      <w:sz w:val="16"/>
    </w:rPr>
  </w:style>
  <w:style w:type="paragraph" w:styleId="66">
    <w:name w:val="List Paragraph"/>
    <w:basedOn w:val="1"/>
    <w:qFormat/>
    <w:uiPriority w:val="34"/>
    <w:pPr>
      <w:ind w:firstLine="420" w:firstLineChars="200"/>
    </w:pPr>
  </w:style>
  <w:style w:type="paragraph" w:customStyle="1" w:styleId="67">
    <w:name w:val="_Style 62"/>
    <w:basedOn w:val="1"/>
    <w:next w:val="1"/>
    <w:qFormat/>
    <w:uiPriority w:val="0"/>
    <w:pPr>
      <w:pBdr>
        <w:top w:val="single" w:color="auto" w:sz="6" w:space="1"/>
      </w:pBdr>
      <w:jc w:val="center"/>
    </w:pPr>
    <w:rPr>
      <w:rFonts w:ascii="Arial"/>
      <w:vanish/>
      <w:sz w:val="16"/>
    </w:rPr>
  </w:style>
  <w:style w:type="paragraph" w:customStyle="1" w:styleId="68">
    <w:name w:val="Blockquote"/>
    <w:basedOn w:val="1"/>
    <w:qFormat/>
    <w:uiPriority w:val="0"/>
    <w:pPr>
      <w:autoSpaceDE w:val="0"/>
      <w:autoSpaceDN w:val="0"/>
      <w:adjustRightInd w:val="0"/>
      <w:ind w:left="360" w:right="360"/>
      <w:jc w:val="left"/>
    </w:pPr>
    <w:rPr>
      <w:kern w:val="0"/>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paragraph" w:customStyle="1" w:styleId="71">
    <w:name w:val="Char"/>
    <w:basedOn w:val="1"/>
    <w:next w:val="1"/>
    <w:qFormat/>
    <w:uiPriority w:val="0"/>
    <w:pPr>
      <w:widowControl/>
      <w:spacing w:line="360" w:lineRule="auto"/>
      <w:jc w:val="left"/>
    </w:pPr>
    <w:rPr>
      <w:kern w:val="0"/>
      <w:szCs w:val="20"/>
      <w:lang w:eastAsia="en-US"/>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8"/>
    <w:qFormat/>
    <w:uiPriority w:val="0"/>
  </w:style>
  <w:style w:type="paragraph" w:customStyle="1" w:styleId="74">
    <w:name w:val="Default Paragraph Char Char Char Char"/>
    <w:basedOn w:val="1"/>
    <w:next w:val="1"/>
    <w:qFormat/>
    <w:uiPriority w:val="0"/>
    <w:pPr>
      <w:spacing w:line="360" w:lineRule="auto"/>
    </w:pPr>
    <w:rPr>
      <w:szCs w:val="20"/>
    </w:rPr>
  </w:style>
  <w:style w:type="paragraph" w:customStyle="1" w:styleId="7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qFormat/>
    <w:uiPriority w:val="0"/>
  </w:style>
  <w:style w:type="paragraph" w:customStyle="1" w:styleId="77">
    <w:name w:val="样式 标题 1 + 黑体 五号"/>
    <w:basedOn w:val="6"/>
    <w:qFormat/>
    <w:uiPriority w:val="0"/>
    <w:pPr>
      <w:jc w:val="left"/>
    </w:pPr>
    <w:rPr>
      <w:rFonts w:ascii="黑体" w:hAnsi="黑体" w:eastAsia="黑体"/>
      <w:sz w:val="21"/>
    </w:rPr>
  </w:style>
  <w:style w:type="paragraph" w:customStyle="1" w:styleId="78">
    <w:name w:val="样式4"/>
    <w:basedOn w:val="8"/>
    <w:qFormat/>
    <w:uiPriority w:val="0"/>
    <w:rPr>
      <w:rFonts w:eastAsia="Arial"/>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qFormat/>
    <w:uiPriority w:val="0"/>
    <w:pPr>
      <w:ind w:firstLine="200" w:firstLineChars="200"/>
    </w:pPr>
  </w:style>
  <w:style w:type="paragraph" w:customStyle="1" w:styleId="81">
    <w:name w:val="p0 New"/>
    <w:basedOn w:val="1"/>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3">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qFormat/>
    <w:uiPriority w:val="0"/>
    <w:pPr>
      <w:tabs>
        <w:tab w:val="left" w:pos="360"/>
      </w:tabs>
    </w:pPr>
    <w:rPr>
      <w:sz w:val="24"/>
    </w:rPr>
  </w:style>
  <w:style w:type="paragraph" w:customStyle="1" w:styleId="85">
    <w:name w:val="样式1"/>
    <w:basedOn w:val="8"/>
    <w:qFormat/>
    <w:uiPriority w:val="0"/>
    <w:rPr>
      <w:rFonts w:eastAsia="Arial"/>
    </w:rPr>
  </w:style>
  <w:style w:type="paragraph" w:customStyle="1" w:styleId="86">
    <w:name w:val="Char Char Char Char Char Char Char Char Char Char Char Char Char"/>
    <w:basedOn w:val="1"/>
    <w:qFormat/>
    <w:uiPriority w:val="0"/>
  </w:style>
  <w:style w:type="paragraph" w:customStyle="1" w:styleId="87">
    <w:name w:val="p"/>
    <w:basedOn w:val="1"/>
    <w:qFormat/>
    <w:uiPriority w:val="0"/>
    <w:rPr>
      <w:rFonts w:ascii="宋体"/>
      <w:sz w:val="24"/>
    </w:rPr>
  </w:style>
  <w:style w:type="paragraph" w:customStyle="1" w:styleId="88">
    <w:name w:val="Char Char Char Char"/>
    <w:basedOn w:val="1"/>
    <w:qFormat/>
    <w:uiPriority w:val="0"/>
  </w:style>
  <w:style w:type="paragraph" w:customStyle="1" w:styleId="89">
    <w:name w:val="_Style 84"/>
    <w:basedOn w:val="1"/>
    <w:next w:val="1"/>
    <w:qFormat/>
    <w:uiPriority w:val="0"/>
    <w:pPr>
      <w:pBdr>
        <w:bottom w:val="single" w:color="auto" w:sz="6" w:space="1"/>
      </w:pBdr>
      <w:jc w:val="center"/>
    </w:pPr>
    <w:rPr>
      <w:rFonts w:ascii="Arial"/>
      <w:vanish/>
      <w:sz w:val="16"/>
    </w:rPr>
  </w:style>
  <w:style w:type="paragraph" w:customStyle="1" w:styleId="90">
    <w:name w:val="1"/>
    <w:basedOn w:val="1"/>
    <w:next w:val="1"/>
    <w:qFormat/>
    <w:uiPriority w:val="0"/>
  </w:style>
  <w:style w:type="paragraph" w:customStyle="1" w:styleId="91">
    <w:name w:val="p15"/>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4">
    <w:name w:val="p0"/>
    <w:basedOn w:val="1"/>
    <w:qFormat/>
    <w:uiPriority w:val="99"/>
    <w:pPr>
      <w:widowControl/>
    </w:pPr>
    <w:rPr>
      <w:kern w:val="0"/>
      <w:szCs w:val="21"/>
    </w:rPr>
  </w:style>
  <w:style w:type="paragraph" w:customStyle="1" w:styleId="95">
    <w:name w:val="样式3"/>
    <w:basedOn w:val="8"/>
    <w:qFormat/>
    <w:uiPriority w:val="0"/>
    <w:rPr>
      <w:rFonts w:eastAsia="Arial"/>
    </w:rPr>
  </w:style>
  <w:style w:type="paragraph" w:customStyle="1" w:styleId="96">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qFormat/>
    <w:uiPriority w:val="0"/>
  </w:style>
  <w:style w:type="paragraph" w:customStyle="1" w:styleId="98">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9"/>
    <w:qFormat/>
    <w:uiPriority w:val="0"/>
  </w:style>
  <w:style w:type="character" w:customStyle="1" w:styleId="101">
    <w:name w:val="Char Char Char Char Char Char"/>
    <w:qFormat/>
    <w:uiPriority w:val="0"/>
    <w:rPr>
      <w:rFonts w:ascii="Arial" w:hAnsi="Arial" w:eastAsia="黑体"/>
      <w:b/>
      <w:bCs/>
      <w:kern w:val="2"/>
      <w:sz w:val="32"/>
      <w:szCs w:val="32"/>
      <w:lang w:val="en-US" w:eastAsia="zh-CN" w:bidi="ar-SA"/>
    </w:rPr>
  </w:style>
  <w:style w:type="character" w:customStyle="1" w:styleId="102">
    <w:name w:val="l11"/>
    <w:qFormat/>
    <w:uiPriority w:val="0"/>
    <w:rPr>
      <w:color w:val="999999"/>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Char Char5"/>
    <w:qFormat/>
    <w:uiPriority w:val="0"/>
    <w:rPr>
      <w:rFonts w:ascii="Arial" w:hAnsi="Arial" w:eastAsia="黑体"/>
      <w:b/>
      <w:bCs/>
      <w:kern w:val="2"/>
      <w:sz w:val="32"/>
      <w:szCs w:val="32"/>
    </w:rPr>
  </w:style>
  <w:style w:type="character" w:customStyle="1" w:styleId="105">
    <w:name w:val="msg-box28"/>
    <w:basedOn w:val="49"/>
    <w:qFormat/>
    <w:uiPriority w:val="0"/>
  </w:style>
  <w:style w:type="character" w:customStyle="1" w:styleId="106">
    <w:name w:val="img_title6"/>
    <w:qFormat/>
    <w:uiPriority w:val="0"/>
    <w:rPr>
      <w:vanish/>
    </w:rPr>
  </w:style>
  <w:style w:type="character" w:customStyle="1" w:styleId="107">
    <w:name w:val="tit12"/>
    <w:qFormat/>
    <w:uiPriority w:val="0"/>
    <w:rPr>
      <w:color w:val="04A06C"/>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nostart"/>
    <w:qFormat/>
    <w:uiPriority w:val="0"/>
    <w:rPr>
      <w:color w:val="FF0000"/>
    </w:rPr>
  </w:style>
  <w:style w:type="character" w:customStyle="1" w:styleId="110">
    <w:name w:val="nostart3"/>
    <w:basedOn w:val="49"/>
    <w:qFormat/>
    <w:uiPriority w:val="0"/>
  </w:style>
  <w:style w:type="character" w:customStyle="1" w:styleId="111">
    <w:name w:val="img4"/>
    <w:basedOn w:val="49"/>
    <w:qFormat/>
    <w:uiPriority w:val="0"/>
  </w:style>
  <w:style w:type="character" w:customStyle="1" w:styleId="112">
    <w:name w:val="tit11"/>
    <w:qFormat/>
    <w:uiPriority w:val="0"/>
    <w:rPr>
      <w:color w:val="B60000"/>
    </w:rPr>
  </w:style>
  <w:style w:type="character" w:customStyle="1" w:styleId="113">
    <w:name w:val="批注文字 Char"/>
    <w:link w:val="18"/>
    <w:qFormat/>
    <w:uiPriority w:val="0"/>
    <w:rPr>
      <w:rFonts w:eastAsia="宋体"/>
      <w:kern w:val="2"/>
      <w:sz w:val="21"/>
      <w:szCs w:val="24"/>
      <w:lang w:val="en-US" w:eastAsia="zh-CN" w:bidi="ar-SA"/>
    </w:rPr>
  </w:style>
  <w:style w:type="character" w:customStyle="1" w:styleId="114">
    <w:name w:val="over"/>
    <w:qFormat/>
    <w:uiPriority w:val="0"/>
    <w:rPr>
      <w:color w:val="B60000"/>
    </w:rPr>
  </w:style>
  <w:style w:type="character" w:customStyle="1" w:styleId="115">
    <w:name w:val="HTML 预设格式 Char"/>
    <w:link w:val="42"/>
    <w:qFormat/>
    <w:uiPriority w:val="0"/>
    <w:rPr>
      <w:rFonts w:ascii="宋体" w:hAnsi="宋体" w:cs="宋体"/>
      <w:sz w:val="24"/>
      <w:szCs w:val="24"/>
    </w:rPr>
  </w:style>
  <w:style w:type="character" w:customStyle="1" w:styleId="116">
    <w:name w:val="l6"/>
    <w:qFormat/>
    <w:uiPriority w:val="0"/>
    <w:rPr>
      <w:color w:val="999999"/>
    </w:rPr>
  </w:style>
  <w:style w:type="character" w:customStyle="1" w:styleId="117">
    <w:name w:val="datetime"/>
    <w:qFormat/>
    <w:uiPriority w:val="0"/>
    <w:rPr>
      <w:rFonts w:hint="default" w:ascii="Arial" w:hAnsi="Arial" w:cs="Arial"/>
      <w:color w:val="999999"/>
      <w:sz w:val="21"/>
      <w:szCs w:val="21"/>
    </w:rPr>
  </w:style>
  <w:style w:type="character" w:customStyle="1" w:styleId="118">
    <w:name w:val="txt1"/>
    <w:basedOn w:val="49"/>
    <w:qFormat/>
    <w:uiPriority w:val="0"/>
  </w:style>
  <w:style w:type="character" w:customStyle="1" w:styleId="119">
    <w:name w:val="starting1"/>
    <w:qFormat/>
    <w:uiPriority w:val="0"/>
    <w:rPr>
      <w:color w:val="339900"/>
    </w:rPr>
  </w:style>
  <w:style w:type="character" w:customStyle="1" w:styleId="120">
    <w:name w:val="starting2"/>
    <w:qFormat/>
    <w:uiPriority w:val="0"/>
    <w:rPr>
      <w:color w:val="B60000"/>
    </w:rPr>
  </w:style>
  <w:style w:type="character" w:customStyle="1" w:styleId="121">
    <w:name w:val="标题 1 Char"/>
    <w:link w:val="6"/>
    <w:qFormat/>
    <w:uiPriority w:val="0"/>
    <w:rPr>
      <w:rFonts w:eastAsia="宋体"/>
      <w:b/>
      <w:bCs/>
      <w:kern w:val="44"/>
      <w:sz w:val="44"/>
      <w:szCs w:val="44"/>
      <w:lang w:val="en-US" w:eastAsia="zh-CN" w:bidi="ar-SA"/>
    </w:rPr>
  </w:style>
  <w:style w:type="character" w:customStyle="1" w:styleId="122">
    <w:name w:val="red"/>
    <w:qFormat/>
    <w:uiPriority w:val="0"/>
    <w:rPr>
      <w:rFonts w:hint="default" w:ascii="Arial" w:hAnsi="Arial" w:cs="Arial"/>
      <w:color w:val="E50000"/>
    </w:rPr>
  </w:style>
  <w:style w:type="character" w:customStyle="1" w:styleId="123">
    <w:name w:val="Char Char4"/>
    <w:qFormat/>
    <w:uiPriority w:val="0"/>
    <w:rPr>
      <w:rFonts w:eastAsia="宋体"/>
      <w:b/>
      <w:bCs/>
      <w:kern w:val="44"/>
      <w:sz w:val="44"/>
      <w:szCs w:val="44"/>
      <w:lang w:val="en-US" w:eastAsia="zh-CN" w:bidi="ar-SA"/>
    </w:rPr>
  </w:style>
  <w:style w:type="character" w:customStyle="1" w:styleId="124">
    <w:name w:val="font161"/>
    <w:qFormat/>
    <w:uiPriority w:val="0"/>
    <w:rPr>
      <w:b/>
      <w:bCs/>
      <w:sz w:val="32"/>
      <w:szCs w:val="32"/>
    </w:rPr>
  </w:style>
  <w:style w:type="character" w:customStyle="1" w:styleId="125">
    <w:name w:val="Char Char8"/>
    <w:qFormat/>
    <w:uiPriority w:val="0"/>
    <w:rPr>
      <w:rFonts w:ascii="Arial" w:hAnsi="Arial" w:eastAsia="黑体"/>
      <w:b/>
      <w:bCs/>
      <w:kern w:val="2"/>
      <w:sz w:val="32"/>
      <w:szCs w:val="32"/>
      <w:lang w:val="en-US" w:eastAsia="zh-CN" w:bidi="ar-SA"/>
    </w:rPr>
  </w:style>
  <w:style w:type="character" w:customStyle="1" w:styleId="126">
    <w:name w:val="msg-box29"/>
    <w:basedOn w:val="49"/>
    <w:qFormat/>
    <w:uiPriority w:val="0"/>
  </w:style>
  <w:style w:type="character" w:customStyle="1" w:styleId="127">
    <w:name w:val="over2"/>
    <w:qFormat/>
    <w:uiPriority w:val="0"/>
    <w:rPr>
      <w:color w:val="999999"/>
    </w:rPr>
  </w:style>
  <w:style w:type="character" w:customStyle="1" w:styleId="128">
    <w:name w:val="img_title7"/>
    <w:qFormat/>
    <w:uiPriority w:val="0"/>
    <w:rPr>
      <w:vanish/>
    </w:rPr>
  </w:style>
  <w:style w:type="character" w:customStyle="1" w:styleId="129">
    <w:name w:val="l7"/>
    <w:qFormat/>
    <w:uiPriority w:val="0"/>
    <w:rPr>
      <w:color w:val="999999"/>
    </w:rPr>
  </w:style>
  <w:style w:type="character" w:customStyle="1" w:styleId="130">
    <w:name w:val="标题 5 Char"/>
    <w:link w:val="10"/>
    <w:qFormat/>
    <w:uiPriority w:val="0"/>
    <w:rPr>
      <w:b/>
      <w:bCs/>
      <w:kern w:val="2"/>
      <w:sz w:val="28"/>
      <w:szCs w:val="28"/>
    </w:rPr>
  </w:style>
  <w:style w:type="character" w:customStyle="1" w:styleId="131">
    <w:name w:val="l51"/>
    <w:qFormat/>
    <w:uiPriority w:val="0"/>
    <w:rPr>
      <w:color w:val="999999"/>
    </w:rPr>
  </w:style>
  <w:style w:type="character" w:customStyle="1" w:styleId="132">
    <w:name w:val="num81"/>
    <w:basedOn w:val="49"/>
    <w:qFormat/>
    <w:uiPriority w:val="0"/>
  </w:style>
  <w:style w:type="character" w:customStyle="1" w:styleId="133">
    <w:name w:val="Char Char1"/>
    <w:qFormat/>
    <w:uiPriority w:val="0"/>
    <w:rPr>
      <w:rFonts w:eastAsia="宋体"/>
      <w:kern w:val="2"/>
      <w:sz w:val="21"/>
      <w:szCs w:val="24"/>
      <w:lang w:val="en-US" w:eastAsia="zh-CN" w:bidi="ar-SA"/>
    </w:rPr>
  </w:style>
  <w:style w:type="character" w:customStyle="1" w:styleId="134">
    <w:name w:val="zs"/>
    <w:qFormat/>
    <w:uiPriority w:val="0"/>
    <w:rPr>
      <w:color w:val="8D744B"/>
      <w:sz w:val="18"/>
      <w:szCs w:val="18"/>
    </w:rPr>
  </w:style>
  <w:style w:type="character" w:customStyle="1" w:styleId="135">
    <w:name w:val="bigfont"/>
    <w:basedOn w:val="49"/>
    <w:qFormat/>
    <w:uiPriority w:val="0"/>
  </w:style>
  <w:style w:type="character" w:customStyle="1" w:styleId="136">
    <w:name w:val="txt"/>
    <w:qFormat/>
    <w:uiPriority w:val="0"/>
    <w:rPr>
      <w:color w:val="C0C0C0"/>
    </w:rPr>
  </w:style>
  <w:style w:type="character" w:customStyle="1" w:styleId="137">
    <w:name w:val="纯文本 Char2"/>
    <w:link w:val="25"/>
    <w:qFormat/>
    <w:uiPriority w:val="0"/>
    <w:rPr>
      <w:rFonts w:ascii="Courier New" w:hAnsi="Courier New" w:eastAsia="宋体"/>
      <w:kern w:val="2"/>
      <w:sz w:val="21"/>
      <w:lang w:val="en-US" w:eastAsia="zh-CN" w:bidi="ar-SA"/>
    </w:rPr>
  </w:style>
  <w:style w:type="character" w:customStyle="1" w:styleId="138">
    <w:name w:val="jg"/>
    <w:basedOn w:val="49"/>
    <w:qFormat/>
    <w:uiPriority w:val="0"/>
  </w:style>
  <w:style w:type="character" w:customStyle="1" w:styleId="139">
    <w:name w:val="17"/>
    <w:qFormat/>
    <w:uiPriority w:val="0"/>
    <w:rPr>
      <w:rFonts w:ascii="仿宋_GB2312" w:eastAsia="仿宋_GB2312"/>
      <w:color w:val="auto"/>
      <w:sz w:val="28"/>
      <w:szCs w:val="28"/>
      <w:u w:val="single"/>
    </w:rPr>
  </w:style>
  <w:style w:type="character" w:customStyle="1" w:styleId="140">
    <w:name w:val="job"/>
    <w:basedOn w:val="49"/>
    <w:qFormat/>
    <w:uiPriority w:val="0"/>
  </w:style>
  <w:style w:type="character" w:customStyle="1" w:styleId="141">
    <w:name w:val="job1"/>
    <w:basedOn w:val="49"/>
    <w:qFormat/>
    <w:uiPriority w:val="0"/>
  </w:style>
  <w:style w:type="character" w:customStyle="1" w:styleId="142">
    <w:name w:val="标题 2 Char"/>
    <w:qFormat/>
    <w:uiPriority w:val="0"/>
    <w:rPr>
      <w:rFonts w:ascii="Arial" w:hAnsi="Arial" w:eastAsia="黑体"/>
      <w:b/>
      <w:bCs/>
      <w:kern w:val="2"/>
      <w:sz w:val="21"/>
      <w:szCs w:val="32"/>
      <w:lang w:val="en-US" w:eastAsia="zh-CN" w:bidi="ar-SA"/>
    </w:rPr>
  </w:style>
  <w:style w:type="character" w:customStyle="1" w:styleId="143">
    <w:name w:val="正文文本 Char"/>
    <w:link w:val="20"/>
    <w:qFormat/>
    <w:uiPriority w:val="0"/>
    <w:rPr>
      <w:rFonts w:eastAsia="宋体"/>
      <w:kern w:val="2"/>
      <w:sz w:val="21"/>
      <w:szCs w:val="24"/>
      <w:lang w:val="en-US" w:eastAsia="zh-CN" w:bidi="ar-SA"/>
    </w:rPr>
  </w:style>
  <w:style w:type="character" w:customStyle="1" w:styleId="144">
    <w:name w:val="p05"/>
    <w:basedOn w:val="49"/>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9"/>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9"/>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9"/>
    <w:qFormat/>
    <w:uiPriority w:val="0"/>
  </w:style>
  <w:style w:type="character" w:customStyle="1" w:styleId="152">
    <w:name w:val="msg-box30"/>
    <w:basedOn w:val="49"/>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Char"/>
    <w:link w:val="8"/>
    <w:qFormat/>
    <w:uiPriority w:val="0"/>
    <w:rPr>
      <w:b/>
      <w:bCs/>
      <w:sz w:val="32"/>
      <w:szCs w:val="32"/>
    </w:rPr>
  </w:style>
  <w:style w:type="character" w:customStyle="1" w:styleId="155">
    <w:name w:val="c1"/>
    <w:basedOn w:val="49"/>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9"/>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9"/>
    <w:qFormat/>
    <w:uiPriority w:val="0"/>
  </w:style>
  <w:style w:type="character" w:customStyle="1" w:styleId="171">
    <w:name w:val="mesg-myd"/>
    <w:qFormat/>
    <w:uiPriority w:val="0"/>
    <w:rPr>
      <w:color w:val="EE0000"/>
    </w:rPr>
  </w:style>
  <w:style w:type="character" w:customStyle="1" w:styleId="172">
    <w:name w:val="c2"/>
    <w:basedOn w:val="49"/>
    <w:qFormat/>
    <w:uiPriority w:val="0"/>
  </w:style>
  <w:style w:type="character" w:customStyle="1" w:styleId="173">
    <w:name w:val="c3"/>
    <w:basedOn w:val="49"/>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9"/>
    <w:qFormat/>
    <w:uiPriority w:val="0"/>
  </w:style>
  <w:style w:type="character" w:customStyle="1" w:styleId="180">
    <w:name w:val="starting4"/>
    <w:basedOn w:val="49"/>
    <w:qFormat/>
    <w:uiPriority w:val="0"/>
  </w:style>
  <w:style w:type="character" w:customStyle="1" w:styleId="181">
    <w:name w:val="bsharetext"/>
    <w:basedOn w:val="49"/>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9"/>
    <w:qFormat/>
    <w:uiPriority w:val="0"/>
  </w:style>
  <w:style w:type="character" w:customStyle="1" w:styleId="189">
    <w:name w:val="buvis1"/>
    <w:qFormat/>
    <w:uiPriority w:val="0"/>
    <w:rPr>
      <w:color w:val="CC0000"/>
    </w:rPr>
  </w:style>
  <w:style w:type="character" w:customStyle="1" w:styleId="190">
    <w:name w:val="starting3"/>
    <w:basedOn w:val="49"/>
    <w:qFormat/>
    <w:uiPriority w:val="0"/>
  </w:style>
  <w:style w:type="character" w:customStyle="1" w:styleId="191">
    <w:name w:val="textcontents"/>
    <w:basedOn w:val="49"/>
    <w:qFormat/>
    <w:uiPriority w:val="0"/>
  </w:style>
  <w:style w:type="character" w:customStyle="1" w:styleId="192">
    <w:name w:val="num41"/>
    <w:basedOn w:val="49"/>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Char2"/>
    <w:link w:val="7"/>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qFormat/>
    <w:uiPriority w:val="0"/>
    <w:rPr>
      <w:rFonts w:hint="eastAsia" w:ascii="仿宋" w:hAnsi="仿宋" w:eastAsia="仿宋" w:cs="仿宋"/>
      <w:b/>
      <w:color w:val="000000"/>
      <w:sz w:val="32"/>
      <w:szCs w:val="32"/>
      <w:u w:val="none"/>
    </w:rPr>
  </w:style>
  <w:style w:type="character" w:customStyle="1" w:styleId="201">
    <w:name w:val="font101"/>
    <w:basedOn w:val="49"/>
    <w:qFormat/>
    <w:uiPriority w:val="0"/>
    <w:rPr>
      <w:rFonts w:hint="default" w:ascii="Times New Roman" w:hAnsi="Times New Roman" w:cs="Times New Roman"/>
      <w:color w:val="000000"/>
      <w:sz w:val="24"/>
      <w:szCs w:val="24"/>
      <w:u w:val="none"/>
    </w:rPr>
  </w:style>
  <w:style w:type="character" w:customStyle="1" w:styleId="202">
    <w:name w:val="font111"/>
    <w:basedOn w:val="49"/>
    <w:qFormat/>
    <w:uiPriority w:val="0"/>
    <w:rPr>
      <w:rFonts w:ascii="仿宋_GB2312" w:eastAsia="仿宋_GB2312" w:cs="仿宋_GB2312"/>
      <w:color w:val="000000"/>
      <w:sz w:val="24"/>
      <w:szCs w:val="24"/>
      <w:u w:val="none"/>
    </w:rPr>
  </w:style>
  <w:style w:type="character" w:customStyle="1" w:styleId="203">
    <w:name w:val="font91"/>
    <w:basedOn w:val="49"/>
    <w:qFormat/>
    <w:uiPriority w:val="0"/>
    <w:rPr>
      <w:rFonts w:hint="eastAsia" w:ascii="仿宋" w:hAnsi="仿宋" w:eastAsia="仿宋" w:cs="仿宋"/>
      <w:color w:val="000000"/>
      <w:sz w:val="24"/>
      <w:szCs w:val="24"/>
      <w:u w:val="single"/>
    </w:rPr>
  </w:style>
  <w:style w:type="character" w:customStyle="1" w:styleId="204">
    <w:name w:val="font81"/>
    <w:basedOn w:val="49"/>
    <w:qFormat/>
    <w:uiPriority w:val="0"/>
    <w:rPr>
      <w:rFonts w:hint="default" w:ascii="Times New Roman" w:hAnsi="Times New Roman" w:cs="Times New Roman"/>
      <w:color w:val="000000"/>
      <w:sz w:val="24"/>
      <w:szCs w:val="24"/>
      <w:u w:val="none"/>
    </w:rPr>
  </w:style>
  <w:style w:type="character" w:customStyle="1" w:styleId="205">
    <w:name w:val="font61"/>
    <w:basedOn w:val="49"/>
    <w:qFormat/>
    <w:uiPriority w:val="0"/>
    <w:rPr>
      <w:rFonts w:hint="eastAsia" w:ascii="仿宋_GB2312" w:eastAsia="仿宋_GB2312" w:cs="仿宋_GB2312"/>
      <w:color w:val="000000"/>
      <w:sz w:val="24"/>
      <w:szCs w:val="24"/>
      <w:u w:val="none"/>
    </w:rPr>
  </w:style>
  <w:style w:type="character" w:customStyle="1" w:styleId="206">
    <w:name w:val="font21"/>
    <w:basedOn w:val="49"/>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9"/>
    <w:qFormat/>
    <w:uiPriority w:val="0"/>
  </w:style>
  <w:style w:type="character" w:customStyle="1" w:styleId="209">
    <w:name w:val="hover1"/>
    <w:basedOn w:val="49"/>
    <w:qFormat/>
    <w:uiPriority w:val="0"/>
    <w:rPr>
      <w:color w:val="2590EB"/>
    </w:rPr>
  </w:style>
  <w:style w:type="character" w:customStyle="1" w:styleId="210">
    <w:name w:val="hover2"/>
    <w:basedOn w:val="49"/>
    <w:qFormat/>
    <w:uiPriority w:val="0"/>
  </w:style>
  <w:style w:type="character" w:customStyle="1" w:styleId="211">
    <w:name w:val="hover3"/>
    <w:basedOn w:val="49"/>
    <w:qFormat/>
    <w:uiPriority w:val="0"/>
    <w:rPr>
      <w:color w:val="2590EB"/>
    </w:rPr>
  </w:style>
  <w:style w:type="character" w:customStyle="1" w:styleId="212">
    <w:name w:val="hover4"/>
    <w:basedOn w:val="49"/>
    <w:qFormat/>
    <w:uiPriority w:val="0"/>
    <w:rPr>
      <w:color w:val="2590EB"/>
      <w:shd w:val="clear" w:fill="E9F4FD"/>
    </w:rPr>
  </w:style>
  <w:style w:type="character" w:customStyle="1" w:styleId="213">
    <w:name w:val="mini-outputtext1"/>
    <w:basedOn w:val="49"/>
    <w:qFormat/>
    <w:uiPriority w:val="0"/>
  </w:style>
  <w:style w:type="character" w:customStyle="1" w:styleId="214">
    <w:name w:val="hover"/>
    <w:basedOn w:val="49"/>
    <w:qFormat/>
    <w:uiPriority w:val="0"/>
    <w:rPr>
      <w:color w:val="2590EB"/>
    </w:rPr>
  </w:style>
  <w:style w:type="character" w:customStyle="1" w:styleId="215">
    <w:name w:val="BWTON_重点字符"/>
    <w:qFormat/>
    <w:uiPriority w:val="0"/>
    <w:rPr>
      <w:rFonts w:ascii="Arial" w:hAnsi="Arial" w:eastAsia="黑体"/>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10383</Words>
  <Characters>11122</Characters>
  <Lines>411</Lines>
  <Paragraphs>115</Paragraphs>
  <TotalTime>5</TotalTime>
  <ScaleCrop>false</ScaleCrop>
  <LinksUpToDate>false</LinksUpToDate>
  <CharactersWithSpaces>11507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2026-01-16T09:15:58Z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5A96E9D5DEA14287B230D772E27E32F1_13</vt:lpwstr>
  </property>
  <property fmtid="{D5CDD505-2E9C-101B-9397-08002B2CF9AE}" pid="4" name="KSOTemplateDocerSaveRecord">
    <vt:lpwstr>eyJoZGlkIjoiMTljMDcwYWJmYjExZWQzNTVmZDAzZTYwM2JlMzJmZDYiLCJ1c2VySWQiOiIzODU2Mzk2OTQifQ==</vt:lpwstr>
  </property>
</Properties>
</file>