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C76DC9B">
      <w:pPr>
        <w:ind w:right="-315" w:rightChars="-150"/>
        <w:jc w:val="center"/>
        <w:rPr>
          <w:rFonts w:hint="eastAsia" w:ascii="宋体" w:hAnsi="宋体" w:eastAsia="宋体" w:cs="宋体"/>
          <w:b/>
          <w:bCs/>
          <w:color w:val="auto"/>
          <w:sz w:val="92"/>
          <w:szCs w:val="92"/>
          <w:highlight w:val="none"/>
          <w:u w:val="single"/>
          <w:vertAlign w:val="subscript"/>
        </w:rPr>
      </w:pPr>
      <w:bookmarkStart w:id="70" w:name="_GoBack"/>
    </w:p>
    <w:p w14:paraId="6B503F7B">
      <w:pPr>
        <w:spacing w:line="720" w:lineRule="auto"/>
        <w:jc w:val="center"/>
        <w:rPr>
          <w:rFonts w:hint="eastAsia" w:ascii="宋体" w:hAnsi="宋体" w:eastAsia="宋体" w:cs="宋体"/>
          <w:b/>
          <w:bCs/>
          <w:color w:val="auto"/>
          <w:spacing w:val="-10"/>
          <w:sz w:val="48"/>
          <w:szCs w:val="48"/>
          <w:highlight w:val="none"/>
          <w:lang w:val="en-US" w:eastAsia="zh-CN"/>
        </w:rPr>
      </w:pPr>
      <w:r>
        <w:rPr>
          <w:rFonts w:hint="eastAsia" w:ascii="宋体" w:hAnsi="宋体" w:cs="宋体"/>
          <w:b/>
          <w:bCs/>
          <w:color w:val="auto"/>
          <w:spacing w:val="-10"/>
          <w:sz w:val="48"/>
          <w:szCs w:val="48"/>
          <w:highlight w:val="none"/>
          <w:lang w:val="en-US" w:eastAsia="zh-CN"/>
        </w:rPr>
        <w:t>滁城西片区排水综合整治工程二批次（二标段）结算复核服务</w:t>
      </w:r>
    </w:p>
    <w:p w14:paraId="5854E797">
      <w:pPr>
        <w:spacing w:line="400" w:lineRule="atLeast"/>
        <w:jc w:val="center"/>
        <w:rPr>
          <w:rFonts w:hint="eastAsia" w:ascii="宋体" w:hAnsi="宋体" w:eastAsia="宋体" w:cs="宋体"/>
          <w:b/>
          <w:bCs/>
          <w:color w:val="auto"/>
          <w:sz w:val="98"/>
          <w:szCs w:val="98"/>
          <w:highlight w:val="none"/>
        </w:rPr>
      </w:pPr>
    </w:p>
    <w:p w14:paraId="559D772C">
      <w:pPr>
        <w:spacing w:line="400" w:lineRule="atLeast"/>
        <w:jc w:val="center"/>
        <w:rPr>
          <w:rFonts w:hint="eastAsia" w:ascii="宋体" w:hAnsi="宋体" w:eastAsia="宋体" w:cs="宋体"/>
          <w:b/>
          <w:bCs/>
          <w:color w:val="auto"/>
          <w:sz w:val="98"/>
          <w:szCs w:val="98"/>
          <w:highlight w:val="none"/>
        </w:rPr>
      </w:pPr>
    </w:p>
    <w:p w14:paraId="34C3FEB2">
      <w:pPr>
        <w:spacing w:line="400" w:lineRule="atLeast"/>
        <w:jc w:val="center"/>
        <w:rPr>
          <w:rFonts w:hint="eastAsia" w:ascii="宋体" w:hAnsi="宋体" w:eastAsia="宋体" w:cs="宋体"/>
          <w:b/>
          <w:bCs/>
          <w:color w:val="auto"/>
          <w:sz w:val="98"/>
          <w:szCs w:val="98"/>
          <w:highlight w:val="none"/>
        </w:rPr>
      </w:pPr>
      <w:r>
        <w:rPr>
          <w:rFonts w:hint="eastAsia" w:ascii="宋体" w:hAnsi="宋体" w:eastAsia="宋体" w:cs="宋体"/>
          <w:b/>
          <w:bCs/>
          <w:color w:val="auto"/>
          <w:sz w:val="98"/>
          <w:szCs w:val="98"/>
          <w:highlight w:val="none"/>
        </w:rPr>
        <w:t>招</w:t>
      </w:r>
      <w:r>
        <w:rPr>
          <w:rFonts w:hint="eastAsia" w:ascii="宋体" w:hAnsi="宋体" w:eastAsia="宋体" w:cs="宋体"/>
          <w:b/>
          <w:bCs/>
          <w:color w:val="auto"/>
          <w:sz w:val="98"/>
          <w:szCs w:val="98"/>
          <w:highlight w:val="none"/>
          <w:lang w:val="en-US" w:eastAsia="zh-CN"/>
        </w:rPr>
        <w:t xml:space="preserve"> </w:t>
      </w:r>
      <w:r>
        <w:rPr>
          <w:rFonts w:hint="eastAsia" w:ascii="宋体" w:hAnsi="宋体" w:eastAsia="宋体" w:cs="宋体"/>
          <w:b/>
          <w:bCs/>
          <w:color w:val="auto"/>
          <w:sz w:val="98"/>
          <w:szCs w:val="98"/>
          <w:highlight w:val="none"/>
        </w:rPr>
        <w:t>标</w:t>
      </w:r>
      <w:r>
        <w:rPr>
          <w:rFonts w:hint="eastAsia" w:ascii="宋体" w:hAnsi="宋体" w:eastAsia="宋体" w:cs="宋体"/>
          <w:b/>
          <w:bCs/>
          <w:color w:val="auto"/>
          <w:sz w:val="98"/>
          <w:szCs w:val="98"/>
          <w:highlight w:val="none"/>
          <w:lang w:val="en-US" w:eastAsia="zh-CN"/>
        </w:rPr>
        <w:t xml:space="preserve"> </w:t>
      </w:r>
      <w:r>
        <w:rPr>
          <w:rFonts w:hint="eastAsia" w:ascii="宋体" w:hAnsi="宋体" w:eastAsia="宋体" w:cs="宋体"/>
          <w:b/>
          <w:bCs/>
          <w:color w:val="auto"/>
          <w:sz w:val="98"/>
          <w:szCs w:val="98"/>
          <w:highlight w:val="none"/>
        </w:rPr>
        <w:t>文</w:t>
      </w:r>
      <w:r>
        <w:rPr>
          <w:rFonts w:hint="eastAsia" w:ascii="宋体" w:hAnsi="宋体" w:eastAsia="宋体" w:cs="宋体"/>
          <w:b/>
          <w:bCs/>
          <w:color w:val="auto"/>
          <w:sz w:val="98"/>
          <w:szCs w:val="98"/>
          <w:highlight w:val="none"/>
          <w:lang w:val="en-US" w:eastAsia="zh-CN"/>
        </w:rPr>
        <w:t xml:space="preserve"> </w:t>
      </w:r>
      <w:r>
        <w:rPr>
          <w:rFonts w:hint="eastAsia" w:ascii="宋体" w:hAnsi="宋体" w:eastAsia="宋体" w:cs="宋体"/>
          <w:b/>
          <w:bCs/>
          <w:color w:val="auto"/>
          <w:sz w:val="98"/>
          <w:szCs w:val="98"/>
          <w:highlight w:val="none"/>
        </w:rPr>
        <w:t>件</w:t>
      </w:r>
    </w:p>
    <w:p w14:paraId="19F15149">
      <w:pPr>
        <w:spacing w:line="480" w:lineRule="exact"/>
        <w:ind w:firstLine="2880" w:firstLineChars="900"/>
        <w:rPr>
          <w:rFonts w:hint="eastAsia" w:ascii="宋体" w:hAnsi="宋体" w:eastAsia="宋体" w:cs="宋体"/>
          <w:color w:val="auto"/>
          <w:sz w:val="32"/>
          <w:highlight w:val="none"/>
          <w:u w:val="none"/>
          <w:lang w:val="en-US" w:eastAsia="zh-CN"/>
        </w:rPr>
      </w:pPr>
    </w:p>
    <w:p w14:paraId="6228E25F">
      <w:pPr>
        <w:spacing w:line="480" w:lineRule="exact"/>
        <w:jc w:val="center"/>
        <w:rPr>
          <w:rFonts w:hint="default" w:ascii="宋体" w:hAnsi="宋体" w:eastAsia="宋体" w:cs="宋体"/>
          <w:b/>
          <w:bCs/>
          <w:color w:val="auto"/>
          <w:sz w:val="44"/>
          <w:szCs w:val="44"/>
          <w:highlight w:val="none"/>
          <w:u w:val="none"/>
          <w:lang w:val="en-US" w:eastAsia="zh-CN"/>
        </w:rPr>
      </w:pPr>
      <w:r>
        <w:rPr>
          <w:rFonts w:hint="eastAsia" w:ascii="宋体" w:hAnsi="宋体" w:eastAsia="宋体" w:cs="宋体"/>
          <w:color w:val="auto"/>
          <w:sz w:val="32"/>
          <w:highlight w:val="none"/>
          <w:u w:val="none"/>
          <w:lang w:val="en-US" w:eastAsia="zh-CN"/>
        </w:rPr>
        <w:t>项目编号：HXJY1110001044075001001</w:t>
      </w:r>
    </w:p>
    <w:p w14:paraId="1CCCA184">
      <w:pPr>
        <w:spacing w:line="480" w:lineRule="exact"/>
        <w:ind w:firstLine="643" w:firstLineChars="200"/>
        <w:jc w:val="center"/>
        <w:rPr>
          <w:rFonts w:hint="eastAsia" w:ascii="宋体" w:hAnsi="宋体" w:eastAsia="宋体" w:cs="宋体"/>
          <w:b/>
          <w:bCs/>
          <w:color w:val="auto"/>
          <w:sz w:val="32"/>
          <w:szCs w:val="32"/>
          <w:highlight w:val="none"/>
        </w:rPr>
      </w:pPr>
    </w:p>
    <w:p w14:paraId="2968F6F1">
      <w:pPr>
        <w:spacing w:line="480" w:lineRule="exact"/>
        <w:ind w:firstLine="472" w:firstLineChars="147"/>
        <w:rPr>
          <w:rFonts w:hint="eastAsia" w:ascii="宋体" w:hAnsi="宋体" w:eastAsia="宋体" w:cs="宋体"/>
          <w:b/>
          <w:bCs/>
          <w:color w:val="auto"/>
          <w:sz w:val="32"/>
          <w:szCs w:val="32"/>
          <w:highlight w:val="none"/>
        </w:rPr>
      </w:pPr>
    </w:p>
    <w:p w14:paraId="07CE3B8E">
      <w:pPr>
        <w:spacing w:line="480" w:lineRule="exact"/>
        <w:ind w:firstLine="472" w:firstLineChars="147"/>
        <w:rPr>
          <w:rFonts w:hint="eastAsia" w:ascii="宋体" w:hAnsi="宋体" w:eastAsia="宋体" w:cs="宋体"/>
          <w:b/>
          <w:bCs/>
          <w:color w:val="auto"/>
          <w:sz w:val="32"/>
          <w:szCs w:val="32"/>
          <w:highlight w:val="none"/>
        </w:rPr>
      </w:pPr>
    </w:p>
    <w:p w14:paraId="536C2082">
      <w:pPr>
        <w:spacing w:line="480" w:lineRule="exact"/>
        <w:rPr>
          <w:rFonts w:hint="eastAsia" w:ascii="宋体" w:hAnsi="宋体" w:eastAsia="宋体" w:cs="宋体"/>
          <w:b/>
          <w:bCs/>
          <w:color w:val="auto"/>
          <w:sz w:val="32"/>
          <w:szCs w:val="32"/>
          <w:highlight w:val="none"/>
        </w:rPr>
      </w:pPr>
    </w:p>
    <w:p w14:paraId="0292DE31">
      <w:pPr>
        <w:rPr>
          <w:rFonts w:hint="eastAsia" w:ascii="宋体" w:hAnsi="宋体" w:eastAsia="宋体" w:cs="宋体"/>
          <w:color w:val="auto"/>
          <w:highlight w:val="none"/>
        </w:rPr>
      </w:pPr>
    </w:p>
    <w:p w14:paraId="44D60B52">
      <w:pPr>
        <w:wordWrap w:val="0"/>
        <w:spacing w:line="800" w:lineRule="exact"/>
        <w:ind w:right="480" w:firstLine="960" w:firstLineChars="300"/>
        <w:jc w:val="both"/>
        <w:rPr>
          <w:rFonts w:hint="eastAsia" w:ascii="宋体" w:hAnsi="宋体" w:eastAsia="宋体" w:cs="宋体"/>
          <w:color w:val="auto"/>
          <w:sz w:val="32"/>
          <w:highlight w:val="none"/>
        </w:rPr>
      </w:pPr>
      <w:r>
        <w:rPr>
          <w:rFonts w:hint="eastAsia" w:ascii="宋体" w:hAnsi="宋体" w:eastAsia="宋体" w:cs="宋体"/>
          <w:color w:val="auto"/>
          <w:sz w:val="32"/>
          <w:highlight w:val="none"/>
          <w:lang w:val="en-US" w:eastAsia="zh-CN"/>
        </w:rPr>
        <w:t>招标</w:t>
      </w:r>
      <w:r>
        <w:rPr>
          <w:rFonts w:hint="eastAsia" w:ascii="宋体" w:hAnsi="宋体" w:eastAsia="宋体" w:cs="宋体"/>
          <w:color w:val="auto"/>
          <w:sz w:val="32"/>
          <w:highlight w:val="none"/>
        </w:rPr>
        <w:t>单位：</w:t>
      </w:r>
      <w:r>
        <w:rPr>
          <w:rFonts w:hint="eastAsia" w:ascii="宋体" w:hAnsi="宋体" w:cs="宋体"/>
          <w:color w:val="auto"/>
          <w:sz w:val="32"/>
          <w:highlight w:val="none"/>
          <w:u w:val="single"/>
          <w:lang w:val="en-US" w:eastAsia="zh-CN"/>
        </w:rPr>
        <w:t xml:space="preserve">   滁州市重点工程建设管理处  </w:t>
      </w:r>
      <w:r>
        <w:rPr>
          <w:rFonts w:hint="eastAsia" w:ascii="宋体" w:hAnsi="宋体" w:eastAsia="宋体" w:cs="宋体"/>
          <w:color w:val="auto"/>
          <w:sz w:val="32"/>
          <w:highlight w:val="none"/>
          <w:u w:val="single"/>
        </w:rPr>
        <w:t>（盖章）</w:t>
      </w:r>
    </w:p>
    <w:p w14:paraId="7964B908">
      <w:pPr>
        <w:spacing w:line="800" w:lineRule="exact"/>
        <w:jc w:val="center"/>
        <w:rPr>
          <w:rFonts w:hint="eastAsia" w:ascii="宋体" w:hAnsi="宋体" w:eastAsia="宋体" w:cs="宋体"/>
          <w:color w:val="auto"/>
          <w:sz w:val="32"/>
          <w:highlight w:val="none"/>
          <w:u w:val="single"/>
        </w:rPr>
      </w:pPr>
      <w:r>
        <w:rPr>
          <w:rFonts w:hint="eastAsia" w:ascii="宋体" w:hAnsi="宋体" w:eastAsia="宋体" w:cs="宋体"/>
          <w:color w:val="auto"/>
          <w:sz w:val="32"/>
          <w:highlight w:val="none"/>
        </w:rPr>
        <w:t>代理机构：</w:t>
      </w:r>
      <w:r>
        <w:rPr>
          <w:rFonts w:hint="eastAsia" w:ascii="宋体" w:hAnsi="宋体" w:eastAsia="宋体" w:cs="宋体"/>
          <w:color w:val="auto"/>
          <w:sz w:val="32"/>
          <w:highlight w:val="none"/>
          <w:u w:val="single"/>
        </w:rPr>
        <w:t>滁州市城投工程咨询管理有限公司（盖章）</w:t>
      </w:r>
    </w:p>
    <w:p w14:paraId="5E2CC12C">
      <w:pPr>
        <w:spacing w:line="800" w:lineRule="exact"/>
        <w:jc w:val="center"/>
        <w:rPr>
          <w:rFonts w:hint="eastAsia" w:ascii="宋体" w:hAnsi="宋体" w:eastAsia="宋体" w:cs="宋体"/>
          <w:b/>
          <w:color w:val="auto"/>
          <w:spacing w:val="20"/>
          <w:sz w:val="32"/>
          <w:szCs w:val="32"/>
          <w:highlight w:val="none"/>
          <w:lang w:val="en-US" w:eastAsia="zh-CN"/>
        </w:rPr>
      </w:pPr>
      <w:r>
        <w:rPr>
          <w:rFonts w:hint="eastAsia" w:ascii="宋体" w:hAnsi="宋体" w:eastAsia="宋体" w:cs="宋体"/>
          <w:color w:val="auto"/>
          <w:sz w:val="32"/>
          <w:highlight w:val="none"/>
          <w:u w:val="single"/>
        </w:rPr>
        <w:t>202</w:t>
      </w:r>
      <w:r>
        <w:rPr>
          <w:rFonts w:hint="eastAsia" w:ascii="宋体" w:hAnsi="宋体" w:cs="宋体"/>
          <w:color w:val="auto"/>
          <w:sz w:val="32"/>
          <w:highlight w:val="none"/>
          <w:u w:val="single"/>
          <w:lang w:val="en-US" w:eastAsia="zh-CN"/>
        </w:rPr>
        <w:t>5</w:t>
      </w:r>
      <w:r>
        <w:rPr>
          <w:rFonts w:hint="eastAsia" w:ascii="宋体" w:hAnsi="宋体" w:eastAsia="宋体" w:cs="宋体"/>
          <w:color w:val="auto"/>
          <w:sz w:val="32"/>
          <w:highlight w:val="none"/>
        </w:rPr>
        <w:t>年</w:t>
      </w:r>
      <w:r>
        <w:rPr>
          <w:rFonts w:hint="eastAsia" w:ascii="宋体" w:hAnsi="宋体" w:cs="宋体"/>
          <w:color w:val="auto"/>
          <w:sz w:val="32"/>
          <w:highlight w:val="none"/>
          <w:u w:val="single"/>
          <w:lang w:val="en-US" w:eastAsia="zh-CN"/>
        </w:rPr>
        <w:t xml:space="preserve"> 9</w:t>
      </w:r>
      <w:r>
        <w:rPr>
          <w:rFonts w:hint="eastAsia" w:ascii="宋体" w:hAnsi="宋体" w:eastAsia="宋体" w:cs="宋体"/>
          <w:color w:val="auto"/>
          <w:sz w:val="32"/>
          <w:highlight w:val="none"/>
        </w:rPr>
        <w:t>月</w:t>
      </w:r>
    </w:p>
    <w:p w14:paraId="489A0808">
      <w:pPr>
        <w:rPr>
          <w:rFonts w:hint="eastAsia" w:ascii="宋体" w:hAnsi="宋体" w:eastAsia="宋体" w:cs="宋体"/>
          <w:color w:val="auto"/>
          <w:highlight w:val="none"/>
        </w:rPr>
        <w:sectPr>
          <w:headerReference r:id="rId4" w:type="first"/>
          <w:footerReference r:id="rId6" w:type="first"/>
          <w:headerReference r:id="rId3" w:type="default"/>
          <w:footerReference r:id="rId5" w:type="default"/>
          <w:pgSz w:w="11906" w:h="16838"/>
          <w:pgMar w:top="1134" w:right="1106" w:bottom="1134" w:left="1259" w:header="680" w:footer="680" w:gutter="0"/>
          <w:cols w:space="0" w:num="1"/>
          <w:titlePg/>
          <w:docGrid w:type="lines" w:linePitch="318" w:charSpace="0"/>
        </w:sectPr>
      </w:pPr>
    </w:p>
    <w:p w14:paraId="35F77A08">
      <w:pPr>
        <w:jc w:val="center"/>
        <w:rPr>
          <w:rFonts w:hint="eastAsia" w:ascii="宋体" w:hAnsi="宋体" w:eastAsia="宋体" w:cs="宋体"/>
          <w:b/>
          <w:bCs/>
          <w:color w:val="auto"/>
          <w:sz w:val="48"/>
          <w:szCs w:val="48"/>
          <w:highlight w:val="none"/>
        </w:rPr>
      </w:pPr>
      <w:r>
        <w:rPr>
          <w:rFonts w:hint="eastAsia" w:ascii="宋体" w:hAnsi="宋体" w:eastAsia="宋体" w:cs="宋体"/>
          <w:b/>
          <w:bCs/>
          <w:color w:val="auto"/>
          <w:sz w:val="48"/>
          <w:szCs w:val="48"/>
          <w:highlight w:val="none"/>
        </w:rPr>
        <w:t>目  录</w:t>
      </w:r>
    </w:p>
    <w:p w14:paraId="6259B4B0">
      <w:pPr>
        <w:pStyle w:val="32"/>
        <w:tabs>
          <w:tab w:val="right" w:leader="dot" w:pos="9541"/>
          <w:tab w:val="clear" w:pos="8296"/>
        </w:tabs>
        <w:rPr>
          <w:rFonts w:hint="eastAsia" w:ascii="宋体" w:hAnsi="宋体" w:eastAsia="宋体" w:cs="宋体"/>
          <w:b w:val="0"/>
          <w:bCs w:val="0"/>
          <w:color w:val="auto"/>
          <w:sz w:val="24"/>
          <w:szCs w:val="24"/>
          <w:highlight w:val="none"/>
        </w:rPr>
      </w:pPr>
    </w:p>
    <w:p w14:paraId="5F0FFD1A">
      <w:pPr>
        <w:pStyle w:val="32"/>
        <w:tabs>
          <w:tab w:val="right" w:leader="dot" w:pos="9541"/>
          <w:tab w:val="clear" w:pos="8296"/>
        </w:tabs>
        <w:rPr>
          <w:rFonts w:hint="eastAsia" w:ascii="宋体" w:hAnsi="宋体" w:eastAsia="宋体" w:cs="宋体"/>
          <w:color w:val="auto"/>
          <w:highlight w:val="none"/>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TOC \o "1-2" \h \u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Cs w:val="0"/>
          <w:color w:val="auto"/>
          <w:szCs w:val="24"/>
          <w:highlight w:val="none"/>
        </w:rPr>
        <w:fldChar w:fldCharType="begin"/>
      </w:r>
      <w:r>
        <w:rPr>
          <w:rFonts w:hint="eastAsia" w:ascii="宋体" w:hAnsi="宋体" w:eastAsia="宋体" w:cs="宋体"/>
          <w:bCs w:val="0"/>
          <w:color w:val="auto"/>
          <w:szCs w:val="24"/>
          <w:highlight w:val="none"/>
        </w:rPr>
        <w:instrText xml:space="preserve"> HYPERLINK \l _Toc16309 </w:instrText>
      </w:r>
      <w:r>
        <w:rPr>
          <w:rFonts w:hint="eastAsia" w:ascii="宋体" w:hAnsi="宋体" w:eastAsia="宋体" w:cs="宋体"/>
          <w:bCs w:val="0"/>
          <w:color w:val="auto"/>
          <w:szCs w:val="24"/>
          <w:highlight w:val="none"/>
        </w:rPr>
        <w:fldChar w:fldCharType="separate"/>
      </w:r>
      <w:r>
        <w:rPr>
          <w:rFonts w:hint="eastAsia" w:ascii="宋体" w:hAnsi="宋体" w:eastAsia="宋体" w:cs="宋体"/>
          <w:color w:val="auto"/>
          <w:highlight w:val="none"/>
        </w:rPr>
        <w:t>A、</w:t>
      </w:r>
      <w:r>
        <w:rPr>
          <w:rFonts w:hint="eastAsia" w:hAnsi="宋体" w:eastAsia="宋体" w:cs="宋体"/>
          <w:color w:val="auto"/>
          <w:highlight w:val="none"/>
          <w:lang w:val="en-US" w:eastAsia="zh-CN"/>
        </w:rPr>
        <w:t>招标公告</w:t>
      </w:r>
      <w:r>
        <w:rPr>
          <w:rFonts w:hint="eastAsia" w:ascii="宋体" w:hAnsi="宋体" w:eastAsia="宋体" w:cs="宋体"/>
          <w:color w:val="auto"/>
          <w:highlight w:val="none"/>
        </w:rPr>
        <w:tab/>
      </w:r>
      <w:r>
        <w:rPr>
          <w:rFonts w:hint="eastAsia" w:hAnsi="宋体" w:eastAsia="宋体" w:cs="宋体"/>
          <w:color w:val="auto"/>
          <w:highlight w:val="none"/>
          <w:lang w:val="en-US" w:eastAsia="zh-CN"/>
        </w:rPr>
        <w:t>1</w:t>
      </w:r>
      <w:r>
        <w:rPr>
          <w:rFonts w:hint="eastAsia" w:ascii="宋体" w:hAnsi="宋体" w:eastAsia="宋体" w:cs="宋体"/>
          <w:bCs w:val="0"/>
          <w:color w:val="auto"/>
          <w:szCs w:val="24"/>
          <w:highlight w:val="none"/>
        </w:rPr>
        <w:fldChar w:fldCharType="end"/>
      </w:r>
    </w:p>
    <w:p w14:paraId="4CD5E4E4">
      <w:pPr>
        <w:pStyle w:val="32"/>
        <w:tabs>
          <w:tab w:val="right" w:leader="dot" w:pos="9541"/>
          <w:tab w:val="clear" w:pos="8296"/>
        </w:tabs>
        <w:rPr>
          <w:rFonts w:hint="eastAsia" w:ascii="宋体" w:hAnsi="宋体" w:eastAsia="宋体" w:cs="宋体"/>
          <w:color w:val="auto"/>
          <w:highlight w:val="none"/>
        </w:rPr>
      </w:pPr>
      <w:r>
        <w:rPr>
          <w:rFonts w:hint="eastAsia" w:ascii="宋体" w:hAnsi="宋体" w:eastAsia="宋体" w:cs="宋体"/>
          <w:bCs w:val="0"/>
          <w:color w:val="auto"/>
          <w:szCs w:val="24"/>
          <w:highlight w:val="none"/>
        </w:rPr>
        <w:fldChar w:fldCharType="begin"/>
      </w:r>
      <w:r>
        <w:rPr>
          <w:rFonts w:hint="eastAsia" w:ascii="宋体" w:hAnsi="宋体" w:eastAsia="宋体" w:cs="宋体"/>
          <w:bCs w:val="0"/>
          <w:color w:val="auto"/>
          <w:szCs w:val="24"/>
          <w:highlight w:val="none"/>
        </w:rPr>
        <w:instrText xml:space="preserve"> HYPERLINK \l _Toc2525 </w:instrText>
      </w:r>
      <w:r>
        <w:rPr>
          <w:rFonts w:hint="eastAsia" w:ascii="宋体" w:hAnsi="宋体" w:eastAsia="宋体" w:cs="宋体"/>
          <w:bCs w:val="0"/>
          <w:color w:val="auto"/>
          <w:szCs w:val="24"/>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一</w:t>
      </w:r>
      <w:r>
        <w:rPr>
          <w:rFonts w:hint="eastAsia" w:ascii="宋体" w:hAnsi="宋体" w:eastAsia="宋体" w:cs="宋体"/>
          <w:color w:val="auto"/>
          <w:highlight w:val="none"/>
        </w:rPr>
        <w:t>章</w:t>
      </w:r>
      <w:r>
        <w:rPr>
          <w:rFonts w:hint="eastAsia" w:ascii="宋体" w:hAnsi="宋体" w:eastAsia="宋体" w:cs="宋体"/>
          <w:color w:val="auto"/>
          <w:highlight w:val="none"/>
          <w:lang w:val="en-US" w:eastAsia="zh-CN"/>
        </w:rPr>
        <w:t xml:space="preserve"> </w:t>
      </w:r>
      <w:r>
        <w:rPr>
          <w:rFonts w:hint="eastAsia" w:hAnsi="宋体" w:eastAsia="宋体" w:cs="宋体"/>
          <w:color w:val="auto"/>
          <w:highlight w:val="none"/>
          <w:lang w:eastAsia="zh-CN"/>
        </w:rPr>
        <w:t>投标人须知</w:t>
      </w:r>
      <w:r>
        <w:rPr>
          <w:rFonts w:hint="eastAsia" w:ascii="宋体" w:hAnsi="宋体" w:eastAsia="宋体" w:cs="宋体"/>
          <w:color w:val="auto"/>
          <w:highlight w:val="none"/>
        </w:rPr>
        <w:tab/>
      </w:r>
      <w:r>
        <w:rPr>
          <w:rFonts w:hint="eastAsia" w:hAnsi="宋体" w:eastAsia="宋体" w:cs="宋体"/>
          <w:color w:val="auto"/>
          <w:highlight w:val="none"/>
          <w:lang w:val="en-US" w:eastAsia="zh-CN"/>
        </w:rPr>
        <w:t>6</w:t>
      </w:r>
      <w:r>
        <w:rPr>
          <w:rFonts w:hint="eastAsia" w:ascii="宋体" w:hAnsi="宋体" w:eastAsia="宋体" w:cs="宋体"/>
          <w:bCs w:val="0"/>
          <w:color w:val="auto"/>
          <w:szCs w:val="24"/>
          <w:highlight w:val="none"/>
        </w:rPr>
        <w:fldChar w:fldCharType="end"/>
      </w:r>
    </w:p>
    <w:p w14:paraId="37667979">
      <w:pPr>
        <w:pStyle w:val="32"/>
        <w:tabs>
          <w:tab w:val="right" w:leader="dot" w:pos="9541"/>
          <w:tab w:val="clear" w:pos="8296"/>
        </w:tabs>
        <w:rPr>
          <w:rFonts w:hint="eastAsia" w:ascii="宋体" w:hAnsi="宋体" w:eastAsia="宋体" w:cs="宋体"/>
          <w:color w:val="auto"/>
          <w:highlight w:val="none"/>
          <w:lang w:val="en-US" w:eastAsia="zh-CN"/>
        </w:rPr>
      </w:pPr>
      <w:r>
        <w:rPr>
          <w:rFonts w:hint="eastAsia" w:ascii="宋体" w:hAnsi="宋体" w:eastAsia="宋体" w:cs="宋体"/>
          <w:bCs w:val="0"/>
          <w:color w:val="auto"/>
          <w:szCs w:val="24"/>
          <w:highlight w:val="none"/>
        </w:rPr>
        <w:fldChar w:fldCharType="begin"/>
      </w:r>
      <w:r>
        <w:rPr>
          <w:rFonts w:hint="eastAsia" w:ascii="宋体" w:hAnsi="宋体" w:eastAsia="宋体" w:cs="宋体"/>
          <w:bCs w:val="0"/>
          <w:color w:val="auto"/>
          <w:szCs w:val="24"/>
          <w:highlight w:val="none"/>
        </w:rPr>
        <w:instrText xml:space="preserve"> HYPERLINK \l _Toc13234 </w:instrText>
      </w:r>
      <w:r>
        <w:rPr>
          <w:rFonts w:hint="eastAsia" w:ascii="宋体" w:hAnsi="宋体" w:eastAsia="宋体" w:cs="宋体"/>
          <w:bCs w:val="0"/>
          <w:color w:val="auto"/>
          <w:szCs w:val="24"/>
          <w:highlight w:val="none"/>
        </w:rPr>
        <w:fldChar w:fldCharType="separate"/>
      </w:r>
      <w:r>
        <w:rPr>
          <w:rFonts w:hint="eastAsia" w:ascii="宋体" w:hAnsi="宋体" w:eastAsia="宋体" w:cs="宋体"/>
          <w:color w:val="auto"/>
          <w:highlight w:val="none"/>
          <w:lang w:val="en-US" w:eastAsia="zh-CN"/>
        </w:rPr>
        <w:t>第二章 评标办法</w:t>
      </w:r>
      <w:r>
        <w:rPr>
          <w:rFonts w:hint="eastAsia" w:ascii="宋体" w:hAnsi="宋体" w:eastAsia="宋体" w:cs="宋体"/>
          <w:color w:val="auto"/>
          <w:highlight w:val="none"/>
        </w:rPr>
        <w:tab/>
      </w:r>
      <w:r>
        <w:rPr>
          <w:rFonts w:hint="eastAsia" w:hAnsi="宋体" w:eastAsia="宋体" w:cs="宋体"/>
          <w:color w:val="auto"/>
          <w:highlight w:val="none"/>
          <w:lang w:val="en-US" w:eastAsia="zh-CN"/>
        </w:rPr>
        <w:t>2</w:t>
      </w:r>
      <w:r>
        <w:rPr>
          <w:rFonts w:hint="eastAsia" w:ascii="宋体" w:hAnsi="宋体" w:eastAsia="宋体" w:cs="宋体"/>
          <w:bCs w:val="0"/>
          <w:color w:val="auto"/>
          <w:szCs w:val="24"/>
          <w:highlight w:val="none"/>
        </w:rPr>
        <w:fldChar w:fldCharType="end"/>
      </w:r>
      <w:r>
        <w:rPr>
          <w:rFonts w:hint="eastAsia" w:hAnsi="宋体" w:eastAsia="宋体" w:cs="宋体"/>
          <w:bCs w:val="0"/>
          <w:color w:val="auto"/>
          <w:szCs w:val="24"/>
          <w:highlight w:val="none"/>
          <w:lang w:val="en-US" w:eastAsia="zh-CN"/>
        </w:rPr>
        <w:t>0</w:t>
      </w:r>
    </w:p>
    <w:p w14:paraId="65E06610">
      <w:pPr>
        <w:pStyle w:val="32"/>
        <w:tabs>
          <w:tab w:val="right" w:leader="dot" w:pos="9541"/>
          <w:tab w:val="clear" w:pos="8296"/>
        </w:tabs>
        <w:rPr>
          <w:rFonts w:hint="eastAsia" w:ascii="宋体" w:hAnsi="宋体" w:eastAsia="宋体" w:cs="宋体"/>
          <w:color w:val="auto"/>
          <w:highlight w:val="none"/>
        </w:rPr>
      </w:pPr>
      <w:r>
        <w:rPr>
          <w:rFonts w:hint="eastAsia" w:ascii="宋体" w:hAnsi="宋体" w:eastAsia="宋体" w:cs="宋体"/>
          <w:bCs w:val="0"/>
          <w:color w:val="auto"/>
          <w:szCs w:val="24"/>
          <w:highlight w:val="none"/>
        </w:rPr>
        <w:fldChar w:fldCharType="begin"/>
      </w:r>
      <w:r>
        <w:rPr>
          <w:rFonts w:hint="eastAsia" w:ascii="宋体" w:hAnsi="宋体" w:eastAsia="宋体" w:cs="宋体"/>
          <w:bCs w:val="0"/>
          <w:color w:val="auto"/>
          <w:szCs w:val="24"/>
          <w:highlight w:val="none"/>
        </w:rPr>
        <w:instrText xml:space="preserve"> HYPERLINK \l _Toc3848 </w:instrText>
      </w:r>
      <w:r>
        <w:rPr>
          <w:rFonts w:hint="eastAsia" w:ascii="宋体" w:hAnsi="宋体" w:eastAsia="宋体" w:cs="宋体"/>
          <w:bCs w:val="0"/>
          <w:color w:val="auto"/>
          <w:szCs w:val="24"/>
          <w:highlight w:val="none"/>
        </w:rPr>
        <w:fldChar w:fldCharType="separate"/>
      </w:r>
      <w:r>
        <w:rPr>
          <w:rFonts w:hint="eastAsia" w:ascii="宋体" w:hAnsi="宋体" w:eastAsia="宋体" w:cs="宋体"/>
          <w:color w:val="auto"/>
          <w:szCs w:val="44"/>
          <w:highlight w:val="none"/>
          <w:lang w:val="en-US" w:eastAsia="zh-CN"/>
        </w:rPr>
        <w:t>第三章 合同条款</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_Toc3848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w:t>
      </w:r>
      <w:r>
        <w:rPr>
          <w:rFonts w:hint="eastAsia" w:hAnsi="宋体" w:eastAsia="宋体" w:cs="宋体"/>
          <w:color w:val="auto"/>
          <w:highlight w:val="none"/>
          <w:lang w:val="en-US" w:eastAsia="zh-CN"/>
        </w:rPr>
        <w:t>6</w:t>
      </w:r>
      <w:r>
        <w:rPr>
          <w:rFonts w:hint="eastAsia" w:ascii="宋体" w:hAnsi="宋体" w:eastAsia="宋体" w:cs="宋体"/>
          <w:color w:val="auto"/>
          <w:highlight w:val="none"/>
        </w:rPr>
        <w:fldChar w:fldCharType="end"/>
      </w:r>
      <w:r>
        <w:rPr>
          <w:rFonts w:hint="eastAsia" w:ascii="宋体" w:hAnsi="宋体" w:eastAsia="宋体" w:cs="宋体"/>
          <w:bCs w:val="0"/>
          <w:color w:val="auto"/>
          <w:szCs w:val="24"/>
          <w:highlight w:val="none"/>
        </w:rPr>
        <w:fldChar w:fldCharType="end"/>
      </w:r>
    </w:p>
    <w:p w14:paraId="02A250ED">
      <w:pPr>
        <w:pStyle w:val="32"/>
        <w:tabs>
          <w:tab w:val="right" w:leader="dot" w:pos="9541"/>
          <w:tab w:val="clear" w:pos="8296"/>
        </w:tabs>
        <w:rPr>
          <w:rFonts w:hint="eastAsia" w:ascii="宋体" w:hAnsi="宋体" w:eastAsia="宋体" w:cs="宋体"/>
          <w:color w:val="auto"/>
          <w:highlight w:val="none"/>
          <w:lang w:val="en-US" w:eastAsia="zh-CN"/>
        </w:rPr>
      </w:pPr>
      <w:r>
        <w:rPr>
          <w:rFonts w:hint="eastAsia" w:ascii="宋体" w:hAnsi="宋体" w:eastAsia="宋体" w:cs="宋体"/>
          <w:bCs w:val="0"/>
          <w:color w:val="auto"/>
          <w:szCs w:val="24"/>
          <w:highlight w:val="none"/>
        </w:rPr>
        <w:fldChar w:fldCharType="begin"/>
      </w:r>
      <w:r>
        <w:rPr>
          <w:rFonts w:hint="eastAsia" w:ascii="宋体" w:hAnsi="宋体" w:eastAsia="宋体" w:cs="宋体"/>
          <w:bCs w:val="0"/>
          <w:color w:val="auto"/>
          <w:szCs w:val="24"/>
          <w:highlight w:val="none"/>
        </w:rPr>
        <w:instrText xml:space="preserve"> HYPERLINK \l _Toc30675 </w:instrText>
      </w:r>
      <w:r>
        <w:rPr>
          <w:rFonts w:hint="eastAsia" w:ascii="宋体" w:hAnsi="宋体" w:eastAsia="宋体" w:cs="宋体"/>
          <w:bCs w:val="0"/>
          <w:color w:val="auto"/>
          <w:szCs w:val="24"/>
          <w:highlight w:val="none"/>
        </w:rPr>
        <w:fldChar w:fldCharType="separate"/>
      </w:r>
      <w:r>
        <w:rPr>
          <w:rFonts w:hint="eastAsia" w:ascii="宋体" w:hAnsi="宋体" w:eastAsia="宋体" w:cs="宋体"/>
          <w:color w:val="auto"/>
          <w:highlight w:val="none"/>
          <w:lang w:val="en-US" w:eastAsia="zh-CN"/>
        </w:rPr>
        <w:t>第四章 投标文件格式</w:t>
      </w:r>
      <w:r>
        <w:rPr>
          <w:rFonts w:hint="eastAsia" w:ascii="宋体" w:hAnsi="宋体" w:eastAsia="宋体" w:cs="宋体"/>
          <w:color w:val="auto"/>
          <w:highlight w:val="none"/>
        </w:rPr>
        <w:tab/>
      </w:r>
      <w:r>
        <w:rPr>
          <w:rFonts w:hint="eastAsia" w:hAnsi="宋体" w:eastAsia="宋体" w:cs="宋体"/>
          <w:color w:val="auto"/>
          <w:highlight w:val="none"/>
          <w:lang w:val="en-US" w:eastAsia="zh-CN"/>
        </w:rPr>
        <w:t>3</w:t>
      </w:r>
      <w:r>
        <w:rPr>
          <w:rFonts w:hint="eastAsia" w:ascii="宋体" w:hAnsi="宋体" w:eastAsia="宋体" w:cs="宋体"/>
          <w:bCs w:val="0"/>
          <w:color w:val="auto"/>
          <w:szCs w:val="24"/>
          <w:highlight w:val="none"/>
        </w:rPr>
        <w:fldChar w:fldCharType="end"/>
      </w:r>
      <w:r>
        <w:rPr>
          <w:rFonts w:hint="eastAsia" w:hAnsi="宋体" w:eastAsia="宋体" w:cs="宋体"/>
          <w:bCs w:val="0"/>
          <w:color w:val="auto"/>
          <w:szCs w:val="24"/>
          <w:highlight w:val="none"/>
          <w:lang w:val="en-US" w:eastAsia="zh-CN"/>
        </w:rPr>
        <w:t>0</w:t>
      </w:r>
    </w:p>
    <w:p w14:paraId="703F52F3">
      <w:pPr>
        <w:pStyle w:val="32"/>
        <w:tabs>
          <w:tab w:val="right" w:leader="dot" w:pos="9541"/>
          <w:tab w:val="clear" w:pos="8296"/>
        </w:tabs>
        <w:rPr>
          <w:rFonts w:hint="eastAsia" w:ascii="宋体" w:hAnsi="宋体" w:eastAsia="宋体" w:cs="宋体"/>
          <w:color w:val="auto"/>
          <w:highlight w:val="none"/>
        </w:rPr>
      </w:pPr>
      <w:r>
        <w:rPr>
          <w:rFonts w:hint="eastAsia" w:ascii="宋体" w:hAnsi="宋体" w:eastAsia="宋体" w:cs="宋体"/>
          <w:bCs w:val="0"/>
          <w:color w:val="auto"/>
          <w:szCs w:val="24"/>
          <w:highlight w:val="none"/>
        </w:rPr>
        <w:fldChar w:fldCharType="begin"/>
      </w:r>
      <w:r>
        <w:rPr>
          <w:rFonts w:hint="eastAsia" w:ascii="宋体" w:hAnsi="宋体" w:eastAsia="宋体" w:cs="宋体"/>
          <w:bCs w:val="0"/>
          <w:color w:val="auto"/>
          <w:szCs w:val="24"/>
          <w:highlight w:val="none"/>
        </w:rPr>
        <w:instrText xml:space="preserve"> HYPERLINK \l _Toc31498 </w:instrText>
      </w:r>
      <w:r>
        <w:rPr>
          <w:rFonts w:hint="eastAsia" w:ascii="宋体" w:hAnsi="宋体" w:eastAsia="宋体" w:cs="宋体"/>
          <w:bCs w:val="0"/>
          <w:color w:val="auto"/>
          <w:szCs w:val="24"/>
          <w:highlight w:val="none"/>
        </w:rPr>
        <w:fldChar w:fldCharType="separate"/>
      </w:r>
      <w:r>
        <w:rPr>
          <w:rFonts w:hint="eastAsia" w:ascii="宋体" w:hAnsi="宋体" w:eastAsia="宋体" w:cs="宋体"/>
          <w:color w:val="auto"/>
          <w:highlight w:val="none"/>
          <w:lang w:val="en-US" w:eastAsia="zh-CN"/>
        </w:rPr>
        <w:t>第五章 招标单位、招标代理机构对本招标文件的确认</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_Toc31498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w:t>
      </w:r>
      <w:r>
        <w:rPr>
          <w:rFonts w:hint="eastAsia" w:hAnsi="宋体" w:eastAsia="宋体" w:cs="宋体"/>
          <w:color w:val="auto"/>
          <w:highlight w:val="none"/>
          <w:lang w:val="en-US" w:eastAsia="zh-CN"/>
        </w:rPr>
        <w:t>5</w:t>
      </w:r>
      <w:r>
        <w:rPr>
          <w:rFonts w:hint="eastAsia" w:ascii="宋体" w:hAnsi="宋体" w:eastAsia="宋体" w:cs="宋体"/>
          <w:color w:val="auto"/>
          <w:highlight w:val="none"/>
        </w:rPr>
        <w:fldChar w:fldCharType="end"/>
      </w:r>
      <w:r>
        <w:rPr>
          <w:rFonts w:hint="eastAsia" w:ascii="宋体" w:hAnsi="宋体" w:eastAsia="宋体" w:cs="宋体"/>
          <w:bCs w:val="0"/>
          <w:color w:val="auto"/>
          <w:szCs w:val="24"/>
          <w:highlight w:val="none"/>
        </w:rPr>
        <w:fldChar w:fldCharType="end"/>
      </w:r>
    </w:p>
    <w:p w14:paraId="2E1D2DC7">
      <w:pPr>
        <w:pStyle w:val="6"/>
        <w:spacing w:before="0" w:after="0" w:line="480" w:lineRule="auto"/>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Cs w:val="0"/>
          <w:color w:val="auto"/>
          <w:szCs w:val="24"/>
          <w:highlight w:val="none"/>
        </w:rPr>
        <w:fldChar w:fldCharType="end"/>
      </w:r>
      <w:r>
        <w:rPr>
          <w:rFonts w:hint="eastAsia" w:ascii="宋体" w:hAnsi="宋体" w:eastAsia="宋体" w:cs="宋体"/>
          <w:b w:val="0"/>
          <w:bCs w:val="0"/>
          <w:color w:val="auto"/>
          <w:sz w:val="24"/>
          <w:szCs w:val="24"/>
          <w:highlight w:val="none"/>
          <w:lang w:val="en-US" w:eastAsia="zh-CN"/>
        </w:rPr>
        <w:t xml:space="preserve"> </w:t>
      </w:r>
    </w:p>
    <w:p w14:paraId="45495C10">
      <w:pPr>
        <w:rPr>
          <w:rFonts w:hint="eastAsia" w:ascii="宋体" w:hAnsi="宋体" w:eastAsia="宋体" w:cs="宋体"/>
          <w:color w:val="auto"/>
          <w:highlight w:val="none"/>
        </w:rPr>
        <w:sectPr>
          <w:footerReference r:id="rId8" w:type="first"/>
          <w:footerReference r:id="rId7" w:type="default"/>
          <w:pgSz w:w="11906" w:h="16838"/>
          <w:pgMar w:top="1134" w:right="1106" w:bottom="1134" w:left="1259" w:header="680" w:footer="680" w:gutter="0"/>
          <w:pgNumType w:start="1"/>
          <w:cols w:space="0" w:num="1"/>
          <w:docGrid w:type="lines" w:linePitch="318" w:charSpace="0"/>
        </w:sectPr>
      </w:pPr>
      <w:r>
        <w:rPr>
          <w:rFonts w:hint="eastAsia" w:ascii="宋体" w:hAnsi="宋体" w:eastAsia="宋体" w:cs="宋体"/>
          <w:b w:val="0"/>
          <w:bCs w:val="0"/>
          <w:color w:val="auto"/>
          <w:sz w:val="24"/>
          <w:szCs w:val="24"/>
          <w:highlight w:val="none"/>
        </w:rPr>
        <w:tab/>
      </w:r>
    </w:p>
    <w:p w14:paraId="3D41C168">
      <w:pPr>
        <w:pStyle w:val="6"/>
        <w:numPr>
          <w:ilvl w:val="0"/>
          <w:numId w:val="1"/>
        </w:numPr>
        <w:bidi w:val="0"/>
        <w:rPr>
          <w:rFonts w:hint="eastAsia" w:ascii="宋体" w:hAnsi="宋体" w:eastAsia="宋体" w:cs="宋体"/>
          <w:color w:val="auto"/>
          <w:highlight w:val="none"/>
          <w:lang w:val="en-US" w:eastAsia="zh-CN"/>
        </w:rPr>
      </w:pPr>
      <w:bookmarkStart w:id="0" w:name="_Toc16309"/>
      <w:r>
        <w:rPr>
          <w:rFonts w:hint="eastAsia" w:ascii="宋体" w:hAnsi="宋体" w:eastAsia="宋体" w:cs="宋体"/>
          <w:color w:val="auto"/>
          <w:highlight w:val="none"/>
          <w:lang w:val="en-US" w:eastAsia="zh-CN"/>
        </w:rPr>
        <w:t>招标公告</w:t>
      </w:r>
    </w:p>
    <w:p w14:paraId="6153588B">
      <w:pPr>
        <w:pStyle w:val="6"/>
        <w:pageBreakBefore w:val="0"/>
        <w:tabs>
          <w:tab w:val="left" w:pos="0"/>
          <w:tab w:val="left" w:pos="3165"/>
          <w:tab w:val="center" w:pos="4153"/>
        </w:tabs>
        <w:kinsoku/>
        <w:overflowPunct/>
        <w:topLinePunct w:val="0"/>
        <w:autoSpaceDE w:val="0"/>
        <w:autoSpaceDN w:val="0"/>
        <w:bidi w:val="0"/>
        <w:adjustRightInd w:val="0"/>
        <w:snapToGrid/>
        <w:spacing w:before="0" w:beforeLines="0" w:after="0" w:afterLines="0" w:line="240" w:lineRule="auto"/>
        <w:jc w:val="center"/>
        <w:textAlignment w:val="auto"/>
        <w:rPr>
          <w:rFonts w:hint="eastAsia" w:ascii="华文中宋" w:hAnsi="华文中宋" w:eastAsia="华文中宋" w:cs="Times New Roman"/>
          <w:color w:val="auto"/>
          <w:highlight w:val="none"/>
          <w:lang w:eastAsia="zh-CN"/>
        </w:rPr>
      </w:pPr>
      <w:bookmarkStart w:id="1" w:name="_Toc14627"/>
      <w:bookmarkStart w:id="2" w:name="_Toc21262"/>
      <w:r>
        <w:rPr>
          <w:rFonts w:hint="eastAsia" w:ascii="华文中宋" w:hAnsi="华文中宋" w:eastAsia="华文中宋" w:cs="Times New Roman"/>
          <w:color w:val="auto"/>
          <w:highlight w:val="none"/>
          <w:lang w:val="en-US" w:eastAsia="zh-CN"/>
        </w:rPr>
        <w:t>滁城西片区排水综合整治工程二批次（二标段）结算复核服务</w:t>
      </w:r>
      <w:r>
        <w:rPr>
          <w:rFonts w:hint="eastAsia" w:ascii="华文中宋" w:hAnsi="华文中宋" w:eastAsia="华文中宋" w:cs="Times New Roman"/>
          <w:color w:val="auto"/>
          <w:highlight w:val="none"/>
          <w:lang w:eastAsia="zh-CN"/>
        </w:rPr>
        <w:t>招标公告</w:t>
      </w:r>
      <w:bookmarkEnd w:id="1"/>
      <w:bookmarkEnd w:id="2"/>
      <w:r>
        <w:rPr>
          <w:rFonts w:hint="eastAsia" w:ascii="华文中宋" w:hAnsi="华文中宋" w:eastAsia="华文中宋" w:cs="Times New Roman"/>
          <w:color w:val="auto"/>
          <w:highlight w:val="none"/>
          <w:lang w:eastAsia="zh-CN"/>
        </w:rPr>
        <w:t>（</w:t>
      </w:r>
      <w:r>
        <w:rPr>
          <w:rFonts w:hint="eastAsia" w:ascii="华文中宋" w:hAnsi="华文中宋" w:eastAsia="华文中宋" w:cs="Times New Roman"/>
          <w:color w:val="auto"/>
          <w:highlight w:val="none"/>
          <w:lang w:val="en-US" w:eastAsia="zh-CN"/>
        </w:rPr>
        <w:t>不见面开标</w:t>
      </w:r>
      <w:r>
        <w:rPr>
          <w:rFonts w:hint="eastAsia" w:ascii="华文中宋" w:hAnsi="华文中宋" w:eastAsia="华文中宋" w:cs="Times New Roman"/>
          <w:color w:val="auto"/>
          <w:highlight w:val="none"/>
          <w:lang w:eastAsia="zh-CN"/>
        </w:rPr>
        <w:t>）</w:t>
      </w:r>
    </w:p>
    <w:p w14:paraId="0105351F">
      <w:pPr>
        <w:keepNext/>
        <w:keepLines/>
        <w:pageBreakBefore w:val="0"/>
        <w:widowControl w:val="0"/>
        <w:kinsoku/>
        <w:wordWrap/>
        <w:overflowPunct/>
        <w:topLinePunct w:val="0"/>
        <w:autoSpaceDE/>
        <w:autoSpaceDN/>
        <w:bidi w:val="0"/>
        <w:adjustRightInd/>
        <w:snapToGrid/>
        <w:spacing w:before="260" w:after="260" w:line="240" w:lineRule="auto"/>
        <w:textAlignment w:val="auto"/>
        <w:outlineLvl w:val="9"/>
        <w:rPr>
          <w:rFonts w:hint="eastAsia" w:ascii="黑体" w:hAnsi="黑体" w:eastAsia="黑体" w:cs="黑体"/>
          <w:b w:val="0"/>
          <w:color w:val="auto"/>
          <w:sz w:val="28"/>
          <w:szCs w:val="28"/>
          <w:highlight w:val="none"/>
        </w:rPr>
      </w:pPr>
      <w:bookmarkStart w:id="3" w:name="_Toc28359002"/>
      <w:bookmarkStart w:id="4" w:name="_Toc31215"/>
      <w:bookmarkStart w:id="5" w:name="_Toc35393790"/>
      <w:bookmarkStart w:id="6" w:name="_Toc35393621"/>
      <w:bookmarkStart w:id="7" w:name="_Toc28359079"/>
      <w:bookmarkStart w:id="8" w:name="_Toc11704"/>
      <w:bookmarkStart w:id="9" w:name="_Toc23993"/>
      <w:bookmarkStart w:id="10" w:name="_Hlk24379207"/>
      <w:r>
        <w:rPr>
          <w:rFonts w:hint="eastAsia" w:ascii="黑体" w:hAnsi="黑体" w:eastAsia="黑体" w:cs="黑体"/>
          <w:b w:val="0"/>
          <w:color w:val="auto"/>
          <w:sz w:val="28"/>
          <w:szCs w:val="28"/>
          <w:highlight w:val="none"/>
        </w:rPr>
        <w:t>一、项目基本情况</w:t>
      </w:r>
      <w:bookmarkEnd w:id="3"/>
      <w:bookmarkEnd w:id="4"/>
      <w:bookmarkEnd w:id="5"/>
      <w:bookmarkEnd w:id="6"/>
      <w:bookmarkEnd w:id="7"/>
      <w:bookmarkEnd w:id="8"/>
      <w:bookmarkEnd w:id="9"/>
    </w:p>
    <w:bookmarkEnd w:id="10"/>
    <w:p w14:paraId="660E968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5"/>
        <w:jc w:val="left"/>
        <w:rPr>
          <w:rFonts w:ascii="微软雅黑" w:hAnsi="微软雅黑" w:eastAsia="微软雅黑" w:cs="微软雅黑"/>
          <w:i w:val="0"/>
          <w:iCs w:val="0"/>
          <w:caps w:val="0"/>
          <w:color w:val="auto"/>
          <w:spacing w:val="0"/>
          <w:sz w:val="21"/>
          <w:szCs w:val="21"/>
          <w:highlight w:val="none"/>
        </w:rPr>
      </w:pPr>
      <w:bookmarkStart w:id="11" w:name="_Toc4879"/>
      <w:bookmarkStart w:id="12" w:name="_Toc28359080"/>
      <w:bookmarkStart w:id="13" w:name="_Toc35393791"/>
      <w:bookmarkStart w:id="14" w:name="_Toc28004"/>
      <w:bookmarkStart w:id="15" w:name="_Toc28359003"/>
      <w:bookmarkStart w:id="16" w:name="_Toc35393622"/>
      <w:r>
        <w:rPr>
          <w:rFonts w:ascii="仿宋" w:hAnsi="仿宋" w:eastAsia="仿宋" w:cs="仿宋"/>
          <w:i w:val="0"/>
          <w:iCs w:val="0"/>
          <w:caps w:val="0"/>
          <w:color w:val="auto"/>
          <w:spacing w:val="0"/>
          <w:kern w:val="0"/>
          <w:sz w:val="28"/>
          <w:szCs w:val="28"/>
          <w:highlight w:val="none"/>
          <w:shd w:val="clear" w:fill="FFFFFF"/>
          <w:lang w:val="en-US" w:eastAsia="zh-CN" w:bidi="ar"/>
        </w:rPr>
        <w:t>项目编号：HXJY1110001044075001001</w:t>
      </w:r>
      <w:r>
        <w:rPr>
          <w:rFonts w:hint="eastAsia" w:ascii="仿宋" w:hAnsi="仿宋" w:eastAsia="仿宋" w:cs="仿宋"/>
          <w:i w:val="0"/>
          <w:iCs w:val="0"/>
          <w:caps w:val="0"/>
          <w:color w:val="auto"/>
          <w:spacing w:val="0"/>
          <w:kern w:val="0"/>
          <w:sz w:val="28"/>
          <w:szCs w:val="28"/>
          <w:highlight w:val="none"/>
          <w:shd w:val="clear" w:fill="FFFFFF"/>
          <w:lang w:val="en-US" w:eastAsia="zh-CN" w:bidi="ar"/>
        </w:rPr>
        <w:t xml:space="preserve"> </w:t>
      </w:r>
    </w:p>
    <w:p w14:paraId="1E27E1D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5"/>
        <w:jc w:val="left"/>
        <w:rPr>
          <w:rFonts w:hint="eastAsia" w:ascii="微软雅黑" w:hAnsi="微软雅黑" w:eastAsia="微软雅黑" w:cs="微软雅黑"/>
          <w:i w:val="0"/>
          <w:iCs w:val="0"/>
          <w:caps w:val="0"/>
          <w:color w:val="auto"/>
          <w:spacing w:val="0"/>
          <w:sz w:val="21"/>
          <w:szCs w:val="21"/>
          <w:highlight w:val="none"/>
        </w:rPr>
      </w:pPr>
      <w:r>
        <w:rPr>
          <w:rFonts w:hint="eastAsia" w:ascii="仿宋" w:hAnsi="仿宋" w:eastAsia="仿宋" w:cs="仿宋"/>
          <w:i w:val="0"/>
          <w:iCs w:val="0"/>
          <w:caps w:val="0"/>
          <w:color w:val="auto"/>
          <w:spacing w:val="0"/>
          <w:kern w:val="0"/>
          <w:sz w:val="28"/>
          <w:szCs w:val="28"/>
          <w:highlight w:val="none"/>
          <w:shd w:val="clear" w:fill="FFFFFF"/>
          <w:lang w:val="en-US" w:eastAsia="zh-CN" w:bidi="ar"/>
        </w:rPr>
        <w:t>项目名称：滁城西片区排水综合整治工程二批次（二标段）结算复核服务</w:t>
      </w:r>
    </w:p>
    <w:p w14:paraId="1991BF2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5"/>
        <w:jc w:val="left"/>
        <w:rPr>
          <w:rFonts w:hint="default" w:ascii="微软雅黑" w:hAnsi="微软雅黑" w:eastAsia="微软雅黑" w:cs="微软雅黑"/>
          <w:i w:val="0"/>
          <w:iCs w:val="0"/>
          <w:caps w:val="0"/>
          <w:color w:val="auto"/>
          <w:spacing w:val="0"/>
          <w:sz w:val="21"/>
          <w:szCs w:val="21"/>
          <w:highlight w:val="none"/>
          <w:lang w:val="en-US"/>
        </w:rPr>
      </w:pPr>
      <w:r>
        <w:rPr>
          <w:rFonts w:hint="eastAsia" w:ascii="仿宋" w:hAnsi="仿宋" w:eastAsia="仿宋" w:cs="仿宋"/>
          <w:i w:val="0"/>
          <w:iCs w:val="0"/>
          <w:caps w:val="0"/>
          <w:color w:val="auto"/>
          <w:spacing w:val="0"/>
          <w:kern w:val="0"/>
          <w:sz w:val="28"/>
          <w:szCs w:val="28"/>
          <w:highlight w:val="none"/>
          <w:shd w:val="clear" w:fill="FFFFFF"/>
          <w:lang w:val="en-US" w:eastAsia="zh-CN" w:bidi="ar"/>
        </w:rPr>
        <w:t>预算金额：</w:t>
      </w:r>
      <w:r>
        <w:rPr>
          <w:rFonts w:hint="eastAsia" w:ascii="仿宋" w:hAnsi="仿宋" w:eastAsia="仿宋" w:cs="仿宋"/>
          <w:i w:val="0"/>
          <w:iCs w:val="0"/>
          <w:caps w:val="0"/>
          <w:color w:val="auto"/>
          <w:spacing w:val="0"/>
          <w:kern w:val="0"/>
          <w:sz w:val="28"/>
          <w:szCs w:val="28"/>
          <w:highlight w:val="none"/>
          <w:shd w:val="clear" w:fill="FFFFFF"/>
          <w:lang w:val="en-US" w:eastAsia="zh-CN" w:bidi="ar"/>
        </w:rPr>
        <w:t>2.0</w:t>
      </w:r>
      <w:r>
        <w:rPr>
          <w:rFonts w:hint="eastAsia" w:ascii="仿宋" w:hAnsi="仿宋" w:eastAsia="仿宋" w:cs="仿宋"/>
          <w:i w:val="0"/>
          <w:iCs w:val="0"/>
          <w:caps w:val="0"/>
          <w:color w:val="auto"/>
          <w:spacing w:val="0"/>
          <w:kern w:val="0"/>
          <w:sz w:val="28"/>
          <w:szCs w:val="28"/>
          <w:highlight w:val="none"/>
          <w:shd w:val="clear" w:fill="FFFFFF"/>
          <w:lang w:val="en-US" w:eastAsia="zh-CN" w:bidi="ar"/>
        </w:rPr>
        <w:t>万元</w:t>
      </w:r>
    </w:p>
    <w:p w14:paraId="5705B9E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5"/>
        <w:jc w:val="left"/>
        <w:rPr>
          <w:rFonts w:hint="eastAsia" w:ascii="仿宋" w:hAnsi="仿宋" w:eastAsia="仿宋" w:cs="仿宋"/>
          <w:i w:val="0"/>
          <w:iCs w:val="0"/>
          <w:caps w:val="0"/>
          <w:color w:val="auto"/>
          <w:spacing w:val="0"/>
          <w:kern w:val="0"/>
          <w:sz w:val="28"/>
          <w:szCs w:val="28"/>
          <w:highlight w:val="none"/>
          <w:shd w:val="clear" w:fill="FFFFFF"/>
          <w:lang w:val="en-US" w:eastAsia="zh-CN" w:bidi="ar"/>
        </w:rPr>
      </w:pPr>
      <w:r>
        <w:rPr>
          <w:rFonts w:hint="eastAsia" w:ascii="仿宋" w:hAnsi="仿宋" w:eastAsia="仿宋" w:cs="仿宋"/>
          <w:i w:val="0"/>
          <w:iCs w:val="0"/>
          <w:caps w:val="0"/>
          <w:color w:val="auto"/>
          <w:spacing w:val="0"/>
          <w:kern w:val="0"/>
          <w:sz w:val="28"/>
          <w:szCs w:val="28"/>
          <w:highlight w:val="none"/>
          <w:shd w:val="clear" w:fill="FFFFFF"/>
          <w:lang w:val="en-US" w:eastAsia="zh-CN" w:bidi="ar"/>
        </w:rPr>
        <w:t>最高限价：本项目的最高限价为基本</w:t>
      </w:r>
      <w:r>
        <w:rPr>
          <w:rFonts w:hint="eastAsia" w:ascii="仿宋" w:hAnsi="仿宋" w:eastAsia="仿宋" w:cs="仿宋"/>
          <w:i w:val="0"/>
          <w:iCs w:val="0"/>
          <w:caps w:val="0"/>
          <w:color w:val="auto"/>
          <w:spacing w:val="0"/>
          <w:kern w:val="0"/>
          <w:sz w:val="28"/>
          <w:szCs w:val="28"/>
          <w:highlight w:val="none"/>
          <w:shd w:val="clear" w:fill="FFFFFF"/>
          <w:lang w:val="en-US" w:eastAsia="zh-CN" w:bidi="ar"/>
        </w:rPr>
        <w:t>费8000元</w:t>
      </w:r>
      <w:r>
        <w:rPr>
          <w:rFonts w:hint="eastAsia" w:ascii="仿宋" w:hAnsi="仿宋" w:eastAsia="仿宋" w:cs="仿宋"/>
          <w:i w:val="0"/>
          <w:iCs w:val="0"/>
          <w:caps w:val="0"/>
          <w:color w:val="auto"/>
          <w:spacing w:val="0"/>
          <w:kern w:val="0"/>
          <w:sz w:val="28"/>
          <w:szCs w:val="28"/>
          <w:highlight w:val="none"/>
          <w:shd w:val="clear" w:fill="FFFFFF"/>
          <w:lang w:val="en-US" w:eastAsia="zh-CN" w:bidi="ar"/>
        </w:rPr>
        <w:t>；审核</w:t>
      </w:r>
      <w:r>
        <w:rPr>
          <w:rFonts w:hint="eastAsia" w:ascii="仿宋" w:hAnsi="仿宋" w:eastAsia="仿宋" w:cs="仿宋"/>
          <w:i w:val="0"/>
          <w:iCs w:val="0"/>
          <w:caps w:val="0"/>
          <w:color w:val="auto"/>
          <w:spacing w:val="0"/>
          <w:kern w:val="0"/>
          <w:sz w:val="28"/>
          <w:szCs w:val="28"/>
          <w:highlight w:val="none"/>
          <w:shd w:val="clear" w:fill="FFFFFF"/>
          <w:lang w:val="en-US" w:eastAsia="zh-CN" w:bidi="ar"/>
        </w:rPr>
        <w:t>成果费率4%（审</w:t>
      </w:r>
      <w:r>
        <w:rPr>
          <w:rFonts w:hint="eastAsia" w:ascii="仿宋" w:hAnsi="仿宋" w:eastAsia="仿宋" w:cs="仿宋"/>
          <w:i w:val="0"/>
          <w:iCs w:val="0"/>
          <w:caps w:val="0"/>
          <w:color w:val="auto"/>
          <w:spacing w:val="0"/>
          <w:kern w:val="0"/>
          <w:sz w:val="28"/>
          <w:szCs w:val="28"/>
          <w:highlight w:val="none"/>
          <w:shd w:val="clear" w:fill="FFFFFF"/>
          <w:lang w:val="en-US" w:eastAsia="zh-CN" w:bidi="ar"/>
        </w:rPr>
        <w:t>核成果费率为不可竞争费率，固定不变），基本费由投标人自主报价，不得高于上述基本费最高限价，否则按无效标处理。（投标报价不可以填报0或负数，否则按无效标处理）</w:t>
      </w:r>
    </w:p>
    <w:p w14:paraId="569A284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5"/>
        <w:jc w:val="left"/>
        <w:rPr>
          <w:rFonts w:hint="eastAsia" w:ascii="微软雅黑" w:hAnsi="微软雅黑" w:eastAsia="微软雅黑" w:cs="微软雅黑"/>
          <w:i w:val="0"/>
          <w:iCs w:val="0"/>
          <w:caps w:val="0"/>
          <w:color w:val="auto"/>
          <w:spacing w:val="0"/>
          <w:sz w:val="21"/>
          <w:szCs w:val="21"/>
          <w:highlight w:val="none"/>
        </w:rPr>
      </w:pPr>
      <w:r>
        <w:rPr>
          <w:rFonts w:hint="eastAsia" w:ascii="仿宋" w:hAnsi="仿宋" w:eastAsia="仿宋" w:cs="仿宋"/>
          <w:i w:val="0"/>
          <w:iCs w:val="0"/>
          <w:caps w:val="0"/>
          <w:color w:val="auto"/>
          <w:spacing w:val="0"/>
          <w:kern w:val="0"/>
          <w:sz w:val="28"/>
          <w:szCs w:val="28"/>
          <w:highlight w:val="none"/>
          <w:shd w:val="clear" w:fill="FFFFFF"/>
          <w:lang w:val="en-US" w:eastAsia="zh-CN" w:bidi="ar"/>
        </w:rPr>
        <w:t>采购需求：滁城西片区排水综合整治工程二批次（二标段）结算复核服务，具体详见工程量清单和施工图纸及结算报告。本次招标需求为上述工程的结算复核服务</w:t>
      </w:r>
    </w:p>
    <w:p w14:paraId="1042DD8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5"/>
        <w:jc w:val="left"/>
        <w:rPr>
          <w:rFonts w:hint="default" w:ascii="微软雅黑" w:hAnsi="微软雅黑" w:eastAsia="微软雅黑" w:cs="微软雅黑"/>
          <w:i w:val="0"/>
          <w:iCs w:val="0"/>
          <w:caps w:val="0"/>
          <w:color w:val="auto"/>
          <w:spacing w:val="0"/>
          <w:sz w:val="21"/>
          <w:szCs w:val="21"/>
          <w:highlight w:val="none"/>
          <w:lang w:val="en-US"/>
        </w:rPr>
      </w:pPr>
      <w:r>
        <w:rPr>
          <w:rFonts w:hint="eastAsia" w:ascii="仿宋" w:hAnsi="仿宋" w:eastAsia="仿宋" w:cs="仿宋"/>
          <w:i w:val="0"/>
          <w:iCs w:val="0"/>
          <w:caps w:val="0"/>
          <w:color w:val="auto"/>
          <w:spacing w:val="0"/>
          <w:kern w:val="0"/>
          <w:sz w:val="28"/>
          <w:szCs w:val="28"/>
          <w:highlight w:val="none"/>
          <w:shd w:val="clear" w:fill="FFFFFF"/>
          <w:lang w:val="en-US" w:eastAsia="zh-CN" w:bidi="ar"/>
        </w:rPr>
        <w:t>标段（包别）划分：1个标段</w:t>
      </w:r>
    </w:p>
    <w:p w14:paraId="53B76FA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5"/>
        <w:jc w:val="left"/>
        <w:rPr>
          <w:rFonts w:hint="eastAsia" w:ascii="微软雅黑" w:hAnsi="微软雅黑" w:eastAsia="微软雅黑" w:cs="微软雅黑"/>
          <w:i w:val="0"/>
          <w:iCs w:val="0"/>
          <w:caps w:val="0"/>
          <w:color w:val="auto"/>
          <w:spacing w:val="0"/>
          <w:sz w:val="21"/>
          <w:szCs w:val="21"/>
          <w:highlight w:val="none"/>
        </w:rPr>
      </w:pPr>
      <w:r>
        <w:rPr>
          <w:rFonts w:hint="eastAsia" w:ascii="仿宋" w:hAnsi="仿宋" w:eastAsia="仿宋" w:cs="仿宋"/>
          <w:i w:val="0"/>
          <w:iCs w:val="0"/>
          <w:caps w:val="0"/>
          <w:color w:val="auto"/>
          <w:spacing w:val="0"/>
          <w:kern w:val="0"/>
          <w:sz w:val="28"/>
          <w:szCs w:val="28"/>
          <w:highlight w:val="none"/>
          <w:shd w:val="clear" w:fill="FFFFFF"/>
          <w:lang w:val="en-US" w:eastAsia="zh-CN" w:bidi="ar"/>
        </w:rPr>
        <w:t>合同履行期限：</w:t>
      </w:r>
      <w:r>
        <w:rPr>
          <w:rFonts w:hint="eastAsia" w:ascii="仿宋" w:hAnsi="仿宋" w:eastAsia="仿宋" w:cs="仿宋"/>
          <w:i w:val="0"/>
          <w:iCs w:val="0"/>
          <w:caps w:val="0"/>
          <w:color w:val="auto"/>
          <w:spacing w:val="0"/>
          <w:kern w:val="0"/>
          <w:sz w:val="28"/>
          <w:szCs w:val="28"/>
          <w:highlight w:val="none"/>
          <w:shd w:val="clear" w:fill="FFFFFF"/>
          <w:lang w:val="en-US" w:eastAsia="zh-CN" w:bidi="ar"/>
        </w:rPr>
        <w:t>在施工单位报送的项目结算资料完整后的10日内完成，并出具审核报告</w:t>
      </w:r>
    </w:p>
    <w:p w14:paraId="20F129E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5"/>
        <w:jc w:val="left"/>
        <w:rPr>
          <w:rFonts w:hint="eastAsia" w:ascii="微软雅黑" w:hAnsi="微软雅黑" w:eastAsia="微软雅黑" w:cs="微软雅黑"/>
          <w:i w:val="0"/>
          <w:iCs w:val="0"/>
          <w:caps w:val="0"/>
          <w:color w:val="auto"/>
          <w:spacing w:val="0"/>
          <w:sz w:val="21"/>
          <w:szCs w:val="21"/>
          <w:highlight w:val="none"/>
        </w:rPr>
      </w:pPr>
      <w:r>
        <w:rPr>
          <w:rFonts w:hint="eastAsia" w:ascii="仿宋" w:hAnsi="仿宋" w:eastAsia="仿宋" w:cs="仿宋"/>
          <w:i w:val="0"/>
          <w:iCs w:val="0"/>
          <w:caps w:val="0"/>
          <w:color w:val="auto"/>
          <w:spacing w:val="0"/>
          <w:kern w:val="0"/>
          <w:sz w:val="28"/>
          <w:szCs w:val="28"/>
          <w:highlight w:val="none"/>
          <w:shd w:val="clear" w:fill="FFFFFF"/>
          <w:lang w:val="en-US" w:eastAsia="zh-CN" w:bidi="ar"/>
        </w:rPr>
        <w:t>本项目不接受联合体</w:t>
      </w:r>
    </w:p>
    <w:p w14:paraId="101A37AB">
      <w:pPr>
        <w:keepNext/>
        <w:keepLines/>
        <w:pageBreakBefore w:val="0"/>
        <w:widowControl w:val="0"/>
        <w:kinsoku/>
        <w:wordWrap/>
        <w:overflowPunct/>
        <w:topLinePunct w:val="0"/>
        <w:autoSpaceDE/>
        <w:autoSpaceDN/>
        <w:bidi w:val="0"/>
        <w:adjustRightInd/>
        <w:snapToGrid/>
        <w:spacing w:before="260" w:after="260" w:line="240" w:lineRule="auto"/>
        <w:textAlignment w:val="auto"/>
        <w:outlineLvl w:val="9"/>
        <w:rPr>
          <w:rFonts w:hint="eastAsia" w:ascii="黑体" w:hAnsi="黑体" w:eastAsia="黑体" w:cs="黑体"/>
          <w:b w:val="0"/>
          <w:color w:val="auto"/>
          <w:sz w:val="28"/>
          <w:szCs w:val="28"/>
          <w:highlight w:val="none"/>
        </w:rPr>
      </w:pPr>
      <w:bookmarkStart w:id="17" w:name="_Toc30013"/>
      <w:r>
        <w:rPr>
          <w:rFonts w:hint="eastAsia" w:ascii="黑体" w:hAnsi="黑体" w:eastAsia="黑体" w:cs="黑体"/>
          <w:b w:val="0"/>
          <w:color w:val="auto"/>
          <w:sz w:val="28"/>
          <w:szCs w:val="28"/>
          <w:highlight w:val="none"/>
        </w:rPr>
        <w:t>二、申请人的资格要求：</w:t>
      </w:r>
      <w:bookmarkEnd w:id="11"/>
      <w:bookmarkEnd w:id="12"/>
      <w:bookmarkEnd w:id="13"/>
      <w:bookmarkEnd w:id="14"/>
      <w:bookmarkEnd w:id="15"/>
      <w:bookmarkEnd w:id="16"/>
      <w:bookmarkEnd w:id="17"/>
    </w:p>
    <w:p w14:paraId="41B157CB">
      <w:pPr>
        <w:pageBreakBefore w:val="0"/>
        <w:kinsoku/>
        <w:overflowPunct/>
        <w:topLinePunct w:val="0"/>
        <w:autoSpaceDE/>
        <w:autoSpaceDN/>
        <w:bidi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投标人要求：</w:t>
      </w:r>
      <w:r>
        <w:rPr>
          <w:rFonts w:hint="eastAsia" w:ascii="仿宋" w:hAnsi="仿宋" w:eastAsia="仿宋" w:cs="仿宋"/>
          <w:color w:val="auto"/>
          <w:sz w:val="28"/>
          <w:szCs w:val="28"/>
          <w:highlight w:val="none"/>
          <w:lang w:val="en-US" w:eastAsia="zh-CN"/>
        </w:rPr>
        <w:t>具备独立承担民事责任能力，具有有效的营业执照或事业单位法人证；</w:t>
      </w:r>
    </w:p>
    <w:p w14:paraId="2E536E7B">
      <w:pPr>
        <w:pageBreakBefore w:val="0"/>
        <w:kinsoku/>
        <w:overflowPunct/>
        <w:topLinePunct w:val="0"/>
        <w:autoSpaceDE/>
        <w:autoSpaceDN/>
        <w:bidi w:val="0"/>
        <w:spacing w:line="360" w:lineRule="auto"/>
        <w:ind w:firstLine="560" w:firstLineChars="200"/>
        <w:rPr>
          <w:rFonts w:hint="eastAsia" w:ascii="仿宋" w:hAnsi="仿宋" w:eastAsia="仿宋" w:cs="仿宋"/>
          <w:color w:val="auto"/>
          <w:sz w:val="28"/>
          <w:szCs w:val="28"/>
          <w:highlight w:val="none"/>
          <w:lang w:val="en-US" w:eastAsia="zh-CN"/>
        </w:rPr>
      </w:pPr>
      <w:bookmarkStart w:id="18" w:name="_Toc28359004"/>
      <w:bookmarkStart w:id="19" w:name="_Toc28359081"/>
      <w:r>
        <w:rPr>
          <w:rFonts w:hint="eastAsia" w:ascii="仿宋" w:hAnsi="仿宋" w:eastAsia="仿宋" w:cs="仿宋"/>
          <w:color w:val="auto"/>
          <w:sz w:val="28"/>
          <w:szCs w:val="28"/>
          <w:highlight w:val="none"/>
          <w:lang w:val="en-US" w:eastAsia="zh-CN"/>
        </w:rPr>
        <w:t>2.项目负责人要求：投标人拟派的项目负责人必须具有注册在投标单位的土木建筑工程专业一级注册造价工程师（或原注册造价工程师）；</w:t>
      </w:r>
    </w:p>
    <w:p w14:paraId="171F54D0">
      <w:pPr>
        <w:pageBreakBefore w:val="0"/>
        <w:kinsoku/>
        <w:wordWrap/>
        <w:overflowPunct/>
        <w:topLinePunct w:val="0"/>
        <w:autoSpaceDE/>
        <w:autoSpaceDN/>
        <w:bidi w:val="0"/>
        <w:snapToGrid/>
        <w:spacing w:line="360" w:lineRule="auto"/>
        <w:ind w:firstLine="560" w:firstLineChars="200"/>
        <w:jc w:val="left"/>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其他</w:t>
      </w:r>
      <w:r>
        <w:rPr>
          <w:rFonts w:hint="eastAsia" w:ascii="仿宋" w:hAnsi="仿宋" w:eastAsia="仿宋" w:cs="仿宋"/>
          <w:color w:val="auto"/>
          <w:sz w:val="28"/>
          <w:szCs w:val="28"/>
          <w:highlight w:val="none"/>
        </w:rPr>
        <w:t>要求：项目组其他成员（不含项目负责人）要求：不少于2名注册在</w:t>
      </w:r>
      <w:r>
        <w:rPr>
          <w:rFonts w:hint="eastAsia" w:ascii="仿宋" w:hAnsi="仿宋" w:eastAsia="仿宋" w:cs="仿宋"/>
          <w:color w:val="auto"/>
          <w:sz w:val="28"/>
          <w:szCs w:val="28"/>
          <w:highlight w:val="none"/>
          <w:lang w:val="en-US" w:eastAsia="zh-CN"/>
        </w:rPr>
        <w:t>投标</w:t>
      </w:r>
      <w:r>
        <w:rPr>
          <w:rFonts w:hint="eastAsia" w:ascii="仿宋" w:hAnsi="仿宋" w:eastAsia="仿宋" w:cs="仿宋"/>
          <w:color w:val="auto"/>
          <w:sz w:val="28"/>
          <w:szCs w:val="28"/>
          <w:highlight w:val="none"/>
        </w:rPr>
        <w:t>单位的二级及以上造价工程师（土木建筑专业</w:t>
      </w:r>
      <w:r>
        <w:rPr>
          <w:rFonts w:hint="eastAsia" w:ascii="仿宋" w:hAnsi="仿宋" w:eastAsia="仿宋" w:cs="仿宋"/>
          <w:color w:val="auto"/>
          <w:sz w:val="28"/>
          <w:szCs w:val="28"/>
          <w:highlight w:val="none"/>
          <w:lang w:val="en-US" w:eastAsia="zh-CN"/>
        </w:rPr>
        <w:t>至少1名、安装工程专业至少1名</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w:t>
      </w:r>
    </w:p>
    <w:p w14:paraId="2AEC28B0">
      <w:pPr>
        <w:keepNext/>
        <w:keepLines/>
        <w:pageBreakBefore w:val="0"/>
        <w:widowControl w:val="0"/>
        <w:kinsoku/>
        <w:wordWrap/>
        <w:overflowPunct/>
        <w:topLinePunct w:val="0"/>
        <w:autoSpaceDE/>
        <w:autoSpaceDN/>
        <w:bidi w:val="0"/>
        <w:adjustRightInd/>
        <w:snapToGrid/>
        <w:spacing w:before="260" w:after="260" w:line="240" w:lineRule="auto"/>
        <w:textAlignment w:val="auto"/>
        <w:outlineLvl w:val="9"/>
        <w:rPr>
          <w:rFonts w:hint="eastAsia" w:ascii="黑体" w:hAnsi="黑体" w:eastAsia="黑体" w:cs="黑体"/>
          <w:b w:val="0"/>
          <w:color w:val="auto"/>
          <w:sz w:val="28"/>
          <w:szCs w:val="28"/>
          <w:highlight w:val="none"/>
          <w:lang w:eastAsia="zh-CN"/>
        </w:rPr>
      </w:pPr>
      <w:bookmarkStart w:id="20" w:name="_Toc7189"/>
      <w:bookmarkStart w:id="21" w:name="_Toc28172"/>
      <w:bookmarkStart w:id="22" w:name="_Toc2689"/>
      <w:bookmarkStart w:id="23" w:name="_Toc35393792"/>
      <w:bookmarkStart w:id="24" w:name="_Toc35393623"/>
      <w:r>
        <w:rPr>
          <w:rFonts w:hint="eastAsia" w:ascii="黑体" w:hAnsi="黑体" w:eastAsia="黑体" w:cs="黑体"/>
          <w:b w:val="0"/>
          <w:color w:val="auto"/>
          <w:sz w:val="28"/>
          <w:szCs w:val="28"/>
          <w:highlight w:val="none"/>
        </w:rPr>
        <w:t>三、获取</w:t>
      </w:r>
      <w:bookmarkEnd w:id="18"/>
      <w:bookmarkEnd w:id="19"/>
      <w:bookmarkEnd w:id="20"/>
      <w:bookmarkEnd w:id="21"/>
      <w:bookmarkEnd w:id="22"/>
      <w:bookmarkEnd w:id="23"/>
      <w:bookmarkEnd w:id="24"/>
      <w:r>
        <w:rPr>
          <w:rFonts w:hint="eastAsia" w:ascii="黑体" w:hAnsi="黑体" w:eastAsia="黑体" w:cs="黑体"/>
          <w:b w:val="0"/>
          <w:color w:val="auto"/>
          <w:sz w:val="28"/>
          <w:szCs w:val="28"/>
          <w:highlight w:val="none"/>
          <w:lang w:eastAsia="zh-CN"/>
        </w:rPr>
        <w:t>招标文件</w:t>
      </w:r>
    </w:p>
    <w:p w14:paraId="42BFF7A7">
      <w:pPr>
        <w:pageBreakBefore w:val="0"/>
        <w:kinsoku/>
        <w:overflowPunct/>
        <w:topLinePunct w:val="0"/>
        <w:autoSpaceDE/>
        <w:autoSpaceDN/>
        <w:bidi w:val="0"/>
        <w:spacing w:line="240" w:lineRule="auto"/>
        <w:ind w:firstLine="54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1、招标文件获取方式：</w:t>
      </w:r>
    </w:p>
    <w:p w14:paraId="7B7E7722">
      <w:pPr>
        <w:pageBreakBefore w:val="0"/>
        <w:kinsoku/>
        <w:overflowPunct/>
        <w:topLinePunct w:val="0"/>
        <w:autoSpaceDE/>
        <w:autoSpaceDN/>
        <w:bidi w:val="0"/>
        <w:spacing w:line="240" w:lineRule="auto"/>
        <w:ind w:firstLine="540"/>
        <w:rPr>
          <w:rFonts w:hint="default"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rPr>
        <w:t>时间：</w:t>
      </w:r>
      <w:r>
        <w:rPr>
          <w:rFonts w:hint="eastAsia" w:ascii="仿宋" w:hAnsi="仿宋" w:eastAsia="仿宋" w:cs="仿宋"/>
          <w:i w:val="0"/>
          <w:iCs w:val="0"/>
          <w:caps w:val="0"/>
          <w:color w:val="auto"/>
          <w:spacing w:val="0"/>
          <w:sz w:val="28"/>
          <w:szCs w:val="28"/>
          <w:highlight w:val="none"/>
          <w:u w:val="none"/>
          <w:shd w:val="clear" w:fill="FFFFFF"/>
          <w:lang w:val="en-US" w:eastAsia="zh-CN"/>
        </w:rPr>
        <w:t>2025</w:t>
      </w:r>
      <w:r>
        <w:rPr>
          <w:rFonts w:hint="eastAsia" w:ascii="仿宋" w:hAnsi="仿宋" w:eastAsia="仿宋" w:cs="仿宋"/>
          <w:i w:val="0"/>
          <w:iCs w:val="0"/>
          <w:caps w:val="0"/>
          <w:color w:val="auto"/>
          <w:spacing w:val="0"/>
          <w:sz w:val="28"/>
          <w:szCs w:val="28"/>
          <w:highlight w:val="none"/>
          <w:u w:val="none"/>
          <w:shd w:val="clear" w:fill="FFFFFF"/>
        </w:rPr>
        <w:t>年</w:t>
      </w:r>
      <w:r>
        <w:rPr>
          <w:rFonts w:hint="eastAsia" w:ascii="仿宋" w:hAnsi="仿宋" w:eastAsia="仿宋" w:cs="仿宋"/>
          <w:i w:val="0"/>
          <w:iCs w:val="0"/>
          <w:caps w:val="0"/>
          <w:color w:val="auto"/>
          <w:spacing w:val="0"/>
          <w:sz w:val="28"/>
          <w:szCs w:val="28"/>
          <w:highlight w:val="none"/>
          <w:u w:val="none"/>
          <w:shd w:val="clear" w:fill="FFFFFF"/>
          <w:lang w:val="en-US" w:eastAsia="zh-CN"/>
        </w:rPr>
        <w:t>9月29</w:t>
      </w:r>
      <w:r>
        <w:rPr>
          <w:rFonts w:hint="eastAsia" w:ascii="仿宋" w:hAnsi="仿宋" w:eastAsia="仿宋" w:cs="仿宋"/>
          <w:i w:val="0"/>
          <w:iCs w:val="0"/>
          <w:caps w:val="0"/>
          <w:color w:val="auto"/>
          <w:spacing w:val="0"/>
          <w:sz w:val="28"/>
          <w:szCs w:val="28"/>
          <w:highlight w:val="none"/>
          <w:u w:val="none"/>
          <w:shd w:val="clear" w:fill="FFFFFF"/>
        </w:rPr>
        <w:t>日至</w:t>
      </w:r>
      <w:r>
        <w:rPr>
          <w:rFonts w:hint="eastAsia" w:ascii="仿宋" w:hAnsi="仿宋" w:eastAsia="仿宋" w:cs="仿宋"/>
          <w:i w:val="0"/>
          <w:iCs w:val="0"/>
          <w:caps w:val="0"/>
          <w:color w:val="auto"/>
          <w:spacing w:val="0"/>
          <w:sz w:val="28"/>
          <w:szCs w:val="28"/>
          <w:highlight w:val="none"/>
          <w:u w:val="none"/>
          <w:shd w:val="clear" w:fill="FFFFFF"/>
          <w:lang w:val="en-US" w:eastAsia="zh-CN"/>
        </w:rPr>
        <w:t>2025</w:t>
      </w:r>
      <w:r>
        <w:rPr>
          <w:rFonts w:hint="eastAsia" w:ascii="仿宋" w:hAnsi="仿宋" w:eastAsia="仿宋" w:cs="仿宋"/>
          <w:i w:val="0"/>
          <w:iCs w:val="0"/>
          <w:caps w:val="0"/>
          <w:color w:val="auto"/>
          <w:spacing w:val="0"/>
          <w:sz w:val="28"/>
          <w:szCs w:val="28"/>
          <w:highlight w:val="none"/>
          <w:u w:val="none"/>
          <w:shd w:val="clear" w:fill="FFFFFF"/>
        </w:rPr>
        <w:t>年</w:t>
      </w:r>
      <w:r>
        <w:rPr>
          <w:rFonts w:hint="eastAsia" w:ascii="仿宋" w:hAnsi="仿宋" w:eastAsia="仿宋" w:cs="仿宋"/>
          <w:i w:val="0"/>
          <w:iCs w:val="0"/>
          <w:caps w:val="0"/>
          <w:color w:val="auto"/>
          <w:spacing w:val="0"/>
          <w:sz w:val="28"/>
          <w:szCs w:val="28"/>
          <w:highlight w:val="none"/>
          <w:u w:val="none"/>
          <w:shd w:val="clear" w:fill="FFFFFF"/>
          <w:lang w:val="en-US" w:eastAsia="zh-CN"/>
        </w:rPr>
        <w:t>10月11</w:t>
      </w:r>
      <w:r>
        <w:rPr>
          <w:rFonts w:hint="eastAsia" w:ascii="仿宋" w:hAnsi="仿宋" w:eastAsia="仿宋" w:cs="仿宋"/>
          <w:i w:val="0"/>
          <w:iCs w:val="0"/>
          <w:caps w:val="0"/>
          <w:color w:val="auto"/>
          <w:spacing w:val="0"/>
          <w:sz w:val="28"/>
          <w:szCs w:val="28"/>
          <w:highlight w:val="none"/>
          <w:u w:val="none"/>
          <w:shd w:val="clear" w:fill="FFFFFF"/>
        </w:rPr>
        <w:t>日</w:t>
      </w:r>
      <w:r>
        <w:rPr>
          <w:rFonts w:hint="eastAsia" w:ascii="仿宋" w:hAnsi="仿宋" w:eastAsia="仿宋" w:cs="仿宋"/>
          <w:i w:val="0"/>
          <w:iCs w:val="0"/>
          <w:caps w:val="0"/>
          <w:color w:val="auto"/>
          <w:spacing w:val="0"/>
          <w:sz w:val="28"/>
          <w:szCs w:val="28"/>
          <w:highlight w:val="none"/>
          <w:u w:val="none"/>
          <w:shd w:val="clear" w:fill="FFFFFF"/>
          <w:lang w:val="en-US" w:eastAsia="zh-CN"/>
        </w:rPr>
        <w:t>09时30分。</w:t>
      </w:r>
    </w:p>
    <w:p w14:paraId="38975E6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atLeast"/>
        <w:ind w:left="0" w:right="0" w:firstLine="567"/>
        <w:jc w:val="left"/>
        <w:textAlignment w:val="auto"/>
        <w:rPr>
          <w:rFonts w:ascii="微软雅黑" w:hAnsi="微软雅黑" w:eastAsia="微软雅黑" w:cs="微软雅黑"/>
          <w:i w:val="0"/>
          <w:iCs w:val="0"/>
          <w:caps w:val="0"/>
          <w:color w:val="auto"/>
          <w:spacing w:val="0"/>
          <w:sz w:val="21"/>
          <w:szCs w:val="21"/>
          <w:highlight w:val="none"/>
        </w:rPr>
      </w:pPr>
      <w:r>
        <w:rPr>
          <w:rFonts w:ascii="仿宋" w:hAnsi="仿宋" w:eastAsia="仿宋" w:cs="仿宋"/>
          <w:i w:val="0"/>
          <w:iCs w:val="0"/>
          <w:caps w:val="0"/>
          <w:color w:val="auto"/>
          <w:spacing w:val="0"/>
          <w:kern w:val="0"/>
          <w:sz w:val="28"/>
          <w:szCs w:val="28"/>
          <w:highlight w:val="none"/>
          <w:shd w:val="clear" w:fill="FFFFFF"/>
          <w:lang w:val="en-US" w:eastAsia="zh-CN" w:bidi="ar"/>
        </w:rPr>
        <w:t>地点：</w:t>
      </w:r>
      <w:r>
        <w:rPr>
          <w:rFonts w:hint="eastAsia" w:ascii="仿宋" w:hAnsi="仿宋" w:eastAsia="仿宋" w:cs="仿宋"/>
          <w:i w:val="0"/>
          <w:iCs w:val="0"/>
          <w:caps w:val="0"/>
          <w:color w:val="auto"/>
          <w:spacing w:val="0"/>
          <w:kern w:val="0"/>
          <w:sz w:val="28"/>
          <w:szCs w:val="28"/>
          <w:highlight w:val="none"/>
          <w:shd w:val="clear" w:fill="FFFFFF"/>
          <w:lang w:val="en-US" w:eastAsia="zh-CN" w:bidi="ar"/>
        </w:rPr>
        <w:t>请于公告发布之日起从滁州市城投工程咨询管理有限公司官网（https://www.czctgczx.com/）下载。投标人自行承担因未按要求获取招标文件导致无法上传电子投标文件的风险。</w:t>
      </w:r>
    </w:p>
    <w:p w14:paraId="3C2AAA2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atLeast"/>
        <w:ind w:left="0" w:right="0" w:firstLine="565"/>
        <w:jc w:val="left"/>
        <w:textAlignment w:val="auto"/>
        <w:rPr>
          <w:rFonts w:hint="eastAsia" w:ascii="微软雅黑" w:hAnsi="微软雅黑" w:eastAsia="微软雅黑" w:cs="微软雅黑"/>
          <w:i w:val="0"/>
          <w:iCs w:val="0"/>
          <w:caps w:val="0"/>
          <w:color w:val="auto"/>
          <w:spacing w:val="0"/>
          <w:sz w:val="21"/>
          <w:szCs w:val="21"/>
          <w:highlight w:val="none"/>
        </w:rPr>
      </w:pPr>
      <w:r>
        <w:rPr>
          <w:rFonts w:hint="eastAsia" w:ascii="仿宋" w:hAnsi="仿宋" w:eastAsia="仿宋" w:cs="仿宋"/>
          <w:i w:val="0"/>
          <w:iCs w:val="0"/>
          <w:caps w:val="0"/>
          <w:color w:val="auto"/>
          <w:spacing w:val="0"/>
          <w:kern w:val="0"/>
          <w:sz w:val="28"/>
          <w:szCs w:val="28"/>
          <w:highlight w:val="none"/>
          <w:shd w:val="clear" w:fill="FFFFFF"/>
          <w:lang w:val="en-US" w:eastAsia="zh-CN" w:bidi="ar"/>
        </w:rPr>
        <w:t>方式：（1）投标人须登录新点电子交易平台【滁州专区】查询、获取采购文件。首次登录办理入库手续，办理入库不收取任何费用。新点电子招投标统一认证平台使用相关问题（如系统登录、信息登记、录入及提交、数字证书关联等）请拨打服务电话：4009280095-5（工作日）。  </w:t>
      </w:r>
    </w:p>
    <w:p w14:paraId="22308A0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atLeast"/>
        <w:ind w:left="0" w:right="0" w:firstLine="565"/>
        <w:jc w:val="left"/>
        <w:textAlignment w:val="auto"/>
        <w:rPr>
          <w:rFonts w:hint="eastAsia" w:ascii="微软雅黑" w:hAnsi="微软雅黑" w:eastAsia="微软雅黑" w:cs="微软雅黑"/>
          <w:i w:val="0"/>
          <w:iCs w:val="0"/>
          <w:caps w:val="0"/>
          <w:color w:val="auto"/>
          <w:spacing w:val="0"/>
          <w:sz w:val="21"/>
          <w:szCs w:val="21"/>
          <w:highlight w:val="none"/>
        </w:rPr>
      </w:pPr>
      <w:r>
        <w:rPr>
          <w:rFonts w:hint="eastAsia" w:ascii="仿宋" w:hAnsi="仿宋" w:eastAsia="仿宋" w:cs="仿宋"/>
          <w:i w:val="0"/>
          <w:iCs w:val="0"/>
          <w:caps w:val="0"/>
          <w:color w:val="auto"/>
          <w:spacing w:val="0"/>
          <w:kern w:val="0"/>
          <w:sz w:val="28"/>
          <w:szCs w:val="28"/>
          <w:highlight w:val="none"/>
          <w:shd w:val="clear" w:fill="FFFFFF"/>
          <w:lang w:val="en-US" w:eastAsia="zh-CN" w:bidi="ar"/>
        </w:rPr>
        <w:t>（2）投标人登录新点电子交易平台【滁州专区】获取招标文件及其它资料（含澄清和补充说明等）。如在招标文件获取过程中遇到系统问题，请拨打技术支持服务热线 4009280095或者网站首页在线客服。</w:t>
      </w:r>
    </w:p>
    <w:p w14:paraId="27A9C38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atLeast"/>
        <w:ind w:left="0" w:right="0" w:firstLine="565"/>
        <w:jc w:val="left"/>
        <w:textAlignment w:val="auto"/>
        <w:rPr>
          <w:rFonts w:hint="eastAsia" w:ascii="微软雅黑" w:hAnsi="微软雅黑" w:eastAsia="微软雅黑" w:cs="微软雅黑"/>
          <w:i w:val="0"/>
          <w:iCs w:val="0"/>
          <w:caps w:val="0"/>
          <w:color w:val="auto"/>
          <w:spacing w:val="0"/>
          <w:sz w:val="21"/>
          <w:szCs w:val="21"/>
          <w:highlight w:val="none"/>
        </w:rPr>
      </w:pPr>
      <w:r>
        <w:rPr>
          <w:rFonts w:hint="eastAsia" w:ascii="仿宋" w:hAnsi="仿宋" w:eastAsia="仿宋" w:cs="仿宋"/>
          <w:i w:val="0"/>
          <w:iCs w:val="0"/>
          <w:caps w:val="0"/>
          <w:color w:val="auto"/>
          <w:spacing w:val="0"/>
          <w:kern w:val="0"/>
          <w:sz w:val="28"/>
          <w:szCs w:val="28"/>
          <w:highlight w:val="none"/>
          <w:shd w:val="clear" w:fill="FFFFFF"/>
          <w:lang w:val="en-US" w:eastAsia="zh-CN" w:bidi="ar"/>
        </w:rPr>
        <w:t>2、招标文件及相关资料售价：人民币0元/套（含清单控制价、图纸及澄清答疑文件）。</w:t>
      </w:r>
    </w:p>
    <w:p w14:paraId="09247A6F">
      <w:pPr>
        <w:keepNext/>
        <w:keepLines/>
        <w:pageBreakBefore w:val="0"/>
        <w:widowControl w:val="0"/>
        <w:kinsoku/>
        <w:wordWrap/>
        <w:overflowPunct/>
        <w:topLinePunct w:val="0"/>
        <w:autoSpaceDE/>
        <w:autoSpaceDN/>
        <w:bidi w:val="0"/>
        <w:adjustRightInd/>
        <w:snapToGrid/>
        <w:spacing w:before="260" w:after="260" w:line="240" w:lineRule="auto"/>
        <w:textAlignment w:val="auto"/>
        <w:outlineLvl w:val="9"/>
        <w:rPr>
          <w:rFonts w:hint="eastAsia" w:ascii="黑体" w:hAnsi="黑体" w:eastAsia="黑体" w:cs="黑体"/>
          <w:b w:val="0"/>
          <w:color w:val="auto"/>
          <w:sz w:val="28"/>
          <w:szCs w:val="28"/>
          <w:highlight w:val="none"/>
        </w:rPr>
      </w:pPr>
      <w:bookmarkStart w:id="25" w:name="_Toc28359082"/>
      <w:bookmarkStart w:id="26" w:name="_Toc28359005"/>
      <w:bookmarkStart w:id="27" w:name="_Toc35393624"/>
      <w:bookmarkStart w:id="28" w:name="_Toc19139"/>
      <w:bookmarkStart w:id="29" w:name="_Toc35393793"/>
      <w:bookmarkStart w:id="30" w:name="_Toc6135"/>
      <w:bookmarkStart w:id="31" w:name="_Toc23486"/>
      <w:r>
        <w:rPr>
          <w:rFonts w:hint="eastAsia" w:ascii="黑体" w:hAnsi="黑体" w:eastAsia="黑体" w:cs="黑体"/>
          <w:b w:val="0"/>
          <w:color w:val="auto"/>
          <w:sz w:val="28"/>
          <w:szCs w:val="28"/>
          <w:highlight w:val="none"/>
        </w:rPr>
        <w:t>四、提交投标文件</w:t>
      </w:r>
      <w:bookmarkEnd w:id="25"/>
      <w:bookmarkEnd w:id="26"/>
      <w:r>
        <w:rPr>
          <w:rFonts w:hint="eastAsia" w:ascii="黑体" w:hAnsi="黑体" w:eastAsia="黑体" w:cs="黑体"/>
          <w:b w:val="0"/>
          <w:color w:val="auto"/>
          <w:sz w:val="28"/>
          <w:szCs w:val="28"/>
          <w:highlight w:val="none"/>
        </w:rPr>
        <w:t>截止时间、开标时间和地点</w:t>
      </w:r>
      <w:bookmarkEnd w:id="27"/>
      <w:bookmarkEnd w:id="28"/>
      <w:bookmarkEnd w:id="29"/>
      <w:bookmarkEnd w:id="30"/>
      <w:bookmarkEnd w:id="31"/>
    </w:p>
    <w:p w14:paraId="78DDBB26">
      <w:pPr>
        <w:pageBreakBefore w:val="0"/>
        <w:kinsoku/>
        <w:overflowPunct/>
        <w:topLinePunct w:val="0"/>
        <w:autoSpaceDE/>
        <w:autoSpaceDN/>
        <w:bidi w:val="0"/>
        <w:spacing w:line="240" w:lineRule="auto"/>
        <w:ind w:firstLine="560" w:firstLineChars="200"/>
        <w:jc w:val="left"/>
        <w:rPr>
          <w:rFonts w:hint="eastAsia" w:ascii="仿宋" w:hAnsi="仿宋" w:eastAsia="仿宋" w:cs="仿宋"/>
          <w:b w:val="0"/>
          <w:bCs w:val="0"/>
          <w:color w:val="auto"/>
          <w:sz w:val="28"/>
          <w:szCs w:val="28"/>
          <w:highlight w:val="none"/>
          <w:lang w:val="en-US" w:eastAsia="zh-CN"/>
        </w:rPr>
      </w:pPr>
      <w:bookmarkStart w:id="32" w:name="_Toc35393794"/>
      <w:bookmarkStart w:id="33" w:name="_Toc35393625"/>
      <w:bookmarkStart w:id="34" w:name="_Toc28359084"/>
      <w:bookmarkStart w:id="35" w:name="_Toc1913"/>
      <w:bookmarkStart w:id="36" w:name="_Toc5602"/>
      <w:bookmarkStart w:id="37" w:name="_Toc28359007"/>
      <w:bookmarkStart w:id="38" w:name="_Toc19623"/>
      <w:r>
        <w:rPr>
          <w:rFonts w:hint="eastAsia" w:ascii="仿宋" w:hAnsi="仿宋" w:eastAsia="仿宋" w:cs="仿宋"/>
          <w:b w:val="0"/>
          <w:bCs w:val="0"/>
          <w:color w:val="auto"/>
          <w:sz w:val="28"/>
          <w:szCs w:val="28"/>
          <w:highlight w:val="none"/>
          <w:lang w:val="en-US" w:eastAsia="zh-CN"/>
        </w:rPr>
        <w:t>1、投标文件递交的截止时间为</w:t>
      </w:r>
      <w:r>
        <w:rPr>
          <w:rFonts w:hint="eastAsia" w:ascii="仿宋" w:hAnsi="仿宋" w:eastAsia="仿宋" w:cs="仿宋"/>
          <w:b w:val="0"/>
          <w:bCs w:val="0"/>
          <w:color w:val="auto"/>
          <w:sz w:val="28"/>
          <w:szCs w:val="28"/>
          <w:highlight w:val="none"/>
          <w:u w:val="single"/>
          <w:lang w:val="en-US" w:eastAsia="zh-CN"/>
        </w:rPr>
        <w:t>2025</w:t>
      </w:r>
      <w:r>
        <w:rPr>
          <w:rFonts w:hint="eastAsia" w:ascii="仿宋" w:hAnsi="仿宋" w:eastAsia="仿宋" w:cs="仿宋"/>
          <w:b w:val="0"/>
          <w:bCs w:val="0"/>
          <w:color w:val="auto"/>
          <w:sz w:val="28"/>
          <w:szCs w:val="28"/>
          <w:highlight w:val="none"/>
          <w:lang w:val="en-US" w:eastAsia="zh-CN"/>
        </w:rPr>
        <w:t>年</w:t>
      </w:r>
      <w:r>
        <w:rPr>
          <w:rFonts w:hint="eastAsia" w:ascii="仿宋" w:hAnsi="仿宋" w:eastAsia="仿宋" w:cs="仿宋"/>
          <w:b w:val="0"/>
          <w:bCs w:val="0"/>
          <w:color w:val="auto"/>
          <w:sz w:val="28"/>
          <w:szCs w:val="28"/>
          <w:highlight w:val="none"/>
          <w:u w:val="single"/>
          <w:lang w:val="en-US" w:eastAsia="zh-CN"/>
        </w:rPr>
        <w:t>10</w:t>
      </w:r>
      <w:r>
        <w:rPr>
          <w:rFonts w:hint="eastAsia" w:ascii="仿宋" w:hAnsi="仿宋" w:eastAsia="仿宋" w:cs="仿宋"/>
          <w:b w:val="0"/>
          <w:bCs w:val="0"/>
          <w:color w:val="auto"/>
          <w:sz w:val="28"/>
          <w:szCs w:val="28"/>
          <w:highlight w:val="none"/>
          <w:lang w:val="en-US" w:eastAsia="zh-CN"/>
        </w:rPr>
        <w:t>月</w:t>
      </w:r>
      <w:r>
        <w:rPr>
          <w:rFonts w:hint="eastAsia" w:ascii="仿宋" w:hAnsi="仿宋" w:eastAsia="仿宋" w:cs="仿宋"/>
          <w:b w:val="0"/>
          <w:bCs w:val="0"/>
          <w:color w:val="auto"/>
          <w:sz w:val="28"/>
          <w:szCs w:val="28"/>
          <w:highlight w:val="none"/>
          <w:u w:val="single"/>
          <w:lang w:val="en-US" w:eastAsia="zh-CN"/>
        </w:rPr>
        <w:t>11</w:t>
      </w:r>
      <w:r>
        <w:rPr>
          <w:rFonts w:hint="eastAsia" w:ascii="仿宋" w:hAnsi="仿宋" w:eastAsia="仿宋" w:cs="仿宋"/>
          <w:b w:val="0"/>
          <w:bCs w:val="0"/>
          <w:color w:val="auto"/>
          <w:sz w:val="28"/>
          <w:szCs w:val="28"/>
          <w:highlight w:val="none"/>
          <w:lang w:val="en-US" w:eastAsia="zh-CN"/>
        </w:rPr>
        <w:t>日</w:t>
      </w:r>
      <w:r>
        <w:rPr>
          <w:rFonts w:hint="eastAsia" w:ascii="仿宋" w:hAnsi="仿宋" w:eastAsia="仿宋" w:cs="仿宋"/>
          <w:b w:val="0"/>
          <w:bCs w:val="0"/>
          <w:color w:val="auto"/>
          <w:sz w:val="28"/>
          <w:szCs w:val="28"/>
          <w:highlight w:val="none"/>
          <w:u w:val="single"/>
          <w:lang w:val="en-US" w:eastAsia="zh-CN"/>
        </w:rPr>
        <w:t>09</w:t>
      </w:r>
      <w:r>
        <w:rPr>
          <w:rFonts w:hint="eastAsia" w:ascii="仿宋" w:hAnsi="仿宋" w:eastAsia="仿宋" w:cs="仿宋"/>
          <w:b w:val="0"/>
          <w:bCs w:val="0"/>
          <w:color w:val="auto"/>
          <w:sz w:val="28"/>
          <w:szCs w:val="28"/>
          <w:highlight w:val="none"/>
          <w:lang w:val="en-US" w:eastAsia="zh-CN"/>
        </w:rPr>
        <w:t>时</w:t>
      </w:r>
      <w:r>
        <w:rPr>
          <w:rFonts w:hint="eastAsia" w:ascii="仿宋" w:hAnsi="仿宋" w:eastAsia="仿宋" w:cs="仿宋"/>
          <w:b w:val="0"/>
          <w:bCs w:val="0"/>
          <w:color w:val="auto"/>
          <w:sz w:val="28"/>
          <w:szCs w:val="28"/>
          <w:highlight w:val="none"/>
          <w:u w:val="single"/>
          <w:lang w:val="en-US" w:eastAsia="zh-CN"/>
        </w:rPr>
        <w:t>30</w:t>
      </w:r>
      <w:r>
        <w:rPr>
          <w:rFonts w:hint="eastAsia" w:ascii="仿宋" w:hAnsi="仿宋" w:eastAsia="仿宋" w:cs="仿宋"/>
          <w:b w:val="0"/>
          <w:bCs w:val="0"/>
          <w:color w:val="auto"/>
          <w:sz w:val="28"/>
          <w:szCs w:val="28"/>
          <w:highlight w:val="none"/>
          <w:lang w:val="en-US" w:eastAsia="zh-CN"/>
        </w:rPr>
        <w:t>分；</w:t>
      </w:r>
    </w:p>
    <w:p w14:paraId="6EAC100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atLeast"/>
        <w:ind w:left="0" w:right="0" w:firstLine="565"/>
        <w:jc w:val="left"/>
        <w:textAlignment w:val="auto"/>
        <w:rPr>
          <w:rFonts w:hint="eastAsia" w:ascii="仿宋" w:hAnsi="仿宋" w:eastAsia="仿宋" w:cs="仿宋"/>
          <w:i w:val="0"/>
          <w:iCs w:val="0"/>
          <w:caps w:val="0"/>
          <w:color w:val="auto"/>
          <w:spacing w:val="0"/>
          <w:kern w:val="0"/>
          <w:sz w:val="28"/>
          <w:szCs w:val="28"/>
          <w:highlight w:val="none"/>
          <w:shd w:val="clear" w:fill="FFFFFF"/>
          <w:lang w:val="en-US" w:eastAsia="zh-CN" w:bidi="ar"/>
        </w:rPr>
      </w:pPr>
      <w:r>
        <w:rPr>
          <w:rFonts w:hint="eastAsia" w:ascii="仿宋" w:hAnsi="仿宋" w:eastAsia="仿宋" w:cs="仿宋"/>
          <w:i w:val="0"/>
          <w:iCs w:val="0"/>
          <w:caps w:val="0"/>
          <w:color w:val="auto"/>
          <w:spacing w:val="0"/>
          <w:kern w:val="0"/>
          <w:sz w:val="28"/>
          <w:szCs w:val="28"/>
          <w:highlight w:val="none"/>
          <w:shd w:val="clear" w:fill="FFFFFF"/>
          <w:lang w:val="en-US" w:eastAsia="zh-CN" w:bidi="ar"/>
        </w:rPr>
        <w:t>2、网上开标，投标人登录滁州市城投工程咨询有限公司不见面开标系统参与网上开标（网址：http://js.etrading.cn/EpointBidOpening/bidopeninghallaction/hall/login）。</w:t>
      </w:r>
    </w:p>
    <w:p w14:paraId="7B11CB74">
      <w:pPr>
        <w:pStyle w:val="4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0" w:lineRule="atLeast"/>
        <w:ind w:left="0" w:right="0" w:firstLine="460"/>
        <w:jc w:val="both"/>
        <w:rPr>
          <w:rFonts w:hint="default" w:ascii="仿宋" w:hAnsi="仿宋" w:eastAsia="仿宋" w:cs="仿宋"/>
          <w:i w:val="0"/>
          <w:iCs w:val="0"/>
          <w:caps w:val="0"/>
          <w:color w:val="auto"/>
          <w:spacing w:val="0"/>
          <w:kern w:val="0"/>
          <w:sz w:val="28"/>
          <w:szCs w:val="28"/>
          <w:highlight w:val="none"/>
          <w:shd w:val="clear" w:fill="FFFFFF"/>
          <w:lang w:val="en-US" w:eastAsia="zh-CN" w:bidi="ar"/>
        </w:rPr>
      </w:pPr>
      <w:r>
        <w:rPr>
          <w:rFonts w:hint="eastAsia" w:ascii="仿宋" w:hAnsi="仿宋" w:eastAsia="仿宋" w:cs="仿宋"/>
          <w:i w:val="0"/>
          <w:iCs w:val="0"/>
          <w:caps w:val="0"/>
          <w:color w:val="auto"/>
          <w:spacing w:val="0"/>
          <w:kern w:val="0"/>
          <w:sz w:val="28"/>
          <w:szCs w:val="28"/>
          <w:highlight w:val="none"/>
          <w:shd w:val="clear" w:fill="FFFFFF"/>
          <w:lang w:val="en-US" w:eastAsia="zh-CN" w:bidi="ar"/>
        </w:rPr>
        <w:t>3、投标人应在投标截止时间之前，登陆新点电子交易平台【滁州专区】上传投标文件。</w:t>
      </w:r>
    </w:p>
    <w:p w14:paraId="68E70389">
      <w:pPr>
        <w:pStyle w:val="4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0" w:lineRule="atLeast"/>
        <w:ind w:left="0" w:right="0" w:firstLine="460"/>
        <w:jc w:val="both"/>
        <w:rPr>
          <w:rFonts w:hint="default" w:ascii="仿宋" w:hAnsi="仿宋" w:eastAsia="仿宋" w:cs="仿宋"/>
          <w:i w:val="0"/>
          <w:iCs w:val="0"/>
          <w:caps w:val="0"/>
          <w:color w:val="auto"/>
          <w:spacing w:val="0"/>
          <w:kern w:val="0"/>
          <w:sz w:val="28"/>
          <w:szCs w:val="28"/>
          <w:highlight w:val="none"/>
          <w:shd w:val="clear" w:fill="FFFFFF"/>
          <w:lang w:val="en-US" w:eastAsia="zh-CN" w:bidi="ar"/>
        </w:rPr>
      </w:pPr>
      <w:r>
        <w:rPr>
          <w:rFonts w:hint="eastAsia" w:ascii="仿宋" w:hAnsi="仿宋" w:eastAsia="仿宋" w:cs="仿宋"/>
          <w:i w:val="0"/>
          <w:iCs w:val="0"/>
          <w:caps w:val="0"/>
          <w:color w:val="auto"/>
          <w:spacing w:val="0"/>
          <w:kern w:val="0"/>
          <w:sz w:val="28"/>
          <w:szCs w:val="28"/>
          <w:highlight w:val="none"/>
          <w:shd w:val="clear" w:fill="FFFFFF"/>
          <w:lang w:val="en-US" w:eastAsia="zh-CN" w:bidi="ar"/>
        </w:rPr>
        <w:t>4、投标人逾期上传投标文件的，电子系统不予受理。</w:t>
      </w:r>
    </w:p>
    <w:p w14:paraId="39276E8D">
      <w:pPr>
        <w:keepNext/>
        <w:keepLines/>
        <w:pageBreakBefore w:val="0"/>
        <w:widowControl w:val="0"/>
        <w:kinsoku/>
        <w:wordWrap/>
        <w:overflowPunct/>
        <w:topLinePunct w:val="0"/>
        <w:autoSpaceDE/>
        <w:autoSpaceDN/>
        <w:bidi w:val="0"/>
        <w:adjustRightInd/>
        <w:snapToGrid/>
        <w:spacing w:before="260" w:after="260" w:line="240" w:lineRule="auto"/>
        <w:textAlignment w:val="auto"/>
        <w:outlineLvl w:val="9"/>
        <w:rPr>
          <w:rFonts w:hint="default" w:ascii="黑体" w:hAnsi="黑体" w:eastAsia="黑体" w:cs="黑体"/>
          <w:b w:val="0"/>
          <w:color w:val="auto"/>
          <w:sz w:val="28"/>
          <w:szCs w:val="28"/>
          <w:highlight w:val="none"/>
          <w:lang w:val="en-US" w:eastAsia="zh-CN"/>
        </w:rPr>
      </w:pPr>
      <w:r>
        <w:rPr>
          <w:rFonts w:hint="eastAsia" w:ascii="黑体" w:hAnsi="黑体" w:eastAsia="黑体" w:cs="黑体"/>
          <w:b w:val="0"/>
          <w:color w:val="auto"/>
          <w:sz w:val="28"/>
          <w:szCs w:val="28"/>
          <w:highlight w:val="none"/>
        </w:rPr>
        <w:t>五、公告</w:t>
      </w:r>
      <w:bookmarkEnd w:id="32"/>
      <w:bookmarkEnd w:id="33"/>
      <w:bookmarkEnd w:id="34"/>
      <w:bookmarkEnd w:id="35"/>
      <w:bookmarkEnd w:id="36"/>
      <w:bookmarkEnd w:id="37"/>
      <w:bookmarkEnd w:id="38"/>
      <w:r>
        <w:rPr>
          <w:rFonts w:hint="eastAsia" w:ascii="黑体" w:hAnsi="黑体" w:eastAsia="黑体" w:cs="黑体"/>
          <w:b w:val="0"/>
          <w:color w:val="auto"/>
          <w:sz w:val="28"/>
          <w:szCs w:val="28"/>
          <w:highlight w:val="none"/>
          <w:lang w:val="en-US" w:eastAsia="zh-CN"/>
        </w:rPr>
        <w:t>发布期限及媒体</w:t>
      </w:r>
    </w:p>
    <w:p w14:paraId="70ADAEFA">
      <w:pPr>
        <w:keepNext w:val="0"/>
        <w:keepLines w:val="0"/>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自本公告发布之日起至投标截止时间止。</w:t>
      </w:r>
    </w:p>
    <w:p w14:paraId="4D51DD30">
      <w:pPr>
        <w:keepNext w:val="0"/>
        <w:keepLines w:val="0"/>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本次招标公告同时在中国招标公共服务平台（http://www.cebpubservice.com/）、安徽省招标投标信息网（www.ahtba.org.cn）、滁州市城投工程咨询管理有限公司（</w:t>
      </w:r>
      <w:r>
        <w:rPr>
          <w:rFonts w:hint="eastAsia" w:ascii="仿宋" w:hAnsi="仿宋" w:eastAsia="仿宋" w:cs="仿宋"/>
          <w:i w:val="0"/>
          <w:iCs w:val="0"/>
          <w:caps w:val="0"/>
          <w:color w:val="auto"/>
          <w:spacing w:val="0"/>
          <w:kern w:val="0"/>
          <w:sz w:val="28"/>
          <w:szCs w:val="28"/>
          <w:highlight w:val="none"/>
          <w:shd w:val="clear" w:fill="FFFFFF"/>
          <w:lang w:val="en-US" w:eastAsia="zh-CN" w:bidi="ar"/>
        </w:rPr>
        <w:t>https://www.czctgczx.com/</w:t>
      </w:r>
      <w:r>
        <w:rPr>
          <w:rFonts w:hint="eastAsia" w:ascii="仿宋" w:hAnsi="仿宋" w:eastAsia="仿宋" w:cs="仿宋"/>
          <w:b w:val="0"/>
          <w:bCs w:val="0"/>
          <w:color w:val="auto"/>
          <w:sz w:val="28"/>
          <w:szCs w:val="28"/>
          <w:highlight w:val="none"/>
          <w:lang w:val="en-US" w:eastAsia="zh-CN"/>
        </w:rPr>
        <w:t>）、滁州市重点工程建设管理处（http://zdc.chuzhou.gov.cn/）上发布</w:t>
      </w:r>
    </w:p>
    <w:p w14:paraId="25B232D4">
      <w:pPr>
        <w:keepNext/>
        <w:keepLines/>
        <w:pageBreakBefore w:val="0"/>
        <w:widowControl w:val="0"/>
        <w:kinsoku/>
        <w:wordWrap/>
        <w:overflowPunct/>
        <w:topLinePunct w:val="0"/>
        <w:autoSpaceDE/>
        <w:autoSpaceDN/>
        <w:bidi w:val="0"/>
        <w:adjustRightInd/>
        <w:snapToGrid/>
        <w:spacing w:before="260" w:after="260" w:line="240" w:lineRule="auto"/>
        <w:textAlignment w:val="auto"/>
        <w:outlineLvl w:val="9"/>
        <w:rPr>
          <w:rFonts w:hint="eastAsia" w:ascii="黑体" w:hAnsi="黑体" w:eastAsia="黑体" w:cs="黑体"/>
          <w:b w:val="0"/>
          <w:color w:val="auto"/>
          <w:sz w:val="28"/>
          <w:szCs w:val="28"/>
          <w:highlight w:val="none"/>
        </w:rPr>
      </w:pPr>
      <w:r>
        <w:rPr>
          <w:rFonts w:hint="eastAsia" w:ascii="黑体" w:hAnsi="黑体" w:eastAsia="黑体" w:cs="黑体"/>
          <w:b w:val="0"/>
          <w:color w:val="auto"/>
          <w:sz w:val="28"/>
          <w:szCs w:val="28"/>
          <w:highlight w:val="none"/>
        </w:rPr>
        <w:t>六、投标保证金金额及缴纳账户</w:t>
      </w:r>
    </w:p>
    <w:p w14:paraId="1B54B949">
      <w:pPr>
        <w:pageBreakBefore w:val="0"/>
        <w:kinsoku/>
        <w:overflowPunct/>
        <w:topLinePunct w:val="0"/>
        <w:autoSpaceDE/>
        <w:autoSpaceDN/>
        <w:bidi w:val="0"/>
        <w:spacing w:line="240" w:lineRule="auto"/>
        <w:ind w:firstLine="560" w:firstLineChars="200"/>
        <w:jc w:val="left"/>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是否要求投标人提交投标保证金：不要求。</w:t>
      </w:r>
    </w:p>
    <w:p w14:paraId="0369C8DB">
      <w:pPr>
        <w:keepNext/>
        <w:keepLines/>
        <w:pageBreakBefore w:val="0"/>
        <w:widowControl w:val="0"/>
        <w:kinsoku/>
        <w:wordWrap/>
        <w:overflowPunct/>
        <w:topLinePunct w:val="0"/>
        <w:autoSpaceDE/>
        <w:autoSpaceDN/>
        <w:bidi w:val="0"/>
        <w:adjustRightInd/>
        <w:snapToGrid/>
        <w:spacing w:before="260" w:after="260" w:line="240" w:lineRule="auto"/>
        <w:textAlignment w:val="auto"/>
        <w:outlineLvl w:val="9"/>
        <w:rPr>
          <w:rFonts w:hint="eastAsia" w:ascii="黑体" w:hAnsi="黑体" w:eastAsia="黑体" w:cs="黑体"/>
          <w:b w:val="0"/>
          <w:color w:val="auto"/>
          <w:sz w:val="28"/>
          <w:szCs w:val="28"/>
          <w:highlight w:val="none"/>
        </w:rPr>
      </w:pPr>
      <w:r>
        <w:rPr>
          <w:rFonts w:hint="eastAsia" w:ascii="黑体" w:hAnsi="黑体" w:eastAsia="黑体" w:cs="黑体"/>
          <w:b w:val="0"/>
          <w:color w:val="auto"/>
          <w:sz w:val="28"/>
          <w:szCs w:val="28"/>
          <w:highlight w:val="none"/>
          <w:lang w:val="en-US" w:eastAsia="zh-CN"/>
        </w:rPr>
        <w:t>七</w:t>
      </w:r>
      <w:r>
        <w:rPr>
          <w:rFonts w:hint="eastAsia" w:ascii="黑体" w:hAnsi="黑体" w:eastAsia="黑体" w:cs="黑体"/>
          <w:b w:val="0"/>
          <w:color w:val="auto"/>
          <w:sz w:val="28"/>
          <w:szCs w:val="28"/>
          <w:highlight w:val="none"/>
        </w:rPr>
        <w:t>、对本次招标提出询问，请按以下方式联系</w:t>
      </w:r>
    </w:p>
    <w:p w14:paraId="63CC9399">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1.采购人信息</w:t>
      </w:r>
    </w:p>
    <w:p w14:paraId="008F993E">
      <w:pPr>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rPr>
          <w:rFonts w:hint="default"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rPr>
        <w:t>名称：</w:t>
      </w:r>
      <w:r>
        <w:rPr>
          <w:rFonts w:hint="eastAsia" w:ascii="仿宋" w:hAnsi="仿宋" w:eastAsia="仿宋" w:cs="仿宋"/>
          <w:color w:val="auto"/>
          <w:sz w:val="28"/>
          <w:szCs w:val="28"/>
          <w:highlight w:val="none"/>
          <w:lang w:val="en-US" w:eastAsia="zh-CN"/>
        </w:rPr>
        <w:t>滁州市重点工程建设管理处</w:t>
      </w:r>
      <w:r>
        <w:rPr>
          <w:rFonts w:hint="eastAsia" w:ascii="仿宋" w:hAnsi="仿宋" w:eastAsia="仿宋" w:cs="仿宋"/>
          <w:color w:val="auto"/>
          <w:sz w:val="28"/>
          <w:szCs w:val="28"/>
          <w:highlight w:val="none"/>
          <w:u w:val="single"/>
          <w:lang w:val="en-US" w:eastAsia="zh-CN"/>
        </w:rPr>
        <w:t xml:space="preserve">        </w:t>
      </w:r>
    </w:p>
    <w:p w14:paraId="2676EEB6">
      <w:pPr>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地址：</w:t>
      </w:r>
      <w:r>
        <w:rPr>
          <w:rFonts w:hint="eastAsia" w:ascii="仿宋" w:hAnsi="仿宋" w:eastAsia="仿宋" w:cs="仿宋"/>
          <w:color w:val="auto"/>
          <w:sz w:val="28"/>
          <w:szCs w:val="28"/>
          <w:highlight w:val="none"/>
          <w:lang w:val="en-US" w:eastAsia="zh-CN"/>
        </w:rPr>
        <w:t>滁州市琅琊西路建设大厦4楼</w:t>
      </w:r>
      <w:r>
        <w:rPr>
          <w:rFonts w:hint="eastAsia" w:ascii="仿宋" w:hAnsi="仿宋" w:eastAsia="仿宋" w:cs="仿宋"/>
          <w:color w:val="auto"/>
          <w:sz w:val="28"/>
          <w:szCs w:val="28"/>
          <w:highlight w:val="none"/>
          <w:u w:val="single"/>
          <w:lang w:val="en-US" w:eastAsia="zh-CN"/>
        </w:rPr>
        <w:t xml:space="preserve">                </w:t>
      </w:r>
    </w:p>
    <w:p w14:paraId="00D6D654">
      <w:pPr>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rPr>
          <w:rFonts w:hint="default"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rPr>
        <w:t>联系方式：</w:t>
      </w:r>
      <w:bookmarkStart w:id="39" w:name="_Toc28359086"/>
      <w:bookmarkStart w:id="40" w:name="_Toc28359009"/>
      <w:r>
        <w:rPr>
          <w:rFonts w:hint="eastAsia" w:ascii="仿宋" w:hAnsi="仿宋" w:eastAsia="仿宋" w:cs="仿宋"/>
          <w:color w:val="auto"/>
          <w:sz w:val="28"/>
          <w:szCs w:val="28"/>
          <w:highlight w:val="none"/>
          <w:lang w:val="en-US" w:eastAsia="zh-CN"/>
        </w:rPr>
        <w:t>马雪婷  0550-3046029</w:t>
      </w:r>
      <w:r>
        <w:rPr>
          <w:rFonts w:hint="eastAsia" w:ascii="仿宋" w:hAnsi="仿宋" w:eastAsia="仿宋" w:cs="仿宋"/>
          <w:color w:val="auto"/>
          <w:sz w:val="28"/>
          <w:szCs w:val="28"/>
          <w:highlight w:val="none"/>
          <w:u w:val="single"/>
          <w:lang w:val="en-US" w:eastAsia="zh-CN"/>
        </w:rPr>
        <w:t xml:space="preserve">            </w:t>
      </w:r>
    </w:p>
    <w:p w14:paraId="03EF2015">
      <w:pPr>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2.采购代理机构信息</w:t>
      </w:r>
      <w:bookmarkEnd w:id="39"/>
      <w:bookmarkEnd w:id="40"/>
    </w:p>
    <w:p w14:paraId="172B8153">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color w:val="auto"/>
          <w:sz w:val="28"/>
          <w:szCs w:val="28"/>
          <w:highlight w:val="none"/>
          <w:u w:val="none"/>
          <w:lang w:val="en-US" w:eastAsia="zh-CN"/>
        </w:rPr>
      </w:pPr>
      <w:bookmarkStart w:id="41" w:name="_Toc28359010"/>
      <w:bookmarkStart w:id="42" w:name="_Toc28359087"/>
      <w:r>
        <w:rPr>
          <w:rFonts w:hint="eastAsia" w:ascii="仿宋" w:hAnsi="仿宋" w:eastAsia="仿宋" w:cs="仿宋"/>
          <w:color w:val="auto"/>
          <w:sz w:val="28"/>
          <w:szCs w:val="28"/>
          <w:highlight w:val="none"/>
        </w:rPr>
        <w:t>名称：</w:t>
      </w:r>
      <w:r>
        <w:rPr>
          <w:rFonts w:hint="eastAsia" w:ascii="仿宋" w:hAnsi="仿宋" w:eastAsia="仿宋" w:cs="仿宋"/>
          <w:color w:val="auto"/>
          <w:sz w:val="28"/>
          <w:szCs w:val="28"/>
          <w:highlight w:val="none"/>
          <w:u w:val="none"/>
          <w:lang w:val="en-US" w:eastAsia="zh-CN"/>
        </w:rPr>
        <w:t>滁州市城投工程咨询管理有限公司</w:t>
      </w:r>
    </w:p>
    <w:p w14:paraId="61DC66B0">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rPr>
        <w:t>地址：</w:t>
      </w:r>
      <w:r>
        <w:rPr>
          <w:rFonts w:hint="eastAsia" w:ascii="仿宋" w:hAnsi="仿宋" w:eastAsia="仿宋" w:cs="仿宋"/>
          <w:color w:val="auto"/>
          <w:sz w:val="28"/>
          <w:szCs w:val="28"/>
          <w:highlight w:val="none"/>
          <w:lang w:val="en-US" w:eastAsia="zh-CN"/>
        </w:rPr>
        <w:t>滁州市龙蟠大道109号房产商务大厦6楼620</w:t>
      </w:r>
      <w:r>
        <w:rPr>
          <w:rFonts w:hint="eastAsia" w:ascii="仿宋" w:hAnsi="仿宋" w:eastAsia="仿宋" w:cs="仿宋"/>
          <w:color w:val="auto"/>
          <w:sz w:val="28"/>
          <w:szCs w:val="28"/>
          <w:highlight w:val="none"/>
          <w:u w:val="single"/>
          <w:lang w:val="en-US" w:eastAsia="zh-CN"/>
        </w:rPr>
        <w:t xml:space="preserve">                </w:t>
      </w:r>
    </w:p>
    <w:p w14:paraId="3942C597">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rPr>
        <w:t>联系方式：</w:t>
      </w:r>
      <w:r>
        <w:rPr>
          <w:rFonts w:hint="eastAsia" w:ascii="仿宋" w:hAnsi="仿宋" w:eastAsia="仿宋" w:cs="仿宋"/>
          <w:color w:val="auto"/>
          <w:sz w:val="28"/>
          <w:szCs w:val="28"/>
          <w:highlight w:val="none"/>
          <w:lang w:val="en-US" w:eastAsia="zh-CN"/>
        </w:rPr>
        <w:t>关勤勤 0550-3519590 18909605753</w:t>
      </w:r>
      <w:r>
        <w:rPr>
          <w:rFonts w:hint="eastAsia" w:ascii="仿宋" w:hAnsi="仿宋" w:eastAsia="仿宋" w:cs="仿宋"/>
          <w:color w:val="auto"/>
          <w:sz w:val="28"/>
          <w:szCs w:val="28"/>
          <w:highlight w:val="none"/>
          <w:u w:val="single"/>
          <w:lang w:val="en-US" w:eastAsia="zh-CN"/>
        </w:rPr>
        <w:t xml:space="preserve">             </w:t>
      </w:r>
    </w:p>
    <w:p w14:paraId="1BC655DA">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rPr>
        <w:t>3.</w:t>
      </w:r>
      <w:bookmarkEnd w:id="41"/>
      <w:bookmarkEnd w:id="42"/>
      <w:r>
        <w:rPr>
          <w:rFonts w:hint="eastAsia" w:ascii="仿宋" w:hAnsi="仿宋" w:eastAsia="仿宋" w:cs="仿宋"/>
          <w:color w:val="auto"/>
          <w:sz w:val="28"/>
          <w:szCs w:val="28"/>
          <w:highlight w:val="none"/>
          <w:lang w:val="en-US" w:eastAsia="zh-CN"/>
        </w:rPr>
        <w:t>监督部门：/</w:t>
      </w:r>
    </w:p>
    <w:p w14:paraId="03C87A45">
      <w:pPr>
        <w:pStyle w:val="25"/>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名称</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u w:val="single"/>
          <w:lang w:val="en-US" w:eastAsia="zh-CN"/>
        </w:rPr>
        <w:t xml:space="preserve">             </w:t>
      </w:r>
    </w:p>
    <w:p w14:paraId="2B50E2F9">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rPr>
        <w:t>电话：</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u w:val="single"/>
          <w:lang w:val="en-US" w:eastAsia="zh-CN"/>
        </w:rPr>
        <w:t xml:space="preserve">           </w:t>
      </w:r>
    </w:p>
    <w:p w14:paraId="70CCC2F2">
      <w:pPr>
        <w:keepNext/>
        <w:keepLines/>
        <w:pageBreakBefore w:val="0"/>
        <w:widowControl w:val="0"/>
        <w:kinsoku/>
        <w:wordWrap/>
        <w:overflowPunct/>
        <w:topLinePunct w:val="0"/>
        <w:autoSpaceDE/>
        <w:autoSpaceDN/>
        <w:bidi w:val="0"/>
        <w:adjustRightInd/>
        <w:snapToGrid/>
        <w:spacing w:before="260" w:after="260" w:line="240" w:lineRule="auto"/>
        <w:textAlignment w:val="auto"/>
        <w:outlineLvl w:val="9"/>
        <w:rPr>
          <w:rFonts w:hint="default" w:ascii="黑体" w:hAnsi="黑体" w:eastAsia="黑体" w:cs="黑体"/>
          <w:b w:val="0"/>
          <w:color w:val="auto"/>
          <w:sz w:val="28"/>
          <w:szCs w:val="28"/>
          <w:highlight w:val="none"/>
          <w:lang w:val="en-US" w:eastAsia="zh-CN"/>
        </w:rPr>
      </w:pPr>
      <w:r>
        <w:rPr>
          <w:rFonts w:hint="eastAsia" w:ascii="黑体" w:hAnsi="黑体" w:eastAsia="黑体" w:cs="黑体"/>
          <w:b w:val="0"/>
          <w:color w:val="auto"/>
          <w:sz w:val="28"/>
          <w:szCs w:val="28"/>
          <w:highlight w:val="none"/>
          <w:lang w:val="en-US" w:eastAsia="zh-CN"/>
        </w:rPr>
        <w:t>八</w:t>
      </w:r>
      <w:r>
        <w:rPr>
          <w:rFonts w:hint="eastAsia" w:ascii="黑体" w:hAnsi="黑体" w:eastAsia="黑体" w:cs="黑体"/>
          <w:b w:val="0"/>
          <w:color w:val="auto"/>
          <w:sz w:val="28"/>
          <w:szCs w:val="28"/>
          <w:highlight w:val="none"/>
        </w:rPr>
        <w:t>、</w:t>
      </w:r>
      <w:r>
        <w:rPr>
          <w:rFonts w:hint="eastAsia" w:ascii="黑体" w:hAnsi="黑体" w:eastAsia="黑体" w:cs="黑体"/>
          <w:b w:val="0"/>
          <w:color w:val="auto"/>
          <w:sz w:val="28"/>
          <w:szCs w:val="28"/>
          <w:highlight w:val="none"/>
          <w:lang w:val="en-US" w:eastAsia="zh-CN"/>
        </w:rPr>
        <w:t>重要提醒</w:t>
      </w:r>
    </w:p>
    <w:p w14:paraId="0668F3B1">
      <w:pPr>
        <w:keepNext w:val="0"/>
        <w:keepLines w:val="0"/>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1.请于公告发布之日起从滁州市城投工程咨询管理有限公司官网（https://www.czctgczx.com/），点击项目招标公告下方【我要投标】，登录新点电子交易平台后在【滁州专区】（https://www.etrading.cn/BREpointSSO/login/oauth2login?regioncode=DQ_ChuZhou）下载本项目招标文件。投标人自行承担因未按要求获取招标文件导致无法上传电子投标文件的风险。</w:t>
      </w:r>
    </w:p>
    <w:p w14:paraId="7A7007A2">
      <w:pPr>
        <w:keepNext w:val="0"/>
        <w:keepLines w:val="0"/>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2.投标人须登录新点电子交易平台【滁州专区】查询、获取招标文件。首次登录办理入库手续，办理入库不收取任何费用。新点电子招投标统一认证平台使用相关问题（如系统登录、信息登记、录入及提交、数字证书关联等）请拨打服务电话：4009280095-5（工作日）  </w:t>
      </w:r>
    </w:p>
    <w:p w14:paraId="133A6ACA">
      <w:pPr>
        <w:keepNext w:val="0"/>
        <w:keepLines w:val="0"/>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3.投标人登录新点电子交易平台【滁州专区】获取招标文件及其它资料（含澄清和补充说明等）。如在招标文件获取过程中遇到系统问题，请拨打技术支持服务热线4009280095或者网站首页在线客服。</w:t>
      </w:r>
    </w:p>
    <w:p w14:paraId="7D2A9F0E">
      <w:pPr>
        <w:keepNext w:val="0"/>
        <w:keepLines w:val="0"/>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4.本项目采用不见面开标，投标人登录滁州市城投工程咨询有限公司不见面开标系统参与网上开标（网址：http://js.etrading.cn/EpointBidOpening/bidopeninghallaction/hall/login）。</w:t>
      </w:r>
    </w:p>
    <w:p w14:paraId="54D51535">
      <w:pPr>
        <w:keepNext w:val="0"/>
        <w:keepLines w:val="0"/>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5.投标人应在投标截止时间之前，登录新点电子交易平台【滁州专区】上传投标文件。投标人逾期上传投标文件的，电子系统不予受理。</w:t>
      </w:r>
    </w:p>
    <w:p w14:paraId="10D18610">
      <w:pPr>
        <w:keepNext w:val="0"/>
        <w:keepLines w:val="0"/>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6.投标人的联系人电话(手机)、电子邮箱等通讯方式在开标过程中必须保持畅通，否则因上述原因造成的后果，责任自负。</w:t>
      </w:r>
    </w:p>
    <w:p w14:paraId="62483E02">
      <w:pPr>
        <w:keepNext w:val="0"/>
        <w:keepLines w:val="0"/>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7.本项目采用电子招投标方式，请投标人在“新点电子交易平台”常用下载专区下载“新点电子交易平台专用投标文件制作软件”，仔细阅读招标文件要求和相关操作手册，以免影响投标文件编制，因投标人未及时关注相关信息对投标造成的不利后果由其自行承担。投标软件制作工具下载：https://download.bqpoint.com/download/downloaddetail.html?SourceFrom=Ztb&amp;ZtbSoftXiaQuCode=0128&amp;ZtbSoftType=tballinclusive。</w:t>
      </w:r>
    </w:p>
    <w:p w14:paraId="41AD72DA">
      <w:pPr>
        <w:pageBreakBefore w:val="0"/>
        <w:kinsoku/>
        <w:overflowPunct/>
        <w:topLinePunct w:val="0"/>
        <w:autoSpaceDE/>
        <w:autoSpaceDN/>
        <w:bidi w:val="0"/>
        <w:spacing w:line="240" w:lineRule="auto"/>
        <w:ind w:firstLine="560" w:firstLineChars="200"/>
        <w:jc w:val="left"/>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仿宋" w:hAnsi="仿宋" w:eastAsia="仿宋" w:cs="仿宋"/>
          <w:b w:val="0"/>
          <w:bCs w:val="0"/>
          <w:color w:val="auto"/>
          <w:sz w:val="28"/>
          <w:szCs w:val="28"/>
          <w:highlight w:val="none"/>
          <w:lang w:val="en-US" w:eastAsia="zh-CN"/>
        </w:rPr>
        <w:t>8.本项目开评标实行全流程电子化，在线完成开评标活动。开标时投标人无需到达开标现场，不接受现场解密，实行远程解密和在线询标。各投标人认真学习《新点电子交易平台投标人操作手册》，务必掌握远程解密方法和在线回复询标方法。 </w:t>
      </w:r>
      <w:r>
        <w:rPr>
          <w:rFonts w:hint="eastAsia" w:ascii="宋体" w:hAnsi="宋体" w:eastAsia="宋体" w:cs="宋体"/>
          <w:i w:val="0"/>
          <w:iCs w:val="0"/>
          <w:caps w:val="0"/>
          <w:color w:val="auto"/>
          <w:spacing w:val="0"/>
          <w:kern w:val="0"/>
          <w:sz w:val="21"/>
          <w:szCs w:val="21"/>
          <w:highlight w:val="none"/>
          <w:shd w:val="clear" w:fill="FFFFFF"/>
          <w:lang w:val="en-US" w:eastAsia="zh-CN" w:bidi="ar"/>
        </w:rPr>
        <w:t>  </w:t>
      </w:r>
    </w:p>
    <w:p w14:paraId="607C199E">
      <w:pPr>
        <w:pStyle w:val="6"/>
        <w:keepNext/>
        <w:keepLines/>
        <w:pageBreakBefore/>
        <w:widowControl w:val="0"/>
        <w:kinsoku/>
        <w:wordWrap/>
        <w:overflowPunct/>
        <w:topLinePunct w:val="0"/>
        <w:autoSpaceDE/>
        <w:autoSpaceDN/>
        <w:bidi w:val="0"/>
        <w:adjustRightInd/>
        <w:snapToGrid/>
        <w:spacing w:before="0" w:after="0"/>
        <w:textAlignment w:val="auto"/>
        <w:rPr>
          <w:rFonts w:hint="eastAsia" w:ascii="宋体" w:hAnsi="宋体" w:eastAsia="宋体" w:cs="宋体"/>
          <w:color w:val="auto"/>
          <w:highlight w:val="none"/>
          <w:lang w:eastAsia="zh-CN"/>
        </w:rPr>
      </w:pPr>
      <w:bookmarkStart w:id="43" w:name="_Toc2525"/>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一</w:t>
      </w:r>
      <w:r>
        <w:rPr>
          <w:rFonts w:hint="eastAsia" w:ascii="宋体" w:hAnsi="宋体" w:eastAsia="宋体" w:cs="宋体"/>
          <w:color w:val="auto"/>
          <w:highlight w:val="none"/>
        </w:rPr>
        <w:t>章</w:t>
      </w:r>
      <w:r>
        <w:rPr>
          <w:rFonts w:hint="eastAsia" w:ascii="宋体" w:hAnsi="宋体" w:eastAsia="宋体" w:cs="宋体"/>
          <w:color w:val="auto"/>
          <w:highlight w:val="none"/>
          <w:lang w:val="en-US" w:eastAsia="zh-CN"/>
        </w:rPr>
        <w:t xml:space="preserve"> </w:t>
      </w:r>
      <w:bookmarkEnd w:id="43"/>
      <w:r>
        <w:rPr>
          <w:rFonts w:hint="eastAsia" w:ascii="宋体" w:hAnsi="宋体" w:eastAsia="宋体" w:cs="宋体"/>
          <w:color w:val="auto"/>
          <w:highlight w:val="none"/>
          <w:lang w:eastAsia="zh-CN"/>
        </w:rPr>
        <w:t>投标人须知</w:t>
      </w:r>
    </w:p>
    <w:p w14:paraId="11A55803">
      <w:pPr>
        <w:pStyle w:val="6"/>
        <w:keepNext/>
        <w:keepLines/>
        <w:pageBreakBefore w:val="0"/>
        <w:widowControl w:val="0"/>
        <w:kinsoku/>
        <w:wordWrap/>
        <w:overflowPunct/>
        <w:topLinePunct w:val="0"/>
        <w:autoSpaceDE/>
        <w:autoSpaceDN/>
        <w:bidi w:val="0"/>
        <w:adjustRightInd/>
        <w:snapToGrid/>
        <w:spacing w:before="0" w:after="0"/>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投标人须知</w:t>
      </w:r>
      <w:r>
        <w:rPr>
          <w:rFonts w:hint="eastAsia" w:ascii="宋体" w:hAnsi="宋体" w:eastAsia="宋体" w:cs="宋体"/>
          <w:color w:val="auto"/>
          <w:highlight w:val="none"/>
        </w:rPr>
        <w:t>前附表</w:t>
      </w:r>
      <w:bookmarkEnd w:id="0"/>
    </w:p>
    <w:tbl>
      <w:tblPr>
        <w:tblStyle w:val="45"/>
        <w:tblW w:w="9771" w:type="dxa"/>
        <w:tblInd w:w="-459" w:type="dxa"/>
        <w:tblLayout w:type="fixed"/>
        <w:tblCellMar>
          <w:top w:w="0" w:type="dxa"/>
          <w:left w:w="0" w:type="dxa"/>
          <w:bottom w:w="0" w:type="dxa"/>
          <w:right w:w="0" w:type="dxa"/>
        </w:tblCellMar>
      </w:tblPr>
      <w:tblGrid>
        <w:gridCol w:w="899"/>
        <w:gridCol w:w="1295"/>
        <w:gridCol w:w="7577"/>
      </w:tblGrid>
      <w:tr w14:paraId="78EF493F">
        <w:tblPrEx>
          <w:tblCellMar>
            <w:top w:w="0" w:type="dxa"/>
            <w:left w:w="0" w:type="dxa"/>
            <w:bottom w:w="0" w:type="dxa"/>
            <w:right w:w="0" w:type="dxa"/>
          </w:tblCellMar>
        </w:tblPrEx>
        <w:trPr>
          <w:trHeight w:val="580" w:hRule="atLeast"/>
        </w:trPr>
        <w:tc>
          <w:tcPr>
            <w:tcW w:w="899" w:type="dxa"/>
            <w:tcBorders>
              <w:top w:val="single" w:color="auto" w:sz="8" w:space="0"/>
              <w:left w:val="single" w:color="auto" w:sz="8" w:space="0"/>
              <w:bottom w:val="single" w:color="auto" w:sz="8" w:space="0"/>
              <w:right w:val="single" w:color="auto" w:sz="8" w:space="0"/>
            </w:tcBorders>
            <w:vAlign w:val="center"/>
          </w:tcPr>
          <w:p w14:paraId="6A179B09">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编号</w:t>
            </w:r>
          </w:p>
        </w:tc>
        <w:tc>
          <w:tcPr>
            <w:tcW w:w="1295" w:type="dxa"/>
            <w:tcBorders>
              <w:top w:val="single" w:color="auto" w:sz="8" w:space="0"/>
              <w:left w:val="single" w:color="auto" w:sz="4" w:space="0"/>
              <w:bottom w:val="single" w:color="auto" w:sz="8" w:space="0"/>
              <w:right w:val="single" w:color="auto" w:sz="4" w:space="0"/>
            </w:tcBorders>
            <w:vAlign w:val="center"/>
          </w:tcPr>
          <w:p w14:paraId="49C71E2D">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内容</w:t>
            </w:r>
          </w:p>
        </w:tc>
        <w:tc>
          <w:tcPr>
            <w:tcW w:w="7577" w:type="dxa"/>
            <w:tcBorders>
              <w:top w:val="single" w:color="auto" w:sz="8" w:space="0"/>
              <w:left w:val="single" w:color="auto" w:sz="4" w:space="0"/>
              <w:bottom w:val="single" w:color="auto" w:sz="8" w:space="0"/>
              <w:right w:val="single" w:color="auto" w:sz="8" w:space="0"/>
            </w:tcBorders>
            <w:vAlign w:val="center"/>
          </w:tcPr>
          <w:p w14:paraId="6CFD765C">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说明与要求</w:t>
            </w:r>
          </w:p>
        </w:tc>
      </w:tr>
      <w:tr w14:paraId="726904A0">
        <w:tblPrEx>
          <w:tblCellMar>
            <w:top w:w="0" w:type="dxa"/>
            <w:left w:w="0" w:type="dxa"/>
            <w:bottom w:w="0" w:type="dxa"/>
            <w:right w:w="0" w:type="dxa"/>
          </w:tblCellMar>
        </w:tblPrEx>
        <w:trPr>
          <w:trHeight w:val="986" w:hRule="atLeast"/>
        </w:trPr>
        <w:tc>
          <w:tcPr>
            <w:tcW w:w="899" w:type="dxa"/>
            <w:tcBorders>
              <w:top w:val="single" w:color="auto" w:sz="8" w:space="0"/>
              <w:left w:val="single" w:color="auto" w:sz="8" w:space="0"/>
              <w:bottom w:val="single" w:color="auto" w:sz="8" w:space="0"/>
              <w:right w:val="single" w:color="auto" w:sz="8" w:space="0"/>
            </w:tcBorders>
            <w:vAlign w:val="center"/>
          </w:tcPr>
          <w:p w14:paraId="2BF3545F">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295" w:type="dxa"/>
            <w:tcBorders>
              <w:top w:val="single" w:color="auto" w:sz="8" w:space="0"/>
              <w:left w:val="single" w:color="auto" w:sz="4" w:space="0"/>
              <w:bottom w:val="single" w:color="auto" w:sz="8" w:space="0"/>
              <w:right w:val="single" w:color="auto" w:sz="4" w:space="0"/>
            </w:tcBorders>
            <w:vAlign w:val="center"/>
          </w:tcPr>
          <w:p w14:paraId="1C48B210">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项目概况</w:t>
            </w:r>
          </w:p>
        </w:tc>
        <w:tc>
          <w:tcPr>
            <w:tcW w:w="7577" w:type="dxa"/>
            <w:tcBorders>
              <w:top w:val="single" w:color="auto" w:sz="8" w:space="0"/>
              <w:left w:val="single" w:color="auto" w:sz="4" w:space="0"/>
              <w:bottom w:val="single" w:color="auto" w:sz="8" w:space="0"/>
              <w:right w:val="single" w:color="auto" w:sz="8" w:space="0"/>
            </w:tcBorders>
            <w:vAlign w:val="center"/>
          </w:tcPr>
          <w:p w14:paraId="5594D2C0">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项目</w:t>
            </w:r>
            <w:r>
              <w:rPr>
                <w:rFonts w:hint="eastAsia" w:ascii="宋体" w:hAnsi="宋体" w:eastAsia="宋体" w:cs="宋体"/>
                <w:color w:val="auto"/>
                <w:kern w:val="0"/>
                <w:sz w:val="21"/>
                <w:szCs w:val="21"/>
                <w:highlight w:val="none"/>
              </w:rPr>
              <w:t>名称：</w:t>
            </w:r>
            <w:r>
              <w:rPr>
                <w:rFonts w:hint="eastAsia" w:ascii="宋体" w:hAnsi="宋体" w:cs="宋体"/>
                <w:color w:val="auto"/>
                <w:kern w:val="0"/>
                <w:sz w:val="21"/>
                <w:szCs w:val="21"/>
                <w:highlight w:val="none"/>
                <w:lang w:val="en-US" w:eastAsia="zh-CN"/>
              </w:rPr>
              <w:t>滁城西片区排水综合整治工程二批次（二标段）结算复核服务</w:t>
            </w:r>
          </w:p>
          <w:p w14:paraId="3D870AD5">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建设地点：滁州市</w:t>
            </w:r>
            <w:r>
              <w:rPr>
                <w:rFonts w:hint="eastAsia" w:ascii="宋体" w:hAnsi="宋体" w:eastAsia="宋体" w:cs="宋体"/>
                <w:color w:val="auto"/>
                <w:kern w:val="0"/>
                <w:sz w:val="21"/>
                <w:szCs w:val="21"/>
                <w:highlight w:val="none"/>
                <w:lang w:val="en-US" w:eastAsia="zh-CN"/>
              </w:rPr>
              <w:t>内</w:t>
            </w:r>
          </w:p>
          <w:p w14:paraId="70D97D96">
            <w:pPr>
              <w:keepNext w:val="0"/>
              <w:keepLines w:val="0"/>
              <w:pageBreakBefore w:val="0"/>
              <w:widowControl w:val="0"/>
              <w:kinsoku/>
              <w:wordWrap w:val="0"/>
              <w:overflowPunct/>
              <w:topLinePunct w:val="0"/>
              <w:autoSpaceDE/>
              <w:autoSpaceDN/>
              <w:bidi w:val="0"/>
              <w:adjustRightInd/>
              <w:snapToGrid/>
              <w:spacing w:line="440" w:lineRule="exac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lang w:val="en-US" w:eastAsia="zh-CN"/>
              </w:rPr>
              <w:t>建设规模：</w:t>
            </w:r>
            <w:r>
              <w:rPr>
                <w:rFonts w:hint="eastAsia" w:ascii="宋体" w:hAnsi="宋体" w:cs="宋体"/>
                <w:color w:val="auto"/>
                <w:kern w:val="0"/>
                <w:sz w:val="21"/>
                <w:szCs w:val="21"/>
                <w:highlight w:val="none"/>
                <w:lang w:val="en-US" w:eastAsia="zh-CN"/>
              </w:rPr>
              <w:t>滁城西片区排水综合整治工程二批次（二标段），</w:t>
            </w:r>
            <w:r>
              <w:rPr>
                <w:rFonts w:hint="eastAsia" w:ascii="宋体" w:hAnsi="宋体" w:eastAsia="宋体" w:cs="宋体"/>
                <w:color w:val="auto"/>
                <w:kern w:val="0"/>
                <w:sz w:val="21"/>
                <w:szCs w:val="21"/>
                <w:highlight w:val="none"/>
                <w:lang w:val="en-US" w:eastAsia="zh-CN"/>
              </w:rPr>
              <w:t>合同价款约</w:t>
            </w:r>
            <w:r>
              <w:rPr>
                <w:rFonts w:hint="eastAsia"/>
                <w:color w:val="auto"/>
                <w:highlight w:val="none"/>
                <w:lang w:val="en-US" w:eastAsia="zh-CN"/>
              </w:rPr>
              <w:t>988.2</w:t>
            </w:r>
            <w:r>
              <w:rPr>
                <w:rFonts w:hint="eastAsia" w:ascii="宋体" w:hAnsi="宋体" w:cs="宋体"/>
                <w:color w:val="auto"/>
                <w:kern w:val="0"/>
                <w:sz w:val="21"/>
                <w:szCs w:val="21"/>
                <w:highlight w:val="none"/>
                <w:lang w:val="en-US" w:eastAsia="zh-CN"/>
              </w:rPr>
              <w:t>万</w:t>
            </w:r>
            <w:r>
              <w:rPr>
                <w:rFonts w:hint="eastAsia" w:ascii="宋体" w:hAnsi="宋体" w:eastAsia="宋体" w:cs="宋体"/>
                <w:color w:val="auto"/>
                <w:kern w:val="0"/>
                <w:sz w:val="21"/>
                <w:szCs w:val="21"/>
                <w:highlight w:val="none"/>
                <w:lang w:val="en-US" w:eastAsia="zh-CN"/>
              </w:rPr>
              <w:t>元</w:t>
            </w:r>
            <w:r>
              <w:rPr>
                <w:rFonts w:hint="eastAsia" w:ascii="宋体" w:hAnsi="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lang w:val="en-US" w:eastAsia="zh-CN"/>
              </w:rPr>
              <w:t>服务费用约</w:t>
            </w:r>
            <w:r>
              <w:rPr>
                <w:rFonts w:hint="eastAsia" w:ascii="宋体" w:hAnsi="宋体" w:cs="宋体"/>
                <w:color w:val="auto"/>
                <w:kern w:val="0"/>
                <w:sz w:val="21"/>
                <w:szCs w:val="21"/>
                <w:highlight w:val="none"/>
                <w:lang w:val="en-US" w:eastAsia="zh-CN"/>
              </w:rPr>
              <w:t>2.0</w:t>
            </w:r>
            <w:r>
              <w:rPr>
                <w:rFonts w:hint="eastAsia" w:ascii="宋体" w:hAnsi="宋体" w:eastAsia="宋体" w:cs="宋体"/>
                <w:color w:val="auto"/>
                <w:kern w:val="0"/>
                <w:sz w:val="21"/>
                <w:szCs w:val="21"/>
                <w:highlight w:val="none"/>
                <w:lang w:val="en-US" w:eastAsia="zh-CN"/>
              </w:rPr>
              <w:t xml:space="preserve">万元。  </w:t>
            </w:r>
          </w:p>
        </w:tc>
      </w:tr>
      <w:tr w14:paraId="4047B0BA">
        <w:tblPrEx>
          <w:tblCellMar>
            <w:top w:w="0" w:type="dxa"/>
            <w:left w:w="0" w:type="dxa"/>
            <w:bottom w:w="0" w:type="dxa"/>
            <w:right w:w="0" w:type="dxa"/>
          </w:tblCellMar>
        </w:tblPrEx>
        <w:trPr>
          <w:trHeight w:val="255" w:hRule="atLeast"/>
        </w:trPr>
        <w:tc>
          <w:tcPr>
            <w:tcW w:w="899" w:type="dxa"/>
            <w:tcBorders>
              <w:top w:val="single" w:color="auto" w:sz="8" w:space="0"/>
              <w:left w:val="single" w:color="auto" w:sz="8" w:space="0"/>
              <w:bottom w:val="single" w:color="auto" w:sz="8" w:space="0"/>
              <w:right w:val="single" w:color="auto" w:sz="8" w:space="0"/>
            </w:tcBorders>
            <w:vAlign w:val="center"/>
          </w:tcPr>
          <w:p w14:paraId="4A966AC2">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1295" w:type="dxa"/>
            <w:tcBorders>
              <w:top w:val="single" w:color="auto" w:sz="8" w:space="0"/>
              <w:left w:val="single" w:color="auto" w:sz="4" w:space="0"/>
              <w:bottom w:val="single" w:color="auto" w:sz="8" w:space="0"/>
              <w:right w:val="single" w:color="auto" w:sz="4" w:space="0"/>
            </w:tcBorders>
            <w:vAlign w:val="center"/>
          </w:tcPr>
          <w:p w14:paraId="1E1D1A52">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服务需求</w:t>
            </w:r>
          </w:p>
        </w:tc>
        <w:tc>
          <w:tcPr>
            <w:tcW w:w="7577" w:type="dxa"/>
            <w:tcBorders>
              <w:top w:val="single" w:color="auto" w:sz="8" w:space="0"/>
              <w:left w:val="single" w:color="auto" w:sz="4" w:space="0"/>
              <w:bottom w:val="single" w:color="auto" w:sz="8" w:space="0"/>
              <w:right w:val="single" w:color="auto" w:sz="8" w:space="0"/>
            </w:tcBorders>
            <w:vAlign w:val="center"/>
          </w:tcPr>
          <w:p w14:paraId="2B02BB95">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Cs w:val="21"/>
                <w:highlight w:val="none"/>
              </w:rPr>
            </w:pPr>
            <w:r>
              <w:rPr>
                <w:rFonts w:hint="eastAsia" w:ascii="宋体" w:hAnsi="宋体" w:cs="宋体"/>
                <w:color w:val="auto"/>
                <w:szCs w:val="21"/>
                <w:highlight w:val="none"/>
                <w:lang w:val="en-US" w:eastAsia="zh-CN"/>
              </w:rPr>
              <w:t>滁城西片区排水综合整治工程二批次（二标段）结算复核服务</w:t>
            </w:r>
            <w:r>
              <w:rPr>
                <w:rFonts w:hint="eastAsia" w:ascii="宋体" w:hAnsi="宋体" w:eastAsia="宋体" w:cs="宋体"/>
                <w:color w:val="auto"/>
                <w:szCs w:val="21"/>
                <w:highlight w:val="none"/>
                <w:lang w:val="en-US" w:eastAsia="zh-CN"/>
              </w:rPr>
              <w:t>，</w:t>
            </w:r>
            <w:r>
              <w:rPr>
                <w:rFonts w:hint="eastAsia" w:ascii="宋体" w:hAnsi="宋体" w:eastAsia="宋体" w:cs="宋体"/>
                <w:color w:val="auto"/>
                <w:kern w:val="0"/>
                <w:szCs w:val="21"/>
                <w:highlight w:val="none"/>
              </w:rPr>
              <w:t>具体详见工程量清单和施工图纸及结算报告。</w:t>
            </w:r>
          </w:p>
          <w:p w14:paraId="0003F08F">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本次招标需求为上述工程的</w:t>
            </w:r>
            <w:r>
              <w:rPr>
                <w:rFonts w:hint="eastAsia" w:ascii="宋体" w:hAnsi="宋体" w:eastAsia="宋体" w:cs="宋体"/>
                <w:color w:val="auto"/>
                <w:kern w:val="0"/>
                <w:sz w:val="21"/>
                <w:szCs w:val="21"/>
                <w:highlight w:val="none"/>
                <w:lang w:eastAsia="zh-CN"/>
              </w:rPr>
              <w:t>结算复核服务。</w:t>
            </w:r>
          </w:p>
        </w:tc>
      </w:tr>
      <w:tr w14:paraId="597FACB0">
        <w:tblPrEx>
          <w:tblCellMar>
            <w:top w:w="0" w:type="dxa"/>
            <w:left w:w="0" w:type="dxa"/>
            <w:bottom w:w="0" w:type="dxa"/>
            <w:right w:w="0" w:type="dxa"/>
          </w:tblCellMar>
        </w:tblPrEx>
        <w:trPr>
          <w:trHeight w:val="315" w:hRule="atLeast"/>
        </w:trPr>
        <w:tc>
          <w:tcPr>
            <w:tcW w:w="899" w:type="dxa"/>
            <w:tcBorders>
              <w:top w:val="single" w:color="auto" w:sz="8" w:space="0"/>
              <w:left w:val="single" w:color="auto" w:sz="8" w:space="0"/>
              <w:bottom w:val="single" w:color="auto" w:sz="8" w:space="0"/>
              <w:right w:val="single" w:color="auto" w:sz="8" w:space="0"/>
            </w:tcBorders>
            <w:vAlign w:val="center"/>
          </w:tcPr>
          <w:p w14:paraId="01D15934">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1295" w:type="dxa"/>
            <w:tcBorders>
              <w:top w:val="single" w:color="auto" w:sz="8" w:space="0"/>
              <w:left w:val="single" w:color="auto" w:sz="4" w:space="0"/>
              <w:bottom w:val="single" w:color="auto" w:sz="8" w:space="0"/>
              <w:right w:val="single" w:color="auto" w:sz="4" w:space="0"/>
            </w:tcBorders>
            <w:vAlign w:val="center"/>
          </w:tcPr>
          <w:p w14:paraId="0815F981">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服务期</w:t>
            </w:r>
            <w:r>
              <w:rPr>
                <w:rFonts w:hint="eastAsia" w:ascii="宋体" w:hAnsi="宋体" w:eastAsia="宋体" w:cs="宋体"/>
                <w:color w:val="auto"/>
                <w:kern w:val="0"/>
                <w:sz w:val="21"/>
                <w:szCs w:val="21"/>
                <w:highlight w:val="none"/>
              </w:rPr>
              <w:t>要求</w:t>
            </w:r>
          </w:p>
        </w:tc>
        <w:tc>
          <w:tcPr>
            <w:tcW w:w="7577" w:type="dxa"/>
            <w:tcBorders>
              <w:top w:val="single" w:color="auto" w:sz="8" w:space="0"/>
              <w:left w:val="single" w:color="auto" w:sz="4" w:space="0"/>
              <w:bottom w:val="single" w:color="auto" w:sz="8" w:space="0"/>
              <w:right w:val="single" w:color="auto" w:sz="8" w:space="0"/>
            </w:tcBorders>
            <w:vAlign w:val="center"/>
          </w:tcPr>
          <w:p w14:paraId="5DB7864B">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在施工单位报送的项目结算资料完整后的</w:t>
            </w:r>
            <w:r>
              <w:rPr>
                <w:rFonts w:hint="eastAsia" w:ascii="宋体" w:hAnsi="宋体" w:cs="宋体"/>
                <w:color w:val="auto"/>
                <w:sz w:val="21"/>
                <w:szCs w:val="21"/>
                <w:highlight w:val="none"/>
                <w:lang w:val="en-US" w:eastAsia="zh-CN"/>
              </w:rPr>
              <w:t>10</w:t>
            </w:r>
            <w:r>
              <w:rPr>
                <w:rFonts w:hint="eastAsia" w:ascii="宋体" w:hAnsi="宋体" w:cs="宋体"/>
                <w:color w:val="auto"/>
                <w:sz w:val="21"/>
                <w:szCs w:val="21"/>
                <w:highlight w:val="none"/>
                <w:lang w:eastAsia="zh-CN"/>
              </w:rPr>
              <w:t>日</w:t>
            </w:r>
            <w:r>
              <w:rPr>
                <w:rFonts w:hint="eastAsia" w:ascii="宋体" w:hAnsi="宋体" w:cs="宋体"/>
                <w:color w:val="auto"/>
                <w:sz w:val="21"/>
                <w:szCs w:val="21"/>
                <w:highlight w:val="none"/>
                <w:lang w:val="en-US" w:eastAsia="zh-CN"/>
              </w:rPr>
              <w:t>内</w:t>
            </w:r>
            <w:r>
              <w:rPr>
                <w:rFonts w:hint="eastAsia" w:ascii="宋体" w:hAnsi="宋体" w:cs="宋体"/>
                <w:color w:val="auto"/>
                <w:sz w:val="21"/>
                <w:szCs w:val="21"/>
                <w:highlight w:val="none"/>
                <w:lang w:eastAsia="zh-CN"/>
              </w:rPr>
              <w:t>完成，并出具审核报告。</w:t>
            </w:r>
          </w:p>
          <w:p w14:paraId="1880F7B3">
            <w:pPr>
              <w:keepNext w:val="0"/>
              <w:keepLines w:val="0"/>
              <w:pageBreakBefore w:val="0"/>
              <w:kinsoku/>
              <w:wordWrap/>
              <w:overflowPunct/>
              <w:topLinePunct w:val="0"/>
              <w:autoSpaceDE/>
              <w:autoSpaceDN/>
              <w:bidi w:val="0"/>
              <w:adjustRightInd/>
              <w:snapToGrid/>
              <w:spacing w:line="440" w:lineRule="exact"/>
              <w:textAlignment w:val="auto"/>
              <w:rPr>
                <w:rFonts w:hint="eastAsia"/>
                <w:color w:val="auto"/>
                <w:highlight w:val="none"/>
                <w:lang w:eastAsia="zh-CN"/>
              </w:rPr>
            </w:pPr>
            <w:r>
              <w:rPr>
                <w:rFonts w:hint="eastAsia" w:ascii="宋体" w:hAnsi="宋体" w:cs="宋体"/>
                <w:color w:val="auto"/>
                <w:sz w:val="21"/>
                <w:szCs w:val="21"/>
                <w:highlight w:val="none"/>
                <w:lang w:eastAsia="zh-CN"/>
              </w:rPr>
              <w:t>满足关于印发《工程造价咨询服务管理办法》的通知（滁重〔2022〕55号）规定第十七条和第十八条要求。</w:t>
            </w:r>
          </w:p>
        </w:tc>
      </w:tr>
      <w:tr w14:paraId="24784F21">
        <w:tblPrEx>
          <w:tblCellMar>
            <w:top w:w="0" w:type="dxa"/>
            <w:left w:w="0" w:type="dxa"/>
            <w:bottom w:w="0" w:type="dxa"/>
            <w:right w:w="0" w:type="dxa"/>
          </w:tblCellMar>
        </w:tblPrEx>
        <w:trPr>
          <w:trHeight w:val="425" w:hRule="atLeast"/>
        </w:trPr>
        <w:tc>
          <w:tcPr>
            <w:tcW w:w="899" w:type="dxa"/>
            <w:tcBorders>
              <w:top w:val="single" w:color="auto" w:sz="8" w:space="0"/>
              <w:left w:val="single" w:color="auto" w:sz="8" w:space="0"/>
              <w:bottom w:val="single" w:color="auto" w:sz="8" w:space="0"/>
              <w:right w:val="single" w:color="auto" w:sz="8" w:space="0"/>
            </w:tcBorders>
            <w:vAlign w:val="center"/>
          </w:tcPr>
          <w:p w14:paraId="274B87BC">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p>
        </w:tc>
        <w:tc>
          <w:tcPr>
            <w:tcW w:w="1295" w:type="dxa"/>
            <w:tcBorders>
              <w:top w:val="single" w:color="auto" w:sz="8" w:space="0"/>
              <w:left w:val="single" w:color="auto" w:sz="4" w:space="0"/>
              <w:bottom w:val="single" w:color="auto" w:sz="8" w:space="0"/>
              <w:right w:val="single" w:color="auto" w:sz="4" w:space="0"/>
            </w:tcBorders>
            <w:vAlign w:val="center"/>
          </w:tcPr>
          <w:p w14:paraId="3198F4B1">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质量标准</w:t>
            </w:r>
          </w:p>
        </w:tc>
        <w:tc>
          <w:tcPr>
            <w:tcW w:w="7577" w:type="dxa"/>
            <w:tcBorders>
              <w:top w:val="single" w:color="auto" w:sz="8" w:space="0"/>
              <w:left w:val="single" w:color="auto" w:sz="4" w:space="0"/>
              <w:bottom w:val="single" w:color="auto" w:sz="8" w:space="0"/>
              <w:right w:val="single" w:color="auto" w:sz="8" w:space="0"/>
            </w:tcBorders>
            <w:vAlign w:val="center"/>
          </w:tcPr>
          <w:p w14:paraId="27135FFC">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eastAsia="zh-CN"/>
              </w:rPr>
              <w:t>投标人出具的工程造价咨询成果文件质量应符合现行国家或行业工程计价有关规定、标准、规范的要求。（</w:t>
            </w:r>
            <w:r>
              <w:rPr>
                <w:rFonts w:hint="eastAsia" w:ascii="宋体" w:hAnsi="宋体" w:eastAsia="宋体" w:cs="宋体"/>
                <w:color w:val="auto"/>
                <w:kern w:val="0"/>
                <w:sz w:val="21"/>
                <w:szCs w:val="21"/>
                <w:highlight w:val="none"/>
                <w:lang w:val="en-US" w:eastAsia="zh-CN"/>
              </w:rPr>
              <w:t>包括但不限于《建设工程工程量清单计价规范》（GB 50500-2013）、《工程造价术语标准》（GB/T 50875-2013）、《建设工程造价咨询成果文件质量标准》（CECA/GC 7-2012）</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等等</w:t>
            </w:r>
            <w:r>
              <w:rPr>
                <w:rFonts w:hint="eastAsia" w:ascii="宋体" w:hAnsi="宋体" w:eastAsia="宋体" w:cs="宋体"/>
                <w:color w:val="auto"/>
                <w:kern w:val="0"/>
                <w:sz w:val="21"/>
                <w:szCs w:val="21"/>
                <w:highlight w:val="none"/>
                <w:lang w:eastAsia="zh-CN"/>
              </w:rPr>
              <w:t>）；</w:t>
            </w:r>
          </w:p>
        </w:tc>
      </w:tr>
      <w:tr w14:paraId="21D1049F">
        <w:tblPrEx>
          <w:tblCellMar>
            <w:top w:w="0" w:type="dxa"/>
            <w:left w:w="0" w:type="dxa"/>
            <w:bottom w:w="0" w:type="dxa"/>
            <w:right w:w="0" w:type="dxa"/>
          </w:tblCellMar>
        </w:tblPrEx>
        <w:trPr>
          <w:trHeight w:val="286" w:hRule="atLeast"/>
        </w:trPr>
        <w:tc>
          <w:tcPr>
            <w:tcW w:w="899" w:type="dxa"/>
            <w:tcBorders>
              <w:top w:val="single" w:color="auto" w:sz="8" w:space="0"/>
              <w:left w:val="single" w:color="auto" w:sz="8" w:space="0"/>
              <w:bottom w:val="single" w:color="auto" w:sz="8" w:space="0"/>
              <w:right w:val="single" w:color="auto" w:sz="8" w:space="0"/>
            </w:tcBorders>
            <w:vAlign w:val="center"/>
          </w:tcPr>
          <w:p w14:paraId="68BC9846">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p>
        </w:tc>
        <w:tc>
          <w:tcPr>
            <w:tcW w:w="1295" w:type="dxa"/>
            <w:tcBorders>
              <w:top w:val="single" w:color="auto" w:sz="8" w:space="0"/>
              <w:left w:val="single" w:color="auto" w:sz="4" w:space="0"/>
              <w:bottom w:val="single" w:color="auto" w:sz="8" w:space="0"/>
              <w:right w:val="single" w:color="auto" w:sz="4" w:space="0"/>
            </w:tcBorders>
            <w:vAlign w:val="center"/>
          </w:tcPr>
          <w:p w14:paraId="0E6F3B67">
            <w:pPr>
              <w:keepNext w:val="0"/>
              <w:keepLines w:val="0"/>
              <w:pageBreakBefore w:val="0"/>
              <w:kinsoku/>
              <w:wordWrap/>
              <w:overflowPunct/>
              <w:topLinePunct w:val="0"/>
              <w:autoSpaceDE/>
              <w:autoSpaceDN/>
              <w:bidi w:val="0"/>
              <w:adjustRightInd/>
              <w:snapToGrid/>
              <w:spacing w:line="440" w:lineRule="exact"/>
              <w:ind w:left="31680" w:hanging="1470" w:hangingChars="70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投标人资质</w:t>
            </w:r>
          </w:p>
          <w:p w14:paraId="4A788D2E">
            <w:pPr>
              <w:keepNext w:val="0"/>
              <w:keepLines w:val="0"/>
              <w:pageBreakBefore w:val="0"/>
              <w:kinsoku/>
              <w:wordWrap/>
              <w:overflowPunct/>
              <w:topLinePunct w:val="0"/>
              <w:autoSpaceDE/>
              <w:autoSpaceDN/>
              <w:bidi w:val="0"/>
              <w:adjustRightInd/>
              <w:snapToGrid/>
              <w:spacing w:line="440" w:lineRule="exact"/>
              <w:ind w:left="31680" w:hanging="1470" w:hangingChars="70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等级要求</w:t>
            </w:r>
          </w:p>
        </w:tc>
        <w:tc>
          <w:tcPr>
            <w:tcW w:w="7577" w:type="dxa"/>
            <w:tcBorders>
              <w:top w:val="single" w:color="auto" w:sz="8" w:space="0"/>
              <w:left w:val="single" w:color="auto" w:sz="4" w:space="0"/>
              <w:bottom w:val="single" w:color="auto" w:sz="8" w:space="0"/>
              <w:right w:val="single" w:color="auto" w:sz="8" w:space="0"/>
            </w:tcBorders>
            <w:vAlign w:val="center"/>
          </w:tcPr>
          <w:p w14:paraId="19BF53D1">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详见招标公告</w:t>
            </w:r>
            <w:r>
              <w:rPr>
                <w:rFonts w:hint="eastAsia" w:ascii="宋体" w:hAnsi="宋体" w:eastAsia="宋体" w:cs="宋体"/>
                <w:color w:val="auto"/>
                <w:kern w:val="0"/>
                <w:sz w:val="21"/>
                <w:szCs w:val="21"/>
                <w:highlight w:val="none"/>
              </w:rPr>
              <w:t>。</w:t>
            </w:r>
          </w:p>
        </w:tc>
      </w:tr>
      <w:tr w14:paraId="26978DB0">
        <w:tblPrEx>
          <w:tblCellMar>
            <w:top w:w="0" w:type="dxa"/>
            <w:left w:w="0" w:type="dxa"/>
            <w:bottom w:w="0" w:type="dxa"/>
            <w:right w:w="0" w:type="dxa"/>
          </w:tblCellMar>
        </w:tblPrEx>
        <w:trPr>
          <w:trHeight w:val="656" w:hRule="atLeast"/>
        </w:trPr>
        <w:tc>
          <w:tcPr>
            <w:tcW w:w="899" w:type="dxa"/>
            <w:tcBorders>
              <w:top w:val="single" w:color="auto" w:sz="8" w:space="0"/>
              <w:left w:val="single" w:color="auto" w:sz="8" w:space="0"/>
              <w:bottom w:val="single" w:color="auto" w:sz="8" w:space="0"/>
              <w:right w:val="single" w:color="auto" w:sz="8" w:space="0"/>
            </w:tcBorders>
            <w:vAlign w:val="center"/>
          </w:tcPr>
          <w:p w14:paraId="2B243C1F">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w:t>
            </w:r>
          </w:p>
        </w:tc>
        <w:tc>
          <w:tcPr>
            <w:tcW w:w="1295" w:type="dxa"/>
            <w:tcBorders>
              <w:top w:val="single" w:color="auto" w:sz="8" w:space="0"/>
              <w:left w:val="single" w:color="auto" w:sz="4" w:space="0"/>
              <w:bottom w:val="single" w:color="auto" w:sz="8" w:space="0"/>
              <w:right w:val="single" w:color="auto" w:sz="4" w:space="0"/>
            </w:tcBorders>
            <w:vAlign w:val="center"/>
          </w:tcPr>
          <w:p w14:paraId="0DD7F5B0">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勘察现场及投标预备会</w:t>
            </w:r>
          </w:p>
        </w:tc>
        <w:tc>
          <w:tcPr>
            <w:tcW w:w="7577" w:type="dxa"/>
            <w:tcBorders>
              <w:top w:val="single" w:color="auto" w:sz="8" w:space="0"/>
              <w:left w:val="single" w:color="auto" w:sz="4" w:space="0"/>
              <w:bottom w:val="single" w:color="auto" w:sz="8" w:space="0"/>
              <w:right w:val="single" w:color="auto" w:sz="8" w:space="0"/>
            </w:tcBorders>
            <w:vAlign w:val="center"/>
          </w:tcPr>
          <w:p w14:paraId="13D7AA67">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不再集中召开招标答疑会；投标人自行组织勘察现场。</w:t>
            </w:r>
          </w:p>
        </w:tc>
      </w:tr>
      <w:tr w14:paraId="73E08BE4">
        <w:tblPrEx>
          <w:tblCellMar>
            <w:top w:w="0" w:type="dxa"/>
            <w:left w:w="0" w:type="dxa"/>
            <w:bottom w:w="0" w:type="dxa"/>
            <w:right w:w="0" w:type="dxa"/>
          </w:tblCellMar>
        </w:tblPrEx>
        <w:trPr>
          <w:trHeight w:val="435" w:hRule="atLeast"/>
        </w:trPr>
        <w:tc>
          <w:tcPr>
            <w:tcW w:w="899" w:type="dxa"/>
            <w:tcBorders>
              <w:top w:val="single" w:color="auto" w:sz="8" w:space="0"/>
              <w:left w:val="single" w:color="auto" w:sz="8" w:space="0"/>
              <w:bottom w:val="single" w:color="auto" w:sz="8" w:space="0"/>
              <w:right w:val="single" w:color="auto" w:sz="8" w:space="0"/>
            </w:tcBorders>
            <w:vAlign w:val="center"/>
          </w:tcPr>
          <w:p w14:paraId="59B9DB09">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w:t>
            </w:r>
          </w:p>
        </w:tc>
        <w:tc>
          <w:tcPr>
            <w:tcW w:w="1295" w:type="dxa"/>
            <w:tcBorders>
              <w:top w:val="single" w:color="auto" w:sz="8" w:space="0"/>
              <w:left w:val="single" w:color="auto" w:sz="4" w:space="0"/>
              <w:bottom w:val="single" w:color="auto" w:sz="8" w:space="0"/>
              <w:right w:val="single" w:color="auto" w:sz="4" w:space="0"/>
            </w:tcBorders>
            <w:vAlign w:val="center"/>
          </w:tcPr>
          <w:p w14:paraId="396C664A">
            <w:pPr>
              <w:pStyle w:val="25"/>
              <w:keepNext w:val="0"/>
              <w:keepLines w:val="0"/>
              <w:pageBreakBefore w:val="0"/>
              <w:kinsoku/>
              <w:overflowPunct/>
              <w:topLinePunct w:val="0"/>
              <w:autoSpaceDE/>
              <w:autoSpaceDN/>
              <w:bidi w:val="0"/>
              <w:spacing w:line="440" w:lineRule="exact"/>
              <w:jc w:val="center"/>
              <w:textAlignment w:val="auto"/>
              <w:rPr>
                <w:rFonts w:hint="eastAsia" w:ascii="宋体" w:hAnsi="宋体" w:eastAsia="宋体" w:cs="宋体"/>
                <w:color w:val="auto"/>
                <w:kern w:val="0"/>
                <w:sz w:val="21"/>
                <w:szCs w:val="21"/>
                <w:highlight w:val="none"/>
              </w:rPr>
            </w:pPr>
            <w:r>
              <w:rPr>
                <w:rFonts w:hint="eastAsia"/>
                <w:color w:val="auto"/>
                <w:szCs w:val="21"/>
                <w:highlight w:val="none"/>
              </w:rPr>
              <w:t>招标方式</w:t>
            </w:r>
          </w:p>
        </w:tc>
        <w:tc>
          <w:tcPr>
            <w:tcW w:w="7577" w:type="dxa"/>
            <w:tcBorders>
              <w:top w:val="single" w:color="auto" w:sz="8" w:space="0"/>
              <w:left w:val="single" w:color="auto" w:sz="4" w:space="0"/>
              <w:bottom w:val="single" w:color="auto" w:sz="8" w:space="0"/>
              <w:right w:val="single" w:color="auto" w:sz="8" w:space="0"/>
            </w:tcBorders>
            <w:vAlign w:val="center"/>
          </w:tcPr>
          <w:p w14:paraId="59739CC9">
            <w:pPr>
              <w:pStyle w:val="25"/>
              <w:keepNext w:val="0"/>
              <w:keepLines w:val="0"/>
              <w:pageBreakBefore w:val="0"/>
              <w:kinsoku/>
              <w:overflowPunct/>
              <w:topLinePunct w:val="0"/>
              <w:autoSpaceDE/>
              <w:autoSpaceDN/>
              <w:bidi w:val="0"/>
              <w:spacing w:line="440" w:lineRule="exact"/>
              <w:textAlignment w:val="auto"/>
              <w:rPr>
                <w:rFonts w:hint="eastAsia" w:ascii="宋体" w:hAnsi="宋体" w:eastAsia="宋体" w:cs="宋体"/>
                <w:color w:val="auto"/>
                <w:kern w:val="0"/>
                <w:sz w:val="21"/>
                <w:szCs w:val="21"/>
                <w:highlight w:val="none"/>
              </w:rPr>
            </w:pPr>
            <w:r>
              <w:rPr>
                <w:rFonts w:hint="eastAsia" w:ascii="幼圆" w:hAnsi="宋体-18030" w:cs="宋体-18030"/>
                <w:bCs/>
                <w:color w:val="auto"/>
                <w:szCs w:val="21"/>
                <w:highlight w:val="none"/>
              </w:rPr>
              <w:t>公开</w:t>
            </w:r>
            <w:r>
              <w:rPr>
                <w:rFonts w:hint="eastAsia"/>
                <w:bCs/>
                <w:color w:val="auto"/>
                <w:szCs w:val="21"/>
                <w:highlight w:val="none"/>
              </w:rPr>
              <w:t>招标</w:t>
            </w:r>
            <w:r>
              <w:rPr>
                <w:rFonts w:hint="eastAsia" w:hAnsi="宋体"/>
                <w:bCs/>
                <w:color w:val="auto"/>
                <w:szCs w:val="21"/>
                <w:highlight w:val="none"/>
              </w:rPr>
              <w:t xml:space="preserve">(本项目采用网上电子招投标) </w:t>
            </w:r>
          </w:p>
        </w:tc>
      </w:tr>
      <w:tr w14:paraId="0DEE0E5F">
        <w:tblPrEx>
          <w:tblCellMar>
            <w:top w:w="0" w:type="dxa"/>
            <w:left w:w="0" w:type="dxa"/>
            <w:bottom w:w="0" w:type="dxa"/>
            <w:right w:w="0" w:type="dxa"/>
          </w:tblCellMar>
        </w:tblPrEx>
        <w:trPr>
          <w:trHeight w:val="462" w:hRule="atLeast"/>
        </w:trPr>
        <w:tc>
          <w:tcPr>
            <w:tcW w:w="899" w:type="dxa"/>
            <w:tcBorders>
              <w:top w:val="single" w:color="auto" w:sz="8" w:space="0"/>
              <w:left w:val="single" w:color="auto" w:sz="8" w:space="0"/>
              <w:bottom w:val="single" w:color="auto" w:sz="8" w:space="0"/>
              <w:right w:val="single" w:color="auto" w:sz="8" w:space="0"/>
            </w:tcBorders>
            <w:vAlign w:val="center"/>
          </w:tcPr>
          <w:p w14:paraId="48A5CF86">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8</w:t>
            </w:r>
          </w:p>
        </w:tc>
        <w:tc>
          <w:tcPr>
            <w:tcW w:w="1295" w:type="dxa"/>
            <w:tcBorders>
              <w:top w:val="single" w:color="auto" w:sz="8" w:space="0"/>
              <w:left w:val="single" w:color="auto" w:sz="4" w:space="0"/>
              <w:bottom w:val="single" w:color="auto" w:sz="8" w:space="0"/>
              <w:right w:val="single" w:color="auto" w:sz="4" w:space="0"/>
            </w:tcBorders>
            <w:vAlign w:val="center"/>
          </w:tcPr>
          <w:p w14:paraId="51E1A09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最高限价</w:t>
            </w:r>
          </w:p>
        </w:tc>
        <w:tc>
          <w:tcPr>
            <w:tcW w:w="7577" w:type="dxa"/>
            <w:tcBorders>
              <w:top w:val="single" w:color="auto" w:sz="8" w:space="0"/>
              <w:left w:val="single" w:color="auto" w:sz="4" w:space="0"/>
              <w:bottom w:val="single" w:color="auto" w:sz="8" w:space="0"/>
              <w:right w:val="single" w:color="auto" w:sz="8" w:space="0"/>
            </w:tcBorders>
            <w:vAlign w:val="center"/>
          </w:tcPr>
          <w:p w14:paraId="0CD47C88">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本项目的最高限价为基本费</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000元；审核成果费率4%（审核成</w:t>
            </w:r>
            <w:r>
              <w:rPr>
                <w:rFonts w:hint="eastAsia" w:ascii="宋体" w:hAnsi="宋体" w:eastAsia="宋体" w:cs="宋体"/>
                <w:color w:val="auto"/>
                <w:sz w:val="21"/>
                <w:szCs w:val="21"/>
                <w:highlight w:val="none"/>
                <w:lang w:val="en-US" w:eastAsia="zh-CN"/>
              </w:rPr>
              <w:t>果费率为不可竞争费率，固定不变），基本费由投标人自主报价，不得高于上述基本费最高限价，否则按无效标处理。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投标报价不可以填报0或负数，否则按无效标处理</w:t>
            </w:r>
            <w:r>
              <w:rPr>
                <w:rFonts w:hint="eastAsia" w:ascii="宋体" w:hAnsi="宋体" w:eastAsia="宋体" w:cs="宋体"/>
                <w:color w:val="auto"/>
                <w:sz w:val="21"/>
                <w:szCs w:val="21"/>
                <w:highlight w:val="none"/>
                <w:lang w:eastAsia="zh-CN"/>
              </w:rPr>
              <w:t>）</w:t>
            </w:r>
          </w:p>
          <w:p w14:paraId="3F16972A">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w:t>
            </w:r>
          </w:p>
          <w:p w14:paraId="07054BFC">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服务费计算方式为：基本费+审核成果费。其中，</w:t>
            </w:r>
            <w:r>
              <w:rPr>
                <w:rFonts w:hint="eastAsia" w:ascii="宋体" w:hAnsi="宋体" w:eastAsia="宋体" w:cs="宋体"/>
                <w:color w:val="auto"/>
                <w:sz w:val="21"/>
                <w:szCs w:val="21"/>
                <w:highlight w:val="none"/>
                <w:lang w:val="en-US" w:eastAsia="zh-CN"/>
              </w:rPr>
              <w:t>基本费由投标人自主报价</w:t>
            </w:r>
            <w:r>
              <w:rPr>
                <w:rFonts w:hint="eastAsia" w:ascii="宋体" w:hAnsi="宋体" w:eastAsia="宋体" w:cs="宋体"/>
                <w:color w:val="auto"/>
                <w:sz w:val="21"/>
                <w:szCs w:val="21"/>
                <w:highlight w:val="none"/>
              </w:rPr>
              <w:t>；审核成果费计算基数为独立核减金额。</w:t>
            </w:r>
          </w:p>
          <w:p w14:paraId="7053B625">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投标人须认真研究项目的招标文件，并仔细踏勘现场，若对</w:t>
            </w:r>
            <w:r>
              <w:rPr>
                <w:rFonts w:hint="eastAsia" w:ascii="宋体" w:hAnsi="宋体" w:eastAsia="宋体" w:cs="宋体"/>
                <w:color w:val="auto"/>
                <w:sz w:val="21"/>
                <w:szCs w:val="21"/>
                <w:highlight w:val="none"/>
                <w:lang w:val="en-US" w:eastAsia="zh-CN"/>
              </w:rPr>
              <w:t>本项目</w:t>
            </w:r>
            <w:r>
              <w:rPr>
                <w:rFonts w:hint="eastAsia" w:ascii="宋体" w:hAnsi="宋体" w:eastAsia="宋体" w:cs="宋体"/>
                <w:color w:val="auto"/>
                <w:sz w:val="21"/>
                <w:szCs w:val="21"/>
                <w:highlight w:val="none"/>
              </w:rPr>
              <w:t>有异议，应在投标答疑时向招标人提出</w:t>
            </w:r>
            <w:r>
              <w:rPr>
                <w:rFonts w:hint="eastAsia" w:ascii="宋体" w:hAnsi="宋体" w:eastAsia="宋体" w:cs="宋体"/>
                <w:color w:val="auto"/>
                <w:sz w:val="21"/>
                <w:szCs w:val="21"/>
                <w:highlight w:val="none"/>
                <w:lang w:eastAsia="zh-CN"/>
              </w:rPr>
              <w:t>。</w:t>
            </w:r>
          </w:p>
        </w:tc>
      </w:tr>
      <w:tr w14:paraId="689F356F">
        <w:tblPrEx>
          <w:tblCellMar>
            <w:top w:w="0" w:type="dxa"/>
            <w:left w:w="0" w:type="dxa"/>
            <w:bottom w:w="0" w:type="dxa"/>
            <w:right w:w="0" w:type="dxa"/>
          </w:tblCellMar>
        </w:tblPrEx>
        <w:trPr>
          <w:trHeight w:val="462" w:hRule="atLeast"/>
        </w:trPr>
        <w:tc>
          <w:tcPr>
            <w:tcW w:w="899" w:type="dxa"/>
            <w:tcBorders>
              <w:top w:val="single" w:color="auto" w:sz="8" w:space="0"/>
              <w:left w:val="single" w:color="auto" w:sz="8" w:space="0"/>
              <w:bottom w:val="single" w:color="auto" w:sz="8" w:space="0"/>
              <w:right w:val="single" w:color="auto" w:sz="8" w:space="0"/>
            </w:tcBorders>
            <w:vAlign w:val="center"/>
          </w:tcPr>
          <w:p w14:paraId="61DCADC1">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9</w:t>
            </w:r>
          </w:p>
        </w:tc>
        <w:tc>
          <w:tcPr>
            <w:tcW w:w="1295" w:type="dxa"/>
            <w:tcBorders>
              <w:top w:val="single" w:color="auto" w:sz="8" w:space="0"/>
              <w:left w:val="single" w:color="auto" w:sz="4" w:space="0"/>
              <w:bottom w:val="single" w:color="auto" w:sz="8" w:space="0"/>
              <w:right w:val="single" w:color="auto" w:sz="4" w:space="0"/>
            </w:tcBorders>
            <w:vAlign w:val="center"/>
          </w:tcPr>
          <w:p w14:paraId="2356DB8C">
            <w:pPr>
              <w:keepNext w:val="0"/>
              <w:keepLines w:val="0"/>
              <w:pageBreakBefore w:val="0"/>
              <w:kinsoku/>
              <w:overflowPunct/>
              <w:topLinePunct w:val="0"/>
              <w:autoSpaceDE/>
              <w:autoSpaceDN/>
              <w:bidi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投标人提出问题的截止时间</w:t>
            </w:r>
          </w:p>
          <w:p w14:paraId="431ACE11">
            <w:pPr>
              <w:keepNext w:val="0"/>
              <w:keepLines w:val="0"/>
              <w:pageBreakBefore w:val="0"/>
              <w:kinsoku/>
              <w:overflowPunct/>
              <w:topLinePunct w:val="0"/>
              <w:autoSpaceDE/>
              <w:autoSpaceDN/>
              <w:bidi w:val="0"/>
              <w:spacing w:line="44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及方式</w:t>
            </w:r>
          </w:p>
        </w:tc>
        <w:tc>
          <w:tcPr>
            <w:tcW w:w="7577" w:type="dxa"/>
            <w:tcBorders>
              <w:top w:val="single" w:color="auto" w:sz="8" w:space="0"/>
              <w:left w:val="single" w:color="auto" w:sz="4" w:space="0"/>
              <w:bottom w:val="single" w:color="auto" w:sz="8" w:space="0"/>
              <w:right w:val="single" w:color="auto" w:sz="8" w:space="0"/>
            </w:tcBorders>
            <w:vAlign w:val="center"/>
          </w:tcPr>
          <w:p w14:paraId="7839BB0B">
            <w:pPr>
              <w:keepNext w:val="0"/>
              <w:keepLines w:val="0"/>
              <w:pageBreakBefore w:val="0"/>
              <w:widowControl w:val="0"/>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4"/>
                <w:kern w:val="0"/>
                <w:sz w:val="21"/>
                <w:szCs w:val="21"/>
                <w:highlight w:val="none"/>
              </w:rPr>
              <w:t>如投标人对招标文件有疑问，请于202</w:t>
            </w:r>
            <w:r>
              <w:rPr>
                <w:rFonts w:hint="eastAsia" w:ascii="宋体" w:hAnsi="宋体" w:eastAsia="宋体" w:cs="宋体"/>
                <w:color w:val="auto"/>
                <w:spacing w:val="-4"/>
                <w:kern w:val="0"/>
                <w:sz w:val="21"/>
                <w:szCs w:val="21"/>
                <w:highlight w:val="none"/>
                <w:lang w:val="en-US" w:eastAsia="zh-CN"/>
              </w:rPr>
              <w:t>5</w:t>
            </w:r>
            <w:r>
              <w:rPr>
                <w:rFonts w:hint="eastAsia" w:ascii="宋体" w:hAnsi="宋体" w:eastAsia="宋体" w:cs="宋体"/>
                <w:color w:val="auto"/>
                <w:spacing w:val="-4"/>
                <w:kern w:val="0"/>
                <w:sz w:val="21"/>
                <w:szCs w:val="21"/>
                <w:highlight w:val="none"/>
              </w:rPr>
              <w:t>年</w:t>
            </w:r>
            <w:r>
              <w:rPr>
                <w:rFonts w:hint="eastAsia" w:ascii="宋体" w:hAnsi="宋体" w:cs="宋体"/>
                <w:color w:val="auto"/>
                <w:spacing w:val="-4"/>
                <w:kern w:val="0"/>
                <w:sz w:val="21"/>
                <w:szCs w:val="21"/>
                <w:highlight w:val="none"/>
                <w:lang w:val="en-US" w:eastAsia="zh-CN"/>
              </w:rPr>
              <w:t>10</w:t>
            </w:r>
            <w:r>
              <w:rPr>
                <w:rFonts w:hint="eastAsia" w:ascii="宋体" w:hAnsi="宋体" w:eastAsia="宋体" w:cs="宋体"/>
                <w:color w:val="auto"/>
                <w:spacing w:val="-4"/>
                <w:kern w:val="0"/>
                <w:sz w:val="21"/>
                <w:szCs w:val="21"/>
                <w:highlight w:val="none"/>
              </w:rPr>
              <w:t>月</w:t>
            </w:r>
            <w:r>
              <w:rPr>
                <w:rFonts w:hint="eastAsia" w:ascii="宋体" w:hAnsi="宋体" w:cs="宋体"/>
                <w:color w:val="auto"/>
                <w:spacing w:val="-4"/>
                <w:kern w:val="0"/>
                <w:sz w:val="21"/>
                <w:szCs w:val="21"/>
                <w:highlight w:val="none"/>
                <w:lang w:val="en-US" w:eastAsia="zh-CN"/>
              </w:rPr>
              <w:t>9</w:t>
            </w:r>
            <w:r>
              <w:rPr>
                <w:rFonts w:hint="eastAsia" w:ascii="宋体" w:hAnsi="宋体" w:eastAsia="宋体" w:cs="宋体"/>
                <w:color w:val="auto"/>
                <w:spacing w:val="-4"/>
                <w:kern w:val="0"/>
                <w:sz w:val="21"/>
                <w:szCs w:val="21"/>
                <w:highlight w:val="none"/>
              </w:rPr>
              <w:fldChar w:fldCharType="begin"/>
            </w:r>
            <w:r>
              <w:rPr>
                <w:rFonts w:hint="eastAsia" w:ascii="宋体" w:hAnsi="宋体" w:eastAsia="宋体" w:cs="宋体"/>
                <w:color w:val="auto"/>
                <w:spacing w:val="-4"/>
                <w:kern w:val="0"/>
                <w:sz w:val="21"/>
                <w:szCs w:val="21"/>
                <w:highlight w:val="none"/>
              </w:rPr>
              <w:instrText xml:space="preserve"> HYPERLINK "mailto:日12时前将疑问内容以电子邮件形式发送至czsctgczx@163.com（滁州市城投工程咨询管理有限公司邮箱），招标人将在2024年4月" </w:instrText>
            </w:r>
            <w:r>
              <w:rPr>
                <w:rFonts w:hint="eastAsia" w:ascii="宋体" w:hAnsi="宋体" w:eastAsia="宋体" w:cs="宋体"/>
                <w:color w:val="auto"/>
                <w:spacing w:val="-4"/>
                <w:kern w:val="0"/>
                <w:sz w:val="21"/>
                <w:szCs w:val="21"/>
                <w:highlight w:val="none"/>
              </w:rPr>
              <w:fldChar w:fldCharType="separate"/>
            </w:r>
            <w:r>
              <w:rPr>
                <w:rFonts w:hint="eastAsia" w:ascii="宋体" w:hAnsi="宋体" w:eastAsia="宋体" w:cs="宋体"/>
                <w:color w:val="auto"/>
                <w:spacing w:val="-4"/>
                <w:kern w:val="0"/>
                <w:sz w:val="21"/>
                <w:szCs w:val="21"/>
                <w:highlight w:val="none"/>
              </w:rPr>
              <w:t>日</w:t>
            </w:r>
            <w:r>
              <w:rPr>
                <w:rFonts w:hint="eastAsia" w:ascii="宋体" w:hAnsi="宋体" w:cs="宋体"/>
                <w:color w:val="auto"/>
                <w:spacing w:val="-4"/>
                <w:kern w:val="0"/>
                <w:sz w:val="21"/>
                <w:szCs w:val="21"/>
                <w:highlight w:val="none"/>
                <w:lang w:val="en-US" w:eastAsia="zh-CN"/>
              </w:rPr>
              <w:t>11</w:t>
            </w:r>
            <w:r>
              <w:rPr>
                <w:rFonts w:hint="eastAsia" w:ascii="宋体" w:hAnsi="宋体" w:eastAsia="宋体" w:cs="宋体"/>
                <w:color w:val="auto"/>
                <w:spacing w:val="-4"/>
                <w:kern w:val="0"/>
                <w:sz w:val="21"/>
                <w:szCs w:val="21"/>
                <w:highlight w:val="none"/>
              </w:rPr>
              <w:t>时前</w:t>
            </w:r>
            <w:r>
              <w:rPr>
                <w:rFonts w:hint="eastAsia" w:ascii="宋体" w:hAnsi="宋体" w:eastAsia="宋体" w:cs="宋体"/>
                <w:color w:val="auto"/>
                <w:kern w:val="0"/>
                <w:sz w:val="21"/>
                <w:szCs w:val="21"/>
                <w:highlight w:val="none"/>
                <w:lang w:val="en-US" w:eastAsia="zh-CN"/>
              </w:rPr>
              <w:t>通过新点电子交易平台【滁州专区】对招标文件提出澄清（质疑）</w:t>
            </w:r>
            <w:r>
              <w:rPr>
                <w:rFonts w:hint="eastAsia" w:ascii="宋体" w:hAnsi="宋体" w:eastAsia="宋体" w:cs="宋体"/>
                <w:color w:val="auto"/>
                <w:spacing w:val="-4"/>
                <w:kern w:val="0"/>
                <w:sz w:val="21"/>
                <w:szCs w:val="21"/>
                <w:highlight w:val="none"/>
              </w:rPr>
              <w:t>，招标人将在202</w:t>
            </w:r>
            <w:r>
              <w:rPr>
                <w:rFonts w:hint="eastAsia" w:ascii="宋体" w:hAnsi="宋体" w:eastAsia="宋体" w:cs="宋体"/>
                <w:color w:val="auto"/>
                <w:spacing w:val="-4"/>
                <w:kern w:val="0"/>
                <w:sz w:val="21"/>
                <w:szCs w:val="21"/>
                <w:highlight w:val="none"/>
                <w:lang w:val="en-US" w:eastAsia="zh-CN"/>
              </w:rPr>
              <w:t>5</w:t>
            </w:r>
            <w:r>
              <w:rPr>
                <w:rFonts w:hint="eastAsia" w:ascii="宋体" w:hAnsi="宋体" w:eastAsia="宋体" w:cs="宋体"/>
                <w:color w:val="auto"/>
                <w:spacing w:val="-4"/>
                <w:kern w:val="0"/>
                <w:sz w:val="21"/>
                <w:szCs w:val="21"/>
                <w:highlight w:val="none"/>
              </w:rPr>
              <w:t>年</w:t>
            </w:r>
            <w:r>
              <w:rPr>
                <w:rFonts w:hint="eastAsia" w:ascii="宋体" w:hAnsi="宋体" w:cs="宋体"/>
                <w:color w:val="auto"/>
                <w:spacing w:val="-4"/>
                <w:kern w:val="0"/>
                <w:sz w:val="21"/>
                <w:szCs w:val="21"/>
                <w:highlight w:val="none"/>
                <w:lang w:val="en-US" w:eastAsia="zh-CN"/>
              </w:rPr>
              <w:t>10</w:t>
            </w:r>
            <w:r>
              <w:rPr>
                <w:rFonts w:hint="eastAsia" w:ascii="宋体" w:hAnsi="宋体" w:eastAsia="宋体" w:cs="宋体"/>
                <w:color w:val="auto"/>
                <w:spacing w:val="-4"/>
                <w:kern w:val="0"/>
                <w:sz w:val="21"/>
                <w:szCs w:val="21"/>
                <w:highlight w:val="none"/>
              </w:rPr>
              <w:t>月</w:t>
            </w:r>
            <w:r>
              <w:rPr>
                <w:rFonts w:hint="eastAsia" w:ascii="宋体" w:hAnsi="宋体" w:eastAsia="宋体" w:cs="宋体"/>
                <w:color w:val="auto"/>
                <w:spacing w:val="-4"/>
                <w:kern w:val="0"/>
                <w:sz w:val="21"/>
                <w:szCs w:val="21"/>
                <w:highlight w:val="none"/>
              </w:rPr>
              <w:fldChar w:fldCharType="end"/>
            </w:r>
            <w:r>
              <w:rPr>
                <w:rFonts w:hint="eastAsia" w:ascii="宋体" w:hAnsi="宋体" w:cs="宋体"/>
                <w:color w:val="auto"/>
                <w:spacing w:val="-4"/>
                <w:kern w:val="0"/>
                <w:sz w:val="21"/>
                <w:szCs w:val="21"/>
                <w:highlight w:val="none"/>
                <w:lang w:val="en-US" w:eastAsia="zh-CN"/>
              </w:rPr>
              <w:t>9</w:t>
            </w:r>
            <w:r>
              <w:rPr>
                <w:rFonts w:hint="eastAsia" w:ascii="宋体" w:hAnsi="宋体" w:eastAsia="宋体" w:cs="宋体"/>
                <w:color w:val="auto"/>
                <w:spacing w:val="-4"/>
                <w:kern w:val="0"/>
                <w:sz w:val="21"/>
                <w:szCs w:val="21"/>
                <w:highlight w:val="none"/>
              </w:rPr>
              <w:t>日1</w:t>
            </w:r>
            <w:r>
              <w:rPr>
                <w:rFonts w:hint="eastAsia" w:ascii="宋体" w:hAnsi="宋体" w:eastAsia="宋体" w:cs="宋体"/>
                <w:color w:val="auto"/>
                <w:spacing w:val="-4"/>
                <w:kern w:val="0"/>
                <w:sz w:val="21"/>
                <w:szCs w:val="21"/>
                <w:highlight w:val="none"/>
                <w:lang w:val="en-US" w:eastAsia="zh-CN"/>
              </w:rPr>
              <w:t>7</w:t>
            </w:r>
            <w:r>
              <w:rPr>
                <w:rFonts w:hint="eastAsia" w:ascii="宋体" w:hAnsi="宋体" w:eastAsia="宋体" w:cs="宋体"/>
                <w:color w:val="auto"/>
                <w:spacing w:val="-4"/>
                <w:kern w:val="0"/>
                <w:sz w:val="21"/>
                <w:szCs w:val="21"/>
                <w:highlight w:val="none"/>
              </w:rPr>
              <w:t>时后</w:t>
            </w:r>
            <w:r>
              <w:rPr>
                <w:rFonts w:hint="eastAsia" w:ascii="宋体" w:hAnsi="宋体" w:eastAsia="宋体" w:cs="宋体"/>
                <w:color w:val="auto"/>
                <w:spacing w:val="-4"/>
                <w:kern w:val="0"/>
                <w:sz w:val="21"/>
                <w:szCs w:val="21"/>
                <w:highlight w:val="none"/>
                <w:lang w:eastAsia="zh-CN"/>
              </w:rPr>
              <w:t>在</w:t>
            </w:r>
            <w:r>
              <w:rPr>
                <w:rFonts w:hint="eastAsia" w:ascii="宋体" w:hAnsi="宋体" w:eastAsia="宋体" w:cs="宋体"/>
                <w:color w:val="auto"/>
                <w:sz w:val="21"/>
                <w:szCs w:val="21"/>
                <w:highlight w:val="none"/>
              </w:rPr>
              <w:t>滁州市城投工程咨询管理有限公司（https://www.czctgczx.com/）</w:t>
            </w:r>
            <w:r>
              <w:rPr>
                <w:rFonts w:hint="eastAsia" w:ascii="宋体" w:hAnsi="宋体" w:eastAsia="宋体" w:cs="宋体"/>
                <w:color w:val="auto"/>
                <w:sz w:val="21"/>
                <w:szCs w:val="21"/>
                <w:highlight w:val="none"/>
                <w:lang w:val="en-US" w:eastAsia="zh-CN"/>
              </w:rPr>
              <w:t>网站发布</w:t>
            </w:r>
            <w:r>
              <w:rPr>
                <w:rFonts w:hint="eastAsia" w:ascii="宋体" w:hAnsi="宋体" w:eastAsia="宋体" w:cs="宋体"/>
                <w:color w:val="auto"/>
                <w:spacing w:val="-4"/>
                <w:kern w:val="0"/>
                <w:sz w:val="21"/>
                <w:szCs w:val="21"/>
                <w:highlight w:val="none"/>
              </w:rPr>
              <w:t>，请各位投标人注意查看有关澄清内容，如不及时查看造成后果由投标人自负。</w:t>
            </w:r>
          </w:p>
        </w:tc>
      </w:tr>
      <w:tr w14:paraId="3CAB79A3">
        <w:tblPrEx>
          <w:tblCellMar>
            <w:top w:w="0" w:type="dxa"/>
            <w:left w:w="0" w:type="dxa"/>
            <w:bottom w:w="0" w:type="dxa"/>
            <w:right w:w="0" w:type="dxa"/>
          </w:tblCellMar>
        </w:tblPrEx>
        <w:trPr>
          <w:trHeight w:val="462" w:hRule="atLeast"/>
        </w:trPr>
        <w:tc>
          <w:tcPr>
            <w:tcW w:w="899" w:type="dxa"/>
            <w:tcBorders>
              <w:top w:val="single" w:color="auto" w:sz="8" w:space="0"/>
              <w:left w:val="single" w:color="auto" w:sz="8" w:space="0"/>
              <w:bottom w:val="single" w:color="auto" w:sz="8" w:space="0"/>
              <w:right w:val="single" w:color="auto" w:sz="8" w:space="0"/>
            </w:tcBorders>
            <w:vAlign w:val="center"/>
          </w:tcPr>
          <w:p w14:paraId="31E06C30">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10</w:t>
            </w:r>
          </w:p>
        </w:tc>
        <w:tc>
          <w:tcPr>
            <w:tcW w:w="1295" w:type="dxa"/>
            <w:tcBorders>
              <w:top w:val="single" w:color="auto" w:sz="8" w:space="0"/>
              <w:left w:val="single" w:color="auto" w:sz="4" w:space="0"/>
              <w:bottom w:val="single" w:color="auto" w:sz="8" w:space="0"/>
              <w:right w:val="single" w:color="auto" w:sz="4" w:space="0"/>
            </w:tcBorders>
            <w:vAlign w:val="center"/>
          </w:tcPr>
          <w:p w14:paraId="0B644D17">
            <w:pPr>
              <w:pStyle w:val="25"/>
              <w:keepNext w:val="0"/>
              <w:keepLines w:val="0"/>
              <w:pageBreakBefore w:val="0"/>
              <w:kinsoku/>
              <w:overflowPunct/>
              <w:topLinePunct w:val="0"/>
              <w:autoSpaceDE/>
              <w:autoSpaceDN/>
              <w:bidi w:val="0"/>
              <w:spacing w:line="440" w:lineRule="exact"/>
              <w:jc w:val="left"/>
              <w:textAlignment w:val="auto"/>
              <w:rPr>
                <w:rFonts w:hint="eastAsia" w:ascii="宋体" w:hAnsi="宋体" w:eastAsia="宋体" w:cs="宋体"/>
                <w:color w:val="auto"/>
                <w:sz w:val="21"/>
                <w:szCs w:val="21"/>
                <w:highlight w:val="none"/>
                <w:lang w:val="en-US" w:eastAsia="zh-CN"/>
              </w:rPr>
            </w:pPr>
            <w:r>
              <w:rPr>
                <w:color w:val="auto"/>
                <w:szCs w:val="21"/>
                <w:highlight w:val="none"/>
              </w:rPr>
              <w:t>投标有效期</w:t>
            </w:r>
          </w:p>
        </w:tc>
        <w:tc>
          <w:tcPr>
            <w:tcW w:w="7577" w:type="dxa"/>
            <w:tcBorders>
              <w:top w:val="single" w:color="auto" w:sz="8" w:space="0"/>
              <w:left w:val="single" w:color="auto" w:sz="4" w:space="0"/>
              <w:bottom w:val="single" w:color="auto" w:sz="8" w:space="0"/>
              <w:right w:val="single" w:color="auto" w:sz="8" w:space="0"/>
            </w:tcBorders>
            <w:vAlign w:val="center"/>
          </w:tcPr>
          <w:p w14:paraId="0CB8330D">
            <w:pPr>
              <w:pStyle w:val="25"/>
              <w:keepNext w:val="0"/>
              <w:keepLines w:val="0"/>
              <w:pageBreakBefore w:val="0"/>
              <w:kinsoku/>
              <w:overflowPunct/>
              <w:topLinePunct w:val="0"/>
              <w:autoSpaceDE/>
              <w:autoSpaceDN/>
              <w:bidi w:val="0"/>
              <w:spacing w:line="440" w:lineRule="exact"/>
              <w:textAlignment w:val="auto"/>
              <w:rPr>
                <w:rFonts w:hint="eastAsia" w:ascii="宋体" w:hAnsi="宋体" w:eastAsia="宋体" w:cs="宋体"/>
                <w:color w:val="auto"/>
                <w:sz w:val="21"/>
                <w:szCs w:val="21"/>
                <w:highlight w:val="none"/>
                <w:lang w:val="en-US" w:eastAsia="zh-CN"/>
              </w:rPr>
            </w:pPr>
            <w:r>
              <w:rPr>
                <w:rFonts w:hint="eastAsia"/>
                <w:color w:val="auto"/>
                <w:szCs w:val="21"/>
                <w:highlight w:val="none"/>
              </w:rPr>
              <w:t>投标有效期为</w:t>
            </w:r>
            <w:r>
              <w:rPr>
                <w:rFonts w:hint="eastAsia"/>
                <w:color w:val="auto"/>
                <w:szCs w:val="21"/>
                <w:highlight w:val="none"/>
                <w:u w:val="single"/>
                <w:lang w:val="en-US" w:eastAsia="zh-CN"/>
              </w:rPr>
              <w:t>60</w:t>
            </w:r>
            <w:r>
              <w:rPr>
                <w:rFonts w:hint="eastAsia"/>
                <w:color w:val="auto"/>
                <w:szCs w:val="21"/>
                <w:highlight w:val="none"/>
              </w:rPr>
              <w:t>日历天（从投标截止之日算起）。在此期限内，凡符合本招标文件要求的投标文件均保持有效。</w:t>
            </w:r>
          </w:p>
        </w:tc>
      </w:tr>
      <w:tr w14:paraId="27D30DA2">
        <w:tblPrEx>
          <w:tblCellMar>
            <w:top w:w="0" w:type="dxa"/>
            <w:left w:w="0" w:type="dxa"/>
            <w:bottom w:w="0" w:type="dxa"/>
            <w:right w:w="0" w:type="dxa"/>
          </w:tblCellMar>
        </w:tblPrEx>
        <w:trPr>
          <w:trHeight w:val="462" w:hRule="atLeast"/>
        </w:trPr>
        <w:tc>
          <w:tcPr>
            <w:tcW w:w="899" w:type="dxa"/>
            <w:tcBorders>
              <w:top w:val="single" w:color="auto" w:sz="8" w:space="0"/>
              <w:left w:val="single" w:color="auto" w:sz="8" w:space="0"/>
              <w:bottom w:val="single" w:color="auto" w:sz="8" w:space="0"/>
              <w:right w:val="single" w:color="auto" w:sz="8" w:space="0"/>
            </w:tcBorders>
            <w:vAlign w:val="center"/>
          </w:tcPr>
          <w:p w14:paraId="7A32EE28">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11</w:t>
            </w:r>
          </w:p>
        </w:tc>
        <w:tc>
          <w:tcPr>
            <w:tcW w:w="1295" w:type="dxa"/>
            <w:tcBorders>
              <w:top w:val="single" w:color="auto" w:sz="8" w:space="0"/>
              <w:left w:val="single" w:color="auto" w:sz="4" w:space="0"/>
              <w:bottom w:val="single" w:color="auto" w:sz="8" w:space="0"/>
              <w:right w:val="single" w:color="auto" w:sz="4" w:space="0"/>
            </w:tcBorders>
            <w:vAlign w:val="center"/>
          </w:tcPr>
          <w:p w14:paraId="32269176">
            <w:pPr>
              <w:pStyle w:val="25"/>
              <w:keepNext w:val="0"/>
              <w:keepLines w:val="0"/>
              <w:pageBreakBefore w:val="0"/>
              <w:kinsoku/>
              <w:overflowPunct/>
              <w:topLinePunct w:val="0"/>
              <w:autoSpaceDE/>
              <w:autoSpaceDN/>
              <w:bidi w:val="0"/>
              <w:spacing w:line="440" w:lineRule="exact"/>
              <w:jc w:val="left"/>
              <w:textAlignment w:val="auto"/>
              <w:rPr>
                <w:rFonts w:hint="eastAsia" w:ascii="宋体" w:hAnsi="宋体" w:eastAsia="宋体" w:cs="宋体"/>
                <w:color w:val="auto"/>
                <w:sz w:val="21"/>
                <w:szCs w:val="21"/>
                <w:highlight w:val="none"/>
                <w:lang w:val="en-US" w:eastAsia="zh-CN"/>
              </w:rPr>
            </w:pPr>
            <w:r>
              <w:rPr>
                <w:rFonts w:hint="eastAsia"/>
                <w:color w:val="auto"/>
                <w:szCs w:val="21"/>
                <w:highlight w:val="none"/>
              </w:rPr>
              <w:t>投标文件</w:t>
            </w:r>
            <w:r>
              <w:rPr>
                <w:rFonts w:hint="eastAsia"/>
                <w:color w:val="auto"/>
                <w:szCs w:val="21"/>
                <w:highlight w:val="none"/>
                <w:lang w:val="en-US" w:eastAsia="zh-CN"/>
              </w:rPr>
              <w:t>递交</w:t>
            </w:r>
          </w:p>
        </w:tc>
        <w:tc>
          <w:tcPr>
            <w:tcW w:w="7577" w:type="dxa"/>
            <w:tcBorders>
              <w:top w:val="single" w:color="auto" w:sz="8" w:space="0"/>
              <w:left w:val="single" w:color="auto" w:sz="4" w:space="0"/>
              <w:bottom w:val="single" w:color="auto" w:sz="8" w:space="0"/>
              <w:right w:val="single" w:color="auto" w:sz="8" w:space="0"/>
            </w:tcBorders>
            <w:vAlign w:val="center"/>
          </w:tcPr>
          <w:p w14:paraId="4BDE2FC9">
            <w:pPr>
              <w:keepNext w:val="0"/>
              <w:keepLines w:val="0"/>
              <w:pageBreakBefore w:val="0"/>
              <w:widowControl w:val="0"/>
              <w:kinsoku/>
              <w:wordWrap w:val="0"/>
              <w:overflowPunct/>
              <w:topLinePunct w:val="0"/>
              <w:autoSpaceDE/>
              <w:autoSpaceDN/>
              <w:bidi w:val="0"/>
              <w:adjustRightInd w:val="0"/>
              <w:snapToGrid w:val="0"/>
              <w:spacing w:line="44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加密电子投标文件投标人应在投标截止时间前通过新点电子交易平台后在【滁州专区】</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https://www.etrading.cn/BREpointSSO/login/oauth2login?regioncode=DQ_ChuZhou</w:t>
            </w:r>
            <w:r>
              <w:rPr>
                <w:rFonts w:hint="eastAsia" w:ascii="宋体" w:hAnsi="宋体" w:cs="宋体"/>
                <w:color w:val="auto"/>
                <w:szCs w:val="21"/>
                <w:highlight w:val="none"/>
                <w:lang w:eastAsia="zh-CN"/>
              </w:rPr>
              <w:t>）</w:t>
            </w:r>
            <w:r>
              <w:rPr>
                <w:rFonts w:hint="eastAsia" w:ascii="宋体" w:hAnsi="宋体" w:cs="宋体"/>
                <w:color w:val="auto"/>
                <w:szCs w:val="21"/>
                <w:highlight w:val="none"/>
              </w:rPr>
              <w:t>交易系统递交电子投标文件。</w:t>
            </w:r>
          </w:p>
          <w:p w14:paraId="6AD718D2">
            <w:pPr>
              <w:keepNext w:val="0"/>
              <w:keepLines w:val="0"/>
              <w:pageBreakBefore w:val="0"/>
              <w:widowControl/>
              <w:kinsoku/>
              <w:overflowPunct/>
              <w:topLinePunct w:val="0"/>
              <w:autoSpaceDE/>
              <w:autoSpaceDN/>
              <w:bidi w:val="0"/>
              <w:spacing w:line="440" w:lineRule="exact"/>
              <w:ind w:firstLine="89" w:firstLineChars="42"/>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b/>
                <w:color w:val="auto"/>
                <w:kern w:val="0"/>
                <w:szCs w:val="21"/>
                <w:highlight w:val="none"/>
              </w:rPr>
              <w:t>（投标人中标后须递交与网上电子投标文件完全一致的纸质版投标文件，并按要求加盖单位章；份数：正本</w:t>
            </w:r>
            <w:r>
              <w:rPr>
                <w:rFonts w:hint="eastAsia" w:ascii="宋体" w:hAnsi="宋体" w:cs="宋体"/>
                <w:b/>
                <w:color w:val="auto"/>
                <w:kern w:val="0"/>
                <w:szCs w:val="21"/>
                <w:highlight w:val="none"/>
                <w:u w:val="single"/>
              </w:rPr>
              <w:t xml:space="preserve"> </w:t>
            </w:r>
            <w:r>
              <w:rPr>
                <w:rFonts w:ascii="宋体" w:hAnsi="宋体" w:cs="宋体"/>
                <w:b/>
                <w:color w:val="auto"/>
                <w:kern w:val="0"/>
                <w:szCs w:val="21"/>
                <w:highlight w:val="none"/>
                <w:u w:val="single"/>
              </w:rPr>
              <w:t>1</w:t>
            </w:r>
            <w:r>
              <w:rPr>
                <w:rFonts w:hint="eastAsia" w:ascii="宋体" w:hAnsi="宋体" w:cs="宋体"/>
                <w:b/>
                <w:color w:val="auto"/>
                <w:kern w:val="0"/>
                <w:szCs w:val="21"/>
                <w:highlight w:val="none"/>
                <w:u w:val="single"/>
              </w:rPr>
              <w:t xml:space="preserve"> </w:t>
            </w:r>
            <w:r>
              <w:rPr>
                <w:rFonts w:hint="eastAsia" w:ascii="宋体" w:hAnsi="宋体" w:cs="宋体"/>
                <w:b/>
                <w:color w:val="auto"/>
                <w:kern w:val="0"/>
                <w:szCs w:val="21"/>
                <w:highlight w:val="none"/>
              </w:rPr>
              <w:t>份，副本</w:t>
            </w:r>
            <w:r>
              <w:rPr>
                <w:rFonts w:hint="eastAsia" w:ascii="宋体" w:hAnsi="宋体" w:cs="宋体"/>
                <w:b/>
                <w:color w:val="auto"/>
                <w:kern w:val="0"/>
                <w:szCs w:val="21"/>
                <w:highlight w:val="none"/>
                <w:u w:val="single"/>
              </w:rPr>
              <w:t xml:space="preserve"> </w:t>
            </w:r>
            <w:r>
              <w:rPr>
                <w:rFonts w:hint="eastAsia" w:ascii="宋体" w:hAnsi="宋体" w:cs="宋体"/>
                <w:b/>
                <w:color w:val="auto"/>
                <w:kern w:val="0"/>
                <w:szCs w:val="21"/>
                <w:highlight w:val="none"/>
                <w:u w:val="single"/>
                <w:lang w:val="en-US" w:eastAsia="zh-CN"/>
              </w:rPr>
              <w:t>1</w:t>
            </w:r>
            <w:r>
              <w:rPr>
                <w:rFonts w:hint="eastAsia" w:ascii="宋体" w:hAnsi="宋体" w:cs="宋体"/>
                <w:b/>
                <w:color w:val="auto"/>
                <w:kern w:val="0"/>
                <w:szCs w:val="21"/>
                <w:highlight w:val="none"/>
                <w:u w:val="single"/>
              </w:rPr>
              <w:t xml:space="preserve"> </w:t>
            </w:r>
            <w:r>
              <w:rPr>
                <w:rFonts w:hint="eastAsia" w:ascii="宋体" w:hAnsi="宋体" w:cs="宋体"/>
                <w:b/>
                <w:color w:val="auto"/>
                <w:kern w:val="0"/>
                <w:szCs w:val="21"/>
                <w:highlight w:val="none"/>
              </w:rPr>
              <w:t>份；中标人领取中标通知书时，一并递交给招标代理机构）。</w:t>
            </w:r>
          </w:p>
        </w:tc>
      </w:tr>
      <w:tr w14:paraId="48A6C47E">
        <w:tblPrEx>
          <w:tblCellMar>
            <w:top w:w="0" w:type="dxa"/>
            <w:left w:w="0" w:type="dxa"/>
            <w:bottom w:w="0" w:type="dxa"/>
            <w:right w:w="0" w:type="dxa"/>
          </w:tblCellMar>
        </w:tblPrEx>
        <w:trPr>
          <w:trHeight w:val="462" w:hRule="atLeast"/>
        </w:trPr>
        <w:tc>
          <w:tcPr>
            <w:tcW w:w="899" w:type="dxa"/>
            <w:tcBorders>
              <w:top w:val="single" w:color="auto" w:sz="8" w:space="0"/>
              <w:left w:val="single" w:color="auto" w:sz="8" w:space="0"/>
              <w:bottom w:val="single" w:color="auto" w:sz="8" w:space="0"/>
              <w:right w:val="single" w:color="auto" w:sz="8" w:space="0"/>
            </w:tcBorders>
            <w:vAlign w:val="center"/>
          </w:tcPr>
          <w:p w14:paraId="6C307E50">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12</w:t>
            </w:r>
          </w:p>
        </w:tc>
        <w:tc>
          <w:tcPr>
            <w:tcW w:w="1295" w:type="dxa"/>
            <w:tcBorders>
              <w:top w:val="single" w:color="auto" w:sz="8" w:space="0"/>
              <w:left w:val="single" w:color="auto" w:sz="4" w:space="0"/>
              <w:bottom w:val="single" w:color="auto" w:sz="8" w:space="0"/>
              <w:right w:val="single" w:color="auto" w:sz="4" w:space="0"/>
            </w:tcBorders>
            <w:vAlign w:val="center"/>
          </w:tcPr>
          <w:p w14:paraId="6AF10602">
            <w:pPr>
              <w:keepNext w:val="0"/>
              <w:keepLines w:val="0"/>
              <w:pageBreakBefore w:val="0"/>
              <w:kinsoku/>
              <w:overflowPunct/>
              <w:topLinePunct w:val="0"/>
              <w:autoSpaceDE/>
              <w:autoSpaceDN/>
              <w:bidi w:val="0"/>
              <w:spacing w:line="440" w:lineRule="exact"/>
              <w:jc w:val="left"/>
              <w:textAlignment w:val="auto"/>
              <w:rPr>
                <w:rFonts w:hint="eastAsia"/>
                <w:color w:val="auto"/>
                <w:szCs w:val="21"/>
                <w:highlight w:val="none"/>
              </w:rPr>
            </w:pPr>
            <w:r>
              <w:rPr>
                <w:rFonts w:hint="eastAsia" w:ascii="宋体"/>
                <w:color w:val="auto"/>
                <w:szCs w:val="21"/>
                <w:highlight w:val="none"/>
              </w:rPr>
              <w:t>签字或盖章要求</w:t>
            </w:r>
          </w:p>
        </w:tc>
        <w:tc>
          <w:tcPr>
            <w:tcW w:w="7577" w:type="dxa"/>
            <w:tcBorders>
              <w:top w:val="single" w:color="auto" w:sz="8" w:space="0"/>
              <w:left w:val="single" w:color="auto" w:sz="4" w:space="0"/>
              <w:bottom w:val="single" w:color="auto" w:sz="8" w:space="0"/>
              <w:right w:val="single" w:color="auto" w:sz="8" w:space="0"/>
            </w:tcBorders>
            <w:vAlign w:val="center"/>
          </w:tcPr>
          <w:p w14:paraId="4FCD2EB5">
            <w:pPr>
              <w:pStyle w:val="2"/>
              <w:keepNext w:val="0"/>
              <w:keepLines w:val="0"/>
              <w:pageBreakBefore w:val="0"/>
              <w:kinsoku/>
              <w:overflowPunct/>
              <w:topLinePunct w:val="0"/>
              <w:autoSpaceDE/>
              <w:autoSpaceDN/>
              <w:bidi w:val="0"/>
              <w:spacing w:line="440" w:lineRule="exact"/>
              <w:ind w:left="0" w:leftChars="0" w:firstLine="0" w:firstLineChars="0"/>
              <w:textAlignment w:val="auto"/>
              <w:rPr>
                <w:rFonts w:hint="eastAsia" w:ascii="宋体" w:hAnsi="宋体" w:eastAsia="宋体" w:cs="宋体"/>
                <w:b/>
                <w:color w:val="auto"/>
                <w:kern w:val="0"/>
                <w:sz w:val="21"/>
                <w:szCs w:val="21"/>
                <w:highlight w:val="none"/>
                <w:lang w:val="en-US" w:eastAsia="zh-CN" w:bidi="ar-SA"/>
              </w:rPr>
            </w:pPr>
            <w:r>
              <w:rPr>
                <w:rFonts w:hint="eastAsia" w:ascii="宋体" w:hAnsi="宋体" w:eastAsia="宋体" w:cs="宋体"/>
                <w:b/>
                <w:color w:val="auto"/>
                <w:kern w:val="0"/>
                <w:sz w:val="21"/>
                <w:szCs w:val="21"/>
                <w:highlight w:val="none"/>
                <w:lang w:val="en-US" w:eastAsia="zh-CN" w:bidi="ar-SA"/>
              </w:rPr>
              <w:t>招标文件中“签章”是指签字或盖章。在“投标文件格式”中要求</w:t>
            </w:r>
            <w:r>
              <w:rPr>
                <w:rFonts w:hint="eastAsia" w:ascii="宋体" w:hAnsi="宋体" w:cs="宋体"/>
                <w:b/>
                <w:color w:val="auto"/>
                <w:kern w:val="0"/>
                <w:sz w:val="21"/>
                <w:szCs w:val="21"/>
                <w:highlight w:val="none"/>
                <w:lang w:val="en-US" w:eastAsia="zh-CN" w:bidi="ar-SA"/>
              </w:rPr>
              <w:t>单位</w:t>
            </w:r>
            <w:r>
              <w:rPr>
                <w:rFonts w:hint="eastAsia" w:ascii="宋体" w:hAnsi="宋体" w:eastAsia="宋体" w:cs="宋体"/>
                <w:b/>
                <w:color w:val="auto"/>
                <w:kern w:val="0"/>
                <w:sz w:val="21"/>
                <w:szCs w:val="21"/>
                <w:highlight w:val="none"/>
                <w:lang w:val="en-US" w:eastAsia="zh-CN" w:bidi="ar-SA"/>
              </w:rPr>
              <w:t>签章</w:t>
            </w:r>
            <w:r>
              <w:rPr>
                <w:rFonts w:hint="eastAsia" w:ascii="宋体" w:hAnsi="宋体" w:cs="宋体"/>
                <w:b/>
                <w:color w:val="auto"/>
                <w:kern w:val="0"/>
                <w:sz w:val="21"/>
                <w:szCs w:val="21"/>
                <w:highlight w:val="none"/>
                <w:lang w:val="en-US" w:eastAsia="zh-CN" w:bidi="ar-SA"/>
              </w:rPr>
              <w:t>的</w:t>
            </w:r>
            <w:r>
              <w:rPr>
                <w:rFonts w:hint="eastAsia" w:ascii="宋体" w:hAnsi="宋体" w:eastAsia="宋体" w:cs="宋体"/>
                <w:b/>
                <w:color w:val="auto"/>
                <w:kern w:val="0"/>
                <w:sz w:val="21"/>
                <w:szCs w:val="21"/>
                <w:highlight w:val="none"/>
                <w:lang w:val="en-US" w:eastAsia="zh-CN" w:bidi="ar-SA"/>
              </w:rPr>
              <w:t>，投标人应加盖投标人单位电子印章或直接上传加盖投标人单位印章原件彩色扫描件。</w:t>
            </w:r>
            <w:r>
              <w:rPr>
                <w:rFonts w:hint="eastAsia" w:ascii="宋体" w:hAnsi="宋体" w:cs="宋体"/>
                <w:b/>
                <w:color w:val="auto"/>
                <w:kern w:val="0"/>
                <w:sz w:val="21"/>
                <w:szCs w:val="21"/>
                <w:highlight w:val="none"/>
                <w:lang w:val="en-US" w:eastAsia="zh-CN" w:bidi="ar-SA"/>
              </w:rPr>
              <w:t>要求个人签章的，加盖相应人员</w:t>
            </w:r>
            <w:r>
              <w:rPr>
                <w:rFonts w:hint="eastAsia" w:ascii="宋体" w:hAnsi="宋体" w:eastAsia="宋体" w:cs="宋体"/>
                <w:b/>
                <w:color w:val="auto"/>
                <w:kern w:val="0"/>
                <w:sz w:val="21"/>
                <w:szCs w:val="21"/>
                <w:highlight w:val="none"/>
                <w:lang w:val="en-US" w:eastAsia="zh-CN" w:bidi="ar-SA"/>
              </w:rPr>
              <w:t>印章</w:t>
            </w:r>
            <w:r>
              <w:rPr>
                <w:rFonts w:hint="eastAsia" w:ascii="宋体" w:hAnsi="宋体" w:cs="宋体"/>
                <w:b/>
                <w:color w:val="auto"/>
                <w:kern w:val="0"/>
                <w:sz w:val="21"/>
                <w:szCs w:val="21"/>
                <w:highlight w:val="none"/>
                <w:lang w:val="en-US" w:eastAsia="zh-CN" w:bidi="ar-SA"/>
              </w:rPr>
              <w:t>（或电子印章）</w:t>
            </w:r>
            <w:r>
              <w:rPr>
                <w:rFonts w:hint="eastAsia" w:ascii="宋体" w:hAnsi="宋体" w:eastAsia="宋体" w:cs="宋体"/>
                <w:b/>
                <w:color w:val="auto"/>
                <w:kern w:val="0"/>
                <w:sz w:val="21"/>
                <w:szCs w:val="21"/>
                <w:highlight w:val="none"/>
                <w:lang w:val="en-US" w:eastAsia="zh-CN" w:bidi="ar-SA"/>
              </w:rPr>
              <w:t>或</w:t>
            </w:r>
            <w:r>
              <w:rPr>
                <w:rFonts w:hint="eastAsia" w:ascii="宋体" w:hAnsi="宋体" w:cs="宋体"/>
                <w:b/>
                <w:color w:val="auto"/>
                <w:kern w:val="0"/>
                <w:sz w:val="21"/>
                <w:szCs w:val="21"/>
                <w:highlight w:val="none"/>
                <w:lang w:val="en-US" w:eastAsia="zh-CN" w:bidi="ar-SA"/>
              </w:rPr>
              <w:t>相应人员</w:t>
            </w:r>
            <w:r>
              <w:rPr>
                <w:rFonts w:hint="eastAsia" w:ascii="宋体" w:hAnsi="宋体" w:eastAsia="宋体" w:cs="宋体"/>
                <w:b/>
                <w:color w:val="auto"/>
                <w:kern w:val="0"/>
                <w:sz w:val="21"/>
                <w:szCs w:val="21"/>
                <w:highlight w:val="none"/>
                <w:lang w:val="en-US" w:eastAsia="zh-CN" w:bidi="ar-SA"/>
              </w:rPr>
              <w:t>签字</w:t>
            </w:r>
            <w:r>
              <w:rPr>
                <w:rFonts w:hint="eastAsia" w:ascii="宋体" w:hAnsi="宋体" w:cs="宋体"/>
                <w:b/>
                <w:color w:val="auto"/>
                <w:kern w:val="0"/>
                <w:sz w:val="21"/>
                <w:szCs w:val="21"/>
                <w:highlight w:val="none"/>
                <w:lang w:val="en-US" w:eastAsia="zh-CN" w:bidi="ar-SA"/>
              </w:rPr>
              <w:t>均可。</w:t>
            </w:r>
          </w:p>
          <w:p w14:paraId="01C4E0A4">
            <w:pPr>
              <w:keepNext w:val="0"/>
              <w:keepLines w:val="0"/>
              <w:pageBreakBefore w:val="0"/>
              <w:widowControl/>
              <w:kinsoku/>
              <w:overflowPunct/>
              <w:topLinePunct w:val="0"/>
              <w:autoSpaceDE/>
              <w:autoSpaceDN/>
              <w:bidi w:val="0"/>
              <w:spacing w:line="440" w:lineRule="exact"/>
              <w:ind w:firstLine="89" w:firstLineChars="42"/>
              <w:jc w:val="left"/>
              <w:textAlignment w:val="auto"/>
              <w:rPr>
                <w:rFonts w:hint="eastAsia" w:ascii="宋体" w:hAnsi="宋体" w:cs="宋体"/>
                <w:b/>
                <w:color w:val="auto"/>
                <w:kern w:val="0"/>
                <w:szCs w:val="21"/>
                <w:highlight w:val="none"/>
              </w:rPr>
            </w:pPr>
            <w:r>
              <w:rPr>
                <w:rFonts w:hint="eastAsia" w:ascii="宋体" w:hAnsi="宋体" w:eastAsia="宋体" w:cs="宋体"/>
                <w:b/>
                <w:color w:val="auto"/>
                <w:kern w:val="0"/>
                <w:sz w:val="21"/>
                <w:szCs w:val="21"/>
                <w:highlight w:val="none"/>
                <w:lang w:val="en-US" w:eastAsia="zh-CN" w:bidi="ar-SA"/>
              </w:rPr>
              <w:t>否则经评委会一致认定后，按照无效投标处理。</w:t>
            </w:r>
          </w:p>
        </w:tc>
      </w:tr>
      <w:tr w14:paraId="443033B5">
        <w:tblPrEx>
          <w:tblCellMar>
            <w:top w:w="0" w:type="dxa"/>
            <w:left w:w="0" w:type="dxa"/>
            <w:bottom w:w="0" w:type="dxa"/>
            <w:right w:w="0" w:type="dxa"/>
          </w:tblCellMar>
        </w:tblPrEx>
        <w:trPr>
          <w:trHeight w:val="1609" w:hRule="atLeast"/>
        </w:trPr>
        <w:tc>
          <w:tcPr>
            <w:tcW w:w="899" w:type="dxa"/>
            <w:tcBorders>
              <w:top w:val="single" w:color="auto" w:sz="8" w:space="0"/>
              <w:left w:val="single" w:color="auto" w:sz="8" w:space="0"/>
              <w:bottom w:val="single" w:color="auto" w:sz="8" w:space="0"/>
              <w:right w:val="single" w:color="auto" w:sz="8" w:space="0"/>
            </w:tcBorders>
            <w:vAlign w:val="center"/>
          </w:tcPr>
          <w:p w14:paraId="60366104">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13</w:t>
            </w:r>
          </w:p>
        </w:tc>
        <w:tc>
          <w:tcPr>
            <w:tcW w:w="1295" w:type="dxa"/>
            <w:tcBorders>
              <w:top w:val="single" w:color="auto" w:sz="8" w:space="0"/>
              <w:left w:val="single" w:color="auto" w:sz="4" w:space="0"/>
              <w:bottom w:val="single" w:color="auto" w:sz="8" w:space="0"/>
              <w:right w:val="single" w:color="auto" w:sz="4" w:space="0"/>
            </w:tcBorders>
            <w:vAlign w:val="center"/>
          </w:tcPr>
          <w:p w14:paraId="5C83C75F">
            <w:pPr>
              <w:keepNext w:val="0"/>
              <w:keepLines w:val="0"/>
              <w:pageBreakBefore w:val="0"/>
              <w:kinsoku/>
              <w:overflowPunct/>
              <w:topLinePunct w:val="0"/>
              <w:autoSpaceDE/>
              <w:autoSpaceDN/>
              <w:bidi w:val="0"/>
              <w:spacing w:line="440" w:lineRule="exact"/>
              <w:jc w:val="left"/>
              <w:textAlignment w:val="auto"/>
              <w:rPr>
                <w:rFonts w:hint="eastAsia" w:ascii="宋体" w:hAnsi="宋体" w:eastAsia="宋体" w:cs="宋体"/>
                <w:color w:val="auto"/>
                <w:kern w:val="0"/>
                <w:sz w:val="21"/>
                <w:szCs w:val="21"/>
                <w:highlight w:val="none"/>
              </w:rPr>
            </w:pPr>
            <w:r>
              <w:rPr>
                <w:rFonts w:hint="eastAsia" w:ascii="宋体"/>
                <w:color w:val="auto"/>
                <w:szCs w:val="21"/>
                <w:highlight w:val="none"/>
              </w:rPr>
              <w:t>投标文件提交截止时间</w:t>
            </w:r>
          </w:p>
        </w:tc>
        <w:tc>
          <w:tcPr>
            <w:tcW w:w="7577" w:type="dxa"/>
            <w:tcBorders>
              <w:top w:val="single" w:color="auto" w:sz="8" w:space="0"/>
              <w:left w:val="single" w:color="auto" w:sz="4" w:space="0"/>
              <w:bottom w:val="single" w:color="auto" w:sz="8" w:space="0"/>
              <w:right w:val="single" w:color="auto" w:sz="8" w:space="0"/>
            </w:tcBorders>
            <w:vAlign w:val="center"/>
          </w:tcPr>
          <w:p w14:paraId="4AACE522">
            <w:pPr>
              <w:keepNext w:val="0"/>
              <w:keepLines w:val="0"/>
              <w:pageBreakBefore w:val="0"/>
              <w:kinsoku/>
              <w:overflowPunct/>
              <w:topLinePunct w:val="0"/>
              <w:autoSpaceDE/>
              <w:autoSpaceDN/>
              <w:bidi w:val="0"/>
              <w:spacing w:line="440" w:lineRule="exact"/>
              <w:textAlignment w:val="auto"/>
              <w:rPr>
                <w:rFonts w:hint="eastAsia" w:ascii="宋体"/>
                <w:color w:val="auto"/>
                <w:szCs w:val="21"/>
                <w:highlight w:val="none"/>
              </w:rPr>
            </w:pPr>
            <w:r>
              <w:rPr>
                <w:rFonts w:hint="eastAsia" w:ascii="宋体"/>
                <w:color w:val="auto"/>
                <w:szCs w:val="21"/>
                <w:highlight w:val="none"/>
              </w:rPr>
              <w:t>网上递交投标文件截止时间：</w:t>
            </w:r>
            <w:r>
              <w:rPr>
                <w:rFonts w:hint="eastAsia" w:ascii="宋体"/>
                <w:b/>
                <w:bCs/>
                <w:color w:val="auto"/>
                <w:szCs w:val="21"/>
                <w:highlight w:val="none"/>
                <w:lang w:val="en-US" w:eastAsia="zh-CN"/>
              </w:rPr>
              <w:t>2025</w:t>
            </w:r>
            <w:r>
              <w:rPr>
                <w:rFonts w:hint="eastAsia" w:ascii="宋体"/>
                <w:b/>
                <w:bCs/>
                <w:color w:val="auto"/>
                <w:szCs w:val="21"/>
                <w:highlight w:val="none"/>
              </w:rPr>
              <w:t>年</w:t>
            </w:r>
            <w:r>
              <w:rPr>
                <w:rFonts w:hint="eastAsia" w:ascii="宋体"/>
                <w:b/>
                <w:bCs/>
                <w:color w:val="auto"/>
                <w:szCs w:val="21"/>
                <w:highlight w:val="none"/>
                <w:lang w:val="en-US" w:eastAsia="zh-CN"/>
              </w:rPr>
              <w:t>10</w:t>
            </w:r>
            <w:r>
              <w:rPr>
                <w:rFonts w:hint="eastAsia" w:ascii="宋体"/>
                <w:b/>
                <w:bCs/>
                <w:color w:val="auto"/>
                <w:szCs w:val="21"/>
                <w:highlight w:val="none"/>
              </w:rPr>
              <w:t>月</w:t>
            </w:r>
            <w:r>
              <w:rPr>
                <w:rFonts w:hint="eastAsia" w:ascii="宋体"/>
                <w:b/>
                <w:bCs/>
                <w:color w:val="auto"/>
                <w:szCs w:val="21"/>
                <w:highlight w:val="none"/>
                <w:lang w:val="en-US" w:eastAsia="zh-CN"/>
              </w:rPr>
              <w:t>11</w:t>
            </w:r>
            <w:r>
              <w:rPr>
                <w:rFonts w:hint="eastAsia" w:ascii="宋体"/>
                <w:b/>
                <w:bCs/>
                <w:color w:val="auto"/>
                <w:szCs w:val="21"/>
                <w:highlight w:val="none"/>
              </w:rPr>
              <w:t>日</w:t>
            </w:r>
            <w:r>
              <w:rPr>
                <w:rFonts w:hint="eastAsia" w:ascii="宋体"/>
                <w:b/>
                <w:bCs/>
                <w:color w:val="auto"/>
                <w:szCs w:val="21"/>
                <w:highlight w:val="none"/>
                <w:lang w:val="en-US" w:eastAsia="zh-CN"/>
              </w:rPr>
              <w:t>09</w:t>
            </w:r>
            <w:r>
              <w:rPr>
                <w:rFonts w:hint="eastAsia" w:ascii="宋体"/>
                <w:b/>
                <w:bCs/>
                <w:color w:val="auto"/>
                <w:szCs w:val="21"/>
                <w:highlight w:val="none"/>
              </w:rPr>
              <w:t>时</w:t>
            </w:r>
            <w:r>
              <w:rPr>
                <w:rFonts w:hint="eastAsia" w:ascii="宋体"/>
                <w:b/>
                <w:bCs/>
                <w:color w:val="auto"/>
                <w:szCs w:val="21"/>
                <w:highlight w:val="none"/>
                <w:lang w:val="en-US" w:eastAsia="zh-CN"/>
              </w:rPr>
              <w:t>30</w:t>
            </w:r>
            <w:r>
              <w:rPr>
                <w:rFonts w:hint="eastAsia" w:ascii="宋体"/>
                <w:b/>
                <w:bCs/>
                <w:color w:val="auto"/>
                <w:szCs w:val="21"/>
                <w:highlight w:val="none"/>
              </w:rPr>
              <w:t>分（北京时间）</w:t>
            </w:r>
          </w:p>
          <w:p w14:paraId="6FF010F2">
            <w:pPr>
              <w:keepNext w:val="0"/>
              <w:keepLines w:val="0"/>
              <w:pageBreakBefore w:val="0"/>
              <w:kinsoku/>
              <w:overflowPunct/>
              <w:topLinePunct w:val="0"/>
              <w:autoSpaceDE/>
              <w:autoSpaceDN/>
              <w:bidi w:val="0"/>
              <w:spacing w:line="440" w:lineRule="exact"/>
              <w:textAlignment w:val="auto"/>
              <w:rPr>
                <w:rFonts w:hint="eastAsia" w:ascii="黑体" w:eastAsia="黑体" w:cs="黑体"/>
                <w:bCs/>
                <w:color w:val="auto"/>
                <w:szCs w:val="21"/>
                <w:highlight w:val="none"/>
              </w:rPr>
            </w:pPr>
            <w:r>
              <w:rPr>
                <w:rFonts w:hint="eastAsia" w:ascii="宋体"/>
                <w:b/>
                <w:color w:val="auto"/>
                <w:szCs w:val="21"/>
                <w:highlight w:val="none"/>
              </w:rPr>
              <w:t>注：以投标人在投标截止时间前网上递交的电子投标文件为准，逾期提交的，投标文件将被拒绝。</w:t>
            </w:r>
          </w:p>
          <w:p w14:paraId="2D17B673">
            <w:pPr>
              <w:keepNext w:val="0"/>
              <w:keepLines w:val="0"/>
              <w:pageBreakBefore w:val="0"/>
              <w:kinsoku/>
              <w:wordWrap w:val="0"/>
              <w:overflowPunct/>
              <w:topLinePunct w:val="0"/>
              <w:autoSpaceDE/>
              <w:autoSpaceDN/>
              <w:bidi w:val="0"/>
              <w:spacing w:line="440" w:lineRule="exact"/>
              <w:textAlignment w:val="auto"/>
              <w:rPr>
                <w:rFonts w:hint="default" w:ascii="宋体" w:hAnsi="宋体" w:eastAsia="宋体" w:cs="宋体"/>
                <w:color w:val="auto"/>
                <w:sz w:val="21"/>
                <w:szCs w:val="21"/>
                <w:highlight w:val="none"/>
                <w:lang w:val="en-US" w:eastAsia="zh-CN"/>
              </w:rPr>
            </w:pPr>
            <w:r>
              <w:rPr>
                <w:rFonts w:hint="eastAsia" w:ascii="宋体" w:hAnsi="宋体" w:cs="宋体"/>
                <w:b/>
                <w:bCs/>
                <w:color w:val="auto"/>
                <w:szCs w:val="21"/>
                <w:highlight w:val="none"/>
              </w:rPr>
              <w:t>1.解密程序开始后</w:t>
            </w:r>
            <w:r>
              <w:rPr>
                <w:rFonts w:hint="eastAsia" w:ascii="宋体" w:hAnsi="宋体" w:cs="宋体"/>
                <w:b/>
                <w:bCs/>
                <w:color w:val="auto"/>
                <w:szCs w:val="21"/>
                <w:highlight w:val="none"/>
                <w:lang w:val="en-US" w:eastAsia="zh-CN"/>
              </w:rPr>
              <w:t>30</w:t>
            </w:r>
            <w:r>
              <w:rPr>
                <w:rFonts w:hint="eastAsia" w:ascii="宋体" w:hAnsi="宋体" w:cs="宋体"/>
                <w:b/>
                <w:bCs/>
                <w:color w:val="auto"/>
                <w:szCs w:val="21"/>
                <w:highlight w:val="none"/>
              </w:rPr>
              <w:t>分钟内（以本项目网上招投标系统解密倒计时为准）。</w:t>
            </w:r>
          </w:p>
        </w:tc>
      </w:tr>
      <w:tr w14:paraId="39CAD765">
        <w:tblPrEx>
          <w:tblCellMar>
            <w:top w:w="0" w:type="dxa"/>
            <w:left w:w="0" w:type="dxa"/>
            <w:bottom w:w="0" w:type="dxa"/>
            <w:right w:w="0" w:type="dxa"/>
          </w:tblCellMar>
        </w:tblPrEx>
        <w:trPr>
          <w:trHeight w:val="466" w:hRule="atLeast"/>
        </w:trPr>
        <w:tc>
          <w:tcPr>
            <w:tcW w:w="899" w:type="dxa"/>
            <w:tcBorders>
              <w:top w:val="single" w:color="auto" w:sz="8" w:space="0"/>
              <w:left w:val="single" w:color="auto" w:sz="8" w:space="0"/>
              <w:bottom w:val="single" w:color="auto" w:sz="8" w:space="0"/>
              <w:right w:val="single" w:color="auto" w:sz="8" w:space="0"/>
            </w:tcBorders>
            <w:vAlign w:val="center"/>
          </w:tcPr>
          <w:p w14:paraId="0E670406">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14</w:t>
            </w:r>
          </w:p>
        </w:tc>
        <w:tc>
          <w:tcPr>
            <w:tcW w:w="1295" w:type="dxa"/>
            <w:tcBorders>
              <w:top w:val="single" w:color="auto" w:sz="8" w:space="0"/>
              <w:left w:val="single" w:color="auto" w:sz="4" w:space="0"/>
              <w:bottom w:val="single" w:color="auto" w:sz="8" w:space="0"/>
              <w:right w:val="single" w:color="auto" w:sz="4" w:space="0"/>
            </w:tcBorders>
            <w:vAlign w:val="center"/>
          </w:tcPr>
          <w:p w14:paraId="03D51B63">
            <w:pPr>
              <w:keepNext w:val="0"/>
              <w:keepLines w:val="0"/>
              <w:pageBreakBefore w:val="0"/>
              <w:kinsoku/>
              <w:overflowPunct/>
              <w:topLinePunct w:val="0"/>
              <w:autoSpaceDE/>
              <w:autoSpaceDN/>
              <w:bidi w:val="0"/>
              <w:spacing w:line="440" w:lineRule="exact"/>
              <w:jc w:val="left"/>
              <w:textAlignment w:val="auto"/>
              <w:rPr>
                <w:rFonts w:hint="eastAsia" w:ascii="宋体"/>
                <w:color w:val="auto"/>
                <w:szCs w:val="21"/>
                <w:highlight w:val="none"/>
              </w:rPr>
            </w:pPr>
            <w:r>
              <w:rPr>
                <w:rFonts w:hint="eastAsia" w:ascii="宋体"/>
                <w:color w:val="auto"/>
                <w:szCs w:val="21"/>
                <w:highlight w:val="none"/>
              </w:rPr>
              <w:t>是否退还投标文件</w:t>
            </w:r>
          </w:p>
        </w:tc>
        <w:tc>
          <w:tcPr>
            <w:tcW w:w="7577" w:type="dxa"/>
            <w:tcBorders>
              <w:top w:val="single" w:color="auto" w:sz="8" w:space="0"/>
              <w:left w:val="single" w:color="auto" w:sz="4" w:space="0"/>
              <w:bottom w:val="single" w:color="auto" w:sz="8" w:space="0"/>
              <w:right w:val="single" w:color="auto" w:sz="8" w:space="0"/>
            </w:tcBorders>
            <w:vAlign w:val="center"/>
          </w:tcPr>
          <w:p w14:paraId="626B5B3B">
            <w:pPr>
              <w:keepNext w:val="0"/>
              <w:keepLines w:val="0"/>
              <w:pageBreakBefore w:val="0"/>
              <w:kinsoku/>
              <w:overflowPunct/>
              <w:topLinePunct w:val="0"/>
              <w:autoSpaceDE/>
              <w:autoSpaceDN/>
              <w:bidi w:val="0"/>
              <w:spacing w:line="440" w:lineRule="exact"/>
              <w:textAlignment w:val="auto"/>
              <w:rPr>
                <w:rFonts w:hint="eastAsia" w:ascii="宋体" w:hAnsi="宋体" w:cs="宋体"/>
                <w:color w:val="auto"/>
                <w:szCs w:val="21"/>
                <w:highlight w:val="none"/>
              </w:rPr>
            </w:pPr>
            <w:r>
              <w:rPr>
                <w:rFonts w:hint="eastAsia"/>
                <w:color w:val="auto"/>
                <w:szCs w:val="21"/>
                <w:highlight w:val="none"/>
              </w:rPr>
              <w:t>否</w:t>
            </w:r>
          </w:p>
        </w:tc>
      </w:tr>
      <w:tr w14:paraId="266A8CA8">
        <w:tblPrEx>
          <w:tblCellMar>
            <w:top w:w="0" w:type="dxa"/>
            <w:left w:w="0" w:type="dxa"/>
            <w:bottom w:w="0" w:type="dxa"/>
            <w:right w:w="0" w:type="dxa"/>
          </w:tblCellMar>
        </w:tblPrEx>
        <w:trPr>
          <w:trHeight w:val="786" w:hRule="atLeast"/>
        </w:trPr>
        <w:tc>
          <w:tcPr>
            <w:tcW w:w="899" w:type="dxa"/>
            <w:tcBorders>
              <w:top w:val="single" w:color="auto" w:sz="8" w:space="0"/>
              <w:left w:val="single" w:color="auto" w:sz="8" w:space="0"/>
              <w:bottom w:val="single" w:color="auto" w:sz="8" w:space="0"/>
              <w:right w:val="single" w:color="auto" w:sz="8" w:space="0"/>
            </w:tcBorders>
            <w:vAlign w:val="center"/>
          </w:tcPr>
          <w:p w14:paraId="136C06BF">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15</w:t>
            </w:r>
          </w:p>
        </w:tc>
        <w:tc>
          <w:tcPr>
            <w:tcW w:w="1295" w:type="dxa"/>
            <w:tcBorders>
              <w:top w:val="single" w:color="auto" w:sz="8" w:space="0"/>
              <w:left w:val="single" w:color="auto" w:sz="4" w:space="0"/>
              <w:bottom w:val="single" w:color="auto" w:sz="8" w:space="0"/>
              <w:right w:val="single" w:color="auto" w:sz="4" w:space="0"/>
            </w:tcBorders>
            <w:vAlign w:val="center"/>
          </w:tcPr>
          <w:p w14:paraId="53C0A74C">
            <w:pPr>
              <w:keepNext w:val="0"/>
              <w:keepLines w:val="0"/>
              <w:pageBreakBefore w:val="0"/>
              <w:kinsoku/>
              <w:overflowPunct/>
              <w:topLinePunct w:val="0"/>
              <w:autoSpaceDE/>
              <w:autoSpaceDN/>
              <w:bidi w:val="0"/>
              <w:spacing w:line="440" w:lineRule="exact"/>
              <w:jc w:val="left"/>
              <w:textAlignment w:val="auto"/>
              <w:rPr>
                <w:rFonts w:hint="eastAsia" w:ascii="宋体" w:hAnsi="宋体" w:eastAsia="宋体" w:cs="宋体"/>
                <w:color w:val="auto"/>
                <w:kern w:val="0"/>
                <w:sz w:val="21"/>
                <w:szCs w:val="21"/>
                <w:highlight w:val="none"/>
                <w:lang w:val="en-US" w:eastAsia="zh-CN"/>
              </w:rPr>
            </w:pPr>
            <w:r>
              <w:rPr>
                <w:rFonts w:hint="eastAsia" w:ascii="宋体"/>
                <w:color w:val="auto"/>
                <w:szCs w:val="21"/>
                <w:highlight w:val="none"/>
              </w:rPr>
              <w:t>开标时间及地点</w:t>
            </w:r>
          </w:p>
        </w:tc>
        <w:tc>
          <w:tcPr>
            <w:tcW w:w="7577" w:type="dxa"/>
            <w:tcBorders>
              <w:top w:val="single" w:color="auto" w:sz="8" w:space="0"/>
              <w:left w:val="single" w:color="auto" w:sz="4" w:space="0"/>
              <w:bottom w:val="single" w:color="auto" w:sz="8" w:space="0"/>
              <w:right w:val="single" w:color="auto" w:sz="8" w:space="0"/>
            </w:tcBorders>
            <w:vAlign w:val="center"/>
          </w:tcPr>
          <w:p w14:paraId="18B45F6F">
            <w:pPr>
              <w:keepNext w:val="0"/>
              <w:keepLines w:val="0"/>
              <w:pageBreakBefore w:val="0"/>
              <w:kinsoku/>
              <w:overflowPunct/>
              <w:topLinePunct w:val="0"/>
              <w:autoSpaceDE/>
              <w:autoSpaceDN/>
              <w:bidi w:val="0"/>
              <w:spacing w:line="440" w:lineRule="exact"/>
              <w:textAlignment w:val="auto"/>
              <w:rPr>
                <w:rFonts w:hint="eastAsia"/>
                <w:color w:val="auto"/>
                <w:highlight w:val="none"/>
              </w:rPr>
            </w:pPr>
            <w:r>
              <w:rPr>
                <w:rFonts w:hint="eastAsia" w:ascii="ˎ̥" w:hAnsi="ˎ̥"/>
                <w:color w:val="auto"/>
                <w:highlight w:val="none"/>
              </w:rPr>
              <w:t>详见招标公告</w:t>
            </w:r>
          </w:p>
        </w:tc>
      </w:tr>
      <w:tr w14:paraId="076992A3">
        <w:tblPrEx>
          <w:tblCellMar>
            <w:top w:w="0" w:type="dxa"/>
            <w:left w:w="0" w:type="dxa"/>
            <w:bottom w:w="0" w:type="dxa"/>
            <w:right w:w="0" w:type="dxa"/>
          </w:tblCellMar>
        </w:tblPrEx>
        <w:trPr>
          <w:trHeight w:val="454" w:hRule="atLeast"/>
        </w:trPr>
        <w:tc>
          <w:tcPr>
            <w:tcW w:w="899" w:type="dxa"/>
            <w:tcBorders>
              <w:top w:val="single" w:color="auto" w:sz="8" w:space="0"/>
              <w:left w:val="single" w:color="auto" w:sz="8" w:space="0"/>
              <w:bottom w:val="single" w:color="auto" w:sz="8" w:space="0"/>
              <w:right w:val="single" w:color="auto" w:sz="8" w:space="0"/>
            </w:tcBorders>
            <w:vAlign w:val="center"/>
          </w:tcPr>
          <w:p w14:paraId="3C028E0B">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16</w:t>
            </w:r>
          </w:p>
        </w:tc>
        <w:tc>
          <w:tcPr>
            <w:tcW w:w="1295" w:type="dxa"/>
            <w:tcBorders>
              <w:top w:val="single" w:color="auto" w:sz="8" w:space="0"/>
              <w:left w:val="single" w:color="auto" w:sz="4" w:space="0"/>
              <w:bottom w:val="single" w:color="auto" w:sz="8" w:space="0"/>
              <w:right w:val="single" w:color="auto" w:sz="4" w:space="0"/>
            </w:tcBorders>
            <w:vAlign w:val="center"/>
          </w:tcPr>
          <w:p w14:paraId="57F847A2">
            <w:pPr>
              <w:keepNext w:val="0"/>
              <w:keepLines w:val="0"/>
              <w:pageBreakBefore w:val="0"/>
              <w:kinsoku/>
              <w:overflowPunct/>
              <w:topLinePunct w:val="0"/>
              <w:autoSpaceDE/>
              <w:autoSpaceDN/>
              <w:bidi w:val="0"/>
              <w:spacing w:line="440" w:lineRule="exact"/>
              <w:jc w:val="left"/>
              <w:textAlignment w:val="auto"/>
              <w:rPr>
                <w:rFonts w:hint="eastAsia" w:ascii="宋体" w:hAnsi="宋体" w:eastAsia="宋体" w:cs="宋体"/>
                <w:color w:val="auto"/>
                <w:kern w:val="0"/>
                <w:sz w:val="21"/>
                <w:szCs w:val="21"/>
                <w:highlight w:val="none"/>
              </w:rPr>
            </w:pPr>
            <w:r>
              <w:rPr>
                <w:rFonts w:hint="eastAsia" w:ascii="宋体"/>
                <w:color w:val="auto"/>
                <w:szCs w:val="21"/>
                <w:highlight w:val="none"/>
              </w:rPr>
              <w:t>开标程序</w:t>
            </w:r>
          </w:p>
        </w:tc>
        <w:tc>
          <w:tcPr>
            <w:tcW w:w="7577" w:type="dxa"/>
            <w:tcBorders>
              <w:top w:val="single" w:color="auto" w:sz="8" w:space="0"/>
              <w:left w:val="single" w:color="auto" w:sz="4" w:space="0"/>
              <w:bottom w:val="single" w:color="auto" w:sz="8" w:space="0"/>
              <w:right w:val="single" w:color="auto" w:sz="8" w:space="0"/>
            </w:tcBorders>
            <w:vAlign w:val="center"/>
          </w:tcPr>
          <w:p w14:paraId="476CEA77">
            <w:pPr>
              <w:keepNext w:val="0"/>
              <w:keepLines w:val="0"/>
              <w:pageBreakBefore w:val="0"/>
              <w:kinsoku/>
              <w:overflowPunct/>
              <w:topLinePunct w:val="0"/>
              <w:autoSpaceDE/>
              <w:autoSpaceDN/>
              <w:bidi w:val="0"/>
              <w:spacing w:line="440" w:lineRule="exact"/>
              <w:textAlignment w:val="auto"/>
              <w:rPr>
                <w:rFonts w:hint="eastAsia"/>
                <w:color w:val="auto"/>
                <w:highlight w:val="none"/>
              </w:rPr>
            </w:pPr>
            <w:r>
              <w:rPr>
                <w:rFonts w:hint="eastAsia"/>
                <w:color w:val="auto"/>
                <w:szCs w:val="21"/>
                <w:highlight w:val="none"/>
              </w:rPr>
              <w:t>开标顺序：解密电子投标文件后，由评标委员会评审。</w:t>
            </w:r>
          </w:p>
        </w:tc>
      </w:tr>
      <w:tr w14:paraId="6EC3DC31">
        <w:tblPrEx>
          <w:tblCellMar>
            <w:top w:w="0" w:type="dxa"/>
            <w:left w:w="0" w:type="dxa"/>
            <w:bottom w:w="0" w:type="dxa"/>
            <w:right w:w="0" w:type="dxa"/>
          </w:tblCellMar>
        </w:tblPrEx>
        <w:trPr>
          <w:trHeight w:val="786" w:hRule="atLeast"/>
        </w:trPr>
        <w:tc>
          <w:tcPr>
            <w:tcW w:w="899" w:type="dxa"/>
            <w:tcBorders>
              <w:top w:val="single" w:color="auto" w:sz="8" w:space="0"/>
              <w:left w:val="single" w:color="auto" w:sz="8" w:space="0"/>
              <w:bottom w:val="single" w:color="auto" w:sz="8" w:space="0"/>
              <w:right w:val="single" w:color="auto" w:sz="8" w:space="0"/>
            </w:tcBorders>
            <w:vAlign w:val="center"/>
          </w:tcPr>
          <w:p w14:paraId="73E8B676">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17</w:t>
            </w:r>
          </w:p>
        </w:tc>
        <w:tc>
          <w:tcPr>
            <w:tcW w:w="1295" w:type="dxa"/>
            <w:tcBorders>
              <w:top w:val="single" w:color="auto" w:sz="8" w:space="0"/>
              <w:left w:val="single" w:color="auto" w:sz="4" w:space="0"/>
              <w:bottom w:val="single" w:color="auto" w:sz="8" w:space="0"/>
              <w:right w:val="single" w:color="auto" w:sz="4" w:space="0"/>
            </w:tcBorders>
            <w:vAlign w:val="center"/>
          </w:tcPr>
          <w:p w14:paraId="5CB513ED">
            <w:pPr>
              <w:pStyle w:val="25"/>
              <w:keepNext w:val="0"/>
              <w:keepLines w:val="0"/>
              <w:pageBreakBefore w:val="0"/>
              <w:kinsoku/>
              <w:overflowPunct/>
              <w:topLinePunct w:val="0"/>
              <w:autoSpaceDE/>
              <w:autoSpaceDN/>
              <w:bidi w:val="0"/>
              <w:spacing w:line="440" w:lineRule="exact"/>
              <w:jc w:val="left"/>
              <w:textAlignment w:val="auto"/>
              <w:rPr>
                <w:rFonts w:hint="eastAsia" w:ascii="宋体"/>
                <w:color w:val="auto"/>
                <w:szCs w:val="21"/>
                <w:highlight w:val="none"/>
              </w:rPr>
            </w:pPr>
            <w:r>
              <w:rPr>
                <w:rFonts w:hint="eastAsia"/>
                <w:color w:val="auto"/>
                <w:szCs w:val="21"/>
                <w:highlight w:val="none"/>
              </w:rPr>
              <w:t>评标委员会的组建</w:t>
            </w:r>
          </w:p>
        </w:tc>
        <w:tc>
          <w:tcPr>
            <w:tcW w:w="7577" w:type="dxa"/>
            <w:tcBorders>
              <w:top w:val="single" w:color="auto" w:sz="8" w:space="0"/>
              <w:left w:val="single" w:color="auto" w:sz="4" w:space="0"/>
              <w:bottom w:val="single" w:color="auto" w:sz="8" w:space="0"/>
              <w:right w:val="single" w:color="auto" w:sz="8" w:space="0"/>
            </w:tcBorders>
            <w:vAlign w:val="top"/>
          </w:tcPr>
          <w:p w14:paraId="4FB4DBB5">
            <w:pPr>
              <w:pStyle w:val="157"/>
              <w:keepNext w:val="0"/>
              <w:keepLines w:val="0"/>
              <w:pageBreakBefore w:val="0"/>
              <w:kinsoku/>
              <w:overflowPunct/>
              <w:topLinePunct w:val="0"/>
              <w:autoSpaceDE/>
              <w:autoSpaceDN/>
              <w:bidi w:val="0"/>
              <w:adjustRightInd/>
              <w:snapToGrid/>
              <w:spacing w:line="44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评标委员会由</w:t>
            </w:r>
            <w:r>
              <w:rPr>
                <w:rFonts w:hint="eastAsia" w:hAnsi="宋体" w:eastAsia="宋体" w:cs="宋体"/>
                <w:color w:val="auto"/>
                <w:sz w:val="21"/>
                <w:szCs w:val="21"/>
                <w:highlight w:val="none"/>
                <w:lang w:val="en-US" w:eastAsia="zh-CN"/>
              </w:rPr>
              <w:t>招标人依法组建</w:t>
            </w:r>
            <w:r>
              <w:rPr>
                <w:rFonts w:hint="eastAsia" w:ascii="宋体" w:hAnsi="宋体" w:eastAsia="宋体" w:cs="宋体"/>
                <w:color w:val="auto"/>
                <w:sz w:val="21"/>
                <w:szCs w:val="21"/>
                <w:highlight w:val="none"/>
              </w:rPr>
              <w:t>；</w:t>
            </w:r>
          </w:p>
          <w:p w14:paraId="6B4E98E9">
            <w:pPr>
              <w:pStyle w:val="25"/>
              <w:keepNext w:val="0"/>
              <w:keepLines w:val="0"/>
              <w:pageBreakBefore w:val="0"/>
              <w:kinsoku/>
              <w:overflowPunct/>
              <w:topLinePunct w:val="0"/>
              <w:autoSpaceDE/>
              <w:autoSpaceDN/>
              <w:bidi w:val="0"/>
              <w:spacing w:line="440" w:lineRule="exact"/>
              <w:textAlignment w:val="auto"/>
              <w:rPr>
                <w:rFonts w:hint="eastAsia"/>
                <w:color w:val="auto"/>
                <w:szCs w:val="21"/>
                <w:highlight w:val="none"/>
              </w:rPr>
            </w:pPr>
            <w:r>
              <w:rPr>
                <w:rFonts w:hint="eastAsia"/>
                <w:color w:val="auto"/>
                <w:szCs w:val="21"/>
                <w:highlight w:val="none"/>
              </w:rPr>
              <w:t>评标专家确定方式：专家评委由采购人在开标前从专家库中随机抽取。</w:t>
            </w:r>
          </w:p>
        </w:tc>
      </w:tr>
      <w:tr w14:paraId="02D6C8AD">
        <w:tblPrEx>
          <w:tblCellMar>
            <w:top w:w="0" w:type="dxa"/>
            <w:left w:w="0" w:type="dxa"/>
            <w:bottom w:w="0" w:type="dxa"/>
            <w:right w:w="0" w:type="dxa"/>
          </w:tblCellMar>
        </w:tblPrEx>
        <w:trPr>
          <w:trHeight w:val="786" w:hRule="atLeast"/>
        </w:trPr>
        <w:tc>
          <w:tcPr>
            <w:tcW w:w="899" w:type="dxa"/>
            <w:tcBorders>
              <w:top w:val="single" w:color="auto" w:sz="8" w:space="0"/>
              <w:left w:val="single" w:color="auto" w:sz="8" w:space="0"/>
              <w:bottom w:val="single" w:color="auto" w:sz="8" w:space="0"/>
              <w:right w:val="single" w:color="auto" w:sz="8" w:space="0"/>
            </w:tcBorders>
            <w:vAlign w:val="center"/>
          </w:tcPr>
          <w:p w14:paraId="61FD27D9">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18</w:t>
            </w:r>
          </w:p>
        </w:tc>
        <w:tc>
          <w:tcPr>
            <w:tcW w:w="1295" w:type="dxa"/>
            <w:tcBorders>
              <w:top w:val="single" w:color="auto" w:sz="8" w:space="0"/>
              <w:left w:val="single" w:color="auto" w:sz="4" w:space="0"/>
              <w:bottom w:val="single" w:color="auto" w:sz="8" w:space="0"/>
              <w:right w:val="single" w:color="auto" w:sz="4" w:space="0"/>
            </w:tcBorders>
            <w:vAlign w:val="center"/>
          </w:tcPr>
          <w:p w14:paraId="289798AF">
            <w:pPr>
              <w:pStyle w:val="25"/>
              <w:keepNext w:val="0"/>
              <w:keepLines w:val="0"/>
              <w:pageBreakBefore w:val="0"/>
              <w:kinsoku/>
              <w:overflowPunct/>
              <w:topLinePunct w:val="0"/>
              <w:autoSpaceDE/>
              <w:autoSpaceDN/>
              <w:bidi w:val="0"/>
              <w:spacing w:line="440" w:lineRule="exact"/>
              <w:jc w:val="left"/>
              <w:textAlignment w:val="auto"/>
              <w:rPr>
                <w:rFonts w:hint="eastAsia"/>
                <w:color w:val="auto"/>
                <w:szCs w:val="21"/>
                <w:highlight w:val="none"/>
              </w:rPr>
            </w:pPr>
            <w:r>
              <w:rPr>
                <w:rFonts w:hint="eastAsia"/>
                <w:color w:val="auto"/>
                <w:szCs w:val="21"/>
                <w:highlight w:val="none"/>
              </w:rPr>
              <w:t>是否授权评标委员会确定中标候选人</w:t>
            </w:r>
          </w:p>
        </w:tc>
        <w:tc>
          <w:tcPr>
            <w:tcW w:w="7577" w:type="dxa"/>
            <w:tcBorders>
              <w:top w:val="single" w:color="auto" w:sz="8" w:space="0"/>
              <w:left w:val="single" w:color="auto" w:sz="4" w:space="0"/>
              <w:bottom w:val="single" w:color="auto" w:sz="8" w:space="0"/>
              <w:right w:val="single" w:color="auto" w:sz="8" w:space="0"/>
            </w:tcBorders>
            <w:vAlign w:val="center"/>
          </w:tcPr>
          <w:p w14:paraId="50C3E122">
            <w:pPr>
              <w:pStyle w:val="25"/>
              <w:keepNext w:val="0"/>
              <w:keepLines w:val="0"/>
              <w:pageBreakBefore w:val="0"/>
              <w:kinsoku/>
              <w:overflowPunct/>
              <w:topLinePunct w:val="0"/>
              <w:autoSpaceDE/>
              <w:autoSpaceDN/>
              <w:bidi w:val="0"/>
              <w:spacing w:line="440" w:lineRule="exact"/>
              <w:textAlignment w:val="auto"/>
              <w:rPr>
                <w:rFonts w:hint="eastAsia"/>
                <w:color w:val="auto"/>
                <w:szCs w:val="21"/>
                <w:highlight w:val="none"/>
              </w:rPr>
            </w:pPr>
            <w:r>
              <w:rPr>
                <w:rFonts w:hint="eastAsia" w:hAnsi="宋体"/>
                <w:color w:val="auto"/>
                <w:szCs w:val="21"/>
                <w:highlight w:val="none"/>
              </w:rPr>
              <w:t>是，评标委员会推荐</w:t>
            </w:r>
            <w:r>
              <w:rPr>
                <w:rFonts w:hint="eastAsia" w:hAnsi="宋体"/>
                <w:color w:val="auto"/>
                <w:szCs w:val="21"/>
                <w:highlight w:val="none"/>
                <w:u w:val="single" w:color="auto"/>
              </w:rPr>
              <w:t xml:space="preserve"> </w:t>
            </w:r>
            <w:r>
              <w:rPr>
                <w:rFonts w:hint="eastAsia" w:hAnsi="宋体"/>
                <w:color w:val="auto"/>
                <w:szCs w:val="21"/>
                <w:highlight w:val="none"/>
                <w:u w:val="single" w:color="auto"/>
                <w:lang w:val="en-US" w:eastAsia="zh-CN"/>
              </w:rPr>
              <w:t>2</w:t>
            </w:r>
            <w:r>
              <w:rPr>
                <w:rFonts w:hint="eastAsia" w:hAnsi="宋体"/>
                <w:color w:val="auto"/>
                <w:szCs w:val="21"/>
                <w:highlight w:val="none"/>
                <w:u w:val="single" w:color="auto"/>
              </w:rPr>
              <w:t xml:space="preserve"> </w:t>
            </w:r>
            <w:r>
              <w:rPr>
                <w:rFonts w:hint="eastAsia" w:hAnsi="宋体"/>
                <w:color w:val="auto"/>
                <w:szCs w:val="21"/>
                <w:highlight w:val="none"/>
              </w:rPr>
              <w:t>名中标候选人。</w:t>
            </w:r>
          </w:p>
        </w:tc>
      </w:tr>
      <w:tr w14:paraId="191E86E8">
        <w:tblPrEx>
          <w:tblCellMar>
            <w:top w:w="0" w:type="dxa"/>
            <w:left w:w="0" w:type="dxa"/>
            <w:bottom w:w="0" w:type="dxa"/>
            <w:right w:w="0" w:type="dxa"/>
          </w:tblCellMar>
        </w:tblPrEx>
        <w:trPr>
          <w:trHeight w:val="786" w:hRule="atLeast"/>
        </w:trPr>
        <w:tc>
          <w:tcPr>
            <w:tcW w:w="899" w:type="dxa"/>
            <w:tcBorders>
              <w:top w:val="single" w:color="auto" w:sz="8" w:space="0"/>
              <w:left w:val="single" w:color="auto" w:sz="8" w:space="0"/>
              <w:bottom w:val="single" w:color="auto" w:sz="8" w:space="0"/>
              <w:right w:val="single" w:color="auto" w:sz="8" w:space="0"/>
            </w:tcBorders>
            <w:vAlign w:val="center"/>
          </w:tcPr>
          <w:p w14:paraId="1D007CD6">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19</w:t>
            </w:r>
          </w:p>
        </w:tc>
        <w:tc>
          <w:tcPr>
            <w:tcW w:w="1295" w:type="dxa"/>
            <w:tcBorders>
              <w:top w:val="single" w:color="auto" w:sz="8" w:space="0"/>
              <w:left w:val="single" w:color="auto" w:sz="4" w:space="0"/>
              <w:bottom w:val="single" w:color="auto" w:sz="8" w:space="0"/>
              <w:right w:val="single" w:color="auto" w:sz="4" w:space="0"/>
            </w:tcBorders>
            <w:vAlign w:val="center"/>
          </w:tcPr>
          <w:p w14:paraId="77F75070">
            <w:pPr>
              <w:pStyle w:val="25"/>
              <w:keepNext w:val="0"/>
              <w:keepLines w:val="0"/>
              <w:pageBreakBefore w:val="0"/>
              <w:kinsoku/>
              <w:overflowPunct/>
              <w:topLinePunct w:val="0"/>
              <w:autoSpaceDE/>
              <w:autoSpaceDN/>
              <w:bidi w:val="0"/>
              <w:spacing w:line="440" w:lineRule="exact"/>
              <w:jc w:val="left"/>
              <w:textAlignment w:val="auto"/>
              <w:rPr>
                <w:rFonts w:hint="eastAsia"/>
                <w:color w:val="auto"/>
                <w:szCs w:val="21"/>
                <w:highlight w:val="none"/>
              </w:rPr>
            </w:pPr>
            <w:r>
              <w:rPr>
                <w:rFonts w:hint="eastAsia"/>
                <w:color w:val="auto"/>
                <w:szCs w:val="21"/>
                <w:highlight w:val="none"/>
              </w:rPr>
              <w:t>中标结果公告媒介</w:t>
            </w:r>
          </w:p>
        </w:tc>
        <w:tc>
          <w:tcPr>
            <w:tcW w:w="7577" w:type="dxa"/>
            <w:tcBorders>
              <w:top w:val="single" w:color="auto" w:sz="8" w:space="0"/>
              <w:left w:val="single" w:color="auto" w:sz="4" w:space="0"/>
              <w:bottom w:val="single" w:color="auto" w:sz="8" w:space="0"/>
              <w:right w:val="single" w:color="auto" w:sz="8" w:space="0"/>
            </w:tcBorders>
            <w:vAlign w:val="top"/>
          </w:tcPr>
          <w:p w14:paraId="2F0DB711">
            <w:pPr>
              <w:pStyle w:val="25"/>
              <w:keepNext w:val="0"/>
              <w:keepLines w:val="0"/>
              <w:pageBreakBefore w:val="0"/>
              <w:kinsoku/>
              <w:wordWrap w:val="0"/>
              <w:overflowPunct/>
              <w:topLinePunct w:val="0"/>
              <w:autoSpaceDE/>
              <w:autoSpaceDN/>
              <w:bidi w:val="0"/>
              <w:spacing w:line="440" w:lineRule="exact"/>
              <w:textAlignment w:val="auto"/>
              <w:rPr>
                <w:rFonts w:hint="eastAsia"/>
                <w:color w:val="auto"/>
                <w:szCs w:val="21"/>
                <w:highlight w:val="none"/>
              </w:rPr>
            </w:pPr>
            <w:r>
              <w:rPr>
                <w:rFonts w:hint="eastAsia" w:ascii="宋体" w:hAnsi="宋体" w:eastAsia="宋体" w:cs="宋体"/>
                <w:color w:val="auto"/>
                <w:sz w:val="21"/>
                <w:szCs w:val="21"/>
                <w:highlight w:val="none"/>
              </w:rPr>
              <w:t>滁州市城投工程咨询管理有限公司</w:t>
            </w:r>
            <w:r>
              <w:rPr>
                <w:rFonts w:hint="eastAsia"/>
                <w:color w:val="auto"/>
                <w:szCs w:val="21"/>
                <w:highlight w:val="none"/>
              </w:rPr>
              <w:t>（https://www.czctgczx.com/）</w:t>
            </w:r>
            <w:r>
              <w:rPr>
                <w:rFonts w:hint="eastAsia"/>
                <w:color w:val="auto"/>
                <w:szCs w:val="21"/>
                <w:highlight w:val="none"/>
                <w:lang w:eastAsia="zh-CN"/>
              </w:rPr>
              <w:t>、</w:t>
            </w:r>
            <w:r>
              <w:rPr>
                <w:rFonts w:hint="eastAsia" w:ascii="宋体" w:hAnsi="宋体" w:eastAsia="宋体" w:cs="宋体"/>
                <w:color w:val="auto"/>
                <w:szCs w:val="21"/>
                <w:highlight w:val="none"/>
              </w:rPr>
              <w:t>滁州市重点工程建设管理处（http://zdc.chuzhou.gov.cn/）</w:t>
            </w:r>
            <w:r>
              <w:rPr>
                <w:rFonts w:hint="eastAsia"/>
                <w:color w:val="auto"/>
                <w:spacing w:val="-4"/>
                <w:szCs w:val="21"/>
                <w:highlight w:val="none"/>
              </w:rPr>
              <w:t>等网站</w:t>
            </w:r>
          </w:p>
        </w:tc>
      </w:tr>
      <w:tr w14:paraId="6EA640C0">
        <w:tblPrEx>
          <w:tblCellMar>
            <w:top w:w="0" w:type="dxa"/>
            <w:left w:w="0" w:type="dxa"/>
            <w:bottom w:w="0" w:type="dxa"/>
            <w:right w:w="0" w:type="dxa"/>
          </w:tblCellMar>
        </w:tblPrEx>
        <w:trPr>
          <w:trHeight w:val="478" w:hRule="atLeast"/>
        </w:trPr>
        <w:tc>
          <w:tcPr>
            <w:tcW w:w="899" w:type="dxa"/>
            <w:tcBorders>
              <w:top w:val="single" w:color="auto" w:sz="8" w:space="0"/>
              <w:left w:val="single" w:color="auto" w:sz="8" w:space="0"/>
              <w:bottom w:val="single" w:color="auto" w:sz="8" w:space="0"/>
              <w:right w:val="single" w:color="auto" w:sz="8" w:space="0"/>
            </w:tcBorders>
            <w:vAlign w:val="center"/>
          </w:tcPr>
          <w:p w14:paraId="300286F8">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20</w:t>
            </w:r>
          </w:p>
        </w:tc>
        <w:tc>
          <w:tcPr>
            <w:tcW w:w="1295" w:type="dxa"/>
            <w:tcBorders>
              <w:top w:val="single" w:color="auto" w:sz="8" w:space="0"/>
              <w:left w:val="single" w:color="auto" w:sz="4" w:space="0"/>
              <w:bottom w:val="single" w:color="auto" w:sz="8" w:space="0"/>
              <w:right w:val="single" w:color="auto" w:sz="4" w:space="0"/>
            </w:tcBorders>
            <w:vAlign w:val="center"/>
          </w:tcPr>
          <w:p w14:paraId="5C02703D">
            <w:pPr>
              <w:keepNext w:val="0"/>
              <w:keepLines w:val="0"/>
              <w:pageBreakBefore w:val="0"/>
              <w:kinsoku/>
              <w:overflowPunct/>
              <w:topLinePunct w:val="0"/>
              <w:autoSpaceDE/>
              <w:autoSpaceDN/>
              <w:bidi w:val="0"/>
              <w:spacing w:line="440" w:lineRule="exact"/>
              <w:jc w:val="left"/>
              <w:textAlignment w:val="auto"/>
              <w:rPr>
                <w:rFonts w:hint="eastAsia"/>
                <w:color w:val="auto"/>
                <w:szCs w:val="21"/>
                <w:highlight w:val="none"/>
              </w:rPr>
            </w:pPr>
            <w:r>
              <w:rPr>
                <w:rFonts w:hint="eastAsia" w:ascii="宋体"/>
                <w:color w:val="auto"/>
                <w:szCs w:val="21"/>
                <w:highlight w:val="none"/>
              </w:rPr>
              <w:t>履约担保</w:t>
            </w:r>
          </w:p>
        </w:tc>
        <w:tc>
          <w:tcPr>
            <w:tcW w:w="7577" w:type="dxa"/>
            <w:tcBorders>
              <w:top w:val="single" w:color="auto" w:sz="8" w:space="0"/>
              <w:left w:val="single" w:color="auto" w:sz="4" w:space="0"/>
              <w:bottom w:val="single" w:color="auto" w:sz="8" w:space="0"/>
              <w:right w:val="single" w:color="auto" w:sz="8" w:space="0"/>
            </w:tcBorders>
            <w:vAlign w:val="center"/>
          </w:tcPr>
          <w:p w14:paraId="492E7E00">
            <w:pPr>
              <w:keepNext w:val="0"/>
              <w:keepLines w:val="0"/>
              <w:pageBreakBefore w:val="0"/>
              <w:widowControl/>
              <w:kinsoku/>
              <w:overflowPunct/>
              <w:topLinePunct w:val="0"/>
              <w:autoSpaceDE/>
              <w:autoSpaceDN/>
              <w:bidi w:val="0"/>
              <w:spacing w:line="440" w:lineRule="exact"/>
              <w:jc w:val="both"/>
              <w:textAlignment w:val="auto"/>
              <w:rPr>
                <w:rFonts w:hint="eastAsia"/>
                <w:color w:val="auto"/>
                <w:szCs w:val="21"/>
                <w:highlight w:val="none"/>
              </w:rPr>
            </w:pPr>
            <w:r>
              <w:rPr>
                <w:rFonts w:hint="eastAsia"/>
                <w:color w:val="auto"/>
                <w:szCs w:val="21"/>
                <w:highlight w:val="none"/>
              </w:rPr>
              <w:t>是否收取履约担保：□收取，</w:t>
            </w:r>
            <w:r>
              <w:rPr>
                <w:rFonts w:hint="eastAsia"/>
                <w:color w:val="auto"/>
                <w:szCs w:val="21"/>
                <w:highlight w:val="none"/>
              </w:rPr>
              <w:sym w:font="Wingdings 2" w:char="0052"/>
            </w:r>
            <w:r>
              <w:rPr>
                <w:rFonts w:hint="eastAsia"/>
                <w:color w:val="auto"/>
                <w:szCs w:val="21"/>
                <w:highlight w:val="none"/>
              </w:rPr>
              <w:t>不收取</w:t>
            </w:r>
          </w:p>
        </w:tc>
      </w:tr>
      <w:tr w14:paraId="361F7F39">
        <w:tblPrEx>
          <w:tblCellMar>
            <w:top w:w="0" w:type="dxa"/>
            <w:left w:w="0" w:type="dxa"/>
            <w:bottom w:w="0" w:type="dxa"/>
            <w:right w:w="0" w:type="dxa"/>
          </w:tblCellMar>
        </w:tblPrEx>
        <w:trPr>
          <w:trHeight w:val="478" w:hRule="atLeast"/>
        </w:trPr>
        <w:tc>
          <w:tcPr>
            <w:tcW w:w="9771" w:type="dxa"/>
            <w:gridSpan w:val="3"/>
            <w:tcBorders>
              <w:top w:val="single" w:color="auto" w:sz="8" w:space="0"/>
              <w:left w:val="single" w:color="auto" w:sz="8" w:space="0"/>
              <w:bottom w:val="single" w:color="auto" w:sz="8" w:space="0"/>
              <w:right w:val="single" w:color="auto" w:sz="8" w:space="0"/>
            </w:tcBorders>
            <w:vAlign w:val="center"/>
          </w:tcPr>
          <w:p w14:paraId="4E9DEB7B">
            <w:pPr>
              <w:keepNext w:val="0"/>
              <w:keepLines w:val="0"/>
              <w:pageBreakBefore w:val="0"/>
              <w:widowControl/>
              <w:kinsoku/>
              <w:overflowPunct/>
              <w:topLinePunct w:val="0"/>
              <w:autoSpaceDE/>
              <w:autoSpaceDN/>
              <w:bidi w:val="0"/>
              <w:spacing w:line="440" w:lineRule="exact"/>
              <w:jc w:val="center"/>
              <w:textAlignment w:val="auto"/>
              <w:rPr>
                <w:rFonts w:hint="eastAsia"/>
                <w:color w:val="auto"/>
                <w:szCs w:val="21"/>
                <w:highlight w:val="none"/>
              </w:rPr>
            </w:pPr>
            <w:r>
              <w:rPr>
                <w:rFonts w:hint="eastAsia" w:ascii="宋体" w:hAnsi="宋体" w:eastAsia="宋体" w:cs="宋体"/>
                <w:b/>
                <w:bCs/>
                <w:color w:val="auto"/>
                <w:sz w:val="21"/>
                <w:szCs w:val="21"/>
                <w:highlight w:val="none"/>
              </w:rPr>
              <w:t>需要补充的其他内容</w:t>
            </w:r>
          </w:p>
        </w:tc>
      </w:tr>
      <w:tr w14:paraId="1140AE85">
        <w:tblPrEx>
          <w:tblCellMar>
            <w:top w:w="0" w:type="dxa"/>
            <w:left w:w="0" w:type="dxa"/>
            <w:bottom w:w="0" w:type="dxa"/>
            <w:right w:w="0" w:type="dxa"/>
          </w:tblCellMar>
        </w:tblPrEx>
        <w:trPr>
          <w:trHeight w:val="167" w:hRule="atLeast"/>
        </w:trPr>
        <w:tc>
          <w:tcPr>
            <w:tcW w:w="2194" w:type="dxa"/>
            <w:gridSpan w:val="2"/>
            <w:tcBorders>
              <w:top w:val="single" w:color="auto" w:sz="8" w:space="0"/>
              <w:left w:val="single" w:color="auto" w:sz="8" w:space="0"/>
              <w:bottom w:val="single" w:color="auto" w:sz="8" w:space="0"/>
              <w:right w:val="single" w:color="auto" w:sz="4" w:space="0"/>
            </w:tcBorders>
            <w:vAlign w:val="center"/>
          </w:tcPr>
          <w:p w14:paraId="741EEFE9">
            <w:pPr>
              <w:keepNext w:val="0"/>
              <w:keepLines w:val="0"/>
              <w:pageBreakBefore w:val="0"/>
              <w:kinsoku/>
              <w:overflowPunct/>
              <w:topLinePunct w:val="0"/>
              <w:autoSpaceDE/>
              <w:autoSpaceDN/>
              <w:bidi w:val="0"/>
              <w:spacing w:line="44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rPr>
              <w:t>电子招标投标</w:t>
            </w:r>
          </w:p>
        </w:tc>
        <w:tc>
          <w:tcPr>
            <w:tcW w:w="7577" w:type="dxa"/>
            <w:tcBorders>
              <w:top w:val="single" w:color="auto" w:sz="8" w:space="0"/>
              <w:left w:val="single" w:color="auto" w:sz="4" w:space="0"/>
              <w:bottom w:val="single" w:color="auto" w:sz="8" w:space="0"/>
              <w:right w:val="single" w:color="auto" w:sz="8" w:space="0"/>
            </w:tcBorders>
            <w:vAlign w:val="center"/>
          </w:tcPr>
          <w:p w14:paraId="57193DD9">
            <w:pPr>
              <w:keepNext w:val="0"/>
              <w:keepLines w:val="0"/>
              <w:pageBreakBefore w:val="0"/>
              <w:kinsoku/>
              <w:overflowPunct/>
              <w:topLinePunct w:val="0"/>
              <w:autoSpaceDE/>
              <w:autoSpaceDN/>
              <w:bidi w:val="0"/>
              <w:spacing w:line="440" w:lineRule="exact"/>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eq \o\ac(</w:instrText>
            </w:r>
            <w:r>
              <w:rPr>
                <w:rFonts w:hint="eastAsia" w:ascii="宋体" w:hAnsi="宋体" w:eastAsia="宋体" w:cs="宋体"/>
                <w:color w:val="auto"/>
                <w:position w:val="-4"/>
                <w:sz w:val="31"/>
                <w:szCs w:val="21"/>
                <w:highlight w:val="none"/>
              </w:rPr>
              <w:instrText xml:space="preserve">□</w:instrText>
            </w:r>
            <w:r>
              <w:rPr>
                <w:rFonts w:hint="eastAsia" w:ascii="宋体" w:hAnsi="宋体" w:eastAsia="宋体" w:cs="宋体"/>
                <w:color w:val="auto"/>
                <w:position w:val="0"/>
                <w:sz w:val="21"/>
                <w:szCs w:val="21"/>
                <w:highlight w:val="none"/>
              </w:rPr>
              <w:instrText xml:space="preserve">)</w:instrTex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 xml:space="preserve">否；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是，具体要求：按招标文件规定。</w:t>
            </w:r>
          </w:p>
        </w:tc>
      </w:tr>
      <w:tr w14:paraId="53DD2192">
        <w:tblPrEx>
          <w:tblCellMar>
            <w:top w:w="0" w:type="dxa"/>
            <w:left w:w="0" w:type="dxa"/>
            <w:bottom w:w="0" w:type="dxa"/>
            <w:right w:w="0" w:type="dxa"/>
          </w:tblCellMar>
        </w:tblPrEx>
        <w:trPr>
          <w:trHeight w:val="167" w:hRule="atLeast"/>
        </w:trPr>
        <w:tc>
          <w:tcPr>
            <w:tcW w:w="2194" w:type="dxa"/>
            <w:gridSpan w:val="2"/>
            <w:tcBorders>
              <w:top w:val="single" w:color="auto" w:sz="8" w:space="0"/>
              <w:left w:val="single" w:color="auto" w:sz="8" w:space="0"/>
              <w:bottom w:val="single" w:color="auto" w:sz="8" w:space="0"/>
              <w:right w:val="single" w:color="auto" w:sz="4" w:space="0"/>
            </w:tcBorders>
            <w:vAlign w:val="center"/>
          </w:tcPr>
          <w:p w14:paraId="0E373B36">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限制投标情形</w:t>
            </w:r>
          </w:p>
        </w:tc>
        <w:tc>
          <w:tcPr>
            <w:tcW w:w="7577" w:type="dxa"/>
            <w:tcBorders>
              <w:top w:val="single" w:color="auto" w:sz="8" w:space="0"/>
              <w:left w:val="single" w:color="auto" w:sz="4" w:space="0"/>
              <w:bottom w:val="single" w:color="auto" w:sz="8" w:space="0"/>
              <w:right w:val="single" w:color="auto" w:sz="8" w:space="0"/>
            </w:tcBorders>
            <w:vAlign w:val="center"/>
          </w:tcPr>
          <w:p w14:paraId="544763DD">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1.限制近两年内在承接我单位工程造价、审计结算等业务过程中，因工作疏漏对我单位产生不良影响的咨询公司参加投标。</w:t>
            </w:r>
          </w:p>
          <w:p w14:paraId="148E1483">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2.在滁州市重点工程管理处限制承揽业务期限内的企业不予参加。</w:t>
            </w:r>
          </w:p>
          <w:p w14:paraId="38C5E71F">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3.被市重点处列入“不良行为企业名单”和“暂停委托项目跟踪审计的工程造价咨询企业名单”的单位不得参加。</w:t>
            </w:r>
          </w:p>
          <w:p w14:paraId="34C31394">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4.本项目招标代理单位、清单控制价编制单位、监理单位及项目跟踪审计不得参加投标。</w:t>
            </w:r>
          </w:p>
        </w:tc>
      </w:tr>
      <w:tr w14:paraId="234C8D6C">
        <w:tblPrEx>
          <w:tblCellMar>
            <w:top w:w="0" w:type="dxa"/>
            <w:left w:w="0" w:type="dxa"/>
            <w:bottom w:w="0" w:type="dxa"/>
            <w:right w:w="0" w:type="dxa"/>
          </w:tblCellMar>
        </w:tblPrEx>
        <w:trPr>
          <w:trHeight w:val="167" w:hRule="atLeast"/>
        </w:trPr>
        <w:tc>
          <w:tcPr>
            <w:tcW w:w="2194" w:type="dxa"/>
            <w:gridSpan w:val="2"/>
            <w:tcBorders>
              <w:top w:val="single" w:color="auto" w:sz="8" w:space="0"/>
              <w:left w:val="single" w:color="auto" w:sz="8" w:space="0"/>
              <w:bottom w:val="single" w:color="auto" w:sz="8" w:space="0"/>
              <w:right w:val="single" w:color="auto" w:sz="4" w:space="0"/>
            </w:tcBorders>
            <w:vAlign w:val="center"/>
          </w:tcPr>
          <w:p w14:paraId="359C7E42">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特别要求</w:t>
            </w:r>
          </w:p>
        </w:tc>
        <w:tc>
          <w:tcPr>
            <w:tcW w:w="7577" w:type="dxa"/>
            <w:tcBorders>
              <w:top w:val="single" w:color="auto" w:sz="8" w:space="0"/>
              <w:left w:val="single" w:color="auto" w:sz="4" w:space="0"/>
              <w:bottom w:val="single" w:color="auto" w:sz="8" w:space="0"/>
              <w:right w:val="single" w:color="auto" w:sz="8" w:space="0"/>
            </w:tcBorders>
            <w:vAlign w:val="center"/>
          </w:tcPr>
          <w:p w14:paraId="4E0E6A65">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1、项目建设期间，相关部门将对跟踪审计工作进行不定期检查，如发现有不符合《跟踪审计委托协议》相关工作要求的行为，将按照约定给予相应的处罚。</w:t>
            </w:r>
          </w:p>
          <w:p w14:paraId="64C927B7">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2、本项目执行《工程造价咨询服务管理办法》中相关规定</w:t>
            </w:r>
            <w:r>
              <w:rPr>
                <w:rFonts w:hint="eastAsia" w:ascii="宋体" w:hAnsi="宋体" w:cs="宋体"/>
                <w:color w:val="auto"/>
                <w:kern w:val="0"/>
                <w:sz w:val="21"/>
                <w:szCs w:val="21"/>
                <w:highlight w:val="none"/>
                <w:lang w:val="en-US" w:eastAsia="zh-CN"/>
              </w:rPr>
              <w:t>。</w:t>
            </w:r>
          </w:p>
          <w:p w14:paraId="1470349C">
            <w:pPr>
              <w:pStyle w:val="2"/>
              <w:keepNext w:val="0"/>
              <w:keepLines w:val="0"/>
              <w:pageBreakBefore w:val="0"/>
              <w:kinsoku/>
              <w:overflowPunct/>
              <w:topLinePunct w:val="0"/>
              <w:autoSpaceDE/>
              <w:autoSpaceDN/>
              <w:bidi w:val="0"/>
              <w:spacing w:line="440" w:lineRule="exact"/>
              <w:ind w:left="0" w:leftChars="0" w:firstLine="0" w:firstLineChars="0"/>
              <w:textAlignment w:val="auto"/>
              <w:rPr>
                <w:rFonts w:hint="default"/>
                <w:b/>
                <w:bCs/>
                <w:color w:val="auto"/>
                <w:highlight w:val="none"/>
                <w:lang w:val="en-US" w:eastAsia="zh-CN"/>
              </w:rPr>
            </w:pPr>
            <w:r>
              <w:rPr>
                <w:rFonts w:hint="eastAsia" w:ascii="宋体" w:hAnsi="宋体" w:cs="宋体"/>
                <w:b/>
                <w:bCs/>
                <w:color w:val="auto"/>
                <w:kern w:val="0"/>
                <w:sz w:val="21"/>
                <w:szCs w:val="21"/>
                <w:highlight w:val="none"/>
                <w:lang w:val="en-US" w:eastAsia="zh-CN"/>
              </w:rPr>
              <w:t>3、本项目工程款结算仅支付给中标单位，不支持支付给授权的分公司、子公司等分支机构。（请款所提供的发票名称须与中标单位名称保持一致）。</w:t>
            </w:r>
          </w:p>
          <w:p w14:paraId="45103D70">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lang w:val="en-US" w:eastAsia="zh-CN"/>
              </w:rPr>
              <w:t>、中标单位项目组人员变更，变更后人员必须满足本项目招标要求。由中标单位向综合计划科提出申请并提供相应证明，由中标单位向业主单位提出申请并提供相应证明，业主单位会商提出意见，报业主单位领导批准后予以备案。</w:t>
            </w:r>
          </w:p>
          <w:p w14:paraId="0599FC0E">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项目组负责人因以下原因变更不予处罚：①亡故；②重病（或重伤）三个月以上，不能履行职责；③受到刑事或行政处罚，不能胜任；④犯罪被羁押或判刑；⑤被责令停止职业资格。其他原因，造价企业须缴纳2万元违约金。</w:t>
            </w:r>
          </w:p>
        </w:tc>
      </w:tr>
      <w:tr w14:paraId="6E099D79">
        <w:tblPrEx>
          <w:tblCellMar>
            <w:top w:w="0" w:type="dxa"/>
            <w:left w:w="0" w:type="dxa"/>
            <w:bottom w:w="0" w:type="dxa"/>
            <w:right w:w="0" w:type="dxa"/>
          </w:tblCellMar>
        </w:tblPrEx>
        <w:trPr>
          <w:trHeight w:val="167" w:hRule="atLeast"/>
        </w:trPr>
        <w:tc>
          <w:tcPr>
            <w:tcW w:w="2194" w:type="dxa"/>
            <w:gridSpan w:val="2"/>
            <w:tcBorders>
              <w:top w:val="single" w:color="auto" w:sz="8" w:space="0"/>
              <w:left w:val="single" w:color="auto" w:sz="8" w:space="0"/>
              <w:bottom w:val="single" w:color="auto" w:sz="8" w:space="0"/>
              <w:right w:val="single" w:color="auto" w:sz="4" w:space="0"/>
            </w:tcBorders>
            <w:vAlign w:val="center"/>
          </w:tcPr>
          <w:p w14:paraId="70D745D3">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付款方式</w:t>
            </w:r>
          </w:p>
        </w:tc>
        <w:tc>
          <w:tcPr>
            <w:tcW w:w="7577" w:type="dxa"/>
            <w:tcBorders>
              <w:top w:val="single" w:color="auto" w:sz="8" w:space="0"/>
              <w:left w:val="single" w:color="auto" w:sz="4" w:space="0"/>
              <w:bottom w:val="single" w:color="auto" w:sz="8" w:space="0"/>
              <w:right w:val="single" w:color="auto" w:sz="8" w:space="0"/>
            </w:tcBorders>
            <w:vAlign w:val="center"/>
          </w:tcPr>
          <w:p w14:paraId="67DB5D0C">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出具审核报告，交付招标人初审确认，报经招标人备案审查通过后，按照招标人审查备案金额结算支付审计服务费用。（注：发包人请款额度须在政府资金调度会批准且发票送达后完成支付）。</w:t>
            </w:r>
          </w:p>
        </w:tc>
      </w:tr>
      <w:tr w14:paraId="25B900FF">
        <w:tblPrEx>
          <w:tblCellMar>
            <w:top w:w="0" w:type="dxa"/>
            <w:left w:w="0" w:type="dxa"/>
            <w:bottom w:w="0" w:type="dxa"/>
            <w:right w:w="0" w:type="dxa"/>
          </w:tblCellMar>
        </w:tblPrEx>
        <w:trPr>
          <w:trHeight w:val="167" w:hRule="atLeast"/>
        </w:trPr>
        <w:tc>
          <w:tcPr>
            <w:tcW w:w="2194" w:type="dxa"/>
            <w:gridSpan w:val="2"/>
            <w:tcBorders>
              <w:top w:val="single" w:color="auto" w:sz="8" w:space="0"/>
              <w:left w:val="single" w:color="auto" w:sz="8" w:space="0"/>
              <w:bottom w:val="single" w:color="auto" w:sz="8" w:space="0"/>
              <w:right w:val="single" w:color="auto" w:sz="4" w:space="0"/>
            </w:tcBorders>
            <w:vAlign w:val="center"/>
          </w:tcPr>
          <w:p w14:paraId="5CE4694A">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cs="宋体"/>
                <w:b/>
                <w:bCs/>
                <w:color w:val="auto"/>
                <w:kern w:val="0"/>
                <w:sz w:val="21"/>
                <w:szCs w:val="21"/>
                <w:highlight w:val="none"/>
                <w:lang w:val="en-US" w:eastAsia="zh-CN"/>
              </w:rPr>
              <w:t>招标代理费及专家评审费</w:t>
            </w:r>
          </w:p>
        </w:tc>
        <w:tc>
          <w:tcPr>
            <w:tcW w:w="7577" w:type="dxa"/>
            <w:tcBorders>
              <w:top w:val="single" w:color="auto" w:sz="8" w:space="0"/>
              <w:left w:val="single" w:color="auto" w:sz="4" w:space="0"/>
              <w:bottom w:val="single" w:color="auto" w:sz="8" w:space="0"/>
              <w:right w:val="single" w:color="auto" w:sz="8" w:space="0"/>
            </w:tcBorders>
            <w:vAlign w:val="center"/>
          </w:tcPr>
          <w:p w14:paraId="63D232A1">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本项目招标代理服务费用</w:t>
            </w:r>
            <w:r>
              <w:rPr>
                <w:rFonts w:hint="eastAsia" w:ascii="宋体" w:hAnsi="宋体" w:cs="宋体"/>
                <w:color w:val="auto"/>
                <w:kern w:val="0"/>
                <w:sz w:val="21"/>
                <w:szCs w:val="21"/>
                <w:highlight w:val="none"/>
                <w:lang w:val="en-US" w:eastAsia="zh-CN"/>
              </w:rPr>
              <w:t>1000</w:t>
            </w:r>
            <w:r>
              <w:rPr>
                <w:rFonts w:hint="eastAsia" w:ascii="宋体" w:hAnsi="宋体" w:cs="宋体"/>
                <w:color w:val="auto"/>
                <w:kern w:val="0"/>
                <w:sz w:val="21"/>
                <w:szCs w:val="21"/>
                <w:highlight w:val="none"/>
                <w:lang w:val="en-US" w:eastAsia="zh-CN"/>
              </w:rPr>
              <w:t>元，专家评审费另计（最终以实际发生为准，按实计收），中标单位在领取中标通知书前一次性支付给代理公司</w:t>
            </w:r>
            <w:r>
              <w:rPr>
                <w:rFonts w:hint="eastAsia" w:ascii="宋体" w:hAnsi="宋体" w:cs="宋体"/>
                <w:b/>
                <w:bCs/>
                <w:color w:val="auto"/>
                <w:kern w:val="0"/>
                <w:sz w:val="21"/>
                <w:szCs w:val="21"/>
                <w:highlight w:val="none"/>
                <w:lang w:val="en-US" w:eastAsia="zh-CN"/>
              </w:rPr>
              <w:t>。</w:t>
            </w:r>
          </w:p>
        </w:tc>
      </w:tr>
      <w:tr w14:paraId="6C5E33CA">
        <w:tblPrEx>
          <w:tblCellMar>
            <w:top w:w="0" w:type="dxa"/>
            <w:left w:w="0" w:type="dxa"/>
            <w:bottom w:w="0" w:type="dxa"/>
            <w:right w:w="0" w:type="dxa"/>
          </w:tblCellMar>
        </w:tblPrEx>
        <w:trPr>
          <w:trHeight w:val="167" w:hRule="atLeast"/>
        </w:trPr>
        <w:tc>
          <w:tcPr>
            <w:tcW w:w="2194" w:type="dxa"/>
            <w:gridSpan w:val="2"/>
            <w:tcBorders>
              <w:top w:val="single" w:color="auto" w:sz="8" w:space="0"/>
              <w:left w:val="single" w:color="auto" w:sz="8" w:space="0"/>
              <w:bottom w:val="single" w:color="auto" w:sz="8" w:space="0"/>
              <w:right w:val="single" w:color="auto" w:sz="4" w:space="0"/>
            </w:tcBorders>
            <w:vAlign w:val="center"/>
          </w:tcPr>
          <w:p w14:paraId="7DBB6D63">
            <w:pPr>
              <w:keepNext w:val="0"/>
              <w:keepLines w:val="0"/>
              <w:pageBreakBefore w:val="0"/>
              <w:widowControl/>
              <w:kinsoku/>
              <w:overflowPunct/>
              <w:topLinePunct w:val="0"/>
              <w:autoSpaceDE/>
              <w:autoSpaceDN/>
              <w:bidi w:val="0"/>
              <w:spacing w:line="440" w:lineRule="exact"/>
              <w:jc w:val="left"/>
              <w:textAlignment w:val="auto"/>
              <w:rPr>
                <w:rFonts w:hint="eastAsia" w:ascii="宋体" w:hAnsi="宋体" w:cs="宋体"/>
                <w:b/>
                <w:bCs/>
                <w:color w:val="auto"/>
                <w:kern w:val="0"/>
                <w:sz w:val="21"/>
                <w:szCs w:val="21"/>
                <w:highlight w:val="none"/>
                <w:lang w:val="en-US" w:eastAsia="zh-CN"/>
              </w:rPr>
            </w:pPr>
            <w:r>
              <w:rPr>
                <w:rFonts w:hint="eastAsia" w:ascii="宋体" w:hAnsi="宋体" w:cs="宋体"/>
                <w:color w:val="auto"/>
                <w:szCs w:val="21"/>
                <w:highlight w:val="none"/>
              </w:rPr>
              <w:t>评标过程中的澄清、说明或补正</w:t>
            </w:r>
          </w:p>
        </w:tc>
        <w:tc>
          <w:tcPr>
            <w:tcW w:w="7577" w:type="dxa"/>
            <w:tcBorders>
              <w:top w:val="single" w:color="auto" w:sz="8" w:space="0"/>
              <w:left w:val="single" w:color="auto" w:sz="4" w:space="0"/>
              <w:bottom w:val="single" w:color="auto" w:sz="8" w:space="0"/>
              <w:right w:val="single" w:color="auto" w:sz="8" w:space="0"/>
            </w:tcBorders>
            <w:vAlign w:val="center"/>
          </w:tcPr>
          <w:p w14:paraId="22C167F8">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rPr>
              <w:t>1</w:t>
            </w:r>
            <w:r>
              <w:rPr>
                <w:rFonts w:hint="eastAsia" w:ascii="宋体" w:hAnsi="宋体" w:cs="宋体"/>
                <w:color w:val="auto"/>
                <w:szCs w:val="21"/>
                <w:highlight w:val="none"/>
              </w:rPr>
              <w:t>）评标委员会通过</w:t>
            </w:r>
            <w:r>
              <w:rPr>
                <w:rFonts w:hint="eastAsia" w:ascii="宋体" w:hAnsi="宋体" w:cs="宋体"/>
                <w:color w:val="auto"/>
                <w:szCs w:val="21"/>
                <w:highlight w:val="none"/>
                <w:lang w:val="en-US"/>
              </w:rPr>
              <w:t>网上招投标</w:t>
            </w:r>
            <w:r>
              <w:rPr>
                <w:rFonts w:hint="eastAsia" w:ascii="宋体" w:hAnsi="宋体" w:cs="宋体"/>
                <w:color w:val="auto"/>
                <w:szCs w:val="21"/>
                <w:highlight w:val="none"/>
              </w:rPr>
              <w:t>系统将需要澄清、说明或补正的内容以询标函的形式发送给投标人，投标人应安排专人登录</w:t>
            </w:r>
            <w:r>
              <w:rPr>
                <w:rFonts w:hint="eastAsia" w:ascii="宋体" w:hAnsi="宋体" w:cs="宋体"/>
                <w:color w:val="auto"/>
                <w:szCs w:val="21"/>
                <w:highlight w:val="none"/>
                <w:lang w:val="en-US"/>
              </w:rPr>
              <w:t>网上招投标</w:t>
            </w:r>
            <w:r>
              <w:rPr>
                <w:rFonts w:hint="eastAsia" w:ascii="宋体" w:hAnsi="宋体" w:cs="宋体"/>
                <w:color w:val="auto"/>
                <w:szCs w:val="21"/>
                <w:highlight w:val="none"/>
              </w:rPr>
              <w:t>系统并保持在线状态，以便及时接收评标委员会可能发出的询标函。</w:t>
            </w:r>
          </w:p>
          <w:p w14:paraId="6C77080F">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cs="宋体"/>
                <w:color w:val="auto"/>
                <w:kern w:val="0"/>
                <w:sz w:val="21"/>
                <w:szCs w:val="21"/>
                <w:highlight w:val="none"/>
                <w:lang w:val="en-US" w:eastAsia="zh-CN"/>
              </w:rPr>
            </w:pPr>
            <w:r>
              <w:rPr>
                <w:rFonts w:hint="eastAsia" w:ascii="宋体" w:hAnsi="宋体" w:cs="宋体"/>
                <w:color w:val="auto"/>
                <w:szCs w:val="21"/>
                <w:highlight w:val="none"/>
              </w:rPr>
              <w:t>（</w:t>
            </w:r>
            <w:r>
              <w:rPr>
                <w:rFonts w:hint="eastAsia" w:ascii="宋体" w:hAnsi="宋体" w:cs="宋体"/>
                <w:color w:val="auto"/>
                <w:szCs w:val="21"/>
                <w:highlight w:val="none"/>
                <w:lang w:val="en-US"/>
              </w:rPr>
              <w:t>2</w:t>
            </w:r>
            <w:r>
              <w:rPr>
                <w:rFonts w:hint="eastAsia" w:ascii="宋体" w:hAnsi="宋体" w:cs="宋体"/>
                <w:color w:val="auto"/>
                <w:szCs w:val="21"/>
                <w:highlight w:val="none"/>
              </w:rPr>
              <w:t>）因投标人未登录</w:t>
            </w:r>
            <w:r>
              <w:rPr>
                <w:rFonts w:hint="eastAsia" w:ascii="宋体" w:hAnsi="宋体" w:cs="宋体"/>
                <w:color w:val="auto"/>
                <w:szCs w:val="21"/>
                <w:highlight w:val="none"/>
                <w:lang w:val="en-US"/>
              </w:rPr>
              <w:t>网上招投标</w:t>
            </w:r>
            <w:r>
              <w:rPr>
                <w:rFonts w:hint="eastAsia" w:ascii="宋体" w:hAnsi="宋体" w:cs="宋体"/>
                <w:color w:val="auto"/>
                <w:szCs w:val="21"/>
                <w:highlight w:val="none"/>
              </w:rPr>
              <w:t>系统导致无法及时接收询标函（远程网上询标）或未在规定时间内按评标委员会要求进行澄清、说明或补正内容的视同投标人放弃澄清、说明或补正内容的权利，评标委员会可按对投标人不利的解释进行判定。</w:t>
            </w:r>
          </w:p>
        </w:tc>
      </w:tr>
      <w:tr w14:paraId="13ECDB9B">
        <w:tblPrEx>
          <w:tblCellMar>
            <w:top w:w="0" w:type="dxa"/>
            <w:left w:w="0" w:type="dxa"/>
            <w:bottom w:w="0" w:type="dxa"/>
            <w:right w:w="0" w:type="dxa"/>
          </w:tblCellMar>
        </w:tblPrEx>
        <w:trPr>
          <w:trHeight w:val="167" w:hRule="atLeast"/>
        </w:trPr>
        <w:tc>
          <w:tcPr>
            <w:tcW w:w="2194" w:type="dxa"/>
            <w:gridSpan w:val="2"/>
            <w:tcBorders>
              <w:top w:val="single" w:color="auto" w:sz="8" w:space="0"/>
              <w:left w:val="single" w:color="auto" w:sz="8" w:space="0"/>
              <w:bottom w:val="single" w:color="auto" w:sz="8" w:space="0"/>
              <w:right w:val="single" w:color="auto" w:sz="4" w:space="0"/>
            </w:tcBorders>
            <w:vAlign w:val="center"/>
          </w:tcPr>
          <w:p w14:paraId="06CCFD68">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cs="宋体"/>
                <w:color w:val="auto"/>
                <w:szCs w:val="21"/>
                <w:highlight w:val="none"/>
              </w:rPr>
            </w:pPr>
            <w:r>
              <w:rPr>
                <w:rFonts w:hint="eastAsia"/>
                <w:color w:val="auto"/>
                <w:highlight w:val="none"/>
                <w:lang w:val="en-US" w:eastAsia="zh-CN"/>
              </w:rPr>
              <w:t>投标软件下载</w:t>
            </w:r>
          </w:p>
        </w:tc>
        <w:tc>
          <w:tcPr>
            <w:tcW w:w="7577" w:type="dxa"/>
            <w:tcBorders>
              <w:top w:val="single" w:color="auto" w:sz="8" w:space="0"/>
              <w:left w:val="single" w:color="auto" w:sz="4" w:space="0"/>
              <w:bottom w:val="single" w:color="auto" w:sz="8" w:space="0"/>
              <w:right w:val="single" w:color="auto" w:sz="8" w:space="0"/>
            </w:tcBorders>
            <w:vAlign w:val="center"/>
          </w:tcPr>
          <w:p w14:paraId="77DF4F90">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投标软件制作工具下载：</w:t>
            </w:r>
            <w:r>
              <w:rPr>
                <w:rFonts w:hint="eastAsia" w:ascii="宋体" w:hAnsi="宋体" w:cs="宋体"/>
                <w:color w:val="auto"/>
                <w:szCs w:val="21"/>
                <w:highlight w:val="none"/>
              </w:rPr>
              <w:t>https://download.bqpoint.com/download/downloaddetail.html?SourceFrom=Ztb&amp;ZtbSoftXiaQuCode=0128&amp;ZtbSoftType=tballinclusive</w:t>
            </w:r>
          </w:p>
        </w:tc>
      </w:tr>
    </w:tbl>
    <w:p w14:paraId="0B077E29">
      <w:pPr>
        <w:rPr>
          <w:rFonts w:hint="eastAsia" w:ascii="宋体" w:hAnsi="宋体" w:eastAsia="宋体" w:cs="宋体"/>
          <w:color w:val="auto"/>
          <w:highlight w:val="none"/>
        </w:rPr>
      </w:pPr>
    </w:p>
    <w:p w14:paraId="303FB650">
      <w:pPr>
        <w:spacing w:line="400" w:lineRule="exact"/>
        <w:jc w:val="center"/>
        <w:outlineLvl w:val="1"/>
        <w:rPr>
          <w:rFonts w:hint="eastAsia" w:ascii="宋体" w:hAnsi="宋体" w:eastAsia="宋体" w:cs="宋体"/>
          <w:b/>
          <w:bCs/>
          <w:color w:val="auto"/>
          <w:sz w:val="28"/>
          <w:highlight w:val="none"/>
        </w:rPr>
      </w:pPr>
      <w:bookmarkStart w:id="44" w:name="_Toc13663"/>
      <w:bookmarkStart w:id="45" w:name="_Toc515"/>
    </w:p>
    <w:p w14:paraId="53AABB6E">
      <w:pPr>
        <w:spacing w:line="400" w:lineRule="exact"/>
        <w:jc w:val="center"/>
        <w:outlineLvl w:val="1"/>
        <w:rPr>
          <w:rFonts w:hint="eastAsia" w:ascii="宋体" w:hAnsi="宋体" w:eastAsia="宋体" w:cs="宋体"/>
          <w:b/>
          <w:bCs/>
          <w:color w:val="auto"/>
          <w:sz w:val="28"/>
          <w:highlight w:val="none"/>
        </w:rPr>
      </w:pPr>
    </w:p>
    <w:p w14:paraId="68D4075A">
      <w:pPr>
        <w:spacing w:line="400" w:lineRule="exact"/>
        <w:jc w:val="center"/>
        <w:outlineLvl w:val="1"/>
        <w:rPr>
          <w:rFonts w:hint="eastAsia" w:ascii="宋体" w:hAnsi="宋体" w:eastAsia="宋体" w:cs="宋体"/>
          <w:b/>
          <w:bCs/>
          <w:color w:val="auto"/>
          <w:sz w:val="28"/>
          <w:highlight w:val="none"/>
        </w:rPr>
      </w:pPr>
    </w:p>
    <w:p w14:paraId="1E9AD66D">
      <w:pPr>
        <w:spacing w:line="400" w:lineRule="exact"/>
        <w:jc w:val="center"/>
        <w:outlineLvl w:val="1"/>
        <w:rPr>
          <w:rFonts w:hint="eastAsia" w:ascii="宋体" w:hAnsi="宋体" w:eastAsia="宋体" w:cs="宋体"/>
          <w:b/>
          <w:bCs/>
          <w:color w:val="auto"/>
          <w:sz w:val="28"/>
          <w:highlight w:val="none"/>
        </w:rPr>
      </w:pPr>
    </w:p>
    <w:p w14:paraId="5FB84241">
      <w:pPr>
        <w:spacing w:line="400" w:lineRule="exact"/>
        <w:jc w:val="center"/>
        <w:outlineLvl w:val="1"/>
        <w:rPr>
          <w:rFonts w:hint="eastAsia" w:ascii="宋体" w:hAnsi="宋体" w:eastAsia="宋体" w:cs="宋体"/>
          <w:b/>
          <w:bCs/>
          <w:color w:val="auto"/>
          <w:sz w:val="28"/>
          <w:highlight w:val="none"/>
        </w:rPr>
      </w:pPr>
    </w:p>
    <w:p w14:paraId="294310AB">
      <w:pPr>
        <w:spacing w:line="400" w:lineRule="exact"/>
        <w:jc w:val="center"/>
        <w:outlineLvl w:val="1"/>
        <w:rPr>
          <w:rFonts w:hint="eastAsia" w:ascii="宋体" w:hAnsi="宋体" w:eastAsia="宋体" w:cs="宋体"/>
          <w:b/>
          <w:bCs/>
          <w:color w:val="auto"/>
          <w:sz w:val="28"/>
          <w:highlight w:val="none"/>
        </w:rPr>
      </w:pPr>
    </w:p>
    <w:p w14:paraId="1D92D811">
      <w:pPr>
        <w:pStyle w:val="2"/>
        <w:rPr>
          <w:rFonts w:hint="eastAsia" w:ascii="宋体" w:hAnsi="宋体" w:eastAsia="宋体" w:cs="宋体"/>
          <w:b/>
          <w:bCs/>
          <w:color w:val="auto"/>
          <w:sz w:val="28"/>
          <w:highlight w:val="none"/>
        </w:rPr>
      </w:pPr>
    </w:p>
    <w:p w14:paraId="6B7D24EB">
      <w:pPr>
        <w:rPr>
          <w:rFonts w:hint="eastAsia" w:ascii="宋体" w:hAnsi="宋体" w:eastAsia="宋体" w:cs="宋体"/>
          <w:b/>
          <w:bCs/>
          <w:color w:val="auto"/>
          <w:sz w:val="28"/>
          <w:highlight w:val="none"/>
        </w:rPr>
      </w:pPr>
    </w:p>
    <w:p w14:paraId="6A4CCA47">
      <w:pPr>
        <w:pStyle w:val="2"/>
        <w:rPr>
          <w:rFonts w:hint="eastAsia" w:ascii="宋体" w:hAnsi="宋体" w:eastAsia="宋体" w:cs="宋体"/>
          <w:b/>
          <w:bCs/>
          <w:color w:val="auto"/>
          <w:sz w:val="28"/>
          <w:highlight w:val="none"/>
        </w:rPr>
      </w:pPr>
    </w:p>
    <w:p w14:paraId="00164DF3">
      <w:pPr>
        <w:rPr>
          <w:rFonts w:hint="eastAsia" w:ascii="宋体" w:hAnsi="宋体" w:eastAsia="宋体" w:cs="宋体"/>
          <w:b/>
          <w:bCs/>
          <w:color w:val="auto"/>
          <w:sz w:val="28"/>
          <w:highlight w:val="none"/>
        </w:rPr>
      </w:pPr>
    </w:p>
    <w:p w14:paraId="0E01D5B6">
      <w:pPr>
        <w:pStyle w:val="2"/>
        <w:rPr>
          <w:rFonts w:hint="eastAsia" w:ascii="宋体" w:hAnsi="宋体" w:eastAsia="宋体" w:cs="宋体"/>
          <w:b/>
          <w:bCs/>
          <w:color w:val="auto"/>
          <w:sz w:val="28"/>
          <w:highlight w:val="none"/>
        </w:rPr>
      </w:pPr>
    </w:p>
    <w:p w14:paraId="3A3A1657">
      <w:pPr>
        <w:rPr>
          <w:rFonts w:hint="eastAsia" w:ascii="宋体" w:hAnsi="宋体" w:eastAsia="宋体" w:cs="宋体"/>
          <w:b/>
          <w:bCs/>
          <w:color w:val="auto"/>
          <w:sz w:val="28"/>
          <w:highlight w:val="none"/>
        </w:rPr>
      </w:pPr>
    </w:p>
    <w:p w14:paraId="26397548">
      <w:pPr>
        <w:pStyle w:val="2"/>
        <w:rPr>
          <w:rFonts w:hint="eastAsia" w:ascii="宋体" w:hAnsi="宋体" w:eastAsia="宋体" w:cs="宋体"/>
          <w:b/>
          <w:bCs/>
          <w:color w:val="auto"/>
          <w:sz w:val="28"/>
          <w:highlight w:val="none"/>
        </w:rPr>
      </w:pPr>
    </w:p>
    <w:p w14:paraId="5782BE8A">
      <w:pPr>
        <w:rPr>
          <w:rFonts w:hint="eastAsia" w:ascii="宋体" w:hAnsi="宋体" w:eastAsia="宋体" w:cs="宋体"/>
          <w:b/>
          <w:bCs/>
          <w:color w:val="auto"/>
          <w:sz w:val="28"/>
          <w:highlight w:val="none"/>
        </w:rPr>
      </w:pPr>
    </w:p>
    <w:p w14:paraId="24F8F7B3">
      <w:pPr>
        <w:pStyle w:val="2"/>
        <w:rPr>
          <w:rFonts w:hint="eastAsia" w:ascii="宋体" w:hAnsi="宋体" w:eastAsia="宋体" w:cs="宋体"/>
          <w:b/>
          <w:bCs/>
          <w:color w:val="auto"/>
          <w:sz w:val="28"/>
          <w:highlight w:val="none"/>
        </w:rPr>
      </w:pPr>
    </w:p>
    <w:p w14:paraId="763F42DC">
      <w:pPr>
        <w:rPr>
          <w:rFonts w:hint="eastAsia" w:ascii="宋体" w:hAnsi="宋体" w:eastAsia="宋体" w:cs="宋体"/>
          <w:b/>
          <w:bCs/>
          <w:color w:val="auto"/>
          <w:sz w:val="28"/>
          <w:highlight w:val="none"/>
        </w:rPr>
      </w:pPr>
    </w:p>
    <w:p w14:paraId="44E94B52">
      <w:pPr>
        <w:pStyle w:val="2"/>
        <w:rPr>
          <w:rFonts w:hint="eastAsia" w:ascii="宋体" w:hAnsi="宋体" w:eastAsia="宋体" w:cs="宋体"/>
          <w:b/>
          <w:bCs/>
          <w:color w:val="auto"/>
          <w:sz w:val="28"/>
          <w:highlight w:val="none"/>
        </w:rPr>
      </w:pPr>
    </w:p>
    <w:p w14:paraId="759F9A2C">
      <w:pPr>
        <w:rPr>
          <w:rFonts w:hint="eastAsia" w:ascii="宋体" w:hAnsi="宋体" w:eastAsia="宋体" w:cs="宋体"/>
          <w:b/>
          <w:bCs/>
          <w:color w:val="auto"/>
          <w:sz w:val="28"/>
          <w:highlight w:val="none"/>
        </w:rPr>
      </w:pPr>
    </w:p>
    <w:p w14:paraId="625A9D26">
      <w:pPr>
        <w:pStyle w:val="2"/>
        <w:rPr>
          <w:rFonts w:hint="eastAsia" w:ascii="宋体" w:hAnsi="宋体" w:eastAsia="宋体" w:cs="宋体"/>
          <w:b/>
          <w:bCs/>
          <w:color w:val="auto"/>
          <w:sz w:val="28"/>
          <w:highlight w:val="none"/>
        </w:rPr>
      </w:pPr>
    </w:p>
    <w:p w14:paraId="146D3C5D">
      <w:pPr>
        <w:rPr>
          <w:rFonts w:hint="eastAsia" w:ascii="宋体" w:hAnsi="宋体" w:eastAsia="宋体" w:cs="宋体"/>
          <w:b/>
          <w:bCs/>
          <w:color w:val="auto"/>
          <w:sz w:val="28"/>
          <w:highlight w:val="none"/>
        </w:rPr>
      </w:pPr>
    </w:p>
    <w:p w14:paraId="55C98CB6">
      <w:pPr>
        <w:pStyle w:val="2"/>
        <w:rPr>
          <w:rFonts w:hint="eastAsia"/>
          <w:color w:val="auto"/>
          <w:highlight w:val="none"/>
        </w:rPr>
      </w:pPr>
    </w:p>
    <w:p w14:paraId="3E2F6460">
      <w:pPr>
        <w:spacing w:line="400" w:lineRule="exact"/>
        <w:jc w:val="center"/>
        <w:outlineLvl w:val="1"/>
        <w:rPr>
          <w:rFonts w:hint="eastAsia" w:ascii="宋体" w:hAnsi="宋体" w:eastAsia="宋体" w:cs="宋体"/>
          <w:b/>
          <w:bCs/>
          <w:color w:val="auto"/>
          <w:sz w:val="28"/>
          <w:highlight w:val="none"/>
        </w:rPr>
      </w:pPr>
    </w:p>
    <w:p w14:paraId="04E23D3D">
      <w:pPr>
        <w:spacing w:line="400" w:lineRule="exact"/>
        <w:jc w:val="center"/>
        <w:outlineLvl w:val="1"/>
        <w:rPr>
          <w:rFonts w:hint="eastAsia" w:ascii="宋体" w:hAnsi="宋体" w:eastAsia="宋体" w:cs="宋体"/>
          <w:b/>
          <w:bCs/>
          <w:color w:val="auto"/>
          <w:sz w:val="28"/>
          <w:highlight w:val="none"/>
        </w:rPr>
      </w:pPr>
    </w:p>
    <w:p w14:paraId="6094F76D">
      <w:pPr>
        <w:spacing w:line="400" w:lineRule="exact"/>
        <w:jc w:val="center"/>
        <w:outlineLvl w:val="1"/>
        <w:rPr>
          <w:rFonts w:hint="eastAsia" w:ascii="宋体" w:hAnsi="宋体" w:eastAsia="宋体" w:cs="宋体"/>
          <w:b/>
          <w:bCs/>
          <w:color w:val="auto"/>
          <w:sz w:val="28"/>
          <w:highlight w:val="none"/>
        </w:rPr>
      </w:pPr>
      <w:r>
        <w:rPr>
          <w:rFonts w:hint="eastAsia" w:ascii="宋体" w:hAnsi="宋体" w:eastAsia="宋体" w:cs="宋体"/>
          <w:b/>
          <w:bCs/>
          <w:color w:val="auto"/>
          <w:sz w:val="28"/>
          <w:highlight w:val="none"/>
        </w:rPr>
        <w:t>一、总  则</w:t>
      </w:r>
      <w:bookmarkEnd w:id="44"/>
      <w:bookmarkEnd w:id="45"/>
    </w:p>
    <w:p w14:paraId="5FB33392">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1.工程概况</w:t>
      </w:r>
    </w:p>
    <w:p w14:paraId="53A8EFA9">
      <w:pPr>
        <w:keepNext w:val="0"/>
        <w:keepLines w:val="0"/>
        <w:pageBreakBefore w:val="0"/>
        <w:widowControl w:val="0"/>
        <w:kinsoku/>
        <w:wordWrap w:val="0"/>
        <w:overflowPunct/>
        <w:topLinePunct w:val="0"/>
        <w:autoSpaceDE/>
        <w:autoSpaceDN/>
        <w:bidi w:val="0"/>
        <w:adjustRightInd/>
        <w:snapToGrid/>
        <w:spacing w:line="480" w:lineRule="exact"/>
        <w:ind w:left="0" w:leftChars="0" w:firstLine="0" w:firstLineChars="0"/>
        <w:jc w:val="left"/>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rPr>
        <w:t>1.1</w:t>
      </w:r>
      <w:r>
        <w:rPr>
          <w:rFonts w:hint="eastAsia" w:ascii="宋体" w:hAnsi="宋体" w:eastAsia="宋体" w:cs="宋体"/>
          <w:color w:val="auto"/>
          <w:sz w:val="21"/>
          <w:szCs w:val="21"/>
          <w:highlight w:val="none"/>
          <w:u w:val="none"/>
          <w:lang w:val="en-US" w:eastAsia="zh-CN"/>
        </w:rPr>
        <w:t>项目</w:t>
      </w:r>
      <w:r>
        <w:rPr>
          <w:rFonts w:hint="eastAsia" w:ascii="宋体" w:hAnsi="宋体" w:eastAsia="宋体" w:cs="宋体"/>
          <w:color w:val="auto"/>
          <w:sz w:val="21"/>
          <w:szCs w:val="21"/>
          <w:highlight w:val="none"/>
          <w:u w:val="none"/>
        </w:rPr>
        <w:t>名称：</w:t>
      </w:r>
      <w:r>
        <w:rPr>
          <w:rFonts w:hint="eastAsia" w:ascii="宋体" w:hAnsi="宋体" w:cs="宋体"/>
          <w:color w:val="auto"/>
          <w:sz w:val="21"/>
          <w:szCs w:val="21"/>
          <w:highlight w:val="none"/>
          <w:u w:val="none"/>
          <w:lang w:val="en-US" w:eastAsia="zh-CN"/>
        </w:rPr>
        <w:t>滁城西片区排水综合整治工程二批次（二标段）结算复核服务</w:t>
      </w:r>
    </w:p>
    <w:p w14:paraId="26F9FD99">
      <w:pPr>
        <w:keepNext w:val="0"/>
        <w:keepLines w:val="0"/>
        <w:pageBreakBefore w:val="0"/>
        <w:widowControl w:val="0"/>
        <w:kinsoku/>
        <w:wordWrap/>
        <w:overflowPunct/>
        <w:topLinePunct w:val="0"/>
        <w:autoSpaceDE/>
        <w:autoSpaceDN/>
        <w:bidi w:val="0"/>
        <w:adjustRightInd/>
        <w:snapToGrid/>
        <w:spacing w:line="480" w:lineRule="exact"/>
        <w:ind w:left="1050" w:leftChars="0" w:hanging="1050" w:hangingChars="500"/>
        <w:jc w:val="left"/>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rPr>
        <w:t>工程地址：滁州市</w:t>
      </w:r>
      <w:r>
        <w:rPr>
          <w:rFonts w:hint="eastAsia" w:ascii="宋体" w:hAnsi="宋体" w:eastAsia="宋体" w:cs="宋体"/>
          <w:color w:val="auto"/>
          <w:sz w:val="21"/>
          <w:szCs w:val="21"/>
          <w:highlight w:val="none"/>
          <w:u w:val="none"/>
          <w:lang w:val="en-US" w:eastAsia="zh-CN"/>
        </w:rPr>
        <w:t>内</w:t>
      </w:r>
    </w:p>
    <w:p w14:paraId="4E7F6254">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val="en-US" w:eastAsia="zh-CN"/>
        </w:rPr>
        <w:t>招标</w:t>
      </w:r>
      <w:r>
        <w:rPr>
          <w:rFonts w:hint="eastAsia" w:ascii="宋体" w:hAnsi="宋体" w:eastAsia="宋体" w:cs="宋体"/>
          <w:color w:val="auto"/>
          <w:sz w:val="21"/>
          <w:szCs w:val="21"/>
          <w:highlight w:val="none"/>
          <w:u w:val="none"/>
        </w:rPr>
        <w:t>单位：</w:t>
      </w:r>
      <w:r>
        <w:rPr>
          <w:rFonts w:hint="eastAsia" w:ascii="宋体" w:hAnsi="宋体" w:eastAsia="宋体" w:cs="宋体"/>
          <w:color w:val="auto"/>
          <w:sz w:val="21"/>
          <w:szCs w:val="21"/>
          <w:highlight w:val="none"/>
          <w:lang w:val="en-US" w:eastAsia="zh-CN"/>
        </w:rPr>
        <w:t>详见《</w:t>
      </w:r>
      <w:r>
        <w:rPr>
          <w:rFonts w:hint="eastAsia" w:ascii="宋体" w:hAnsi="宋体" w:cs="宋体"/>
          <w:color w:val="auto"/>
          <w:sz w:val="21"/>
          <w:szCs w:val="21"/>
          <w:highlight w:val="none"/>
          <w:lang w:val="en-US" w:eastAsia="zh-CN"/>
        </w:rPr>
        <w:t>投标人须知</w:t>
      </w:r>
      <w:r>
        <w:rPr>
          <w:rFonts w:hint="eastAsia" w:ascii="宋体" w:hAnsi="宋体" w:eastAsia="宋体" w:cs="宋体"/>
          <w:color w:val="auto"/>
          <w:sz w:val="21"/>
          <w:szCs w:val="21"/>
          <w:highlight w:val="none"/>
          <w:lang w:val="en-US" w:eastAsia="zh-CN"/>
        </w:rPr>
        <w:t>前附表》。</w:t>
      </w:r>
      <w:r>
        <w:rPr>
          <w:rFonts w:hint="eastAsia" w:ascii="宋体" w:hAnsi="宋体" w:eastAsia="宋体" w:cs="宋体"/>
          <w:color w:val="auto"/>
          <w:sz w:val="21"/>
          <w:szCs w:val="21"/>
          <w:highlight w:val="none"/>
          <w:u w:val="none"/>
          <w:lang w:eastAsia="zh-CN"/>
        </w:rPr>
        <w:t xml:space="preserve"> </w:t>
      </w:r>
    </w:p>
    <w:p w14:paraId="2F9C622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sz w:val="21"/>
          <w:szCs w:val="21"/>
          <w:highlight w:val="none"/>
          <w:u w:val="none"/>
        </w:rPr>
        <w:t>1.2本工程建设规模：</w:t>
      </w:r>
      <w:r>
        <w:rPr>
          <w:rFonts w:hint="eastAsia" w:ascii="宋体" w:hAnsi="宋体" w:eastAsia="宋体" w:cs="宋体"/>
          <w:color w:val="auto"/>
          <w:sz w:val="21"/>
          <w:szCs w:val="21"/>
          <w:highlight w:val="none"/>
          <w:lang w:val="en-US" w:eastAsia="zh-CN"/>
        </w:rPr>
        <w:t>详见《</w:t>
      </w:r>
      <w:r>
        <w:rPr>
          <w:rFonts w:hint="eastAsia" w:ascii="宋体" w:hAnsi="宋体" w:cs="宋体"/>
          <w:color w:val="auto"/>
          <w:sz w:val="21"/>
          <w:szCs w:val="21"/>
          <w:highlight w:val="none"/>
          <w:lang w:val="en-US" w:eastAsia="zh-CN"/>
        </w:rPr>
        <w:t>投标人须知</w:t>
      </w:r>
      <w:r>
        <w:rPr>
          <w:rFonts w:hint="eastAsia" w:ascii="宋体" w:hAnsi="宋体" w:eastAsia="宋体" w:cs="宋体"/>
          <w:color w:val="auto"/>
          <w:sz w:val="21"/>
          <w:szCs w:val="21"/>
          <w:highlight w:val="none"/>
          <w:lang w:val="en-US" w:eastAsia="zh-CN"/>
        </w:rPr>
        <w:t>前附表》</w:t>
      </w:r>
      <w:r>
        <w:rPr>
          <w:rFonts w:hint="eastAsia" w:ascii="宋体" w:hAnsi="宋体" w:eastAsia="宋体" w:cs="宋体"/>
          <w:color w:val="auto"/>
          <w:kern w:val="0"/>
          <w:sz w:val="21"/>
          <w:szCs w:val="21"/>
          <w:highlight w:val="none"/>
          <w:u w:val="none"/>
          <w:lang w:val="en-US" w:eastAsia="zh-CN"/>
        </w:rPr>
        <w:t>。</w:t>
      </w:r>
    </w:p>
    <w:p w14:paraId="3FC6757D">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 xml:space="preserve">2. </w:t>
      </w:r>
      <w:r>
        <w:rPr>
          <w:rFonts w:hint="eastAsia" w:ascii="宋体" w:hAnsi="宋体" w:eastAsia="宋体" w:cs="宋体"/>
          <w:color w:val="auto"/>
          <w:sz w:val="21"/>
          <w:szCs w:val="21"/>
          <w:highlight w:val="none"/>
          <w:lang w:val="en-US" w:eastAsia="zh-CN"/>
        </w:rPr>
        <w:t>服务需求</w:t>
      </w:r>
    </w:p>
    <w:p w14:paraId="5831824C">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lang w:val="en-US" w:eastAsia="zh-CN"/>
        </w:rPr>
        <w:t>详见《</w:t>
      </w:r>
      <w:r>
        <w:rPr>
          <w:rFonts w:hint="eastAsia" w:ascii="宋体" w:hAnsi="宋体" w:cs="宋体"/>
          <w:color w:val="auto"/>
          <w:sz w:val="21"/>
          <w:szCs w:val="21"/>
          <w:highlight w:val="none"/>
          <w:lang w:val="en-US" w:eastAsia="zh-CN"/>
        </w:rPr>
        <w:t>投标人须知</w:t>
      </w:r>
      <w:r>
        <w:rPr>
          <w:rFonts w:hint="eastAsia" w:ascii="宋体" w:hAnsi="宋体" w:eastAsia="宋体" w:cs="宋体"/>
          <w:color w:val="auto"/>
          <w:sz w:val="21"/>
          <w:szCs w:val="21"/>
          <w:highlight w:val="none"/>
          <w:lang w:val="en-US" w:eastAsia="zh-CN"/>
        </w:rPr>
        <w:t>前附表》要求</w:t>
      </w:r>
    </w:p>
    <w:p w14:paraId="2B98AD9D">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3.承包方式</w:t>
      </w:r>
    </w:p>
    <w:p w14:paraId="03304815">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3.1承包方式：</w:t>
      </w:r>
      <w:r>
        <w:rPr>
          <w:rFonts w:hint="eastAsia" w:ascii="宋体" w:hAnsi="宋体" w:eastAsia="宋体" w:cs="宋体"/>
          <w:color w:val="auto"/>
          <w:sz w:val="21"/>
          <w:szCs w:val="21"/>
          <w:highlight w:val="none"/>
          <w:lang w:val="en-US" w:eastAsia="zh-CN"/>
        </w:rPr>
        <w:t>固定总价</w:t>
      </w:r>
      <w:r>
        <w:rPr>
          <w:rFonts w:hint="eastAsia" w:ascii="宋体" w:hAnsi="宋体" w:eastAsia="宋体" w:cs="宋体"/>
          <w:color w:val="auto"/>
          <w:sz w:val="21"/>
          <w:szCs w:val="21"/>
          <w:highlight w:val="none"/>
        </w:rPr>
        <w:t>。</w:t>
      </w:r>
    </w:p>
    <w:p w14:paraId="74D9A58D">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服务期</w:t>
      </w:r>
      <w:r>
        <w:rPr>
          <w:rFonts w:hint="eastAsia" w:ascii="宋体" w:hAnsi="宋体" w:eastAsia="宋体" w:cs="宋体"/>
          <w:color w:val="auto"/>
          <w:sz w:val="21"/>
          <w:szCs w:val="21"/>
          <w:highlight w:val="none"/>
        </w:rPr>
        <w:t>要求</w:t>
      </w:r>
    </w:p>
    <w:p w14:paraId="1F7FF8E9">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4.1</w:t>
      </w:r>
      <w:r>
        <w:rPr>
          <w:rFonts w:hint="eastAsia" w:ascii="宋体" w:hAnsi="宋体" w:eastAsia="宋体" w:cs="宋体"/>
          <w:color w:val="auto"/>
          <w:sz w:val="21"/>
          <w:szCs w:val="21"/>
          <w:highlight w:val="none"/>
          <w:lang w:val="en-US" w:eastAsia="zh-CN"/>
        </w:rPr>
        <w:t>服务期</w:t>
      </w:r>
      <w:r>
        <w:rPr>
          <w:rFonts w:hint="eastAsia" w:ascii="宋体" w:hAnsi="宋体" w:eastAsia="宋体" w:cs="宋体"/>
          <w:color w:val="auto"/>
          <w:sz w:val="21"/>
          <w:szCs w:val="21"/>
          <w:highlight w:val="none"/>
        </w:rPr>
        <w:t>要求</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lang w:val="en-US" w:eastAsia="zh-CN"/>
        </w:rPr>
        <w:t>详见《</w:t>
      </w:r>
      <w:r>
        <w:rPr>
          <w:rFonts w:hint="eastAsia" w:ascii="宋体" w:hAnsi="宋体" w:cs="宋体"/>
          <w:color w:val="auto"/>
          <w:sz w:val="21"/>
          <w:szCs w:val="21"/>
          <w:highlight w:val="none"/>
          <w:lang w:val="en-US" w:eastAsia="zh-CN"/>
        </w:rPr>
        <w:t>投标人须知</w:t>
      </w:r>
      <w:r>
        <w:rPr>
          <w:rFonts w:hint="eastAsia" w:ascii="宋体" w:hAnsi="宋体" w:eastAsia="宋体" w:cs="宋体"/>
          <w:color w:val="auto"/>
          <w:sz w:val="21"/>
          <w:szCs w:val="21"/>
          <w:highlight w:val="none"/>
          <w:lang w:val="en-US" w:eastAsia="zh-CN"/>
        </w:rPr>
        <w:t>前附表》要求</w:t>
      </w:r>
      <w:r>
        <w:rPr>
          <w:rFonts w:hint="eastAsia" w:ascii="宋体" w:hAnsi="宋体" w:eastAsia="宋体" w:cs="宋体"/>
          <w:color w:val="auto"/>
          <w:kern w:val="0"/>
          <w:sz w:val="21"/>
          <w:szCs w:val="21"/>
          <w:highlight w:val="none"/>
        </w:rPr>
        <w:t>。</w:t>
      </w:r>
    </w:p>
    <w:p w14:paraId="577796E7">
      <w:pPr>
        <w:keepNext w:val="0"/>
        <w:keepLines w:val="0"/>
        <w:pageBreakBefore w:val="0"/>
        <w:widowControl w:val="0"/>
        <w:kinsoku/>
        <w:wordWrap/>
        <w:overflowPunct/>
        <w:topLinePunct w:val="0"/>
        <w:autoSpaceDE/>
        <w:autoSpaceDN/>
        <w:bidi w:val="0"/>
        <w:adjustRightInd/>
        <w:snapToGrid/>
        <w:spacing w:line="480" w:lineRule="exac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5.质量要求</w:t>
      </w:r>
    </w:p>
    <w:p w14:paraId="2B5113F0">
      <w:pPr>
        <w:keepNext w:val="0"/>
        <w:keepLines w:val="0"/>
        <w:pageBreakBefore w:val="0"/>
        <w:widowControl w:val="0"/>
        <w:kinsoku/>
        <w:wordWrap/>
        <w:overflowPunct/>
        <w:topLinePunct w:val="0"/>
        <w:autoSpaceDE/>
        <w:autoSpaceDN/>
        <w:bidi w:val="0"/>
        <w:adjustRightInd/>
        <w:snapToGrid/>
        <w:spacing w:line="480" w:lineRule="exac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w:t>
      </w:r>
      <w:r>
        <w:rPr>
          <w:rFonts w:hint="eastAsia" w:ascii="宋体" w:hAnsi="宋体" w:eastAsia="宋体" w:cs="宋体"/>
          <w:color w:val="auto"/>
          <w:sz w:val="21"/>
          <w:szCs w:val="21"/>
          <w:highlight w:val="none"/>
          <w:lang w:val="en-US" w:eastAsia="zh-CN"/>
        </w:rPr>
        <w:t>详见《</w:t>
      </w:r>
      <w:r>
        <w:rPr>
          <w:rFonts w:hint="eastAsia" w:ascii="宋体" w:hAnsi="宋体" w:cs="宋体"/>
          <w:color w:val="auto"/>
          <w:sz w:val="21"/>
          <w:szCs w:val="21"/>
          <w:highlight w:val="none"/>
          <w:lang w:val="en-US" w:eastAsia="zh-CN"/>
        </w:rPr>
        <w:t>投标人须知</w:t>
      </w:r>
      <w:r>
        <w:rPr>
          <w:rFonts w:hint="eastAsia" w:ascii="宋体" w:hAnsi="宋体" w:eastAsia="宋体" w:cs="宋体"/>
          <w:color w:val="auto"/>
          <w:sz w:val="21"/>
          <w:szCs w:val="21"/>
          <w:highlight w:val="none"/>
          <w:lang w:val="en-US" w:eastAsia="zh-CN"/>
        </w:rPr>
        <w:t>前附表》要求</w:t>
      </w:r>
      <w:r>
        <w:rPr>
          <w:rFonts w:hint="eastAsia" w:ascii="宋体" w:hAnsi="宋体" w:eastAsia="宋体" w:cs="宋体"/>
          <w:color w:val="auto"/>
          <w:sz w:val="21"/>
          <w:szCs w:val="21"/>
          <w:highlight w:val="none"/>
        </w:rPr>
        <w:t>。</w:t>
      </w:r>
    </w:p>
    <w:p w14:paraId="58FF2223">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6.投标人资质等级要求</w:t>
      </w:r>
    </w:p>
    <w:p w14:paraId="5EB78DEC">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w:t>
      </w:r>
      <w:r>
        <w:rPr>
          <w:rFonts w:hint="eastAsia" w:ascii="宋体" w:hAnsi="宋体" w:cs="宋体"/>
          <w:color w:val="auto"/>
          <w:sz w:val="21"/>
          <w:szCs w:val="21"/>
          <w:highlight w:val="none"/>
          <w:lang w:val="en-US" w:eastAsia="zh-CN"/>
        </w:rPr>
        <w:t>投标人须知</w:t>
      </w:r>
      <w:r>
        <w:rPr>
          <w:rFonts w:hint="eastAsia" w:ascii="宋体" w:hAnsi="宋体" w:eastAsia="宋体" w:cs="宋体"/>
          <w:color w:val="auto"/>
          <w:sz w:val="21"/>
          <w:szCs w:val="21"/>
          <w:highlight w:val="none"/>
          <w:lang w:val="en-US" w:eastAsia="zh-CN"/>
        </w:rPr>
        <w:t>前附表》要求。</w:t>
      </w:r>
    </w:p>
    <w:p w14:paraId="48D02FB3">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7.资金来源</w:t>
      </w:r>
    </w:p>
    <w:p w14:paraId="6A7ADDF9">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7.1资金来源：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财政</w:t>
      </w:r>
      <w:r>
        <w:rPr>
          <w:rFonts w:hint="eastAsia" w:ascii="宋体" w:hAnsi="宋体" w:eastAsia="宋体" w:cs="宋体"/>
          <w:color w:val="auto"/>
          <w:sz w:val="21"/>
          <w:szCs w:val="21"/>
          <w:highlight w:val="none"/>
          <w:u w:val="single"/>
        </w:rPr>
        <w:t xml:space="preserve">资金 </w:t>
      </w:r>
      <w:r>
        <w:rPr>
          <w:rFonts w:hint="eastAsia" w:ascii="宋体" w:hAnsi="宋体" w:eastAsia="宋体" w:cs="宋体"/>
          <w:color w:val="auto"/>
          <w:sz w:val="21"/>
          <w:szCs w:val="21"/>
          <w:highlight w:val="none"/>
        </w:rPr>
        <w:t>；资金已落实。</w:t>
      </w:r>
    </w:p>
    <w:p w14:paraId="13200DD6">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8.标段划分</w:t>
      </w:r>
    </w:p>
    <w:p w14:paraId="5ABC7BDB">
      <w:pPr>
        <w:keepNext w:val="0"/>
        <w:keepLines w:val="0"/>
        <w:pageBreakBefore w:val="0"/>
        <w:widowControl w:val="0"/>
        <w:kinsoku/>
        <w:wordWrap/>
        <w:overflowPunct/>
        <w:topLinePunct w:val="0"/>
        <w:autoSpaceDE/>
        <w:autoSpaceDN/>
        <w:bidi w:val="0"/>
        <w:adjustRightInd/>
        <w:snapToGrid/>
        <w:spacing w:line="480" w:lineRule="exact"/>
        <w:ind w:right="-155" w:rightChars="-74"/>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8.1该工程划分：</w:t>
      </w:r>
      <w:r>
        <w:rPr>
          <w:rFonts w:hint="eastAsia" w:ascii="宋体" w:hAnsi="宋体" w:eastAsia="宋体" w:cs="宋体"/>
          <w:color w:val="auto"/>
          <w:sz w:val="21"/>
          <w:szCs w:val="21"/>
          <w:highlight w:val="none"/>
          <w:u w:val="single"/>
        </w:rPr>
        <w:t xml:space="preserve"> 一 </w:t>
      </w:r>
      <w:r>
        <w:rPr>
          <w:rFonts w:hint="eastAsia" w:ascii="宋体" w:hAnsi="宋体" w:eastAsia="宋体" w:cs="宋体"/>
          <w:color w:val="auto"/>
          <w:sz w:val="21"/>
          <w:szCs w:val="21"/>
          <w:highlight w:val="none"/>
        </w:rPr>
        <w:t xml:space="preserve">个标段  </w:t>
      </w:r>
    </w:p>
    <w:p w14:paraId="7FDA44CE">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9.招标方式</w:t>
      </w:r>
    </w:p>
    <w:p w14:paraId="6DFAA1D5">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9.1本工程招标方式：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公开</w:t>
      </w:r>
      <w:r>
        <w:rPr>
          <w:rFonts w:hint="eastAsia" w:ascii="宋体" w:hAnsi="宋体" w:eastAsia="宋体" w:cs="宋体"/>
          <w:color w:val="auto"/>
          <w:sz w:val="21"/>
          <w:szCs w:val="21"/>
          <w:highlight w:val="none"/>
          <w:u w:val="single"/>
        </w:rPr>
        <w:t xml:space="preserve">招标 </w:t>
      </w:r>
      <w:r>
        <w:rPr>
          <w:rFonts w:hint="eastAsia" w:ascii="宋体" w:hAnsi="宋体" w:eastAsia="宋体" w:cs="宋体"/>
          <w:color w:val="auto"/>
          <w:sz w:val="21"/>
          <w:szCs w:val="21"/>
          <w:highlight w:val="none"/>
        </w:rPr>
        <w:t>。</w:t>
      </w:r>
    </w:p>
    <w:p w14:paraId="3F418DB0">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10.计价方式</w:t>
      </w:r>
    </w:p>
    <w:p w14:paraId="769602B0">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10.1本工程合同计价方式：</w:t>
      </w:r>
      <w:r>
        <w:rPr>
          <w:rFonts w:hint="eastAsia" w:ascii="宋体" w:hAnsi="宋体" w:eastAsia="宋体" w:cs="宋体"/>
          <w:color w:val="auto"/>
          <w:sz w:val="21"/>
          <w:szCs w:val="21"/>
          <w:highlight w:val="none"/>
          <w:u w:val="single"/>
        </w:rPr>
        <w:t>固定</w:t>
      </w:r>
      <w:r>
        <w:rPr>
          <w:rFonts w:hint="eastAsia" w:ascii="宋体" w:hAnsi="宋体" w:eastAsia="宋体" w:cs="宋体"/>
          <w:color w:val="auto"/>
          <w:sz w:val="21"/>
          <w:szCs w:val="21"/>
          <w:highlight w:val="none"/>
          <w:u w:val="single"/>
          <w:lang w:val="en-US" w:eastAsia="zh-CN"/>
        </w:rPr>
        <w:t>费率</w:t>
      </w:r>
      <w:r>
        <w:rPr>
          <w:rFonts w:hint="eastAsia" w:ascii="宋体" w:hAnsi="宋体" w:eastAsia="宋体" w:cs="宋体"/>
          <w:color w:val="auto"/>
          <w:sz w:val="21"/>
          <w:szCs w:val="21"/>
          <w:highlight w:val="none"/>
        </w:rPr>
        <w:t>。</w:t>
      </w:r>
    </w:p>
    <w:p w14:paraId="446700BF">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11.评标办法</w:t>
      </w:r>
    </w:p>
    <w:p w14:paraId="5C11E0E5">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11.1本工程评标办法：</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综合评估法</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（详见第</w:t>
      </w:r>
      <w:r>
        <w:rPr>
          <w:rFonts w:hint="eastAsia" w:ascii="宋体" w:hAnsi="宋体" w:cs="宋体"/>
          <w:color w:val="auto"/>
          <w:sz w:val="21"/>
          <w:szCs w:val="21"/>
          <w:highlight w:val="none"/>
          <w:lang w:eastAsia="zh-CN"/>
        </w:rPr>
        <w:t>二</w:t>
      </w:r>
      <w:r>
        <w:rPr>
          <w:rFonts w:hint="eastAsia" w:ascii="宋体" w:hAnsi="宋体" w:eastAsia="宋体" w:cs="宋体"/>
          <w:color w:val="auto"/>
          <w:sz w:val="21"/>
          <w:szCs w:val="21"/>
          <w:highlight w:val="none"/>
        </w:rPr>
        <w:t>章评标办法）。</w:t>
      </w:r>
    </w:p>
    <w:p w14:paraId="13B7D934">
      <w:pPr>
        <w:spacing w:line="400" w:lineRule="exact"/>
        <w:jc w:val="center"/>
        <w:outlineLvl w:val="1"/>
        <w:rPr>
          <w:rFonts w:hint="eastAsia" w:ascii="宋体" w:hAnsi="宋体" w:eastAsia="宋体" w:cs="宋体"/>
          <w:b/>
          <w:bCs/>
          <w:color w:val="auto"/>
          <w:sz w:val="28"/>
          <w:highlight w:val="none"/>
        </w:rPr>
      </w:pPr>
      <w:bookmarkStart w:id="46" w:name="_Toc29988"/>
      <w:bookmarkStart w:id="47" w:name="_Toc17301"/>
    </w:p>
    <w:p w14:paraId="2DD47ABF">
      <w:pPr>
        <w:spacing w:line="400" w:lineRule="exact"/>
        <w:jc w:val="center"/>
        <w:outlineLvl w:val="1"/>
        <w:rPr>
          <w:rFonts w:hint="eastAsia" w:ascii="宋体" w:hAnsi="宋体" w:eastAsia="宋体" w:cs="宋体"/>
          <w:b/>
          <w:bCs/>
          <w:color w:val="auto"/>
          <w:sz w:val="28"/>
          <w:highlight w:val="none"/>
        </w:rPr>
      </w:pPr>
      <w:r>
        <w:rPr>
          <w:rFonts w:hint="eastAsia" w:ascii="宋体" w:hAnsi="宋体" w:eastAsia="宋体" w:cs="宋体"/>
          <w:b/>
          <w:bCs/>
          <w:color w:val="auto"/>
          <w:sz w:val="28"/>
          <w:highlight w:val="none"/>
        </w:rPr>
        <w:t>二、招标文件</w:t>
      </w:r>
      <w:bookmarkEnd w:id="46"/>
      <w:bookmarkEnd w:id="47"/>
    </w:p>
    <w:p w14:paraId="62AC36E5">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12.招标文件的编制依据</w:t>
      </w:r>
    </w:p>
    <w:p w14:paraId="6640ED8C">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12.1根据相关法律法规和规章及部、省、市级规范性文件的规定，编制本招标文件。</w:t>
      </w:r>
    </w:p>
    <w:p w14:paraId="00599032">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13.</w:t>
      </w:r>
      <w:r>
        <w:rPr>
          <w:rFonts w:hint="eastAsia" w:ascii="宋体" w:hAnsi="宋体" w:eastAsia="宋体" w:cs="宋体"/>
          <w:bCs/>
          <w:color w:val="auto"/>
          <w:sz w:val="21"/>
          <w:szCs w:val="21"/>
          <w:highlight w:val="none"/>
        </w:rPr>
        <w:t>招标文件的组成</w:t>
      </w:r>
    </w:p>
    <w:p w14:paraId="3FC2C949">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13.1招标文件包括内容：</w:t>
      </w:r>
    </w:p>
    <w:p w14:paraId="27C5F634">
      <w:pPr>
        <w:keepNext w:val="0"/>
        <w:keepLines w:val="0"/>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 xml:space="preserve">第一章  </w:t>
      </w:r>
      <w:r>
        <w:rPr>
          <w:rFonts w:hint="eastAsia" w:ascii="宋体" w:hAnsi="宋体" w:cs="宋体"/>
          <w:color w:val="auto"/>
          <w:sz w:val="21"/>
          <w:szCs w:val="21"/>
          <w:highlight w:val="none"/>
          <w:lang w:eastAsia="zh-CN"/>
        </w:rPr>
        <w:t>投标人须知</w:t>
      </w:r>
    </w:p>
    <w:p w14:paraId="3E882546">
      <w:pPr>
        <w:keepNext w:val="0"/>
        <w:keepLines w:val="0"/>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 xml:space="preserve">第二章  </w:t>
      </w:r>
      <w:r>
        <w:rPr>
          <w:rFonts w:hint="eastAsia" w:ascii="宋体" w:hAnsi="宋体" w:eastAsia="宋体" w:cs="宋体"/>
          <w:color w:val="auto"/>
          <w:sz w:val="21"/>
          <w:szCs w:val="21"/>
          <w:highlight w:val="none"/>
          <w:lang w:val="en-US" w:eastAsia="zh-CN"/>
        </w:rPr>
        <w:t>评标办法</w:t>
      </w:r>
    </w:p>
    <w:p w14:paraId="091E054E">
      <w:pPr>
        <w:keepNext w:val="0"/>
        <w:keepLines w:val="0"/>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第三章  合同条款</w:t>
      </w:r>
    </w:p>
    <w:p w14:paraId="5C6D9635">
      <w:pPr>
        <w:keepNext w:val="0"/>
        <w:keepLines w:val="0"/>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rPr>
        <w:t>章  投标文件格式</w:t>
      </w:r>
    </w:p>
    <w:p w14:paraId="3A70C4EA">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eastAsia="宋体" w:cs="宋体"/>
          <w:color w:val="auto"/>
          <w:spacing w:val="-20"/>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五</w:t>
      </w:r>
      <w:r>
        <w:rPr>
          <w:rFonts w:hint="eastAsia" w:ascii="宋体" w:hAnsi="宋体" w:eastAsia="宋体" w:cs="宋体"/>
          <w:color w:val="auto"/>
          <w:sz w:val="21"/>
          <w:szCs w:val="21"/>
          <w:highlight w:val="none"/>
        </w:rPr>
        <w:t>章  招标单位、招标代理机构对本招标文件的确认</w:t>
      </w:r>
    </w:p>
    <w:p w14:paraId="426A67FC">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w:t>
      </w:r>
      <w:r>
        <w:rPr>
          <w:rFonts w:hint="eastAsia" w:ascii="宋体" w:hAnsi="宋体" w:eastAsia="宋体" w:cs="宋体"/>
          <w:color w:val="auto"/>
          <w:spacing w:val="-10"/>
          <w:sz w:val="21"/>
          <w:szCs w:val="21"/>
          <w:highlight w:val="none"/>
        </w:rPr>
        <w:t>除13.1内容外，招标答疑亦为招标文件的组成部分，对招标人和投标人起约束作用。</w:t>
      </w:r>
    </w:p>
    <w:p w14:paraId="4DAD4163">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13.3</w:t>
      </w:r>
      <w:r>
        <w:rPr>
          <w:rFonts w:hint="eastAsia" w:ascii="宋体"/>
          <w:color w:val="auto"/>
          <w:szCs w:val="21"/>
          <w:highlight w:val="none"/>
        </w:rPr>
        <w:t>投标人应仔细阅读和检查招标文件的全部内容。如发现缺页或附件不全，应及时向</w:t>
      </w:r>
      <w:r>
        <w:rPr>
          <w:rFonts w:hint="eastAsia" w:ascii="宋体"/>
          <w:color w:val="auto"/>
          <w:szCs w:val="21"/>
          <w:highlight w:val="none"/>
          <w:lang w:eastAsia="zh-CN"/>
        </w:rPr>
        <w:t>招标人</w:t>
      </w:r>
      <w:r>
        <w:rPr>
          <w:rFonts w:hint="eastAsia" w:ascii="宋体"/>
          <w:color w:val="auto"/>
          <w:szCs w:val="21"/>
          <w:highlight w:val="none"/>
        </w:rPr>
        <w:t>提出，以便补齐</w:t>
      </w:r>
      <w:r>
        <w:rPr>
          <w:rFonts w:hint="eastAsia" w:ascii="宋体" w:hAnsi="宋体" w:eastAsia="宋体" w:cs="宋体"/>
          <w:color w:val="auto"/>
          <w:kern w:val="0"/>
          <w:sz w:val="21"/>
          <w:szCs w:val="21"/>
          <w:highlight w:val="none"/>
          <w:lang w:val="zh-CN"/>
        </w:rPr>
        <w:t>。</w:t>
      </w:r>
    </w:p>
    <w:p w14:paraId="2C32EE20">
      <w:pPr>
        <w:pStyle w:val="63"/>
        <w:ind w:left="0" w:leftChars="0" w:firstLine="0" w:firstLineChars="0"/>
        <w:rPr>
          <w:rFonts w:hint="default" w:eastAsia="宋体"/>
          <w:color w:val="auto"/>
          <w:highlight w:val="none"/>
          <w:lang w:val="en-US" w:eastAsia="zh-CN"/>
        </w:rPr>
      </w:pPr>
      <w:r>
        <w:rPr>
          <w:rFonts w:hint="eastAsia" w:ascii="宋体" w:hAnsi="宋体" w:eastAsia="宋体" w:cs="宋体"/>
          <w:color w:val="auto"/>
          <w:kern w:val="0"/>
          <w:sz w:val="21"/>
          <w:szCs w:val="21"/>
          <w:highlight w:val="none"/>
          <w:lang w:val="en-US" w:eastAsia="zh-CN"/>
        </w:rPr>
        <w:t>13.4投标人可以通过新点电子交易平台【滁州专区】对招标文件提出澄清（质疑）。招标文件的澄清将在滁州市城投工程咨询管理有限公司（https://www.czctgczx.com/）、滁州市重点工程建设管理处（http://zdc.chuzhou.gov.cn/）发布，但不指明澄清问题的来源。如果澄清内容影响投标文件编制的，将相应延长投标截止时间。</w:t>
      </w:r>
    </w:p>
    <w:p w14:paraId="182D12DA">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14.</w:t>
      </w:r>
      <w:r>
        <w:rPr>
          <w:rFonts w:hint="eastAsia" w:ascii="宋体" w:hAnsi="宋体" w:eastAsia="宋体" w:cs="宋体"/>
          <w:bCs/>
          <w:color w:val="auto"/>
          <w:sz w:val="21"/>
          <w:szCs w:val="21"/>
          <w:highlight w:val="none"/>
        </w:rPr>
        <w:t>招标文件的澄清、修改、补充、解释</w:t>
      </w:r>
    </w:p>
    <w:p w14:paraId="6B0F2D10">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14.1</w:t>
      </w:r>
      <w:r>
        <w:rPr>
          <w:rFonts w:hint="eastAsia" w:ascii="宋体" w:hAnsi="宋体" w:eastAsia="宋体" w:cs="宋体"/>
          <w:color w:val="auto"/>
          <w:kern w:val="0"/>
          <w:sz w:val="21"/>
          <w:szCs w:val="21"/>
          <w:highlight w:val="none"/>
          <w:lang w:val="zh-CN"/>
        </w:rPr>
        <w:t>招标文件发出后</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zh-CN"/>
        </w:rPr>
        <w:t>招标人可对招标文件进行必要的澄清、修改和补充</w:t>
      </w:r>
      <w:r>
        <w:rPr>
          <w:rFonts w:hint="eastAsia" w:ascii="宋体" w:hAnsi="宋体" w:eastAsia="宋体" w:cs="宋体"/>
          <w:color w:val="auto"/>
          <w:kern w:val="0"/>
          <w:sz w:val="21"/>
          <w:szCs w:val="21"/>
          <w:highlight w:val="none"/>
        </w:rPr>
        <w:t>，</w:t>
      </w:r>
      <w:r>
        <w:rPr>
          <w:rFonts w:hint="eastAsia" w:ascii="宋体" w:hAnsi="宋体" w:cs="宋体"/>
          <w:color w:val="auto"/>
          <w:kern w:val="0"/>
          <w:sz w:val="21"/>
          <w:szCs w:val="21"/>
          <w:highlight w:val="none"/>
          <w:lang w:val="en-US" w:eastAsia="zh-CN"/>
        </w:rPr>
        <w:t>并在</w:t>
      </w:r>
      <w:r>
        <w:rPr>
          <w:rFonts w:hint="eastAsia" w:ascii="宋体" w:hAnsi="宋体" w:eastAsia="宋体" w:cs="宋体"/>
          <w:color w:val="auto"/>
          <w:sz w:val="21"/>
          <w:szCs w:val="21"/>
          <w:highlight w:val="none"/>
        </w:rPr>
        <w:t>滁州市城投工程咨询管理有限公司</w:t>
      </w:r>
      <w:r>
        <w:rPr>
          <w:rFonts w:hint="eastAsia"/>
          <w:color w:val="auto"/>
          <w:szCs w:val="21"/>
          <w:highlight w:val="none"/>
        </w:rPr>
        <w:t>（https://www.czctgczx.com/）</w:t>
      </w:r>
      <w:r>
        <w:rPr>
          <w:rFonts w:hint="eastAsia"/>
          <w:color w:val="auto"/>
          <w:szCs w:val="21"/>
          <w:highlight w:val="none"/>
          <w:lang w:eastAsia="zh-CN"/>
        </w:rPr>
        <w:t>、</w:t>
      </w:r>
      <w:r>
        <w:rPr>
          <w:rFonts w:hint="eastAsia"/>
          <w:color w:val="auto"/>
          <w:szCs w:val="21"/>
          <w:highlight w:val="none"/>
          <w:lang w:val="en-US" w:eastAsia="zh-CN"/>
        </w:rPr>
        <w:t>滁州市重点工程建设管理处（http://zdc.chuzhou.gov.cn/）网站发布</w:t>
      </w:r>
      <w:r>
        <w:rPr>
          <w:rFonts w:hint="eastAsia" w:ascii="宋体" w:hAnsi="宋体" w:eastAsia="宋体" w:cs="宋体"/>
          <w:color w:val="auto"/>
          <w:kern w:val="0"/>
          <w:sz w:val="21"/>
          <w:szCs w:val="21"/>
          <w:highlight w:val="none"/>
          <w:lang w:val="zh-CN"/>
        </w:rPr>
        <w:t>。招标文件的修改内容作为招标文件的组成部分，具有约束作用。</w:t>
      </w:r>
    </w:p>
    <w:p w14:paraId="291D1EEA">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本招标文件由招标人委托的招标代理机构负责解释。</w:t>
      </w:r>
    </w:p>
    <w:p w14:paraId="2B94AB1C">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15.踏勘现场及投标预备会</w:t>
      </w:r>
    </w:p>
    <w:p w14:paraId="275BCF22">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15.1 踏勘现场</w:t>
      </w:r>
    </w:p>
    <w:p w14:paraId="50495330">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15.1.1</w:t>
      </w:r>
      <w:r>
        <w:rPr>
          <w:rFonts w:hint="eastAsia" w:ascii="宋体" w:hAnsi="宋体" w:eastAsia="宋体" w:cs="宋体"/>
          <w:color w:val="auto"/>
          <w:kern w:val="0"/>
          <w:sz w:val="21"/>
          <w:szCs w:val="21"/>
          <w:highlight w:val="none"/>
        </w:rPr>
        <w:t>不再集中召开招标答疑会；投标人自行组织勘察现场。</w:t>
      </w:r>
    </w:p>
    <w:p w14:paraId="6FE74C30">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15.2投标预备会</w:t>
      </w:r>
    </w:p>
    <w:p w14:paraId="13F5946E">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15.2.1</w:t>
      </w:r>
      <w:r>
        <w:rPr>
          <w:rFonts w:hint="eastAsia" w:ascii="宋体" w:hAnsi="宋体" w:cs="宋体"/>
          <w:color w:val="auto"/>
          <w:sz w:val="21"/>
          <w:szCs w:val="21"/>
          <w:highlight w:val="none"/>
          <w:lang w:val="en-US" w:eastAsia="zh-CN"/>
        </w:rPr>
        <w:t>本项目不组织</w:t>
      </w:r>
      <w:r>
        <w:rPr>
          <w:rFonts w:hint="eastAsia" w:ascii="宋体" w:hAnsi="宋体" w:eastAsia="宋体" w:cs="宋体"/>
          <w:color w:val="auto"/>
          <w:sz w:val="21"/>
          <w:szCs w:val="21"/>
          <w:highlight w:val="none"/>
        </w:rPr>
        <w:t>投标预备会</w:t>
      </w:r>
      <w:r>
        <w:rPr>
          <w:rFonts w:hint="eastAsia" w:ascii="宋体" w:hAnsi="宋体" w:eastAsia="宋体" w:cs="宋体"/>
          <w:bCs/>
          <w:color w:val="auto"/>
          <w:sz w:val="21"/>
          <w:szCs w:val="21"/>
          <w:highlight w:val="none"/>
        </w:rPr>
        <w:t>。</w:t>
      </w:r>
    </w:p>
    <w:p w14:paraId="13802E14">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16.招标文件的发出</w:t>
      </w:r>
    </w:p>
    <w:p w14:paraId="185B78E9">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16.1招标文件、招标文件的澄清、修改、补充及招标答疑等均应报招标人备案后，方可发出。</w:t>
      </w:r>
    </w:p>
    <w:p w14:paraId="0E4E3056">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17.最高投标限价的作用和说明</w:t>
      </w:r>
    </w:p>
    <w:p w14:paraId="32E39163">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17.1</w:t>
      </w:r>
      <w:r>
        <w:rPr>
          <w:rFonts w:hint="eastAsia" w:ascii="宋体" w:hAnsi="宋体" w:eastAsia="宋体" w:cs="宋体"/>
          <w:b/>
          <w:bCs/>
          <w:color w:val="auto"/>
          <w:sz w:val="21"/>
          <w:szCs w:val="21"/>
          <w:highlight w:val="none"/>
          <w:lang w:eastAsia="zh-CN"/>
        </w:rPr>
        <w:t>本项目的最高限价为</w:t>
      </w:r>
      <w:r>
        <w:rPr>
          <w:rFonts w:hint="eastAsia" w:ascii="宋体" w:hAnsi="宋体" w:eastAsia="宋体" w:cs="宋体"/>
          <w:b/>
          <w:bCs/>
          <w:color w:val="auto"/>
          <w:sz w:val="21"/>
          <w:szCs w:val="21"/>
          <w:highlight w:val="none"/>
          <w:lang w:eastAsia="zh-CN"/>
        </w:rPr>
        <w:t>基本费</w:t>
      </w:r>
      <w:r>
        <w:rPr>
          <w:rFonts w:hint="eastAsia" w:ascii="宋体" w:hAnsi="宋体" w:cs="宋体"/>
          <w:b/>
          <w:bCs/>
          <w:color w:val="auto"/>
          <w:sz w:val="21"/>
          <w:szCs w:val="21"/>
          <w:highlight w:val="none"/>
          <w:lang w:val="en-US" w:eastAsia="zh-CN"/>
        </w:rPr>
        <w:t>8</w:t>
      </w:r>
      <w:r>
        <w:rPr>
          <w:rFonts w:hint="eastAsia" w:ascii="宋体" w:hAnsi="宋体" w:eastAsia="宋体" w:cs="宋体"/>
          <w:b/>
          <w:bCs/>
          <w:color w:val="auto"/>
          <w:sz w:val="21"/>
          <w:szCs w:val="21"/>
          <w:highlight w:val="none"/>
          <w:lang w:eastAsia="zh-CN"/>
        </w:rPr>
        <w:t>000元</w:t>
      </w:r>
      <w:r>
        <w:rPr>
          <w:rFonts w:hint="eastAsia" w:ascii="宋体" w:hAnsi="宋体" w:eastAsia="宋体" w:cs="宋体"/>
          <w:b/>
          <w:bCs/>
          <w:color w:val="auto"/>
          <w:sz w:val="21"/>
          <w:szCs w:val="21"/>
          <w:highlight w:val="none"/>
        </w:rPr>
        <w:t>；审核成果费率</w:t>
      </w: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rPr>
        <w:t>审核成果费率</w:t>
      </w:r>
      <w:r>
        <w:rPr>
          <w:rFonts w:hint="eastAsia" w:ascii="宋体" w:hAnsi="宋体" w:eastAsia="宋体" w:cs="宋体"/>
          <w:b/>
          <w:bCs/>
          <w:color w:val="auto"/>
          <w:sz w:val="21"/>
          <w:szCs w:val="21"/>
          <w:highlight w:val="none"/>
          <w:lang w:val="en-US" w:eastAsia="zh-CN"/>
        </w:rPr>
        <w:t>为不可竞争费率，</w:t>
      </w:r>
      <w:r>
        <w:rPr>
          <w:rFonts w:hint="eastAsia" w:ascii="宋体" w:hAnsi="宋体" w:eastAsia="宋体" w:cs="宋体"/>
          <w:b/>
          <w:bCs/>
          <w:color w:val="auto"/>
          <w:sz w:val="21"/>
          <w:szCs w:val="21"/>
          <w:highlight w:val="none"/>
        </w:rPr>
        <w:t>固定不变）</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基本费由投标人自主报价，</w:t>
      </w:r>
      <w:r>
        <w:rPr>
          <w:rFonts w:hint="eastAsia" w:ascii="宋体" w:hAnsi="宋体" w:eastAsia="宋体" w:cs="宋体"/>
          <w:b/>
          <w:bCs/>
          <w:color w:val="auto"/>
          <w:sz w:val="21"/>
          <w:szCs w:val="21"/>
          <w:highlight w:val="none"/>
        </w:rPr>
        <w:t>不得高于上述基本费最高限价，否则按无效标处理。</w:t>
      </w:r>
    </w:p>
    <w:p w14:paraId="344A8BB9">
      <w:pPr>
        <w:spacing w:line="400" w:lineRule="exact"/>
        <w:jc w:val="center"/>
        <w:outlineLvl w:val="1"/>
        <w:rPr>
          <w:rFonts w:hint="eastAsia" w:ascii="宋体" w:hAnsi="宋体" w:eastAsia="宋体" w:cs="宋体"/>
          <w:b/>
          <w:bCs/>
          <w:color w:val="auto"/>
          <w:sz w:val="28"/>
          <w:highlight w:val="none"/>
        </w:rPr>
      </w:pPr>
      <w:bookmarkStart w:id="48" w:name="_Toc24852"/>
      <w:bookmarkStart w:id="49" w:name="_Toc6831"/>
      <w:r>
        <w:rPr>
          <w:rFonts w:hint="eastAsia" w:ascii="宋体" w:hAnsi="宋体" w:eastAsia="宋体" w:cs="宋体"/>
          <w:b/>
          <w:bCs/>
          <w:color w:val="auto"/>
          <w:sz w:val="28"/>
          <w:highlight w:val="none"/>
        </w:rPr>
        <w:t>三、投标文件的编制</w:t>
      </w:r>
      <w:bookmarkEnd w:id="48"/>
      <w:bookmarkEnd w:id="49"/>
    </w:p>
    <w:p w14:paraId="64695F4A">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18</w:t>
      </w:r>
      <w:r>
        <w:rPr>
          <w:rFonts w:hint="eastAsia" w:ascii="宋体" w:hAnsi="宋体" w:eastAsia="宋体" w:cs="宋体"/>
          <w:b/>
          <w:bCs/>
          <w:color w:val="auto"/>
          <w:sz w:val="21"/>
          <w:szCs w:val="21"/>
          <w:highlight w:val="none"/>
        </w:rPr>
        <w:t>. 投标文件的组成</w:t>
      </w:r>
      <w:r>
        <w:rPr>
          <w:rFonts w:hint="eastAsia" w:ascii="宋体" w:hAnsi="宋体" w:eastAsia="宋体" w:cs="宋体"/>
          <w:b/>
          <w:bCs/>
          <w:color w:val="auto"/>
          <w:sz w:val="21"/>
          <w:szCs w:val="21"/>
          <w:highlight w:val="none"/>
          <w:lang w:val="en-US" w:eastAsia="zh-CN"/>
        </w:rPr>
        <w:t xml:space="preserve"> </w:t>
      </w:r>
    </w:p>
    <w:p w14:paraId="57A6517E">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（1）法定代表人身份证明文件和本人有效身份证(或法定代表人授权委托书和委托代理人有效身份证)；</w:t>
      </w:r>
      <w:r>
        <w:rPr>
          <w:rFonts w:hint="eastAsia" w:ascii="宋体" w:hAnsi="宋体" w:cs="宋体"/>
          <w:color w:val="auto"/>
          <w:sz w:val="21"/>
          <w:szCs w:val="21"/>
          <w:highlight w:val="none"/>
          <w:lang w:val="en-US" w:eastAsia="zh-CN"/>
        </w:rPr>
        <w:t>（格式见附件）</w:t>
      </w:r>
    </w:p>
    <w:p w14:paraId="2342D3FE">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color w:val="auto"/>
          <w:sz w:val="21"/>
          <w:szCs w:val="21"/>
          <w:highlight w:val="none"/>
        </w:rPr>
        <w:t>（2）企业法人营业执照；</w:t>
      </w:r>
      <w:r>
        <w:rPr>
          <w:rFonts w:hint="eastAsia" w:ascii="宋体" w:hAnsi="宋体" w:eastAsia="宋体" w:cs="宋体"/>
          <w:color w:val="auto"/>
          <w:sz w:val="21"/>
          <w:szCs w:val="21"/>
          <w:highlight w:val="none"/>
          <w:lang w:val="en-US" w:eastAsia="zh-CN"/>
        </w:rPr>
        <w:t xml:space="preserve"> </w:t>
      </w:r>
    </w:p>
    <w:p w14:paraId="14CE7639">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val="en-US" w:eastAsia="zh-CN"/>
        </w:rPr>
        <w:t>项目人员配备表；（格式见附件）</w:t>
      </w:r>
    </w:p>
    <w:p w14:paraId="65209427">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拟派项目负责人注册造价师证书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若注册</w:t>
      </w:r>
      <w:r>
        <w:rPr>
          <w:rFonts w:hint="eastAsia" w:ascii="宋体" w:hAnsi="宋体" w:eastAsia="宋体" w:cs="宋体"/>
          <w:color w:val="auto"/>
          <w:sz w:val="21"/>
          <w:szCs w:val="21"/>
          <w:highlight w:val="none"/>
        </w:rPr>
        <w:t>证书</w:t>
      </w:r>
      <w:r>
        <w:rPr>
          <w:rFonts w:hint="eastAsia" w:ascii="宋体" w:hAnsi="宋体" w:eastAsia="宋体" w:cs="宋体"/>
          <w:color w:val="auto"/>
          <w:sz w:val="21"/>
          <w:szCs w:val="21"/>
          <w:highlight w:val="none"/>
          <w:lang w:val="en-US" w:eastAsia="zh-CN"/>
        </w:rPr>
        <w:t>上无法体现专业的，还需另行提供</w:t>
      </w:r>
      <w:r>
        <w:rPr>
          <w:rFonts w:hint="eastAsia" w:ascii="宋体" w:hAnsi="宋体" w:eastAsia="宋体" w:cs="宋体"/>
          <w:color w:val="auto"/>
          <w:sz w:val="21"/>
          <w:szCs w:val="21"/>
          <w:highlight w:val="none"/>
        </w:rPr>
        <w:t>证明专业的证明材料</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 xml:space="preserve">； </w:t>
      </w:r>
    </w:p>
    <w:p w14:paraId="01A2C048">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）项目组其他成员（不含项目负责人）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rPr>
        <w:t>不少于2名注册在</w:t>
      </w:r>
      <w:r>
        <w:rPr>
          <w:rFonts w:hint="eastAsia" w:ascii="宋体" w:hAnsi="宋体" w:cs="宋体"/>
          <w:color w:val="auto"/>
          <w:kern w:val="0"/>
          <w:sz w:val="21"/>
          <w:szCs w:val="21"/>
          <w:highlight w:val="none"/>
          <w:lang w:val="en-US" w:eastAsia="zh-CN"/>
        </w:rPr>
        <w:t>投标</w:t>
      </w:r>
      <w:r>
        <w:rPr>
          <w:rFonts w:hint="eastAsia" w:ascii="宋体" w:hAnsi="宋体" w:eastAsia="宋体" w:cs="宋体"/>
          <w:color w:val="auto"/>
          <w:kern w:val="0"/>
          <w:sz w:val="21"/>
          <w:szCs w:val="21"/>
          <w:highlight w:val="none"/>
        </w:rPr>
        <w:t>单位的二级及以上造价工程师（土木建筑专业</w:t>
      </w:r>
      <w:r>
        <w:rPr>
          <w:rFonts w:hint="eastAsia" w:ascii="宋体" w:hAnsi="宋体" w:eastAsia="宋体" w:cs="宋体"/>
          <w:color w:val="auto"/>
          <w:kern w:val="0"/>
          <w:sz w:val="21"/>
          <w:szCs w:val="21"/>
          <w:highlight w:val="none"/>
          <w:lang w:val="en-US" w:eastAsia="zh-CN"/>
        </w:rPr>
        <w:t>至少1名、安装</w:t>
      </w:r>
      <w:r>
        <w:rPr>
          <w:rFonts w:hint="eastAsia" w:ascii="宋体" w:hAnsi="宋体" w:cs="宋体"/>
          <w:color w:val="auto"/>
          <w:kern w:val="0"/>
          <w:sz w:val="21"/>
          <w:szCs w:val="21"/>
          <w:highlight w:val="none"/>
          <w:lang w:val="en-US" w:eastAsia="zh-CN"/>
        </w:rPr>
        <w:t>工程</w:t>
      </w:r>
      <w:r>
        <w:rPr>
          <w:rFonts w:hint="eastAsia" w:ascii="宋体" w:hAnsi="宋体" w:eastAsia="宋体" w:cs="宋体"/>
          <w:color w:val="auto"/>
          <w:kern w:val="0"/>
          <w:sz w:val="21"/>
          <w:szCs w:val="21"/>
          <w:highlight w:val="none"/>
          <w:lang w:val="en-US" w:eastAsia="zh-CN"/>
        </w:rPr>
        <w:t>专业至少1名</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若注册</w:t>
      </w:r>
      <w:r>
        <w:rPr>
          <w:rFonts w:hint="eastAsia" w:ascii="宋体" w:hAnsi="宋体" w:eastAsia="宋体" w:cs="宋体"/>
          <w:color w:val="auto"/>
          <w:sz w:val="21"/>
          <w:szCs w:val="21"/>
          <w:highlight w:val="none"/>
        </w:rPr>
        <w:t>证书</w:t>
      </w:r>
      <w:r>
        <w:rPr>
          <w:rFonts w:hint="eastAsia" w:ascii="宋体" w:hAnsi="宋体" w:eastAsia="宋体" w:cs="宋体"/>
          <w:color w:val="auto"/>
          <w:sz w:val="21"/>
          <w:szCs w:val="21"/>
          <w:highlight w:val="none"/>
          <w:lang w:val="en-US" w:eastAsia="zh-CN"/>
        </w:rPr>
        <w:t>上无法体现专业的，还需另行提供</w:t>
      </w:r>
      <w:r>
        <w:rPr>
          <w:rFonts w:hint="eastAsia" w:ascii="宋体" w:hAnsi="宋体" w:eastAsia="宋体" w:cs="宋体"/>
          <w:color w:val="auto"/>
          <w:sz w:val="21"/>
          <w:szCs w:val="21"/>
          <w:highlight w:val="none"/>
        </w:rPr>
        <w:t>证明专业的证明材料</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 </w:t>
      </w:r>
    </w:p>
    <w:p w14:paraId="7457CE76">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）承诺书1：投标人对所提供的上述材料作出承诺，若投标人存在弄虚作假，提供虚假资料的，若中标，则取消中标资格。（承诺书格式自拟并注明开标日期，加盖投标单位公章）</w:t>
      </w:r>
    </w:p>
    <w:p w14:paraId="529DCA53">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承诺书2：投标人承诺“跟踪审计项目开工前，投标单位需将项目任命文报综合计划科，综合计划科抄送工程建设科，同一个造价人员在市重点处同时承揽跟踪审计业务不得超过三个项目，且不得在两个以上市本级以外的地区同时承揽业务”。不按上述要求执行的，若中标，则取消中标资格。（承诺书格式自拟并注明开标日期，加盖投标单位公章）</w:t>
      </w:r>
    </w:p>
    <w:p w14:paraId="3F0F7B4A">
      <w:pPr>
        <w:keepNext w:val="0"/>
        <w:keepLines w:val="0"/>
        <w:pageBreakBefore w:val="0"/>
        <w:widowControl w:val="0"/>
        <w:numPr>
          <w:ilvl w:val="0"/>
          <w:numId w:val="0"/>
        </w:numPr>
        <w:kinsoku/>
        <w:wordWrap/>
        <w:overflowPunct/>
        <w:topLinePunct w:val="0"/>
        <w:autoSpaceDE/>
        <w:autoSpaceDN/>
        <w:bidi w:val="0"/>
        <w:spacing w:line="50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8</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rPr>
        <w:t>委托代理人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sz w:val="21"/>
          <w:szCs w:val="21"/>
          <w:highlight w:val="none"/>
        </w:rPr>
        <w:t>项目负责人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项目组其他成员</w:t>
      </w:r>
      <w:r>
        <w:rPr>
          <w:rFonts w:hint="eastAsia" w:ascii="宋体" w:hAnsi="宋体" w:eastAsia="宋体" w:cs="宋体"/>
          <w:color w:val="auto"/>
          <w:kern w:val="2"/>
          <w:sz w:val="21"/>
          <w:szCs w:val="21"/>
          <w:highlight w:val="none"/>
          <w:lang w:val="en-US" w:eastAsia="zh-CN" w:bidi="ar-SA"/>
        </w:rPr>
        <w:t>须持有社保部门出具的</w:t>
      </w:r>
      <w:r>
        <w:rPr>
          <w:rFonts w:hint="eastAsia" w:ascii="宋体" w:hAnsi="宋体" w:cs="宋体"/>
          <w:color w:val="auto"/>
          <w:kern w:val="2"/>
          <w:sz w:val="21"/>
          <w:szCs w:val="21"/>
          <w:highlight w:val="none"/>
          <w:lang w:val="en-US" w:eastAsia="zh-CN" w:bidi="ar-SA"/>
        </w:rPr>
        <w:t>投标</w:t>
      </w:r>
      <w:r>
        <w:rPr>
          <w:rFonts w:hint="eastAsia" w:ascii="宋体" w:hAnsi="宋体" w:eastAsia="宋体" w:cs="宋体"/>
          <w:color w:val="auto"/>
          <w:kern w:val="2"/>
          <w:sz w:val="21"/>
          <w:szCs w:val="21"/>
          <w:highlight w:val="none"/>
          <w:lang w:val="en-US" w:eastAsia="zh-CN" w:bidi="ar-SA"/>
        </w:rPr>
        <w:t>单位为其缴纳的投标前近三个月内任意一月的养老保险证明（含官网在线打印件，证明文件两个月内有效），或投标人提供承诺已为上述人员缴纳养老保险证明的承诺书（格式自拟）。</w:t>
      </w:r>
    </w:p>
    <w:p w14:paraId="1D000F8A">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9</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sz w:val="21"/>
          <w:szCs w:val="21"/>
          <w:highlight w:val="none"/>
          <w:lang w:val="en-US" w:eastAsia="zh-CN"/>
        </w:rPr>
        <w:t>投标函</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（格式见附件）</w:t>
      </w:r>
    </w:p>
    <w:p w14:paraId="3DC867D5">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）投标人认为需要提供的其他材料。</w:t>
      </w:r>
    </w:p>
    <w:p w14:paraId="6CFB64B6">
      <w:pPr>
        <w:numPr>
          <w:ilvl w:val="0"/>
          <w:numId w:val="0"/>
        </w:numPr>
        <w:spacing w:line="440" w:lineRule="exact"/>
        <w:jc w:val="both"/>
        <w:rPr>
          <w:rFonts w:hint="eastAsia" w:ascii="宋体" w:hAnsi="Times New Roman" w:eastAsia="宋体" w:cs="Times New Roman"/>
          <w:b/>
          <w:color w:val="auto"/>
          <w:szCs w:val="21"/>
          <w:highlight w:val="none"/>
          <w:lang w:val="en-US" w:eastAsia="zh-CN"/>
        </w:rPr>
      </w:pPr>
      <w:r>
        <w:rPr>
          <w:rFonts w:hint="eastAsia" w:ascii="宋体" w:hAnsi="Times New Roman" w:eastAsia="宋体" w:cs="Times New Roman"/>
          <w:b/>
          <w:color w:val="auto"/>
          <w:szCs w:val="21"/>
          <w:highlight w:val="none"/>
          <w:lang w:val="en-US" w:eastAsia="zh-CN"/>
        </w:rPr>
        <w:t xml:space="preserve">19.投标文件的组成、上传说明 </w:t>
      </w:r>
    </w:p>
    <w:p w14:paraId="344E5516">
      <w:pPr>
        <w:spacing w:line="440" w:lineRule="exact"/>
        <w:rPr>
          <w:rFonts w:hint="eastAsia" w:ascii="宋体" w:hAnsi="Calibri"/>
          <w:color w:val="auto"/>
          <w:szCs w:val="21"/>
          <w:highlight w:val="none"/>
        </w:rPr>
      </w:pPr>
      <w:r>
        <w:rPr>
          <w:rFonts w:hint="eastAsia" w:ascii="宋体" w:hAnsi="Calibri"/>
          <w:color w:val="auto"/>
          <w:szCs w:val="21"/>
          <w:highlight w:val="none"/>
          <w:lang w:val="en-US" w:eastAsia="zh-CN"/>
        </w:rPr>
        <w:t xml:space="preserve">19.1 投标文件的组成 </w:t>
      </w:r>
    </w:p>
    <w:p w14:paraId="6BBBE030">
      <w:pPr>
        <w:spacing w:line="440" w:lineRule="exact"/>
        <w:rPr>
          <w:rFonts w:hint="eastAsia" w:ascii="宋体" w:hAnsi="Calibri"/>
          <w:color w:val="auto"/>
          <w:szCs w:val="21"/>
          <w:highlight w:val="none"/>
        </w:rPr>
      </w:pPr>
      <w:r>
        <w:rPr>
          <w:rFonts w:hint="eastAsia" w:ascii="宋体" w:hAnsi="Calibri"/>
          <w:color w:val="auto"/>
          <w:szCs w:val="21"/>
          <w:highlight w:val="none"/>
          <w:lang w:val="en-US" w:eastAsia="zh-CN"/>
        </w:rPr>
        <w:t xml:space="preserve">具体内容详见第四章投标文件格式内容。 </w:t>
      </w:r>
    </w:p>
    <w:p w14:paraId="559C5DB4">
      <w:pPr>
        <w:spacing w:line="440" w:lineRule="exact"/>
        <w:rPr>
          <w:rFonts w:hint="eastAsia" w:ascii="宋体" w:hAnsi="Calibri"/>
          <w:color w:val="auto"/>
          <w:szCs w:val="21"/>
          <w:highlight w:val="none"/>
        </w:rPr>
      </w:pPr>
      <w:r>
        <w:rPr>
          <w:rFonts w:hint="eastAsia" w:ascii="宋体" w:hAnsi="Calibri"/>
          <w:color w:val="auto"/>
          <w:szCs w:val="21"/>
          <w:highlight w:val="none"/>
          <w:lang w:val="en-US" w:eastAsia="zh-CN"/>
        </w:rPr>
        <w:t xml:space="preserve">19.2 投标文件的上传 </w:t>
      </w:r>
    </w:p>
    <w:p w14:paraId="072124E9">
      <w:pPr>
        <w:spacing w:line="440" w:lineRule="exact"/>
        <w:ind w:firstLine="420" w:firstLineChars="200"/>
        <w:rPr>
          <w:rFonts w:hint="eastAsia" w:ascii="宋体" w:hAnsi="Calibri"/>
          <w:color w:val="auto"/>
          <w:szCs w:val="21"/>
          <w:highlight w:val="none"/>
        </w:rPr>
      </w:pPr>
      <w:r>
        <w:rPr>
          <w:rFonts w:hint="eastAsia" w:ascii="宋体" w:hAnsi="Calibri"/>
          <w:color w:val="auto"/>
          <w:szCs w:val="21"/>
          <w:highlight w:val="none"/>
          <w:lang w:val="en-US" w:eastAsia="zh-CN"/>
        </w:rPr>
        <w:t>（1）</w:t>
      </w:r>
      <w:r>
        <w:rPr>
          <w:rFonts w:hint="eastAsia" w:ascii="宋体" w:hAnsi="宋体" w:cs="宋体"/>
          <w:color w:val="auto"/>
          <w:szCs w:val="21"/>
          <w:highlight w:val="none"/>
        </w:rPr>
        <w:t>请投标人通过</w:t>
      </w:r>
      <w:r>
        <w:rPr>
          <w:rFonts w:hint="eastAsia" w:ascii="宋体" w:hAnsi="宋体" w:cs="宋体"/>
          <w:color w:val="auto"/>
          <w:szCs w:val="21"/>
          <w:highlight w:val="none"/>
          <w:lang w:val="en-US" w:eastAsia="zh-CN"/>
        </w:rPr>
        <w:t>新点电子交易平台</w:t>
      </w:r>
      <w:r>
        <w:rPr>
          <w:rFonts w:hint="eastAsia" w:ascii="宋体" w:hAnsi="宋体" w:cs="宋体"/>
          <w:color w:val="auto"/>
          <w:szCs w:val="21"/>
          <w:highlight w:val="none"/>
        </w:rPr>
        <w:t>下载投标工具制作投标文件，并利用CA数字证书进行上传投标文件，上传已加密的投标文件，务必通过此方式上传投标文件</w:t>
      </w:r>
      <w:r>
        <w:rPr>
          <w:rFonts w:hint="eastAsia" w:ascii="宋体" w:hAnsi="Calibri"/>
          <w:color w:val="auto"/>
          <w:szCs w:val="21"/>
          <w:highlight w:val="none"/>
          <w:lang w:val="en-US" w:eastAsia="zh-CN"/>
        </w:rPr>
        <w:t xml:space="preserve">。 </w:t>
      </w:r>
    </w:p>
    <w:p w14:paraId="5E5DC0DE">
      <w:pPr>
        <w:spacing w:line="440" w:lineRule="exact"/>
        <w:ind w:firstLine="420" w:firstLineChars="200"/>
        <w:rPr>
          <w:rFonts w:hint="eastAsia" w:ascii="宋体" w:hAnsi="Calibri"/>
          <w:color w:val="auto"/>
          <w:szCs w:val="21"/>
          <w:highlight w:val="none"/>
        </w:rPr>
      </w:pPr>
      <w:r>
        <w:rPr>
          <w:rFonts w:hint="eastAsia" w:ascii="宋体" w:hAnsi="Calibri"/>
          <w:color w:val="auto"/>
          <w:szCs w:val="21"/>
          <w:highlight w:val="none"/>
          <w:lang w:val="en-US" w:eastAsia="zh-CN"/>
        </w:rPr>
        <w:t>（2）</w:t>
      </w:r>
      <w:r>
        <w:rPr>
          <w:rFonts w:hint="eastAsia" w:ascii="宋体" w:hAnsi="Calibri"/>
          <w:b/>
          <w:bCs/>
          <w:color w:val="auto"/>
          <w:szCs w:val="21"/>
          <w:highlight w:val="none"/>
          <w:lang w:val="en-US" w:eastAsia="zh-CN"/>
        </w:rPr>
        <w:t>投标人在投标文件编制、签章、上传过程中如有任何操作的疑问请及时联系技术支持，电话： 400928009-5 （工作日）或者网站首页在线客服</w:t>
      </w:r>
      <w:r>
        <w:rPr>
          <w:rFonts w:hint="eastAsia" w:ascii="宋体" w:hAnsi="Calibri"/>
          <w:color w:val="auto"/>
          <w:szCs w:val="21"/>
          <w:highlight w:val="none"/>
          <w:lang w:val="en-US" w:eastAsia="zh-CN"/>
        </w:rPr>
        <w:t xml:space="preserve">。 </w:t>
      </w:r>
    </w:p>
    <w:p w14:paraId="1EADF7E1">
      <w:pPr>
        <w:spacing w:line="440" w:lineRule="exact"/>
        <w:ind w:firstLine="420" w:firstLineChars="200"/>
        <w:rPr>
          <w:rFonts w:hint="eastAsia" w:ascii="宋体" w:hAnsi="Calibri"/>
          <w:color w:val="auto"/>
          <w:szCs w:val="21"/>
          <w:highlight w:val="none"/>
        </w:rPr>
      </w:pPr>
      <w:r>
        <w:rPr>
          <w:rFonts w:hint="eastAsia" w:ascii="宋体" w:hAnsi="Calibri"/>
          <w:color w:val="auto"/>
          <w:szCs w:val="21"/>
          <w:highlight w:val="none"/>
          <w:lang w:val="en-US" w:eastAsia="zh-CN"/>
        </w:rPr>
        <w:t xml:space="preserve">（3）如果因投标人自身原因导致投标文件在规定时间内未能解密、解密失败或解密超时，投标文件无效；因代理公司原因或网上平台发生故障，导致无法按时完成投标文件解密的，经代理公司申请后可延迟解密时间。 </w:t>
      </w:r>
    </w:p>
    <w:p w14:paraId="2A77AAEF">
      <w:pPr>
        <w:spacing w:line="440" w:lineRule="exact"/>
        <w:rPr>
          <w:rFonts w:hint="eastAsia" w:ascii="宋体" w:hAnsi="Calibri"/>
          <w:color w:val="auto"/>
          <w:szCs w:val="21"/>
          <w:highlight w:val="none"/>
        </w:rPr>
      </w:pPr>
      <w:r>
        <w:rPr>
          <w:rFonts w:hint="eastAsia" w:ascii="宋体" w:hAnsi="Calibri"/>
          <w:color w:val="auto"/>
          <w:szCs w:val="21"/>
          <w:highlight w:val="none"/>
          <w:lang w:val="en-US" w:eastAsia="zh-CN"/>
        </w:rPr>
        <w:t xml:space="preserve">19.3 投标文件的编制 </w:t>
      </w:r>
    </w:p>
    <w:p w14:paraId="10459534">
      <w:pPr>
        <w:spacing w:line="440" w:lineRule="exact"/>
        <w:ind w:firstLine="420" w:firstLineChars="200"/>
        <w:rPr>
          <w:rFonts w:hint="eastAsia" w:ascii="宋体" w:hAnsi="Calibri"/>
          <w:color w:val="auto"/>
          <w:szCs w:val="21"/>
          <w:highlight w:val="none"/>
        </w:rPr>
      </w:pPr>
      <w:r>
        <w:rPr>
          <w:rFonts w:hint="eastAsia" w:ascii="宋体" w:hAnsi="Calibri"/>
          <w:color w:val="auto"/>
          <w:szCs w:val="21"/>
          <w:highlight w:val="none"/>
          <w:lang w:val="en-US" w:eastAsia="zh-CN"/>
        </w:rPr>
        <w:t xml:space="preserve">（1）投标文件应按第四章“投标文件格式”进行编写，如有必要，可以增加附页，作为投标文件的组成部分。 </w:t>
      </w:r>
    </w:p>
    <w:p w14:paraId="506A6FCB">
      <w:pPr>
        <w:spacing w:line="440" w:lineRule="exact"/>
        <w:ind w:firstLine="420" w:firstLineChars="200"/>
        <w:rPr>
          <w:rFonts w:hint="eastAsia" w:ascii="宋体" w:hAnsi="Calibri"/>
          <w:color w:val="auto"/>
          <w:szCs w:val="21"/>
          <w:highlight w:val="none"/>
        </w:rPr>
      </w:pPr>
      <w:r>
        <w:rPr>
          <w:rFonts w:hint="eastAsia" w:ascii="宋体" w:hAnsi="Calibri"/>
          <w:color w:val="auto"/>
          <w:szCs w:val="21"/>
          <w:highlight w:val="none"/>
          <w:lang w:val="en-US" w:eastAsia="zh-CN"/>
        </w:rPr>
        <w:t>（2）</w:t>
      </w:r>
      <w:r>
        <w:rPr>
          <w:rFonts w:hint="eastAsia" w:ascii="宋体" w:hAnsi="宋体" w:cs="宋体"/>
          <w:b/>
          <w:bCs/>
          <w:color w:val="auto"/>
          <w:szCs w:val="21"/>
          <w:highlight w:val="none"/>
        </w:rPr>
        <w:t>本次投标不需要提供纸质投标文件，投标人应按照电子招标投标的要求，在投标人的电子系统中制作、签章、上传加密的电子投标文件</w:t>
      </w:r>
      <w:r>
        <w:rPr>
          <w:rFonts w:hint="eastAsia" w:ascii="宋体" w:hAnsi="Calibri"/>
          <w:color w:val="auto"/>
          <w:szCs w:val="21"/>
          <w:highlight w:val="none"/>
          <w:lang w:val="en-US" w:eastAsia="zh-CN"/>
        </w:rPr>
        <w:t xml:space="preserve">。 </w:t>
      </w:r>
    </w:p>
    <w:p w14:paraId="6355F856">
      <w:pPr>
        <w:spacing w:line="440" w:lineRule="exact"/>
        <w:ind w:firstLine="420" w:firstLineChars="200"/>
        <w:rPr>
          <w:rFonts w:hint="eastAsia" w:ascii="宋体" w:hAnsi="Calibri"/>
          <w:color w:val="auto"/>
          <w:szCs w:val="21"/>
          <w:highlight w:val="none"/>
        </w:rPr>
      </w:pPr>
      <w:r>
        <w:rPr>
          <w:rFonts w:hint="eastAsia" w:ascii="宋体" w:hAnsi="Calibri"/>
          <w:color w:val="auto"/>
          <w:szCs w:val="21"/>
          <w:highlight w:val="none"/>
          <w:lang w:val="en-US" w:eastAsia="zh-CN"/>
        </w:rPr>
        <w:t xml:space="preserve">（3）网上递交的电子投标文件制作工具等要求详见系统内帮助模块。 </w:t>
      </w:r>
    </w:p>
    <w:p w14:paraId="5B87B754">
      <w:pPr>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宋体" w:hAnsi="Calibri"/>
          <w:color w:val="auto"/>
          <w:szCs w:val="21"/>
          <w:highlight w:val="none"/>
          <w:lang w:val="en-US" w:eastAsia="zh-CN"/>
        </w:rPr>
      </w:pPr>
      <w:r>
        <w:rPr>
          <w:rFonts w:hint="eastAsia" w:ascii="宋体" w:hAnsi="Calibri"/>
          <w:color w:val="auto"/>
          <w:szCs w:val="21"/>
          <w:highlight w:val="none"/>
          <w:lang w:val="en-US" w:eastAsia="zh-CN"/>
        </w:rPr>
        <w:t>（4）网上递交的电子投标文件应按招标文件规定的格式由投标人的法定代表人和投标人分别签章。</w:t>
      </w:r>
    </w:p>
    <w:p w14:paraId="62849197">
      <w:pPr>
        <w:pStyle w:val="2"/>
        <w:rPr>
          <w:rFonts w:hint="eastAsia" w:ascii="宋体" w:hAnsi="Calibri" w:eastAsia="宋体" w:cs="Times New Roman"/>
          <w:color w:val="auto"/>
          <w:kern w:val="2"/>
          <w:sz w:val="21"/>
          <w:szCs w:val="21"/>
          <w:highlight w:val="none"/>
          <w:lang w:val="en-US" w:eastAsia="zh-CN" w:bidi="ar-SA"/>
        </w:rPr>
      </w:pPr>
      <w:r>
        <w:rPr>
          <w:rFonts w:hint="eastAsia" w:ascii="宋体" w:hAnsi="Calibri" w:eastAsia="宋体" w:cs="Times New Roman"/>
          <w:color w:val="auto"/>
          <w:kern w:val="2"/>
          <w:sz w:val="21"/>
          <w:szCs w:val="21"/>
          <w:highlight w:val="none"/>
          <w:lang w:val="en-US" w:eastAsia="zh-CN" w:bidi="ar-SA"/>
        </w:rPr>
        <w:t>（5）招标人有权核查投标人在投标文件中提供的资料，若在评标期间发现投标人提供了虚假资料，其投标将被否决；若发现投标人以他人名义投标或者以其他方式弄虚作假骗取中标的，中标无效；如果签订合同后发现中标人提供了虚假材料，招标人有权解除合同。同时招标人将投标人上述弄虚作假行为上报公共资源交易监督管理部门处理。</w:t>
      </w:r>
    </w:p>
    <w:p w14:paraId="5A82299E">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eastAsia="zh-CN"/>
        </w:rPr>
        <w:t>）</w:t>
      </w:r>
      <w:r>
        <w:rPr>
          <w:rFonts w:hint="eastAsia" w:ascii="宋体" w:hAnsi="宋体" w:cs="宋体"/>
          <w:color w:val="auto"/>
          <w:szCs w:val="21"/>
          <w:highlight w:val="none"/>
        </w:rPr>
        <w:t>投标文件的制作应满足以下规定：</w:t>
      </w:r>
    </w:p>
    <w:p w14:paraId="48490317">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①</w:t>
      </w:r>
      <w:r>
        <w:rPr>
          <w:rFonts w:hint="eastAsia" w:ascii="宋体" w:hAnsi="宋体" w:cs="宋体"/>
          <w:color w:val="auto"/>
          <w:szCs w:val="21"/>
          <w:highlight w:val="none"/>
        </w:rPr>
        <w:t>投标文件由投标人使用</w:t>
      </w:r>
      <w:r>
        <w:rPr>
          <w:rFonts w:hint="eastAsia" w:ascii="宋体" w:hAnsi="宋体" w:cs="宋体"/>
          <w:color w:val="auto"/>
          <w:szCs w:val="21"/>
          <w:highlight w:val="none"/>
          <w:lang w:val="en-US" w:eastAsia="zh-CN"/>
        </w:rPr>
        <w:t>新点电子交易平台</w:t>
      </w:r>
      <w:r>
        <w:rPr>
          <w:rFonts w:hint="eastAsia" w:ascii="宋体" w:hAnsi="宋体" w:cs="宋体"/>
          <w:color w:val="auto"/>
          <w:szCs w:val="21"/>
          <w:highlight w:val="none"/>
        </w:rPr>
        <w:t>提供的“投标文件制作工具”制作生成。“投标文件制作工具”可以通过电子交易系统下载。</w:t>
      </w:r>
    </w:p>
    <w:p w14:paraId="424145B6">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②</w:t>
      </w:r>
      <w:r>
        <w:rPr>
          <w:rFonts w:hint="eastAsia" w:ascii="宋体" w:hAnsi="宋体" w:cs="宋体"/>
          <w:b/>
          <w:color w:val="auto"/>
          <w:szCs w:val="21"/>
          <w:highlight w:val="none"/>
        </w:rPr>
        <w:t>招标文件中“签章”是指签字或盖章</w:t>
      </w:r>
      <w:r>
        <w:rPr>
          <w:rFonts w:hint="eastAsia" w:ascii="宋体" w:hAnsi="宋体" w:cs="宋体"/>
          <w:b/>
          <w:color w:val="auto"/>
          <w:szCs w:val="21"/>
          <w:highlight w:val="none"/>
          <w:lang w:val="en-US" w:eastAsia="zh-CN"/>
        </w:rPr>
        <w:t>。在“投标文件格式”中要求单位签章的，投标人应加盖投标人单位电子印章或直接上传加盖投标人单位印章原件彩色扫描件。要求个人签章的，加盖相应人员印章（或电子印章）或相应人员签字均可</w:t>
      </w:r>
      <w:r>
        <w:rPr>
          <w:rFonts w:hint="eastAsia" w:ascii="宋体" w:hAnsi="宋体" w:cs="宋体"/>
          <w:color w:val="auto"/>
          <w:szCs w:val="21"/>
          <w:highlight w:val="none"/>
        </w:rPr>
        <w:t>。</w:t>
      </w:r>
    </w:p>
    <w:p w14:paraId="52D29299">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③</w:t>
      </w:r>
      <w:r>
        <w:rPr>
          <w:rFonts w:hint="eastAsia" w:ascii="宋体" w:hAnsi="宋体" w:cs="宋体"/>
          <w:color w:val="auto"/>
          <w:szCs w:val="21"/>
          <w:highlight w:val="none"/>
        </w:rPr>
        <w:t>投标文件制作完成后，投标人应对投标文件进行文件加密，形成加密的投标文件。采用CA数字证书加密的，加密时投标文件的所有内容均只能使用同一把CA数字证书进行加密，否则引起的解密失败责任由投标人自行承担。</w:t>
      </w:r>
    </w:p>
    <w:p w14:paraId="65D00B00">
      <w:pPr>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因投标人自身原因而导致投标文件无法导入电子交易系统电子开标、评标系统，该投标视为无效投标，投标人自行承担由此导致的全部责任</w:t>
      </w:r>
      <w:r>
        <w:rPr>
          <w:rFonts w:hint="eastAsia" w:ascii="宋体" w:hAnsi="宋体" w:cs="宋体"/>
          <w:color w:val="auto"/>
          <w:kern w:val="0"/>
          <w:szCs w:val="21"/>
          <w:highlight w:val="none"/>
          <w:lang w:eastAsia="zh-CN"/>
        </w:rPr>
        <w:t>。</w:t>
      </w:r>
    </w:p>
    <w:p w14:paraId="235F678A">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20</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投标报价</w:t>
      </w:r>
    </w:p>
    <w:p w14:paraId="05488F20">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20</w:t>
      </w:r>
      <w:r>
        <w:rPr>
          <w:rFonts w:hint="eastAsia" w:ascii="宋体" w:hAnsi="宋体" w:eastAsia="宋体" w:cs="宋体"/>
          <w:color w:val="auto"/>
          <w:sz w:val="21"/>
          <w:szCs w:val="21"/>
          <w:highlight w:val="none"/>
        </w:rPr>
        <w:t>.1投标人的投标报价包括按合同规定的范围所提供的全部服务所需的费用，即招标范围内人员工资、办公费用、</w:t>
      </w:r>
      <w:r>
        <w:rPr>
          <w:rFonts w:hint="eastAsia" w:ascii="宋体" w:hAnsi="宋体" w:eastAsia="宋体" w:cs="宋体"/>
          <w:color w:val="auto"/>
          <w:sz w:val="21"/>
          <w:szCs w:val="21"/>
          <w:highlight w:val="none"/>
          <w:lang w:val="en-US" w:eastAsia="zh-CN"/>
        </w:rPr>
        <w:t>专家评审费、</w:t>
      </w:r>
      <w:r>
        <w:rPr>
          <w:rFonts w:hint="eastAsia" w:ascii="宋体" w:hAnsi="宋体" w:eastAsia="宋体" w:cs="宋体"/>
          <w:color w:val="auto"/>
          <w:sz w:val="21"/>
          <w:szCs w:val="21"/>
          <w:highlight w:val="none"/>
        </w:rPr>
        <w:t>成本、利润及税金等</w:t>
      </w:r>
      <w:r>
        <w:rPr>
          <w:rFonts w:hint="eastAsia" w:ascii="宋体" w:hAnsi="宋体" w:eastAsia="宋体" w:cs="宋体"/>
          <w:color w:val="auto"/>
          <w:sz w:val="21"/>
          <w:szCs w:val="21"/>
          <w:highlight w:val="none"/>
          <w:lang w:val="en-US" w:eastAsia="zh-CN"/>
        </w:rPr>
        <w:t>完成本项目所有工作所产生的</w:t>
      </w:r>
      <w:r>
        <w:rPr>
          <w:rFonts w:hint="eastAsia" w:ascii="宋体" w:hAnsi="宋体" w:eastAsia="宋体" w:cs="宋体"/>
          <w:color w:val="auto"/>
          <w:sz w:val="21"/>
          <w:szCs w:val="21"/>
          <w:highlight w:val="none"/>
        </w:rPr>
        <w:t>全部费用。</w:t>
      </w:r>
    </w:p>
    <w:p w14:paraId="076B814B">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20</w:t>
      </w:r>
      <w:r>
        <w:rPr>
          <w:rFonts w:hint="eastAsia" w:ascii="宋体" w:hAnsi="宋体" w:eastAsia="宋体" w:cs="宋体"/>
          <w:color w:val="auto"/>
          <w:sz w:val="21"/>
          <w:szCs w:val="21"/>
          <w:highlight w:val="none"/>
        </w:rPr>
        <w:t>.2 投标报价不按规定报价的，其投标文件按无效标处理。</w:t>
      </w:r>
    </w:p>
    <w:p w14:paraId="79647B60">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.投标有效期</w:t>
      </w:r>
    </w:p>
    <w:p w14:paraId="6BD254F2">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.1投标有效期为</w:t>
      </w:r>
      <w:r>
        <w:rPr>
          <w:rFonts w:hint="eastAsia" w:ascii="宋体" w:hAnsi="宋体" w:eastAsia="宋体" w:cs="宋体"/>
          <w:color w:val="auto"/>
          <w:sz w:val="21"/>
          <w:szCs w:val="21"/>
          <w:highlight w:val="none"/>
          <w:u w:val="single"/>
        </w:rPr>
        <w:t>60</w:t>
      </w:r>
      <w:r>
        <w:rPr>
          <w:rFonts w:hint="eastAsia" w:ascii="宋体" w:hAnsi="宋体" w:eastAsia="宋体" w:cs="宋体"/>
          <w:color w:val="auto"/>
          <w:sz w:val="21"/>
          <w:szCs w:val="21"/>
          <w:highlight w:val="none"/>
        </w:rPr>
        <w:t>日历天（从投标截止之日算起）。在此期限内，凡符合本招标文件要求的投标文件均保持有效。</w:t>
      </w:r>
    </w:p>
    <w:p w14:paraId="3EF24EAB">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.2 在特殊情况下，招标人在原定投标有效期内，可以根据需要以书面形式向投标人提出延长投标有效期的要求，对此要求投标人须以书面形式予以答复。投标人可以拒绝招标人这种要求，而不被没收投标保证金。同意延长投标有效期的投标人既不能要求也不允许修改其投标文件，但需要相应的延长投标担保的有效期，在延长的投标有效期内，本须知关于投标担保的退还与没收的规定仍然适用</w:t>
      </w:r>
      <w:r>
        <w:rPr>
          <w:rFonts w:hint="eastAsia" w:ascii="宋体" w:hAnsi="宋体" w:eastAsia="宋体" w:cs="宋体"/>
          <w:color w:val="auto"/>
          <w:sz w:val="24"/>
          <w:highlight w:val="none"/>
        </w:rPr>
        <w:t>。</w:t>
      </w:r>
    </w:p>
    <w:p w14:paraId="2893E5B9">
      <w:pPr>
        <w:keepNext w:val="0"/>
        <w:keepLines w:val="0"/>
        <w:pageBreakBefore w:val="0"/>
        <w:widowControl w:val="0"/>
        <w:kinsoku/>
        <w:wordWrap/>
        <w:overflowPunct/>
        <w:topLinePunct w:val="0"/>
        <w:autoSpaceDE/>
        <w:autoSpaceDN/>
        <w:bidi w:val="0"/>
        <w:spacing w:line="500" w:lineRule="exact"/>
        <w:jc w:val="center"/>
        <w:textAlignment w:val="auto"/>
        <w:outlineLvl w:val="1"/>
        <w:rPr>
          <w:rFonts w:hint="eastAsia" w:ascii="宋体" w:hAnsi="宋体" w:eastAsia="宋体" w:cs="宋体"/>
          <w:color w:val="auto"/>
          <w:sz w:val="24"/>
          <w:highlight w:val="none"/>
          <w:lang w:val="en-US" w:eastAsia="zh-CN"/>
        </w:rPr>
      </w:pPr>
      <w:bookmarkStart w:id="50" w:name="_Toc27519"/>
      <w:r>
        <w:rPr>
          <w:rFonts w:hint="eastAsia" w:ascii="宋体" w:hAnsi="宋体" w:eastAsia="宋体" w:cs="宋体"/>
          <w:color w:val="auto"/>
          <w:sz w:val="24"/>
          <w:highlight w:val="none"/>
          <w:lang w:val="en-US" w:eastAsia="zh-CN"/>
        </w:rPr>
        <w:t xml:space="preserve"> </w:t>
      </w:r>
    </w:p>
    <w:p w14:paraId="0A229A7F">
      <w:pPr>
        <w:keepNext w:val="0"/>
        <w:keepLines w:val="0"/>
        <w:pageBreakBefore w:val="0"/>
        <w:widowControl w:val="0"/>
        <w:kinsoku/>
        <w:wordWrap/>
        <w:overflowPunct/>
        <w:topLinePunct w:val="0"/>
        <w:autoSpaceDE/>
        <w:autoSpaceDN/>
        <w:bidi w:val="0"/>
        <w:spacing w:line="500" w:lineRule="exact"/>
        <w:jc w:val="center"/>
        <w:textAlignment w:val="auto"/>
        <w:outlineLvl w:val="1"/>
        <w:rPr>
          <w:rFonts w:hint="eastAsia" w:ascii="宋体" w:hAnsi="宋体" w:eastAsia="宋体" w:cs="宋体"/>
          <w:color w:val="auto"/>
          <w:sz w:val="28"/>
          <w:szCs w:val="28"/>
          <w:highlight w:val="none"/>
        </w:rPr>
      </w:pPr>
      <w:bookmarkStart w:id="51" w:name="_Toc13407"/>
      <w:r>
        <w:rPr>
          <w:rFonts w:hint="eastAsia" w:ascii="宋体" w:hAnsi="宋体" w:eastAsia="宋体" w:cs="宋体"/>
          <w:b/>
          <w:bCs/>
          <w:color w:val="auto"/>
          <w:sz w:val="28"/>
          <w:highlight w:val="none"/>
        </w:rPr>
        <w:t>四、投标文件的递交</w:t>
      </w:r>
      <w:bookmarkEnd w:id="50"/>
      <w:bookmarkEnd w:id="51"/>
    </w:p>
    <w:p w14:paraId="3545408C">
      <w:pPr>
        <w:numPr>
          <w:ilvl w:val="0"/>
          <w:numId w:val="0"/>
        </w:numPr>
        <w:spacing w:line="440" w:lineRule="exact"/>
        <w:jc w:val="both"/>
        <w:rPr>
          <w:rFonts w:hint="eastAsia" w:ascii="宋体" w:hAnsi="Times New Roman" w:eastAsia="宋体" w:cs="Times New Roman"/>
          <w:b/>
          <w:bCs/>
          <w:color w:val="auto"/>
          <w:szCs w:val="21"/>
          <w:highlight w:val="none"/>
        </w:rPr>
      </w:pPr>
      <w:r>
        <w:rPr>
          <w:rFonts w:hint="eastAsia" w:ascii="宋体" w:hAnsi="宋体" w:cs="宋体"/>
          <w:b/>
          <w:bCs/>
          <w:color w:val="auto"/>
          <w:sz w:val="21"/>
          <w:szCs w:val="21"/>
          <w:highlight w:val="none"/>
          <w:lang w:val="en-US" w:eastAsia="zh-CN"/>
        </w:rPr>
        <w:t>22.</w:t>
      </w:r>
      <w:r>
        <w:rPr>
          <w:rFonts w:hint="eastAsia" w:ascii="宋体" w:hAnsi="Times New Roman" w:eastAsia="宋体" w:cs="Times New Roman"/>
          <w:b/>
          <w:bCs/>
          <w:color w:val="auto"/>
          <w:szCs w:val="21"/>
          <w:highlight w:val="none"/>
        </w:rPr>
        <w:t>投标文件的份数和签署</w:t>
      </w:r>
    </w:p>
    <w:p w14:paraId="0F10380A">
      <w:pPr>
        <w:spacing w:line="440" w:lineRule="exact"/>
        <w:jc w:val="left"/>
        <w:rPr>
          <w:rFonts w:hint="eastAsia" w:ascii="宋体" w:hAnsi="宋体"/>
          <w:b/>
          <w:bCs/>
          <w:color w:val="auto"/>
          <w:szCs w:val="21"/>
          <w:highlight w:val="none"/>
        </w:rPr>
      </w:pPr>
      <w:r>
        <w:rPr>
          <w:rFonts w:hint="eastAsia" w:ascii="宋体"/>
          <w:b/>
          <w:bCs/>
          <w:color w:val="auto"/>
          <w:szCs w:val="21"/>
          <w:highlight w:val="none"/>
        </w:rPr>
        <w:t>2</w:t>
      </w:r>
      <w:r>
        <w:rPr>
          <w:rFonts w:hint="eastAsia" w:ascii="宋体"/>
          <w:b/>
          <w:bCs/>
          <w:color w:val="auto"/>
          <w:szCs w:val="21"/>
          <w:highlight w:val="none"/>
          <w:lang w:val="en-US" w:eastAsia="zh-CN"/>
        </w:rPr>
        <w:t>2</w:t>
      </w:r>
      <w:r>
        <w:rPr>
          <w:rFonts w:hint="eastAsia" w:ascii="宋体"/>
          <w:b/>
          <w:bCs/>
          <w:color w:val="auto"/>
          <w:szCs w:val="21"/>
          <w:highlight w:val="none"/>
        </w:rPr>
        <w:t>.1</w:t>
      </w:r>
      <w:r>
        <w:rPr>
          <w:rFonts w:hint="eastAsia" w:ascii="宋体" w:hAnsi="宋体" w:cs="宋体"/>
          <w:color w:val="auto"/>
          <w:kern w:val="0"/>
          <w:szCs w:val="21"/>
          <w:highlight w:val="none"/>
        </w:rPr>
        <w:t>投标人中标后须递交与网上电子投标文件完全一致的纸质版投标文件，在领取中标通知书时，一并递交给招标代理机构。</w:t>
      </w:r>
    </w:p>
    <w:p w14:paraId="28A205A5">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b/>
          <w:bCs/>
          <w:color w:val="auto"/>
          <w:szCs w:val="21"/>
          <w:highlight w:val="none"/>
        </w:rPr>
        <w:t>2</w:t>
      </w:r>
      <w:r>
        <w:rPr>
          <w:rFonts w:hint="eastAsia" w:ascii="宋体"/>
          <w:b/>
          <w:bCs/>
          <w:color w:val="auto"/>
          <w:szCs w:val="21"/>
          <w:highlight w:val="none"/>
          <w:lang w:val="en-US" w:eastAsia="zh-CN"/>
        </w:rPr>
        <w:t>2</w:t>
      </w:r>
      <w:r>
        <w:rPr>
          <w:rFonts w:hint="eastAsia" w:ascii="宋体"/>
          <w:b/>
          <w:bCs/>
          <w:color w:val="auto"/>
          <w:szCs w:val="21"/>
          <w:highlight w:val="none"/>
        </w:rPr>
        <w:t xml:space="preserve">.2 </w:t>
      </w:r>
      <w:r>
        <w:rPr>
          <w:rFonts w:hint="eastAsia" w:ascii="宋体" w:hAnsi="宋体"/>
          <w:b/>
          <w:color w:val="auto"/>
          <w:szCs w:val="21"/>
          <w:highlight w:val="none"/>
        </w:rPr>
        <w:t>电子投标文件须按格式文件要求签字或盖章（电子签章），否则经评委会一致认定后, 按照无效投标处理</w:t>
      </w:r>
      <w:r>
        <w:rPr>
          <w:rFonts w:hint="eastAsia" w:ascii="宋体" w:hAnsi="宋体" w:eastAsia="宋体" w:cs="宋体"/>
          <w:color w:val="auto"/>
          <w:sz w:val="21"/>
          <w:szCs w:val="21"/>
          <w:highlight w:val="none"/>
        </w:rPr>
        <w:t>。</w:t>
      </w:r>
    </w:p>
    <w:p w14:paraId="63552288">
      <w:pPr>
        <w:spacing w:line="440" w:lineRule="exact"/>
        <w:jc w:val="left"/>
        <w:rPr>
          <w:rFonts w:hint="eastAsia" w:ascii="宋体" w:hAnsi="宋体"/>
          <w:b/>
          <w:bCs/>
          <w:color w:val="auto"/>
          <w:szCs w:val="21"/>
          <w:highlight w:val="none"/>
        </w:rPr>
      </w:pPr>
      <w:r>
        <w:rPr>
          <w:rFonts w:hint="eastAsia" w:ascii="宋体" w:hAnsi="宋体" w:cs="宋体"/>
          <w:b/>
          <w:bCs/>
          <w:color w:val="auto"/>
          <w:sz w:val="21"/>
          <w:szCs w:val="21"/>
          <w:highlight w:val="none"/>
          <w:lang w:val="en-US" w:eastAsia="zh-CN"/>
        </w:rPr>
        <w:t>23.</w:t>
      </w:r>
      <w:r>
        <w:rPr>
          <w:rFonts w:hint="eastAsia" w:ascii="宋体" w:hAnsi="宋体"/>
          <w:b/>
          <w:bCs/>
          <w:color w:val="auto"/>
          <w:szCs w:val="21"/>
          <w:highlight w:val="none"/>
        </w:rPr>
        <w:t>投标文件的提交</w:t>
      </w:r>
    </w:p>
    <w:p w14:paraId="7F8AEA89">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b/>
          <w:color w:val="auto"/>
          <w:szCs w:val="21"/>
          <w:highlight w:val="none"/>
        </w:rPr>
        <w:t>2</w:t>
      </w:r>
      <w:r>
        <w:rPr>
          <w:rFonts w:hint="eastAsia" w:ascii="宋体" w:hAnsi="宋体"/>
          <w:b/>
          <w:color w:val="auto"/>
          <w:szCs w:val="21"/>
          <w:highlight w:val="none"/>
          <w:lang w:val="en-US" w:eastAsia="zh-CN"/>
        </w:rPr>
        <w:t>3</w:t>
      </w:r>
      <w:r>
        <w:rPr>
          <w:rFonts w:hint="eastAsia" w:ascii="宋体" w:hAnsi="宋体"/>
          <w:b/>
          <w:color w:val="auto"/>
          <w:szCs w:val="21"/>
          <w:highlight w:val="none"/>
        </w:rPr>
        <w:t>.1 投标人应当在投标截止时间前完成投标文件的网上递交，并可以补充、修改或者撤回投标文件。投标截止时间前未完成投标文件网上递交的，视为撤回投标文件。未按规定加密或投标截止时间后通过</w:t>
      </w:r>
      <w:r>
        <w:rPr>
          <w:rFonts w:hint="eastAsia" w:ascii="宋体" w:hAnsi="宋体"/>
          <w:b/>
          <w:color w:val="auto"/>
          <w:szCs w:val="21"/>
          <w:highlight w:val="none"/>
          <w:lang w:val="en-US" w:eastAsia="zh-CN"/>
        </w:rPr>
        <w:t>新点电子交易平台</w:t>
      </w:r>
      <w:r>
        <w:rPr>
          <w:rFonts w:hint="eastAsia" w:ascii="宋体" w:hAnsi="宋体"/>
          <w:b/>
          <w:color w:val="auto"/>
          <w:szCs w:val="21"/>
          <w:highlight w:val="none"/>
        </w:rPr>
        <w:t>递交电子投标文件的，电子交易系统应当拒收，投标无效</w:t>
      </w:r>
      <w:r>
        <w:rPr>
          <w:rFonts w:hint="eastAsia" w:ascii="宋体" w:hAnsi="宋体" w:eastAsia="宋体" w:cs="宋体"/>
          <w:color w:val="auto"/>
          <w:sz w:val="21"/>
          <w:szCs w:val="21"/>
          <w:highlight w:val="none"/>
        </w:rPr>
        <w:t>。</w:t>
      </w:r>
    </w:p>
    <w:p w14:paraId="6948FF47">
      <w:pPr>
        <w:spacing w:line="440" w:lineRule="exact"/>
        <w:rPr>
          <w:rFonts w:hint="eastAsia" w:ascii="宋体"/>
          <w:b/>
          <w:color w:val="auto"/>
          <w:szCs w:val="21"/>
          <w:highlight w:val="none"/>
        </w:rPr>
      </w:pPr>
      <w:r>
        <w:rPr>
          <w:rFonts w:hint="eastAsia" w:ascii="宋体"/>
          <w:b/>
          <w:color w:val="auto"/>
          <w:szCs w:val="21"/>
          <w:highlight w:val="none"/>
        </w:rPr>
        <w:t>2</w:t>
      </w:r>
      <w:r>
        <w:rPr>
          <w:rFonts w:hint="eastAsia" w:ascii="宋体"/>
          <w:b/>
          <w:color w:val="auto"/>
          <w:szCs w:val="21"/>
          <w:highlight w:val="none"/>
          <w:lang w:val="en-US" w:eastAsia="zh-CN"/>
        </w:rPr>
        <w:t>4</w:t>
      </w:r>
      <w:r>
        <w:rPr>
          <w:rFonts w:hint="eastAsia" w:ascii="宋体"/>
          <w:b/>
          <w:color w:val="auto"/>
          <w:szCs w:val="21"/>
          <w:highlight w:val="none"/>
        </w:rPr>
        <w:t>．投标文件的修改与撤回</w:t>
      </w:r>
    </w:p>
    <w:p w14:paraId="1800A27E">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8"/>
          <w:szCs w:val="28"/>
          <w:highlight w:val="none"/>
          <w:lang w:eastAsia="zh-CN"/>
        </w:rPr>
      </w:pPr>
      <w:r>
        <w:rPr>
          <w:rFonts w:hint="eastAsia" w:ascii="宋体" w:hAnsi="宋体"/>
          <w:color w:val="auto"/>
          <w:szCs w:val="21"/>
          <w:highlight w:val="none"/>
        </w:rPr>
        <w:t>2</w:t>
      </w:r>
      <w:r>
        <w:rPr>
          <w:rFonts w:hint="eastAsia" w:ascii="宋体" w:hAnsi="宋体"/>
          <w:color w:val="auto"/>
          <w:szCs w:val="21"/>
          <w:highlight w:val="none"/>
          <w:lang w:val="en-US" w:eastAsia="zh-CN"/>
        </w:rPr>
        <w:t>4</w:t>
      </w:r>
      <w:r>
        <w:rPr>
          <w:rFonts w:hint="eastAsia" w:ascii="宋体" w:hAnsi="宋体"/>
          <w:color w:val="auto"/>
          <w:szCs w:val="21"/>
          <w:highlight w:val="none"/>
        </w:rPr>
        <w:t xml:space="preserve">.1 </w:t>
      </w:r>
      <w:r>
        <w:rPr>
          <w:rFonts w:hint="eastAsia" w:ascii="宋体" w:hAnsi="宋体" w:cs="宋体"/>
          <w:color w:val="auto"/>
          <w:szCs w:val="21"/>
          <w:highlight w:val="none"/>
        </w:rPr>
        <w:t>在“招标公告”规定的投标截止时间前，投标人可以自行从网上</w:t>
      </w:r>
      <w:r>
        <w:rPr>
          <w:rFonts w:hint="eastAsia" w:ascii="宋体" w:hAnsi="宋体" w:cs="宋体"/>
          <w:color w:val="auto"/>
          <w:szCs w:val="21"/>
          <w:highlight w:val="none"/>
          <w:lang w:val="en-US" w:eastAsia="zh-CN"/>
        </w:rPr>
        <w:t>新点电子交易平台</w:t>
      </w:r>
      <w:r>
        <w:rPr>
          <w:rFonts w:hint="eastAsia" w:ascii="宋体" w:hAnsi="宋体" w:cs="宋体"/>
          <w:color w:val="auto"/>
          <w:szCs w:val="21"/>
          <w:highlight w:val="none"/>
        </w:rPr>
        <w:t>撤回已递交的投标文件，并可修改后重新加密上传，开标时以投标截止时间前投标人最终上传的投标文件为准</w:t>
      </w:r>
      <w:r>
        <w:rPr>
          <w:rFonts w:hint="eastAsia" w:ascii="宋体" w:hAnsi="宋体" w:cs="宋体"/>
          <w:color w:val="auto"/>
          <w:szCs w:val="21"/>
          <w:highlight w:val="none"/>
          <w:lang w:eastAsia="zh-CN"/>
        </w:rPr>
        <w:t>。</w:t>
      </w:r>
    </w:p>
    <w:p w14:paraId="71F4C495">
      <w:pPr>
        <w:keepNext w:val="0"/>
        <w:keepLines w:val="0"/>
        <w:pageBreakBefore w:val="0"/>
        <w:widowControl w:val="0"/>
        <w:kinsoku/>
        <w:wordWrap/>
        <w:overflowPunct/>
        <w:topLinePunct w:val="0"/>
        <w:autoSpaceDE/>
        <w:autoSpaceDN/>
        <w:bidi w:val="0"/>
        <w:spacing w:line="500" w:lineRule="exact"/>
        <w:jc w:val="center"/>
        <w:textAlignment w:val="auto"/>
        <w:outlineLvl w:val="1"/>
        <w:rPr>
          <w:rFonts w:hint="eastAsia" w:ascii="宋体" w:hAnsi="宋体" w:eastAsia="宋体" w:cs="宋体"/>
          <w:b/>
          <w:bCs/>
          <w:color w:val="auto"/>
          <w:sz w:val="28"/>
          <w:highlight w:val="none"/>
        </w:rPr>
      </w:pPr>
      <w:bookmarkStart w:id="52" w:name="_Toc24005"/>
      <w:bookmarkStart w:id="53" w:name="_Toc18173"/>
    </w:p>
    <w:p w14:paraId="7500E7D0">
      <w:pPr>
        <w:keepNext w:val="0"/>
        <w:keepLines w:val="0"/>
        <w:pageBreakBefore w:val="0"/>
        <w:widowControl w:val="0"/>
        <w:kinsoku/>
        <w:wordWrap/>
        <w:overflowPunct/>
        <w:topLinePunct w:val="0"/>
        <w:autoSpaceDE/>
        <w:autoSpaceDN/>
        <w:bidi w:val="0"/>
        <w:spacing w:line="500" w:lineRule="exact"/>
        <w:jc w:val="center"/>
        <w:textAlignment w:val="auto"/>
        <w:outlineLvl w:val="1"/>
        <w:rPr>
          <w:rFonts w:hint="eastAsia" w:ascii="宋体" w:hAnsi="宋体" w:eastAsia="宋体" w:cs="宋体"/>
          <w:b/>
          <w:bCs/>
          <w:color w:val="auto"/>
          <w:sz w:val="28"/>
          <w:highlight w:val="none"/>
        </w:rPr>
      </w:pPr>
      <w:r>
        <w:rPr>
          <w:rFonts w:hint="eastAsia" w:ascii="宋体" w:hAnsi="宋体" w:eastAsia="宋体" w:cs="宋体"/>
          <w:b/>
          <w:bCs/>
          <w:color w:val="auto"/>
          <w:sz w:val="28"/>
          <w:highlight w:val="none"/>
        </w:rPr>
        <w:t>五、开标、评标和定标</w:t>
      </w:r>
      <w:bookmarkEnd w:id="52"/>
      <w:bookmarkEnd w:id="53"/>
    </w:p>
    <w:p w14:paraId="066918F9">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开标</w:t>
      </w:r>
    </w:p>
    <w:p w14:paraId="4366EFD4">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 开标的时间和地点</w:t>
      </w:r>
    </w:p>
    <w:p w14:paraId="5776DF3D">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.1.1</w:t>
      </w:r>
      <w:r>
        <w:rPr>
          <w:rFonts w:hint="eastAsia" w:ascii="宋体" w:hAnsi="宋体" w:cs="宋体"/>
          <w:color w:val="auto"/>
          <w:szCs w:val="21"/>
          <w:highlight w:val="none"/>
        </w:rPr>
        <w:t>招标人在“招标公告”规定的投标截止时间前（开标时间）和地点</w:t>
      </w:r>
      <w:r>
        <w:rPr>
          <w:color w:val="auto"/>
          <w:highlight w:val="none"/>
        </w:rPr>
        <w:t>通过</w:t>
      </w:r>
      <w:r>
        <w:rPr>
          <w:rFonts w:hint="eastAsia"/>
          <w:color w:val="auto"/>
          <w:highlight w:val="none"/>
          <w:lang w:val="en-US" w:eastAsia="zh-CN"/>
        </w:rPr>
        <w:t>新点电子交易平台</w:t>
      </w:r>
      <w:r>
        <w:rPr>
          <w:color w:val="auto"/>
          <w:highlight w:val="none"/>
        </w:rPr>
        <w:t>公开开标</w:t>
      </w:r>
      <w:r>
        <w:rPr>
          <w:rFonts w:hint="eastAsia" w:ascii="宋体" w:hAnsi="宋体" w:eastAsia="宋体" w:cs="宋体"/>
          <w:color w:val="auto"/>
          <w:sz w:val="21"/>
          <w:szCs w:val="21"/>
          <w:highlight w:val="none"/>
        </w:rPr>
        <w:t>。</w:t>
      </w:r>
    </w:p>
    <w:p w14:paraId="1CEDA917">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.2 参与开标的相关部门：招标人等。</w:t>
      </w:r>
    </w:p>
    <w:p w14:paraId="1AB92E7B">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 xml:space="preserve"> 开标程序</w:t>
      </w:r>
    </w:p>
    <w:p w14:paraId="52832887">
      <w:pPr>
        <w:wordWrap w:val="0"/>
        <w:spacing w:line="440" w:lineRule="exact"/>
        <w:ind w:right="-155" w:rightChars="-74" w:firstLine="210" w:firstLineChars="100"/>
        <w:jc w:val="left"/>
        <w:rPr>
          <w:rFonts w:hint="eastAsia" w:ascii="宋体"/>
          <w:color w:val="auto"/>
          <w:szCs w:val="21"/>
          <w:highlight w:val="none"/>
        </w:rPr>
      </w:pPr>
      <w:r>
        <w:rPr>
          <w:rFonts w:hint="eastAsia" w:ascii="宋体"/>
          <w:color w:val="auto"/>
          <w:szCs w:val="21"/>
          <w:highlight w:val="none"/>
          <w:lang w:val="en-US" w:eastAsia="zh-CN"/>
        </w:rPr>
        <w:t xml:space="preserve">开标会议由采购代理机构主持。 </w:t>
      </w:r>
    </w:p>
    <w:p w14:paraId="04855B42">
      <w:pPr>
        <w:wordWrap w:val="0"/>
        <w:spacing w:line="440" w:lineRule="exact"/>
        <w:ind w:right="-155" w:rightChars="-74" w:firstLine="210" w:firstLineChars="100"/>
        <w:jc w:val="left"/>
        <w:rPr>
          <w:rFonts w:hint="eastAsia" w:ascii="宋体"/>
          <w:color w:val="auto"/>
          <w:szCs w:val="21"/>
          <w:highlight w:val="none"/>
          <w:lang w:val="en-US" w:eastAsia="zh-CN"/>
        </w:rPr>
      </w:pPr>
      <w:r>
        <w:rPr>
          <w:rFonts w:hint="eastAsia" w:ascii="宋体"/>
          <w:color w:val="auto"/>
          <w:szCs w:val="21"/>
          <w:highlight w:val="none"/>
          <w:lang w:val="en-US" w:eastAsia="zh-CN"/>
        </w:rPr>
        <w:t>（1）公布在投标截止时间前通过新点电子交易平台完成投标文件递交的投标人名称；</w:t>
      </w:r>
    </w:p>
    <w:p w14:paraId="7F3D1C47">
      <w:pPr>
        <w:wordWrap w:val="0"/>
        <w:spacing w:line="440" w:lineRule="exact"/>
        <w:ind w:right="-155" w:rightChars="-74" w:firstLine="210" w:firstLineChars="100"/>
        <w:jc w:val="left"/>
        <w:rPr>
          <w:rFonts w:hint="eastAsia" w:ascii="宋体"/>
          <w:color w:val="auto"/>
          <w:szCs w:val="21"/>
          <w:highlight w:val="none"/>
          <w:lang w:val="en-US" w:eastAsia="zh-CN"/>
        </w:rPr>
      </w:pPr>
      <w:r>
        <w:rPr>
          <w:rFonts w:hint="eastAsia" w:ascii="宋体"/>
          <w:color w:val="auto"/>
          <w:szCs w:val="21"/>
          <w:highlight w:val="none"/>
          <w:lang w:val="en-US" w:eastAsia="zh-CN"/>
        </w:rPr>
        <w:t>（2）投标人在投标截止时间后在投标人须知前附表规定的解密时间内完成投标文件的解密工作；</w:t>
      </w:r>
    </w:p>
    <w:p w14:paraId="160BAA64">
      <w:pPr>
        <w:wordWrap w:val="0"/>
        <w:spacing w:line="440" w:lineRule="exact"/>
        <w:ind w:right="-155" w:rightChars="-74" w:firstLine="210" w:firstLineChars="100"/>
        <w:jc w:val="left"/>
        <w:rPr>
          <w:rFonts w:hint="eastAsia" w:ascii="宋体"/>
          <w:color w:val="auto"/>
          <w:szCs w:val="21"/>
          <w:highlight w:val="none"/>
          <w:lang w:val="en-US" w:eastAsia="zh-CN"/>
        </w:rPr>
      </w:pPr>
      <w:r>
        <w:rPr>
          <w:rFonts w:hint="eastAsia" w:ascii="宋体"/>
          <w:color w:val="auto"/>
          <w:szCs w:val="21"/>
          <w:highlight w:val="none"/>
          <w:lang w:val="en-US" w:eastAsia="zh-CN"/>
        </w:rPr>
        <w:t>（3）招标人或招标代理机构完成解密工作，导入并读取所有成功解密的投标文件；</w:t>
      </w:r>
    </w:p>
    <w:p w14:paraId="223FEB96">
      <w:pPr>
        <w:wordWrap w:val="0"/>
        <w:spacing w:line="440" w:lineRule="exact"/>
        <w:ind w:right="-155" w:rightChars="-74" w:firstLine="210" w:firstLineChars="100"/>
        <w:jc w:val="left"/>
        <w:rPr>
          <w:rFonts w:hint="eastAsia" w:ascii="宋体"/>
          <w:color w:val="auto"/>
          <w:szCs w:val="21"/>
          <w:highlight w:val="none"/>
          <w:lang w:val="en-US" w:eastAsia="zh-CN"/>
        </w:rPr>
      </w:pPr>
      <w:r>
        <w:rPr>
          <w:rFonts w:hint="eastAsia" w:ascii="宋体"/>
          <w:color w:val="auto"/>
          <w:szCs w:val="21"/>
          <w:highlight w:val="none"/>
          <w:lang w:val="en-US" w:eastAsia="zh-CN"/>
        </w:rPr>
        <w:t>（4）按投标人须知前附表规定公布投标人名称、投标报价等内容；</w:t>
      </w:r>
    </w:p>
    <w:p w14:paraId="6CDC20D3">
      <w:pPr>
        <w:wordWrap w:val="0"/>
        <w:spacing w:line="440" w:lineRule="exact"/>
        <w:ind w:right="-155" w:rightChars="-74" w:firstLine="210" w:firstLineChars="100"/>
        <w:jc w:val="left"/>
        <w:rPr>
          <w:rFonts w:hint="eastAsia" w:ascii="宋体"/>
          <w:color w:val="auto"/>
          <w:szCs w:val="21"/>
          <w:highlight w:val="none"/>
        </w:rPr>
      </w:pPr>
      <w:r>
        <w:rPr>
          <w:rFonts w:hint="eastAsia" w:ascii="宋体"/>
          <w:color w:val="auto"/>
          <w:szCs w:val="21"/>
          <w:highlight w:val="none"/>
          <w:lang w:val="en-US" w:eastAsia="zh-CN"/>
        </w:rPr>
        <w:t xml:space="preserve">（5）开标结束。 </w:t>
      </w:r>
    </w:p>
    <w:p w14:paraId="01DEFBCB">
      <w:pPr>
        <w:wordWrap w:val="0"/>
        <w:spacing w:line="440" w:lineRule="exact"/>
        <w:ind w:right="-155" w:rightChars="-74" w:firstLine="210" w:firstLineChars="100"/>
        <w:jc w:val="left"/>
        <w:rPr>
          <w:rFonts w:hint="eastAsia" w:ascii="宋体"/>
          <w:color w:val="auto"/>
          <w:szCs w:val="21"/>
          <w:highlight w:val="none"/>
        </w:rPr>
      </w:pPr>
      <w:r>
        <w:rPr>
          <w:rFonts w:hint="eastAsia" w:ascii="宋体"/>
          <w:color w:val="auto"/>
          <w:szCs w:val="21"/>
          <w:highlight w:val="none"/>
          <w:lang w:val="en-US" w:eastAsia="zh-CN"/>
        </w:rPr>
        <w:t xml:space="preserve">多标包项目按照标段顺序按以上程序依次开标。 </w:t>
      </w:r>
    </w:p>
    <w:p w14:paraId="10B86A20">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25.4</w:t>
      </w:r>
      <w:r>
        <w:rPr>
          <w:rFonts w:hint="eastAsia" w:ascii="宋体" w:hAnsi="宋体" w:eastAsia="宋体" w:cs="宋体"/>
          <w:color w:val="auto"/>
          <w:sz w:val="21"/>
          <w:szCs w:val="21"/>
          <w:highlight w:val="none"/>
        </w:rPr>
        <w:t>开标异议</w:t>
      </w:r>
    </w:p>
    <w:p w14:paraId="03615267">
      <w:pPr>
        <w:spacing w:line="440" w:lineRule="exact"/>
        <w:jc w:val="left"/>
        <w:rPr>
          <w:rFonts w:hint="eastAsia" w:ascii="宋体" w:hAnsi="宋体" w:cs="宋体"/>
          <w:color w:val="auto"/>
          <w:sz w:val="21"/>
          <w:szCs w:val="21"/>
          <w:highlight w:val="none"/>
          <w:lang w:val="en-US" w:eastAsia="zh-CN"/>
        </w:rPr>
      </w:pPr>
      <w:r>
        <w:rPr>
          <w:rFonts w:hint="eastAsia" w:ascii="宋体" w:hAnsi="Times New Roman" w:eastAsia="宋体" w:cs="Times New Roman"/>
          <w:color w:val="auto"/>
          <w:kern w:val="2"/>
          <w:sz w:val="21"/>
          <w:szCs w:val="21"/>
          <w:highlight w:val="none"/>
          <w:lang w:val="en-US" w:eastAsia="zh-CN" w:bidi="ar-SA"/>
        </w:rPr>
        <w:t>投标人对开标有异议的，应当在开标过程中提出，招标人在开标过程中作出答复，并制作记录。异议与答复应通过新点电子交易平台进行。</w:t>
      </w:r>
    </w:p>
    <w:p w14:paraId="5F39FAB5">
      <w:pPr>
        <w:spacing w:line="440" w:lineRule="exact"/>
        <w:jc w:val="left"/>
        <w:rPr>
          <w:rFonts w:hint="eastAsia" w:ascii="宋体"/>
          <w:b/>
          <w:color w:val="auto"/>
          <w:szCs w:val="21"/>
          <w:highlight w:val="none"/>
        </w:rPr>
      </w:pPr>
      <w:r>
        <w:rPr>
          <w:rFonts w:hint="eastAsia" w:ascii="宋体" w:hAnsi="宋体" w:cs="宋体"/>
          <w:color w:val="auto"/>
          <w:sz w:val="21"/>
          <w:szCs w:val="21"/>
          <w:highlight w:val="none"/>
          <w:lang w:val="en-US" w:eastAsia="zh-CN"/>
        </w:rPr>
        <w:t>26.</w:t>
      </w:r>
      <w:r>
        <w:rPr>
          <w:rFonts w:hint="eastAsia" w:ascii="宋体"/>
          <w:b/>
          <w:color w:val="auto"/>
          <w:szCs w:val="21"/>
          <w:highlight w:val="none"/>
          <w:lang w:val="en-US" w:eastAsia="zh-CN"/>
        </w:rPr>
        <w:t xml:space="preserve">评标委员会 </w:t>
      </w:r>
    </w:p>
    <w:p w14:paraId="614AC1B9">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.1 评标委员会的组成</w:t>
      </w:r>
    </w:p>
    <w:p w14:paraId="34BBFEB7">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.1.1评标由</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人依法组建的评标委员会负责。</w:t>
      </w:r>
    </w:p>
    <w:p w14:paraId="6BFAB9B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.1.2评标委员会负责人依法推荐或确定。</w:t>
      </w:r>
    </w:p>
    <w:p w14:paraId="516CBD5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.2 评标委员会成员名单在中标结果确定前应当保密</w:t>
      </w:r>
      <w:r>
        <w:rPr>
          <w:rFonts w:hint="eastAsia" w:ascii="宋体" w:hAnsi="宋体" w:eastAsia="宋体" w:cs="宋体"/>
          <w:color w:val="auto"/>
          <w:szCs w:val="21"/>
          <w:highlight w:val="none"/>
          <w:lang w:eastAsia="zh-CN"/>
        </w:rPr>
        <w:t>。</w:t>
      </w:r>
    </w:p>
    <w:p w14:paraId="34B9A83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 xml:space="preserve">3 </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授权评标委员会对投标人资格进行审查。</w:t>
      </w:r>
    </w:p>
    <w:p w14:paraId="694DE14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.4 评标委员会应当向</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提出书面评标报告，并抄送有关行政监督部门。评标报告应当如实记载以下内容：</w:t>
      </w:r>
    </w:p>
    <w:p w14:paraId="362811A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（1）基本情况和数据表；</w:t>
      </w:r>
    </w:p>
    <w:p w14:paraId="1D23577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（2）评标委员会成员名单；</w:t>
      </w:r>
    </w:p>
    <w:p w14:paraId="31A7EEF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（3）开标记录；</w:t>
      </w:r>
    </w:p>
    <w:p w14:paraId="0D99B7E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（4）符合要求的投标人一览表；</w:t>
      </w:r>
    </w:p>
    <w:p w14:paraId="0F8B767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（5）无效情况说明；</w:t>
      </w:r>
    </w:p>
    <w:p w14:paraId="4FC8D2B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（6）评标标准、评标方法或者评标因素一览表；</w:t>
      </w:r>
    </w:p>
    <w:p w14:paraId="792874D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（7）经评审的价格或者评分比较一览表；</w:t>
      </w:r>
    </w:p>
    <w:p w14:paraId="33EDF46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（8）投标人串标、围标等违规行为的确认报告；</w:t>
      </w:r>
    </w:p>
    <w:p w14:paraId="378AB27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（9）经评审的投标人排序；</w:t>
      </w:r>
    </w:p>
    <w:p w14:paraId="4B027C5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（10）推荐的中标候选人名单；</w:t>
      </w:r>
    </w:p>
    <w:p w14:paraId="59D25F2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（11）澄清、说明、补正事项纪要。</w:t>
      </w:r>
    </w:p>
    <w:p w14:paraId="4331CA60">
      <w:pPr>
        <w:spacing w:line="440" w:lineRule="exact"/>
        <w:ind w:firstLine="205" w:firstLineChars="98"/>
        <w:jc w:val="left"/>
        <w:rPr>
          <w:rFonts w:hint="eastAsia" w:ascii="宋体"/>
          <w:b w:val="0"/>
          <w:bCs/>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6.5</w:t>
      </w:r>
      <w:r>
        <w:rPr>
          <w:rFonts w:hint="eastAsia" w:ascii="宋体" w:hAnsi="宋体" w:eastAsia="宋体" w:cs="宋体"/>
          <w:color w:val="auto"/>
          <w:szCs w:val="21"/>
          <w:highlight w:val="none"/>
        </w:rPr>
        <w:t>评标委员会应自觉接受有关监督管理部门的现场监督，评标委员会成员与评标活动有关的工作人员和监督人员不得向他人透露对投标文件的评审和比较、中标候选人的推荐以及与评标有关的其他情况。投标文件及与评标有关的资料应当保密</w:t>
      </w:r>
      <w:r>
        <w:rPr>
          <w:rFonts w:hint="eastAsia" w:ascii="宋体"/>
          <w:b w:val="0"/>
          <w:bCs/>
          <w:color w:val="auto"/>
          <w:szCs w:val="21"/>
          <w:highlight w:val="none"/>
          <w:lang w:val="en-US" w:eastAsia="zh-CN"/>
        </w:rPr>
        <w:t xml:space="preserve">。 </w:t>
      </w:r>
    </w:p>
    <w:p w14:paraId="256E6BE5">
      <w:pPr>
        <w:spacing w:line="440" w:lineRule="exact"/>
        <w:jc w:val="left"/>
        <w:rPr>
          <w:rFonts w:hint="eastAsia" w:ascii="宋体"/>
          <w:b/>
          <w:color w:val="auto"/>
          <w:szCs w:val="21"/>
          <w:highlight w:val="none"/>
        </w:rPr>
      </w:pPr>
      <w:r>
        <w:rPr>
          <w:rFonts w:hint="eastAsia" w:ascii="宋体"/>
          <w:b/>
          <w:color w:val="auto"/>
          <w:szCs w:val="21"/>
          <w:highlight w:val="none"/>
          <w:lang w:val="en-US" w:eastAsia="zh-CN"/>
        </w:rPr>
        <w:t xml:space="preserve">27. 评标 </w:t>
      </w:r>
    </w:p>
    <w:p w14:paraId="3113249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27.1  评标准备工作</w:t>
      </w:r>
    </w:p>
    <w:p w14:paraId="7BDC760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27.1.1阅读由招标人或招标代理单位编写的招标项目情况的说明材料；</w:t>
      </w:r>
    </w:p>
    <w:p w14:paraId="001C443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27.1.2阅读、研究招标文件和相关评标资料，获取评标所需要的重要信息和数据；</w:t>
      </w:r>
    </w:p>
    <w:p w14:paraId="299648D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27.1.3熟悉招标文件规定的评标方法及在评标过程中需要考虑的相关因素；</w:t>
      </w:r>
    </w:p>
    <w:p w14:paraId="169461A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27.1.4核对评标工作用表。</w:t>
      </w:r>
    </w:p>
    <w:p w14:paraId="6D87DD6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27.2  评标办法</w:t>
      </w:r>
    </w:p>
    <w:p w14:paraId="4ABF6CE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27.2.1评标委员会按照第二章“评标办法”规定的方法、评审因素、标准和程序对投标文件进行评审。第二章“评标办法”没有规定的方法、评审因素和标准，不作为评标依据。</w:t>
      </w:r>
    </w:p>
    <w:p w14:paraId="5E75C0D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27.3评标原则：</w:t>
      </w:r>
    </w:p>
    <w:p w14:paraId="27CFAFC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遵循公平、公正、科学和择优的原则。</w:t>
      </w:r>
    </w:p>
    <w:p w14:paraId="6CDAF2D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27.4 投标文件的澄清</w:t>
      </w:r>
    </w:p>
    <w:p w14:paraId="0C36E7C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27.4.1 在评标过程中，评标委员会认为需要，可要求投标人对投标文件中的有关问题进行澄清或提供补充说明及有关资料，投标人应做出答复，答复将视为投标文件的组成部分，答复中不得变更价格、服务期、自报质量等实质性内容。</w:t>
      </w:r>
      <w:r>
        <w:rPr>
          <w:rFonts w:hint="eastAsia" w:ascii="宋体" w:hAnsi="宋体" w:eastAsia="宋体" w:cs="宋体"/>
          <w:b/>
          <w:bCs/>
          <w:color w:val="auto"/>
          <w:szCs w:val="21"/>
          <w:highlight w:val="none"/>
          <w:lang w:val="en-US" w:eastAsia="zh-CN"/>
        </w:rPr>
        <w:t>本项目采用远程开标，具体操作方法详见服务指南&gt;交易须知&gt;开标大厅远程解密、质疑(异议)及回复以及评标过程中询标流程操作手册。</w:t>
      </w:r>
    </w:p>
    <w:p w14:paraId="2A6BC29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27.4.2投标截止时间后，投标人对投标报价或其它实质性内容修正的函件和增加的任何优惠条件，一律不得作为评标、定标的依据。</w:t>
      </w:r>
    </w:p>
    <w:p w14:paraId="379380B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27.4.3 招标人不接受投标人主动提出的澄清。</w:t>
      </w:r>
    </w:p>
    <w:p w14:paraId="06F0B09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27.5评审意见分歧的处理办法</w:t>
      </w:r>
    </w:p>
    <w:p w14:paraId="69F124A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（1）评标委员会应当对投标人提供的报告、证明材料及详细说明认真研究。对存在意见分歧的，可采用投票方式表决决定（按多数评委意见为准）；</w:t>
      </w:r>
    </w:p>
    <w:p w14:paraId="6DE5331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（2）招标投标当事人对评标结果提出质疑或者投诉，公共资源交易监督机构认为需要重新进行评标的，评标委员会成员应当按照公共资源交易监督机构要求重新评标。</w:t>
      </w:r>
    </w:p>
    <w:p w14:paraId="630F06F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27.6评标报告的签署</w:t>
      </w:r>
    </w:p>
    <w:p w14:paraId="2A2F608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27.6.1 评标委员会应当编制书面评标报告,所有成员应签字确认。对评标结论持有异议的评标委员会成员可以书面方式阐述其不同意见和理由。评标委员会成员拒绝在评标报告上签字且不陈述其不同意见和理由的，视为同意评标结论。</w:t>
      </w:r>
    </w:p>
    <w:p w14:paraId="13A9682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27.7评标过程的保密</w:t>
      </w:r>
    </w:p>
    <w:p w14:paraId="4E822EA3">
      <w:pPr>
        <w:spacing w:line="440" w:lineRule="exact"/>
        <w:ind w:firstLine="205" w:firstLineChars="98"/>
        <w:jc w:val="left"/>
        <w:rPr>
          <w:rFonts w:hint="eastAsia" w:ascii="宋体" w:hAnsi="Times New Roman" w:eastAsia="宋体" w:cs="Times New Roman"/>
          <w:b w:val="0"/>
          <w:bCs/>
          <w:color w:val="auto"/>
          <w:szCs w:val="21"/>
          <w:highlight w:val="none"/>
          <w:lang w:val="en-US" w:eastAsia="zh-CN"/>
        </w:rPr>
      </w:pPr>
      <w:r>
        <w:rPr>
          <w:rFonts w:hint="eastAsia" w:ascii="宋体" w:hAnsi="宋体" w:eastAsia="宋体" w:cs="宋体"/>
          <w:color w:val="auto"/>
          <w:szCs w:val="21"/>
          <w:highlight w:val="none"/>
          <w:lang w:val="en-US" w:eastAsia="zh-CN"/>
        </w:rPr>
        <w:t> 评标委员会成员和与评标活动有关的工作人员不得透露对投标文件的评审和比较、中标候选人的推荐情况以及与评标有关的其他情况</w:t>
      </w:r>
      <w:r>
        <w:rPr>
          <w:rFonts w:hint="eastAsia" w:ascii="宋体" w:hAnsi="Times New Roman" w:eastAsia="宋体" w:cs="Times New Roman"/>
          <w:b w:val="0"/>
          <w:bCs/>
          <w:color w:val="auto"/>
          <w:szCs w:val="21"/>
          <w:highlight w:val="none"/>
          <w:lang w:val="en-US" w:eastAsia="zh-CN"/>
        </w:rPr>
        <w:t xml:space="preserve">。 </w:t>
      </w:r>
    </w:p>
    <w:p w14:paraId="67425CE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27.8评标结果公告</w:t>
      </w:r>
    </w:p>
    <w:p w14:paraId="002C3227">
      <w:pPr>
        <w:spacing w:line="440" w:lineRule="exact"/>
        <w:ind w:firstLine="422" w:firstLineChars="200"/>
        <w:jc w:val="left"/>
        <w:rPr>
          <w:rFonts w:hint="eastAsia" w:ascii="宋体" w:hAnsi="Times New Roman" w:eastAsia="宋体" w:cs="Times New Roman"/>
          <w:b w:val="0"/>
          <w:bCs/>
          <w:color w:val="auto"/>
          <w:szCs w:val="21"/>
          <w:highlight w:val="none"/>
          <w:lang w:val="en-US" w:eastAsia="zh-CN"/>
        </w:rPr>
      </w:pPr>
      <w:r>
        <w:rPr>
          <w:rFonts w:hint="eastAsia" w:ascii="宋体" w:hAnsi="宋体" w:eastAsia="宋体" w:cs="宋体"/>
          <w:b/>
          <w:bCs/>
          <w:color w:val="auto"/>
          <w:szCs w:val="21"/>
          <w:highlight w:val="none"/>
          <w:lang w:val="en-US" w:eastAsia="zh-CN"/>
        </w:rPr>
        <w:t>招标人应将中标人的情况在滁州市城投工程咨询管理有限公司（https://www.czctgczx.com/）、滁州市重点工程建设管理处（http://zdc.chuzhou.gov.cn/）等网站上予以公告，公告期为3日</w:t>
      </w:r>
      <w:r>
        <w:rPr>
          <w:rFonts w:hint="eastAsia" w:ascii="宋体" w:hAnsi="Times New Roman" w:eastAsia="宋体" w:cs="Times New Roman"/>
          <w:b w:val="0"/>
          <w:bCs/>
          <w:color w:val="auto"/>
          <w:szCs w:val="21"/>
          <w:highlight w:val="none"/>
          <w:lang w:val="en-US" w:eastAsia="zh-CN"/>
        </w:rPr>
        <w:t xml:space="preserve">。 </w:t>
      </w:r>
    </w:p>
    <w:p w14:paraId="7B732A4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w:t>
      </w:r>
      <w:r>
        <w:rPr>
          <w:rFonts w:hint="eastAsia" w:ascii="宋体" w:hAnsi="宋体" w:eastAsia="宋体" w:cs="宋体"/>
          <w:b/>
          <w:color w:val="auto"/>
          <w:szCs w:val="21"/>
          <w:highlight w:val="none"/>
          <w:lang w:val="en-US" w:eastAsia="zh-CN"/>
        </w:rPr>
        <w:t>8</w:t>
      </w:r>
      <w:r>
        <w:rPr>
          <w:rFonts w:hint="eastAsia" w:ascii="宋体" w:hAnsi="宋体" w:eastAsia="宋体" w:cs="宋体"/>
          <w:b/>
          <w:color w:val="auto"/>
          <w:szCs w:val="21"/>
          <w:highlight w:val="none"/>
        </w:rPr>
        <w:t>. 定标</w:t>
      </w:r>
    </w:p>
    <w:p w14:paraId="3E76CB44">
      <w:pPr>
        <w:pStyle w:val="1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.1 中标人的确定</w:t>
      </w:r>
    </w:p>
    <w:p w14:paraId="634B4A8C">
      <w:pPr>
        <w:pStyle w:val="1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.1.1除投标人须知前附表规定评标委员会直接确定中标人外，</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人依据评标委员会推荐的中标候选人确定中标人，评标委员会推荐中标候选人的人数见投标人须知前附表。</w:t>
      </w:r>
    </w:p>
    <w:p w14:paraId="1F099C5C">
      <w:pPr>
        <w:pStyle w:val="18"/>
        <w:keepNext w:val="0"/>
        <w:keepLines w:val="0"/>
        <w:pageBreakBefore w:val="0"/>
        <w:widowControl w:val="0"/>
        <w:kinsoku/>
        <w:wordWrap w:val="0"/>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28</w:t>
      </w:r>
      <w:r>
        <w:rPr>
          <w:rFonts w:hint="eastAsia" w:ascii="宋体" w:hAnsi="宋体" w:eastAsia="宋体" w:cs="宋体"/>
          <w:color w:val="auto"/>
          <w:szCs w:val="21"/>
          <w:highlight w:val="none"/>
        </w:rPr>
        <w:t>.1.2中标人确定后，</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应将中标信息在</w:t>
      </w:r>
      <w:r>
        <w:rPr>
          <w:rFonts w:hint="eastAsia" w:ascii="宋体" w:hAnsi="宋体" w:eastAsia="宋体" w:cs="宋体"/>
          <w:color w:val="auto"/>
          <w:szCs w:val="21"/>
          <w:highlight w:val="none"/>
          <w:lang w:val="en-US" w:eastAsia="zh-CN"/>
        </w:rPr>
        <w:t>滁州市城投工程咨询管理有限公司（https://www.czctgczx.com/）、滁州市重点工程建设管理处（http://zdc.chuzhou.gov.cn/）等</w:t>
      </w:r>
      <w:r>
        <w:rPr>
          <w:rFonts w:hint="eastAsia" w:ascii="宋体" w:hAnsi="宋体" w:eastAsia="宋体" w:cs="宋体"/>
          <w:color w:val="auto"/>
          <w:szCs w:val="21"/>
          <w:highlight w:val="none"/>
        </w:rPr>
        <w:t>网站上公告。</w:t>
      </w:r>
    </w:p>
    <w:p w14:paraId="002F8488">
      <w:pPr>
        <w:pStyle w:val="1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.2 中标通知书</w:t>
      </w:r>
    </w:p>
    <w:p w14:paraId="166F485C">
      <w:pPr>
        <w:pStyle w:val="1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.2.1</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人或</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代理机构应在中标人确定之日起2个工作日内，向中标人发出中标通知书。</w:t>
      </w:r>
    </w:p>
    <w:p w14:paraId="6292799B">
      <w:pPr>
        <w:pStyle w:val="1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.2.2中标通知书须加盖</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人、</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代理机构公章后，方可发出。</w:t>
      </w:r>
    </w:p>
    <w:p w14:paraId="13613C44">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29</w:t>
      </w:r>
      <w:r>
        <w:rPr>
          <w:rFonts w:hint="eastAsia" w:ascii="宋体" w:hAnsi="宋体" w:eastAsia="宋体" w:cs="宋体"/>
          <w:b/>
          <w:color w:val="auto"/>
          <w:szCs w:val="21"/>
          <w:highlight w:val="none"/>
        </w:rPr>
        <w:t>. 开评标异常情况处理</w:t>
      </w:r>
    </w:p>
    <w:p w14:paraId="5C9BE4A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lang w:val="en-US" w:eastAsia="zh-CN"/>
        </w:rPr>
        <w:t>29</w:t>
      </w:r>
      <w:r>
        <w:rPr>
          <w:rFonts w:hint="eastAsia" w:ascii="宋体" w:hAnsi="宋体" w:eastAsia="宋体" w:cs="宋体"/>
          <w:color w:val="auto"/>
          <w:kern w:val="10"/>
          <w:szCs w:val="21"/>
          <w:highlight w:val="none"/>
        </w:rPr>
        <w:t xml:space="preserve">.1重新招标 </w:t>
      </w:r>
    </w:p>
    <w:p w14:paraId="446F54D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有下列情形之一的，</w:t>
      </w:r>
      <w:r>
        <w:rPr>
          <w:rFonts w:hint="eastAsia" w:ascii="宋体" w:hAnsi="宋体" w:eastAsia="宋体" w:cs="宋体"/>
          <w:color w:val="auto"/>
          <w:kern w:val="10"/>
          <w:szCs w:val="21"/>
          <w:highlight w:val="none"/>
          <w:lang w:eastAsia="zh-CN"/>
        </w:rPr>
        <w:t>招标人</w:t>
      </w:r>
      <w:r>
        <w:rPr>
          <w:rFonts w:hint="eastAsia" w:ascii="宋体" w:hAnsi="宋体" w:eastAsia="宋体" w:cs="宋体"/>
          <w:color w:val="auto"/>
          <w:kern w:val="10"/>
          <w:szCs w:val="21"/>
          <w:highlight w:val="none"/>
        </w:rPr>
        <w:t>将重新招标：</w:t>
      </w:r>
    </w:p>
    <w:p w14:paraId="3E17D152">
      <w:pPr>
        <w:adjustRightInd w:val="0"/>
        <w:snapToGrid w:val="0"/>
        <w:spacing w:line="460" w:lineRule="exact"/>
        <w:ind w:firstLine="420" w:firstLineChars="200"/>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 xml:space="preserve">(1)投标截止时间止，投标人少于三个的； </w:t>
      </w:r>
    </w:p>
    <w:p w14:paraId="556D50B6">
      <w:pPr>
        <w:adjustRightInd w:val="0"/>
        <w:snapToGrid w:val="0"/>
        <w:spacing w:line="460" w:lineRule="exact"/>
        <w:ind w:firstLine="420" w:firstLineChars="200"/>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(2)经评标委员会评审后否决所有投标的；</w:t>
      </w:r>
    </w:p>
    <w:p w14:paraId="750F8A2C">
      <w:pPr>
        <w:adjustRightInd w:val="0"/>
        <w:snapToGrid w:val="0"/>
        <w:spacing w:line="460" w:lineRule="exact"/>
        <w:ind w:firstLine="420" w:firstLineChars="200"/>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(3)出现影响采购公正的违法、违规行为的；</w:t>
      </w:r>
    </w:p>
    <w:p w14:paraId="02A4A144">
      <w:pPr>
        <w:adjustRightInd w:val="0"/>
        <w:snapToGrid w:val="0"/>
        <w:spacing w:line="460" w:lineRule="exact"/>
        <w:ind w:firstLine="420" w:firstLineChars="200"/>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(4)投标人的报价均脱离实际且无充分证据的；</w:t>
      </w:r>
    </w:p>
    <w:p w14:paraId="4C565AB0">
      <w:pPr>
        <w:adjustRightInd w:val="0"/>
        <w:snapToGrid w:val="0"/>
        <w:spacing w:line="460" w:lineRule="exact"/>
        <w:ind w:firstLine="420" w:firstLineChars="200"/>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(5)因重大变故，采购任务取消的。</w:t>
      </w:r>
    </w:p>
    <w:p w14:paraId="44A10C6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lang w:val="en-US" w:eastAsia="zh-CN"/>
        </w:rPr>
        <w:t>29</w:t>
      </w:r>
      <w:r>
        <w:rPr>
          <w:rFonts w:hint="eastAsia" w:ascii="宋体" w:hAnsi="宋体" w:eastAsia="宋体" w:cs="宋体"/>
          <w:color w:val="auto"/>
          <w:kern w:val="10"/>
          <w:szCs w:val="21"/>
          <w:highlight w:val="none"/>
        </w:rPr>
        <w:t>.2变更采购方式</w:t>
      </w:r>
    </w:p>
    <w:p w14:paraId="7295FCC4">
      <w:pPr>
        <w:spacing w:line="440" w:lineRule="exact"/>
        <w:ind w:firstLine="625" w:firstLineChars="298"/>
        <w:jc w:val="left"/>
        <w:rPr>
          <w:rFonts w:hint="eastAsia" w:ascii="宋体" w:hAnsi="Times New Roman" w:eastAsia="宋体" w:cs="Times New Roman"/>
          <w:b w:val="0"/>
          <w:bCs/>
          <w:color w:val="auto"/>
          <w:szCs w:val="21"/>
          <w:highlight w:val="none"/>
          <w:lang w:val="en-US" w:eastAsia="zh-CN"/>
        </w:rPr>
      </w:pPr>
      <w:r>
        <w:rPr>
          <w:rFonts w:hint="eastAsia" w:ascii="宋体" w:hAnsi="Times New Roman" w:eastAsia="宋体" w:cs="Times New Roman"/>
          <w:b w:val="0"/>
          <w:bCs/>
          <w:color w:val="auto"/>
          <w:szCs w:val="21"/>
          <w:highlight w:val="none"/>
          <w:lang w:val="en-US" w:eastAsia="zh-CN"/>
        </w:rPr>
        <w:t xml:space="preserve">/。 </w:t>
      </w:r>
    </w:p>
    <w:p w14:paraId="6CB16242">
      <w:pPr>
        <w:keepNext w:val="0"/>
        <w:keepLines w:val="0"/>
        <w:pageBreakBefore w:val="0"/>
        <w:widowControl w:val="0"/>
        <w:kinsoku/>
        <w:wordWrap/>
        <w:overflowPunct/>
        <w:topLinePunct w:val="0"/>
        <w:autoSpaceDE/>
        <w:autoSpaceDN/>
        <w:bidi w:val="0"/>
        <w:spacing w:line="500" w:lineRule="exact"/>
        <w:jc w:val="center"/>
        <w:textAlignment w:val="auto"/>
        <w:outlineLvl w:val="1"/>
        <w:rPr>
          <w:rFonts w:hint="eastAsia" w:ascii="宋体" w:hAnsi="宋体" w:eastAsia="宋体" w:cs="宋体"/>
          <w:b/>
          <w:bCs/>
          <w:color w:val="auto"/>
          <w:sz w:val="28"/>
          <w:highlight w:val="none"/>
        </w:rPr>
      </w:pPr>
      <w:bookmarkStart w:id="54" w:name="_Toc21491"/>
      <w:bookmarkStart w:id="55" w:name="_Toc22926"/>
      <w:r>
        <w:rPr>
          <w:rFonts w:hint="eastAsia" w:ascii="宋体" w:hAnsi="宋体" w:eastAsia="宋体" w:cs="宋体"/>
          <w:b/>
          <w:bCs/>
          <w:color w:val="auto"/>
          <w:sz w:val="28"/>
          <w:highlight w:val="none"/>
        </w:rPr>
        <w:t>六、合同的授予</w:t>
      </w:r>
      <w:bookmarkEnd w:id="54"/>
      <w:bookmarkEnd w:id="55"/>
    </w:p>
    <w:p w14:paraId="2EDC141E">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rPr>
        <w:t>.合同授予标准</w:t>
      </w:r>
    </w:p>
    <w:p w14:paraId="282F2584">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b/>
          <w:bCs/>
          <w:color w:val="auto"/>
          <w:sz w:val="21"/>
          <w:szCs w:val="21"/>
          <w:highlight w:val="none"/>
        </w:rPr>
      </w:pP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rPr>
        <w:t>.1本招标工程的合同授予按本须知第</w:t>
      </w:r>
      <w:r>
        <w:rPr>
          <w:rFonts w:hint="eastAsia" w:ascii="宋体" w:hAnsi="宋体" w:eastAsia="宋体" w:cs="宋体"/>
          <w:color w:val="auto"/>
          <w:sz w:val="21"/>
          <w:szCs w:val="21"/>
          <w:highlight w:val="none"/>
          <w:lang w:val="en-US" w:eastAsia="zh-CN"/>
        </w:rPr>
        <w:t>28</w:t>
      </w:r>
      <w:r>
        <w:rPr>
          <w:rFonts w:hint="eastAsia" w:ascii="宋体" w:hAnsi="宋体" w:eastAsia="宋体" w:cs="宋体"/>
          <w:color w:val="auto"/>
          <w:sz w:val="21"/>
          <w:szCs w:val="21"/>
          <w:highlight w:val="none"/>
        </w:rPr>
        <w:t>条规定所确定的中标人。</w:t>
      </w:r>
    </w:p>
    <w:p w14:paraId="3811C16F">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31</w:t>
      </w:r>
      <w:r>
        <w:rPr>
          <w:rFonts w:hint="eastAsia" w:ascii="宋体" w:hAnsi="宋体" w:eastAsia="宋体" w:cs="宋体"/>
          <w:color w:val="auto"/>
          <w:sz w:val="21"/>
          <w:szCs w:val="21"/>
          <w:highlight w:val="none"/>
        </w:rPr>
        <w:t>.合同协议书的签订</w:t>
      </w:r>
    </w:p>
    <w:p w14:paraId="65ADE3E6">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31</w:t>
      </w:r>
      <w:r>
        <w:rPr>
          <w:rFonts w:hint="eastAsia" w:ascii="宋体" w:hAnsi="宋体" w:eastAsia="宋体" w:cs="宋体"/>
          <w:color w:val="auto"/>
          <w:sz w:val="21"/>
          <w:szCs w:val="21"/>
          <w:highlight w:val="none"/>
        </w:rPr>
        <w:t>.1中标通知书发放后3</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日内，按照招标文件和中标人的投标文件订立书面合同。招标人和中标人不得再行订立背离合同实质性内容的其他协议。</w:t>
      </w:r>
    </w:p>
    <w:p w14:paraId="433C1E40">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中标人如不按本</w:t>
      </w:r>
      <w:r>
        <w:rPr>
          <w:rFonts w:hint="eastAsia" w:ascii="宋体" w:hAnsi="宋体" w:cs="宋体"/>
          <w:color w:val="auto"/>
          <w:sz w:val="21"/>
          <w:szCs w:val="21"/>
          <w:highlight w:val="none"/>
          <w:lang w:eastAsia="zh-CN"/>
        </w:rPr>
        <w:t>投标人须知</w:t>
      </w: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28</w:t>
      </w:r>
      <w:r>
        <w:rPr>
          <w:rFonts w:hint="eastAsia" w:ascii="宋体" w:hAnsi="宋体" w:eastAsia="宋体" w:cs="宋体"/>
          <w:color w:val="auto"/>
          <w:sz w:val="21"/>
          <w:szCs w:val="21"/>
          <w:highlight w:val="none"/>
        </w:rPr>
        <w:t>条的规定与招标人订立合同，则招标人将取消其中标资格，给招标人造成的损失超过投标担保数额的，还应当对超过部分予以赔偿，同时依法承担相应法律责任。</w:t>
      </w:r>
    </w:p>
    <w:p w14:paraId="6CA53D95">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highlight w:val="none"/>
          <w:lang w:val="en-US" w:eastAsia="zh-CN"/>
        </w:rPr>
      </w:pPr>
      <w:r>
        <w:rPr>
          <w:rFonts w:hint="eastAsia" w:ascii="宋体" w:hAnsi="宋体" w:cs="宋体"/>
          <w:color w:val="auto"/>
          <w:sz w:val="21"/>
          <w:szCs w:val="21"/>
          <w:highlight w:val="none"/>
          <w:lang w:val="en-US" w:eastAsia="zh-CN"/>
        </w:rPr>
        <w:t>31.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中标人应当按照合同约定履行义务，完成中标项目的实施，不得将中标项目转让（转包）给他人。</w:t>
      </w:r>
      <w:r>
        <w:rPr>
          <w:rFonts w:hint="eastAsia" w:ascii="宋体" w:hAnsi="宋体" w:eastAsia="宋体" w:cs="宋体"/>
          <w:color w:val="auto"/>
          <w:highlight w:val="none"/>
          <w:lang w:val="en-US" w:eastAsia="zh-CN"/>
        </w:rPr>
        <w:t xml:space="preserve"> </w:t>
      </w:r>
      <w:bookmarkStart w:id="56" w:name="_Toc3222"/>
      <w:bookmarkStart w:id="57" w:name="_Toc31589_WPSOffice_Level1"/>
      <w:r>
        <w:rPr>
          <w:rFonts w:hint="eastAsia" w:ascii="宋体" w:hAnsi="宋体" w:eastAsia="宋体" w:cs="宋体"/>
          <w:color w:val="auto"/>
          <w:highlight w:val="none"/>
          <w:lang w:val="en-US" w:eastAsia="zh-CN"/>
        </w:rPr>
        <w:t xml:space="preserve"> </w:t>
      </w:r>
    </w:p>
    <w:p w14:paraId="1A0FFB64">
      <w:pPr>
        <w:keepNext w:val="0"/>
        <w:keepLines w:val="0"/>
        <w:pageBreakBefore w:val="0"/>
        <w:widowControl w:val="0"/>
        <w:kinsoku/>
        <w:wordWrap/>
        <w:overflowPunct/>
        <w:topLinePunct w:val="0"/>
        <w:autoSpaceDE/>
        <w:autoSpaceDN/>
        <w:bidi w:val="0"/>
        <w:spacing w:line="500" w:lineRule="exact"/>
        <w:jc w:val="center"/>
        <w:textAlignment w:val="auto"/>
        <w:outlineLvl w:val="1"/>
        <w:rPr>
          <w:rFonts w:hint="eastAsia" w:ascii="宋体" w:hAnsi="宋体" w:eastAsia="宋体" w:cs="宋体"/>
          <w:b/>
          <w:bCs/>
          <w:color w:val="auto"/>
          <w:sz w:val="28"/>
          <w:highlight w:val="none"/>
        </w:rPr>
      </w:pPr>
      <w:r>
        <w:rPr>
          <w:rFonts w:hint="eastAsia" w:ascii="宋体" w:hAnsi="宋体" w:eastAsia="宋体" w:cs="宋体"/>
          <w:b/>
          <w:bCs/>
          <w:color w:val="auto"/>
          <w:sz w:val="28"/>
          <w:highlight w:val="none"/>
        </w:rPr>
        <w:t>七</w:t>
      </w:r>
      <w:r>
        <w:rPr>
          <w:rFonts w:hint="eastAsia" w:ascii="宋体" w:hAnsi="宋体" w:eastAsia="宋体" w:cs="宋体"/>
          <w:b/>
          <w:bCs/>
          <w:color w:val="auto"/>
          <w:sz w:val="28"/>
          <w:highlight w:val="none"/>
          <w:lang w:eastAsia="zh-CN"/>
        </w:rPr>
        <w:t>、</w:t>
      </w:r>
      <w:r>
        <w:rPr>
          <w:rFonts w:hint="eastAsia" w:ascii="宋体" w:hAnsi="宋体" w:eastAsia="宋体" w:cs="宋体"/>
          <w:b/>
          <w:bCs/>
          <w:color w:val="auto"/>
          <w:sz w:val="28"/>
          <w:highlight w:val="none"/>
        </w:rPr>
        <w:t>纪律和监督</w:t>
      </w:r>
    </w:p>
    <w:p w14:paraId="4D39E8B8">
      <w:pPr>
        <w:keepNext w:val="0"/>
        <w:keepLines w:val="0"/>
        <w:pageBreakBefore w:val="0"/>
        <w:widowControl w:val="0"/>
        <w:kinsoku/>
        <w:wordWrap/>
        <w:overflowPunct/>
        <w:topLinePunct w:val="0"/>
        <w:autoSpaceDE/>
        <w:autoSpaceDN/>
        <w:bidi w:val="0"/>
        <w:spacing w:line="44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32</w:t>
      </w:r>
      <w:r>
        <w:rPr>
          <w:rFonts w:hint="eastAsia" w:ascii="宋体" w:hAnsi="宋体" w:eastAsia="宋体" w:cs="宋体"/>
          <w:b/>
          <w:color w:val="auto"/>
          <w:sz w:val="21"/>
          <w:szCs w:val="21"/>
          <w:highlight w:val="none"/>
        </w:rPr>
        <w:t>. 对</w:t>
      </w:r>
      <w:r>
        <w:rPr>
          <w:rFonts w:hint="eastAsia" w:ascii="宋体" w:hAnsi="宋体" w:eastAsia="宋体" w:cs="宋体"/>
          <w:b/>
          <w:color w:val="auto"/>
          <w:sz w:val="21"/>
          <w:szCs w:val="21"/>
          <w:highlight w:val="none"/>
          <w:lang w:val="en-US" w:eastAsia="zh-CN"/>
        </w:rPr>
        <w:t>招标</w:t>
      </w:r>
      <w:r>
        <w:rPr>
          <w:rFonts w:hint="eastAsia" w:ascii="宋体" w:hAnsi="宋体" w:eastAsia="宋体" w:cs="宋体"/>
          <w:b/>
          <w:color w:val="auto"/>
          <w:sz w:val="21"/>
          <w:szCs w:val="21"/>
          <w:highlight w:val="none"/>
        </w:rPr>
        <w:t xml:space="preserve">人的纪律要求 </w:t>
      </w:r>
    </w:p>
    <w:p w14:paraId="4F26488C">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kern w:val="10"/>
          <w:sz w:val="21"/>
          <w:szCs w:val="21"/>
          <w:highlight w:val="none"/>
        </w:rPr>
      </w:pPr>
      <w:r>
        <w:rPr>
          <w:rFonts w:hint="eastAsia" w:ascii="宋体" w:hAnsi="宋体" w:eastAsia="宋体" w:cs="宋体"/>
          <w:color w:val="auto"/>
          <w:kern w:val="10"/>
          <w:sz w:val="21"/>
          <w:szCs w:val="21"/>
          <w:highlight w:val="none"/>
        </w:rPr>
        <w:t>3</w:t>
      </w:r>
      <w:r>
        <w:rPr>
          <w:rFonts w:hint="eastAsia" w:ascii="宋体" w:hAnsi="宋体" w:eastAsia="宋体" w:cs="宋体"/>
          <w:color w:val="auto"/>
          <w:kern w:val="10"/>
          <w:sz w:val="21"/>
          <w:szCs w:val="21"/>
          <w:highlight w:val="none"/>
          <w:lang w:val="en-US" w:eastAsia="zh-CN"/>
        </w:rPr>
        <w:t>2</w:t>
      </w:r>
      <w:r>
        <w:rPr>
          <w:rFonts w:hint="eastAsia" w:ascii="宋体" w:hAnsi="宋体" w:eastAsia="宋体" w:cs="宋体"/>
          <w:color w:val="auto"/>
          <w:kern w:val="10"/>
          <w:sz w:val="21"/>
          <w:szCs w:val="21"/>
          <w:highlight w:val="none"/>
        </w:rPr>
        <w:t>.1</w:t>
      </w:r>
      <w:r>
        <w:rPr>
          <w:rFonts w:hint="eastAsia" w:ascii="宋体" w:hAnsi="宋体" w:eastAsia="宋体" w:cs="宋体"/>
          <w:color w:val="auto"/>
          <w:kern w:val="10"/>
          <w:sz w:val="21"/>
          <w:szCs w:val="21"/>
          <w:highlight w:val="none"/>
          <w:lang w:val="en-US" w:eastAsia="zh-CN"/>
        </w:rPr>
        <w:t>招标</w:t>
      </w:r>
      <w:r>
        <w:rPr>
          <w:rFonts w:hint="eastAsia" w:ascii="宋体" w:hAnsi="宋体" w:eastAsia="宋体" w:cs="宋体"/>
          <w:color w:val="auto"/>
          <w:kern w:val="10"/>
          <w:sz w:val="21"/>
          <w:szCs w:val="21"/>
          <w:highlight w:val="none"/>
        </w:rPr>
        <w:t xml:space="preserve">人不得泄漏招标投标活动中应当保密的情况和资料，不得与投标人串通损害国家利益，社会公共利益或者他人合法权益。 </w:t>
      </w:r>
    </w:p>
    <w:p w14:paraId="5551F485">
      <w:pPr>
        <w:keepNext w:val="0"/>
        <w:keepLines w:val="0"/>
        <w:pageBreakBefore w:val="0"/>
        <w:widowControl w:val="0"/>
        <w:kinsoku/>
        <w:wordWrap/>
        <w:overflowPunct/>
        <w:topLinePunct w:val="0"/>
        <w:autoSpaceDE/>
        <w:autoSpaceDN/>
        <w:bidi w:val="0"/>
        <w:spacing w:line="44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w:t>
      </w:r>
      <w:r>
        <w:rPr>
          <w:rFonts w:hint="eastAsia" w:ascii="宋体"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rPr>
        <w:t xml:space="preserve">. 对投标人的纪律要求 </w:t>
      </w:r>
    </w:p>
    <w:p w14:paraId="7504D9C8">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kern w:val="10"/>
          <w:sz w:val="21"/>
          <w:szCs w:val="21"/>
          <w:highlight w:val="none"/>
        </w:rPr>
      </w:pPr>
      <w:r>
        <w:rPr>
          <w:rFonts w:hint="eastAsia" w:ascii="宋体" w:hAnsi="宋体" w:eastAsia="宋体" w:cs="宋体"/>
          <w:color w:val="auto"/>
          <w:kern w:val="10"/>
          <w:sz w:val="21"/>
          <w:szCs w:val="21"/>
          <w:highlight w:val="none"/>
        </w:rPr>
        <w:t>3</w:t>
      </w:r>
      <w:r>
        <w:rPr>
          <w:rFonts w:hint="eastAsia" w:ascii="宋体" w:hAnsi="宋体" w:eastAsia="宋体" w:cs="宋体"/>
          <w:color w:val="auto"/>
          <w:kern w:val="10"/>
          <w:sz w:val="21"/>
          <w:szCs w:val="21"/>
          <w:highlight w:val="none"/>
          <w:lang w:val="en-US" w:eastAsia="zh-CN"/>
        </w:rPr>
        <w:t>3</w:t>
      </w:r>
      <w:r>
        <w:rPr>
          <w:rFonts w:hint="eastAsia" w:ascii="宋体" w:hAnsi="宋体" w:eastAsia="宋体" w:cs="宋体"/>
          <w:color w:val="auto"/>
          <w:kern w:val="10"/>
          <w:sz w:val="21"/>
          <w:szCs w:val="21"/>
          <w:highlight w:val="none"/>
        </w:rPr>
        <w:t>.1投标人不得相互串通投标或者与</w:t>
      </w:r>
      <w:r>
        <w:rPr>
          <w:rFonts w:hint="eastAsia" w:ascii="宋体" w:hAnsi="宋体" w:eastAsia="宋体" w:cs="宋体"/>
          <w:color w:val="auto"/>
          <w:kern w:val="10"/>
          <w:sz w:val="21"/>
          <w:szCs w:val="21"/>
          <w:highlight w:val="none"/>
          <w:lang w:val="en-US" w:eastAsia="zh-CN"/>
        </w:rPr>
        <w:t>招标</w:t>
      </w:r>
      <w:r>
        <w:rPr>
          <w:rFonts w:hint="eastAsia" w:ascii="宋体" w:hAnsi="宋体" w:eastAsia="宋体" w:cs="宋体"/>
          <w:color w:val="auto"/>
          <w:kern w:val="10"/>
          <w:sz w:val="21"/>
          <w:szCs w:val="21"/>
          <w:highlight w:val="none"/>
        </w:rPr>
        <w:t>人串通投标，不得向</w:t>
      </w:r>
      <w:r>
        <w:rPr>
          <w:rFonts w:hint="eastAsia" w:ascii="宋体" w:hAnsi="宋体" w:eastAsia="宋体" w:cs="宋体"/>
          <w:color w:val="auto"/>
          <w:kern w:val="10"/>
          <w:sz w:val="21"/>
          <w:szCs w:val="21"/>
          <w:highlight w:val="none"/>
          <w:lang w:val="en-US" w:eastAsia="zh-CN"/>
        </w:rPr>
        <w:t>招标</w:t>
      </w:r>
      <w:r>
        <w:rPr>
          <w:rFonts w:hint="eastAsia" w:ascii="宋体" w:hAnsi="宋体" w:eastAsia="宋体" w:cs="宋体"/>
          <w:color w:val="auto"/>
          <w:kern w:val="10"/>
          <w:sz w:val="21"/>
          <w:szCs w:val="21"/>
          <w:highlight w:val="none"/>
        </w:rPr>
        <w:t>人或者评标委员会成员行贿谋取中标，不得以他人名义投标或者以其他方式弄虚作假骗取中标；投标人不得以任何方式干扰、影响评标工作。</w:t>
      </w:r>
    </w:p>
    <w:p w14:paraId="7BDEB768">
      <w:pPr>
        <w:keepNext w:val="0"/>
        <w:keepLines w:val="0"/>
        <w:pageBreakBefore w:val="0"/>
        <w:widowControl w:val="0"/>
        <w:kinsoku/>
        <w:wordWrap/>
        <w:overflowPunct/>
        <w:topLinePunct w:val="0"/>
        <w:autoSpaceDE/>
        <w:autoSpaceDN/>
        <w:bidi w:val="0"/>
        <w:spacing w:line="44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w:t>
      </w:r>
      <w:r>
        <w:rPr>
          <w:rFonts w:hint="eastAsia" w:ascii="宋体" w:hAnsi="宋体" w:eastAsia="宋体" w:cs="宋体"/>
          <w:b/>
          <w:color w:val="auto"/>
          <w:sz w:val="21"/>
          <w:szCs w:val="21"/>
          <w:highlight w:val="none"/>
          <w:lang w:val="en-US" w:eastAsia="zh-CN"/>
        </w:rPr>
        <w:t>4</w:t>
      </w:r>
      <w:r>
        <w:rPr>
          <w:rFonts w:hint="eastAsia" w:ascii="宋体" w:hAnsi="宋体" w:eastAsia="宋体" w:cs="宋体"/>
          <w:b/>
          <w:color w:val="auto"/>
          <w:sz w:val="21"/>
          <w:szCs w:val="21"/>
          <w:highlight w:val="none"/>
        </w:rPr>
        <w:t xml:space="preserve">. 对评标委员会成员的纪律要求 </w:t>
      </w:r>
    </w:p>
    <w:p w14:paraId="6CB3C107">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kern w:val="10"/>
          <w:sz w:val="21"/>
          <w:szCs w:val="21"/>
          <w:highlight w:val="none"/>
        </w:rPr>
      </w:pPr>
      <w:r>
        <w:rPr>
          <w:rFonts w:hint="eastAsia" w:ascii="宋体" w:hAnsi="宋体" w:eastAsia="宋体" w:cs="宋体"/>
          <w:color w:val="auto"/>
          <w:kern w:val="10"/>
          <w:sz w:val="21"/>
          <w:szCs w:val="21"/>
          <w:highlight w:val="none"/>
        </w:rPr>
        <w:t>3</w:t>
      </w:r>
      <w:r>
        <w:rPr>
          <w:rFonts w:hint="eastAsia" w:ascii="宋体" w:hAnsi="宋体" w:eastAsia="宋体" w:cs="宋体"/>
          <w:color w:val="auto"/>
          <w:kern w:val="10"/>
          <w:sz w:val="21"/>
          <w:szCs w:val="21"/>
          <w:highlight w:val="none"/>
          <w:lang w:val="en-US" w:eastAsia="zh-CN"/>
        </w:rPr>
        <w:t>4</w:t>
      </w:r>
      <w:r>
        <w:rPr>
          <w:rFonts w:hint="eastAsia" w:ascii="宋体" w:hAnsi="宋体" w:eastAsia="宋体" w:cs="宋体"/>
          <w:color w:val="auto"/>
          <w:kern w:val="10"/>
          <w:sz w:val="21"/>
          <w:szCs w:val="21"/>
          <w:highlight w:val="none"/>
        </w:rPr>
        <w:t>.1评标委员会成员不得收受他人的财物或者其他好处，不得向他人透漏对投标文件的评审和比较、中标候选人的推荐情况以及评标有关的其他情况。</w:t>
      </w:r>
    </w:p>
    <w:p w14:paraId="03E470DE">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kern w:val="10"/>
          <w:sz w:val="21"/>
          <w:szCs w:val="21"/>
          <w:highlight w:val="none"/>
        </w:rPr>
      </w:pPr>
      <w:r>
        <w:rPr>
          <w:rFonts w:hint="eastAsia" w:ascii="宋体" w:hAnsi="宋体" w:eastAsia="宋体" w:cs="宋体"/>
          <w:color w:val="auto"/>
          <w:kern w:val="10"/>
          <w:sz w:val="21"/>
          <w:szCs w:val="21"/>
          <w:highlight w:val="none"/>
        </w:rPr>
        <w:t>3</w:t>
      </w:r>
      <w:r>
        <w:rPr>
          <w:rFonts w:hint="eastAsia" w:ascii="宋体" w:hAnsi="宋体" w:eastAsia="宋体" w:cs="宋体"/>
          <w:color w:val="auto"/>
          <w:kern w:val="10"/>
          <w:sz w:val="21"/>
          <w:szCs w:val="21"/>
          <w:highlight w:val="none"/>
          <w:lang w:val="en-US" w:eastAsia="zh-CN"/>
        </w:rPr>
        <w:t>4</w:t>
      </w:r>
      <w:r>
        <w:rPr>
          <w:rFonts w:hint="eastAsia" w:ascii="宋体" w:hAnsi="宋体" w:eastAsia="宋体" w:cs="宋体"/>
          <w:color w:val="auto"/>
          <w:kern w:val="10"/>
          <w:sz w:val="21"/>
          <w:szCs w:val="21"/>
          <w:highlight w:val="none"/>
        </w:rPr>
        <w:t>.2在评标活动中，评标委员会成员不得擅离职守，影响评标程序正常进行，不得使用第</w:t>
      </w:r>
      <w:r>
        <w:rPr>
          <w:rFonts w:hint="eastAsia" w:ascii="宋体" w:hAnsi="宋体" w:cs="宋体"/>
          <w:color w:val="auto"/>
          <w:kern w:val="10"/>
          <w:sz w:val="21"/>
          <w:szCs w:val="21"/>
          <w:highlight w:val="none"/>
          <w:lang w:eastAsia="zh-CN"/>
        </w:rPr>
        <w:t>二</w:t>
      </w:r>
      <w:r>
        <w:rPr>
          <w:rFonts w:hint="eastAsia" w:ascii="宋体" w:hAnsi="宋体" w:eastAsia="宋体" w:cs="宋体"/>
          <w:color w:val="auto"/>
          <w:kern w:val="10"/>
          <w:sz w:val="21"/>
          <w:szCs w:val="21"/>
          <w:highlight w:val="none"/>
        </w:rPr>
        <w:t xml:space="preserve">章“评标办法”没有规定的评审因素和标准进行评标。 </w:t>
      </w:r>
    </w:p>
    <w:p w14:paraId="72153F7E">
      <w:pPr>
        <w:keepNext w:val="0"/>
        <w:keepLines w:val="0"/>
        <w:pageBreakBefore w:val="0"/>
        <w:widowControl w:val="0"/>
        <w:kinsoku/>
        <w:wordWrap/>
        <w:overflowPunct/>
        <w:topLinePunct w:val="0"/>
        <w:autoSpaceDE/>
        <w:autoSpaceDN/>
        <w:bidi w:val="0"/>
        <w:spacing w:line="44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35</w:t>
      </w:r>
      <w:r>
        <w:rPr>
          <w:rFonts w:hint="eastAsia" w:ascii="宋体" w:hAnsi="宋体" w:eastAsia="宋体" w:cs="宋体"/>
          <w:b/>
          <w:color w:val="auto"/>
          <w:sz w:val="21"/>
          <w:szCs w:val="21"/>
          <w:highlight w:val="none"/>
        </w:rPr>
        <w:t xml:space="preserve">. 对与评标活动有关的工作人员的纪律要求 </w:t>
      </w:r>
    </w:p>
    <w:p w14:paraId="27E68A89">
      <w:pPr>
        <w:adjustRightInd w:val="0"/>
        <w:snapToGrid w:val="0"/>
        <w:spacing w:line="440" w:lineRule="exact"/>
        <w:rPr>
          <w:rFonts w:hint="eastAsia" w:ascii="宋体"/>
          <w:color w:val="auto"/>
          <w:kern w:val="10"/>
          <w:szCs w:val="21"/>
          <w:highlight w:val="none"/>
        </w:rPr>
      </w:pPr>
      <w:r>
        <w:rPr>
          <w:rFonts w:hint="eastAsia" w:ascii="宋体" w:hAnsi="宋体" w:eastAsia="宋体" w:cs="宋体"/>
          <w:color w:val="auto"/>
          <w:kern w:val="10"/>
          <w:sz w:val="21"/>
          <w:szCs w:val="21"/>
          <w:highlight w:val="none"/>
          <w:lang w:val="en-US" w:eastAsia="zh-CN"/>
        </w:rPr>
        <w:t>35.1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r>
        <w:rPr>
          <w:rFonts w:hint="eastAsia" w:ascii="宋体"/>
          <w:color w:val="auto"/>
          <w:kern w:val="10"/>
          <w:szCs w:val="21"/>
          <w:highlight w:val="none"/>
        </w:rPr>
        <w:t>。</w:t>
      </w:r>
    </w:p>
    <w:p w14:paraId="5F5F9D3C">
      <w:pPr>
        <w:keepNext w:val="0"/>
        <w:keepLines w:val="0"/>
        <w:pageBreakBefore w:val="0"/>
        <w:widowControl w:val="0"/>
        <w:kinsoku/>
        <w:wordWrap/>
        <w:overflowPunct/>
        <w:topLinePunct w:val="0"/>
        <w:autoSpaceDE/>
        <w:autoSpaceDN/>
        <w:bidi w:val="0"/>
        <w:spacing w:line="500" w:lineRule="exact"/>
        <w:jc w:val="center"/>
        <w:textAlignment w:val="auto"/>
        <w:outlineLvl w:val="1"/>
        <w:rPr>
          <w:rFonts w:hint="eastAsia" w:ascii="宋体" w:hAnsi="宋体" w:eastAsia="宋体" w:cs="宋体"/>
          <w:b/>
          <w:bCs/>
          <w:color w:val="auto"/>
          <w:sz w:val="28"/>
          <w:highlight w:val="none"/>
        </w:rPr>
      </w:pPr>
      <w:bookmarkStart w:id="58" w:name="_Toc449028875"/>
      <w:r>
        <w:rPr>
          <w:rFonts w:hint="eastAsia" w:ascii="宋体" w:hAnsi="宋体" w:eastAsia="宋体" w:cs="宋体"/>
          <w:b/>
          <w:bCs/>
          <w:color w:val="auto"/>
          <w:sz w:val="28"/>
          <w:highlight w:val="none"/>
          <w:lang w:val="en-US" w:eastAsia="zh-CN"/>
        </w:rPr>
        <w:t>八、</w:t>
      </w:r>
      <w:r>
        <w:rPr>
          <w:rFonts w:hint="eastAsia" w:ascii="宋体" w:hAnsi="宋体" w:eastAsia="宋体" w:cs="宋体"/>
          <w:b/>
          <w:bCs/>
          <w:color w:val="auto"/>
          <w:sz w:val="28"/>
          <w:highlight w:val="none"/>
        </w:rPr>
        <w:t>质疑</w:t>
      </w:r>
      <w:bookmarkEnd w:id="58"/>
    </w:p>
    <w:p w14:paraId="1CD4C1C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36</w:t>
      </w:r>
      <w:r>
        <w:rPr>
          <w:rFonts w:hint="eastAsia" w:ascii="宋体" w:hAnsi="宋体" w:eastAsia="宋体" w:cs="宋体"/>
          <w:b/>
          <w:color w:val="auto"/>
          <w:sz w:val="21"/>
          <w:szCs w:val="21"/>
          <w:highlight w:val="none"/>
        </w:rPr>
        <w:t>. 询问、质疑</w:t>
      </w:r>
    </w:p>
    <w:p w14:paraId="2E4B5FF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36.1 投标人对招标活动事项有疑问的，可以向招标人提出询问，招标人将在三日内作出答复，但答复的内容不涉及商业秘密。</w:t>
      </w:r>
    </w:p>
    <w:p w14:paraId="0294DB2C">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36.2 </w:t>
      </w:r>
      <w:r>
        <w:rPr>
          <w:rFonts w:hint="eastAsia" w:ascii="宋体" w:hAnsi="宋体" w:eastAsia="宋体" w:cs="宋体"/>
          <w:color w:val="auto"/>
          <w:sz w:val="21"/>
          <w:szCs w:val="21"/>
          <w:highlight w:val="none"/>
        </w:rPr>
        <w:t>投标人和其他利害关系人认为本次招标活动违反法律、法规和规章规定的，有权向有关行政监督部门投诉。投诉应当有明确的请求和必要的证明材料。</w:t>
      </w:r>
    </w:p>
    <w:p w14:paraId="4AC960A2">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36.3</w:t>
      </w:r>
      <w:r>
        <w:rPr>
          <w:rFonts w:hint="eastAsia" w:ascii="宋体" w:hAnsi="宋体" w:eastAsia="宋体" w:cs="宋体"/>
          <w:color w:val="auto"/>
          <w:sz w:val="21"/>
          <w:szCs w:val="21"/>
          <w:highlight w:val="none"/>
        </w:rPr>
        <w:t>投标人或其他利害关系人对评标结果有异议的，应在公示期间提出。招标人将在收到异议之日起3日内作出答复；作出答复前，将暂停招标投标活动。</w:t>
      </w:r>
      <w:r>
        <w:rPr>
          <w:rFonts w:hint="eastAsia" w:ascii="宋体" w:hAnsi="宋体" w:eastAsia="宋体" w:cs="宋体"/>
          <w:b/>
          <w:bCs/>
          <w:color w:val="auto"/>
          <w:sz w:val="21"/>
          <w:szCs w:val="21"/>
          <w:highlight w:val="none"/>
          <w:lang w:val="en-US" w:eastAsia="zh-CN"/>
        </w:rPr>
        <w:t>注：</w:t>
      </w:r>
      <w:r>
        <w:rPr>
          <w:rFonts w:hint="eastAsia" w:ascii="宋体" w:hAnsi="宋体" w:eastAsia="宋体" w:cs="宋体"/>
          <w:b/>
          <w:bCs/>
          <w:color w:val="auto"/>
          <w:sz w:val="21"/>
          <w:szCs w:val="21"/>
          <w:highlight w:val="none"/>
        </w:rPr>
        <w:t>一份质疑（异议）函只能针对一个项目提出质疑（异议），且针对同一招标采购程序环节的质疑（异议）应当一次性提出</w:t>
      </w:r>
      <w:r>
        <w:rPr>
          <w:rFonts w:hint="eastAsia" w:ascii="宋体" w:hAnsi="宋体" w:eastAsia="宋体" w:cs="宋体"/>
          <w:b/>
          <w:bCs/>
          <w:color w:val="auto"/>
          <w:sz w:val="21"/>
          <w:szCs w:val="21"/>
          <w:highlight w:val="none"/>
          <w:lang w:eastAsia="zh-CN"/>
        </w:rPr>
        <w:t>。</w:t>
      </w:r>
    </w:p>
    <w:p w14:paraId="358F522D">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36.4参与投标的投标人对中标公告提出的质疑，负有举证的责任。投标人提出质疑应当提交质疑函和必要的证明材料。质疑函应当包括下列内容：</w:t>
      </w:r>
    </w:p>
    <w:p w14:paraId="1CBAEEF6">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（一）投标人的姓名或者名称、地址、邮编、联系人及联系电话；</w:t>
      </w:r>
    </w:p>
    <w:p w14:paraId="7763497A">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（二）质疑项目的名称、编号；</w:t>
      </w:r>
    </w:p>
    <w:p w14:paraId="2B5293BB">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（三）具体、明确的质疑事项和与质疑事项相关的请求；</w:t>
      </w:r>
    </w:p>
    <w:p w14:paraId="0CC942E4">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（四）事实依据；</w:t>
      </w:r>
    </w:p>
    <w:p w14:paraId="0F584D02">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（五）必要的法律依据；</w:t>
      </w:r>
    </w:p>
    <w:p w14:paraId="615070B5">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（六）提出质疑的日期。</w:t>
      </w:r>
    </w:p>
    <w:p w14:paraId="07F11C0E">
      <w:pPr>
        <w:keepNext w:val="0"/>
        <w:keepLines w:val="0"/>
        <w:pageBreakBefore w:val="0"/>
        <w:widowControl w:val="0"/>
        <w:kinsoku/>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投标人为自然人的，应当由本人签字；投标人为法人或者其他组织的，应当由法定代表人、主要负责人，或者其授权代表签字或者盖章，并加盖公章。</w:t>
      </w:r>
    </w:p>
    <w:p w14:paraId="26A452B3">
      <w:pPr>
        <w:keepNext w:val="0"/>
        <w:keepLines w:val="0"/>
        <w:pageBreakBefore w:val="0"/>
        <w:widowControl w:val="0"/>
        <w:kinsoku/>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36.5</w:t>
      </w:r>
      <w:r>
        <w:rPr>
          <w:rFonts w:hint="eastAsia" w:ascii="宋体" w:hAnsi="宋体" w:eastAsia="宋体" w:cs="宋体"/>
          <w:color w:val="auto"/>
          <w:kern w:val="10"/>
          <w:sz w:val="21"/>
          <w:szCs w:val="21"/>
          <w:highlight w:val="none"/>
          <w:lang w:eastAsia="zh-CN"/>
        </w:rPr>
        <w:t>招标人</w:t>
      </w:r>
      <w:r>
        <w:rPr>
          <w:rFonts w:hint="eastAsia" w:ascii="宋体" w:hAnsi="宋体" w:eastAsia="宋体" w:cs="宋体"/>
          <w:color w:val="auto"/>
          <w:kern w:val="10"/>
          <w:sz w:val="21"/>
          <w:szCs w:val="21"/>
          <w:highlight w:val="none"/>
        </w:rPr>
        <w:t>或</w:t>
      </w:r>
      <w:r>
        <w:rPr>
          <w:rFonts w:hint="eastAsia" w:ascii="宋体" w:hAnsi="宋体" w:eastAsia="宋体" w:cs="宋体"/>
          <w:color w:val="auto"/>
          <w:kern w:val="10"/>
          <w:sz w:val="21"/>
          <w:szCs w:val="21"/>
          <w:highlight w:val="none"/>
          <w:lang w:eastAsia="zh-CN"/>
        </w:rPr>
        <w:t>招标代理机构</w:t>
      </w:r>
      <w:r>
        <w:rPr>
          <w:rFonts w:hint="eastAsia" w:ascii="宋体" w:hAnsi="宋体" w:eastAsia="宋体" w:cs="宋体"/>
          <w:color w:val="auto"/>
          <w:kern w:val="10"/>
          <w:sz w:val="21"/>
          <w:szCs w:val="21"/>
          <w:highlight w:val="none"/>
        </w:rPr>
        <w:t>在收到投标人的质疑函后，将审查质疑函的格式、内容以及所附的证明文件是否符合要求。如不符合，说明原因退回投标人；如符合要求，则接受该质疑函并向投标人出具受理证明</w:t>
      </w:r>
      <w:r>
        <w:rPr>
          <w:rFonts w:hint="eastAsia" w:ascii="宋体" w:hAnsi="宋体" w:eastAsia="宋体" w:cs="宋体"/>
          <w:color w:val="auto"/>
          <w:sz w:val="21"/>
          <w:szCs w:val="21"/>
          <w:highlight w:val="none"/>
          <w:lang w:val="en-US" w:eastAsia="zh-CN"/>
        </w:rPr>
        <w:t>。</w:t>
      </w:r>
    </w:p>
    <w:p w14:paraId="65F1D038">
      <w:pPr>
        <w:keepNext w:val="0"/>
        <w:keepLines w:val="0"/>
        <w:pageBreakBefore w:val="0"/>
        <w:widowControl w:val="0"/>
        <w:kinsoku/>
        <w:overflowPunct/>
        <w:topLinePunct w:val="0"/>
        <w:autoSpaceDE/>
        <w:autoSpaceDN/>
        <w:bidi w:val="0"/>
        <w:adjustRightInd/>
        <w:snapToGrid/>
        <w:spacing w:line="440" w:lineRule="exact"/>
        <w:jc w:val="left"/>
        <w:textAlignment w:val="auto"/>
        <w:rPr>
          <w:rFonts w:hint="eastAsia" w:ascii="宋体" w:hAnsi="宋体" w:eastAsia="宋体" w:cs="宋体"/>
          <w:color w:val="auto"/>
          <w:kern w:val="10"/>
          <w:sz w:val="21"/>
          <w:szCs w:val="21"/>
          <w:highlight w:val="none"/>
        </w:rPr>
      </w:pPr>
      <w:r>
        <w:rPr>
          <w:rFonts w:hint="eastAsia" w:ascii="宋体" w:hAnsi="宋体" w:eastAsia="宋体" w:cs="宋体"/>
          <w:color w:val="auto"/>
          <w:sz w:val="21"/>
          <w:szCs w:val="21"/>
          <w:highlight w:val="none"/>
          <w:lang w:val="en-US" w:eastAsia="zh-CN"/>
        </w:rPr>
        <w:t>36.6处理质疑的时间，从实际接受投标人质疑函的时间开始计算</w:t>
      </w:r>
      <w:r>
        <w:rPr>
          <w:rFonts w:hint="eastAsia" w:ascii="宋体" w:hAnsi="宋体" w:eastAsia="宋体" w:cs="宋体"/>
          <w:color w:val="auto"/>
          <w:kern w:val="10"/>
          <w:sz w:val="21"/>
          <w:szCs w:val="21"/>
          <w:highlight w:val="none"/>
        </w:rPr>
        <w:t>。</w:t>
      </w:r>
    </w:p>
    <w:p w14:paraId="32EDDA19">
      <w:pPr>
        <w:pStyle w:val="6"/>
        <w:keepNext/>
        <w:keepLines/>
        <w:pageBreakBefore/>
        <w:widowControl w:val="0"/>
        <w:kinsoku/>
        <w:wordWrap/>
        <w:overflowPunct/>
        <w:topLinePunct w:val="0"/>
        <w:autoSpaceDE/>
        <w:autoSpaceDN/>
        <w:bidi w:val="0"/>
        <w:adjustRightInd/>
        <w:snapToGrid/>
        <w:spacing w:before="0" w:after="0"/>
        <w:textAlignment w:val="auto"/>
        <w:rPr>
          <w:rFonts w:hint="eastAsia" w:ascii="宋体" w:hAnsi="宋体" w:eastAsia="宋体" w:cs="宋体"/>
          <w:color w:val="auto"/>
          <w:highlight w:val="none"/>
          <w:lang w:val="en-US" w:eastAsia="zh-CN"/>
        </w:rPr>
      </w:pPr>
      <w:bookmarkStart w:id="59" w:name="_Toc13234"/>
      <w:r>
        <w:rPr>
          <w:rFonts w:hint="eastAsia" w:ascii="宋体" w:hAnsi="宋体" w:eastAsia="宋体" w:cs="宋体"/>
          <w:color w:val="auto"/>
          <w:highlight w:val="none"/>
          <w:lang w:val="en-US" w:eastAsia="zh-CN"/>
        </w:rPr>
        <w:t>第二章 评标办法</w:t>
      </w:r>
      <w:bookmarkEnd w:id="59"/>
    </w:p>
    <w:p w14:paraId="4E420EF5">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1"/>
        <w:rPr>
          <w:rFonts w:hint="eastAsia" w:ascii="宋体" w:hAnsi="宋体" w:eastAsia="宋体" w:cs="宋体"/>
          <w:b/>
          <w:bCs/>
          <w:color w:val="auto"/>
          <w:sz w:val="24"/>
          <w:szCs w:val="24"/>
          <w:highlight w:val="none"/>
          <w:lang w:val="en-US" w:eastAsia="zh-CN"/>
        </w:rPr>
      </w:pPr>
      <w:bookmarkStart w:id="60" w:name="_Toc14912"/>
      <w:r>
        <w:rPr>
          <w:rFonts w:hint="eastAsia" w:ascii="宋体" w:hAnsi="宋体" w:eastAsia="宋体" w:cs="宋体"/>
          <w:b/>
          <w:bCs/>
          <w:color w:val="auto"/>
          <w:sz w:val="24"/>
          <w:szCs w:val="24"/>
          <w:highlight w:val="none"/>
          <w:lang w:val="en-US" w:eastAsia="zh-CN"/>
        </w:rPr>
        <w:t>一、总则</w:t>
      </w:r>
      <w:bookmarkEnd w:id="60"/>
    </w:p>
    <w:p w14:paraId="068C5033">
      <w:pPr>
        <w:keepNext w:val="0"/>
        <w:keepLines w:val="0"/>
        <w:pageBreakBefore w:val="0"/>
        <w:widowControl w:val="0"/>
        <w:kinsoku/>
        <w:wordWrap/>
        <w:overflowPunct/>
        <w:topLinePunct w:val="0"/>
        <w:autoSpaceDE/>
        <w:autoSpaceDN/>
        <w:bidi w:val="0"/>
        <w:adjustRightInd/>
        <w:snapToGrid/>
        <w:spacing w:line="460" w:lineRule="exact"/>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 本次评标采用综合评估法</w:t>
      </w:r>
    </w:p>
    <w:p w14:paraId="64AB08B2">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1.1综合评</w:t>
      </w:r>
      <w:r>
        <w:rPr>
          <w:rFonts w:hint="eastAsia" w:ascii="宋体" w:hAnsi="宋体" w:cs="宋体"/>
          <w:color w:val="auto"/>
          <w:sz w:val="21"/>
          <w:szCs w:val="21"/>
          <w:highlight w:val="none"/>
          <w:lang w:val="en-US" w:eastAsia="zh-CN"/>
        </w:rPr>
        <w:t>估</w:t>
      </w:r>
      <w:r>
        <w:rPr>
          <w:rFonts w:hint="eastAsia" w:ascii="宋体" w:hAnsi="宋体" w:eastAsia="宋体" w:cs="宋体"/>
          <w:color w:val="auto"/>
          <w:sz w:val="21"/>
          <w:szCs w:val="21"/>
          <w:highlight w:val="none"/>
          <w:lang w:val="en-US" w:eastAsia="zh-CN"/>
        </w:rPr>
        <w:t>法，评标委员会对满足招标文件实质性要求的投标文件，按照本章规定的评分标准进行打分，</w:t>
      </w:r>
      <w:r>
        <w:rPr>
          <w:rFonts w:hint="eastAsia" w:ascii="宋体" w:hAnsi="宋体" w:cs="宋体"/>
          <w:b/>
          <w:bCs/>
          <w:color w:val="auto"/>
          <w:szCs w:val="21"/>
          <w:highlight w:val="none"/>
        </w:rPr>
        <w:t>并按总得分由高到低顺序推荐</w:t>
      </w: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rPr>
        <w:t>名中标候选人，并标明排序</w:t>
      </w:r>
      <w:r>
        <w:rPr>
          <w:rFonts w:hint="eastAsia" w:ascii="宋体" w:hAnsi="宋体" w:cs="宋体"/>
          <w:b/>
          <w:bCs/>
          <w:color w:val="auto"/>
          <w:szCs w:val="21"/>
          <w:highlight w:val="none"/>
          <w:lang w:eastAsia="zh-CN"/>
        </w:rPr>
        <w:t>，但投标报价低于其成本的除外</w:t>
      </w:r>
      <w:r>
        <w:rPr>
          <w:rFonts w:hint="eastAsia" w:ascii="宋体" w:hAnsi="宋体" w:eastAsia="宋体" w:cs="宋体"/>
          <w:color w:val="auto"/>
          <w:sz w:val="21"/>
          <w:szCs w:val="21"/>
          <w:highlight w:val="none"/>
          <w:lang w:val="en-US" w:eastAsia="zh-CN"/>
        </w:rPr>
        <w:t>。得分最高的为第一中标候选人，第二高的为第二中标候选人。</w:t>
      </w:r>
      <w:r>
        <w:rPr>
          <w:rFonts w:hint="eastAsia" w:ascii="宋体" w:hAnsi="宋体" w:eastAsia="宋体" w:cs="宋体"/>
          <w:b/>
          <w:bCs/>
          <w:color w:val="auto"/>
          <w:sz w:val="21"/>
          <w:szCs w:val="21"/>
          <w:highlight w:val="none"/>
        </w:rPr>
        <w:t>如总得分相等，以投标报价低的优先，投标报价仍相等，由评标委员会或招标人随机抽取确定排名，不得并列</w:t>
      </w:r>
      <w:r>
        <w:rPr>
          <w:rFonts w:hint="eastAsia" w:ascii="宋体" w:hAnsi="宋体" w:eastAsia="宋体" w:cs="宋体"/>
          <w:color w:val="auto"/>
          <w:sz w:val="21"/>
          <w:szCs w:val="21"/>
          <w:highlight w:val="none"/>
        </w:rPr>
        <w:t>。</w:t>
      </w:r>
    </w:p>
    <w:p w14:paraId="403526C3">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2．评标程序</w:t>
      </w:r>
    </w:p>
    <w:p w14:paraId="59C70429">
      <w:pPr>
        <w:keepNext w:val="0"/>
        <w:keepLines w:val="0"/>
        <w:pageBreakBefore w:val="0"/>
        <w:widowControl w:val="0"/>
        <w:kinsoku/>
        <w:wordWrap/>
        <w:overflowPunct/>
        <w:topLinePunct w:val="0"/>
        <w:autoSpaceDE/>
        <w:autoSpaceDN/>
        <w:bidi w:val="0"/>
        <w:adjustRightInd/>
        <w:snapToGrid/>
        <w:spacing w:line="460" w:lineRule="exact"/>
        <w:ind w:firstLine="422"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先对投标人报价</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以投标文件投标函中填写报价为准</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按计算标准计算得分，得分按照从高到低进行排序（如总得分相等，以投标报价低的优先，投标报价仍相等，由招标人</w:t>
      </w:r>
      <w:r>
        <w:rPr>
          <w:rFonts w:hint="eastAsia" w:ascii="宋体" w:hAnsi="宋体" w:eastAsia="宋体" w:cs="宋体"/>
          <w:b/>
          <w:bCs/>
          <w:color w:val="auto"/>
          <w:sz w:val="21"/>
          <w:szCs w:val="21"/>
          <w:highlight w:val="none"/>
          <w:lang w:val="en-US" w:eastAsia="zh-CN"/>
        </w:rPr>
        <w:t>或评标委员会</w:t>
      </w:r>
      <w:r>
        <w:rPr>
          <w:rFonts w:hint="eastAsia" w:ascii="宋体" w:hAnsi="宋体" w:eastAsia="宋体" w:cs="宋体"/>
          <w:b/>
          <w:bCs/>
          <w:color w:val="auto"/>
          <w:sz w:val="21"/>
          <w:szCs w:val="21"/>
          <w:highlight w:val="none"/>
        </w:rPr>
        <w:t>随机抽取确定排名，不得并列）。对排序前</w:t>
      </w: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名的投标人投标文件进行评审并确定中标候选人。若排序前</w:t>
      </w: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名的投标人</w:t>
      </w:r>
      <w:r>
        <w:rPr>
          <w:rFonts w:hint="eastAsia" w:ascii="宋体" w:hAnsi="宋体" w:cs="宋体"/>
          <w:b/>
          <w:bCs/>
          <w:color w:val="auto"/>
          <w:sz w:val="21"/>
          <w:szCs w:val="21"/>
          <w:highlight w:val="none"/>
          <w:lang w:val="en-US" w:eastAsia="zh-CN"/>
        </w:rPr>
        <w:t>投标</w:t>
      </w:r>
      <w:r>
        <w:rPr>
          <w:rFonts w:hint="eastAsia" w:ascii="宋体" w:hAnsi="宋体" w:eastAsia="宋体" w:cs="宋体"/>
          <w:b/>
          <w:bCs/>
          <w:color w:val="auto"/>
          <w:sz w:val="21"/>
          <w:szCs w:val="21"/>
          <w:highlight w:val="none"/>
        </w:rPr>
        <w:t>文件评审不通过，则按得分排序递补至</w:t>
      </w: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家投标人进行</w:t>
      </w:r>
      <w:r>
        <w:rPr>
          <w:rFonts w:hint="eastAsia" w:ascii="宋体" w:hAnsi="宋体" w:cs="宋体"/>
          <w:b/>
          <w:bCs/>
          <w:color w:val="auto"/>
          <w:sz w:val="21"/>
          <w:szCs w:val="21"/>
          <w:highlight w:val="none"/>
          <w:lang w:val="en-US" w:eastAsia="zh-CN"/>
        </w:rPr>
        <w:t>投标文件</w:t>
      </w:r>
      <w:r>
        <w:rPr>
          <w:rFonts w:hint="eastAsia" w:ascii="宋体" w:hAnsi="宋体" w:eastAsia="宋体" w:cs="宋体"/>
          <w:b/>
          <w:bCs/>
          <w:color w:val="auto"/>
          <w:sz w:val="21"/>
          <w:szCs w:val="21"/>
          <w:highlight w:val="none"/>
        </w:rPr>
        <w:t>评审</w:t>
      </w:r>
      <w:r>
        <w:rPr>
          <w:rFonts w:hint="eastAsia" w:ascii="宋体" w:hAnsi="宋体" w:eastAsia="宋体" w:cs="宋体"/>
          <w:b/>
          <w:bCs/>
          <w:color w:val="auto"/>
          <w:sz w:val="21"/>
          <w:szCs w:val="21"/>
          <w:highlight w:val="none"/>
          <w:lang w:eastAsia="zh-CN"/>
        </w:rPr>
        <w:t>。</w:t>
      </w:r>
    </w:p>
    <w:p w14:paraId="591D37D6">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2.1投标文件的初审</w:t>
      </w:r>
    </w:p>
    <w:p w14:paraId="29ADB920">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2.1.1资格性检查。依据法律法规和</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的规定，对投标文件中的资格证明</w:t>
      </w:r>
      <w:r>
        <w:rPr>
          <w:rFonts w:hint="eastAsia" w:ascii="宋体" w:hAnsi="宋体" w:eastAsia="宋体" w:cs="宋体"/>
          <w:color w:val="auto"/>
          <w:sz w:val="21"/>
          <w:szCs w:val="21"/>
          <w:highlight w:val="none"/>
          <w:lang w:val="en-US" w:eastAsia="zh-CN"/>
        </w:rPr>
        <w:t>材料</w:t>
      </w:r>
      <w:r>
        <w:rPr>
          <w:rFonts w:hint="eastAsia" w:ascii="宋体" w:hAnsi="宋体" w:eastAsia="宋体" w:cs="宋体"/>
          <w:color w:val="auto"/>
          <w:sz w:val="21"/>
          <w:szCs w:val="21"/>
          <w:highlight w:val="none"/>
        </w:rPr>
        <w:t>等进行审查，以确定投标人是否具备投标资格。</w:t>
      </w:r>
    </w:p>
    <w:p w14:paraId="0B195F56">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2.1.2符合性检查。依据</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的规定，从投标文件的有效性、完整性和对</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的响应程度进行审查，以确定投标人是否对</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的实质性要求作出响应。</w:t>
      </w:r>
    </w:p>
    <w:p w14:paraId="7593A8C1">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2.2投标文件的澄清</w:t>
      </w:r>
    </w:p>
    <w:p w14:paraId="11B3623F">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在评标过程中，评标委员会认为需要，可要求投标单位对投标文件中的有关问题进行澄清或提供补充说明及有关资料，投标单位应做出书面答复。书面答复中不得变更价格、供货（服务）期、自报质量等实质性内容。</w:t>
      </w:r>
    </w:p>
    <w:p w14:paraId="0684D5D4">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书面答复须经投标单位法定代理人或其授权委托代理人的签字或印鉴，签字或盖印鉴的书面答复将视为投标文件的组成部分。投标截止时间后，投标人对投标报价或其它实质性内容修正的函件和增加的任何优惠条件，一律不得作为评标、定标的依据。</w:t>
      </w:r>
    </w:p>
    <w:p w14:paraId="1C9C5EAC">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2.2.3  招标人不接受投标单位主动提出的澄清。</w:t>
      </w:r>
    </w:p>
    <w:p w14:paraId="34335270">
      <w:pPr>
        <w:jc w:val="center"/>
        <w:outlineLvl w:val="1"/>
        <w:rPr>
          <w:rFonts w:hint="eastAsia" w:ascii="宋体"/>
          <w:b/>
          <w:color w:val="auto"/>
          <w:sz w:val="28"/>
          <w:szCs w:val="28"/>
          <w:highlight w:val="none"/>
        </w:rPr>
      </w:pPr>
      <w:bookmarkStart w:id="61" w:name="_Toc58430318"/>
      <w:bookmarkStart w:id="62" w:name="_Toc449028878"/>
      <w:bookmarkStart w:id="63" w:name="_Toc29779"/>
      <w:r>
        <w:rPr>
          <w:rFonts w:hint="eastAsia" w:ascii="宋体"/>
          <w:b/>
          <w:color w:val="auto"/>
          <w:sz w:val="28"/>
          <w:szCs w:val="28"/>
          <w:highlight w:val="none"/>
        </w:rPr>
        <w:t>二、投标文件初审</w:t>
      </w:r>
      <w:bookmarkEnd w:id="61"/>
      <w:bookmarkEnd w:id="62"/>
    </w:p>
    <w:p w14:paraId="60FE3D0D">
      <w:pPr>
        <w:ind w:firstLine="310" w:firstLineChars="147"/>
        <w:rPr>
          <w:rFonts w:hint="eastAsia" w:ascii="宋体"/>
          <w:b/>
          <w:color w:val="auto"/>
          <w:szCs w:val="21"/>
          <w:highlight w:val="none"/>
        </w:rPr>
      </w:pPr>
      <w:r>
        <w:rPr>
          <w:rFonts w:hint="eastAsia" w:ascii="宋体"/>
          <w:b/>
          <w:color w:val="auto"/>
          <w:szCs w:val="21"/>
          <w:highlight w:val="none"/>
        </w:rPr>
        <w:t>3.资格性审查:</w:t>
      </w:r>
    </w:p>
    <w:p w14:paraId="31119948">
      <w:pPr>
        <w:spacing w:line="400" w:lineRule="exact"/>
        <w:ind w:firstLine="308" w:firstLineChars="147"/>
        <w:rPr>
          <w:rFonts w:hint="eastAsia"/>
          <w:color w:val="auto"/>
          <w:szCs w:val="21"/>
          <w:highlight w:val="none"/>
        </w:rPr>
      </w:pPr>
      <w:r>
        <w:rPr>
          <w:rFonts w:hint="eastAsia" w:ascii="宋体"/>
          <w:color w:val="auto"/>
          <w:szCs w:val="21"/>
          <w:highlight w:val="none"/>
        </w:rPr>
        <w:t>3.1</w:t>
      </w:r>
      <w:r>
        <w:rPr>
          <w:rFonts w:hint="eastAsia"/>
          <w:color w:val="auto"/>
          <w:szCs w:val="21"/>
          <w:highlight w:val="none"/>
        </w:rPr>
        <w:t>评审细则</w:t>
      </w:r>
    </w:p>
    <w:tbl>
      <w:tblPr>
        <w:tblStyle w:val="45"/>
        <w:tblW w:w="95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235"/>
        <w:gridCol w:w="5296"/>
        <w:gridCol w:w="2326"/>
      </w:tblGrid>
      <w:tr w14:paraId="1697F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25" w:type="dxa"/>
            <w:noWrap w:val="0"/>
            <w:vAlign w:val="center"/>
          </w:tcPr>
          <w:p w14:paraId="7CC68F38">
            <w:pPr>
              <w:spacing w:line="320" w:lineRule="exact"/>
              <w:jc w:val="center"/>
              <w:rPr>
                <w:rFonts w:hint="eastAsia"/>
                <w:color w:val="auto"/>
                <w:highlight w:val="none"/>
              </w:rPr>
            </w:pPr>
            <w:r>
              <w:rPr>
                <w:rFonts w:hint="eastAsia" w:ascii="黑体" w:eastAsia="黑体" w:cs="黑体"/>
                <w:b/>
                <w:bCs/>
                <w:color w:val="auto"/>
                <w:szCs w:val="21"/>
                <w:highlight w:val="none"/>
              </w:rPr>
              <w:t>序号</w:t>
            </w:r>
          </w:p>
        </w:tc>
        <w:tc>
          <w:tcPr>
            <w:tcW w:w="6531" w:type="dxa"/>
            <w:gridSpan w:val="2"/>
            <w:noWrap w:val="0"/>
            <w:vAlign w:val="center"/>
          </w:tcPr>
          <w:p w14:paraId="7F5E48E7">
            <w:pPr>
              <w:spacing w:line="320" w:lineRule="exact"/>
              <w:jc w:val="center"/>
              <w:rPr>
                <w:rFonts w:hint="eastAsia"/>
                <w:color w:val="auto"/>
                <w:highlight w:val="none"/>
              </w:rPr>
            </w:pPr>
            <w:r>
              <w:rPr>
                <w:rFonts w:hint="eastAsia" w:ascii="宋体" w:hAnsi="宋体"/>
                <w:color w:val="auto"/>
                <w:szCs w:val="21"/>
                <w:highlight w:val="none"/>
              </w:rPr>
              <w:t>评审因素</w:t>
            </w:r>
          </w:p>
        </w:tc>
        <w:tc>
          <w:tcPr>
            <w:tcW w:w="2326" w:type="dxa"/>
            <w:noWrap w:val="0"/>
            <w:vAlign w:val="center"/>
          </w:tcPr>
          <w:p w14:paraId="52F81DF4">
            <w:pPr>
              <w:spacing w:line="320" w:lineRule="exact"/>
              <w:jc w:val="center"/>
              <w:rPr>
                <w:rFonts w:hint="eastAsia"/>
                <w:color w:val="auto"/>
                <w:highlight w:val="none"/>
              </w:rPr>
            </w:pPr>
            <w:r>
              <w:rPr>
                <w:rFonts w:hint="eastAsia" w:ascii="宋体" w:hAnsi="宋体"/>
                <w:color w:val="auto"/>
                <w:szCs w:val="21"/>
                <w:highlight w:val="none"/>
              </w:rPr>
              <w:t>评审标准</w:t>
            </w:r>
          </w:p>
        </w:tc>
      </w:tr>
      <w:tr w14:paraId="5D788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725" w:type="dxa"/>
            <w:noWrap w:val="0"/>
            <w:vAlign w:val="center"/>
          </w:tcPr>
          <w:p w14:paraId="0B9A4B5D">
            <w:pPr>
              <w:spacing w:line="320" w:lineRule="exact"/>
              <w:jc w:val="center"/>
              <w:rPr>
                <w:rFonts w:hint="eastAsia" w:ascii="宋体" w:hAnsi="宋体"/>
                <w:color w:val="auto"/>
                <w:szCs w:val="21"/>
                <w:highlight w:val="none"/>
              </w:rPr>
            </w:pPr>
            <w:r>
              <w:rPr>
                <w:rFonts w:hint="eastAsia" w:ascii="宋体" w:hAnsi="宋体"/>
                <w:color w:val="auto"/>
                <w:szCs w:val="21"/>
                <w:highlight w:val="none"/>
              </w:rPr>
              <w:t>1</w:t>
            </w:r>
          </w:p>
        </w:tc>
        <w:tc>
          <w:tcPr>
            <w:tcW w:w="1235" w:type="dxa"/>
            <w:noWrap w:val="0"/>
            <w:vAlign w:val="center"/>
          </w:tcPr>
          <w:p w14:paraId="3034F54A">
            <w:pPr>
              <w:spacing w:line="320" w:lineRule="exact"/>
              <w:jc w:val="center"/>
              <w:rPr>
                <w:rFonts w:hint="eastAsia" w:ascii="宋体" w:hAnsi="宋体"/>
                <w:color w:val="auto"/>
                <w:szCs w:val="21"/>
                <w:highlight w:val="none"/>
              </w:rPr>
            </w:pPr>
            <w:r>
              <w:rPr>
                <w:rFonts w:hint="eastAsia" w:ascii="宋体"/>
                <w:color w:val="auto"/>
                <w:szCs w:val="21"/>
                <w:highlight w:val="none"/>
              </w:rPr>
              <w:t>重要要求</w:t>
            </w:r>
          </w:p>
        </w:tc>
        <w:tc>
          <w:tcPr>
            <w:tcW w:w="5296" w:type="dxa"/>
            <w:noWrap w:val="0"/>
            <w:vAlign w:val="center"/>
          </w:tcPr>
          <w:p w14:paraId="79A38230">
            <w:pPr>
              <w:spacing w:line="320" w:lineRule="exact"/>
              <w:rPr>
                <w:rFonts w:hint="eastAsia" w:ascii="宋体" w:hAnsi="宋体"/>
                <w:color w:val="auto"/>
                <w:szCs w:val="21"/>
                <w:highlight w:val="none"/>
              </w:rPr>
            </w:pPr>
            <w:r>
              <w:rPr>
                <w:rFonts w:hint="eastAsia"/>
                <w:color w:val="auto"/>
                <w:highlight w:val="none"/>
              </w:rPr>
              <w:t>（1）法定代表人身份证明和本人有效身份证(或法定代表人授权委托书和委托代理人有效身份证)</w:t>
            </w:r>
          </w:p>
        </w:tc>
        <w:tc>
          <w:tcPr>
            <w:tcW w:w="2326" w:type="dxa"/>
            <w:noWrap w:val="0"/>
            <w:vAlign w:val="center"/>
          </w:tcPr>
          <w:p w14:paraId="27142348">
            <w:pPr>
              <w:spacing w:line="320" w:lineRule="exact"/>
              <w:jc w:val="left"/>
              <w:rPr>
                <w:rFonts w:hint="eastAsia" w:ascii="宋体" w:hAnsi="宋体"/>
                <w:color w:val="auto"/>
                <w:szCs w:val="21"/>
                <w:highlight w:val="none"/>
              </w:rPr>
            </w:pPr>
            <w:r>
              <w:rPr>
                <w:rFonts w:hint="eastAsia"/>
                <w:color w:val="auto"/>
                <w:highlight w:val="none"/>
              </w:rPr>
              <w:t>检验电子标书。</w:t>
            </w:r>
          </w:p>
        </w:tc>
      </w:tr>
      <w:tr w14:paraId="206B4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725" w:type="dxa"/>
            <w:vMerge w:val="restart"/>
            <w:noWrap w:val="0"/>
            <w:vAlign w:val="center"/>
          </w:tcPr>
          <w:p w14:paraId="399706DB">
            <w:pPr>
              <w:spacing w:line="320" w:lineRule="exact"/>
              <w:jc w:val="center"/>
              <w:rPr>
                <w:rFonts w:hint="eastAsia" w:ascii="宋体" w:hAnsi="宋体"/>
                <w:color w:val="auto"/>
                <w:szCs w:val="21"/>
                <w:highlight w:val="none"/>
              </w:rPr>
            </w:pPr>
            <w:r>
              <w:rPr>
                <w:rFonts w:hint="eastAsia" w:ascii="宋体" w:hAnsi="宋体"/>
                <w:color w:val="auto"/>
                <w:szCs w:val="21"/>
                <w:highlight w:val="none"/>
              </w:rPr>
              <w:t>2</w:t>
            </w:r>
          </w:p>
        </w:tc>
        <w:tc>
          <w:tcPr>
            <w:tcW w:w="1235" w:type="dxa"/>
            <w:vMerge w:val="restart"/>
            <w:noWrap w:val="0"/>
            <w:vAlign w:val="center"/>
          </w:tcPr>
          <w:p w14:paraId="5C913C04">
            <w:pPr>
              <w:spacing w:line="320" w:lineRule="exact"/>
              <w:rPr>
                <w:rFonts w:hint="eastAsia" w:ascii="宋体" w:hAnsi="宋体"/>
                <w:color w:val="auto"/>
                <w:szCs w:val="21"/>
                <w:highlight w:val="none"/>
              </w:rPr>
            </w:pPr>
            <w:r>
              <w:rPr>
                <w:rFonts w:hint="eastAsia" w:ascii="宋体" w:hAnsi="宋体"/>
                <w:color w:val="auto"/>
                <w:szCs w:val="21"/>
                <w:highlight w:val="none"/>
              </w:rPr>
              <w:t>投标人应符合的基本资格条件</w:t>
            </w:r>
          </w:p>
        </w:tc>
        <w:tc>
          <w:tcPr>
            <w:tcW w:w="5296" w:type="dxa"/>
            <w:noWrap w:val="0"/>
            <w:vAlign w:val="center"/>
          </w:tcPr>
          <w:p w14:paraId="3C024E83">
            <w:pPr>
              <w:spacing w:line="320" w:lineRule="exact"/>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具备独立承担民事责任能力，具有有效的营业执照或事业单位法人证</w:t>
            </w:r>
          </w:p>
        </w:tc>
        <w:tc>
          <w:tcPr>
            <w:tcW w:w="2326" w:type="dxa"/>
            <w:noWrap w:val="0"/>
            <w:vAlign w:val="center"/>
          </w:tcPr>
          <w:p w14:paraId="607FD99B">
            <w:pPr>
              <w:spacing w:line="320" w:lineRule="exact"/>
              <w:rPr>
                <w:rFonts w:hint="eastAsia" w:ascii="宋体" w:hAnsi="宋体"/>
                <w:color w:val="auto"/>
                <w:szCs w:val="21"/>
                <w:highlight w:val="none"/>
              </w:rPr>
            </w:pPr>
            <w:r>
              <w:rPr>
                <w:rFonts w:hint="eastAsia" w:ascii="宋体"/>
                <w:b/>
                <w:color w:val="auto"/>
                <w:szCs w:val="21"/>
                <w:highlight w:val="none"/>
              </w:rPr>
              <w:t>评审核验电子标书中的下列证书、证明材料：</w:t>
            </w:r>
          </w:p>
          <w:p w14:paraId="734641F7">
            <w:pPr>
              <w:spacing w:line="320" w:lineRule="exact"/>
              <w:rPr>
                <w:rFonts w:hint="eastAsia" w:ascii="宋体"/>
                <w:color w:val="auto"/>
                <w:szCs w:val="21"/>
                <w:highlight w:val="none"/>
              </w:rPr>
            </w:pPr>
            <w:r>
              <w:rPr>
                <w:rFonts w:hint="eastAsia"/>
                <w:color w:val="auto"/>
                <w:highlight w:val="none"/>
              </w:rPr>
              <w:t>投标人有效的营业执照、税务登记证、组</w:t>
            </w:r>
            <w:r>
              <w:rPr>
                <w:rFonts w:hint="eastAsia" w:ascii="Times New Roman" w:hAnsi="Times New Roman" w:eastAsia="宋体" w:cs="Times New Roman"/>
                <w:color w:val="auto"/>
                <w:highlight w:val="none"/>
              </w:rPr>
              <w:t>织机构码证（或“三证合一证书”）</w:t>
            </w:r>
            <w:r>
              <w:rPr>
                <w:rFonts w:hint="eastAsia" w:ascii="宋体" w:hAnsi="宋体"/>
                <w:color w:val="auto"/>
                <w:szCs w:val="21"/>
                <w:highlight w:val="none"/>
                <w:lang w:val="en-US" w:eastAsia="zh-CN"/>
              </w:rPr>
              <w:t>或事业单位法人证</w:t>
            </w:r>
          </w:p>
        </w:tc>
      </w:tr>
      <w:tr w14:paraId="7F074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725" w:type="dxa"/>
            <w:vMerge w:val="continue"/>
            <w:noWrap w:val="0"/>
            <w:vAlign w:val="center"/>
          </w:tcPr>
          <w:p w14:paraId="21878E8D">
            <w:pPr>
              <w:spacing w:line="320" w:lineRule="exact"/>
              <w:jc w:val="center"/>
              <w:rPr>
                <w:rFonts w:hint="eastAsia" w:ascii="宋体" w:hAnsi="宋体"/>
                <w:color w:val="auto"/>
                <w:szCs w:val="21"/>
                <w:highlight w:val="none"/>
              </w:rPr>
            </w:pPr>
          </w:p>
        </w:tc>
        <w:tc>
          <w:tcPr>
            <w:tcW w:w="1235" w:type="dxa"/>
            <w:vMerge w:val="continue"/>
            <w:noWrap w:val="0"/>
            <w:vAlign w:val="center"/>
          </w:tcPr>
          <w:p w14:paraId="7227E239">
            <w:pPr>
              <w:spacing w:line="320" w:lineRule="exact"/>
              <w:rPr>
                <w:rFonts w:hint="eastAsia" w:ascii="宋体" w:hAnsi="宋体"/>
                <w:color w:val="auto"/>
                <w:szCs w:val="21"/>
                <w:highlight w:val="none"/>
              </w:rPr>
            </w:pPr>
          </w:p>
        </w:tc>
        <w:tc>
          <w:tcPr>
            <w:tcW w:w="5296" w:type="dxa"/>
            <w:noWrap w:val="0"/>
            <w:vAlign w:val="center"/>
          </w:tcPr>
          <w:p w14:paraId="45201212">
            <w:pPr>
              <w:spacing w:line="360" w:lineRule="exact"/>
              <w:jc w:val="both"/>
              <w:rPr>
                <w:rFonts w:hint="eastAsia" w:ascii="宋体" w:hAnsi="宋体" w:cs="宋体"/>
                <w:b/>
                <w:color w:val="auto"/>
                <w:szCs w:val="21"/>
                <w:highlight w:val="none"/>
              </w:rPr>
            </w:pPr>
            <w:r>
              <w:rPr>
                <w:rFonts w:hint="eastAsia"/>
                <w:color w:val="auto"/>
                <w:highlight w:val="none"/>
              </w:rPr>
              <w:t>（3）</w:t>
            </w:r>
            <w:r>
              <w:rPr>
                <w:rFonts w:hint="eastAsia" w:ascii="宋体" w:hAnsi="宋体" w:cs="宋体"/>
                <w:color w:val="auto"/>
                <w:sz w:val="21"/>
                <w:szCs w:val="21"/>
                <w:highlight w:val="none"/>
                <w:lang w:val="en-US" w:eastAsia="zh-CN"/>
              </w:rPr>
              <w:t>项目人员配备表</w:t>
            </w:r>
          </w:p>
        </w:tc>
        <w:tc>
          <w:tcPr>
            <w:tcW w:w="2326" w:type="dxa"/>
            <w:noWrap w:val="0"/>
            <w:vAlign w:val="center"/>
          </w:tcPr>
          <w:p w14:paraId="2E0E8AE1">
            <w:pPr>
              <w:spacing w:line="360" w:lineRule="exact"/>
              <w:jc w:val="both"/>
              <w:rPr>
                <w:rFonts w:hint="eastAsia" w:ascii="宋体"/>
                <w:b/>
                <w:color w:val="auto"/>
                <w:szCs w:val="21"/>
                <w:highlight w:val="none"/>
              </w:rPr>
            </w:pPr>
            <w:r>
              <w:rPr>
                <w:rFonts w:hint="eastAsia"/>
                <w:color w:val="auto"/>
                <w:highlight w:val="none"/>
              </w:rPr>
              <w:t>格式见附件，检验电子标书</w:t>
            </w:r>
          </w:p>
        </w:tc>
      </w:tr>
      <w:tr w14:paraId="5B8A9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725" w:type="dxa"/>
            <w:vMerge w:val="continue"/>
            <w:noWrap w:val="0"/>
            <w:vAlign w:val="center"/>
          </w:tcPr>
          <w:p w14:paraId="3DD7B0EC">
            <w:pPr>
              <w:spacing w:line="320" w:lineRule="exact"/>
              <w:jc w:val="center"/>
              <w:rPr>
                <w:rFonts w:hint="eastAsia" w:ascii="宋体" w:hAnsi="宋体"/>
                <w:color w:val="auto"/>
                <w:szCs w:val="21"/>
                <w:highlight w:val="none"/>
              </w:rPr>
            </w:pPr>
          </w:p>
        </w:tc>
        <w:tc>
          <w:tcPr>
            <w:tcW w:w="1235" w:type="dxa"/>
            <w:vMerge w:val="continue"/>
            <w:noWrap w:val="0"/>
            <w:vAlign w:val="center"/>
          </w:tcPr>
          <w:p w14:paraId="2744FACC">
            <w:pPr>
              <w:spacing w:line="320" w:lineRule="exact"/>
              <w:rPr>
                <w:rFonts w:hint="eastAsia" w:ascii="宋体" w:hAnsi="宋体"/>
                <w:color w:val="auto"/>
                <w:szCs w:val="21"/>
                <w:highlight w:val="none"/>
              </w:rPr>
            </w:pPr>
          </w:p>
        </w:tc>
        <w:tc>
          <w:tcPr>
            <w:tcW w:w="5296" w:type="dxa"/>
            <w:noWrap w:val="0"/>
            <w:vAlign w:val="center"/>
          </w:tcPr>
          <w:p w14:paraId="69BC9D2B">
            <w:pPr>
              <w:spacing w:line="360" w:lineRule="exact"/>
              <w:jc w:val="both"/>
              <w:rPr>
                <w:rFonts w:hint="eastAsia"/>
                <w:color w:val="auto"/>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拟派项目负责人注册造价师证书</w:t>
            </w:r>
          </w:p>
        </w:tc>
        <w:tc>
          <w:tcPr>
            <w:tcW w:w="2326" w:type="dxa"/>
            <w:noWrap w:val="0"/>
            <w:vAlign w:val="center"/>
          </w:tcPr>
          <w:p w14:paraId="68DD7B74">
            <w:pPr>
              <w:spacing w:line="360" w:lineRule="exact"/>
              <w:jc w:val="both"/>
              <w:rPr>
                <w:rFonts w:hint="eastAsia"/>
                <w:color w:val="auto"/>
                <w:highlight w:val="none"/>
              </w:rPr>
            </w:pPr>
            <w:r>
              <w:rPr>
                <w:rFonts w:hint="eastAsia"/>
                <w:color w:val="auto"/>
                <w:highlight w:val="none"/>
              </w:rPr>
              <w:t>检验电子标书</w:t>
            </w:r>
          </w:p>
        </w:tc>
      </w:tr>
      <w:tr w14:paraId="4FBF7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725" w:type="dxa"/>
            <w:vMerge w:val="continue"/>
            <w:noWrap w:val="0"/>
            <w:vAlign w:val="center"/>
          </w:tcPr>
          <w:p w14:paraId="3546C486">
            <w:pPr>
              <w:spacing w:line="320" w:lineRule="exact"/>
              <w:jc w:val="center"/>
              <w:rPr>
                <w:rFonts w:hint="eastAsia" w:ascii="宋体" w:hAnsi="宋体"/>
                <w:color w:val="auto"/>
                <w:szCs w:val="21"/>
                <w:highlight w:val="none"/>
              </w:rPr>
            </w:pPr>
          </w:p>
        </w:tc>
        <w:tc>
          <w:tcPr>
            <w:tcW w:w="1235" w:type="dxa"/>
            <w:vMerge w:val="continue"/>
            <w:noWrap w:val="0"/>
            <w:vAlign w:val="center"/>
          </w:tcPr>
          <w:p w14:paraId="7B141123">
            <w:pPr>
              <w:spacing w:line="320" w:lineRule="exact"/>
              <w:rPr>
                <w:rFonts w:hint="eastAsia" w:ascii="宋体" w:hAnsi="宋体"/>
                <w:color w:val="auto"/>
                <w:szCs w:val="21"/>
                <w:highlight w:val="none"/>
              </w:rPr>
            </w:pPr>
          </w:p>
        </w:tc>
        <w:tc>
          <w:tcPr>
            <w:tcW w:w="5296" w:type="dxa"/>
            <w:noWrap w:val="0"/>
            <w:vAlign w:val="center"/>
          </w:tcPr>
          <w:p w14:paraId="6F4CA723">
            <w:pPr>
              <w:spacing w:line="360" w:lineRule="exact"/>
              <w:jc w:val="both"/>
              <w:rPr>
                <w:rFonts w:hint="eastAsia"/>
                <w:color w:val="auto"/>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项目组其他成员（不含项目负责人）</w:t>
            </w:r>
            <w:r>
              <w:rPr>
                <w:rFonts w:hint="eastAsia" w:ascii="宋体" w:hAnsi="宋体" w:cs="宋体"/>
                <w:color w:val="auto"/>
                <w:sz w:val="21"/>
                <w:szCs w:val="21"/>
                <w:highlight w:val="none"/>
                <w:lang w:eastAsia="zh-CN"/>
              </w:rPr>
              <w:t>：</w:t>
            </w:r>
            <w:r>
              <w:rPr>
                <w:rFonts w:hint="eastAsia" w:ascii="宋体" w:hAnsi="宋体" w:eastAsia="宋体" w:cs="宋体"/>
                <w:color w:val="auto"/>
                <w:kern w:val="0"/>
                <w:sz w:val="21"/>
                <w:szCs w:val="21"/>
                <w:highlight w:val="none"/>
              </w:rPr>
              <w:t>不少于2名注册在</w:t>
            </w:r>
            <w:r>
              <w:rPr>
                <w:rFonts w:hint="eastAsia" w:ascii="宋体" w:hAnsi="宋体" w:cs="宋体"/>
                <w:color w:val="auto"/>
                <w:kern w:val="0"/>
                <w:sz w:val="21"/>
                <w:szCs w:val="21"/>
                <w:highlight w:val="none"/>
                <w:lang w:val="en-US" w:eastAsia="zh-CN"/>
              </w:rPr>
              <w:t>投标</w:t>
            </w:r>
            <w:r>
              <w:rPr>
                <w:rFonts w:hint="eastAsia" w:ascii="宋体" w:hAnsi="宋体" w:eastAsia="宋体" w:cs="宋体"/>
                <w:color w:val="auto"/>
                <w:kern w:val="0"/>
                <w:sz w:val="21"/>
                <w:szCs w:val="21"/>
                <w:highlight w:val="none"/>
              </w:rPr>
              <w:t>单位的二级及以上造价工程师（土木建筑专业</w:t>
            </w:r>
            <w:r>
              <w:rPr>
                <w:rFonts w:hint="eastAsia" w:ascii="宋体" w:hAnsi="宋体" w:eastAsia="宋体" w:cs="宋体"/>
                <w:color w:val="auto"/>
                <w:kern w:val="0"/>
                <w:sz w:val="21"/>
                <w:szCs w:val="21"/>
                <w:highlight w:val="none"/>
                <w:lang w:val="en-US" w:eastAsia="zh-CN"/>
              </w:rPr>
              <w:t>至少1名、安装</w:t>
            </w:r>
            <w:r>
              <w:rPr>
                <w:rFonts w:hint="eastAsia" w:ascii="宋体" w:hAnsi="宋体" w:cs="宋体"/>
                <w:color w:val="auto"/>
                <w:kern w:val="0"/>
                <w:sz w:val="21"/>
                <w:szCs w:val="21"/>
                <w:highlight w:val="none"/>
                <w:lang w:val="en-US" w:eastAsia="zh-CN"/>
              </w:rPr>
              <w:t>工程</w:t>
            </w:r>
            <w:r>
              <w:rPr>
                <w:rFonts w:hint="eastAsia" w:ascii="宋体" w:hAnsi="宋体" w:eastAsia="宋体" w:cs="宋体"/>
                <w:color w:val="auto"/>
                <w:kern w:val="0"/>
                <w:sz w:val="21"/>
                <w:szCs w:val="21"/>
                <w:highlight w:val="none"/>
                <w:lang w:val="en-US" w:eastAsia="zh-CN"/>
              </w:rPr>
              <w:t>专业至少1名</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若注册</w:t>
            </w:r>
            <w:r>
              <w:rPr>
                <w:rFonts w:hint="eastAsia" w:ascii="宋体" w:hAnsi="宋体" w:eastAsia="宋体" w:cs="宋体"/>
                <w:color w:val="auto"/>
                <w:sz w:val="21"/>
                <w:szCs w:val="21"/>
                <w:highlight w:val="none"/>
              </w:rPr>
              <w:t>证书</w:t>
            </w:r>
            <w:r>
              <w:rPr>
                <w:rFonts w:hint="eastAsia" w:ascii="宋体" w:hAnsi="宋体" w:eastAsia="宋体" w:cs="宋体"/>
                <w:color w:val="auto"/>
                <w:sz w:val="21"/>
                <w:szCs w:val="21"/>
                <w:highlight w:val="none"/>
                <w:lang w:val="en-US" w:eastAsia="zh-CN"/>
              </w:rPr>
              <w:t>上无法体现专业的，还需另行提供</w:t>
            </w:r>
            <w:r>
              <w:rPr>
                <w:rFonts w:hint="eastAsia" w:ascii="宋体" w:hAnsi="宋体" w:eastAsia="宋体" w:cs="宋体"/>
                <w:color w:val="auto"/>
                <w:sz w:val="21"/>
                <w:szCs w:val="21"/>
                <w:highlight w:val="none"/>
              </w:rPr>
              <w:t>证明专业的证明材料</w:t>
            </w:r>
            <w:r>
              <w:rPr>
                <w:rFonts w:hint="eastAsia" w:ascii="宋体" w:hAnsi="宋体" w:eastAsia="宋体" w:cs="宋体"/>
                <w:color w:val="auto"/>
                <w:sz w:val="21"/>
                <w:szCs w:val="21"/>
                <w:highlight w:val="none"/>
                <w:lang w:eastAsia="zh-CN"/>
              </w:rPr>
              <w:t>）</w:t>
            </w:r>
          </w:p>
        </w:tc>
        <w:tc>
          <w:tcPr>
            <w:tcW w:w="2326" w:type="dxa"/>
            <w:noWrap w:val="0"/>
            <w:vAlign w:val="center"/>
          </w:tcPr>
          <w:p w14:paraId="551EAE52">
            <w:pPr>
              <w:spacing w:line="360" w:lineRule="exact"/>
              <w:jc w:val="both"/>
              <w:rPr>
                <w:rFonts w:hint="eastAsia"/>
                <w:color w:val="auto"/>
                <w:highlight w:val="none"/>
              </w:rPr>
            </w:pPr>
            <w:r>
              <w:rPr>
                <w:rFonts w:hint="eastAsia"/>
                <w:color w:val="auto"/>
                <w:highlight w:val="none"/>
              </w:rPr>
              <w:t>检验电子标书</w:t>
            </w:r>
          </w:p>
        </w:tc>
      </w:tr>
      <w:tr w14:paraId="386B1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725" w:type="dxa"/>
            <w:vMerge w:val="continue"/>
            <w:noWrap w:val="0"/>
            <w:vAlign w:val="center"/>
          </w:tcPr>
          <w:p w14:paraId="62FBCB7F">
            <w:pPr>
              <w:spacing w:line="320" w:lineRule="exact"/>
              <w:jc w:val="center"/>
              <w:rPr>
                <w:rFonts w:hint="eastAsia" w:ascii="宋体" w:hAnsi="宋体"/>
                <w:color w:val="auto"/>
                <w:szCs w:val="21"/>
                <w:highlight w:val="none"/>
              </w:rPr>
            </w:pPr>
          </w:p>
        </w:tc>
        <w:tc>
          <w:tcPr>
            <w:tcW w:w="1235" w:type="dxa"/>
            <w:vMerge w:val="continue"/>
            <w:noWrap w:val="0"/>
            <w:vAlign w:val="center"/>
          </w:tcPr>
          <w:p w14:paraId="1B267B9A">
            <w:pPr>
              <w:spacing w:line="320" w:lineRule="exact"/>
              <w:rPr>
                <w:rFonts w:hint="eastAsia" w:ascii="宋体" w:hAnsi="宋体"/>
                <w:color w:val="auto"/>
                <w:szCs w:val="21"/>
                <w:highlight w:val="none"/>
              </w:rPr>
            </w:pPr>
          </w:p>
        </w:tc>
        <w:tc>
          <w:tcPr>
            <w:tcW w:w="5296" w:type="dxa"/>
            <w:noWrap w:val="0"/>
            <w:vAlign w:val="center"/>
          </w:tcPr>
          <w:p w14:paraId="05277027">
            <w:pPr>
              <w:spacing w:line="360" w:lineRule="exact"/>
              <w:jc w:val="both"/>
              <w:rPr>
                <w:rFonts w:hint="eastAsia"/>
                <w:color w:val="auto"/>
                <w:highlight w:val="none"/>
              </w:rPr>
            </w:pPr>
            <w:r>
              <w:rPr>
                <w:rFonts w:hint="eastAsia" w:ascii="宋体" w:hAnsi="宋体" w:eastAsia="宋体" w:cs="宋体"/>
                <w:color w:val="auto"/>
                <w:sz w:val="21"/>
                <w:szCs w:val="21"/>
                <w:highlight w:val="none"/>
                <w:lang w:val="en-US" w:eastAsia="zh-CN"/>
              </w:rPr>
              <w:t>（6）承诺书1：投标人对所提供的上述材料作出承诺，若投标人存在弄虚作假，提供虚假资料的，若中标，则取消中标资格</w:t>
            </w:r>
          </w:p>
        </w:tc>
        <w:tc>
          <w:tcPr>
            <w:tcW w:w="2326" w:type="dxa"/>
            <w:noWrap w:val="0"/>
            <w:vAlign w:val="center"/>
          </w:tcPr>
          <w:p w14:paraId="7662CE20">
            <w:pPr>
              <w:spacing w:line="360" w:lineRule="exact"/>
              <w:jc w:val="both"/>
              <w:rPr>
                <w:rFonts w:hint="eastAsia"/>
                <w:color w:val="auto"/>
                <w:highlight w:val="none"/>
              </w:rPr>
            </w:pPr>
            <w:r>
              <w:rPr>
                <w:rFonts w:hint="eastAsia"/>
                <w:color w:val="auto"/>
                <w:highlight w:val="none"/>
              </w:rPr>
              <w:t>检验电子标书</w:t>
            </w:r>
          </w:p>
        </w:tc>
      </w:tr>
      <w:tr w14:paraId="5EF37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725" w:type="dxa"/>
            <w:vMerge w:val="continue"/>
            <w:noWrap w:val="0"/>
            <w:vAlign w:val="center"/>
          </w:tcPr>
          <w:p w14:paraId="13D42F0B">
            <w:pPr>
              <w:spacing w:line="320" w:lineRule="exact"/>
              <w:jc w:val="center"/>
              <w:rPr>
                <w:rFonts w:hint="eastAsia" w:ascii="宋体" w:hAnsi="宋体"/>
                <w:color w:val="auto"/>
                <w:szCs w:val="21"/>
                <w:highlight w:val="none"/>
              </w:rPr>
            </w:pPr>
          </w:p>
        </w:tc>
        <w:tc>
          <w:tcPr>
            <w:tcW w:w="1235" w:type="dxa"/>
            <w:vMerge w:val="continue"/>
            <w:noWrap w:val="0"/>
            <w:vAlign w:val="center"/>
          </w:tcPr>
          <w:p w14:paraId="63886723">
            <w:pPr>
              <w:spacing w:line="320" w:lineRule="exact"/>
              <w:rPr>
                <w:rFonts w:hint="eastAsia" w:ascii="宋体" w:hAnsi="宋体"/>
                <w:color w:val="auto"/>
                <w:szCs w:val="21"/>
                <w:highlight w:val="none"/>
              </w:rPr>
            </w:pPr>
          </w:p>
        </w:tc>
        <w:tc>
          <w:tcPr>
            <w:tcW w:w="5296" w:type="dxa"/>
            <w:noWrap w:val="0"/>
            <w:vAlign w:val="center"/>
          </w:tcPr>
          <w:p w14:paraId="2A2A922E">
            <w:pPr>
              <w:spacing w:line="360" w:lineRule="exact"/>
              <w:jc w:val="both"/>
              <w:rPr>
                <w:rFonts w:hint="eastAsia"/>
                <w:color w:val="auto"/>
                <w:highlight w:val="none"/>
              </w:rPr>
            </w:pPr>
            <w:r>
              <w:rPr>
                <w:rFonts w:hint="eastAsia" w:ascii="宋体" w:hAnsi="宋体" w:eastAsia="宋体" w:cs="宋体"/>
                <w:color w:val="auto"/>
                <w:sz w:val="21"/>
                <w:szCs w:val="21"/>
                <w:highlight w:val="none"/>
                <w:lang w:val="en-US" w:eastAsia="zh-CN"/>
              </w:rPr>
              <w:t>（7）承诺书2：投标人承诺“跟踪审计项目开工前，投标单位需将项目任命文报综合计划科，综合计划科抄送工程建设科，同一个造价人员在市重点处同时承揽跟踪审计业务不得超过三个项目，且不得在两个以上市本级以外的地区同时承揽业务”。不按上述要求执行的，若中标，则取消中标资格。</w:t>
            </w:r>
          </w:p>
        </w:tc>
        <w:tc>
          <w:tcPr>
            <w:tcW w:w="2326" w:type="dxa"/>
            <w:noWrap w:val="0"/>
            <w:vAlign w:val="center"/>
          </w:tcPr>
          <w:p w14:paraId="48FC5614">
            <w:pPr>
              <w:spacing w:line="360" w:lineRule="exact"/>
              <w:jc w:val="both"/>
              <w:rPr>
                <w:rFonts w:hint="eastAsia"/>
                <w:color w:val="auto"/>
                <w:highlight w:val="none"/>
              </w:rPr>
            </w:pPr>
            <w:r>
              <w:rPr>
                <w:rFonts w:hint="eastAsia"/>
                <w:color w:val="auto"/>
                <w:highlight w:val="none"/>
              </w:rPr>
              <w:t>检验电子标书</w:t>
            </w:r>
          </w:p>
        </w:tc>
      </w:tr>
      <w:tr w14:paraId="708A2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725" w:type="dxa"/>
            <w:vMerge w:val="continue"/>
            <w:noWrap w:val="0"/>
            <w:vAlign w:val="center"/>
          </w:tcPr>
          <w:p w14:paraId="205D7143">
            <w:pPr>
              <w:spacing w:line="320" w:lineRule="exact"/>
              <w:jc w:val="center"/>
              <w:rPr>
                <w:rFonts w:hint="eastAsia" w:ascii="宋体" w:hAnsi="宋体"/>
                <w:color w:val="auto"/>
                <w:szCs w:val="21"/>
                <w:highlight w:val="none"/>
              </w:rPr>
            </w:pPr>
          </w:p>
        </w:tc>
        <w:tc>
          <w:tcPr>
            <w:tcW w:w="1235" w:type="dxa"/>
            <w:vMerge w:val="continue"/>
            <w:noWrap w:val="0"/>
            <w:vAlign w:val="center"/>
          </w:tcPr>
          <w:p w14:paraId="28996A16">
            <w:pPr>
              <w:spacing w:line="320" w:lineRule="exact"/>
              <w:rPr>
                <w:rFonts w:hint="eastAsia" w:ascii="宋体" w:hAnsi="宋体"/>
                <w:color w:val="auto"/>
                <w:szCs w:val="21"/>
                <w:highlight w:val="none"/>
              </w:rPr>
            </w:pPr>
          </w:p>
        </w:tc>
        <w:tc>
          <w:tcPr>
            <w:tcW w:w="5296" w:type="dxa"/>
            <w:noWrap w:val="0"/>
            <w:vAlign w:val="center"/>
          </w:tcPr>
          <w:p w14:paraId="2BA92C2C">
            <w:pPr>
              <w:spacing w:line="360" w:lineRule="exact"/>
              <w:jc w:val="both"/>
              <w:rPr>
                <w:rFonts w:hint="eastAsia" w:eastAsia="宋体"/>
                <w:color w:val="auto"/>
                <w:highlight w:val="none"/>
                <w:lang w:eastAsia="zh-CN"/>
              </w:rPr>
            </w:pPr>
            <w:r>
              <w:rPr>
                <w:rFonts w:hint="eastAsia"/>
                <w:color w:val="auto"/>
                <w:highlight w:val="none"/>
                <w:lang w:eastAsia="zh-CN"/>
              </w:rPr>
              <w:t>（</w:t>
            </w:r>
            <w:r>
              <w:rPr>
                <w:rFonts w:hint="eastAsia"/>
                <w:color w:val="auto"/>
                <w:highlight w:val="none"/>
                <w:lang w:val="en-US" w:eastAsia="zh-CN"/>
              </w:rPr>
              <w:t>8</w:t>
            </w:r>
            <w:r>
              <w:rPr>
                <w:rFonts w:hint="eastAsia"/>
                <w:color w:val="auto"/>
                <w:highlight w:val="none"/>
                <w:lang w:eastAsia="zh-CN"/>
              </w:rPr>
              <w:t>）</w:t>
            </w: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rPr>
              <w:t>委托代理人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sz w:val="21"/>
                <w:szCs w:val="21"/>
                <w:highlight w:val="none"/>
              </w:rPr>
              <w:t>项目负责人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项目组其他成员</w:t>
            </w:r>
            <w:r>
              <w:rPr>
                <w:rFonts w:hint="eastAsia" w:ascii="宋体" w:hAnsi="宋体" w:eastAsia="宋体" w:cs="宋体"/>
                <w:color w:val="auto"/>
                <w:kern w:val="2"/>
                <w:sz w:val="21"/>
                <w:szCs w:val="21"/>
                <w:highlight w:val="none"/>
                <w:lang w:val="en-US" w:eastAsia="zh-CN" w:bidi="ar-SA"/>
              </w:rPr>
              <w:t>须持有社保部门出具的</w:t>
            </w:r>
            <w:r>
              <w:rPr>
                <w:rFonts w:hint="eastAsia" w:ascii="宋体" w:hAnsi="宋体" w:cs="宋体"/>
                <w:color w:val="auto"/>
                <w:kern w:val="2"/>
                <w:sz w:val="21"/>
                <w:szCs w:val="21"/>
                <w:highlight w:val="none"/>
                <w:lang w:val="en-US" w:eastAsia="zh-CN" w:bidi="ar-SA"/>
              </w:rPr>
              <w:t>投标</w:t>
            </w:r>
            <w:r>
              <w:rPr>
                <w:rFonts w:hint="eastAsia" w:ascii="宋体" w:hAnsi="宋体" w:eastAsia="宋体" w:cs="宋体"/>
                <w:color w:val="auto"/>
                <w:kern w:val="2"/>
                <w:sz w:val="21"/>
                <w:szCs w:val="21"/>
                <w:highlight w:val="none"/>
                <w:lang w:val="en-US" w:eastAsia="zh-CN" w:bidi="ar-SA"/>
              </w:rPr>
              <w:t>单位为其缴纳的投标前近三个月内任意一月的养老保险证明</w:t>
            </w:r>
          </w:p>
        </w:tc>
        <w:tc>
          <w:tcPr>
            <w:tcW w:w="2326" w:type="dxa"/>
            <w:noWrap w:val="0"/>
            <w:vAlign w:val="center"/>
          </w:tcPr>
          <w:p w14:paraId="4606370E">
            <w:pPr>
              <w:spacing w:line="360" w:lineRule="exact"/>
              <w:jc w:val="both"/>
              <w:rPr>
                <w:rFonts w:hint="eastAsia"/>
                <w:color w:val="auto"/>
                <w:highlight w:val="none"/>
              </w:rPr>
            </w:pPr>
            <w:r>
              <w:rPr>
                <w:rFonts w:hint="eastAsia"/>
                <w:color w:val="auto"/>
                <w:highlight w:val="none"/>
              </w:rPr>
              <w:t>检验电子标书</w:t>
            </w:r>
          </w:p>
        </w:tc>
      </w:tr>
      <w:tr w14:paraId="646EF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725" w:type="dxa"/>
            <w:vMerge w:val="continue"/>
            <w:noWrap w:val="0"/>
            <w:vAlign w:val="center"/>
          </w:tcPr>
          <w:p w14:paraId="1E9B2A14">
            <w:pPr>
              <w:spacing w:line="320" w:lineRule="exact"/>
              <w:jc w:val="center"/>
              <w:rPr>
                <w:rFonts w:hint="eastAsia" w:ascii="宋体" w:hAnsi="宋体"/>
                <w:color w:val="auto"/>
                <w:szCs w:val="21"/>
                <w:highlight w:val="none"/>
              </w:rPr>
            </w:pPr>
          </w:p>
        </w:tc>
        <w:tc>
          <w:tcPr>
            <w:tcW w:w="1235" w:type="dxa"/>
            <w:vMerge w:val="continue"/>
            <w:noWrap w:val="0"/>
            <w:vAlign w:val="center"/>
          </w:tcPr>
          <w:p w14:paraId="2546461F">
            <w:pPr>
              <w:spacing w:line="320" w:lineRule="exact"/>
              <w:rPr>
                <w:rFonts w:hint="eastAsia" w:ascii="宋体" w:hAnsi="宋体"/>
                <w:color w:val="auto"/>
                <w:szCs w:val="21"/>
                <w:highlight w:val="none"/>
              </w:rPr>
            </w:pPr>
          </w:p>
        </w:tc>
        <w:tc>
          <w:tcPr>
            <w:tcW w:w="5296" w:type="dxa"/>
            <w:noWrap w:val="0"/>
            <w:vAlign w:val="center"/>
          </w:tcPr>
          <w:p w14:paraId="202375EC">
            <w:pPr>
              <w:spacing w:line="360" w:lineRule="exact"/>
              <w:jc w:val="both"/>
              <w:rPr>
                <w:rFonts w:hint="eastAsia"/>
                <w:color w:val="auto"/>
                <w:highlight w:val="none"/>
              </w:rPr>
            </w:pPr>
            <w:r>
              <w:rPr>
                <w:rFonts w:hint="eastAsia" w:ascii="宋体" w:hAnsi="宋体" w:eastAsia="宋体" w:cs="宋体"/>
                <w:color w:val="auto"/>
                <w:sz w:val="21"/>
                <w:szCs w:val="21"/>
                <w:highlight w:val="none"/>
                <w:lang w:val="en-US" w:eastAsia="zh-CN"/>
              </w:rPr>
              <w:t>（9）投标函</w:t>
            </w:r>
          </w:p>
        </w:tc>
        <w:tc>
          <w:tcPr>
            <w:tcW w:w="2326" w:type="dxa"/>
            <w:noWrap w:val="0"/>
            <w:vAlign w:val="center"/>
          </w:tcPr>
          <w:p w14:paraId="3BC905C0">
            <w:pPr>
              <w:spacing w:line="360" w:lineRule="exact"/>
              <w:jc w:val="both"/>
              <w:rPr>
                <w:rFonts w:hint="eastAsia"/>
                <w:color w:val="auto"/>
                <w:highlight w:val="none"/>
              </w:rPr>
            </w:pPr>
            <w:r>
              <w:rPr>
                <w:rFonts w:hint="eastAsia"/>
                <w:color w:val="auto"/>
                <w:highlight w:val="none"/>
              </w:rPr>
              <w:t>格式见附件，检验电子标书</w:t>
            </w:r>
          </w:p>
        </w:tc>
      </w:tr>
    </w:tbl>
    <w:p w14:paraId="6C89B1B9">
      <w:pPr>
        <w:spacing w:line="400" w:lineRule="exact"/>
        <w:rPr>
          <w:rFonts w:hint="eastAsia" w:ascii="宋体" w:hAnsi="宋体"/>
          <w:b/>
          <w:color w:val="auto"/>
          <w:szCs w:val="21"/>
          <w:highlight w:val="none"/>
        </w:rPr>
      </w:pPr>
      <w:r>
        <w:rPr>
          <w:rFonts w:hint="eastAsia" w:ascii="宋体"/>
          <w:b/>
          <w:color w:val="auto"/>
          <w:szCs w:val="21"/>
          <w:highlight w:val="none"/>
          <w:lang w:val="en-US" w:eastAsia="zh-CN"/>
        </w:rPr>
        <w:t xml:space="preserve">3.2 </w:t>
      </w:r>
      <w:r>
        <w:rPr>
          <w:rFonts w:hint="eastAsia" w:ascii="宋体" w:hAnsi="宋体"/>
          <w:b/>
          <w:color w:val="auto"/>
          <w:szCs w:val="21"/>
          <w:highlight w:val="none"/>
        </w:rPr>
        <w:t>如评标专家在检验电子投标文件过程中，如果由于投标人自身原因导致评标专家无法查看并检验电子投标文件中相关资料的，否决其投标。即使投标人将原件携带至现场的，同样按否决投标处理。</w:t>
      </w:r>
    </w:p>
    <w:p w14:paraId="5146587C">
      <w:pPr>
        <w:spacing w:line="440" w:lineRule="exact"/>
        <w:rPr>
          <w:rFonts w:hint="eastAsia" w:ascii="宋体"/>
          <w:b/>
          <w:color w:val="auto"/>
          <w:szCs w:val="21"/>
          <w:highlight w:val="none"/>
          <w:lang w:val="en-US" w:eastAsia="zh-CN"/>
        </w:rPr>
      </w:pPr>
      <w:r>
        <w:rPr>
          <w:rFonts w:hint="eastAsia" w:ascii="宋体" w:hAnsi="宋体"/>
          <w:b/>
          <w:color w:val="auto"/>
          <w:szCs w:val="21"/>
          <w:highlight w:val="none"/>
        </w:rPr>
        <w:t>3.</w:t>
      </w:r>
      <w:r>
        <w:rPr>
          <w:rFonts w:hint="eastAsia" w:ascii="宋体" w:hAnsi="宋体"/>
          <w:b/>
          <w:color w:val="auto"/>
          <w:szCs w:val="21"/>
          <w:highlight w:val="none"/>
          <w:lang w:val="en-US" w:eastAsia="zh-CN"/>
        </w:rPr>
        <w:t>3</w:t>
      </w:r>
      <w:r>
        <w:rPr>
          <w:rFonts w:hint="eastAsia" w:ascii="宋体" w:hAnsi="宋体"/>
          <w:b/>
          <w:color w:val="auto"/>
          <w:szCs w:val="21"/>
          <w:highlight w:val="none"/>
        </w:rPr>
        <w:t>招标文件中资格审查及评标细则中涉及到的投标人需要提供企业的相关证书扫描件，如企业的资格证书、营业执照（或三证合一的有效证件）等可以提供公证件扫描件，公证件扫描件的效力等同于原件扫描件。交易活动资格审查和评标环节中，凡是要求提供相关证书或证明原件扫描件的，投标企业均可以提供带官方二维码的相关证书（证明）复印件扫描件替代原件扫描件，但投标企业自行承担复印件扫描件二维码不清晰，无法扫描，可能导致资格审查不通过的后果</w:t>
      </w:r>
      <w:r>
        <w:rPr>
          <w:rFonts w:hint="eastAsia" w:ascii="宋体"/>
          <w:b/>
          <w:color w:val="auto"/>
          <w:szCs w:val="21"/>
          <w:highlight w:val="none"/>
          <w:lang w:val="en-US" w:eastAsia="zh-CN"/>
        </w:rPr>
        <w:t>。</w:t>
      </w:r>
    </w:p>
    <w:p w14:paraId="5DB09720">
      <w:pPr>
        <w:spacing w:line="440" w:lineRule="exact"/>
        <w:rPr>
          <w:rFonts w:hint="eastAsia" w:ascii="宋体"/>
          <w:b/>
          <w:color w:val="auto"/>
          <w:szCs w:val="21"/>
          <w:highlight w:val="none"/>
        </w:rPr>
      </w:pPr>
      <w:r>
        <w:rPr>
          <w:rFonts w:hint="eastAsia" w:ascii="宋体"/>
          <w:b/>
          <w:color w:val="auto"/>
          <w:szCs w:val="21"/>
          <w:highlight w:val="none"/>
          <w:lang w:val="en-US" w:eastAsia="zh-CN"/>
        </w:rPr>
        <w:t>3.4投标人拟委任项目团队人员为注册造价师（含一级、二级）的，打印电子证书后，应在个人签名处手写本人签名，未手写签名或与签名图像笔迹不一致的，该电子证书无效。</w:t>
      </w:r>
      <w:r>
        <w:rPr>
          <w:rFonts w:hint="eastAsia" w:ascii="宋体"/>
          <w:b/>
          <w:color w:val="auto"/>
          <w:szCs w:val="21"/>
          <w:highlight w:val="none"/>
          <w:lang w:val="en-US" w:eastAsia="zh-CN"/>
        </w:rPr>
        <w:t xml:space="preserve"> </w:t>
      </w:r>
    </w:p>
    <w:p w14:paraId="3E11B30C">
      <w:pPr>
        <w:spacing w:line="440" w:lineRule="exact"/>
        <w:ind w:firstLine="310" w:firstLineChars="147"/>
        <w:rPr>
          <w:rFonts w:hint="eastAsia" w:ascii="宋体"/>
          <w:b/>
          <w:color w:val="auto"/>
          <w:szCs w:val="21"/>
          <w:highlight w:val="none"/>
        </w:rPr>
      </w:pPr>
      <w:r>
        <w:rPr>
          <w:rFonts w:hint="eastAsia" w:ascii="宋体"/>
          <w:b/>
          <w:color w:val="auto"/>
          <w:szCs w:val="21"/>
          <w:highlight w:val="none"/>
        </w:rPr>
        <w:t>4.符合性审查</w:t>
      </w:r>
    </w:p>
    <w:p w14:paraId="52B4741C">
      <w:pPr>
        <w:spacing w:line="440" w:lineRule="exact"/>
        <w:ind w:firstLine="315" w:firstLineChars="150"/>
        <w:rPr>
          <w:rFonts w:hint="eastAsia" w:ascii="宋体"/>
          <w:color w:val="auto"/>
          <w:szCs w:val="21"/>
          <w:highlight w:val="none"/>
        </w:rPr>
      </w:pPr>
      <w:r>
        <w:rPr>
          <w:rFonts w:hint="eastAsia" w:ascii="宋体"/>
          <w:color w:val="auto"/>
          <w:szCs w:val="21"/>
          <w:highlight w:val="none"/>
        </w:rPr>
        <w:t>4．1评审细则</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204"/>
        <w:gridCol w:w="2931"/>
        <w:gridCol w:w="4173"/>
      </w:tblGrid>
      <w:tr w14:paraId="21C10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731" w:type="dxa"/>
            <w:noWrap w:val="0"/>
            <w:vAlign w:val="center"/>
          </w:tcPr>
          <w:p w14:paraId="44B6CA4D">
            <w:pPr>
              <w:spacing w:line="320" w:lineRule="atLeast"/>
              <w:jc w:val="center"/>
              <w:rPr>
                <w:rFonts w:hint="eastAsia" w:ascii="黑体" w:eastAsia="黑体" w:cs="黑体"/>
                <w:b/>
                <w:bCs/>
                <w:color w:val="auto"/>
                <w:szCs w:val="21"/>
                <w:highlight w:val="none"/>
              </w:rPr>
            </w:pPr>
            <w:r>
              <w:rPr>
                <w:rFonts w:hint="eastAsia" w:ascii="黑体" w:eastAsia="黑体" w:cs="黑体"/>
                <w:b/>
                <w:bCs/>
                <w:color w:val="auto"/>
                <w:szCs w:val="21"/>
                <w:highlight w:val="none"/>
              </w:rPr>
              <w:t>序号</w:t>
            </w:r>
          </w:p>
        </w:tc>
        <w:tc>
          <w:tcPr>
            <w:tcW w:w="4135" w:type="dxa"/>
            <w:gridSpan w:val="2"/>
            <w:noWrap w:val="0"/>
            <w:vAlign w:val="center"/>
          </w:tcPr>
          <w:p w14:paraId="39163DAC">
            <w:pPr>
              <w:spacing w:line="320" w:lineRule="atLeast"/>
              <w:jc w:val="center"/>
              <w:rPr>
                <w:rFonts w:hint="eastAsia" w:ascii="黑体" w:eastAsia="黑体" w:cs="黑体"/>
                <w:b/>
                <w:bCs/>
                <w:color w:val="auto"/>
                <w:szCs w:val="21"/>
                <w:highlight w:val="none"/>
              </w:rPr>
            </w:pPr>
            <w:r>
              <w:rPr>
                <w:rFonts w:hint="eastAsia" w:ascii="黑体" w:eastAsia="黑体" w:cs="黑体"/>
                <w:b/>
                <w:bCs/>
                <w:color w:val="auto"/>
                <w:szCs w:val="21"/>
                <w:highlight w:val="none"/>
              </w:rPr>
              <w:t>审查因素</w:t>
            </w:r>
          </w:p>
        </w:tc>
        <w:tc>
          <w:tcPr>
            <w:tcW w:w="4173" w:type="dxa"/>
            <w:noWrap w:val="0"/>
            <w:vAlign w:val="center"/>
          </w:tcPr>
          <w:p w14:paraId="40130CA8">
            <w:pPr>
              <w:spacing w:line="320" w:lineRule="atLeast"/>
              <w:jc w:val="center"/>
              <w:rPr>
                <w:rFonts w:hint="eastAsia" w:ascii="黑体" w:eastAsia="黑体" w:cs="黑体"/>
                <w:b/>
                <w:bCs/>
                <w:color w:val="auto"/>
                <w:szCs w:val="21"/>
                <w:highlight w:val="none"/>
              </w:rPr>
            </w:pPr>
            <w:r>
              <w:rPr>
                <w:rFonts w:hint="eastAsia" w:ascii="黑体" w:eastAsia="黑体" w:cs="黑体"/>
                <w:b/>
                <w:bCs/>
                <w:color w:val="auto"/>
                <w:szCs w:val="21"/>
                <w:highlight w:val="none"/>
              </w:rPr>
              <w:t>审查内容</w:t>
            </w:r>
          </w:p>
        </w:tc>
      </w:tr>
      <w:tr w14:paraId="69728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trPr>
        <w:tc>
          <w:tcPr>
            <w:tcW w:w="731" w:type="dxa"/>
            <w:vMerge w:val="restart"/>
            <w:noWrap w:val="0"/>
            <w:vAlign w:val="center"/>
          </w:tcPr>
          <w:p w14:paraId="5E30E1AC">
            <w:pPr>
              <w:spacing w:line="320" w:lineRule="atLeast"/>
              <w:jc w:val="center"/>
              <w:rPr>
                <w:rFonts w:hint="eastAsia" w:ascii="宋体"/>
                <w:color w:val="auto"/>
                <w:szCs w:val="21"/>
                <w:highlight w:val="none"/>
              </w:rPr>
            </w:pPr>
            <w:r>
              <w:rPr>
                <w:rFonts w:hint="eastAsia" w:ascii="宋体"/>
                <w:color w:val="auto"/>
                <w:szCs w:val="21"/>
                <w:highlight w:val="none"/>
              </w:rPr>
              <w:t>1</w:t>
            </w:r>
          </w:p>
        </w:tc>
        <w:tc>
          <w:tcPr>
            <w:tcW w:w="1204" w:type="dxa"/>
            <w:vMerge w:val="restart"/>
            <w:noWrap w:val="0"/>
            <w:vAlign w:val="center"/>
          </w:tcPr>
          <w:p w14:paraId="14328F55">
            <w:pPr>
              <w:spacing w:line="320" w:lineRule="atLeast"/>
              <w:rPr>
                <w:rFonts w:hint="eastAsia" w:ascii="宋体" w:cs="仿宋_GB2312"/>
                <w:color w:val="auto"/>
                <w:szCs w:val="21"/>
                <w:highlight w:val="none"/>
                <w:lang w:val="zh-CN"/>
              </w:rPr>
            </w:pPr>
            <w:r>
              <w:rPr>
                <w:rFonts w:hint="eastAsia" w:ascii="宋体" w:cs="仿宋_GB2312"/>
                <w:color w:val="auto"/>
                <w:szCs w:val="21"/>
                <w:highlight w:val="none"/>
                <w:lang w:val="zh-CN"/>
              </w:rPr>
              <w:t>投标文件的有效性</w:t>
            </w:r>
          </w:p>
        </w:tc>
        <w:tc>
          <w:tcPr>
            <w:tcW w:w="2931" w:type="dxa"/>
            <w:noWrap w:val="0"/>
            <w:vAlign w:val="center"/>
          </w:tcPr>
          <w:p w14:paraId="01511831">
            <w:pPr>
              <w:spacing w:line="320" w:lineRule="atLeast"/>
              <w:rPr>
                <w:rFonts w:hint="eastAsia" w:ascii="宋体" w:cs="仿宋_GB2312"/>
                <w:color w:val="auto"/>
                <w:szCs w:val="21"/>
                <w:highlight w:val="none"/>
                <w:lang w:val="zh-CN"/>
              </w:rPr>
            </w:pPr>
            <w:r>
              <w:rPr>
                <w:rFonts w:hint="eastAsia" w:ascii="宋体" w:cs="仿宋_GB2312"/>
                <w:color w:val="auto"/>
                <w:szCs w:val="21"/>
                <w:highlight w:val="none"/>
                <w:lang w:val="zh-CN"/>
              </w:rPr>
              <w:t>（1）投标文件签署</w:t>
            </w:r>
          </w:p>
        </w:tc>
        <w:tc>
          <w:tcPr>
            <w:tcW w:w="4173" w:type="dxa"/>
            <w:noWrap w:val="0"/>
            <w:vAlign w:val="center"/>
          </w:tcPr>
          <w:p w14:paraId="1DA41EB0">
            <w:pPr>
              <w:spacing w:line="320" w:lineRule="atLeast"/>
              <w:rPr>
                <w:rFonts w:hint="eastAsia" w:ascii="宋体" w:cs="仿宋_GB2312"/>
                <w:color w:val="auto"/>
                <w:szCs w:val="21"/>
                <w:highlight w:val="none"/>
                <w:lang w:val="zh-CN"/>
              </w:rPr>
            </w:pPr>
            <w:r>
              <w:rPr>
                <w:rFonts w:hint="eastAsia" w:ascii="宋体" w:cs="仿宋_GB2312"/>
                <w:color w:val="auto"/>
                <w:szCs w:val="21"/>
                <w:highlight w:val="none"/>
                <w:lang w:val="zh-CN"/>
              </w:rPr>
              <w:t>签字、盖章符合要求。</w:t>
            </w:r>
          </w:p>
        </w:tc>
      </w:tr>
      <w:tr w14:paraId="553FC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731" w:type="dxa"/>
            <w:vMerge w:val="continue"/>
            <w:noWrap w:val="0"/>
            <w:vAlign w:val="center"/>
          </w:tcPr>
          <w:p w14:paraId="7905205E">
            <w:pPr>
              <w:spacing w:line="320" w:lineRule="atLeast"/>
              <w:rPr>
                <w:color w:val="auto"/>
                <w:highlight w:val="none"/>
              </w:rPr>
            </w:pPr>
          </w:p>
        </w:tc>
        <w:tc>
          <w:tcPr>
            <w:tcW w:w="1204" w:type="dxa"/>
            <w:vMerge w:val="continue"/>
            <w:noWrap w:val="0"/>
            <w:vAlign w:val="center"/>
          </w:tcPr>
          <w:p w14:paraId="0C50280C">
            <w:pPr>
              <w:spacing w:line="320" w:lineRule="atLeast"/>
              <w:rPr>
                <w:color w:val="auto"/>
                <w:highlight w:val="none"/>
              </w:rPr>
            </w:pPr>
          </w:p>
        </w:tc>
        <w:tc>
          <w:tcPr>
            <w:tcW w:w="2931" w:type="dxa"/>
            <w:noWrap w:val="0"/>
            <w:vAlign w:val="center"/>
          </w:tcPr>
          <w:p w14:paraId="3A2D0D42">
            <w:pPr>
              <w:spacing w:line="320" w:lineRule="atLeast"/>
              <w:rPr>
                <w:rFonts w:hint="eastAsia" w:ascii="宋体" w:cs="仿宋_GB2312"/>
                <w:color w:val="auto"/>
                <w:szCs w:val="21"/>
                <w:highlight w:val="none"/>
                <w:lang w:val="zh-CN"/>
              </w:rPr>
            </w:pPr>
            <w:r>
              <w:rPr>
                <w:rFonts w:hint="eastAsia" w:ascii="宋体" w:cs="仿宋_GB2312"/>
                <w:color w:val="auto"/>
                <w:szCs w:val="21"/>
                <w:highlight w:val="none"/>
                <w:lang w:val="zh-CN"/>
              </w:rPr>
              <w:t>（2）投标方案</w:t>
            </w:r>
          </w:p>
        </w:tc>
        <w:tc>
          <w:tcPr>
            <w:tcW w:w="4173" w:type="dxa"/>
            <w:noWrap w:val="0"/>
            <w:vAlign w:val="center"/>
          </w:tcPr>
          <w:p w14:paraId="49240866">
            <w:pPr>
              <w:spacing w:line="320" w:lineRule="atLeast"/>
              <w:rPr>
                <w:rFonts w:hint="eastAsia" w:ascii="宋体" w:cs="宋体"/>
                <w:color w:val="auto"/>
                <w:szCs w:val="21"/>
                <w:highlight w:val="none"/>
              </w:rPr>
            </w:pPr>
            <w:r>
              <w:rPr>
                <w:rFonts w:hint="eastAsia" w:ascii="宋体" w:hAnsi="宋体" w:cs="仿宋_GB2312"/>
                <w:color w:val="auto"/>
                <w:szCs w:val="21"/>
                <w:highlight w:val="none"/>
                <w:lang w:val="zh-CN"/>
              </w:rPr>
              <w:t>每个分包只能有一个方案投标。</w:t>
            </w:r>
          </w:p>
        </w:tc>
      </w:tr>
      <w:tr w14:paraId="3DA84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trPr>
        <w:tc>
          <w:tcPr>
            <w:tcW w:w="731" w:type="dxa"/>
            <w:vMerge w:val="continue"/>
            <w:noWrap w:val="0"/>
            <w:vAlign w:val="center"/>
          </w:tcPr>
          <w:p w14:paraId="3B748B3B">
            <w:pPr>
              <w:spacing w:line="320" w:lineRule="atLeast"/>
              <w:rPr>
                <w:color w:val="auto"/>
                <w:highlight w:val="none"/>
              </w:rPr>
            </w:pPr>
          </w:p>
        </w:tc>
        <w:tc>
          <w:tcPr>
            <w:tcW w:w="1204" w:type="dxa"/>
            <w:vMerge w:val="continue"/>
            <w:noWrap w:val="0"/>
            <w:vAlign w:val="center"/>
          </w:tcPr>
          <w:p w14:paraId="58AA67A8">
            <w:pPr>
              <w:spacing w:line="320" w:lineRule="atLeast"/>
              <w:rPr>
                <w:color w:val="auto"/>
                <w:highlight w:val="none"/>
              </w:rPr>
            </w:pPr>
          </w:p>
        </w:tc>
        <w:tc>
          <w:tcPr>
            <w:tcW w:w="2931" w:type="dxa"/>
            <w:noWrap w:val="0"/>
            <w:vAlign w:val="center"/>
          </w:tcPr>
          <w:p w14:paraId="16A8D7B3">
            <w:pPr>
              <w:spacing w:line="320" w:lineRule="atLeast"/>
              <w:rPr>
                <w:rFonts w:hint="eastAsia" w:ascii="宋体" w:cs="仿宋_GB2312"/>
                <w:color w:val="auto"/>
                <w:szCs w:val="21"/>
                <w:highlight w:val="none"/>
                <w:lang w:val="zh-CN"/>
              </w:rPr>
            </w:pPr>
            <w:r>
              <w:rPr>
                <w:rFonts w:hint="eastAsia" w:ascii="宋体"/>
                <w:color w:val="auto"/>
                <w:szCs w:val="21"/>
                <w:highlight w:val="none"/>
              </w:rPr>
              <w:t>（3）报价唯一</w:t>
            </w:r>
          </w:p>
        </w:tc>
        <w:tc>
          <w:tcPr>
            <w:tcW w:w="4173" w:type="dxa"/>
            <w:noWrap w:val="0"/>
            <w:vAlign w:val="center"/>
          </w:tcPr>
          <w:p w14:paraId="5B76B05E">
            <w:pPr>
              <w:spacing w:line="320" w:lineRule="atLeast"/>
              <w:rPr>
                <w:rFonts w:hint="eastAsia" w:ascii="宋体" w:cs="宋体"/>
                <w:color w:val="auto"/>
                <w:szCs w:val="21"/>
                <w:highlight w:val="none"/>
              </w:rPr>
            </w:pPr>
            <w:r>
              <w:rPr>
                <w:rFonts w:hint="eastAsia" w:ascii="宋体" w:cs="仿宋_GB2312"/>
                <w:color w:val="auto"/>
                <w:szCs w:val="21"/>
                <w:highlight w:val="none"/>
                <w:lang w:val="zh-CN"/>
              </w:rPr>
              <w:t>只能在限价范围内报价，</w:t>
            </w:r>
            <w:r>
              <w:rPr>
                <w:rFonts w:hint="eastAsia" w:ascii="宋体"/>
                <w:color w:val="auto"/>
                <w:szCs w:val="21"/>
                <w:highlight w:val="none"/>
              </w:rPr>
              <w:t>只能有一个有效报价，不得提交选择性报价。</w:t>
            </w:r>
          </w:p>
        </w:tc>
      </w:tr>
      <w:tr w14:paraId="6D9BF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731" w:type="dxa"/>
            <w:vMerge w:val="continue"/>
            <w:noWrap w:val="0"/>
            <w:vAlign w:val="center"/>
          </w:tcPr>
          <w:p w14:paraId="5BB5A752">
            <w:pPr>
              <w:spacing w:line="320" w:lineRule="atLeast"/>
              <w:rPr>
                <w:color w:val="auto"/>
                <w:highlight w:val="none"/>
              </w:rPr>
            </w:pPr>
          </w:p>
        </w:tc>
        <w:tc>
          <w:tcPr>
            <w:tcW w:w="1204" w:type="dxa"/>
            <w:vMerge w:val="continue"/>
            <w:noWrap w:val="0"/>
            <w:vAlign w:val="center"/>
          </w:tcPr>
          <w:p w14:paraId="3D464BDC">
            <w:pPr>
              <w:spacing w:line="320" w:lineRule="atLeast"/>
              <w:rPr>
                <w:color w:val="auto"/>
                <w:highlight w:val="none"/>
              </w:rPr>
            </w:pPr>
          </w:p>
        </w:tc>
        <w:tc>
          <w:tcPr>
            <w:tcW w:w="2931" w:type="dxa"/>
            <w:noWrap w:val="0"/>
            <w:vAlign w:val="center"/>
          </w:tcPr>
          <w:p w14:paraId="1570C2C0">
            <w:pPr>
              <w:spacing w:line="320" w:lineRule="atLeast"/>
              <w:rPr>
                <w:rFonts w:hint="eastAsia" w:ascii="宋体"/>
                <w:color w:val="auto"/>
                <w:szCs w:val="21"/>
                <w:highlight w:val="none"/>
              </w:rPr>
            </w:pPr>
            <w:r>
              <w:rPr>
                <w:rFonts w:hint="eastAsia" w:ascii="宋体"/>
                <w:color w:val="auto"/>
                <w:szCs w:val="21"/>
                <w:highlight w:val="none"/>
              </w:rPr>
              <w:t xml:space="preserve"> (4) 投标文件的有效期</w:t>
            </w:r>
          </w:p>
        </w:tc>
        <w:tc>
          <w:tcPr>
            <w:tcW w:w="4173" w:type="dxa"/>
            <w:noWrap w:val="0"/>
            <w:vAlign w:val="center"/>
          </w:tcPr>
          <w:p w14:paraId="0A104765">
            <w:pPr>
              <w:spacing w:line="320" w:lineRule="atLeast"/>
              <w:rPr>
                <w:rFonts w:hint="eastAsia" w:ascii="宋体" w:cs="仿宋_GB2312"/>
                <w:color w:val="auto"/>
                <w:szCs w:val="21"/>
                <w:highlight w:val="none"/>
                <w:lang w:val="zh-CN"/>
              </w:rPr>
            </w:pPr>
            <w:r>
              <w:rPr>
                <w:rFonts w:hint="eastAsia" w:ascii="宋体" w:cs="仿宋_GB2312"/>
                <w:color w:val="auto"/>
                <w:szCs w:val="21"/>
                <w:highlight w:val="none"/>
                <w:lang w:val="zh-CN"/>
              </w:rPr>
              <w:t>完全响应。</w:t>
            </w:r>
          </w:p>
        </w:tc>
      </w:tr>
      <w:tr w14:paraId="4B6B4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731" w:type="dxa"/>
            <w:vMerge w:val="restart"/>
            <w:noWrap w:val="0"/>
            <w:vAlign w:val="center"/>
          </w:tcPr>
          <w:p w14:paraId="4503882E">
            <w:pPr>
              <w:spacing w:line="320" w:lineRule="atLeast"/>
              <w:jc w:val="center"/>
              <w:rPr>
                <w:rFonts w:hint="eastAsia" w:ascii="宋体"/>
                <w:color w:val="auto"/>
                <w:szCs w:val="21"/>
                <w:highlight w:val="none"/>
              </w:rPr>
            </w:pPr>
            <w:r>
              <w:rPr>
                <w:rFonts w:hint="eastAsia" w:ascii="宋体"/>
                <w:color w:val="auto"/>
                <w:szCs w:val="21"/>
                <w:highlight w:val="none"/>
              </w:rPr>
              <w:t>2</w:t>
            </w:r>
          </w:p>
        </w:tc>
        <w:tc>
          <w:tcPr>
            <w:tcW w:w="1204" w:type="dxa"/>
            <w:vMerge w:val="restart"/>
            <w:noWrap w:val="0"/>
            <w:vAlign w:val="center"/>
          </w:tcPr>
          <w:p w14:paraId="7F325341">
            <w:pPr>
              <w:spacing w:line="320" w:lineRule="atLeast"/>
              <w:rPr>
                <w:rFonts w:hint="eastAsia" w:ascii="宋体" w:cs="仿宋_GB2312"/>
                <w:color w:val="auto"/>
                <w:szCs w:val="21"/>
                <w:highlight w:val="none"/>
                <w:lang w:val="zh-CN"/>
              </w:rPr>
            </w:pPr>
            <w:r>
              <w:rPr>
                <w:rFonts w:hint="eastAsia" w:ascii="宋体" w:cs="仿宋_GB2312"/>
                <w:color w:val="auto"/>
                <w:szCs w:val="21"/>
                <w:highlight w:val="none"/>
                <w:lang w:val="zh-CN"/>
              </w:rPr>
              <w:t>投标文件的完整性</w:t>
            </w:r>
          </w:p>
        </w:tc>
        <w:tc>
          <w:tcPr>
            <w:tcW w:w="2931" w:type="dxa"/>
            <w:noWrap w:val="0"/>
            <w:vAlign w:val="center"/>
          </w:tcPr>
          <w:p w14:paraId="5EF20D31">
            <w:pPr>
              <w:spacing w:line="320" w:lineRule="atLeast"/>
              <w:rPr>
                <w:rFonts w:hint="eastAsia" w:ascii="宋体" w:cs="宋体"/>
                <w:color w:val="auto"/>
                <w:szCs w:val="21"/>
                <w:highlight w:val="none"/>
              </w:rPr>
            </w:pPr>
            <w:r>
              <w:rPr>
                <w:rFonts w:hint="eastAsia" w:ascii="宋体" w:cs="仿宋_GB2312"/>
                <w:color w:val="auto"/>
                <w:szCs w:val="21"/>
                <w:highlight w:val="none"/>
                <w:lang w:val="zh-CN"/>
              </w:rPr>
              <w:t>（5）投标文件份数</w:t>
            </w:r>
          </w:p>
        </w:tc>
        <w:tc>
          <w:tcPr>
            <w:tcW w:w="4173" w:type="dxa"/>
            <w:noWrap w:val="0"/>
            <w:vAlign w:val="center"/>
          </w:tcPr>
          <w:p w14:paraId="0504A0B0">
            <w:pPr>
              <w:spacing w:line="320" w:lineRule="atLeast"/>
              <w:rPr>
                <w:rFonts w:hint="eastAsia" w:ascii="宋体" w:cs="宋体"/>
                <w:color w:val="auto"/>
                <w:szCs w:val="21"/>
                <w:highlight w:val="none"/>
              </w:rPr>
            </w:pPr>
            <w:r>
              <w:rPr>
                <w:rFonts w:hint="eastAsia" w:ascii="宋体" w:hAnsi="宋体" w:cs="宋体"/>
                <w:color w:val="auto"/>
                <w:szCs w:val="21"/>
                <w:highlight w:val="none"/>
              </w:rPr>
              <w:t>网上递交的电子投标文件：一份</w:t>
            </w: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 </w:t>
            </w:r>
          </w:p>
        </w:tc>
      </w:tr>
      <w:tr w14:paraId="2B6B6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731" w:type="dxa"/>
            <w:vMerge w:val="continue"/>
            <w:noWrap w:val="0"/>
            <w:vAlign w:val="center"/>
          </w:tcPr>
          <w:p w14:paraId="54C11AB6">
            <w:pPr>
              <w:spacing w:line="320" w:lineRule="atLeast"/>
              <w:rPr>
                <w:color w:val="auto"/>
                <w:highlight w:val="none"/>
              </w:rPr>
            </w:pPr>
          </w:p>
        </w:tc>
        <w:tc>
          <w:tcPr>
            <w:tcW w:w="1204" w:type="dxa"/>
            <w:vMerge w:val="continue"/>
            <w:noWrap w:val="0"/>
            <w:vAlign w:val="center"/>
          </w:tcPr>
          <w:p w14:paraId="068F4ED8">
            <w:pPr>
              <w:spacing w:line="320" w:lineRule="atLeast"/>
              <w:rPr>
                <w:color w:val="auto"/>
                <w:highlight w:val="none"/>
              </w:rPr>
            </w:pPr>
          </w:p>
        </w:tc>
        <w:tc>
          <w:tcPr>
            <w:tcW w:w="2931" w:type="dxa"/>
            <w:noWrap w:val="0"/>
            <w:vAlign w:val="center"/>
          </w:tcPr>
          <w:p w14:paraId="5F71AFEB">
            <w:pPr>
              <w:spacing w:line="320" w:lineRule="atLeast"/>
              <w:rPr>
                <w:rFonts w:hint="eastAsia" w:ascii="宋体" w:cs="仿宋_GB2312"/>
                <w:color w:val="auto"/>
                <w:szCs w:val="21"/>
                <w:highlight w:val="none"/>
                <w:lang w:val="zh-CN"/>
              </w:rPr>
            </w:pPr>
            <w:r>
              <w:rPr>
                <w:rFonts w:hint="eastAsia" w:ascii="宋体" w:cs="仿宋_GB2312"/>
                <w:color w:val="auto"/>
                <w:szCs w:val="21"/>
                <w:highlight w:val="none"/>
                <w:lang w:val="zh-CN"/>
              </w:rPr>
              <w:t>（6）投标文件形式内容</w:t>
            </w:r>
          </w:p>
        </w:tc>
        <w:tc>
          <w:tcPr>
            <w:tcW w:w="4173" w:type="dxa"/>
            <w:noWrap w:val="0"/>
            <w:vAlign w:val="center"/>
          </w:tcPr>
          <w:p w14:paraId="253308E2">
            <w:pPr>
              <w:spacing w:line="320" w:lineRule="atLeast"/>
              <w:rPr>
                <w:rFonts w:hint="eastAsia" w:ascii="宋体" w:cs="仿宋_GB2312"/>
                <w:color w:val="auto"/>
                <w:szCs w:val="21"/>
                <w:highlight w:val="none"/>
                <w:lang w:val="zh-CN"/>
              </w:rPr>
            </w:pPr>
            <w:r>
              <w:rPr>
                <w:rFonts w:hint="eastAsia" w:ascii="宋体" w:cs="仿宋_GB2312"/>
                <w:color w:val="auto"/>
                <w:szCs w:val="21"/>
                <w:highlight w:val="none"/>
                <w:lang w:val="zh-CN"/>
              </w:rPr>
              <w:t>投标文件内容清晰、齐全无遗漏。</w:t>
            </w:r>
          </w:p>
        </w:tc>
      </w:tr>
      <w:tr w14:paraId="713D4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731" w:type="dxa"/>
            <w:vMerge w:val="restart"/>
            <w:noWrap w:val="0"/>
            <w:vAlign w:val="center"/>
          </w:tcPr>
          <w:p w14:paraId="390BF16A">
            <w:pPr>
              <w:spacing w:line="320" w:lineRule="atLeast"/>
              <w:jc w:val="center"/>
              <w:rPr>
                <w:rFonts w:hint="eastAsia" w:ascii="宋体"/>
                <w:color w:val="auto"/>
                <w:szCs w:val="21"/>
                <w:highlight w:val="none"/>
              </w:rPr>
            </w:pPr>
            <w:r>
              <w:rPr>
                <w:rFonts w:hint="eastAsia" w:ascii="宋体"/>
                <w:color w:val="auto"/>
                <w:szCs w:val="21"/>
                <w:highlight w:val="none"/>
              </w:rPr>
              <w:t>3</w:t>
            </w:r>
          </w:p>
        </w:tc>
        <w:tc>
          <w:tcPr>
            <w:tcW w:w="1204" w:type="dxa"/>
            <w:vMerge w:val="restart"/>
            <w:noWrap w:val="0"/>
            <w:vAlign w:val="center"/>
          </w:tcPr>
          <w:p w14:paraId="7CDB2375">
            <w:pPr>
              <w:spacing w:line="320" w:lineRule="atLeast"/>
              <w:jc w:val="center"/>
              <w:rPr>
                <w:rFonts w:hint="eastAsia" w:ascii="宋体" w:cs="仿宋_GB2312"/>
                <w:color w:val="auto"/>
                <w:szCs w:val="21"/>
                <w:highlight w:val="none"/>
                <w:lang w:val="zh-CN"/>
              </w:rPr>
            </w:pPr>
            <w:r>
              <w:rPr>
                <w:rFonts w:hint="eastAsia" w:ascii="宋体" w:cs="仿宋_GB2312"/>
                <w:color w:val="auto"/>
                <w:szCs w:val="21"/>
                <w:highlight w:val="none"/>
                <w:lang w:val="zh-CN"/>
              </w:rPr>
              <w:t>投标文件的响应程度</w:t>
            </w:r>
          </w:p>
        </w:tc>
        <w:tc>
          <w:tcPr>
            <w:tcW w:w="2931" w:type="dxa"/>
            <w:noWrap w:val="0"/>
            <w:vAlign w:val="center"/>
          </w:tcPr>
          <w:p w14:paraId="76621B39">
            <w:pPr>
              <w:spacing w:line="320" w:lineRule="atLeast"/>
              <w:rPr>
                <w:rFonts w:hint="eastAsia" w:ascii="宋体" w:cs="仿宋_GB2312"/>
                <w:color w:val="auto"/>
                <w:szCs w:val="21"/>
                <w:highlight w:val="none"/>
                <w:lang w:val="zh-CN"/>
              </w:rPr>
            </w:pPr>
            <w:r>
              <w:rPr>
                <w:rFonts w:hint="eastAsia" w:ascii="宋体" w:cs="仿宋_GB2312"/>
                <w:color w:val="auto"/>
                <w:szCs w:val="21"/>
                <w:highlight w:val="none"/>
                <w:lang w:val="zh-CN"/>
              </w:rPr>
              <w:t>（7）采购需求响应程度</w:t>
            </w:r>
          </w:p>
        </w:tc>
        <w:tc>
          <w:tcPr>
            <w:tcW w:w="4173" w:type="dxa"/>
            <w:noWrap w:val="0"/>
            <w:vAlign w:val="center"/>
          </w:tcPr>
          <w:p w14:paraId="3CC7D23C">
            <w:pPr>
              <w:spacing w:line="320" w:lineRule="atLeast"/>
              <w:rPr>
                <w:rFonts w:hint="eastAsia" w:ascii="宋体" w:cs="仿宋_GB2312"/>
                <w:color w:val="auto"/>
                <w:szCs w:val="21"/>
                <w:highlight w:val="none"/>
                <w:lang w:val="zh-CN"/>
              </w:rPr>
            </w:pPr>
            <w:r>
              <w:rPr>
                <w:rFonts w:hint="eastAsia" w:ascii="宋体" w:cs="仿宋_GB2312"/>
                <w:color w:val="auto"/>
                <w:szCs w:val="21"/>
                <w:highlight w:val="none"/>
                <w:lang w:val="zh-CN"/>
              </w:rPr>
              <w:t>最大限度地满足招标文件要求。</w:t>
            </w:r>
          </w:p>
        </w:tc>
      </w:tr>
      <w:tr w14:paraId="7B437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trPr>
        <w:tc>
          <w:tcPr>
            <w:tcW w:w="731" w:type="dxa"/>
            <w:vMerge w:val="continue"/>
            <w:noWrap w:val="0"/>
            <w:vAlign w:val="center"/>
          </w:tcPr>
          <w:p w14:paraId="7E2F7823">
            <w:pPr>
              <w:spacing w:line="320" w:lineRule="atLeast"/>
              <w:rPr>
                <w:color w:val="auto"/>
                <w:highlight w:val="none"/>
              </w:rPr>
            </w:pPr>
          </w:p>
        </w:tc>
        <w:tc>
          <w:tcPr>
            <w:tcW w:w="1204" w:type="dxa"/>
            <w:vMerge w:val="continue"/>
            <w:noWrap w:val="0"/>
            <w:vAlign w:val="center"/>
          </w:tcPr>
          <w:p w14:paraId="3B6CA584">
            <w:pPr>
              <w:spacing w:line="320" w:lineRule="atLeast"/>
              <w:rPr>
                <w:color w:val="auto"/>
                <w:highlight w:val="none"/>
              </w:rPr>
            </w:pPr>
          </w:p>
        </w:tc>
        <w:tc>
          <w:tcPr>
            <w:tcW w:w="2931" w:type="dxa"/>
            <w:noWrap w:val="0"/>
            <w:vAlign w:val="center"/>
          </w:tcPr>
          <w:p w14:paraId="0D9E24C6">
            <w:pPr>
              <w:spacing w:line="320" w:lineRule="atLeast"/>
              <w:rPr>
                <w:rFonts w:hint="eastAsia" w:ascii="宋体" w:cs="仿宋_GB2312"/>
                <w:color w:val="auto"/>
                <w:szCs w:val="21"/>
                <w:highlight w:val="none"/>
                <w:lang w:val="zh-CN"/>
              </w:rPr>
            </w:pPr>
            <w:r>
              <w:rPr>
                <w:rFonts w:hint="eastAsia" w:ascii="宋体" w:cs="仿宋_GB2312"/>
                <w:color w:val="auto"/>
                <w:szCs w:val="21"/>
                <w:highlight w:val="none"/>
                <w:lang w:val="zh-CN"/>
              </w:rPr>
              <w:t>（8）商务条款响应程度（包括不限于业绩、服务期、售后服务、技术培训等）</w:t>
            </w:r>
          </w:p>
        </w:tc>
        <w:tc>
          <w:tcPr>
            <w:tcW w:w="4173" w:type="dxa"/>
            <w:noWrap w:val="0"/>
            <w:vAlign w:val="center"/>
          </w:tcPr>
          <w:p w14:paraId="1DE6E434">
            <w:pPr>
              <w:spacing w:line="320" w:lineRule="atLeast"/>
              <w:rPr>
                <w:rFonts w:hint="eastAsia" w:ascii="宋体" w:cs="仿宋_GB2312"/>
                <w:color w:val="auto"/>
                <w:szCs w:val="21"/>
                <w:highlight w:val="none"/>
                <w:lang w:val="zh-CN"/>
              </w:rPr>
            </w:pPr>
            <w:r>
              <w:rPr>
                <w:rFonts w:hint="eastAsia" w:ascii="宋体" w:cs="仿宋_GB2312"/>
                <w:color w:val="auto"/>
                <w:szCs w:val="21"/>
                <w:highlight w:val="none"/>
                <w:lang w:val="zh-CN"/>
              </w:rPr>
              <w:t>响应招标文件要求。</w:t>
            </w:r>
          </w:p>
        </w:tc>
      </w:tr>
    </w:tbl>
    <w:p w14:paraId="114D3165">
      <w:pPr>
        <w:spacing w:line="400" w:lineRule="exact"/>
        <w:ind w:firstLine="506" w:firstLineChars="241"/>
        <w:rPr>
          <w:rFonts w:hint="eastAsia" w:ascii="宋体"/>
          <w:color w:val="auto"/>
          <w:szCs w:val="21"/>
          <w:highlight w:val="none"/>
        </w:rPr>
      </w:pPr>
      <w:r>
        <w:rPr>
          <w:rFonts w:hint="eastAsia" w:ascii="宋体"/>
          <w:color w:val="auto"/>
          <w:szCs w:val="21"/>
          <w:highlight w:val="none"/>
        </w:rPr>
        <w:t>4.2资格审查及评分细则中涉及的有关证明材料及相关证书，电子投标文件中须按招标文件要求上传</w:t>
      </w:r>
      <w:r>
        <w:rPr>
          <w:rFonts w:hint="eastAsia" w:ascii="宋体" w:hAnsi="宋体"/>
          <w:b/>
          <w:color w:val="auto"/>
          <w:szCs w:val="21"/>
          <w:highlight w:val="none"/>
        </w:rPr>
        <w:t>扫描件</w:t>
      </w:r>
      <w:r>
        <w:rPr>
          <w:rFonts w:hint="eastAsia" w:ascii="宋体"/>
          <w:color w:val="auto"/>
          <w:szCs w:val="21"/>
          <w:highlight w:val="none"/>
        </w:rPr>
        <w:t>，以供审查。</w:t>
      </w:r>
    </w:p>
    <w:p w14:paraId="65BB3E56">
      <w:pPr>
        <w:spacing w:line="400" w:lineRule="exact"/>
        <w:ind w:firstLine="506" w:firstLineChars="241"/>
        <w:rPr>
          <w:rFonts w:hint="eastAsia" w:ascii="宋体"/>
          <w:color w:val="auto"/>
          <w:szCs w:val="21"/>
          <w:highlight w:val="none"/>
        </w:rPr>
      </w:pPr>
      <w:r>
        <w:rPr>
          <w:rFonts w:hint="eastAsia" w:ascii="宋体"/>
          <w:color w:val="auto"/>
          <w:szCs w:val="21"/>
          <w:highlight w:val="none"/>
        </w:rPr>
        <w:t>4.3．评标委员会判定投标文件的响应性只根据投标文件本身的内容，而不寻求外部的证据，但投标有不真实不正确的内容时除外。</w:t>
      </w:r>
    </w:p>
    <w:p w14:paraId="2D7B31BE">
      <w:pPr>
        <w:spacing w:line="400" w:lineRule="exact"/>
        <w:ind w:firstLine="525" w:firstLineChars="250"/>
        <w:rPr>
          <w:rFonts w:hint="eastAsia" w:ascii="宋体"/>
          <w:color w:val="auto"/>
          <w:szCs w:val="21"/>
          <w:highlight w:val="none"/>
        </w:rPr>
      </w:pPr>
      <w:r>
        <w:rPr>
          <w:rFonts w:hint="eastAsia" w:ascii="宋体"/>
          <w:color w:val="auto"/>
          <w:szCs w:val="21"/>
          <w:highlight w:val="none"/>
        </w:rPr>
        <w:t>4.4如果投标文件实质上没有响应招标文件的要求，评标委员会将予以拒绝，投标人不得通过修正或撤销不符合要求的偏离或保留，而使其投标成为实质上响应的投标。</w:t>
      </w:r>
    </w:p>
    <w:p w14:paraId="12E29A7C">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eastAsia" w:ascii="宋体" w:hAnsi="宋体" w:eastAsia="宋体" w:cs="宋体"/>
          <w:b/>
          <w:bCs/>
          <w:color w:val="auto"/>
          <w:sz w:val="24"/>
          <w:szCs w:val="24"/>
          <w:highlight w:val="none"/>
        </w:rPr>
      </w:pPr>
    </w:p>
    <w:p w14:paraId="7D924252">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rPr>
        <w:t>投标文件的澄清和补正</w:t>
      </w:r>
      <w:bookmarkEnd w:id="63"/>
    </w:p>
    <w:p w14:paraId="4E35044F">
      <w:pPr>
        <w:keepNext w:val="0"/>
        <w:keepLines w:val="0"/>
        <w:pageBreakBefore w:val="0"/>
        <w:widowControl w:val="0"/>
        <w:kinsoku/>
        <w:wordWrap/>
        <w:overflowPunct/>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评审阶段，评委可能会要求有关投标人就其投标书中含义不明确、同类问题表述不一致或者有明显文字和计算错误的内容进行澄清。</w:t>
      </w:r>
      <w:r>
        <w:rPr>
          <w:rFonts w:hint="eastAsia" w:ascii="宋体" w:hAnsi="宋体" w:eastAsia="宋体" w:cs="宋体"/>
          <w:b/>
          <w:bCs/>
          <w:color w:val="auto"/>
          <w:sz w:val="21"/>
          <w:szCs w:val="21"/>
          <w:highlight w:val="none"/>
        </w:rPr>
        <w:t>如因投标人未参加开标导致开评标过程中无法澄清、说明或补正的，视同投标人放弃该权利。</w:t>
      </w:r>
    </w:p>
    <w:p w14:paraId="33FDDA61">
      <w:pPr>
        <w:keepNext w:val="0"/>
        <w:keepLines w:val="0"/>
        <w:pageBreakBefore w:val="0"/>
        <w:widowControl w:val="0"/>
        <w:kinsoku/>
        <w:wordWrap/>
        <w:overflowPunct/>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投标人的澄清、说明或者补</w:t>
      </w:r>
    </w:p>
    <w:p w14:paraId="267F1FA5">
      <w:pPr>
        <w:keepNext w:val="0"/>
        <w:keepLines w:val="0"/>
        <w:pageBreakBefore w:val="0"/>
        <w:widowControl w:val="0"/>
        <w:kinsoku/>
        <w:wordWrap/>
        <w:overflowPunct/>
        <w:topLinePunct w:val="0"/>
        <w:autoSpaceDE/>
        <w:autoSpaceDN/>
        <w:bidi w:val="0"/>
        <w:adjustRightInd/>
        <w:snapToGrid/>
        <w:spacing w:line="440" w:lineRule="exact"/>
        <w:ind w:firstLine="527" w:firstLineChars="250"/>
        <w:textAlignment w:val="auto"/>
        <w:rPr>
          <w:rFonts w:hint="eastAsia" w:ascii="宋体" w:hAnsi="宋体" w:eastAsia="宋体" w:cs="宋体"/>
          <w:color w:val="auto"/>
          <w:sz w:val="21"/>
          <w:szCs w:val="21"/>
          <w:highlight w:val="none"/>
        </w:rPr>
      </w:pPr>
      <w:r>
        <w:rPr>
          <w:rFonts w:hint="eastAsia" w:ascii="宋体" w:hAnsi="宋体" w:cs="宋体"/>
          <w:b/>
          <w:bCs/>
          <w:color w:val="auto"/>
          <w:szCs w:val="21"/>
          <w:highlight w:val="none"/>
          <w:lang w:val="en-US" w:eastAsia="zh-CN"/>
        </w:rPr>
        <w:t>本项目采用远程开标，具体操作方法详见服务指南&gt;交易须知&gt;开标大厅远程解密、质疑(异议)及回复以及评标过程中询标流程操作手册</w:t>
      </w:r>
      <w:r>
        <w:rPr>
          <w:rFonts w:hint="eastAsia" w:ascii="宋体" w:hAnsi="宋体" w:cs="宋体"/>
          <w:b/>
          <w:bCs/>
          <w:color w:val="auto"/>
          <w:szCs w:val="21"/>
          <w:highlight w:val="none"/>
        </w:rPr>
        <w:t>。</w:t>
      </w:r>
    </w:p>
    <w:p w14:paraId="23841C5D">
      <w:pPr>
        <w:keepNext w:val="0"/>
        <w:keepLines w:val="0"/>
        <w:pageBreakBefore w:val="0"/>
        <w:widowControl w:val="0"/>
        <w:kinsoku/>
        <w:wordWrap/>
        <w:overflowPunct/>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评委会修正错误的原则：</w:t>
      </w:r>
    </w:p>
    <w:p w14:paraId="1053594E">
      <w:pPr>
        <w:keepNext w:val="0"/>
        <w:keepLines w:val="0"/>
        <w:pageBreakBefore w:val="0"/>
        <w:widowControl w:val="0"/>
        <w:kinsoku/>
        <w:wordWrap/>
        <w:overflowPunct/>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如果数字表示的金额和用文字表示的金额不一致时，以文字表示的金额为准</w:t>
      </w:r>
      <w:r>
        <w:rPr>
          <w:rFonts w:hint="eastAsia" w:ascii="宋体" w:hAnsi="宋体" w:eastAsia="宋体" w:cs="宋体"/>
          <w:color w:val="auto"/>
          <w:sz w:val="21"/>
          <w:szCs w:val="21"/>
          <w:highlight w:val="none"/>
          <w:lang w:eastAsia="zh-CN"/>
        </w:rPr>
        <w:t>。</w:t>
      </w:r>
    </w:p>
    <w:p w14:paraId="2973CB46">
      <w:pPr>
        <w:keepNext w:val="0"/>
        <w:keepLines w:val="0"/>
        <w:pageBreakBefore w:val="0"/>
        <w:widowControl w:val="0"/>
        <w:kinsoku/>
        <w:wordWrap/>
        <w:overflowPunct/>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如果单价与数量的乘积和总价不一致，以单价为准，修正总价；当单价小数点有明显的错位时，评委会将以总价为准，并修正其单价；投标的数量与招标的数量不一致时，以招标数量为准。</w:t>
      </w:r>
    </w:p>
    <w:p w14:paraId="1138E099">
      <w:pPr>
        <w:keepNext w:val="0"/>
        <w:keepLines w:val="0"/>
        <w:pageBreakBefore w:val="0"/>
        <w:widowControl w:val="0"/>
        <w:kinsoku/>
        <w:wordWrap/>
        <w:overflowPunct/>
        <w:topLinePunct w:val="0"/>
        <w:autoSpaceDE/>
        <w:autoSpaceDN/>
        <w:bidi w:val="0"/>
        <w:adjustRightInd/>
        <w:snapToGrid/>
        <w:spacing w:line="440" w:lineRule="exact"/>
        <w:ind w:firstLine="403" w:firstLineChars="192"/>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评委会将按上述修正错误的方法调整投标文件中的投标报价，调整后的价格应对投标人具有约束力。无论投标人是接受或是拒绝调整后的价格，都应当由法定代表人（或委托代理人）签字</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签章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予以确认。投标人拒绝对投标文件出现的错漏按上述原则进行修正、澄清、说明，评标委员会应当否决其投标。</w:t>
      </w:r>
    </w:p>
    <w:p w14:paraId="05EF3AE5">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1"/>
        <w:rPr>
          <w:rFonts w:hint="eastAsia" w:ascii="宋体" w:hAnsi="宋体" w:eastAsia="宋体" w:cs="宋体"/>
          <w:b/>
          <w:bCs/>
          <w:color w:val="auto"/>
          <w:sz w:val="24"/>
          <w:szCs w:val="24"/>
          <w:highlight w:val="none"/>
          <w:lang w:val="en-US" w:eastAsia="zh-CN"/>
        </w:rPr>
      </w:pPr>
    </w:p>
    <w:p w14:paraId="49A6CEAA">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1"/>
        <w:rPr>
          <w:rFonts w:hint="eastAsia" w:ascii="宋体" w:hAnsi="宋体" w:eastAsia="宋体" w:cs="宋体"/>
          <w:b/>
          <w:bCs/>
          <w:color w:val="auto"/>
          <w:sz w:val="24"/>
          <w:szCs w:val="24"/>
          <w:highlight w:val="none"/>
          <w:lang w:val="en-US" w:eastAsia="zh-CN"/>
        </w:rPr>
      </w:pPr>
      <w:bookmarkStart w:id="64" w:name="_Toc30419"/>
      <w:r>
        <w:rPr>
          <w:rFonts w:hint="eastAsia" w:ascii="宋体" w:hAnsi="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lang w:val="en-US" w:eastAsia="zh-CN"/>
        </w:rPr>
        <w:t>、投标报价评分细则</w:t>
      </w:r>
      <w:bookmarkEnd w:id="64"/>
    </w:p>
    <w:tbl>
      <w:tblPr>
        <w:tblStyle w:val="45"/>
        <w:tblW w:w="9667"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049"/>
        <w:gridCol w:w="1842"/>
        <w:gridCol w:w="6067"/>
      </w:tblGrid>
      <w:tr w14:paraId="5A1E1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758" w:type="dxa"/>
            <w:gridSpan w:val="2"/>
            <w:vAlign w:val="center"/>
          </w:tcPr>
          <w:p w14:paraId="14609569">
            <w:pPr>
              <w:pageBreakBefore w:val="0"/>
              <w:kinsoku/>
              <w:wordWrap/>
              <w:overflowPunct/>
              <w:bidi w:val="0"/>
              <w:adjustRightIn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评审项</w:t>
            </w:r>
          </w:p>
        </w:tc>
        <w:tc>
          <w:tcPr>
            <w:tcW w:w="1842" w:type="dxa"/>
            <w:vAlign w:val="center"/>
          </w:tcPr>
          <w:p w14:paraId="2E66EDB0">
            <w:pPr>
              <w:pageBreakBefore w:val="0"/>
              <w:kinsoku/>
              <w:wordWrap/>
              <w:overflowPunct/>
              <w:bidi w:val="0"/>
              <w:adjustRightIn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评审因素</w:t>
            </w:r>
          </w:p>
        </w:tc>
        <w:tc>
          <w:tcPr>
            <w:tcW w:w="6067" w:type="dxa"/>
            <w:vAlign w:val="center"/>
          </w:tcPr>
          <w:p w14:paraId="22D39B9C">
            <w:pPr>
              <w:pageBreakBefore w:val="0"/>
              <w:kinsoku/>
              <w:wordWrap/>
              <w:overflowPunct/>
              <w:bidi w:val="0"/>
              <w:adjustRightIn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评审标准</w:t>
            </w:r>
          </w:p>
        </w:tc>
      </w:tr>
      <w:tr w14:paraId="5FC80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09" w:type="dxa"/>
            <w:vMerge w:val="restart"/>
            <w:vAlign w:val="center"/>
          </w:tcPr>
          <w:p w14:paraId="46BB2427">
            <w:pPr>
              <w:pageBreakBefore w:val="0"/>
              <w:kinsoku/>
              <w:wordWrap/>
              <w:overflowPunct/>
              <w:bidi w:val="0"/>
              <w:adjustRightIn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049" w:type="dxa"/>
            <w:vMerge w:val="restart"/>
            <w:vAlign w:val="center"/>
          </w:tcPr>
          <w:p w14:paraId="4F98269D">
            <w:pPr>
              <w:pageBreakBefore w:val="0"/>
              <w:kinsoku/>
              <w:wordWrap/>
              <w:overflowPunct/>
              <w:bidi w:val="0"/>
              <w:adjustRightIn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形式评审标准</w:t>
            </w:r>
          </w:p>
        </w:tc>
        <w:tc>
          <w:tcPr>
            <w:tcW w:w="1842" w:type="dxa"/>
            <w:vAlign w:val="center"/>
          </w:tcPr>
          <w:p w14:paraId="2BBC262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投标函签字盖章</w:t>
            </w:r>
          </w:p>
        </w:tc>
        <w:tc>
          <w:tcPr>
            <w:tcW w:w="6067" w:type="dxa"/>
            <w:vAlign w:val="center"/>
          </w:tcPr>
          <w:p w14:paraId="4DD0365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须按格式文件要求签字或盖章，否则经评委会一致认定</w:t>
            </w:r>
            <w:r>
              <w:rPr>
                <w:rFonts w:hint="eastAsia" w:ascii="宋体" w:hAnsi="宋体" w:eastAsia="宋体" w:cs="宋体"/>
                <w:color w:val="auto"/>
                <w:sz w:val="21"/>
                <w:szCs w:val="21"/>
                <w:highlight w:val="none"/>
                <w:lang w:val="en-US" w:eastAsia="zh-CN"/>
              </w:rPr>
              <w:t>后</w:t>
            </w:r>
            <w:r>
              <w:rPr>
                <w:rFonts w:hint="eastAsia" w:ascii="宋体" w:hAnsi="宋体" w:eastAsia="宋体" w:cs="宋体"/>
                <w:color w:val="auto"/>
                <w:sz w:val="21"/>
                <w:szCs w:val="21"/>
                <w:highlight w:val="none"/>
              </w:rPr>
              <w:t>, 按照无效投标处理。</w:t>
            </w:r>
          </w:p>
        </w:tc>
      </w:tr>
      <w:tr w14:paraId="2A662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709" w:type="dxa"/>
            <w:vMerge w:val="continue"/>
            <w:vAlign w:val="center"/>
          </w:tcPr>
          <w:p w14:paraId="68D41E70">
            <w:pPr>
              <w:pageBreakBefore w:val="0"/>
              <w:kinsoku/>
              <w:wordWrap/>
              <w:overflowPunct/>
              <w:bidi w:val="0"/>
              <w:adjustRightInd/>
              <w:spacing w:line="360" w:lineRule="exact"/>
              <w:jc w:val="center"/>
              <w:textAlignment w:val="auto"/>
              <w:rPr>
                <w:rFonts w:hint="eastAsia" w:ascii="宋体" w:hAnsi="宋体" w:eastAsia="宋体" w:cs="宋体"/>
                <w:color w:val="auto"/>
                <w:sz w:val="21"/>
                <w:szCs w:val="21"/>
                <w:highlight w:val="none"/>
              </w:rPr>
            </w:pPr>
          </w:p>
        </w:tc>
        <w:tc>
          <w:tcPr>
            <w:tcW w:w="1049" w:type="dxa"/>
            <w:vMerge w:val="continue"/>
            <w:vAlign w:val="center"/>
          </w:tcPr>
          <w:p w14:paraId="5EB6DDCA">
            <w:pPr>
              <w:pageBreakBefore w:val="0"/>
              <w:kinsoku/>
              <w:wordWrap/>
              <w:overflowPunct/>
              <w:bidi w:val="0"/>
              <w:adjustRightInd/>
              <w:spacing w:line="360" w:lineRule="exact"/>
              <w:jc w:val="center"/>
              <w:textAlignment w:val="auto"/>
              <w:rPr>
                <w:rFonts w:hint="eastAsia" w:ascii="宋体" w:hAnsi="宋体" w:eastAsia="宋体" w:cs="宋体"/>
                <w:color w:val="auto"/>
                <w:sz w:val="21"/>
                <w:szCs w:val="21"/>
                <w:highlight w:val="none"/>
              </w:rPr>
            </w:pPr>
          </w:p>
        </w:tc>
        <w:tc>
          <w:tcPr>
            <w:tcW w:w="1842" w:type="dxa"/>
            <w:vAlign w:val="center"/>
          </w:tcPr>
          <w:p w14:paraId="35F2077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投标文件格式</w:t>
            </w:r>
          </w:p>
        </w:tc>
        <w:tc>
          <w:tcPr>
            <w:tcW w:w="6067" w:type="dxa"/>
            <w:vAlign w:val="center"/>
          </w:tcPr>
          <w:p w14:paraId="2DA2E22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符合“投标文件格式”的要求，否则经评委会一致认定</w:t>
            </w:r>
            <w:r>
              <w:rPr>
                <w:rFonts w:hint="eastAsia" w:ascii="宋体" w:hAnsi="宋体" w:eastAsia="宋体" w:cs="宋体"/>
                <w:color w:val="auto"/>
                <w:sz w:val="21"/>
                <w:szCs w:val="21"/>
                <w:highlight w:val="none"/>
                <w:lang w:val="en-US" w:eastAsia="zh-CN"/>
              </w:rPr>
              <w:t>后</w:t>
            </w:r>
            <w:r>
              <w:rPr>
                <w:rFonts w:hint="eastAsia" w:ascii="宋体" w:hAnsi="宋体" w:eastAsia="宋体" w:cs="宋体"/>
                <w:color w:val="auto"/>
                <w:sz w:val="21"/>
                <w:szCs w:val="21"/>
                <w:highlight w:val="none"/>
              </w:rPr>
              <w:t>,按照无效投标处理.</w:t>
            </w:r>
          </w:p>
        </w:tc>
      </w:tr>
      <w:tr w14:paraId="0D485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709" w:type="dxa"/>
            <w:vMerge w:val="continue"/>
            <w:vAlign w:val="center"/>
          </w:tcPr>
          <w:p w14:paraId="0F6B7664">
            <w:pPr>
              <w:pageBreakBefore w:val="0"/>
              <w:kinsoku/>
              <w:wordWrap/>
              <w:overflowPunct/>
              <w:bidi w:val="0"/>
              <w:adjustRightInd/>
              <w:spacing w:line="360" w:lineRule="exact"/>
              <w:jc w:val="center"/>
              <w:textAlignment w:val="auto"/>
              <w:rPr>
                <w:rFonts w:hint="eastAsia" w:ascii="宋体" w:hAnsi="宋体" w:eastAsia="宋体" w:cs="宋体"/>
                <w:color w:val="auto"/>
                <w:sz w:val="21"/>
                <w:szCs w:val="21"/>
                <w:highlight w:val="none"/>
              </w:rPr>
            </w:pPr>
          </w:p>
        </w:tc>
        <w:tc>
          <w:tcPr>
            <w:tcW w:w="1049" w:type="dxa"/>
            <w:vMerge w:val="continue"/>
            <w:vAlign w:val="center"/>
          </w:tcPr>
          <w:p w14:paraId="2D64B556">
            <w:pPr>
              <w:pageBreakBefore w:val="0"/>
              <w:kinsoku/>
              <w:wordWrap/>
              <w:overflowPunct/>
              <w:bidi w:val="0"/>
              <w:adjustRightInd/>
              <w:spacing w:line="360" w:lineRule="exact"/>
              <w:jc w:val="center"/>
              <w:textAlignment w:val="auto"/>
              <w:rPr>
                <w:rFonts w:hint="eastAsia" w:ascii="宋体" w:hAnsi="宋体" w:eastAsia="宋体" w:cs="宋体"/>
                <w:color w:val="auto"/>
                <w:sz w:val="21"/>
                <w:szCs w:val="21"/>
                <w:highlight w:val="none"/>
              </w:rPr>
            </w:pPr>
          </w:p>
        </w:tc>
        <w:tc>
          <w:tcPr>
            <w:tcW w:w="1842" w:type="dxa"/>
            <w:vAlign w:val="center"/>
          </w:tcPr>
          <w:p w14:paraId="369A3E7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报价唯一</w:t>
            </w:r>
          </w:p>
        </w:tc>
        <w:tc>
          <w:tcPr>
            <w:tcW w:w="6067" w:type="dxa"/>
            <w:vAlign w:val="center"/>
          </w:tcPr>
          <w:p w14:paraId="0E620C5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只能有一个报价，否则按无效标处理</w:t>
            </w:r>
          </w:p>
        </w:tc>
      </w:tr>
      <w:tr w14:paraId="506BF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709" w:type="dxa"/>
            <w:vMerge w:val="continue"/>
            <w:vAlign w:val="center"/>
          </w:tcPr>
          <w:p w14:paraId="37040A36">
            <w:pPr>
              <w:pageBreakBefore w:val="0"/>
              <w:kinsoku/>
              <w:wordWrap/>
              <w:overflowPunct/>
              <w:bidi w:val="0"/>
              <w:adjustRightInd/>
              <w:spacing w:line="360" w:lineRule="exact"/>
              <w:jc w:val="center"/>
              <w:textAlignment w:val="auto"/>
              <w:rPr>
                <w:rFonts w:hint="eastAsia" w:ascii="宋体" w:hAnsi="宋体" w:eastAsia="宋体" w:cs="宋体"/>
                <w:color w:val="auto"/>
                <w:sz w:val="21"/>
                <w:szCs w:val="21"/>
                <w:highlight w:val="none"/>
              </w:rPr>
            </w:pPr>
          </w:p>
        </w:tc>
        <w:tc>
          <w:tcPr>
            <w:tcW w:w="1049" w:type="dxa"/>
            <w:vMerge w:val="continue"/>
            <w:vAlign w:val="center"/>
          </w:tcPr>
          <w:p w14:paraId="025AADEE">
            <w:pPr>
              <w:pageBreakBefore w:val="0"/>
              <w:kinsoku/>
              <w:wordWrap/>
              <w:overflowPunct/>
              <w:bidi w:val="0"/>
              <w:adjustRightInd/>
              <w:spacing w:line="360" w:lineRule="exact"/>
              <w:jc w:val="center"/>
              <w:textAlignment w:val="auto"/>
              <w:rPr>
                <w:rFonts w:hint="eastAsia" w:ascii="宋体" w:hAnsi="宋体" w:eastAsia="宋体" w:cs="宋体"/>
                <w:color w:val="auto"/>
                <w:sz w:val="21"/>
                <w:szCs w:val="21"/>
                <w:highlight w:val="none"/>
              </w:rPr>
            </w:pPr>
          </w:p>
        </w:tc>
        <w:tc>
          <w:tcPr>
            <w:tcW w:w="1842" w:type="dxa"/>
            <w:vAlign w:val="center"/>
          </w:tcPr>
          <w:p w14:paraId="7CFA880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投标函的报价</w:t>
            </w:r>
          </w:p>
        </w:tc>
        <w:tc>
          <w:tcPr>
            <w:tcW w:w="6067" w:type="dxa"/>
            <w:vAlign w:val="center"/>
          </w:tcPr>
          <w:p w14:paraId="7E1DB2D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不高于最高限价</w:t>
            </w:r>
          </w:p>
        </w:tc>
      </w:tr>
      <w:tr w14:paraId="78A9E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709" w:type="dxa"/>
            <w:vAlign w:val="center"/>
          </w:tcPr>
          <w:p w14:paraId="69CF0CD0">
            <w:pPr>
              <w:pageBreakBefore w:val="0"/>
              <w:kinsoku/>
              <w:wordWrap/>
              <w:overflowPunct/>
              <w:bidi w:val="0"/>
              <w:adjustRightInd/>
              <w:spacing w:line="36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p>
        </w:tc>
        <w:tc>
          <w:tcPr>
            <w:tcW w:w="1049" w:type="dxa"/>
            <w:vAlign w:val="center"/>
          </w:tcPr>
          <w:p w14:paraId="038F4360">
            <w:pPr>
              <w:pageBreakBefore w:val="0"/>
              <w:kinsoku/>
              <w:wordWrap/>
              <w:overflowPunct/>
              <w:bidi w:val="0"/>
              <w:adjustRightIn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投标报价评分</w:t>
            </w:r>
          </w:p>
          <w:p w14:paraId="4F8F8467">
            <w:pPr>
              <w:pageBreakBefore w:val="0"/>
              <w:kinsoku/>
              <w:wordWrap/>
              <w:overflowPunct/>
              <w:bidi w:val="0"/>
              <w:adjustRightIn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100</w:t>
            </w:r>
            <w:r>
              <w:rPr>
                <w:rFonts w:hint="eastAsia" w:ascii="宋体" w:hAnsi="宋体" w:eastAsia="宋体" w:cs="宋体"/>
                <w:color w:val="auto"/>
                <w:sz w:val="21"/>
                <w:szCs w:val="21"/>
                <w:highlight w:val="none"/>
              </w:rPr>
              <w:t>分）</w:t>
            </w:r>
          </w:p>
        </w:tc>
        <w:tc>
          <w:tcPr>
            <w:tcW w:w="7909" w:type="dxa"/>
            <w:gridSpan w:val="2"/>
            <w:vAlign w:val="center"/>
          </w:tcPr>
          <w:p w14:paraId="76F562F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1、招标人设置投标报价最高限价，各投标人有效报价不得高于最高限价，否则，其投标文件按无效标处理。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投标报价不可以填报0或负数，否则按无效标处理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以基本费作为评审价格</w:t>
            </w:r>
            <w:r>
              <w:rPr>
                <w:rFonts w:hint="eastAsia" w:ascii="宋体" w:hAnsi="宋体" w:eastAsia="宋体" w:cs="宋体"/>
                <w:color w:val="auto"/>
                <w:sz w:val="21"/>
                <w:szCs w:val="21"/>
                <w:highlight w:val="none"/>
                <w:lang w:eastAsia="zh-CN"/>
              </w:rPr>
              <w:t>）</w:t>
            </w:r>
          </w:p>
          <w:p w14:paraId="4B1B463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2、评标基准值为所有投标人投标报价的算术平均值</w:t>
            </w:r>
            <w:r>
              <w:rPr>
                <w:rFonts w:hint="eastAsia" w:ascii="宋体" w:hAnsi="宋体" w:eastAsia="宋体" w:cs="宋体"/>
                <w:color w:val="auto"/>
                <w:sz w:val="21"/>
                <w:szCs w:val="21"/>
                <w:highlight w:val="none"/>
                <w:lang w:eastAsia="zh-CN"/>
              </w:rPr>
              <w:t>。</w:t>
            </w:r>
          </w:p>
          <w:p w14:paraId="2AD50DE5">
            <w:pPr>
              <w:pStyle w:val="2"/>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3、计算报价偏差率</w:t>
            </w:r>
          </w:p>
          <w:p w14:paraId="3CF5BF96">
            <w:pPr>
              <w:pStyle w:val="2"/>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default"/>
                <w:color w:val="auto"/>
                <w:highlight w:val="none"/>
                <w:lang w:val="en-US" w:eastAsia="zh-CN"/>
              </w:rPr>
            </w:pPr>
            <w:r>
              <w:rPr>
                <w:rFonts w:hint="eastAsia" w:ascii="宋体" w:hAnsi="宋体" w:cs="宋体"/>
                <w:color w:val="auto"/>
                <w:sz w:val="21"/>
                <w:szCs w:val="21"/>
                <w:highlight w:val="none"/>
                <w:lang w:val="en-US" w:eastAsia="zh-CN"/>
              </w:rPr>
              <w:t>①偏差率=|（投标报价-评标基准价）/评标基准价|×100%</w:t>
            </w:r>
          </w:p>
          <w:p w14:paraId="2DFF0D6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、计算报价得分</w:t>
            </w:r>
          </w:p>
          <w:p w14:paraId="1963C02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①投标报价等于评标基准价的得满分。</w:t>
            </w:r>
          </w:p>
          <w:p w14:paraId="23C26FD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②投标报价高于评标基准价的，投标报价得分=报价满分值-偏差率×100×1</w:t>
            </w:r>
          </w:p>
          <w:p w14:paraId="73F7BA5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③投标报价低于评标基准价的，投标报价得分=报价满分值-偏差率×100×0.5</w:t>
            </w:r>
          </w:p>
          <w:p w14:paraId="32C8AEE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color w:val="auto"/>
                <w:highlight w:val="none"/>
              </w:rPr>
            </w:pPr>
            <w:r>
              <w:rPr>
                <w:rFonts w:hint="eastAsia" w:ascii="宋体" w:hAnsi="宋体" w:eastAsia="宋体" w:cs="宋体"/>
                <w:color w:val="auto"/>
                <w:sz w:val="21"/>
                <w:szCs w:val="21"/>
                <w:highlight w:val="none"/>
              </w:rPr>
              <w:t>注：计算过程中，评标基准值、偏差率、报价得分均保留两位小数，小数点后第三位四舍五入。</w:t>
            </w:r>
          </w:p>
        </w:tc>
      </w:tr>
    </w:tbl>
    <w:p w14:paraId="003755BC">
      <w:pPr>
        <w:pageBreakBefore w:val="0"/>
        <w:kinsoku/>
        <w:wordWrap/>
        <w:overflowPunct/>
        <w:bidi w:val="0"/>
        <w:adjustRightInd/>
        <w:spacing w:line="360" w:lineRule="exact"/>
        <w:jc w:val="center"/>
        <w:textAlignment w:val="auto"/>
        <w:outlineLvl w:val="1"/>
        <w:rPr>
          <w:rFonts w:hint="eastAsia" w:ascii="宋体" w:hAnsi="宋体" w:eastAsia="宋体" w:cs="宋体"/>
          <w:b/>
          <w:bCs/>
          <w:color w:val="auto"/>
          <w:sz w:val="24"/>
          <w:szCs w:val="24"/>
          <w:highlight w:val="none"/>
        </w:rPr>
      </w:pPr>
    </w:p>
    <w:p w14:paraId="1DD67D2D">
      <w:pPr>
        <w:pageBreakBefore w:val="0"/>
        <w:kinsoku/>
        <w:wordWrap/>
        <w:overflowPunct/>
        <w:bidi w:val="0"/>
        <w:adjustRightInd/>
        <w:spacing w:line="360" w:lineRule="exact"/>
        <w:jc w:val="center"/>
        <w:textAlignment w:val="auto"/>
        <w:outlineLvl w:val="1"/>
        <w:rPr>
          <w:rFonts w:hint="eastAsia" w:ascii="宋体" w:hAnsi="宋体" w:eastAsia="宋体" w:cs="宋体"/>
          <w:b/>
          <w:bCs/>
          <w:color w:val="auto"/>
          <w:sz w:val="24"/>
          <w:szCs w:val="24"/>
          <w:highlight w:val="none"/>
        </w:rPr>
      </w:pPr>
      <w:bookmarkStart w:id="65" w:name="_Toc20318"/>
      <w:r>
        <w:rPr>
          <w:rFonts w:hint="eastAsia" w:ascii="宋体" w:hAnsi="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rPr>
        <w:t>推荐中标候选人</w:t>
      </w:r>
      <w:bookmarkEnd w:id="65"/>
    </w:p>
    <w:p w14:paraId="1BD855F9">
      <w:pPr>
        <w:pStyle w:val="2"/>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评标</w:t>
      </w:r>
      <w:r>
        <w:rPr>
          <w:rFonts w:hint="eastAsia" w:ascii="宋体" w:hAnsi="宋体" w:eastAsia="宋体" w:cs="宋体"/>
          <w:color w:val="auto"/>
          <w:sz w:val="21"/>
          <w:szCs w:val="21"/>
          <w:highlight w:val="none"/>
          <w:lang w:val="en-US" w:eastAsia="zh-CN"/>
        </w:rPr>
        <w:t>小组先</w:t>
      </w:r>
      <w:r>
        <w:rPr>
          <w:rFonts w:hint="eastAsia" w:ascii="宋体" w:hAnsi="宋体" w:eastAsia="宋体" w:cs="宋体"/>
          <w:color w:val="auto"/>
          <w:sz w:val="21"/>
          <w:szCs w:val="21"/>
          <w:highlight w:val="none"/>
        </w:rPr>
        <w:t>对</w:t>
      </w:r>
      <w:r>
        <w:rPr>
          <w:rFonts w:hint="eastAsia" w:ascii="宋体" w:hAnsi="宋体" w:eastAsia="宋体" w:cs="宋体"/>
          <w:color w:val="auto"/>
          <w:sz w:val="21"/>
          <w:szCs w:val="21"/>
          <w:highlight w:val="none"/>
          <w:lang w:val="en-US" w:eastAsia="zh-CN"/>
        </w:rPr>
        <w:t>投标报价不高于投标限价的</w:t>
      </w:r>
      <w:r>
        <w:rPr>
          <w:rFonts w:hint="eastAsia" w:ascii="宋体" w:hAnsi="宋体" w:eastAsia="宋体" w:cs="宋体"/>
          <w:color w:val="auto"/>
          <w:sz w:val="21"/>
          <w:szCs w:val="21"/>
          <w:highlight w:val="none"/>
        </w:rPr>
        <w:t>投标人报价按计算标准计算得分，得分按照从高到低进行排序</w:t>
      </w:r>
      <w:r>
        <w:rPr>
          <w:rFonts w:hint="eastAsia" w:ascii="宋体" w:hAnsi="宋体" w:cs="宋体"/>
          <w:color w:val="auto"/>
          <w:sz w:val="21"/>
          <w:szCs w:val="21"/>
          <w:highlight w:val="none"/>
          <w:lang w:eastAsia="zh-CN"/>
        </w:rPr>
        <w:t>，但投标报价低于其成本的除外</w:t>
      </w:r>
      <w:r>
        <w:rPr>
          <w:rFonts w:hint="eastAsia" w:ascii="宋体" w:hAnsi="宋体" w:eastAsia="宋体" w:cs="宋体"/>
          <w:color w:val="auto"/>
          <w:sz w:val="21"/>
          <w:szCs w:val="21"/>
          <w:highlight w:val="none"/>
        </w:rPr>
        <w:t>（如总得分相等，以投标报价低的优先，投标报价仍相等，由招标人</w:t>
      </w:r>
      <w:r>
        <w:rPr>
          <w:rFonts w:hint="eastAsia" w:ascii="宋体" w:hAnsi="宋体" w:eastAsia="宋体" w:cs="宋体"/>
          <w:color w:val="auto"/>
          <w:sz w:val="21"/>
          <w:szCs w:val="21"/>
          <w:highlight w:val="none"/>
          <w:lang w:val="en-US" w:eastAsia="zh-CN"/>
        </w:rPr>
        <w:t>或评标委员会</w:t>
      </w:r>
      <w:r>
        <w:rPr>
          <w:rFonts w:hint="eastAsia" w:ascii="宋体" w:hAnsi="宋体" w:eastAsia="宋体" w:cs="宋体"/>
          <w:color w:val="auto"/>
          <w:sz w:val="21"/>
          <w:szCs w:val="21"/>
          <w:highlight w:val="none"/>
        </w:rPr>
        <w:t>随机抽取确定排名，不得并列）。对排序前</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名的投标人</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文件进行评审并确定中标候选人。若排序前</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名的投标人</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文件评审不通过，则按得分排序递补至</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家投标人进行</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文件评审。</w:t>
      </w:r>
    </w:p>
    <w:p w14:paraId="2D219C1B">
      <w:pPr>
        <w:snapToGrid w:val="0"/>
        <w:spacing w:line="400" w:lineRule="exact"/>
        <w:ind w:firstLine="570"/>
        <w:rPr>
          <w:rFonts w:hint="eastAsia" w:ascii="宋体"/>
          <w:b/>
          <w:color w:val="auto"/>
          <w:szCs w:val="21"/>
          <w:highlight w:val="none"/>
        </w:rPr>
      </w:pPr>
      <w:r>
        <w:rPr>
          <w:rFonts w:hint="eastAsia" w:ascii="宋体"/>
          <w:b/>
          <w:color w:val="auto"/>
          <w:szCs w:val="21"/>
          <w:highlight w:val="none"/>
          <w:lang w:val="en-US" w:eastAsia="zh-CN"/>
        </w:rPr>
        <w:t>9.</w:t>
      </w:r>
      <w:r>
        <w:rPr>
          <w:rFonts w:hint="eastAsia" w:ascii="宋体" w:hAnsi="宋体"/>
          <w:b/>
          <w:color w:val="auto"/>
          <w:sz w:val="24"/>
          <w:highlight w:val="none"/>
        </w:rPr>
        <w:t xml:space="preserve"> </w:t>
      </w:r>
      <w:r>
        <w:rPr>
          <w:rFonts w:hint="eastAsia" w:ascii="宋体"/>
          <w:b/>
          <w:color w:val="auto"/>
          <w:szCs w:val="21"/>
          <w:highlight w:val="none"/>
        </w:rPr>
        <w:t>无效投标条款</w:t>
      </w:r>
    </w:p>
    <w:p w14:paraId="4C4B7412">
      <w:pPr>
        <w:snapToGrid w:val="0"/>
        <w:spacing w:line="400" w:lineRule="exact"/>
        <w:ind w:firstLine="525" w:firstLineChars="250"/>
        <w:rPr>
          <w:rFonts w:hint="eastAsia" w:ascii="宋体" w:cs="宋体"/>
          <w:color w:val="auto"/>
          <w:szCs w:val="21"/>
          <w:highlight w:val="none"/>
        </w:rPr>
      </w:pPr>
      <w:r>
        <w:rPr>
          <w:rFonts w:hint="eastAsia" w:ascii="宋体" w:cs="宋体"/>
          <w:color w:val="auto"/>
          <w:szCs w:val="21"/>
          <w:highlight w:val="none"/>
          <w:lang w:val="en-US" w:eastAsia="zh-CN"/>
        </w:rPr>
        <w:t>9</w:t>
      </w:r>
      <w:r>
        <w:rPr>
          <w:rFonts w:hint="eastAsia" w:ascii="宋体" w:cs="宋体"/>
          <w:color w:val="auto"/>
          <w:szCs w:val="21"/>
          <w:highlight w:val="none"/>
        </w:rPr>
        <w:t>.1投标文件有下列情形之一的,其投标文件拒收:</w:t>
      </w:r>
    </w:p>
    <w:p w14:paraId="27A02168">
      <w:pPr>
        <w:snapToGrid w:val="0"/>
        <w:spacing w:line="400" w:lineRule="exact"/>
        <w:ind w:firstLine="420"/>
        <w:rPr>
          <w:rFonts w:hint="eastAsia" w:ascii="宋体" w:hAnsi="宋体" w:cs="宋体"/>
          <w:b/>
          <w:bCs/>
          <w:color w:val="auto"/>
          <w:szCs w:val="21"/>
          <w:highlight w:val="none"/>
        </w:rPr>
      </w:pPr>
      <w:r>
        <w:rPr>
          <w:rFonts w:hint="eastAsia" w:ascii="宋体" w:cs="宋体"/>
          <w:color w:val="auto"/>
          <w:szCs w:val="21"/>
          <w:highlight w:val="none"/>
        </w:rPr>
        <w:t xml:space="preserve"> </w:t>
      </w:r>
      <w:r>
        <w:rPr>
          <w:rFonts w:hint="eastAsia" w:ascii="宋体" w:hAnsi="宋体" w:cs="宋体"/>
          <w:b/>
          <w:bCs/>
          <w:color w:val="auto"/>
          <w:szCs w:val="21"/>
          <w:highlight w:val="none"/>
        </w:rPr>
        <w:t>(1) 未在开标截止时间前通过网上招标投标系统递交有效电子投标文件的，开标系统不予接收，投标将被拒绝。</w:t>
      </w:r>
    </w:p>
    <w:p w14:paraId="257D62F8">
      <w:pPr>
        <w:snapToGrid w:val="0"/>
        <w:spacing w:line="400" w:lineRule="exact"/>
        <w:ind w:firstLine="420"/>
        <w:rPr>
          <w:rFonts w:hint="eastAsia" w:ascii="宋体" w:hAnsi="宋体" w:cs="宋体"/>
          <w:b/>
          <w:bCs/>
          <w:color w:val="auto"/>
          <w:szCs w:val="21"/>
          <w:highlight w:val="none"/>
        </w:rPr>
      </w:pPr>
      <w:r>
        <w:rPr>
          <w:rFonts w:hint="eastAsia" w:ascii="宋体" w:hAnsi="宋体" w:cs="宋体"/>
          <w:b/>
          <w:bCs/>
          <w:color w:val="auto"/>
          <w:szCs w:val="21"/>
          <w:highlight w:val="none"/>
        </w:rPr>
        <w:t>（2）投标企业接到远程解密指令后，须在规定时间内解密。因投标人自身原因导致投标文件在规定时间内未能解密、解密失败或解密超时，投标文件无效；解密时间：从本项目投标截止时间开始计时，至完成投标文件解密时间，不得超过</w:t>
      </w:r>
      <w:r>
        <w:rPr>
          <w:rFonts w:hint="eastAsia" w:ascii="宋体" w:hAnsi="宋体" w:cs="宋体"/>
          <w:b/>
          <w:bCs/>
          <w:color w:val="auto"/>
          <w:szCs w:val="21"/>
          <w:highlight w:val="none"/>
          <w:lang w:val="en-US" w:eastAsia="zh-CN"/>
        </w:rPr>
        <w:t>30</w:t>
      </w:r>
      <w:r>
        <w:rPr>
          <w:rFonts w:hint="eastAsia" w:ascii="宋体" w:hAnsi="宋体" w:cs="宋体"/>
          <w:b/>
          <w:bCs/>
          <w:color w:val="auto"/>
          <w:szCs w:val="21"/>
          <w:highlight w:val="none"/>
        </w:rPr>
        <w:t>分钟，否则投标文件将被拒绝。</w:t>
      </w:r>
    </w:p>
    <w:p w14:paraId="60948C98">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.2投标人有下列情形之一的,资格审查后其投标作无效投标处理：</w:t>
      </w:r>
    </w:p>
    <w:p w14:paraId="5560F39C">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）投标人为本项目提供招标代理服务的；</w:t>
      </w:r>
    </w:p>
    <w:p w14:paraId="439C100A">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）投标人与在本项目代理机构存在相互任职或工作的；</w:t>
      </w:r>
    </w:p>
    <w:p w14:paraId="09E30463">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）评标专家无法查看并检验电子投标文件中相关资料的；</w:t>
      </w:r>
    </w:p>
    <w:p w14:paraId="3C99BAF6">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）联合体投标未提交联合体协议的；</w:t>
      </w:r>
    </w:p>
    <w:p w14:paraId="16A15BB6">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）被暂停营业的；</w:t>
      </w:r>
    </w:p>
    <w:p w14:paraId="348F6436">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）被暂停或取消投标资格的；</w:t>
      </w:r>
    </w:p>
    <w:p w14:paraId="6F19C305">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）财产被接管或冻结的；</w:t>
      </w:r>
    </w:p>
    <w:p w14:paraId="6F3BA6BB">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）投标人单位负责人为同一人或者存在控股、管理关系的不同单位的；</w:t>
      </w:r>
    </w:p>
    <w:p w14:paraId="2B286FDB">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）保证金不按第</w:t>
      </w:r>
      <w:r>
        <w:rPr>
          <w:rFonts w:hint="eastAsia" w:ascii="宋体" w:hAnsi="宋体" w:cs="宋体"/>
          <w:color w:val="auto"/>
          <w:szCs w:val="21"/>
          <w:highlight w:val="none"/>
          <w:lang w:val="en-US" w:eastAsia="zh-CN"/>
        </w:rPr>
        <w:t>一</w:t>
      </w:r>
      <w:r>
        <w:rPr>
          <w:rFonts w:hint="eastAsia" w:ascii="宋体" w:hAnsi="宋体" w:cs="宋体"/>
          <w:color w:val="auto"/>
          <w:szCs w:val="21"/>
          <w:highlight w:val="none"/>
        </w:rPr>
        <w:t>章“投标人须知”及其前附表要求提交投标保证金的；</w:t>
      </w:r>
    </w:p>
    <w:p w14:paraId="31DF76D0">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）投标人未办理省主体库登记入库手续的；</w:t>
      </w:r>
    </w:p>
    <w:p w14:paraId="27D6A744">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）投标人申请开具电子保函 MAC 地址一致的；</w:t>
      </w:r>
    </w:p>
    <w:p w14:paraId="430169FB">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）投标人基本资格条件和特定资格条件中有一项及以上不符合要求的；</w:t>
      </w:r>
    </w:p>
    <w:p w14:paraId="1C6FAF83">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13</w:t>
      </w:r>
      <w:r>
        <w:rPr>
          <w:rFonts w:hint="eastAsia" w:ascii="宋体" w:hAnsi="宋体" w:cs="宋体"/>
          <w:color w:val="auto"/>
          <w:szCs w:val="21"/>
          <w:highlight w:val="none"/>
        </w:rPr>
        <w:t>）开标时查询投标文件制作机器码、文件创建标识码及造价软件加密锁号。若存在投标文件制作机器码或创建标识码或造价软件加密锁号信息与其他投标人雷同的，投标无效、进行信用信息披露，行政监管部门将依据线索依法查处；</w:t>
      </w:r>
    </w:p>
    <w:p w14:paraId="47FA9328">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14</w:t>
      </w:r>
      <w:r>
        <w:rPr>
          <w:rFonts w:hint="eastAsia" w:ascii="宋体" w:hAnsi="宋体" w:cs="宋体"/>
          <w:color w:val="auto"/>
          <w:szCs w:val="21"/>
          <w:highlight w:val="none"/>
        </w:rPr>
        <w:t>）其它情形，经评标委员会委提出按无效投标处理；</w:t>
      </w:r>
    </w:p>
    <w:p w14:paraId="1D9C701F">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15</w:t>
      </w:r>
      <w:r>
        <w:rPr>
          <w:rFonts w:hint="eastAsia" w:ascii="宋体" w:hAnsi="宋体" w:cs="宋体"/>
          <w:color w:val="auto"/>
          <w:szCs w:val="21"/>
          <w:highlight w:val="none"/>
        </w:rPr>
        <w:t>）投标人投标MAC地址或投标人联系人或联系电话相同的，由评标委员会否决其投标，并进一步调查；</w:t>
      </w:r>
    </w:p>
    <w:p w14:paraId="4416314A">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16</w:t>
      </w:r>
      <w:r>
        <w:rPr>
          <w:rFonts w:hint="eastAsia" w:ascii="宋体" w:hAnsi="宋体" w:cs="宋体"/>
          <w:color w:val="auto"/>
          <w:szCs w:val="21"/>
          <w:highlight w:val="none"/>
        </w:rPr>
        <w:t>）投标人单方面出现其他投标人材料的；</w:t>
      </w:r>
    </w:p>
    <w:p w14:paraId="45E4C8BD">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17</w:t>
      </w:r>
      <w:r>
        <w:rPr>
          <w:rFonts w:hint="eastAsia" w:ascii="宋体" w:hAnsi="宋体" w:cs="宋体"/>
          <w:color w:val="auto"/>
          <w:szCs w:val="21"/>
          <w:highlight w:val="none"/>
        </w:rPr>
        <w:t>）招标文件规定的其它无效投标情形。</w:t>
      </w:r>
    </w:p>
    <w:p w14:paraId="56DF6123">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.3 投标人有下列情形之一的,符合性审查后其投标按无效投标处理：</w:t>
      </w:r>
    </w:p>
    <w:p w14:paraId="79D7196A">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）投标文件签字、盖章不全，经评标委员会一致认定对开评标内容有实质性影响的；</w:t>
      </w:r>
    </w:p>
    <w:p w14:paraId="71D14C6F">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）未按规定的格式填写</w:t>
      </w:r>
      <w:r>
        <w:rPr>
          <w:rFonts w:hint="eastAsia" w:ascii="宋体" w:hAnsi="宋体" w:cs="宋体"/>
          <w:color w:val="auto"/>
          <w:szCs w:val="21"/>
          <w:highlight w:val="none"/>
          <w:lang w:val="en-US" w:eastAsia="zh-CN"/>
        </w:rPr>
        <w:t>导致</w:t>
      </w:r>
      <w:r>
        <w:rPr>
          <w:rFonts w:hint="eastAsia" w:ascii="宋体" w:hAnsi="宋体" w:cs="宋体"/>
          <w:color w:val="auto"/>
          <w:szCs w:val="21"/>
          <w:highlight w:val="none"/>
        </w:rPr>
        <w:t>实质性内容不全</w:t>
      </w:r>
      <w:r>
        <w:rPr>
          <w:rFonts w:hint="eastAsia" w:ascii="宋体" w:hAnsi="宋体" w:cs="宋体"/>
          <w:color w:val="auto"/>
          <w:szCs w:val="21"/>
          <w:highlight w:val="none"/>
          <w:lang w:val="en-US" w:eastAsia="zh-CN"/>
        </w:rPr>
        <w:t>以及实质上不响应，</w:t>
      </w:r>
      <w:r>
        <w:rPr>
          <w:rFonts w:hint="eastAsia" w:ascii="宋体" w:hAnsi="宋体" w:cs="宋体"/>
          <w:color w:val="auto"/>
          <w:szCs w:val="21"/>
          <w:highlight w:val="none"/>
        </w:rPr>
        <w:t>或</w:t>
      </w:r>
      <w:r>
        <w:rPr>
          <w:rFonts w:hint="eastAsia" w:ascii="宋体" w:hAnsi="宋体" w:cs="宋体"/>
          <w:color w:val="auto"/>
          <w:szCs w:val="21"/>
          <w:highlight w:val="none"/>
          <w:lang w:val="en-US" w:eastAsia="zh-CN"/>
        </w:rPr>
        <w:t>者</w:t>
      </w:r>
      <w:r>
        <w:rPr>
          <w:rFonts w:hint="eastAsia" w:ascii="宋体" w:hAnsi="宋体" w:cs="宋体"/>
          <w:color w:val="auto"/>
          <w:szCs w:val="21"/>
          <w:highlight w:val="none"/>
        </w:rPr>
        <w:t>关键字迹模糊、无法辨认；</w:t>
      </w:r>
    </w:p>
    <w:p w14:paraId="66318CA2">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）同一投标人提交两个以上不同的投标文件或者投标报价，但招标文件规定提交备选方案的除外；</w:t>
      </w:r>
    </w:p>
    <w:p w14:paraId="7CC49093">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）投标文件没有对招标文件的实质性要求和条件作出响应;</w:t>
      </w:r>
    </w:p>
    <w:p w14:paraId="0C4016D3">
      <w:pPr>
        <w:keepNext w:val="0"/>
        <w:keepLines w:val="0"/>
        <w:pageBreakBefore w:val="0"/>
        <w:widowControl w:val="0"/>
        <w:kinsoku/>
        <w:wordWrap/>
        <w:overflowPunct/>
        <w:topLinePunct w:val="0"/>
        <w:autoSpaceDE/>
        <w:autoSpaceDN/>
        <w:bidi w:val="0"/>
        <w:adjustRightInd/>
        <w:spacing w:line="420" w:lineRule="exact"/>
        <w:ind w:right="-212" w:rightChars="-101" w:firstLine="420" w:firstLineChars="200"/>
        <w:jc w:val="left"/>
        <w:textAlignment w:val="auto"/>
        <w:rPr>
          <w:rFonts w:hint="eastAsia" w:ascii="宋体" w:hAnsi="宋体" w:cs="宋体"/>
          <w:b/>
          <w:bCs/>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）投标报价超出规定的投标限价或公布的采购预算的或投标人的投标报价各项单价高于招标文件给定的单价最高限价；</w:t>
      </w:r>
    </w:p>
    <w:p w14:paraId="651ECF07">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）不按评标委员会要求澄清、说明或补正的，或者评标委员会根据招标文件的规定对招标文件的计算错误进行修正后，投标人不接受修正的投标报价的。</w:t>
      </w:r>
    </w:p>
    <w:p w14:paraId="55085D86">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（7）其它情形，经评标委员会委提出按无效投标处理；</w:t>
      </w:r>
    </w:p>
    <w:p w14:paraId="46FF0A7C">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（8）投标文件含有招标人不能接受的附加条件的;</w:t>
      </w:r>
    </w:p>
    <w:p w14:paraId="280CABC2">
      <w:pPr>
        <w:keepNext w:val="0"/>
        <w:keepLines w:val="0"/>
        <w:pageBreakBefore w:val="0"/>
        <w:widowControl w:val="0"/>
        <w:tabs>
          <w:tab w:val="left" w:pos="1123"/>
        </w:tabs>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（9）招标文件规定的其它无效投标情形。</w:t>
      </w:r>
    </w:p>
    <w:p w14:paraId="5C181207">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.4 投标人有下列情形之一的, 详细评审后其投标按无效投标处理：</w:t>
      </w:r>
    </w:p>
    <w:p w14:paraId="33F20186">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）投标产品不符合必须强制执行的国家标准的；</w:t>
      </w:r>
    </w:p>
    <w:p w14:paraId="089679DE">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）投标人有串通投标、弄虚作假、行贿等违法行为；</w:t>
      </w:r>
    </w:p>
    <w:p w14:paraId="67F9813B">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）投标文件含有违反国家法律、法规的内容，或附有招标人不能接受的条件的；</w:t>
      </w:r>
    </w:p>
    <w:p w14:paraId="154B8023">
      <w:pPr>
        <w:keepNext w:val="0"/>
        <w:keepLines w:val="0"/>
        <w:pageBreakBefore w:val="0"/>
        <w:widowControl w:val="0"/>
        <w:kinsoku/>
        <w:wordWrap/>
        <w:overflowPunct/>
        <w:topLinePunct w:val="0"/>
        <w:autoSpaceDE/>
        <w:autoSpaceDN/>
        <w:bidi w:val="0"/>
        <w:adjustRightInd/>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）报价明显低于其他投标人，且不能证明报价合理性的投标无效；</w:t>
      </w:r>
    </w:p>
    <w:p w14:paraId="65F25D2A">
      <w:pPr>
        <w:keepNext w:val="0"/>
        <w:keepLines w:val="0"/>
        <w:pageBreakBefore w:val="0"/>
        <w:widowControl w:val="0"/>
        <w:kinsoku/>
        <w:wordWrap/>
        <w:overflowPunct/>
        <w:topLinePunct w:val="0"/>
        <w:autoSpaceDE/>
        <w:autoSpaceDN/>
        <w:bidi w:val="0"/>
        <w:adjustRightInd/>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）拒不确认评标委员会评审修正的投标无效；</w:t>
      </w:r>
    </w:p>
    <w:p w14:paraId="76381DE8">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）其它情形，经评标委员会委提出按无效投标处理；</w:t>
      </w:r>
    </w:p>
    <w:p w14:paraId="095585C1">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）招标文件规定的其它无效投标情形。</w:t>
      </w:r>
    </w:p>
    <w:p w14:paraId="1825D070">
      <w:pPr>
        <w:rPr>
          <w:rFonts w:hint="eastAsia"/>
          <w:color w:val="auto"/>
          <w:highlight w:val="none"/>
        </w:rPr>
      </w:pPr>
    </w:p>
    <w:p w14:paraId="79D4181F">
      <w:pPr>
        <w:pStyle w:val="6"/>
        <w:keepNext/>
        <w:keepLines/>
        <w:pageBreakBefore/>
        <w:widowControl w:val="0"/>
        <w:kinsoku/>
        <w:wordWrap/>
        <w:overflowPunct/>
        <w:topLinePunct w:val="0"/>
        <w:autoSpaceDE/>
        <w:autoSpaceDN/>
        <w:bidi w:val="0"/>
        <w:adjustRightInd/>
        <w:snapToGrid/>
        <w:spacing w:before="0" w:after="0"/>
        <w:textAlignment w:val="auto"/>
        <w:rPr>
          <w:rFonts w:hint="eastAsia" w:ascii="宋体" w:hAnsi="宋体" w:eastAsia="宋体" w:cs="宋体"/>
          <w:color w:val="auto"/>
          <w:sz w:val="44"/>
          <w:szCs w:val="44"/>
          <w:highlight w:val="none"/>
          <w:lang w:val="en-US" w:eastAsia="zh-CN"/>
        </w:rPr>
      </w:pPr>
      <w:bookmarkStart w:id="66" w:name="_Toc3848"/>
      <w:r>
        <w:rPr>
          <w:rFonts w:hint="eastAsia" w:ascii="宋体" w:hAnsi="宋体" w:eastAsia="宋体" w:cs="宋体"/>
          <w:color w:val="auto"/>
          <w:sz w:val="44"/>
          <w:szCs w:val="44"/>
          <w:highlight w:val="none"/>
          <w:lang w:val="en-US" w:eastAsia="zh-CN"/>
        </w:rPr>
        <w:t>第三章 合同条款</w:t>
      </w:r>
      <w:bookmarkEnd w:id="56"/>
      <w:bookmarkEnd w:id="57"/>
      <w:bookmarkEnd w:id="66"/>
    </w:p>
    <w:p w14:paraId="209DF1AC">
      <w:pPr>
        <w:rPr>
          <w:rFonts w:hint="eastAsia" w:ascii="宋体" w:hAnsi="宋体" w:eastAsia="宋体" w:cs="宋体"/>
          <w:color w:val="auto"/>
          <w:highlight w:val="none"/>
        </w:rPr>
      </w:pPr>
    </w:p>
    <w:p w14:paraId="693D8329">
      <w:pPr>
        <w:spacing w:line="360" w:lineRule="auto"/>
        <w:jc w:val="center"/>
        <w:rPr>
          <w:rFonts w:hint="eastAsia" w:ascii="宋体" w:hAnsi="宋体" w:eastAsia="宋体" w:cs="宋体"/>
          <w:color w:val="auto"/>
          <w:w w:val="90"/>
          <w:sz w:val="72"/>
          <w:szCs w:val="52"/>
          <w:highlight w:val="none"/>
        </w:rPr>
      </w:pPr>
      <w:r>
        <w:rPr>
          <w:rFonts w:hint="eastAsia" w:ascii="宋体" w:hAnsi="宋体" w:eastAsia="宋体" w:cs="宋体"/>
          <w:color w:val="auto"/>
          <w:w w:val="90"/>
          <w:sz w:val="72"/>
          <w:szCs w:val="52"/>
          <w:highlight w:val="none"/>
        </w:rPr>
        <w:t>建设工程造价咨询合同</w:t>
      </w:r>
    </w:p>
    <w:p w14:paraId="189065E5">
      <w:pPr>
        <w:jc w:val="center"/>
        <w:rPr>
          <w:rFonts w:hint="eastAsia" w:ascii="宋体" w:hAnsi="宋体" w:eastAsia="宋体" w:cs="宋体"/>
          <w:color w:val="auto"/>
          <w:sz w:val="52"/>
          <w:szCs w:val="52"/>
          <w:highlight w:val="none"/>
        </w:rPr>
      </w:pPr>
      <w:r>
        <w:rPr>
          <w:rFonts w:hint="eastAsia" w:ascii="宋体" w:hAnsi="宋体" w:eastAsia="宋体" w:cs="宋体"/>
          <w:color w:val="auto"/>
          <w:sz w:val="52"/>
          <w:szCs w:val="52"/>
          <w:highlight w:val="none"/>
        </w:rPr>
        <w:t>（结算审计复核）</w:t>
      </w:r>
    </w:p>
    <w:p w14:paraId="4EA17EE1">
      <w:pPr>
        <w:jc w:val="center"/>
        <w:rPr>
          <w:rFonts w:hint="eastAsia" w:ascii="宋体" w:hAnsi="宋体" w:eastAsia="宋体" w:cs="宋体"/>
          <w:color w:val="auto"/>
          <w:sz w:val="72"/>
          <w:szCs w:val="72"/>
          <w:highlight w:val="none"/>
        </w:rPr>
      </w:pPr>
    </w:p>
    <w:p w14:paraId="1B2783B7">
      <w:pPr>
        <w:jc w:val="center"/>
        <w:rPr>
          <w:rFonts w:hint="eastAsia" w:ascii="宋体" w:hAnsi="宋体" w:eastAsia="宋体" w:cs="宋体"/>
          <w:color w:val="auto"/>
          <w:sz w:val="72"/>
          <w:szCs w:val="72"/>
          <w:highlight w:val="none"/>
        </w:rPr>
      </w:pPr>
    </w:p>
    <w:p w14:paraId="759B9A9B">
      <w:pPr>
        <w:jc w:val="center"/>
        <w:rPr>
          <w:rFonts w:hint="eastAsia" w:ascii="宋体" w:hAnsi="宋体" w:eastAsia="宋体" w:cs="宋体"/>
          <w:color w:val="auto"/>
          <w:sz w:val="72"/>
          <w:szCs w:val="72"/>
          <w:highlight w:val="none"/>
        </w:rPr>
      </w:pPr>
    </w:p>
    <w:p w14:paraId="16FD3861">
      <w:pPr>
        <w:pStyle w:val="2"/>
        <w:rPr>
          <w:rFonts w:hint="eastAsia" w:ascii="宋体" w:hAnsi="宋体" w:eastAsia="宋体" w:cs="宋体"/>
          <w:color w:val="auto"/>
          <w:highlight w:val="none"/>
        </w:rPr>
      </w:pPr>
    </w:p>
    <w:p w14:paraId="13EB1CA0">
      <w:pPr>
        <w:rPr>
          <w:rFonts w:hint="eastAsia" w:ascii="宋体" w:hAnsi="宋体" w:eastAsia="宋体" w:cs="宋体"/>
          <w:color w:val="auto"/>
          <w:highlight w:val="none"/>
        </w:rPr>
      </w:pPr>
    </w:p>
    <w:p w14:paraId="72C77FA6">
      <w:pPr>
        <w:spacing w:line="240" w:lineRule="exact"/>
        <w:jc w:val="center"/>
        <w:rPr>
          <w:rFonts w:hint="eastAsia" w:ascii="宋体" w:hAnsi="宋体" w:eastAsia="宋体" w:cs="宋体"/>
          <w:color w:val="auto"/>
          <w:sz w:val="72"/>
          <w:szCs w:val="72"/>
          <w:highlight w:val="none"/>
        </w:rPr>
      </w:pPr>
    </w:p>
    <w:p w14:paraId="13C424BC">
      <w:pPr>
        <w:spacing w:line="240" w:lineRule="exact"/>
        <w:jc w:val="center"/>
        <w:rPr>
          <w:rFonts w:hint="eastAsia" w:ascii="宋体" w:hAnsi="宋体" w:eastAsia="宋体" w:cs="宋体"/>
          <w:color w:val="auto"/>
          <w:sz w:val="72"/>
          <w:szCs w:val="72"/>
          <w:highlight w:val="none"/>
        </w:rPr>
      </w:pPr>
    </w:p>
    <w:p w14:paraId="6BD46474">
      <w:pPr>
        <w:spacing w:line="800" w:lineRule="exact"/>
        <w:rPr>
          <w:rFonts w:hint="eastAsia" w:ascii="宋体" w:hAnsi="宋体" w:eastAsia="宋体" w:cs="宋体"/>
          <w:color w:val="auto"/>
          <w:sz w:val="36"/>
          <w:szCs w:val="30"/>
          <w:highlight w:val="none"/>
          <w:u w:val="single"/>
        </w:rPr>
      </w:pPr>
      <w:r>
        <w:rPr>
          <w:rFonts w:hint="eastAsia" w:ascii="宋体" w:hAnsi="宋体" w:eastAsia="宋体" w:cs="宋体"/>
          <w:color w:val="auto"/>
          <w:sz w:val="36"/>
          <w:szCs w:val="30"/>
          <w:highlight w:val="none"/>
        </w:rPr>
        <w:t>委托单位：</w:t>
      </w:r>
      <w:r>
        <w:rPr>
          <w:rFonts w:hint="eastAsia" w:ascii="宋体" w:hAnsi="宋体" w:eastAsia="宋体" w:cs="宋体"/>
          <w:color w:val="auto"/>
          <w:sz w:val="36"/>
          <w:szCs w:val="30"/>
          <w:highlight w:val="none"/>
          <w:lang w:val="en-US" w:eastAsia="zh-CN"/>
        </w:rPr>
        <w:t>滁州市重点工程建设管理处</w:t>
      </w:r>
    </w:p>
    <w:p w14:paraId="008F8D69">
      <w:pPr>
        <w:spacing w:line="800" w:lineRule="exact"/>
        <w:rPr>
          <w:rFonts w:hint="eastAsia" w:ascii="宋体" w:hAnsi="宋体" w:eastAsia="宋体" w:cs="宋体"/>
          <w:color w:val="auto"/>
          <w:sz w:val="36"/>
          <w:szCs w:val="30"/>
          <w:highlight w:val="none"/>
          <w:u w:val="single"/>
          <w:lang w:eastAsia="zh-CN"/>
        </w:rPr>
      </w:pPr>
      <w:r>
        <w:rPr>
          <w:rFonts w:hint="eastAsia" w:ascii="宋体" w:hAnsi="宋体" w:eastAsia="宋体" w:cs="宋体"/>
          <w:color w:val="auto"/>
          <w:sz w:val="36"/>
          <w:szCs w:val="30"/>
          <w:highlight w:val="none"/>
        </w:rPr>
        <w:t>工程名称：</w:t>
      </w:r>
      <w:r>
        <w:rPr>
          <w:rFonts w:hint="eastAsia" w:ascii="宋体" w:hAnsi="宋体" w:cs="宋体"/>
          <w:color w:val="auto"/>
          <w:sz w:val="36"/>
          <w:szCs w:val="30"/>
          <w:highlight w:val="none"/>
          <w:lang w:val="en-US" w:eastAsia="zh-CN"/>
        </w:rPr>
        <w:t>滁城西片区排水综合整治工程二批次（二标段）结算复核服务</w:t>
      </w:r>
    </w:p>
    <w:p w14:paraId="0EB3D2B5">
      <w:pPr>
        <w:spacing w:line="800" w:lineRule="exact"/>
        <w:rPr>
          <w:rFonts w:hint="eastAsia" w:ascii="宋体" w:hAnsi="宋体" w:eastAsia="宋体" w:cs="宋体"/>
          <w:color w:val="auto"/>
          <w:sz w:val="36"/>
          <w:szCs w:val="30"/>
          <w:highlight w:val="none"/>
        </w:rPr>
      </w:pPr>
      <w:r>
        <w:rPr>
          <w:rFonts w:hint="eastAsia" w:ascii="宋体" w:hAnsi="宋体" w:eastAsia="宋体" w:cs="宋体"/>
          <w:color w:val="auto"/>
          <w:sz w:val="36"/>
          <w:szCs w:val="30"/>
          <w:highlight w:val="none"/>
        </w:rPr>
        <w:t>签订时间：</w:t>
      </w:r>
      <w:r>
        <w:rPr>
          <w:rFonts w:hint="eastAsia" w:ascii="宋体" w:hAnsi="宋体" w:eastAsia="宋体" w:cs="宋体"/>
          <w:color w:val="auto"/>
          <w:sz w:val="36"/>
          <w:szCs w:val="30"/>
          <w:highlight w:val="none"/>
          <w:u w:val="single"/>
        </w:rPr>
        <w:t xml:space="preserve"> 202</w:t>
      </w:r>
      <w:r>
        <w:rPr>
          <w:rFonts w:hint="eastAsia" w:ascii="宋体" w:hAnsi="宋体" w:cs="宋体"/>
          <w:color w:val="auto"/>
          <w:sz w:val="36"/>
          <w:szCs w:val="30"/>
          <w:highlight w:val="none"/>
          <w:u w:val="single"/>
          <w:lang w:val="en-US" w:eastAsia="zh-CN"/>
        </w:rPr>
        <w:t>5</w:t>
      </w:r>
      <w:r>
        <w:rPr>
          <w:rFonts w:hint="eastAsia" w:ascii="宋体" w:hAnsi="宋体" w:eastAsia="宋体" w:cs="宋体"/>
          <w:color w:val="auto"/>
          <w:sz w:val="36"/>
          <w:szCs w:val="30"/>
          <w:highlight w:val="none"/>
        </w:rPr>
        <w:t>年</w:t>
      </w:r>
      <w:r>
        <w:rPr>
          <w:rFonts w:hint="eastAsia" w:ascii="宋体" w:hAnsi="宋体" w:eastAsia="宋体" w:cs="宋体"/>
          <w:color w:val="auto"/>
          <w:sz w:val="36"/>
          <w:szCs w:val="30"/>
          <w:highlight w:val="none"/>
          <w:u w:val="single"/>
        </w:rPr>
        <w:t xml:space="preserve">      </w:t>
      </w:r>
      <w:r>
        <w:rPr>
          <w:rFonts w:hint="eastAsia" w:ascii="宋体" w:hAnsi="宋体" w:eastAsia="宋体" w:cs="宋体"/>
          <w:color w:val="auto"/>
          <w:sz w:val="36"/>
          <w:szCs w:val="30"/>
          <w:highlight w:val="none"/>
        </w:rPr>
        <w:t>月</w:t>
      </w:r>
      <w:r>
        <w:rPr>
          <w:rFonts w:hint="eastAsia" w:ascii="宋体" w:hAnsi="宋体" w:eastAsia="宋体" w:cs="宋体"/>
          <w:color w:val="auto"/>
          <w:sz w:val="36"/>
          <w:szCs w:val="30"/>
          <w:highlight w:val="none"/>
          <w:u w:val="single"/>
        </w:rPr>
        <w:t xml:space="preserve">      </w:t>
      </w:r>
      <w:r>
        <w:rPr>
          <w:rFonts w:hint="eastAsia" w:ascii="宋体" w:hAnsi="宋体" w:eastAsia="宋体" w:cs="宋体"/>
          <w:color w:val="auto"/>
          <w:sz w:val="36"/>
          <w:szCs w:val="30"/>
          <w:highlight w:val="none"/>
        </w:rPr>
        <w:t>日</w:t>
      </w:r>
    </w:p>
    <w:p w14:paraId="10A6F23C">
      <w:pPr>
        <w:pStyle w:val="2"/>
        <w:rPr>
          <w:rFonts w:hint="eastAsia" w:ascii="宋体" w:hAnsi="宋体" w:eastAsia="宋体" w:cs="宋体"/>
          <w:color w:val="auto"/>
          <w:highlight w:val="none"/>
        </w:rPr>
      </w:pPr>
    </w:p>
    <w:p w14:paraId="563F2715">
      <w:pPr>
        <w:pStyle w:val="2"/>
        <w:rPr>
          <w:rFonts w:hint="eastAsia" w:ascii="宋体" w:hAnsi="宋体" w:eastAsia="宋体" w:cs="宋体"/>
          <w:color w:val="auto"/>
          <w:highlight w:val="none"/>
        </w:rPr>
      </w:pPr>
    </w:p>
    <w:p w14:paraId="1E562EAA">
      <w:pPr>
        <w:pStyle w:val="6"/>
        <w:keepNext/>
        <w:keepLines/>
        <w:pageBreakBefore/>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color w:val="auto"/>
          <w:sz w:val="44"/>
          <w:highlight w:val="none"/>
        </w:rPr>
      </w:pPr>
      <w:r>
        <w:rPr>
          <w:rFonts w:hint="eastAsia" w:ascii="宋体" w:hAnsi="宋体" w:eastAsia="宋体" w:cs="宋体"/>
          <w:b/>
          <w:color w:val="auto"/>
          <w:sz w:val="44"/>
          <w:highlight w:val="none"/>
        </w:rPr>
        <w:t>结算审计复核委托协议</w:t>
      </w:r>
    </w:p>
    <w:p w14:paraId="15C5F011">
      <w:pPr>
        <w:adjustRightInd w:val="0"/>
        <w:snapToGrid w:val="0"/>
        <w:jc w:val="left"/>
        <w:rPr>
          <w:rFonts w:hint="eastAsia" w:ascii="宋体" w:hAnsi="宋体" w:eastAsia="宋体" w:cs="宋体"/>
          <w:color w:val="auto"/>
          <w:sz w:val="18"/>
          <w:szCs w:val="18"/>
          <w:highlight w:val="none"/>
        </w:rPr>
      </w:pPr>
    </w:p>
    <w:p w14:paraId="3F2FCB2A">
      <w:pPr>
        <w:adjustRightInd w:val="0"/>
        <w:snapToGrid w:val="0"/>
        <w:spacing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委托人（全称）：</w:t>
      </w:r>
      <w:r>
        <w:rPr>
          <w:rFonts w:hint="eastAsia" w:ascii="宋体" w:hAnsi="宋体" w:eastAsia="宋体" w:cs="宋体"/>
          <w:color w:val="auto"/>
          <w:sz w:val="28"/>
          <w:szCs w:val="28"/>
          <w:highlight w:val="none"/>
          <w:lang w:val="en-US" w:eastAsia="zh-CN"/>
        </w:rPr>
        <w:t>滁州市重点工程建设管理处</w:t>
      </w:r>
      <w:r>
        <w:rPr>
          <w:rFonts w:hint="eastAsia" w:ascii="宋体" w:hAnsi="宋体" w:eastAsia="宋体" w:cs="宋体"/>
          <w:color w:val="auto"/>
          <w:sz w:val="28"/>
          <w:szCs w:val="28"/>
          <w:highlight w:val="none"/>
        </w:rPr>
        <w:t xml:space="preserve"> </w:t>
      </w:r>
    </w:p>
    <w:p w14:paraId="4AC18DA2">
      <w:pPr>
        <w:adjustRightInd w:val="0"/>
        <w:snapToGrid w:val="0"/>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受托人（全称）：</w:t>
      </w:r>
      <w:r>
        <w:rPr>
          <w:rFonts w:hint="eastAsia" w:ascii="宋体" w:hAnsi="宋体" w:eastAsia="宋体" w:cs="宋体"/>
          <w:color w:val="auto"/>
          <w:sz w:val="28"/>
          <w:szCs w:val="28"/>
          <w:highlight w:val="none"/>
          <w:u w:val="none"/>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7402B6BA">
      <w:pPr>
        <w:ind w:firstLine="560" w:firstLineChars="200"/>
        <w:rPr>
          <w:rFonts w:hint="eastAsia" w:ascii="宋体" w:hAnsi="宋体" w:eastAsia="宋体" w:cs="宋体"/>
          <w:color w:val="auto"/>
          <w:sz w:val="28"/>
          <w:szCs w:val="28"/>
          <w:highlight w:val="none"/>
        </w:rPr>
      </w:pPr>
    </w:p>
    <w:p w14:paraId="374D1E89">
      <w:pPr>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为保证滁州市政府投资项目审计工作质量和效率，依据《中华人民共和国</w:t>
      </w:r>
      <w:r>
        <w:rPr>
          <w:rFonts w:hint="eastAsia" w:ascii="宋体" w:hAnsi="宋体" w:eastAsia="宋体" w:cs="宋体"/>
          <w:color w:val="auto"/>
          <w:sz w:val="28"/>
          <w:szCs w:val="28"/>
          <w:highlight w:val="none"/>
          <w:lang w:eastAsia="zh-CN"/>
        </w:rPr>
        <w:t>民法典</w:t>
      </w:r>
      <w:r>
        <w:rPr>
          <w:rFonts w:hint="eastAsia" w:ascii="宋体" w:hAnsi="宋体" w:eastAsia="宋体" w:cs="宋体"/>
          <w:color w:val="auto"/>
          <w:sz w:val="28"/>
          <w:szCs w:val="28"/>
          <w:highlight w:val="none"/>
        </w:rPr>
        <w:t>》等有关法律规定，遵循平等、自愿、公平和诚实信用的原则，双方就</w:t>
      </w:r>
      <w:r>
        <w:rPr>
          <w:rFonts w:hint="eastAsia" w:ascii="宋体" w:hAnsi="宋体" w:cs="宋体"/>
          <w:color w:val="auto"/>
          <w:sz w:val="28"/>
          <w:szCs w:val="28"/>
          <w:highlight w:val="none"/>
          <w:u w:val="single"/>
          <w:lang w:val="en-US" w:eastAsia="zh-CN"/>
        </w:rPr>
        <w:t xml:space="preserve"> 滁城西片区排水综合整治工程二批次（二标段）结算复核服务 </w:t>
      </w:r>
      <w:r>
        <w:rPr>
          <w:rFonts w:hint="eastAsia" w:ascii="宋体" w:hAnsi="宋体" w:eastAsia="宋体" w:cs="宋体"/>
          <w:color w:val="auto"/>
          <w:sz w:val="28"/>
          <w:szCs w:val="28"/>
          <w:highlight w:val="none"/>
        </w:rPr>
        <w:t>及有关事项协商一致，共同达成如下协议：</w:t>
      </w:r>
    </w:p>
    <w:p w14:paraId="1D6BB499">
      <w:pPr>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一、项目概况</w:t>
      </w:r>
    </w:p>
    <w:p w14:paraId="2CE4B9EA">
      <w:pPr>
        <w:ind w:firstLine="560" w:firstLineChars="200"/>
        <w:jc w:val="left"/>
        <w:rPr>
          <w:rFonts w:hint="eastAsia" w:ascii="宋体" w:hAnsi="宋体" w:eastAsia="宋体" w:cs="宋体"/>
          <w:color w:val="auto"/>
          <w:sz w:val="28"/>
          <w:szCs w:val="28"/>
          <w:highlight w:val="none"/>
          <w:u w:val="single"/>
          <w:lang w:val="en-US" w:eastAsia="zh-CN"/>
        </w:rPr>
      </w:pPr>
      <w:r>
        <w:rPr>
          <w:rFonts w:hint="eastAsia" w:ascii="宋体" w:hAnsi="宋体" w:eastAsia="宋体" w:cs="宋体"/>
          <w:bCs/>
          <w:color w:val="auto"/>
          <w:sz w:val="28"/>
          <w:szCs w:val="28"/>
          <w:highlight w:val="none"/>
        </w:rPr>
        <w:t>1、项目名称</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u w:val="single"/>
          <w:lang w:val="en-US" w:eastAsia="zh-CN"/>
        </w:rPr>
        <w:t>滁城西片区排水综合整治工程二批次（二标段）结算复核服务</w:t>
      </w:r>
    </w:p>
    <w:p w14:paraId="1BD8E276">
      <w:pPr>
        <w:ind w:firstLine="560" w:firstLineChars="200"/>
        <w:jc w:val="lef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2、项目造价</w:t>
      </w:r>
      <w:r>
        <w:rPr>
          <w:rFonts w:hint="eastAsia" w:ascii="宋体" w:hAnsi="宋体" w:eastAsia="宋体" w:cs="宋体"/>
          <w:bCs/>
          <w:color w:val="auto"/>
          <w:sz w:val="28"/>
          <w:szCs w:val="28"/>
          <w:highlight w:val="none"/>
        </w:rPr>
        <w:t>：</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none"/>
          <w:lang w:eastAsia="zh-CN"/>
        </w:rPr>
        <w:t>。</w:t>
      </w:r>
    </w:p>
    <w:p w14:paraId="356432EA">
      <w:pPr>
        <w:ind w:firstLine="560" w:firstLineChars="200"/>
        <w:jc w:val="left"/>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3、委托内容：</w:t>
      </w:r>
      <w:r>
        <w:rPr>
          <w:rFonts w:hint="eastAsia" w:ascii="宋体" w:hAnsi="宋体" w:eastAsia="宋体" w:cs="宋体"/>
          <w:color w:val="auto"/>
          <w:sz w:val="28"/>
          <w:szCs w:val="28"/>
          <w:highlight w:val="none"/>
          <w:u w:val="single"/>
        </w:rPr>
        <w:t>结算审计复核。</w:t>
      </w:r>
    </w:p>
    <w:p w14:paraId="753C4C67">
      <w:pPr>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二、项目结算复核人员配备</w:t>
      </w:r>
    </w:p>
    <w:p w14:paraId="5F823F2F">
      <w:pPr>
        <w:widowControl/>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项目组成人员要求：企业拟派的项目负责人：注册造价工程师（或一级造价师）1名；项目组成人员：</w:t>
      </w:r>
      <w:r>
        <w:rPr>
          <w:rFonts w:hint="eastAsia" w:ascii="宋体" w:hAnsi="宋体" w:eastAsia="宋体" w:cs="宋体"/>
          <w:color w:val="auto"/>
          <w:sz w:val="28"/>
          <w:szCs w:val="28"/>
          <w:highlight w:val="none"/>
          <w:lang w:val="en-US" w:eastAsia="zh-CN"/>
        </w:rPr>
        <w:t>二级及以上</w:t>
      </w:r>
      <w:r>
        <w:rPr>
          <w:rFonts w:hint="eastAsia" w:ascii="宋体" w:hAnsi="宋体" w:eastAsia="宋体" w:cs="宋体"/>
          <w:color w:val="auto"/>
          <w:sz w:val="28"/>
          <w:szCs w:val="28"/>
          <w:highlight w:val="none"/>
        </w:rPr>
        <w:t>注册造价工程师不少于</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名。</w:t>
      </w:r>
    </w:p>
    <w:p w14:paraId="5377CF51">
      <w:pPr>
        <w:widowControl/>
        <w:ind w:left="57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本项目结算复核人员为：</w:t>
      </w:r>
    </w:p>
    <w:p w14:paraId="1C039C48">
      <w:pPr>
        <w:widowControl/>
        <w:wordWrap w:val="0"/>
        <w:ind w:left="573"/>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项目负责人：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；身份证号：</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；证书编号：</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none"/>
          <w:lang w:eastAsia="zh-CN"/>
        </w:rPr>
        <w:t>。</w:t>
      </w:r>
      <w:r>
        <w:rPr>
          <w:rFonts w:hint="eastAsia" w:ascii="宋体" w:hAnsi="宋体" w:eastAsia="宋体" w:cs="宋体"/>
          <w:color w:val="auto"/>
          <w:sz w:val="28"/>
          <w:szCs w:val="28"/>
          <w:highlight w:val="none"/>
          <w:u w:val="single"/>
        </w:rPr>
        <w:t xml:space="preserve">  </w:t>
      </w:r>
    </w:p>
    <w:p w14:paraId="5CA34A8E">
      <w:pPr>
        <w:widowControl/>
        <w:wordWrap w:val="0"/>
        <w:ind w:left="573"/>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项目组成人员：</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；身份证号：</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；证书编号：</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none"/>
          <w:lang w:eastAsia="zh-CN"/>
        </w:rPr>
        <w:t>。</w:t>
      </w:r>
      <w:r>
        <w:rPr>
          <w:rFonts w:hint="eastAsia" w:ascii="宋体" w:hAnsi="宋体" w:eastAsia="宋体" w:cs="宋体"/>
          <w:color w:val="auto"/>
          <w:sz w:val="28"/>
          <w:szCs w:val="28"/>
          <w:highlight w:val="none"/>
          <w:u w:val="single"/>
        </w:rPr>
        <w:t xml:space="preserve">  </w:t>
      </w:r>
    </w:p>
    <w:p w14:paraId="12514649">
      <w:pPr>
        <w:widowControl/>
        <w:wordWrap w:val="0"/>
        <w:ind w:left="573"/>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项目组成人员：</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；身份证号：</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；证书编号：</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none"/>
          <w:lang w:eastAsia="zh-CN"/>
        </w:rPr>
        <w:t>。</w:t>
      </w:r>
      <w:r>
        <w:rPr>
          <w:rFonts w:hint="eastAsia" w:ascii="宋体" w:hAnsi="宋体" w:eastAsia="宋体" w:cs="宋体"/>
          <w:color w:val="auto"/>
          <w:sz w:val="28"/>
          <w:szCs w:val="28"/>
          <w:highlight w:val="none"/>
          <w:u w:val="single"/>
        </w:rPr>
        <w:t xml:space="preserve">  </w:t>
      </w:r>
    </w:p>
    <w:p w14:paraId="02BBEC5A">
      <w:pPr>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三、咨询期限</w:t>
      </w:r>
    </w:p>
    <w:p w14:paraId="1EC3B369">
      <w:pPr>
        <w:spacing w:line="580" w:lineRule="exact"/>
        <w:ind w:firstLine="548" w:firstLineChars="196"/>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1、计划开始日期：</w:t>
      </w:r>
      <w:r>
        <w:rPr>
          <w:rFonts w:hint="eastAsia" w:ascii="宋体" w:hAnsi="宋体" w:eastAsia="宋体" w:cs="宋体"/>
          <w:bCs/>
          <w:color w:val="auto"/>
          <w:sz w:val="28"/>
          <w:szCs w:val="28"/>
          <w:highlight w:val="none"/>
          <w:u w:val="single"/>
        </w:rPr>
        <w:t xml:space="preserve">  202</w:t>
      </w:r>
      <w:r>
        <w:rPr>
          <w:rFonts w:hint="eastAsia" w:ascii="宋体" w:hAnsi="宋体" w:cs="宋体"/>
          <w:bCs/>
          <w:color w:val="auto"/>
          <w:sz w:val="28"/>
          <w:szCs w:val="28"/>
          <w:highlight w:val="none"/>
          <w:u w:val="single"/>
          <w:lang w:val="en-US" w:eastAsia="zh-CN"/>
        </w:rPr>
        <w:t>5</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年</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月</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日。</w:t>
      </w:r>
    </w:p>
    <w:p w14:paraId="6317D9E1">
      <w:pPr>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2、计划结束日期：</w:t>
      </w:r>
      <w:r>
        <w:rPr>
          <w:rFonts w:hint="eastAsia" w:ascii="宋体" w:hAnsi="宋体" w:eastAsia="宋体" w:cs="宋体"/>
          <w:bCs/>
          <w:color w:val="auto"/>
          <w:sz w:val="28"/>
          <w:szCs w:val="28"/>
          <w:highlight w:val="none"/>
          <w:u w:val="single"/>
        </w:rPr>
        <w:t xml:space="preserve">  202</w:t>
      </w:r>
      <w:r>
        <w:rPr>
          <w:rFonts w:hint="eastAsia" w:ascii="宋体" w:hAnsi="宋体" w:cs="宋体"/>
          <w:bCs/>
          <w:color w:val="auto"/>
          <w:sz w:val="28"/>
          <w:szCs w:val="28"/>
          <w:highlight w:val="none"/>
          <w:u w:val="single"/>
          <w:lang w:val="en-US" w:eastAsia="zh-CN"/>
        </w:rPr>
        <w:t>5</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年</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月</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日。</w:t>
      </w:r>
    </w:p>
    <w:p w14:paraId="74960F37">
      <w:pPr>
        <w:pStyle w:val="2"/>
        <w:ind w:left="0" w:leftChars="0" w:firstLine="6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3、结算复核时限要求：</w:t>
      </w:r>
    </w:p>
    <w:p w14:paraId="23EF67D1">
      <w:pPr>
        <w:pStyle w:val="2"/>
        <w:ind w:left="0" w:leftChars="0" w:firstLine="6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在施工单位报送的项目结算资料完整后的</w:t>
      </w:r>
      <w:r>
        <w:rPr>
          <w:rFonts w:hint="eastAsia" w:ascii="宋体" w:hAnsi="宋体" w:eastAsia="宋体" w:cs="宋体"/>
          <w:color w:val="auto"/>
          <w:sz w:val="28"/>
          <w:szCs w:val="28"/>
          <w:highlight w:val="none"/>
          <w:lang w:val="en-US" w:eastAsia="zh-CN"/>
        </w:rPr>
        <w:t>10</w:t>
      </w:r>
      <w:r>
        <w:rPr>
          <w:rFonts w:hint="eastAsia" w:ascii="宋体" w:hAnsi="宋体" w:eastAsia="宋体" w:cs="宋体"/>
          <w:color w:val="auto"/>
          <w:sz w:val="28"/>
          <w:szCs w:val="28"/>
          <w:highlight w:val="none"/>
          <w:lang w:eastAsia="zh-CN"/>
        </w:rPr>
        <w:t>日</w:t>
      </w:r>
      <w:r>
        <w:rPr>
          <w:rFonts w:hint="eastAsia" w:ascii="宋体" w:hAnsi="宋体" w:eastAsia="宋体" w:cs="宋体"/>
          <w:color w:val="auto"/>
          <w:sz w:val="28"/>
          <w:szCs w:val="28"/>
          <w:highlight w:val="none"/>
          <w:lang w:val="en-US" w:eastAsia="zh-CN"/>
        </w:rPr>
        <w:t>内</w:t>
      </w:r>
      <w:r>
        <w:rPr>
          <w:rFonts w:hint="eastAsia" w:ascii="宋体" w:hAnsi="宋体" w:eastAsia="宋体" w:cs="宋体"/>
          <w:color w:val="auto"/>
          <w:sz w:val="28"/>
          <w:szCs w:val="28"/>
          <w:highlight w:val="none"/>
          <w:lang w:eastAsia="zh-CN"/>
        </w:rPr>
        <w:t>完成，并出具审核报告。</w:t>
      </w:r>
    </w:p>
    <w:p w14:paraId="47AB2734">
      <w:pPr>
        <w:pStyle w:val="2"/>
        <w:ind w:left="0" w:leftChars="0" w:firstLine="6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满足关于印发《工程造价咨询服务管理办法》的通知（滁重〔2022〕55号）规定第十七条和第十八条要求</w:t>
      </w:r>
      <w:r>
        <w:rPr>
          <w:rFonts w:hint="eastAsia" w:ascii="宋体" w:hAnsi="宋体" w:eastAsia="宋体" w:cs="宋体"/>
          <w:color w:val="auto"/>
          <w:sz w:val="28"/>
          <w:szCs w:val="28"/>
          <w:highlight w:val="none"/>
        </w:rPr>
        <w:t>。</w:t>
      </w:r>
    </w:p>
    <w:p w14:paraId="5F248DCD">
      <w:pPr>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四、质量标准</w:t>
      </w:r>
    </w:p>
    <w:p w14:paraId="1FD0EAFC">
      <w:pPr>
        <w:ind w:firstLine="560" w:firstLineChars="20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受托人出具的工程造价咨询成果文件质量应符合现行国家或行业工程计价有关规定、标准、规范的要求。（包括但不限于《建设工程工程量清单计价规范》（GB 50500-2013）、《工程造价术语标准》（GB/T 50875-2013）、《建设工程造价咨询成果文件质量标准》（CECA/GC 7-2012））等等）。</w:t>
      </w:r>
    </w:p>
    <w:p w14:paraId="2EDA499F">
      <w:pPr>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五、咨询酬金 </w:t>
      </w:r>
    </w:p>
    <w:tbl>
      <w:tblPr>
        <w:tblStyle w:val="45"/>
        <w:tblW w:w="0" w:type="auto"/>
        <w:jc w:val="center"/>
        <w:tblLayout w:type="fixed"/>
        <w:tblCellMar>
          <w:top w:w="0" w:type="dxa"/>
          <w:left w:w="108" w:type="dxa"/>
          <w:bottom w:w="0" w:type="dxa"/>
          <w:right w:w="108" w:type="dxa"/>
        </w:tblCellMar>
      </w:tblPr>
      <w:tblGrid>
        <w:gridCol w:w="3705"/>
        <w:gridCol w:w="2280"/>
        <w:gridCol w:w="2340"/>
      </w:tblGrid>
      <w:tr w14:paraId="41EE2414">
        <w:tblPrEx>
          <w:tblCellMar>
            <w:top w:w="0" w:type="dxa"/>
            <w:left w:w="108" w:type="dxa"/>
            <w:bottom w:w="0" w:type="dxa"/>
            <w:right w:w="108" w:type="dxa"/>
          </w:tblCellMar>
        </w:tblPrEx>
        <w:trPr>
          <w:trHeight w:val="435" w:hRule="atLeast"/>
          <w:jc w:val="center"/>
        </w:trPr>
        <w:tc>
          <w:tcPr>
            <w:tcW w:w="3705" w:type="dxa"/>
            <w:tcBorders>
              <w:top w:val="single" w:color="auto" w:sz="4" w:space="0"/>
              <w:left w:val="single" w:color="auto" w:sz="4" w:space="0"/>
              <w:bottom w:val="single" w:color="auto" w:sz="4" w:space="0"/>
              <w:right w:val="single" w:color="auto" w:sz="4" w:space="0"/>
            </w:tcBorders>
            <w:noWrap w:val="0"/>
            <w:vAlign w:val="center"/>
          </w:tcPr>
          <w:p w14:paraId="3D0D602F">
            <w:pPr>
              <w:keepNext w:val="0"/>
              <w:keepLines w:val="0"/>
              <w:pageBreakBefore w:val="0"/>
              <w:widowControl/>
              <w:kinsoku/>
              <w:wordWrap/>
              <w:overflowPunct/>
              <w:topLinePunct w:val="0"/>
              <w:autoSpaceDE/>
              <w:autoSpaceDN/>
              <w:bidi w:val="0"/>
              <w:adjustRightInd/>
              <w:spacing w:line="600" w:lineRule="exact"/>
              <w:ind w:left="0" w:leftChars="0"/>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工程造价金额（万元）</w:t>
            </w:r>
          </w:p>
        </w:tc>
        <w:tc>
          <w:tcPr>
            <w:tcW w:w="2280" w:type="dxa"/>
            <w:tcBorders>
              <w:top w:val="single" w:color="auto" w:sz="4" w:space="0"/>
              <w:left w:val="nil"/>
              <w:bottom w:val="single" w:color="auto" w:sz="4" w:space="0"/>
              <w:right w:val="single" w:color="auto" w:sz="4" w:space="0"/>
            </w:tcBorders>
            <w:noWrap w:val="0"/>
            <w:vAlign w:val="center"/>
          </w:tcPr>
          <w:p w14:paraId="736D8FAD">
            <w:pPr>
              <w:keepNext w:val="0"/>
              <w:keepLines w:val="0"/>
              <w:pageBreakBefore w:val="0"/>
              <w:widowControl/>
              <w:kinsoku/>
              <w:wordWrap/>
              <w:overflowPunct/>
              <w:topLinePunct w:val="0"/>
              <w:autoSpaceDE/>
              <w:autoSpaceDN/>
              <w:bidi w:val="0"/>
              <w:adjustRightInd/>
              <w:spacing w:line="600" w:lineRule="exact"/>
              <w:textAlignment w:val="auto"/>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kern w:val="0"/>
                <w:sz w:val="28"/>
                <w:szCs w:val="28"/>
                <w:highlight w:val="none"/>
              </w:rPr>
              <w:t>基本费</w:t>
            </w:r>
            <w:r>
              <w:rPr>
                <w:rFonts w:hint="eastAsia" w:ascii="宋体" w:hAnsi="宋体" w:eastAsia="宋体" w:cs="宋体"/>
                <w:color w:val="auto"/>
                <w:kern w:val="0"/>
                <w:sz w:val="28"/>
                <w:szCs w:val="28"/>
                <w:highlight w:val="none"/>
                <w:lang w:eastAsia="zh-CN"/>
              </w:rPr>
              <w:t>（</w:t>
            </w:r>
            <w:r>
              <w:rPr>
                <w:rFonts w:hint="eastAsia" w:ascii="宋体" w:hAnsi="宋体" w:eastAsia="宋体" w:cs="宋体"/>
                <w:color w:val="auto"/>
                <w:kern w:val="0"/>
                <w:sz w:val="28"/>
                <w:szCs w:val="28"/>
                <w:highlight w:val="none"/>
              </w:rPr>
              <w:t>元</w:t>
            </w:r>
            <w:r>
              <w:rPr>
                <w:rFonts w:hint="eastAsia" w:ascii="宋体" w:hAnsi="宋体" w:eastAsia="宋体" w:cs="宋体"/>
                <w:color w:val="auto"/>
                <w:kern w:val="0"/>
                <w:sz w:val="28"/>
                <w:szCs w:val="28"/>
                <w:highlight w:val="none"/>
                <w:lang w:eastAsia="zh-CN"/>
              </w:rPr>
              <w:t>）</w:t>
            </w:r>
          </w:p>
        </w:tc>
        <w:tc>
          <w:tcPr>
            <w:tcW w:w="2340" w:type="dxa"/>
            <w:tcBorders>
              <w:top w:val="single" w:color="auto" w:sz="4" w:space="0"/>
              <w:left w:val="nil"/>
              <w:bottom w:val="single" w:color="auto" w:sz="4" w:space="0"/>
              <w:right w:val="single" w:color="auto" w:sz="4" w:space="0"/>
            </w:tcBorders>
            <w:noWrap w:val="0"/>
            <w:vAlign w:val="center"/>
          </w:tcPr>
          <w:p w14:paraId="3C0870F7">
            <w:pPr>
              <w:keepNext w:val="0"/>
              <w:keepLines w:val="0"/>
              <w:pageBreakBefore w:val="0"/>
              <w:widowControl/>
              <w:kinsoku/>
              <w:wordWrap/>
              <w:overflowPunct/>
              <w:topLinePunct w:val="0"/>
              <w:autoSpaceDE/>
              <w:autoSpaceDN/>
              <w:bidi w:val="0"/>
              <w:adjustRightInd/>
              <w:spacing w:line="600" w:lineRule="exact"/>
              <w:ind w:left="0" w:leftChars="0" w:firstLine="280" w:firstLineChars="100"/>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rPr>
              <w:t>审核成果费</w:t>
            </w:r>
            <w:r>
              <w:rPr>
                <w:rFonts w:hint="eastAsia" w:ascii="宋体" w:hAnsi="宋体" w:eastAsia="宋体" w:cs="宋体"/>
                <w:color w:val="auto"/>
                <w:kern w:val="0"/>
                <w:sz w:val="28"/>
                <w:szCs w:val="28"/>
                <w:highlight w:val="none"/>
                <w:lang w:val="en-US" w:eastAsia="zh-CN"/>
              </w:rPr>
              <w:t>率</w:t>
            </w:r>
          </w:p>
        </w:tc>
      </w:tr>
      <w:tr w14:paraId="09FFB09A">
        <w:tblPrEx>
          <w:tblCellMar>
            <w:top w:w="0" w:type="dxa"/>
            <w:left w:w="108" w:type="dxa"/>
            <w:bottom w:w="0" w:type="dxa"/>
            <w:right w:w="108" w:type="dxa"/>
          </w:tblCellMar>
        </w:tblPrEx>
        <w:trPr>
          <w:trHeight w:val="430" w:hRule="atLeast"/>
          <w:jc w:val="center"/>
        </w:trPr>
        <w:tc>
          <w:tcPr>
            <w:tcW w:w="3705" w:type="dxa"/>
            <w:tcBorders>
              <w:top w:val="nil"/>
              <w:left w:val="single" w:color="auto" w:sz="4" w:space="0"/>
              <w:bottom w:val="single" w:color="auto" w:sz="4" w:space="0"/>
              <w:right w:val="single" w:color="auto" w:sz="4" w:space="0"/>
            </w:tcBorders>
            <w:noWrap w:val="0"/>
            <w:vAlign w:val="center"/>
          </w:tcPr>
          <w:p w14:paraId="0CDF944F">
            <w:pPr>
              <w:keepNext w:val="0"/>
              <w:keepLines w:val="0"/>
              <w:pageBreakBefore w:val="0"/>
              <w:widowControl/>
              <w:kinsoku/>
              <w:wordWrap/>
              <w:overflowPunct/>
              <w:topLinePunct w:val="0"/>
              <w:autoSpaceDE/>
              <w:autoSpaceDN/>
              <w:bidi w:val="0"/>
              <w:adjustRightInd/>
              <w:spacing w:line="600" w:lineRule="exact"/>
              <w:ind w:left="0" w:leftChars="0"/>
              <w:jc w:val="center"/>
              <w:textAlignment w:val="auto"/>
              <w:rPr>
                <w:rFonts w:hint="eastAsia" w:ascii="宋体" w:hAnsi="宋体" w:eastAsia="宋体" w:cs="宋体"/>
                <w:color w:val="auto"/>
                <w:kern w:val="0"/>
                <w:sz w:val="28"/>
                <w:szCs w:val="28"/>
                <w:highlight w:val="none"/>
              </w:rPr>
            </w:pPr>
          </w:p>
        </w:tc>
        <w:tc>
          <w:tcPr>
            <w:tcW w:w="2280" w:type="dxa"/>
            <w:tcBorders>
              <w:top w:val="nil"/>
              <w:left w:val="nil"/>
              <w:bottom w:val="single" w:color="auto" w:sz="4" w:space="0"/>
              <w:right w:val="single" w:color="auto" w:sz="4" w:space="0"/>
            </w:tcBorders>
            <w:noWrap w:val="0"/>
            <w:vAlign w:val="center"/>
          </w:tcPr>
          <w:p w14:paraId="17D1D8D8">
            <w:pPr>
              <w:keepNext w:val="0"/>
              <w:keepLines w:val="0"/>
              <w:pageBreakBefore w:val="0"/>
              <w:widowControl/>
              <w:kinsoku/>
              <w:wordWrap/>
              <w:overflowPunct/>
              <w:topLinePunct w:val="0"/>
              <w:autoSpaceDE/>
              <w:autoSpaceDN/>
              <w:bidi w:val="0"/>
              <w:adjustRightInd/>
              <w:spacing w:line="600" w:lineRule="exact"/>
              <w:ind w:left="0" w:leftChars="0"/>
              <w:jc w:val="center"/>
              <w:textAlignment w:val="auto"/>
              <w:rPr>
                <w:rFonts w:hint="eastAsia" w:ascii="宋体" w:hAnsi="宋体" w:eastAsia="宋体" w:cs="宋体"/>
                <w:color w:val="auto"/>
                <w:kern w:val="0"/>
                <w:sz w:val="28"/>
                <w:szCs w:val="28"/>
                <w:highlight w:val="none"/>
              </w:rPr>
            </w:pPr>
          </w:p>
        </w:tc>
        <w:tc>
          <w:tcPr>
            <w:tcW w:w="2340" w:type="dxa"/>
            <w:tcBorders>
              <w:top w:val="nil"/>
              <w:left w:val="nil"/>
              <w:bottom w:val="single" w:color="auto" w:sz="4" w:space="0"/>
              <w:right w:val="single" w:color="auto" w:sz="4" w:space="0"/>
            </w:tcBorders>
            <w:noWrap w:val="0"/>
            <w:vAlign w:val="center"/>
          </w:tcPr>
          <w:p w14:paraId="2D1FF148">
            <w:pPr>
              <w:keepNext w:val="0"/>
              <w:keepLines w:val="0"/>
              <w:pageBreakBefore w:val="0"/>
              <w:widowControl/>
              <w:kinsoku/>
              <w:wordWrap/>
              <w:overflowPunct/>
              <w:topLinePunct w:val="0"/>
              <w:autoSpaceDE/>
              <w:autoSpaceDN/>
              <w:bidi w:val="0"/>
              <w:adjustRightInd/>
              <w:spacing w:line="600" w:lineRule="exact"/>
              <w:ind w:left="0" w:leftChars="0"/>
              <w:jc w:val="center"/>
              <w:textAlignment w:val="auto"/>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4</w:t>
            </w:r>
            <w:r>
              <w:rPr>
                <w:rFonts w:hint="eastAsia" w:ascii="宋体" w:hAnsi="宋体" w:eastAsia="宋体" w:cs="宋体"/>
                <w:b/>
                <w:bCs/>
                <w:color w:val="auto"/>
                <w:kern w:val="0"/>
                <w:sz w:val="28"/>
                <w:szCs w:val="28"/>
                <w:highlight w:val="none"/>
              </w:rPr>
              <w:t>%</w:t>
            </w:r>
          </w:p>
        </w:tc>
      </w:tr>
    </w:tbl>
    <w:p w14:paraId="4DF8A5A3">
      <w:pPr>
        <w:keepNext w:val="0"/>
        <w:keepLines w:val="0"/>
        <w:pageBreakBefore w:val="0"/>
        <w:kinsoku/>
        <w:wordWrap/>
        <w:overflowPunct/>
        <w:topLinePunct w:val="0"/>
        <w:autoSpaceDE/>
        <w:autoSpaceDN/>
        <w:bidi w:val="0"/>
        <w:adjustRightInd/>
        <w:spacing w:line="600" w:lineRule="exact"/>
        <w:ind w:left="0" w:leftChars="0"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注：</w:t>
      </w:r>
      <w:r>
        <w:rPr>
          <w:rFonts w:hint="eastAsia" w:ascii="宋体" w:hAnsi="宋体" w:eastAsia="宋体" w:cs="宋体"/>
          <w:color w:val="auto"/>
          <w:sz w:val="28"/>
          <w:szCs w:val="28"/>
          <w:highlight w:val="none"/>
          <w:lang w:val="en-US" w:eastAsia="zh-CN"/>
        </w:rPr>
        <w:t xml:space="preserve">1. </w:t>
      </w:r>
      <w:r>
        <w:rPr>
          <w:rFonts w:hint="eastAsia" w:ascii="宋体" w:hAnsi="宋体" w:eastAsia="宋体" w:cs="宋体"/>
          <w:color w:val="auto"/>
          <w:sz w:val="28"/>
          <w:szCs w:val="28"/>
          <w:highlight w:val="none"/>
          <w:lang w:eastAsia="zh-CN"/>
        </w:rPr>
        <w:t>服务</w:t>
      </w:r>
      <w:r>
        <w:rPr>
          <w:rFonts w:hint="eastAsia" w:ascii="宋体" w:hAnsi="宋体" w:eastAsia="宋体" w:cs="宋体"/>
          <w:color w:val="auto"/>
          <w:sz w:val="28"/>
          <w:szCs w:val="28"/>
          <w:highlight w:val="none"/>
        </w:rPr>
        <w:t>费计算方式为：基本费+审核成果费。其中，审核成果费计算基数为</w:t>
      </w:r>
      <w:r>
        <w:rPr>
          <w:rFonts w:hint="eastAsia" w:ascii="宋体" w:hAnsi="宋体" w:eastAsia="宋体" w:cs="宋体"/>
          <w:color w:val="auto"/>
          <w:sz w:val="28"/>
          <w:szCs w:val="28"/>
          <w:highlight w:val="none"/>
          <w:lang w:eastAsia="zh-CN"/>
        </w:rPr>
        <w:t>独立</w:t>
      </w:r>
      <w:r>
        <w:rPr>
          <w:rFonts w:hint="eastAsia" w:ascii="宋体" w:hAnsi="宋体" w:eastAsia="宋体" w:cs="宋体"/>
          <w:color w:val="auto"/>
          <w:sz w:val="28"/>
          <w:szCs w:val="28"/>
          <w:highlight w:val="none"/>
        </w:rPr>
        <w:t>核减金额。</w:t>
      </w:r>
    </w:p>
    <w:p w14:paraId="0E32F42A">
      <w:pPr>
        <w:keepNext w:val="0"/>
        <w:keepLines w:val="0"/>
        <w:pageBreakBefore w:val="0"/>
        <w:numPr>
          <w:ilvl w:val="0"/>
          <w:numId w:val="0"/>
        </w:numPr>
        <w:kinsoku/>
        <w:wordWrap/>
        <w:overflowPunct/>
        <w:topLinePunct w:val="0"/>
        <w:autoSpaceDE/>
        <w:autoSpaceDN/>
        <w:bidi w:val="0"/>
        <w:adjustRightInd/>
        <w:spacing w:line="60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工程造价审减率超过</w:t>
      </w:r>
      <w:r>
        <w:rPr>
          <w:rFonts w:hint="eastAsia" w:ascii="宋体" w:hAnsi="宋体" w:eastAsia="宋体" w:cs="宋体"/>
          <w:b/>
          <w:bCs/>
          <w:color w:val="auto"/>
          <w:sz w:val="28"/>
          <w:szCs w:val="28"/>
          <w:highlight w:val="none"/>
          <w:lang w:val="en-US" w:eastAsia="zh-CN"/>
        </w:rPr>
        <w:t>3</w:t>
      </w:r>
      <w:r>
        <w:rPr>
          <w:rFonts w:hint="eastAsia" w:ascii="宋体" w:hAnsi="宋体" w:eastAsia="宋体" w:cs="宋体"/>
          <w:b/>
          <w:bCs/>
          <w:color w:val="auto"/>
          <w:sz w:val="28"/>
          <w:szCs w:val="28"/>
          <w:highlight w:val="none"/>
        </w:rPr>
        <w:t>%</w:t>
      </w:r>
      <w:r>
        <w:rPr>
          <w:rFonts w:hint="eastAsia" w:ascii="宋体" w:hAnsi="宋体" w:eastAsia="宋体" w:cs="宋体"/>
          <w:color w:val="auto"/>
          <w:sz w:val="28"/>
          <w:szCs w:val="28"/>
          <w:highlight w:val="none"/>
          <w:lang w:eastAsia="zh-CN"/>
        </w:rPr>
        <w:t>时</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将对施工单位进行处罚，处罚金额为</w:t>
      </w:r>
      <w:r>
        <w:rPr>
          <w:rFonts w:hint="eastAsia" w:ascii="宋体" w:hAnsi="宋体" w:eastAsia="宋体" w:cs="宋体"/>
          <w:color w:val="auto"/>
          <w:sz w:val="28"/>
          <w:szCs w:val="28"/>
          <w:highlight w:val="none"/>
        </w:rPr>
        <w:t>审减率</w:t>
      </w:r>
      <w:r>
        <w:rPr>
          <w:rFonts w:hint="eastAsia" w:ascii="宋体" w:hAnsi="宋体" w:eastAsia="宋体" w:cs="宋体"/>
          <w:color w:val="auto"/>
          <w:sz w:val="28"/>
          <w:szCs w:val="28"/>
          <w:highlight w:val="none"/>
          <w:lang w:eastAsia="zh-CN"/>
        </w:rPr>
        <w:t>超出</w:t>
      </w:r>
      <w:r>
        <w:rPr>
          <w:rFonts w:hint="eastAsia" w:ascii="宋体" w:hAnsi="宋体" w:eastAsia="宋体" w:cs="宋体"/>
          <w:b/>
          <w:bCs/>
          <w:color w:val="auto"/>
          <w:sz w:val="28"/>
          <w:szCs w:val="28"/>
          <w:highlight w:val="none"/>
          <w:lang w:val="en-US" w:eastAsia="zh-CN"/>
        </w:rPr>
        <w:t>3%</w:t>
      </w:r>
      <w:r>
        <w:rPr>
          <w:rFonts w:hint="eastAsia" w:ascii="宋体" w:hAnsi="宋体" w:eastAsia="宋体" w:cs="宋体"/>
          <w:color w:val="auto"/>
          <w:sz w:val="28"/>
          <w:szCs w:val="28"/>
          <w:highlight w:val="none"/>
          <w:lang w:val="en-US" w:eastAsia="zh-CN"/>
        </w:rPr>
        <w:t>以上的报送金额的</w:t>
      </w:r>
      <w:r>
        <w:rPr>
          <w:rFonts w:hint="eastAsia" w:ascii="宋体" w:hAnsi="宋体" w:eastAsia="宋体" w:cs="宋体"/>
          <w:b/>
          <w:bCs/>
          <w:color w:val="auto"/>
          <w:sz w:val="28"/>
          <w:szCs w:val="28"/>
          <w:highlight w:val="none"/>
          <w:lang w:val="en-US" w:eastAsia="zh-CN"/>
        </w:rPr>
        <w:t>6%</w:t>
      </w:r>
      <w:r>
        <w:rPr>
          <w:rFonts w:hint="eastAsia" w:ascii="宋体" w:hAnsi="宋体" w:eastAsia="宋体" w:cs="宋体"/>
          <w:color w:val="auto"/>
          <w:sz w:val="28"/>
          <w:szCs w:val="28"/>
          <w:highlight w:val="none"/>
          <w:lang w:val="en-US" w:eastAsia="zh-CN"/>
        </w:rPr>
        <w:t>,</w:t>
      </w:r>
      <w:r>
        <w:rPr>
          <w:rFonts w:hint="eastAsia" w:ascii="宋体" w:hAnsi="宋体" w:eastAsia="宋体" w:cs="宋体"/>
          <w:b w:val="0"/>
          <w:bCs w:val="0"/>
          <w:color w:val="auto"/>
          <w:sz w:val="28"/>
          <w:szCs w:val="28"/>
          <w:highlight w:val="none"/>
          <w:lang w:val="en-US" w:eastAsia="zh-CN"/>
        </w:rPr>
        <w:t>由综合计划科在定案时明确处罚金额报工程监管科落实处罚</w:t>
      </w:r>
      <w:r>
        <w:rPr>
          <w:rFonts w:hint="eastAsia" w:ascii="宋体" w:hAnsi="宋体" w:eastAsia="宋体" w:cs="宋体"/>
          <w:b w:val="0"/>
          <w:bCs w:val="0"/>
          <w:color w:val="auto"/>
          <w:sz w:val="28"/>
          <w:szCs w:val="28"/>
          <w:highlight w:val="none"/>
        </w:rPr>
        <w:t>。</w:t>
      </w:r>
    </w:p>
    <w:p w14:paraId="2C03AEA1">
      <w:pPr>
        <w:ind w:firstLine="562" w:firstLineChars="200"/>
        <w:rPr>
          <w:rFonts w:hint="eastAsia" w:ascii="宋体" w:hAnsi="宋体" w:eastAsia="宋体" w:cs="宋体"/>
          <w:color w:val="auto"/>
          <w:sz w:val="28"/>
          <w:szCs w:val="28"/>
          <w:highlight w:val="none"/>
        </w:rPr>
      </w:pPr>
      <w:r>
        <w:rPr>
          <w:rFonts w:hint="eastAsia" w:ascii="宋体" w:hAnsi="宋体" w:eastAsia="宋体" w:cs="宋体"/>
          <w:b/>
          <w:bCs/>
          <w:color w:val="auto"/>
          <w:kern w:val="2"/>
          <w:sz w:val="28"/>
          <w:szCs w:val="28"/>
          <w:highlight w:val="none"/>
          <w:lang w:val="en-US" w:eastAsia="zh-CN" w:bidi="ar-SA"/>
        </w:rPr>
        <w:t>付款方式：出具审核报告，交付</w:t>
      </w:r>
      <w:r>
        <w:rPr>
          <w:rFonts w:hint="eastAsia" w:ascii="宋体" w:hAnsi="宋体" w:cs="宋体"/>
          <w:b/>
          <w:bCs/>
          <w:color w:val="auto"/>
          <w:kern w:val="2"/>
          <w:sz w:val="28"/>
          <w:szCs w:val="28"/>
          <w:highlight w:val="none"/>
          <w:lang w:val="en-US" w:eastAsia="zh-CN" w:bidi="ar-SA"/>
        </w:rPr>
        <w:t>委托人</w:t>
      </w:r>
      <w:r>
        <w:rPr>
          <w:rFonts w:hint="eastAsia" w:ascii="宋体" w:hAnsi="宋体" w:eastAsia="宋体" w:cs="宋体"/>
          <w:b/>
          <w:bCs/>
          <w:color w:val="auto"/>
          <w:kern w:val="2"/>
          <w:sz w:val="28"/>
          <w:szCs w:val="28"/>
          <w:highlight w:val="none"/>
          <w:lang w:val="en-US" w:eastAsia="zh-CN" w:bidi="ar-SA"/>
        </w:rPr>
        <w:t>初审确认，报经</w:t>
      </w:r>
      <w:r>
        <w:rPr>
          <w:rFonts w:hint="eastAsia" w:ascii="宋体" w:hAnsi="宋体" w:cs="宋体"/>
          <w:b/>
          <w:bCs/>
          <w:color w:val="auto"/>
          <w:kern w:val="2"/>
          <w:sz w:val="28"/>
          <w:szCs w:val="28"/>
          <w:highlight w:val="none"/>
          <w:lang w:val="en-US" w:eastAsia="zh-CN" w:bidi="ar-SA"/>
        </w:rPr>
        <w:t>委托人</w:t>
      </w:r>
      <w:r>
        <w:rPr>
          <w:rFonts w:hint="eastAsia" w:ascii="宋体" w:hAnsi="宋体" w:eastAsia="宋体" w:cs="宋体"/>
          <w:b/>
          <w:bCs/>
          <w:color w:val="auto"/>
          <w:kern w:val="2"/>
          <w:sz w:val="28"/>
          <w:szCs w:val="28"/>
          <w:highlight w:val="none"/>
          <w:lang w:val="en-US" w:eastAsia="zh-CN" w:bidi="ar-SA"/>
        </w:rPr>
        <w:t>备案审查通过后，</w:t>
      </w:r>
      <w:r>
        <w:rPr>
          <w:rFonts w:hint="eastAsia" w:ascii="宋体" w:hAnsi="宋体" w:eastAsia="宋体" w:cs="宋体"/>
          <w:b/>
          <w:bCs/>
          <w:color w:val="auto"/>
          <w:kern w:val="2"/>
          <w:sz w:val="28"/>
          <w:szCs w:val="28"/>
          <w:highlight w:val="none"/>
          <w:lang w:val="en-US" w:eastAsia="zh-CN" w:bidi="ar-SA"/>
        </w:rPr>
        <w:t>按照</w:t>
      </w:r>
      <w:r>
        <w:rPr>
          <w:rFonts w:hint="eastAsia" w:ascii="宋体" w:hAnsi="宋体" w:cs="宋体"/>
          <w:b/>
          <w:bCs/>
          <w:color w:val="auto"/>
          <w:kern w:val="2"/>
          <w:sz w:val="28"/>
          <w:szCs w:val="28"/>
          <w:highlight w:val="none"/>
          <w:lang w:val="en-US" w:eastAsia="zh-CN" w:bidi="ar-SA"/>
        </w:rPr>
        <w:t>委托人</w:t>
      </w:r>
      <w:r>
        <w:rPr>
          <w:rFonts w:hint="eastAsia" w:ascii="宋体" w:hAnsi="宋体" w:eastAsia="宋体" w:cs="宋体"/>
          <w:b/>
          <w:bCs/>
          <w:color w:val="auto"/>
          <w:kern w:val="2"/>
          <w:sz w:val="28"/>
          <w:szCs w:val="28"/>
          <w:highlight w:val="none"/>
          <w:lang w:val="en-US" w:eastAsia="zh-CN" w:bidi="ar-SA"/>
        </w:rPr>
        <w:t>审查备案金额为基数结算支付审计服务费用。（</w:t>
      </w:r>
      <w:r>
        <w:rPr>
          <w:rFonts w:hint="eastAsia" w:ascii="宋体" w:hAnsi="宋体" w:eastAsia="宋体" w:cs="宋体"/>
          <w:b/>
          <w:bCs/>
          <w:color w:val="auto"/>
          <w:kern w:val="2"/>
          <w:sz w:val="28"/>
          <w:szCs w:val="28"/>
          <w:highlight w:val="none"/>
          <w:lang w:val="en-US" w:eastAsia="zh-CN" w:bidi="ar-SA"/>
        </w:rPr>
        <w:t>注：发包人请款额度须在政府资金调度会批准且发票送达后完成支付）。</w:t>
      </w:r>
    </w:p>
    <w:p w14:paraId="16DD103B">
      <w:pPr>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六、处罚规定</w:t>
      </w:r>
    </w:p>
    <w:p w14:paraId="65D7F829">
      <w:pPr>
        <w:pStyle w:val="2"/>
        <w:ind w:left="0" w:leftChars="0" w:firstLine="64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执行</w:t>
      </w:r>
      <w:r>
        <w:rPr>
          <w:rFonts w:hint="eastAsia" w:ascii="宋体" w:hAnsi="宋体" w:eastAsia="宋体" w:cs="宋体"/>
          <w:bCs/>
          <w:color w:val="auto"/>
          <w:sz w:val="28"/>
          <w:szCs w:val="28"/>
          <w:highlight w:val="none"/>
        </w:rPr>
        <w:t>《工程</w:t>
      </w:r>
      <w:r>
        <w:rPr>
          <w:rFonts w:hint="eastAsia" w:ascii="宋体" w:hAnsi="宋体" w:eastAsia="宋体" w:cs="宋体"/>
          <w:color w:val="auto"/>
          <w:sz w:val="28"/>
          <w:szCs w:val="28"/>
          <w:highlight w:val="none"/>
        </w:rPr>
        <w:t>造价咨询服务管理办法》（</w:t>
      </w:r>
      <w:r>
        <w:rPr>
          <w:rFonts w:hint="eastAsia" w:ascii="宋体" w:hAnsi="宋体" w:eastAsia="宋体" w:cs="宋体"/>
          <w:bCs/>
          <w:color w:val="auto"/>
          <w:sz w:val="28"/>
          <w:szCs w:val="28"/>
          <w:highlight w:val="none"/>
        </w:rPr>
        <w:t>滁重〔</w:t>
      </w:r>
      <w:r>
        <w:rPr>
          <w:rFonts w:hint="eastAsia" w:ascii="宋体" w:hAnsi="宋体" w:eastAsia="宋体" w:cs="宋体"/>
          <w:bCs/>
          <w:color w:val="auto"/>
          <w:sz w:val="28"/>
          <w:szCs w:val="28"/>
          <w:highlight w:val="none"/>
          <w:lang w:eastAsia="zh-CN"/>
        </w:rPr>
        <w:t>20</w:t>
      </w:r>
      <w:r>
        <w:rPr>
          <w:rFonts w:hint="eastAsia" w:ascii="宋体" w:hAnsi="宋体" w:eastAsia="宋体" w:cs="宋体"/>
          <w:bCs/>
          <w:color w:val="auto"/>
          <w:sz w:val="28"/>
          <w:szCs w:val="28"/>
          <w:highlight w:val="none"/>
          <w:lang w:val="en-US" w:eastAsia="zh-CN"/>
        </w:rPr>
        <w:t>22</w:t>
      </w:r>
      <w:r>
        <w:rPr>
          <w:rFonts w:hint="eastAsia" w:ascii="宋体" w:hAnsi="宋体" w:eastAsia="宋体" w:cs="宋体"/>
          <w:bCs/>
          <w:color w:val="auto"/>
          <w:sz w:val="28"/>
          <w:szCs w:val="28"/>
          <w:highlight w:val="none"/>
        </w:rPr>
        <w:t>〕</w:t>
      </w:r>
      <w:r>
        <w:rPr>
          <w:rFonts w:hint="eastAsia" w:ascii="宋体" w:hAnsi="宋体" w:eastAsia="宋体" w:cs="宋体"/>
          <w:bCs/>
          <w:color w:val="auto"/>
          <w:sz w:val="28"/>
          <w:szCs w:val="28"/>
          <w:highlight w:val="none"/>
          <w:lang w:val="en-US" w:eastAsia="zh-CN"/>
        </w:rPr>
        <w:t>55号</w:t>
      </w:r>
      <w:r>
        <w:rPr>
          <w:rFonts w:hint="eastAsia" w:ascii="宋体" w:hAnsi="宋体" w:eastAsia="宋体" w:cs="宋体"/>
          <w:color w:val="auto"/>
          <w:sz w:val="28"/>
          <w:szCs w:val="28"/>
          <w:highlight w:val="none"/>
        </w:rPr>
        <w:t>）第七章。</w:t>
      </w:r>
    </w:p>
    <w:p w14:paraId="1D72AA88">
      <w:pPr>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七、签订时间</w:t>
      </w:r>
    </w:p>
    <w:p w14:paraId="0A8BDA9C">
      <w:pPr>
        <w:ind w:firstLine="560" w:firstLineChars="200"/>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本合同于</w:t>
      </w:r>
      <w:r>
        <w:rPr>
          <w:rFonts w:hint="eastAsia" w:ascii="宋体" w:hAnsi="宋体" w:eastAsia="宋体" w:cs="宋体"/>
          <w:color w:val="auto"/>
          <w:sz w:val="28"/>
          <w:szCs w:val="28"/>
          <w:highlight w:val="none"/>
          <w:u w:val="single"/>
        </w:rPr>
        <w:t xml:space="preserve">  20</w:t>
      </w:r>
      <w:r>
        <w:rPr>
          <w:rFonts w:hint="eastAsia" w:ascii="宋体" w:hAnsi="宋体" w:eastAsia="宋体" w:cs="宋体"/>
          <w:color w:val="auto"/>
          <w:sz w:val="28"/>
          <w:szCs w:val="28"/>
          <w:highlight w:val="none"/>
          <w:u w:val="single"/>
          <w:lang w:val="en-US" w:eastAsia="zh-CN"/>
        </w:rPr>
        <w:t>2</w:t>
      </w:r>
      <w:r>
        <w:rPr>
          <w:rFonts w:hint="eastAsia" w:ascii="宋体" w:hAnsi="宋体" w:cs="宋体"/>
          <w:color w:val="auto"/>
          <w:sz w:val="28"/>
          <w:szCs w:val="28"/>
          <w:highlight w:val="none"/>
          <w:u w:val="single"/>
          <w:lang w:val="en-US" w:eastAsia="zh-CN"/>
        </w:rPr>
        <w:t>5</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r>
        <w:rPr>
          <w:rFonts w:hint="eastAsia" w:ascii="宋体" w:hAnsi="宋体" w:eastAsia="宋体" w:cs="宋体"/>
          <w:bCs/>
          <w:color w:val="auto"/>
          <w:sz w:val="28"/>
          <w:szCs w:val="28"/>
          <w:highlight w:val="none"/>
        </w:rPr>
        <w:t>签订</w:t>
      </w:r>
      <w:r>
        <w:rPr>
          <w:rFonts w:hint="eastAsia" w:ascii="宋体" w:hAnsi="宋体" w:eastAsia="宋体" w:cs="宋体"/>
          <w:color w:val="auto"/>
          <w:sz w:val="28"/>
          <w:szCs w:val="28"/>
          <w:highlight w:val="none"/>
        </w:rPr>
        <w:t>。</w:t>
      </w:r>
    </w:p>
    <w:p w14:paraId="04EBCAFB">
      <w:pPr>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八、签订地点</w:t>
      </w:r>
    </w:p>
    <w:p w14:paraId="6F935966">
      <w:pPr>
        <w:ind w:firstLine="560" w:firstLineChars="200"/>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本合同在</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滁州市重点工程建设管理处</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签订。</w:t>
      </w:r>
    </w:p>
    <w:p w14:paraId="630D3FCC">
      <w:pPr>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九、补充协议</w:t>
      </w:r>
    </w:p>
    <w:p w14:paraId="6022A717">
      <w:pPr>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合同未尽事宜，合同当事人另行签订补充协议，补充协议是合同的组成部分。</w:t>
      </w:r>
    </w:p>
    <w:p w14:paraId="7A2EF4F9">
      <w:pPr>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十、合同生效</w:t>
      </w:r>
    </w:p>
    <w:p w14:paraId="37163273">
      <w:pPr>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本合同自</w:t>
      </w:r>
      <w:r>
        <w:rPr>
          <w:rFonts w:hint="eastAsia" w:ascii="宋体" w:hAnsi="宋体" w:eastAsia="宋体" w:cs="宋体"/>
          <w:color w:val="auto"/>
          <w:sz w:val="28"/>
          <w:szCs w:val="28"/>
          <w:highlight w:val="none"/>
          <w:u w:val="single"/>
        </w:rPr>
        <w:t xml:space="preserve">   签订之日起   </w:t>
      </w:r>
      <w:r>
        <w:rPr>
          <w:rFonts w:hint="eastAsia" w:ascii="宋体" w:hAnsi="宋体" w:eastAsia="宋体" w:cs="宋体"/>
          <w:color w:val="auto"/>
          <w:sz w:val="28"/>
          <w:szCs w:val="28"/>
          <w:highlight w:val="none"/>
        </w:rPr>
        <w:t>生效。</w:t>
      </w:r>
    </w:p>
    <w:p w14:paraId="793F1473">
      <w:pPr>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十一、合同份数</w:t>
      </w:r>
    </w:p>
    <w:p w14:paraId="5B85F39B">
      <w:pPr>
        <w:ind w:firstLine="560" w:firstLineChars="200"/>
        <w:rPr>
          <w:rFonts w:hint="eastAsia" w:ascii="宋体" w:hAnsi="宋体" w:eastAsia="宋体" w:cs="宋体"/>
          <w:bCs/>
          <w:color w:val="auto"/>
          <w:sz w:val="28"/>
          <w:szCs w:val="28"/>
          <w:highlight w:val="none"/>
        </w:rPr>
      </w:pPr>
      <w:r>
        <w:rPr>
          <w:rFonts w:hint="eastAsia" w:ascii="宋体" w:hAnsi="宋体" w:eastAsia="宋体" w:cs="宋体"/>
          <w:color w:val="auto"/>
          <w:sz w:val="28"/>
          <w:szCs w:val="28"/>
          <w:highlight w:val="none"/>
        </w:rPr>
        <w:t>本合同一式</w:t>
      </w:r>
      <w:r>
        <w:rPr>
          <w:rFonts w:hint="eastAsia" w:ascii="宋体" w:hAnsi="宋体" w:eastAsia="宋体" w:cs="宋体"/>
          <w:color w:val="auto"/>
          <w:sz w:val="28"/>
          <w:szCs w:val="28"/>
          <w:highlight w:val="none"/>
          <w:u w:val="single"/>
        </w:rPr>
        <w:t xml:space="preserve">  肆  </w:t>
      </w:r>
      <w:r>
        <w:rPr>
          <w:rFonts w:hint="eastAsia" w:ascii="宋体" w:hAnsi="宋体" w:eastAsia="宋体" w:cs="宋体"/>
          <w:color w:val="auto"/>
          <w:sz w:val="28"/>
          <w:szCs w:val="28"/>
          <w:highlight w:val="none"/>
        </w:rPr>
        <w:t>份，均具有同等法律效力，委托人</w:t>
      </w:r>
      <w:r>
        <w:rPr>
          <w:rFonts w:hint="eastAsia" w:ascii="宋体" w:hAnsi="宋体" w:eastAsia="宋体" w:cs="宋体"/>
          <w:color w:val="auto"/>
          <w:sz w:val="28"/>
          <w:szCs w:val="28"/>
          <w:highlight w:val="none"/>
          <w:u w:val="single"/>
        </w:rPr>
        <w:t xml:space="preserve">  贰  </w:t>
      </w:r>
      <w:r>
        <w:rPr>
          <w:rFonts w:hint="eastAsia" w:ascii="宋体" w:hAnsi="宋体" w:eastAsia="宋体" w:cs="宋体"/>
          <w:color w:val="auto"/>
          <w:sz w:val="28"/>
          <w:szCs w:val="28"/>
          <w:highlight w:val="none"/>
        </w:rPr>
        <w:t>份，咨询人</w:t>
      </w:r>
      <w:r>
        <w:rPr>
          <w:rFonts w:hint="eastAsia" w:ascii="宋体" w:hAnsi="宋体" w:eastAsia="宋体" w:cs="宋体"/>
          <w:color w:val="auto"/>
          <w:sz w:val="28"/>
          <w:szCs w:val="28"/>
          <w:highlight w:val="none"/>
          <w:u w:val="single"/>
        </w:rPr>
        <w:t xml:space="preserve">  贰  </w:t>
      </w:r>
      <w:r>
        <w:rPr>
          <w:rFonts w:hint="eastAsia" w:ascii="宋体" w:hAnsi="宋体" w:eastAsia="宋体" w:cs="宋体"/>
          <w:color w:val="auto"/>
          <w:sz w:val="28"/>
          <w:szCs w:val="28"/>
          <w:highlight w:val="none"/>
        </w:rPr>
        <w:t>份。</w:t>
      </w:r>
    </w:p>
    <w:p w14:paraId="22D1C898">
      <w:pPr>
        <w:pStyle w:val="2"/>
        <w:ind w:left="420" w:firstLine="600"/>
        <w:rPr>
          <w:rFonts w:hint="eastAsia" w:ascii="宋体" w:hAnsi="宋体" w:eastAsia="宋体" w:cs="宋体"/>
          <w:bCs/>
          <w:color w:val="auto"/>
          <w:sz w:val="28"/>
          <w:szCs w:val="28"/>
          <w:highlight w:val="none"/>
        </w:rPr>
      </w:pPr>
    </w:p>
    <w:p w14:paraId="5B7D3CE4">
      <w:pPr>
        <w:rPr>
          <w:rFonts w:hint="eastAsia" w:ascii="宋体" w:hAnsi="宋体" w:eastAsia="宋体" w:cs="宋体"/>
          <w:color w:val="auto"/>
          <w:sz w:val="28"/>
          <w:szCs w:val="28"/>
          <w:highlight w:val="none"/>
        </w:rPr>
      </w:pPr>
    </w:p>
    <w:p w14:paraId="09E878C0">
      <w:pPr>
        <w:tabs>
          <w:tab w:val="left" w:pos="4830"/>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委托人：  (公章)                受托人：  (公章)         </w:t>
      </w:r>
    </w:p>
    <w:p w14:paraId="26F5EC20">
      <w:pPr>
        <w:tabs>
          <w:tab w:val="left" w:pos="4830"/>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30A72844">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法定代表人或其委托代理人：     法定代表人或其委托代理人：</w:t>
      </w:r>
    </w:p>
    <w:p w14:paraId="035B405F">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（签字）                       （签字）</w:t>
      </w:r>
    </w:p>
    <w:p w14:paraId="6734B7DB">
      <w:pPr>
        <w:ind w:firstLine="1960" w:firstLineChars="7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年  月  日                      年  月  日</w:t>
      </w:r>
    </w:p>
    <w:p w14:paraId="4FB659AE">
      <w:pPr>
        <w:pStyle w:val="2"/>
        <w:rPr>
          <w:rFonts w:hint="eastAsia" w:ascii="宋体" w:hAnsi="宋体" w:eastAsia="宋体" w:cs="宋体"/>
          <w:color w:val="auto"/>
          <w:sz w:val="30"/>
          <w:szCs w:val="30"/>
          <w:highlight w:val="none"/>
        </w:rPr>
      </w:pPr>
    </w:p>
    <w:p w14:paraId="10CCF302">
      <w:pPr>
        <w:pStyle w:val="42"/>
        <w:keepNext w:val="0"/>
        <w:keepLines w:val="0"/>
        <w:pageBreakBefore w:val="0"/>
        <w:kinsoku/>
        <w:wordWrap/>
        <w:overflowPunct/>
        <w:topLinePunct w:val="0"/>
        <w:autoSpaceDE/>
        <w:autoSpaceDN/>
        <w:bidi w:val="0"/>
        <w:snapToGrid w:val="0"/>
        <w:spacing w:before="0" w:beforeAutospacing="0" w:after="0" w:afterAutospacing="0" w:line="500" w:lineRule="exact"/>
        <w:ind w:firstLine="480" w:firstLineChars="200"/>
        <w:textAlignment w:val="auto"/>
        <w:rPr>
          <w:rFonts w:hint="eastAsia" w:ascii="宋体" w:hAnsi="宋体" w:eastAsia="宋体" w:cs="宋体"/>
          <w:color w:val="auto"/>
          <w:kern w:val="2"/>
          <w:sz w:val="24"/>
          <w:szCs w:val="24"/>
          <w:highlight w:val="none"/>
        </w:rPr>
      </w:pPr>
    </w:p>
    <w:p w14:paraId="50CBD3E3">
      <w:pPr>
        <w:pStyle w:val="42"/>
        <w:keepNext w:val="0"/>
        <w:keepLines w:val="0"/>
        <w:pageBreakBefore w:val="0"/>
        <w:kinsoku/>
        <w:wordWrap/>
        <w:overflowPunct/>
        <w:topLinePunct w:val="0"/>
        <w:autoSpaceDE/>
        <w:autoSpaceDN/>
        <w:bidi w:val="0"/>
        <w:snapToGrid w:val="0"/>
        <w:spacing w:before="0" w:beforeAutospacing="0" w:after="0" w:afterAutospacing="0" w:line="500" w:lineRule="exact"/>
        <w:ind w:firstLine="480" w:firstLineChars="200"/>
        <w:textAlignment w:val="auto"/>
        <w:rPr>
          <w:rFonts w:hint="eastAsia" w:ascii="宋体" w:hAnsi="宋体" w:eastAsia="宋体" w:cs="宋体"/>
          <w:color w:val="auto"/>
          <w:kern w:val="2"/>
          <w:sz w:val="24"/>
          <w:szCs w:val="24"/>
          <w:highlight w:val="none"/>
        </w:rPr>
      </w:pPr>
    </w:p>
    <w:p w14:paraId="6BCD3E8E">
      <w:pPr>
        <w:pStyle w:val="6"/>
        <w:keepNext/>
        <w:keepLines/>
        <w:pageBreakBefore/>
        <w:widowControl w:val="0"/>
        <w:kinsoku/>
        <w:wordWrap/>
        <w:overflowPunct/>
        <w:topLinePunct w:val="0"/>
        <w:autoSpaceDE/>
        <w:autoSpaceDN/>
        <w:bidi w:val="0"/>
        <w:adjustRightInd/>
        <w:snapToGrid/>
        <w:spacing w:before="0" w:after="0"/>
        <w:textAlignment w:val="auto"/>
        <w:rPr>
          <w:rFonts w:hint="eastAsia" w:ascii="宋体" w:hAnsi="宋体" w:eastAsia="宋体" w:cs="宋体"/>
          <w:color w:val="auto"/>
          <w:highlight w:val="none"/>
          <w:lang w:val="en-US" w:eastAsia="zh-CN"/>
        </w:rPr>
      </w:pPr>
      <w:bookmarkStart w:id="67" w:name="_Toc30675"/>
      <w:r>
        <w:rPr>
          <w:rFonts w:hint="eastAsia" w:ascii="宋体" w:hAnsi="宋体" w:eastAsia="宋体" w:cs="宋体"/>
          <w:color w:val="auto"/>
          <w:highlight w:val="none"/>
          <w:lang w:val="en-US" w:eastAsia="zh-CN"/>
        </w:rPr>
        <w:t>第四章 投标文件格式</w:t>
      </w:r>
      <w:bookmarkEnd w:id="67"/>
    </w:p>
    <w:p w14:paraId="16B002C1">
      <w:pPr>
        <w:jc w:val="center"/>
        <w:rPr>
          <w:rFonts w:hint="eastAsia" w:ascii="宋体" w:hAnsi="宋体" w:eastAsia="宋体" w:cs="宋体"/>
          <w:color w:val="auto"/>
          <w:sz w:val="20"/>
          <w:szCs w:val="20"/>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（项目名称）</w:t>
      </w:r>
    </w:p>
    <w:p w14:paraId="2BF899C5">
      <w:pPr>
        <w:jc w:val="center"/>
        <w:rPr>
          <w:rFonts w:hint="eastAsia" w:ascii="宋体" w:hAnsi="宋体" w:eastAsia="宋体" w:cs="宋体"/>
          <w:color w:val="auto"/>
          <w:sz w:val="20"/>
          <w:szCs w:val="20"/>
          <w:highlight w:val="none"/>
        </w:rPr>
      </w:pPr>
    </w:p>
    <w:p w14:paraId="5984FAB0">
      <w:pPr>
        <w:jc w:val="center"/>
        <w:rPr>
          <w:rFonts w:hint="eastAsia" w:ascii="宋体" w:hAnsi="宋体" w:eastAsia="宋体" w:cs="宋体"/>
          <w:color w:val="auto"/>
          <w:sz w:val="20"/>
          <w:szCs w:val="20"/>
          <w:highlight w:val="none"/>
        </w:rPr>
      </w:pPr>
    </w:p>
    <w:p w14:paraId="774E9746">
      <w:pPr>
        <w:jc w:val="center"/>
        <w:rPr>
          <w:rFonts w:hint="eastAsia" w:ascii="宋体" w:hAnsi="宋体" w:eastAsia="宋体" w:cs="宋体"/>
          <w:color w:val="auto"/>
          <w:sz w:val="20"/>
          <w:szCs w:val="20"/>
          <w:highlight w:val="none"/>
        </w:rPr>
      </w:pPr>
    </w:p>
    <w:p w14:paraId="530D7441">
      <w:pPr>
        <w:rPr>
          <w:rFonts w:hint="eastAsia" w:ascii="宋体" w:hAnsi="宋体" w:eastAsia="宋体" w:cs="宋体"/>
          <w:color w:val="auto"/>
          <w:sz w:val="20"/>
          <w:szCs w:val="20"/>
          <w:highlight w:val="none"/>
        </w:rPr>
      </w:pPr>
    </w:p>
    <w:p w14:paraId="00D858C3">
      <w:pPr>
        <w:jc w:val="center"/>
        <w:rPr>
          <w:rFonts w:hint="eastAsia" w:ascii="宋体" w:hAnsi="宋体" w:eastAsia="宋体" w:cs="宋体"/>
          <w:color w:val="auto"/>
          <w:sz w:val="44"/>
          <w:szCs w:val="44"/>
          <w:highlight w:val="none"/>
          <w:lang w:val="en-US" w:eastAsia="zh-CN"/>
        </w:rPr>
      </w:pPr>
      <w:r>
        <w:rPr>
          <w:rFonts w:hint="eastAsia" w:ascii="宋体" w:hAnsi="宋体" w:eastAsia="宋体" w:cs="宋体"/>
          <w:color w:val="auto"/>
          <w:sz w:val="44"/>
          <w:szCs w:val="44"/>
          <w:highlight w:val="none"/>
          <w:lang w:val="en-US" w:eastAsia="zh-CN"/>
        </w:rPr>
        <w:t>投标文件</w:t>
      </w:r>
    </w:p>
    <w:p w14:paraId="28867CFF">
      <w:pPr>
        <w:ind w:firstLine="2880" w:firstLineChars="900"/>
        <w:jc w:val="both"/>
        <w:rPr>
          <w:rFonts w:hint="eastAsia" w:ascii="宋体" w:hAnsi="宋体" w:eastAsia="宋体" w:cs="宋体"/>
          <w:color w:val="auto"/>
          <w:sz w:val="32"/>
          <w:highlight w:val="none"/>
          <w:u w:val="none"/>
          <w:lang w:val="en-US" w:eastAsia="zh-CN"/>
        </w:rPr>
      </w:pPr>
    </w:p>
    <w:p w14:paraId="3D29AF2E">
      <w:pPr>
        <w:ind w:firstLine="2880" w:firstLineChars="900"/>
        <w:jc w:val="both"/>
        <w:rPr>
          <w:rFonts w:hint="default" w:ascii="宋体" w:hAnsi="宋体" w:eastAsia="宋体" w:cs="宋体"/>
          <w:color w:val="auto"/>
          <w:sz w:val="44"/>
          <w:szCs w:val="44"/>
          <w:highlight w:val="none"/>
          <w:u w:val="single"/>
          <w:lang w:val="en-US"/>
        </w:rPr>
      </w:pPr>
      <w:r>
        <w:rPr>
          <w:rFonts w:hint="eastAsia" w:ascii="宋体" w:hAnsi="宋体" w:eastAsia="宋体" w:cs="宋体"/>
          <w:color w:val="auto"/>
          <w:sz w:val="32"/>
          <w:highlight w:val="none"/>
          <w:u w:val="none"/>
          <w:lang w:val="en-US" w:eastAsia="zh-CN"/>
        </w:rPr>
        <w:t>项目编号：</w:t>
      </w:r>
      <w:r>
        <w:rPr>
          <w:rFonts w:hint="eastAsia" w:ascii="宋体" w:hAnsi="宋体" w:cs="宋体"/>
          <w:color w:val="auto"/>
          <w:sz w:val="32"/>
          <w:highlight w:val="none"/>
          <w:u w:val="none"/>
          <w:lang w:val="en-US" w:eastAsia="zh-CN"/>
        </w:rPr>
        <w:t xml:space="preserve">          </w:t>
      </w:r>
    </w:p>
    <w:p w14:paraId="0366733A">
      <w:pPr>
        <w:rPr>
          <w:rFonts w:hint="eastAsia" w:ascii="宋体" w:hAnsi="宋体" w:eastAsia="宋体" w:cs="宋体"/>
          <w:color w:val="auto"/>
          <w:sz w:val="28"/>
          <w:szCs w:val="28"/>
          <w:highlight w:val="none"/>
        </w:rPr>
      </w:pPr>
    </w:p>
    <w:p w14:paraId="51E6DC1B">
      <w:pPr>
        <w:rPr>
          <w:rFonts w:hint="eastAsia" w:ascii="宋体" w:hAnsi="宋体" w:eastAsia="宋体" w:cs="宋体"/>
          <w:color w:val="auto"/>
          <w:sz w:val="28"/>
          <w:szCs w:val="28"/>
          <w:highlight w:val="none"/>
        </w:rPr>
      </w:pPr>
    </w:p>
    <w:p w14:paraId="2A26D9A6">
      <w:pPr>
        <w:rPr>
          <w:rFonts w:hint="eastAsia" w:ascii="宋体" w:hAnsi="宋体" w:eastAsia="宋体" w:cs="宋体"/>
          <w:color w:val="auto"/>
          <w:sz w:val="28"/>
          <w:szCs w:val="28"/>
          <w:highlight w:val="none"/>
        </w:rPr>
      </w:pPr>
    </w:p>
    <w:p w14:paraId="740AB8F5">
      <w:pPr>
        <w:rPr>
          <w:rFonts w:hint="eastAsia" w:ascii="宋体" w:hAnsi="宋体" w:eastAsia="宋体" w:cs="宋体"/>
          <w:color w:val="auto"/>
          <w:sz w:val="28"/>
          <w:szCs w:val="28"/>
          <w:highlight w:val="none"/>
        </w:rPr>
      </w:pPr>
    </w:p>
    <w:p w14:paraId="178B625A">
      <w:pPr>
        <w:rPr>
          <w:rFonts w:hint="eastAsia" w:ascii="宋体" w:hAnsi="宋体" w:eastAsia="宋体" w:cs="宋体"/>
          <w:color w:val="auto"/>
          <w:sz w:val="28"/>
          <w:szCs w:val="28"/>
          <w:highlight w:val="none"/>
        </w:rPr>
      </w:pPr>
    </w:p>
    <w:p w14:paraId="053334BB">
      <w:pPr>
        <w:rPr>
          <w:rFonts w:hint="eastAsia" w:ascii="宋体" w:hAnsi="宋体" w:eastAsia="宋体" w:cs="宋体"/>
          <w:color w:val="auto"/>
          <w:sz w:val="28"/>
          <w:szCs w:val="28"/>
          <w:highlight w:val="none"/>
        </w:rPr>
      </w:pPr>
    </w:p>
    <w:p w14:paraId="4DB35F7F">
      <w:pPr>
        <w:rPr>
          <w:rFonts w:hint="eastAsia" w:ascii="宋体" w:hAnsi="宋体" w:eastAsia="宋体" w:cs="宋体"/>
          <w:color w:val="auto"/>
          <w:sz w:val="28"/>
          <w:szCs w:val="28"/>
          <w:highlight w:val="none"/>
        </w:rPr>
      </w:pPr>
    </w:p>
    <w:p w14:paraId="7EB0B0BD">
      <w:pPr>
        <w:jc w:val="cente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r>
        <w:rPr>
          <w:rFonts w:hint="eastAsia" w:ascii="宋体"/>
          <w:color w:val="auto"/>
          <w:sz w:val="28"/>
          <w:szCs w:val="28"/>
          <w:highlight w:val="none"/>
        </w:rPr>
        <w:t>签章</w:t>
      </w:r>
      <w:r>
        <w:rPr>
          <w:rFonts w:hint="eastAsia" w:ascii="宋体" w:hAnsi="宋体" w:eastAsia="宋体" w:cs="宋体"/>
          <w:color w:val="auto"/>
          <w:sz w:val="28"/>
          <w:szCs w:val="28"/>
          <w:highlight w:val="none"/>
        </w:rPr>
        <w:t>）</w:t>
      </w:r>
    </w:p>
    <w:p w14:paraId="699EC1E5">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val="en-US" w:eastAsia="zh-CN"/>
        </w:rPr>
        <w:t>或委托代理人</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r>
        <w:rPr>
          <w:rFonts w:hint="eastAsia" w:ascii="宋体"/>
          <w:color w:val="auto"/>
          <w:sz w:val="28"/>
          <w:szCs w:val="28"/>
          <w:highlight w:val="none"/>
        </w:rPr>
        <w:t>签章</w:t>
      </w:r>
      <w:r>
        <w:rPr>
          <w:rFonts w:hint="eastAsia" w:ascii="宋体" w:hAnsi="宋体" w:eastAsia="宋体" w:cs="宋体"/>
          <w:color w:val="auto"/>
          <w:sz w:val="28"/>
          <w:szCs w:val="28"/>
          <w:highlight w:val="none"/>
        </w:rPr>
        <w:t>）</w:t>
      </w:r>
    </w:p>
    <w:p w14:paraId="4D73F479">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6FC52725">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6C9FDD6">
      <w:pPr>
        <w:spacing w:line="480" w:lineRule="auto"/>
        <w:ind w:right="980" w:firstLine="602" w:firstLineChars="200"/>
        <w:jc w:val="center"/>
        <w:rPr>
          <w:rFonts w:hint="eastAsia" w:ascii="宋体" w:hAnsi="宋体" w:eastAsia="宋体" w:cs="宋体"/>
          <w:b/>
          <w:bCs/>
          <w:color w:val="auto"/>
          <w:kern w:val="0"/>
          <w:sz w:val="30"/>
          <w:szCs w:val="30"/>
          <w:highlight w:val="none"/>
        </w:rPr>
      </w:pPr>
      <w:r>
        <w:rPr>
          <w:rFonts w:hint="eastAsia" w:ascii="宋体" w:hAnsi="宋体" w:eastAsia="宋体" w:cs="宋体"/>
          <w:b/>
          <w:bCs/>
          <w:color w:val="auto"/>
          <w:kern w:val="0"/>
          <w:sz w:val="30"/>
          <w:szCs w:val="30"/>
          <w:highlight w:val="none"/>
        </w:rPr>
        <w:t>目录</w:t>
      </w:r>
    </w:p>
    <w:p w14:paraId="55E370BD">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（1）法定代表人身份证明文件和本人有效身份证(或法定代表人授权委托书和委托代理人有效身份证)；</w:t>
      </w:r>
      <w:r>
        <w:rPr>
          <w:rFonts w:hint="eastAsia" w:ascii="宋体" w:hAnsi="宋体" w:cs="宋体"/>
          <w:color w:val="auto"/>
          <w:sz w:val="21"/>
          <w:szCs w:val="21"/>
          <w:highlight w:val="none"/>
          <w:lang w:val="en-US" w:eastAsia="zh-CN"/>
        </w:rPr>
        <w:t>（格式见附件）</w:t>
      </w:r>
    </w:p>
    <w:p w14:paraId="34728B96">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color w:val="auto"/>
          <w:sz w:val="21"/>
          <w:szCs w:val="21"/>
          <w:highlight w:val="none"/>
        </w:rPr>
        <w:t>（2）企业法人营业执照</w:t>
      </w:r>
      <w:r>
        <w:rPr>
          <w:rFonts w:hint="eastAsia" w:ascii="宋体" w:hAnsi="宋体" w:eastAsia="宋体" w:cs="宋体"/>
          <w:color w:val="auto"/>
          <w:sz w:val="21"/>
          <w:szCs w:val="21"/>
          <w:highlight w:val="none"/>
          <w:lang w:val="en-US" w:eastAsia="zh-CN"/>
        </w:rPr>
        <w:t>或事业单位法人证</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 </w:t>
      </w:r>
    </w:p>
    <w:p w14:paraId="453C4DA0">
      <w:pPr>
        <w:keepNext w:val="0"/>
        <w:keepLines w:val="0"/>
        <w:pageBreakBefore w:val="0"/>
        <w:widowControl w:val="0"/>
        <w:kinsoku/>
        <w:wordWrap/>
        <w:overflowPunct/>
        <w:topLinePunct w:val="0"/>
        <w:autoSpaceDE/>
        <w:autoSpaceDN/>
        <w:bidi w:val="0"/>
        <w:spacing w:line="500" w:lineRule="exac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val="en-US" w:eastAsia="zh-CN"/>
        </w:rPr>
        <w:t>项目人员配备表；（格式见附件）</w:t>
      </w:r>
    </w:p>
    <w:p w14:paraId="35D02922">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拟派项目负责人注册造价师证书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若注册</w:t>
      </w:r>
      <w:r>
        <w:rPr>
          <w:rFonts w:hint="eastAsia" w:ascii="宋体" w:hAnsi="宋体" w:eastAsia="宋体" w:cs="宋体"/>
          <w:color w:val="auto"/>
          <w:sz w:val="21"/>
          <w:szCs w:val="21"/>
          <w:highlight w:val="none"/>
        </w:rPr>
        <w:t>证书</w:t>
      </w:r>
      <w:r>
        <w:rPr>
          <w:rFonts w:hint="eastAsia" w:ascii="宋体" w:hAnsi="宋体" w:eastAsia="宋体" w:cs="宋体"/>
          <w:color w:val="auto"/>
          <w:sz w:val="21"/>
          <w:szCs w:val="21"/>
          <w:highlight w:val="none"/>
          <w:lang w:val="en-US" w:eastAsia="zh-CN"/>
        </w:rPr>
        <w:t>上无法体现专业的，还需另行提供</w:t>
      </w:r>
      <w:r>
        <w:rPr>
          <w:rFonts w:hint="eastAsia" w:ascii="宋体" w:hAnsi="宋体" w:eastAsia="宋体" w:cs="宋体"/>
          <w:color w:val="auto"/>
          <w:sz w:val="21"/>
          <w:szCs w:val="21"/>
          <w:highlight w:val="none"/>
        </w:rPr>
        <w:t>证明专业的证明材料</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 xml:space="preserve">； </w:t>
      </w:r>
    </w:p>
    <w:p w14:paraId="1D61128F">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）项目组其他成员（不含项目负责人）</w:t>
      </w:r>
      <w:r>
        <w:rPr>
          <w:rFonts w:hint="eastAsia" w:ascii="宋体" w:hAnsi="宋体" w:eastAsia="宋体" w:cs="宋体"/>
          <w:color w:val="auto"/>
          <w:kern w:val="0"/>
          <w:sz w:val="21"/>
          <w:szCs w:val="21"/>
          <w:highlight w:val="none"/>
        </w:rPr>
        <w:t>：不少于2名注册在</w:t>
      </w:r>
      <w:r>
        <w:rPr>
          <w:rFonts w:hint="eastAsia" w:ascii="宋体" w:hAnsi="宋体" w:cs="宋体"/>
          <w:color w:val="auto"/>
          <w:kern w:val="0"/>
          <w:sz w:val="21"/>
          <w:szCs w:val="21"/>
          <w:highlight w:val="none"/>
          <w:lang w:val="en-US" w:eastAsia="zh-CN"/>
        </w:rPr>
        <w:t>投标</w:t>
      </w:r>
      <w:r>
        <w:rPr>
          <w:rFonts w:hint="eastAsia" w:ascii="宋体" w:hAnsi="宋体" w:eastAsia="宋体" w:cs="宋体"/>
          <w:color w:val="auto"/>
          <w:kern w:val="0"/>
          <w:sz w:val="21"/>
          <w:szCs w:val="21"/>
          <w:highlight w:val="none"/>
        </w:rPr>
        <w:t>单位的二级及以上造价工程师（土木建筑专业</w:t>
      </w:r>
      <w:r>
        <w:rPr>
          <w:rFonts w:hint="eastAsia" w:ascii="宋体" w:hAnsi="宋体" w:eastAsia="宋体" w:cs="宋体"/>
          <w:color w:val="auto"/>
          <w:kern w:val="0"/>
          <w:sz w:val="21"/>
          <w:szCs w:val="21"/>
          <w:highlight w:val="none"/>
          <w:lang w:val="en-US" w:eastAsia="zh-CN"/>
        </w:rPr>
        <w:t>至少1名、安装</w:t>
      </w:r>
      <w:r>
        <w:rPr>
          <w:rFonts w:hint="eastAsia" w:ascii="宋体" w:hAnsi="宋体" w:cs="宋体"/>
          <w:color w:val="auto"/>
          <w:kern w:val="0"/>
          <w:sz w:val="21"/>
          <w:szCs w:val="21"/>
          <w:highlight w:val="none"/>
          <w:lang w:val="en-US" w:eastAsia="zh-CN"/>
        </w:rPr>
        <w:t>工程</w:t>
      </w:r>
      <w:r>
        <w:rPr>
          <w:rFonts w:hint="eastAsia" w:ascii="宋体" w:hAnsi="宋体" w:eastAsia="宋体" w:cs="宋体"/>
          <w:color w:val="auto"/>
          <w:kern w:val="0"/>
          <w:sz w:val="21"/>
          <w:szCs w:val="21"/>
          <w:highlight w:val="none"/>
          <w:lang w:val="en-US" w:eastAsia="zh-CN"/>
        </w:rPr>
        <w:t>专业至少1名</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若注册</w:t>
      </w:r>
      <w:r>
        <w:rPr>
          <w:rFonts w:hint="eastAsia" w:ascii="宋体" w:hAnsi="宋体" w:eastAsia="宋体" w:cs="宋体"/>
          <w:color w:val="auto"/>
          <w:sz w:val="21"/>
          <w:szCs w:val="21"/>
          <w:highlight w:val="none"/>
        </w:rPr>
        <w:t>证书</w:t>
      </w:r>
      <w:r>
        <w:rPr>
          <w:rFonts w:hint="eastAsia" w:ascii="宋体" w:hAnsi="宋体" w:eastAsia="宋体" w:cs="宋体"/>
          <w:color w:val="auto"/>
          <w:sz w:val="21"/>
          <w:szCs w:val="21"/>
          <w:highlight w:val="none"/>
          <w:lang w:val="en-US" w:eastAsia="zh-CN"/>
        </w:rPr>
        <w:t>上无法体现专业的，还需另行提供</w:t>
      </w:r>
      <w:r>
        <w:rPr>
          <w:rFonts w:hint="eastAsia" w:ascii="宋体" w:hAnsi="宋体" w:eastAsia="宋体" w:cs="宋体"/>
          <w:color w:val="auto"/>
          <w:sz w:val="21"/>
          <w:szCs w:val="21"/>
          <w:highlight w:val="none"/>
        </w:rPr>
        <w:t>证明专业的证明材料</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 </w:t>
      </w:r>
    </w:p>
    <w:p w14:paraId="21D21851">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）承诺书1：投标人对所提供的上述材料作出承诺，若投标人存在弄虚作假，提供虚假资料的，若中标，则取消中标资格。（承诺书格式自拟并注明开标日期，加盖投标单位公章）</w:t>
      </w:r>
    </w:p>
    <w:p w14:paraId="35994149">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承诺书2：投标人承诺“跟踪审计项目开工前，投标单位需将项目任命文报综合计划科，综合计划科抄送工程建设科，同一个造价人员在市重点处同时承揽跟踪审计业务不得超过三个项目，且不得在两个以上市本级以外的地区同时承揽业务”。不按上述要求执行的，若中标，则取消中标资格。（承诺书格式自拟并注明开标日期，加盖投标单位公章）</w:t>
      </w:r>
    </w:p>
    <w:p w14:paraId="6040CF70">
      <w:pPr>
        <w:keepNext w:val="0"/>
        <w:keepLines w:val="0"/>
        <w:pageBreakBefore w:val="0"/>
        <w:widowControl w:val="0"/>
        <w:numPr>
          <w:ilvl w:val="0"/>
          <w:numId w:val="0"/>
        </w:numPr>
        <w:kinsoku/>
        <w:wordWrap/>
        <w:overflowPunct/>
        <w:topLinePunct w:val="0"/>
        <w:autoSpaceDE/>
        <w:autoSpaceDN/>
        <w:bidi w:val="0"/>
        <w:spacing w:line="50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8</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rPr>
        <w:t>委托代理人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sz w:val="21"/>
          <w:szCs w:val="21"/>
          <w:highlight w:val="none"/>
        </w:rPr>
        <w:t>项目负责人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项目组其他成员</w:t>
      </w:r>
      <w:r>
        <w:rPr>
          <w:rFonts w:hint="eastAsia" w:ascii="宋体" w:hAnsi="宋体" w:eastAsia="宋体" w:cs="宋体"/>
          <w:color w:val="auto"/>
          <w:kern w:val="2"/>
          <w:sz w:val="21"/>
          <w:szCs w:val="21"/>
          <w:highlight w:val="none"/>
          <w:lang w:val="en-US" w:eastAsia="zh-CN" w:bidi="ar-SA"/>
        </w:rPr>
        <w:t>须持有社保部门出具的</w:t>
      </w:r>
      <w:r>
        <w:rPr>
          <w:rFonts w:hint="eastAsia" w:ascii="宋体" w:hAnsi="宋体" w:cs="宋体"/>
          <w:color w:val="auto"/>
          <w:kern w:val="2"/>
          <w:sz w:val="21"/>
          <w:szCs w:val="21"/>
          <w:highlight w:val="none"/>
          <w:lang w:val="en-US" w:eastAsia="zh-CN" w:bidi="ar-SA"/>
        </w:rPr>
        <w:t>投标</w:t>
      </w:r>
      <w:r>
        <w:rPr>
          <w:rFonts w:hint="eastAsia" w:ascii="宋体" w:hAnsi="宋体" w:eastAsia="宋体" w:cs="宋体"/>
          <w:color w:val="auto"/>
          <w:kern w:val="2"/>
          <w:sz w:val="21"/>
          <w:szCs w:val="21"/>
          <w:highlight w:val="none"/>
          <w:lang w:val="en-US" w:eastAsia="zh-CN" w:bidi="ar-SA"/>
        </w:rPr>
        <w:t>单位为其缴纳的投标前近三个月内任意一月的养老保险证明（含官网在线打印件，证明文件两个月内有效），或投标人提供承诺已为上述人员缴纳养老保险证明的承诺书（格式自拟）。</w:t>
      </w:r>
    </w:p>
    <w:p w14:paraId="6D0DA0B3">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9</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sz w:val="21"/>
          <w:szCs w:val="21"/>
          <w:highlight w:val="none"/>
          <w:lang w:val="en-US" w:eastAsia="zh-CN"/>
        </w:rPr>
        <w:t>投标函</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（格式见附件）</w:t>
      </w:r>
    </w:p>
    <w:p w14:paraId="7AE780DA">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）投标人认为需要提供的其他材料。</w:t>
      </w:r>
    </w:p>
    <w:p w14:paraId="7525A41F">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lang w:val="en-US" w:eastAsia="zh-CN"/>
        </w:rPr>
      </w:pPr>
    </w:p>
    <w:p w14:paraId="0CC44DA1">
      <w:pP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r>
    </w:p>
    <w:p w14:paraId="0AF3D236">
      <w:pPr>
        <w:jc w:val="center"/>
        <w:rPr>
          <w:rFonts w:hint="eastAsia" w:ascii="宋体" w:hAnsi="宋体" w:eastAsia="宋体" w:cs="宋体"/>
          <w:color w:val="auto"/>
          <w:sz w:val="32"/>
          <w:szCs w:val="32"/>
          <w:highlight w:val="none"/>
        </w:rPr>
      </w:pPr>
      <w:r>
        <w:rPr>
          <w:rFonts w:hint="eastAsia" w:ascii="宋体" w:hAnsi="宋体" w:eastAsia="宋体" w:cs="宋体"/>
          <w:b/>
          <w:color w:val="auto"/>
          <w:sz w:val="28"/>
          <w:szCs w:val="28"/>
          <w:highlight w:val="none"/>
        </w:rPr>
        <w:t>法定代表人身份证明或授权委托书</w:t>
      </w:r>
    </w:p>
    <w:p w14:paraId="0E2F3567">
      <w:pPr>
        <w:pStyle w:val="145"/>
        <w:spacing w:beforeLines="100" w:afterLines="100" w:line="480" w:lineRule="exact"/>
        <w:ind w:firstLine="180" w:firstLineChars="75"/>
        <w:rPr>
          <w:rFonts w:hint="eastAsia" w:ascii="宋体" w:hAnsi="宋体" w:eastAsia="宋体" w:cs="宋体"/>
          <w:b/>
          <w:color w:val="auto"/>
          <w:sz w:val="24"/>
          <w:szCs w:val="24"/>
          <w:highlight w:val="none"/>
        </w:rPr>
      </w:pPr>
      <w:bookmarkStart w:id="68" w:name="OLE_LINK13"/>
      <w:r>
        <w:rPr>
          <w:rFonts w:hint="eastAsia" w:ascii="宋体" w:hAnsi="宋体" w:eastAsia="宋体" w:cs="宋体"/>
          <w:color w:val="auto"/>
          <w:sz w:val="24"/>
          <w:szCs w:val="24"/>
          <w:highlight w:val="none"/>
        </w:rPr>
        <w:t>1、法定代表人身份证明</w:t>
      </w:r>
    </w:p>
    <w:p w14:paraId="41F8C1B0">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1700D46D">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单位性质：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004F28CA">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3B6CFE56">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2B928DCD">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经营期限：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2438176A">
      <w:pPr>
        <w:spacing w:line="480" w:lineRule="exact"/>
        <w:ind w:firstLine="1440"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240"/>
          <w:sz w:val="24"/>
          <w:szCs w:val="24"/>
          <w:highlight w:val="none"/>
        </w:rPr>
        <w:t>姓</w:t>
      </w:r>
      <w:r>
        <w:rPr>
          <w:rFonts w:hint="eastAsia" w:ascii="宋体" w:hAnsi="宋体" w:eastAsia="宋体" w:cs="宋体"/>
          <w:color w:val="auto"/>
          <w:sz w:val="24"/>
          <w:szCs w:val="24"/>
          <w:highlight w:val="none"/>
        </w:rPr>
        <w:t>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年龄：</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_</w:t>
      </w:r>
    </w:p>
    <w:p w14:paraId="6C8CAD9F">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（投标人名称）的法定代表人。</w:t>
      </w:r>
    </w:p>
    <w:p w14:paraId="3DACF58B">
      <w:pPr>
        <w:spacing w:line="480" w:lineRule="exact"/>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14:paraId="09F19DA4">
      <w:pPr>
        <w:spacing w:line="360" w:lineRule="auto"/>
        <w:ind w:firstLine="3480" w:firstLineChars="14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（签章）</w:t>
      </w:r>
    </w:p>
    <w:p w14:paraId="71183CC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bookmarkEnd w:id="68"/>
    <w:p w14:paraId="24F496D8">
      <w:pPr>
        <w:rPr>
          <w:rFonts w:hint="eastAsia" w:ascii="宋体" w:hAnsi="宋体" w:eastAsia="宋体" w:cs="宋体"/>
          <w:color w:val="auto"/>
          <w:sz w:val="24"/>
          <w:szCs w:val="24"/>
          <w:highlight w:val="none"/>
        </w:rPr>
      </w:pPr>
    </w:p>
    <w:p w14:paraId="1102F2AB">
      <w:pPr>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2、授权委托书</w:t>
      </w:r>
    </w:p>
    <w:p w14:paraId="0864FD2B">
      <w:pPr>
        <w:spacing w:line="480" w:lineRule="auto"/>
        <w:ind w:left="239" w:leftChars="114"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本授权委托书声明：我</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（姓名）</w:t>
      </w:r>
      <w:r>
        <w:rPr>
          <w:rFonts w:hint="eastAsia" w:ascii="宋体" w:hAnsi="宋体" w:eastAsia="宋体" w:cs="宋体"/>
          <w:color w:val="auto"/>
          <w:sz w:val="24"/>
          <w:szCs w:val="24"/>
          <w:highlight w:val="none"/>
        </w:rPr>
        <w:t>系</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（投标人名称）</w:t>
      </w:r>
      <w:r>
        <w:rPr>
          <w:rFonts w:hint="eastAsia" w:ascii="宋体" w:hAnsi="宋体" w:eastAsia="宋体" w:cs="宋体"/>
          <w:color w:val="auto"/>
          <w:sz w:val="24"/>
          <w:szCs w:val="24"/>
          <w:highlight w:val="none"/>
        </w:rPr>
        <w:t>的法定代表人，现授权委托</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（姓名）</w:t>
      </w:r>
      <w:r>
        <w:rPr>
          <w:rFonts w:hint="eastAsia" w:ascii="宋体" w:hAnsi="宋体" w:eastAsia="宋体" w:cs="宋体"/>
          <w:color w:val="auto"/>
          <w:sz w:val="24"/>
          <w:szCs w:val="24"/>
          <w:highlight w:val="none"/>
        </w:rPr>
        <w:t>为我公司法定代表人授权委托代理人，参加</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招标人</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工程的投标活动。代理人在投标、开标、评标、合同谈判过程中所签署的一切文件和处理与之有关的一切事务，我均予以承认。</w:t>
      </w:r>
    </w:p>
    <w:p w14:paraId="3D2F7968">
      <w:pPr>
        <w:spacing w:line="480" w:lineRule="auto"/>
        <w:ind w:firstLine="480" w:firstLineChars="200"/>
        <w:rPr>
          <w:rFonts w:hint="eastAsia" w:ascii="宋体" w:hAnsi="宋体" w:eastAsia="宋体" w:cs="宋体"/>
          <w:color w:val="auto"/>
          <w:sz w:val="24"/>
          <w:szCs w:val="24"/>
          <w:highlight w:val="none"/>
        </w:rPr>
      </w:pPr>
      <w:r>
        <w:rPr>
          <w:rFonts w:hint="eastAsia" w:ascii="宋体"/>
          <w:color w:val="auto"/>
          <w:sz w:val="24"/>
          <w:highlight w:val="none"/>
        </w:rPr>
        <w:t>委托期限：</w:t>
      </w:r>
      <w:r>
        <w:rPr>
          <w:rFonts w:hint="eastAsia" w:ascii="宋体"/>
          <w:color w:val="auto"/>
          <w:sz w:val="24"/>
          <w:highlight w:val="none"/>
          <w:u w:val="single"/>
        </w:rPr>
        <w:t xml:space="preserve">                         </w:t>
      </w:r>
      <w:r>
        <w:rPr>
          <w:rFonts w:hint="eastAsia" w:ascii="宋体"/>
          <w:color w:val="auto"/>
          <w:sz w:val="24"/>
          <w:highlight w:val="none"/>
          <w:lang w:eastAsia="zh-CN"/>
        </w:rPr>
        <w:t>。</w:t>
      </w:r>
    </w:p>
    <w:p w14:paraId="5186FBCB">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代理人无转委托权，特此委托。</w:t>
      </w:r>
    </w:p>
    <w:p w14:paraId="7ECF78C8">
      <w:pPr>
        <w:spacing w:line="480" w:lineRule="exact"/>
        <w:ind w:firstLine="480" w:firstLineChars="200"/>
        <w:rPr>
          <w:rFonts w:hint="eastAsia" w:ascii="宋体"/>
          <w:color w:val="auto"/>
          <w:sz w:val="24"/>
          <w:highlight w:val="none"/>
        </w:rPr>
      </w:pPr>
      <w:r>
        <w:rPr>
          <w:rFonts w:hint="eastAsia" w:ascii="宋体" w:hAnsi="宋体" w:eastAsia="宋体" w:cs="宋体"/>
          <w:color w:val="auto"/>
          <w:sz w:val="24"/>
          <w:szCs w:val="24"/>
          <w:highlight w:val="none"/>
        </w:rPr>
        <w:t>附：</w:t>
      </w:r>
      <w:r>
        <w:rPr>
          <w:rFonts w:hint="eastAsia" w:ascii="宋体"/>
          <w:color w:val="auto"/>
          <w:sz w:val="24"/>
          <w:highlight w:val="none"/>
        </w:rPr>
        <w:t>授权委托人有效身份证及法定代表人有效身份证</w:t>
      </w:r>
    </w:p>
    <w:p w14:paraId="54CB3CE1">
      <w:pPr>
        <w:spacing w:line="480" w:lineRule="exact"/>
        <w:ind w:firstLine="480" w:firstLineChars="200"/>
        <w:jc w:val="right"/>
        <w:rPr>
          <w:rFonts w:hint="eastAsia" w:ascii="宋体" w:hAnsi="Times New Roman" w:eastAsia="宋体" w:cs="Times New Roman"/>
          <w:color w:val="auto"/>
          <w:sz w:val="24"/>
          <w:highlight w:val="none"/>
        </w:rPr>
      </w:pPr>
      <w:r>
        <w:rPr>
          <w:rFonts w:hint="eastAsia" w:ascii="宋体"/>
          <w:color w:val="auto"/>
          <w:sz w:val="24"/>
          <w:highlight w:val="none"/>
        </w:rPr>
        <w:t xml:space="preserve">                                    </w:t>
      </w:r>
      <w:r>
        <w:rPr>
          <w:rFonts w:hint="eastAsia" w:ascii="宋体" w:hAnsi="Times New Roman" w:eastAsia="宋体" w:cs="Times New Roman"/>
          <w:color w:val="auto"/>
          <w:sz w:val="24"/>
          <w:highlight w:val="none"/>
        </w:rPr>
        <w:t xml:space="preserve"> 投标人：             （签章）</w:t>
      </w:r>
    </w:p>
    <w:p w14:paraId="2B8D027D">
      <w:pPr>
        <w:spacing w:line="480" w:lineRule="exact"/>
        <w:ind w:firstLine="480" w:firstLineChars="200"/>
        <w:jc w:val="right"/>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法定代表人（身份证号码）：             （签章）</w:t>
      </w:r>
    </w:p>
    <w:p w14:paraId="133159AC">
      <w:pPr>
        <w:spacing w:line="480" w:lineRule="exact"/>
        <w:ind w:firstLine="480" w:firstLineChars="200"/>
        <w:jc w:val="right"/>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 xml:space="preserve">              年    月    日</w:t>
      </w:r>
    </w:p>
    <w:p w14:paraId="10F35531">
      <w:pPr>
        <w:spacing w:line="480" w:lineRule="auto"/>
        <w:ind w:right="980" w:firstLine="482" w:firstLineChars="200"/>
        <w:jc w:val="center"/>
        <w:rPr>
          <w:rFonts w:hint="eastAsia" w:ascii="宋体" w:hAnsi="宋体" w:eastAsia="宋体" w:cs="宋体"/>
          <w:b/>
          <w:bCs/>
          <w:color w:val="auto"/>
          <w:kern w:val="0"/>
          <w:sz w:val="24"/>
          <w:szCs w:val="24"/>
          <w:highlight w:val="none"/>
        </w:rPr>
      </w:pPr>
    </w:p>
    <w:p w14:paraId="4C192855">
      <w:pPr>
        <w:rPr>
          <w:rFonts w:hint="eastAsia" w:ascii="宋体" w:hAnsi="宋体" w:eastAsia="宋体" w:cs="宋体"/>
          <w:b/>
          <w:color w:val="auto"/>
          <w:sz w:val="28"/>
          <w:szCs w:val="28"/>
          <w:highlight w:val="none"/>
        </w:rPr>
      </w:pPr>
      <w:r>
        <w:rPr>
          <w:rFonts w:hint="eastAsia" w:ascii="宋体" w:hAnsi="宋体" w:eastAsia="宋体" w:cs="宋体"/>
          <w:b/>
          <w:bCs/>
          <w:color w:val="auto"/>
          <w:kern w:val="0"/>
          <w:sz w:val="30"/>
          <w:szCs w:val="30"/>
          <w:highlight w:val="none"/>
        </w:rPr>
        <w:br w:type="page"/>
      </w:r>
    </w:p>
    <w:p w14:paraId="21FDDC94">
      <w:pPr>
        <w:pStyle w:val="42"/>
        <w:keepNext w:val="0"/>
        <w:keepLines w:val="0"/>
        <w:pageBreakBefore w:val="0"/>
        <w:kinsoku/>
        <w:wordWrap/>
        <w:overflowPunct/>
        <w:topLinePunct w:val="0"/>
        <w:autoSpaceDE/>
        <w:autoSpaceDN/>
        <w:bidi w:val="0"/>
        <w:snapToGrid w:val="0"/>
        <w:spacing w:before="0" w:beforeAutospacing="0" w:after="0" w:afterAutospacing="0" w:line="500" w:lineRule="exact"/>
        <w:jc w:val="center"/>
        <w:textAlignment w:val="auto"/>
        <w:rPr>
          <w:rFonts w:hint="default" w:ascii="宋体" w:hAnsi="宋体" w:eastAsia="宋体" w:cs="宋体"/>
          <w:b/>
          <w:color w:val="auto"/>
          <w:kern w:val="2"/>
          <w:sz w:val="28"/>
          <w:szCs w:val="28"/>
          <w:highlight w:val="none"/>
          <w:lang w:val="en-US" w:eastAsia="zh-CN" w:bidi="ar-SA"/>
        </w:rPr>
      </w:pPr>
      <w:r>
        <w:rPr>
          <w:rFonts w:hint="default" w:ascii="宋体" w:hAnsi="宋体" w:eastAsia="宋体" w:cs="宋体"/>
          <w:b/>
          <w:color w:val="auto"/>
          <w:kern w:val="2"/>
          <w:sz w:val="28"/>
          <w:szCs w:val="28"/>
          <w:highlight w:val="none"/>
          <w:lang w:val="en-US" w:eastAsia="zh-CN" w:bidi="ar-SA"/>
        </w:rPr>
        <w:t>项目人员配备表</w:t>
      </w:r>
    </w:p>
    <w:tbl>
      <w:tblPr>
        <w:tblStyle w:val="46"/>
        <w:tblW w:w="9352" w:type="dxa"/>
        <w:tblInd w:w="1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4"/>
        <w:gridCol w:w="782"/>
        <w:gridCol w:w="792"/>
        <w:gridCol w:w="1454"/>
        <w:gridCol w:w="2355"/>
        <w:gridCol w:w="1183"/>
        <w:gridCol w:w="1292"/>
      </w:tblGrid>
      <w:tr w14:paraId="4F161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noWrap w:val="0"/>
            <w:vAlign w:val="center"/>
          </w:tcPr>
          <w:p w14:paraId="39F5E912">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岗位</w:t>
            </w:r>
          </w:p>
        </w:tc>
        <w:tc>
          <w:tcPr>
            <w:tcW w:w="782" w:type="dxa"/>
            <w:noWrap w:val="0"/>
            <w:vAlign w:val="center"/>
          </w:tcPr>
          <w:p w14:paraId="299851A4">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姓名</w:t>
            </w:r>
          </w:p>
        </w:tc>
        <w:tc>
          <w:tcPr>
            <w:tcW w:w="792" w:type="dxa"/>
            <w:noWrap w:val="0"/>
            <w:vAlign w:val="center"/>
          </w:tcPr>
          <w:p w14:paraId="11BFADFC">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性别</w:t>
            </w:r>
          </w:p>
        </w:tc>
        <w:tc>
          <w:tcPr>
            <w:tcW w:w="1454" w:type="dxa"/>
            <w:noWrap w:val="0"/>
            <w:vAlign w:val="center"/>
          </w:tcPr>
          <w:p w14:paraId="7B59E80B">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身份证号码</w:t>
            </w:r>
          </w:p>
        </w:tc>
        <w:tc>
          <w:tcPr>
            <w:tcW w:w="2355" w:type="dxa"/>
            <w:noWrap w:val="0"/>
            <w:vAlign w:val="center"/>
          </w:tcPr>
          <w:p w14:paraId="50D228AB">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注册证书资格等级</w:t>
            </w:r>
          </w:p>
        </w:tc>
        <w:tc>
          <w:tcPr>
            <w:tcW w:w="1183" w:type="dxa"/>
            <w:noWrap w:val="0"/>
            <w:vAlign w:val="top"/>
          </w:tcPr>
          <w:p w14:paraId="2402AD70">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证书编号</w:t>
            </w:r>
          </w:p>
        </w:tc>
        <w:tc>
          <w:tcPr>
            <w:tcW w:w="1292" w:type="dxa"/>
            <w:noWrap w:val="0"/>
            <w:vAlign w:val="center"/>
          </w:tcPr>
          <w:p w14:paraId="5C4A99C1">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联系电话</w:t>
            </w:r>
          </w:p>
        </w:tc>
      </w:tr>
      <w:tr w14:paraId="7599A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noWrap w:val="0"/>
            <w:vAlign w:val="top"/>
          </w:tcPr>
          <w:p w14:paraId="7DAD8EAD">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项目负责人</w:t>
            </w:r>
          </w:p>
        </w:tc>
        <w:tc>
          <w:tcPr>
            <w:tcW w:w="782" w:type="dxa"/>
            <w:noWrap w:val="0"/>
            <w:vAlign w:val="top"/>
          </w:tcPr>
          <w:p w14:paraId="04B14B9B">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792" w:type="dxa"/>
            <w:noWrap w:val="0"/>
            <w:vAlign w:val="top"/>
          </w:tcPr>
          <w:p w14:paraId="04357312">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454" w:type="dxa"/>
            <w:noWrap w:val="0"/>
            <w:vAlign w:val="top"/>
          </w:tcPr>
          <w:p w14:paraId="2B389EA6">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2355" w:type="dxa"/>
            <w:noWrap w:val="0"/>
            <w:vAlign w:val="top"/>
          </w:tcPr>
          <w:p w14:paraId="4CE83D5F">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183" w:type="dxa"/>
            <w:noWrap w:val="0"/>
            <w:vAlign w:val="top"/>
          </w:tcPr>
          <w:p w14:paraId="508E0B94">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292" w:type="dxa"/>
            <w:noWrap w:val="0"/>
            <w:vAlign w:val="top"/>
          </w:tcPr>
          <w:p w14:paraId="0E359D28">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r>
      <w:tr w14:paraId="5B22A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noWrap w:val="0"/>
            <w:vAlign w:val="top"/>
          </w:tcPr>
          <w:p w14:paraId="6499511B">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项目组成员</w:t>
            </w:r>
          </w:p>
        </w:tc>
        <w:tc>
          <w:tcPr>
            <w:tcW w:w="782" w:type="dxa"/>
            <w:noWrap w:val="0"/>
            <w:vAlign w:val="top"/>
          </w:tcPr>
          <w:p w14:paraId="68959EE2">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792" w:type="dxa"/>
            <w:noWrap w:val="0"/>
            <w:vAlign w:val="top"/>
          </w:tcPr>
          <w:p w14:paraId="3E41E0CB">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454" w:type="dxa"/>
            <w:noWrap w:val="0"/>
            <w:vAlign w:val="top"/>
          </w:tcPr>
          <w:p w14:paraId="014F463F">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2355" w:type="dxa"/>
            <w:noWrap w:val="0"/>
            <w:vAlign w:val="top"/>
          </w:tcPr>
          <w:p w14:paraId="3861A870">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183" w:type="dxa"/>
            <w:noWrap w:val="0"/>
            <w:vAlign w:val="top"/>
          </w:tcPr>
          <w:p w14:paraId="5C1F9386">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292" w:type="dxa"/>
            <w:noWrap w:val="0"/>
            <w:vAlign w:val="top"/>
          </w:tcPr>
          <w:p w14:paraId="0239EAA9">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r>
      <w:tr w14:paraId="1FEC8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noWrap w:val="0"/>
            <w:vAlign w:val="top"/>
          </w:tcPr>
          <w:p w14:paraId="626281E7">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r>
              <w:rPr>
                <w:rFonts w:hint="eastAsia" w:ascii="宋体" w:hAnsi="宋体" w:eastAsia="宋体" w:cs="宋体"/>
                <w:color w:val="auto"/>
                <w:sz w:val="24"/>
                <w:szCs w:val="24"/>
                <w:highlight w:val="none"/>
                <w:lang w:val="en-US" w:eastAsia="zh-CN"/>
              </w:rPr>
              <w:t>项目组成员</w:t>
            </w:r>
          </w:p>
        </w:tc>
        <w:tc>
          <w:tcPr>
            <w:tcW w:w="782" w:type="dxa"/>
            <w:noWrap w:val="0"/>
            <w:vAlign w:val="top"/>
          </w:tcPr>
          <w:p w14:paraId="7C9B9D84">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792" w:type="dxa"/>
            <w:noWrap w:val="0"/>
            <w:vAlign w:val="top"/>
          </w:tcPr>
          <w:p w14:paraId="113C41BE">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454" w:type="dxa"/>
            <w:noWrap w:val="0"/>
            <w:vAlign w:val="top"/>
          </w:tcPr>
          <w:p w14:paraId="7E8F5D67">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2355" w:type="dxa"/>
            <w:noWrap w:val="0"/>
            <w:vAlign w:val="top"/>
          </w:tcPr>
          <w:p w14:paraId="523DE6F0">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183" w:type="dxa"/>
            <w:noWrap w:val="0"/>
            <w:vAlign w:val="top"/>
          </w:tcPr>
          <w:p w14:paraId="614F96D6">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292" w:type="dxa"/>
            <w:noWrap w:val="0"/>
            <w:vAlign w:val="top"/>
          </w:tcPr>
          <w:p w14:paraId="2489B64C">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r>
      <w:tr w14:paraId="67029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noWrap w:val="0"/>
            <w:vAlign w:val="top"/>
          </w:tcPr>
          <w:p w14:paraId="49CD33A1">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782" w:type="dxa"/>
            <w:noWrap w:val="0"/>
            <w:vAlign w:val="top"/>
          </w:tcPr>
          <w:p w14:paraId="46BBC33E">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792" w:type="dxa"/>
            <w:noWrap w:val="0"/>
            <w:vAlign w:val="top"/>
          </w:tcPr>
          <w:p w14:paraId="32E16400">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454" w:type="dxa"/>
            <w:noWrap w:val="0"/>
            <w:vAlign w:val="top"/>
          </w:tcPr>
          <w:p w14:paraId="23E1BBC6">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2355" w:type="dxa"/>
            <w:noWrap w:val="0"/>
            <w:vAlign w:val="top"/>
          </w:tcPr>
          <w:p w14:paraId="17498B77">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183" w:type="dxa"/>
            <w:noWrap w:val="0"/>
            <w:vAlign w:val="top"/>
          </w:tcPr>
          <w:p w14:paraId="0B5DA3D2">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292" w:type="dxa"/>
            <w:noWrap w:val="0"/>
            <w:vAlign w:val="top"/>
          </w:tcPr>
          <w:p w14:paraId="75F0B417">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r>
    </w:tbl>
    <w:p w14:paraId="6D79D3F9">
      <w:pPr>
        <w:jc w:val="center"/>
        <w:rPr>
          <w:rFonts w:hint="eastAsia" w:ascii="宋体" w:hAnsi="宋体" w:eastAsia="宋体" w:cs="宋体"/>
          <w:color w:val="auto"/>
          <w:sz w:val="28"/>
          <w:szCs w:val="28"/>
          <w:highlight w:val="none"/>
          <w:u w:val="single"/>
        </w:rPr>
      </w:pPr>
    </w:p>
    <w:p w14:paraId="01683548">
      <w:pPr>
        <w:spacing w:line="480" w:lineRule="exact"/>
        <w:ind w:firstLine="480" w:firstLineChars="200"/>
        <w:jc w:val="right"/>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 xml:space="preserve"> 投标人：             （签章）</w:t>
      </w:r>
    </w:p>
    <w:p w14:paraId="2538AB65">
      <w:pPr>
        <w:spacing w:line="480" w:lineRule="exact"/>
        <w:ind w:firstLine="480" w:firstLineChars="200"/>
        <w:jc w:val="right"/>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法定代表人或其委托代理人：             （签章）</w:t>
      </w:r>
    </w:p>
    <w:p w14:paraId="1407EB75">
      <w:pPr>
        <w:spacing w:line="480" w:lineRule="exact"/>
        <w:ind w:firstLine="480" w:firstLineChars="200"/>
        <w:jc w:val="right"/>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 xml:space="preserve">              年    月    日</w:t>
      </w:r>
    </w:p>
    <w:p w14:paraId="30963256">
      <w:pPr>
        <w:jc w:val="center"/>
        <w:rPr>
          <w:rFonts w:hint="eastAsia" w:ascii="宋体" w:hAnsi="宋体" w:eastAsia="宋体" w:cs="宋体"/>
          <w:b/>
          <w:bCs/>
          <w:color w:val="auto"/>
          <w:sz w:val="28"/>
          <w:szCs w:val="28"/>
          <w:highlight w:val="none"/>
        </w:rPr>
      </w:pPr>
    </w:p>
    <w:p w14:paraId="7774A8B9">
      <w:pPr>
        <w:pStyle w:val="2"/>
        <w:rPr>
          <w:rFonts w:hint="eastAsia"/>
          <w:color w:val="auto"/>
          <w:highlight w:val="none"/>
        </w:rPr>
      </w:pPr>
    </w:p>
    <w:p w14:paraId="14A4BCCA">
      <w:pPr>
        <w:jc w:val="center"/>
        <w:rPr>
          <w:rFonts w:hint="eastAsia" w:ascii="宋体" w:hAnsi="宋体" w:eastAsia="宋体" w:cs="宋体"/>
          <w:b/>
          <w:bCs/>
          <w:color w:val="auto"/>
          <w:sz w:val="28"/>
          <w:szCs w:val="28"/>
          <w:highlight w:val="none"/>
        </w:rPr>
      </w:pPr>
    </w:p>
    <w:p w14:paraId="3CCC12D7">
      <w:pPr>
        <w:jc w:val="center"/>
        <w:rPr>
          <w:rFonts w:hint="eastAsia" w:ascii="宋体" w:hAnsi="宋体" w:eastAsia="宋体" w:cs="宋体"/>
          <w:b/>
          <w:bCs/>
          <w:color w:val="auto"/>
          <w:sz w:val="28"/>
          <w:szCs w:val="28"/>
          <w:highlight w:val="none"/>
        </w:rPr>
      </w:pPr>
    </w:p>
    <w:p w14:paraId="5E9002FF">
      <w:pPr>
        <w:jc w:val="center"/>
        <w:rPr>
          <w:rFonts w:hint="eastAsia" w:ascii="宋体" w:hAnsi="宋体" w:eastAsia="宋体" w:cs="宋体"/>
          <w:b/>
          <w:bCs/>
          <w:color w:val="auto"/>
          <w:sz w:val="28"/>
          <w:szCs w:val="28"/>
          <w:highlight w:val="none"/>
        </w:rPr>
      </w:pPr>
    </w:p>
    <w:p w14:paraId="5443CE27">
      <w:pPr>
        <w:jc w:val="center"/>
        <w:rPr>
          <w:rFonts w:hint="eastAsia" w:ascii="宋体" w:hAnsi="宋体" w:eastAsia="宋体" w:cs="宋体"/>
          <w:b/>
          <w:bCs/>
          <w:color w:val="auto"/>
          <w:sz w:val="28"/>
          <w:szCs w:val="28"/>
          <w:highlight w:val="none"/>
        </w:rPr>
      </w:pPr>
    </w:p>
    <w:p w14:paraId="57A6ABA6">
      <w:pPr>
        <w:jc w:val="center"/>
        <w:rPr>
          <w:rFonts w:hint="eastAsia" w:ascii="宋体" w:hAnsi="宋体" w:eastAsia="宋体" w:cs="宋体"/>
          <w:b/>
          <w:bCs/>
          <w:color w:val="auto"/>
          <w:sz w:val="28"/>
          <w:szCs w:val="28"/>
          <w:highlight w:val="none"/>
        </w:rPr>
      </w:pPr>
    </w:p>
    <w:p w14:paraId="41257297">
      <w:pPr>
        <w:jc w:val="center"/>
        <w:rPr>
          <w:rFonts w:hint="eastAsia" w:ascii="宋体" w:hAnsi="宋体" w:eastAsia="宋体" w:cs="宋体"/>
          <w:b/>
          <w:bCs/>
          <w:color w:val="auto"/>
          <w:sz w:val="28"/>
          <w:szCs w:val="28"/>
          <w:highlight w:val="none"/>
        </w:rPr>
      </w:pPr>
    </w:p>
    <w:p w14:paraId="22AD1574">
      <w:pPr>
        <w:jc w:val="center"/>
        <w:rPr>
          <w:rFonts w:hint="eastAsia" w:ascii="宋体" w:hAnsi="宋体" w:eastAsia="宋体" w:cs="宋体"/>
          <w:b/>
          <w:bCs/>
          <w:color w:val="auto"/>
          <w:sz w:val="28"/>
          <w:szCs w:val="28"/>
          <w:highlight w:val="none"/>
        </w:rPr>
      </w:pPr>
    </w:p>
    <w:p w14:paraId="54964737">
      <w:pPr>
        <w:jc w:val="center"/>
        <w:rPr>
          <w:rFonts w:hint="eastAsia" w:ascii="宋体" w:hAnsi="宋体" w:eastAsia="宋体" w:cs="宋体"/>
          <w:b/>
          <w:bCs/>
          <w:color w:val="auto"/>
          <w:sz w:val="28"/>
          <w:szCs w:val="28"/>
          <w:highlight w:val="none"/>
        </w:rPr>
      </w:pPr>
    </w:p>
    <w:p w14:paraId="6B9E4E6B">
      <w:pPr>
        <w:jc w:val="center"/>
        <w:rPr>
          <w:rFonts w:hint="eastAsia" w:ascii="宋体" w:hAnsi="宋体" w:eastAsia="宋体" w:cs="宋体"/>
          <w:b/>
          <w:bCs/>
          <w:color w:val="auto"/>
          <w:sz w:val="28"/>
          <w:szCs w:val="28"/>
          <w:highlight w:val="none"/>
        </w:rPr>
      </w:pPr>
    </w:p>
    <w:p w14:paraId="2FB0BF2A">
      <w:pPr>
        <w:jc w:val="center"/>
        <w:rPr>
          <w:rFonts w:hint="eastAsia" w:ascii="宋体" w:hAnsi="宋体" w:eastAsia="宋体" w:cs="宋体"/>
          <w:b/>
          <w:bCs/>
          <w:color w:val="auto"/>
          <w:sz w:val="28"/>
          <w:szCs w:val="28"/>
          <w:highlight w:val="none"/>
        </w:rPr>
      </w:pPr>
    </w:p>
    <w:p w14:paraId="2908FF31">
      <w:pPr>
        <w:jc w:val="center"/>
        <w:rPr>
          <w:rFonts w:hint="eastAsia" w:ascii="宋体" w:hAnsi="宋体" w:eastAsia="宋体" w:cs="宋体"/>
          <w:b/>
          <w:bCs/>
          <w:color w:val="auto"/>
          <w:sz w:val="28"/>
          <w:szCs w:val="28"/>
          <w:highlight w:val="none"/>
        </w:rPr>
      </w:pPr>
    </w:p>
    <w:p w14:paraId="19883A24">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投 标 函</w:t>
      </w:r>
    </w:p>
    <w:p w14:paraId="561AA3C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left"/>
        <w:textAlignment w:val="auto"/>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 xml:space="preserve">                                 </w:t>
      </w:r>
    </w:p>
    <w:p w14:paraId="0BB8801E">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招标</w:t>
      </w:r>
      <w:r>
        <w:rPr>
          <w:rFonts w:hint="eastAsia" w:ascii="宋体" w:hAnsi="宋体" w:eastAsia="宋体" w:cs="宋体"/>
          <w:color w:val="auto"/>
          <w:szCs w:val="21"/>
          <w:highlight w:val="none"/>
          <w:u w:val="single"/>
        </w:rPr>
        <w:t xml:space="preserve">人)       </w:t>
      </w:r>
      <w:r>
        <w:rPr>
          <w:rFonts w:hint="eastAsia" w:ascii="宋体" w:hAnsi="宋体" w:eastAsia="宋体" w:cs="宋体"/>
          <w:color w:val="auto"/>
          <w:szCs w:val="21"/>
          <w:highlight w:val="none"/>
        </w:rPr>
        <w:t xml:space="preserve"> </w:t>
      </w:r>
    </w:p>
    <w:p w14:paraId="0D5B4C2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1.我们决定参加贵单位组织的“</w:t>
      </w:r>
      <w:r>
        <w:rPr>
          <w:rFonts w:hint="eastAsia" w:ascii="宋体" w:hAnsi="宋体" w:eastAsia="宋体" w:cs="宋体"/>
          <w:color w:val="auto"/>
          <w:szCs w:val="21"/>
          <w:highlight w:val="none"/>
          <w:u w:val="single"/>
        </w:rPr>
        <w:t xml:space="preserve"> （项目名称</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lang w:val="en-US" w:eastAsia="zh-CN"/>
        </w:rPr>
        <w:t>项目编号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 xml:space="preserve">。我方授权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(姓名和职务)代表我方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（投标人的名称）全权处理本项目投标的有关事宜。</w:t>
      </w:r>
    </w:p>
    <w:p w14:paraId="66853405">
      <w:pPr>
        <w:spacing w:line="360" w:lineRule="auto"/>
        <w:ind w:firstLine="420" w:firstLineChars="200"/>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2.我方愿意按照招标文件规定的各项要求，向</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人提供</w:t>
      </w:r>
      <w:r>
        <w:rPr>
          <w:rFonts w:hint="eastAsia" w:ascii="宋体" w:hAnsi="宋体" w:eastAsia="宋体" w:cs="宋体"/>
          <w:color w:val="auto"/>
          <w:szCs w:val="21"/>
          <w:highlight w:val="none"/>
          <w:lang w:val="en-US" w:eastAsia="zh-CN"/>
        </w:rPr>
        <w:t>本</w:t>
      </w:r>
      <w:r>
        <w:rPr>
          <w:rFonts w:hint="eastAsia" w:ascii="宋体" w:hAnsi="宋体" w:eastAsia="宋体" w:cs="宋体"/>
          <w:color w:val="auto"/>
          <w:szCs w:val="21"/>
          <w:highlight w:val="none"/>
        </w:rPr>
        <w:t>项目的服务，我方报价为</w:t>
      </w:r>
      <w:r>
        <w:rPr>
          <w:rFonts w:hint="eastAsia" w:ascii="宋体" w:hAnsi="宋体" w:eastAsia="宋体" w:cs="宋体"/>
          <w:b/>
          <w:bCs/>
          <w:color w:val="auto"/>
          <w:szCs w:val="21"/>
          <w:highlight w:val="none"/>
        </w:rPr>
        <w:t>基本费</w:t>
      </w:r>
    </w:p>
    <w:p w14:paraId="73B46545">
      <w:pPr>
        <w:spacing w:line="360" w:lineRule="auto"/>
        <w:rPr>
          <w:rFonts w:hint="eastAsia" w:ascii="宋体" w:hAnsi="宋体" w:eastAsia="宋体" w:cs="宋体"/>
          <w:color w:val="auto"/>
          <w:szCs w:val="21"/>
          <w:highlight w:val="none"/>
          <w:u w:val="single"/>
        </w:rPr>
      </w:pPr>
      <w:r>
        <w:rPr>
          <w:rFonts w:hint="eastAsia" w:ascii="宋体" w:hAnsi="宋体" w:eastAsia="宋体" w:cs="宋体"/>
          <w:b/>
          <w:bCs/>
          <w:color w:val="auto"/>
          <w:szCs w:val="21"/>
          <w:highlight w:val="none"/>
          <w:u w:val="single"/>
        </w:rPr>
        <w:t xml:space="preserve">    </w:t>
      </w:r>
      <w:r>
        <w:rPr>
          <w:rFonts w:hint="eastAsia" w:ascii="宋体" w:hAnsi="宋体" w:cs="宋体"/>
          <w:b/>
          <w:bCs/>
          <w:color w:val="auto"/>
          <w:szCs w:val="21"/>
          <w:highlight w:val="none"/>
          <w:u w:val="single"/>
          <w:lang w:val="en-US" w:eastAsia="zh-CN"/>
        </w:rPr>
        <w:t xml:space="preserve">   </w:t>
      </w:r>
      <w:r>
        <w:rPr>
          <w:rFonts w:hint="eastAsia" w:ascii="宋体" w:hAnsi="宋体" w:eastAsia="宋体" w:cs="宋体"/>
          <w:b/>
          <w:bCs/>
          <w:color w:val="auto"/>
          <w:szCs w:val="21"/>
          <w:highlight w:val="none"/>
          <w:u w:val="single"/>
        </w:rPr>
        <w:t xml:space="preserve">  </w:t>
      </w:r>
      <w:r>
        <w:rPr>
          <w:rFonts w:hint="eastAsia" w:ascii="宋体" w:hAnsi="宋体" w:eastAsia="宋体" w:cs="宋体"/>
          <w:b/>
          <w:bCs/>
          <w:color w:val="auto"/>
          <w:szCs w:val="21"/>
          <w:highlight w:val="none"/>
          <w:lang w:val="en-US" w:eastAsia="zh-CN"/>
        </w:rPr>
        <w:t>元</w:t>
      </w:r>
      <w:r>
        <w:rPr>
          <w:rFonts w:hint="eastAsia" w:ascii="宋体" w:hAnsi="宋体" w:eastAsia="宋体" w:cs="宋体"/>
          <w:b/>
          <w:bCs/>
          <w:color w:val="auto"/>
          <w:szCs w:val="21"/>
          <w:highlight w:val="none"/>
        </w:rPr>
        <w:t>，审核成果费率</w:t>
      </w:r>
      <w:r>
        <w:rPr>
          <w:rFonts w:hint="eastAsia" w:ascii="宋体" w:hAnsi="宋体" w:eastAsia="宋体" w:cs="宋体"/>
          <w:b/>
          <w:bCs/>
          <w:color w:val="auto"/>
          <w:szCs w:val="21"/>
          <w:highlight w:val="none"/>
          <w:lang w:val="en-US" w:eastAsia="zh-CN"/>
        </w:rPr>
        <w:t>4</w:t>
      </w:r>
      <w:r>
        <w:rPr>
          <w:rFonts w:hint="eastAsia" w:ascii="宋体" w:hAnsi="宋体" w:eastAsia="宋体" w:cs="宋体"/>
          <w:b/>
          <w:bCs/>
          <w:color w:val="auto"/>
          <w:szCs w:val="21"/>
          <w:highlight w:val="none"/>
        </w:rPr>
        <w:t>%。</w:t>
      </w:r>
      <w:r>
        <w:rPr>
          <w:rFonts w:hint="eastAsia" w:ascii="宋体" w:hAnsi="宋体" w:eastAsia="宋体" w:cs="宋体"/>
          <w:color w:val="auto"/>
          <w:szCs w:val="21"/>
          <w:highlight w:val="none"/>
        </w:rPr>
        <w:t>项目负责人为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，服务期</w:t>
      </w:r>
      <w:r>
        <w:rPr>
          <w:rFonts w:hint="eastAsia" w:ascii="宋体" w:hAnsi="宋体" w:eastAsia="宋体" w:cs="宋体"/>
          <w:color w:val="auto"/>
          <w:szCs w:val="21"/>
          <w:highlight w:val="none"/>
          <w:u w:val="none"/>
        </w:rPr>
        <w:t>：</w:t>
      </w:r>
      <w:r>
        <w:rPr>
          <w:rFonts w:hint="eastAsia" w:ascii="宋体" w:hAnsi="宋体" w:eastAsia="宋体" w:cs="宋体"/>
          <w:color w:val="auto"/>
          <w:szCs w:val="21"/>
          <w:highlight w:val="none"/>
          <w:u w:val="single"/>
          <w:lang w:eastAsia="zh-CN"/>
        </w:rPr>
        <w:t>在施工单位报送的项目结算资料完整后的</w:t>
      </w:r>
      <w:r>
        <w:rPr>
          <w:rFonts w:hint="eastAsia" w:ascii="宋体" w:hAnsi="宋体" w:eastAsia="宋体" w:cs="宋体"/>
          <w:color w:val="auto"/>
          <w:szCs w:val="21"/>
          <w:highlight w:val="none"/>
          <w:u w:val="single"/>
          <w:lang w:val="en-US" w:eastAsia="zh-CN"/>
        </w:rPr>
        <w:t>10</w:t>
      </w:r>
      <w:r>
        <w:rPr>
          <w:rFonts w:hint="eastAsia" w:ascii="宋体" w:hAnsi="宋体" w:eastAsia="宋体" w:cs="宋体"/>
          <w:color w:val="auto"/>
          <w:szCs w:val="21"/>
          <w:highlight w:val="none"/>
          <w:u w:val="single"/>
          <w:lang w:eastAsia="zh-CN"/>
        </w:rPr>
        <w:t>日</w:t>
      </w:r>
      <w:r>
        <w:rPr>
          <w:rFonts w:hint="eastAsia" w:ascii="宋体" w:hAnsi="宋体" w:eastAsia="宋体" w:cs="宋体"/>
          <w:color w:val="auto"/>
          <w:szCs w:val="21"/>
          <w:highlight w:val="none"/>
          <w:u w:val="single"/>
          <w:lang w:val="en-US" w:eastAsia="zh-CN"/>
        </w:rPr>
        <w:t>内</w:t>
      </w:r>
      <w:r>
        <w:rPr>
          <w:rFonts w:hint="eastAsia" w:ascii="宋体" w:hAnsi="宋体" w:eastAsia="宋体" w:cs="宋体"/>
          <w:color w:val="auto"/>
          <w:szCs w:val="21"/>
          <w:highlight w:val="none"/>
          <w:u w:val="single"/>
          <w:lang w:eastAsia="zh-CN"/>
        </w:rPr>
        <w:t>完成，并出具审核报告。满足关于印发《工程造价咨询服务管理办法》的通知（滁重〔2022〕55号）规定第十七条和第十八条要求。</w:t>
      </w:r>
      <w:r>
        <w:rPr>
          <w:rFonts w:hint="eastAsia" w:ascii="宋体" w:hAnsi="宋体" w:eastAsia="宋体" w:cs="宋体"/>
          <w:color w:val="auto"/>
          <w:szCs w:val="21"/>
          <w:highlight w:val="none"/>
        </w:rPr>
        <w:t>。</w:t>
      </w:r>
    </w:p>
    <w:p w14:paraId="03D443C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3.本项目投标有效期为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60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日历天（从投标截止之日算起）。</w:t>
      </w:r>
    </w:p>
    <w:p w14:paraId="73D569E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4.一旦我方成为合同签字人，我方将严格履行合同规定的责任和义务。</w:t>
      </w:r>
    </w:p>
    <w:p w14:paraId="36FF693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.若我方中标，愿意为本项目提交的纸质投标文件一式</w:t>
      </w:r>
      <w:r>
        <w:rPr>
          <w:rFonts w:hint="eastAsia" w:ascii="宋体" w:hAnsi="宋体" w:eastAsia="宋体" w:cs="宋体"/>
          <w:color w:val="auto"/>
          <w:szCs w:val="21"/>
          <w:highlight w:val="none"/>
          <w:lang w:val="en-US" w:eastAsia="zh-CN"/>
        </w:rPr>
        <w:t>二</w:t>
      </w:r>
      <w:r>
        <w:rPr>
          <w:rFonts w:hint="eastAsia" w:ascii="宋体" w:hAnsi="宋体" w:eastAsia="宋体" w:cs="宋体"/>
          <w:color w:val="auto"/>
          <w:szCs w:val="21"/>
          <w:highlight w:val="none"/>
        </w:rPr>
        <w:t>份，其中正本一份、副本</w:t>
      </w:r>
      <w:r>
        <w:rPr>
          <w:rFonts w:hint="eastAsia" w:ascii="宋体" w:hAnsi="宋体" w:eastAsia="宋体" w:cs="宋体"/>
          <w:color w:val="auto"/>
          <w:szCs w:val="21"/>
          <w:highlight w:val="none"/>
          <w:lang w:val="en-US" w:eastAsia="zh-CN"/>
        </w:rPr>
        <w:t>一</w:t>
      </w:r>
      <w:r>
        <w:rPr>
          <w:rFonts w:hint="eastAsia" w:ascii="宋体" w:hAnsi="宋体" w:eastAsia="宋体" w:cs="宋体"/>
          <w:color w:val="auto"/>
          <w:szCs w:val="21"/>
          <w:highlight w:val="none"/>
        </w:rPr>
        <w:t>份。</w:t>
      </w:r>
    </w:p>
    <w:p w14:paraId="4C35FCB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.我方愿意提供可能另外要求的、与采购投标有关的文件资料，并保证我方已提供和将要提供的文件是真实的、准确的。</w:t>
      </w:r>
    </w:p>
    <w:p w14:paraId="43EBE829">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.我单位提供如下通讯地址：</w:t>
      </w:r>
      <w:r>
        <w:rPr>
          <w:rFonts w:hint="eastAsia" w:ascii="宋体" w:hAnsi="宋体" w:eastAsia="宋体" w:cs="宋体"/>
          <w:color w:val="auto"/>
          <w:szCs w:val="21"/>
          <w:highlight w:val="none"/>
          <w:u w:val="single"/>
        </w:rPr>
        <w:t xml:space="preserve">                电子邮箱（地址）</w:t>
      </w:r>
      <w:r>
        <w:rPr>
          <w:rFonts w:hint="eastAsia" w:ascii="宋体" w:hAnsi="宋体" w:eastAsia="宋体" w:cs="宋体"/>
          <w:color w:val="auto"/>
          <w:szCs w:val="21"/>
          <w:highlight w:val="none"/>
        </w:rPr>
        <w:t>，确认本项目相关法律文书均通过提供的以上地址送达，相关文书只要发送至以上电子邮箱（地址）即视为送达，投标人愿意承担一切法律后果。</w:t>
      </w:r>
    </w:p>
    <w:p w14:paraId="02E68186">
      <w:pPr>
        <w:pStyle w:val="2"/>
        <w:spacing w:line="360" w:lineRule="auto"/>
        <w:rPr>
          <w:rFonts w:hint="eastAsia" w:ascii="宋体" w:hAnsi="宋体" w:eastAsia="宋体" w:cs="宋体"/>
          <w:color w:val="auto"/>
          <w:szCs w:val="21"/>
          <w:highlight w:val="none"/>
        </w:rPr>
      </w:pPr>
    </w:p>
    <w:p w14:paraId="52ECA389">
      <w:pPr>
        <w:keepNext w:val="0"/>
        <w:keepLines w:val="0"/>
        <w:pageBreakBefore w:val="0"/>
        <w:widowControl w:val="0"/>
        <w:kinsoku/>
        <w:wordWrap/>
        <w:overflowPunct/>
        <w:topLinePunct w:val="0"/>
        <w:autoSpaceDE/>
        <w:autoSpaceDN/>
        <w:bidi w:val="0"/>
        <w:adjustRightInd/>
        <w:snapToGrid/>
        <w:spacing w:line="360" w:lineRule="auto"/>
        <w:ind w:firstLine="1995" w:firstLineChars="950"/>
        <w:textAlignment w:val="auto"/>
        <w:rPr>
          <w:rFonts w:hint="eastAsia" w:ascii="宋体" w:hAnsi="宋体" w:eastAsia="宋体" w:cs="宋体"/>
          <w:color w:val="auto"/>
          <w:szCs w:val="21"/>
          <w:highlight w:val="none"/>
        </w:rPr>
      </w:pPr>
    </w:p>
    <w:p w14:paraId="45B1C6C3">
      <w:pPr>
        <w:keepNext w:val="0"/>
        <w:keepLines w:val="0"/>
        <w:pageBreakBefore w:val="0"/>
        <w:widowControl w:val="0"/>
        <w:kinsoku/>
        <w:wordWrap/>
        <w:overflowPunct/>
        <w:topLinePunct w:val="0"/>
        <w:autoSpaceDE/>
        <w:autoSpaceDN/>
        <w:bidi w:val="0"/>
        <w:adjustRightInd/>
        <w:snapToGrid/>
        <w:spacing w:line="360" w:lineRule="auto"/>
        <w:ind w:firstLine="1995" w:firstLineChars="95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u w:val="single"/>
        </w:rPr>
        <w:t xml:space="preserve">                   （签章） </w:t>
      </w:r>
    </w:p>
    <w:p w14:paraId="1F08F4FE">
      <w:pPr>
        <w:keepNext w:val="0"/>
        <w:keepLines w:val="0"/>
        <w:pageBreakBefore w:val="0"/>
        <w:widowControl w:val="0"/>
        <w:kinsoku/>
        <w:wordWrap/>
        <w:overflowPunct/>
        <w:topLinePunct w:val="0"/>
        <w:autoSpaceDE/>
        <w:autoSpaceDN/>
        <w:bidi w:val="0"/>
        <w:adjustRightInd/>
        <w:snapToGrid/>
        <w:spacing w:line="360" w:lineRule="auto"/>
        <w:ind w:left="1995" w:leftChars="95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法定代表人或其委托代理人：</w:t>
      </w:r>
      <w:r>
        <w:rPr>
          <w:rFonts w:hint="eastAsia" w:ascii="宋体" w:hAnsi="宋体" w:eastAsia="宋体" w:cs="宋体"/>
          <w:color w:val="auto"/>
          <w:szCs w:val="21"/>
          <w:highlight w:val="none"/>
          <w:u w:val="single"/>
        </w:rPr>
        <w:t xml:space="preserve">        （签章）</w:t>
      </w:r>
      <w:r>
        <w:rPr>
          <w:rFonts w:hint="eastAsia" w:ascii="宋体" w:hAnsi="宋体" w:eastAsia="宋体" w:cs="宋体"/>
          <w:color w:val="auto"/>
          <w:szCs w:val="21"/>
          <w:highlight w:val="none"/>
        </w:rPr>
        <w:t xml:space="preserve">         </w:t>
      </w:r>
    </w:p>
    <w:p w14:paraId="2267CA40">
      <w:pPr>
        <w:keepNext w:val="0"/>
        <w:keepLines w:val="0"/>
        <w:pageBreakBefore w:val="0"/>
        <w:widowControl w:val="0"/>
        <w:kinsoku/>
        <w:wordWrap/>
        <w:overflowPunct/>
        <w:topLinePunct w:val="0"/>
        <w:autoSpaceDE/>
        <w:autoSpaceDN/>
        <w:bidi w:val="0"/>
        <w:adjustRightInd/>
        <w:snapToGrid/>
        <w:spacing w:line="360" w:lineRule="auto"/>
        <w:ind w:left="1995" w:leftChars="95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单位地址：</w:t>
      </w:r>
      <w:r>
        <w:rPr>
          <w:rFonts w:hint="eastAsia" w:ascii="宋体" w:hAnsi="宋体" w:eastAsia="宋体" w:cs="宋体"/>
          <w:color w:val="auto"/>
          <w:szCs w:val="21"/>
          <w:highlight w:val="none"/>
          <w:u w:val="single"/>
        </w:rPr>
        <w:t xml:space="preserve">                   </w:t>
      </w:r>
    </w:p>
    <w:p w14:paraId="04B0F2ED">
      <w:pPr>
        <w:keepNext w:val="0"/>
        <w:keepLines w:val="0"/>
        <w:pageBreakBefore w:val="0"/>
        <w:widowControl w:val="0"/>
        <w:kinsoku/>
        <w:wordWrap/>
        <w:overflowPunct/>
        <w:topLinePunct w:val="0"/>
        <w:autoSpaceDE/>
        <w:autoSpaceDN/>
        <w:bidi w:val="0"/>
        <w:adjustRightInd/>
        <w:snapToGrid/>
        <w:spacing w:line="360" w:lineRule="auto"/>
        <w:ind w:left="1995" w:leftChars="95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none"/>
          <w:lang w:val="en-US" w:eastAsia="zh-CN"/>
        </w:rPr>
        <w:t>联系电话：</w:t>
      </w:r>
      <w:r>
        <w:rPr>
          <w:rFonts w:hint="eastAsia" w:ascii="宋体" w:hAnsi="宋体" w:eastAsia="宋体" w:cs="宋体"/>
          <w:color w:val="auto"/>
          <w:szCs w:val="21"/>
          <w:highlight w:val="none"/>
          <w:u w:val="none"/>
        </w:rPr>
        <w:t xml:space="preserve">   </w:t>
      </w:r>
      <w:r>
        <w:rPr>
          <w:rFonts w:hint="eastAsia" w:ascii="宋体" w:hAnsi="宋体" w:eastAsia="宋体" w:cs="宋体"/>
          <w:color w:val="auto"/>
          <w:szCs w:val="21"/>
          <w:highlight w:val="none"/>
          <w:u w:val="single"/>
        </w:rPr>
        <w:t xml:space="preserve">                </w:t>
      </w:r>
    </w:p>
    <w:p w14:paraId="23F4B22F">
      <w:pPr>
        <w:keepNext w:val="0"/>
        <w:keepLines w:val="0"/>
        <w:pageBreakBefore w:val="0"/>
        <w:widowControl w:val="0"/>
        <w:kinsoku/>
        <w:wordWrap/>
        <w:overflowPunct/>
        <w:topLinePunct w:val="0"/>
        <w:autoSpaceDE/>
        <w:autoSpaceDN/>
        <w:bidi w:val="0"/>
        <w:adjustRightInd/>
        <w:snapToGrid/>
        <w:spacing w:line="360" w:lineRule="auto"/>
        <w:ind w:left="1995" w:leftChars="95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年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月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3E1611FF">
      <w:pPr>
        <w:spacing w:line="360" w:lineRule="auto"/>
        <w:rPr>
          <w:rFonts w:hint="eastAsia" w:ascii="宋体" w:hAnsi="宋体" w:cs="宋体"/>
          <w:b/>
          <w:color w:val="auto"/>
          <w:sz w:val="28"/>
          <w:szCs w:val="28"/>
          <w:highlight w:val="none"/>
          <w:lang w:val="en-US" w:eastAsia="zh-CN"/>
        </w:rPr>
      </w:pPr>
    </w:p>
    <w:p w14:paraId="739A9E3E">
      <w:pPr>
        <w:spacing w:line="360" w:lineRule="auto"/>
        <w:rPr>
          <w:rFonts w:hint="eastAsia" w:ascii="宋体" w:hAnsi="宋体" w:cs="宋体"/>
          <w:b/>
          <w:color w:val="auto"/>
          <w:sz w:val="28"/>
          <w:szCs w:val="28"/>
          <w:highlight w:val="none"/>
          <w:lang w:val="en-US" w:eastAsia="zh-CN"/>
        </w:rPr>
      </w:pPr>
    </w:p>
    <w:p w14:paraId="265D13AF">
      <w:pPr>
        <w:spacing w:line="360" w:lineRule="auto"/>
        <w:jc w:val="center"/>
        <w:rPr>
          <w:rFonts w:hint="eastAsia" w:ascii="宋体" w:hAnsi="宋体" w:eastAsia="宋体" w:cs="宋体"/>
          <w:b/>
          <w:bCs/>
          <w:color w:val="auto"/>
          <w:kern w:val="0"/>
          <w:sz w:val="30"/>
          <w:szCs w:val="30"/>
          <w:highlight w:val="none"/>
        </w:rPr>
      </w:pPr>
      <w:r>
        <w:rPr>
          <w:rFonts w:hint="eastAsia" w:ascii="宋体" w:hAnsi="宋体" w:cs="宋体"/>
          <w:b/>
          <w:color w:val="auto"/>
          <w:sz w:val="28"/>
          <w:szCs w:val="28"/>
          <w:highlight w:val="none"/>
          <w:lang w:val="en-US" w:eastAsia="zh-CN"/>
        </w:rPr>
        <w:t>系统填报的投标报价与本投标函不一致时，以本投标函为准</w:t>
      </w:r>
    </w:p>
    <w:p w14:paraId="3718D3FE">
      <w:pPr>
        <w:pStyle w:val="6"/>
        <w:spacing w:before="0" w:after="0"/>
        <w:rPr>
          <w:rFonts w:hint="eastAsia" w:ascii="宋体" w:hAnsi="宋体" w:eastAsia="宋体" w:cs="宋体"/>
          <w:color w:val="auto"/>
          <w:highlight w:val="none"/>
          <w:lang w:val="en-US" w:eastAsia="zh-CN"/>
        </w:rPr>
      </w:pPr>
      <w:bookmarkStart w:id="69" w:name="_Toc31498"/>
      <w:r>
        <w:rPr>
          <w:rFonts w:hint="eastAsia" w:ascii="宋体" w:hAnsi="宋体" w:eastAsia="宋体" w:cs="宋体"/>
          <w:color w:val="auto"/>
          <w:highlight w:val="none"/>
          <w:lang w:val="en-US" w:eastAsia="zh-CN"/>
        </w:rPr>
        <w:t>第五章 招标单位、招标代理机构对本招标文件的确认</w:t>
      </w:r>
      <w:bookmarkEnd w:id="69"/>
    </w:p>
    <w:tbl>
      <w:tblPr>
        <w:tblStyle w:val="45"/>
        <w:tblW w:w="9689"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9"/>
      </w:tblGrid>
      <w:tr w14:paraId="45B99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1" w:hRule="atLeast"/>
        </w:trPr>
        <w:tc>
          <w:tcPr>
            <w:tcW w:w="9689" w:type="dxa"/>
          </w:tcPr>
          <w:p w14:paraId="326BAA51">
            <w:pPr>
              <w:spacing w:line="320" w:lineRule="atLeast"/>
              <w:ind w:firstLine="560" w:firstLineChars="200"/>
              <w:rPr>
                <w:rFonts w:hint="eastAsia" w:ascii="宋体" w:hAnsi="宋体" w:eastAsia="宋体" w:cs="宋体"/>
                <w:color w:val="auto"/>
                <w:sz w:val="28"/>
                <w:szCs w:val="28"/>
                <w:highlight w:val="none"/>
              </w:rPr>
            </w:pPr>
          </w:p>
          <w:p w14:paraId="388A6941">
            <w:pPr>
              <w:spacing w:line="320" w:lineRule="atLeas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我单位对</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滁城西片区排水综合整治工程二批次（二标段）结算复核服务</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的招标文件进行确认。</w:t>
            </w:r>
          </w:p>
          <w:p w14:paraId="70D47DF8">
            <w:pPr>
              <w:spacing w:line="320" w:lineRule="atLeast"/>
              <w:ind w:firstLine="560" w:firstLineChars="200"/>
              <w:rPr>
                <w:rFonts w:hint="eastAsia" w:ascii="宋体" w:hAnsi="宋体" w:eastAsia="宋体" w:cs="宋体"/>
                <w:color w:val="auto"/>
                <w:sz w:val="28"/>
                <w:szCs w:val="28"/>
                <w:highlight w:val="none"/>
              </w:rPr>
            </w:pPr>
          </w:p>
          <w:p w14:paraId="16EDA7DA">
            <w:pPr>
              <w:spacing w:line="320" w:lineRule="atLeas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招标人：</w:t>
            </w:r>
            <w:r>
              <w:rPr>
                <w:rFonts w:hint="eastAsia" w:ascii="宋体" w:hAnsi="宋体" w:eastAsia="宋体" w:cs="宋体"/>
                <w:color w:val="auto"/>
                <w:sz w:val="28"/>
                <w:szCs w:val="28"/>
                <w:highlight w:val="none"/>
                <w:lang w:val="en-US" w:eastAsia="zh-CN"/>
              </w:rPr>
              <w:t>滁州市重点工程建设管理处</w:t>
            </w:r>
          </w:p>
          <w:p w14:paraId="3463F686">
            <w:pPr>
              <w:spacing w:line="320" w:lineRule="atLeas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联系人：</w:t>
            </w:r>
            <w:r>
              <w:rPr>
                <w:rFonts w:hint="eastAsia" w:ascii="宋体" w:hAnsi="宋体" w:cs="宋体"/>
                <w:color w:val="auto"/>
                <w:sz w:val="28"/>
                <w:szCs w:val="28"/>
                <w:highlight w:val="none"/>
                <w:lang w:val="en-US" w:eastAsia="zh-CN"/>
              </w:rPr>
              <w:t>马雪婷</w:t>
            </w:r>
          </w:p>
          <w:p w14:paraId="0C9165C7">
            <w:pPr>
              <w:spacing w:line="320" w:lineRule="atLeast"/>
              <w:ind w:firstLine="560" w:firstLineChars="200"/>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联系方式：</w:t>
            </w:r>
            <w:r>
              <w:rPr>
                <w:rFonts w:hint="eastAsia" w:ascii="宋体" w:hAnsi="宋体" w:cs="宋体"/>
                <w:color w:val="auto"/>
                <w:sz w:val="28"/>
                <w:szCs w:val="28"/>
                <w:highlight w:val="none"/>
                <w:lang w:val="en-US" w:eastAsia="zh-CN"/>
              </w:rPr>
              <w:t>0550-3046029</w:t>
            </w:r>
          </w:p>
          <w:p w14:paraId="6E5C8EF3">
            <w:pPr>
              <w:spacing w:line="500" w:lineRule="exact"/>
              <w:ind w:firstLine="281" w:firstLineChars="100"/>
              <w:rPr>
                <w:rFonts w:hint="eastAsia" w:ascii="宋体" w:hAnsi="宋体" w:eastAsia="宋体" w:cs="宋体"/>
                <w:b/>
                <w:bCs/>
                <w:color w:val="auto"/>
                <w:sz w:val="28"/>
                <w:szCs w:val="28"/>
                <w:highlight w:val="none"/>
              </w:rPr>
            </w:pPr>
          </w:p>
          <w:p w14:paraId="1E3913DA">
            <w:pPr>
              <w:spacing w:line="500" w:lineRule="exact"/>
              <w:ind w:firstLine="280" w:firstLineChars="1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（单位盖章）</w:t>
            </w:r>
          </w:p>
          <w:p w14:paraId="33C2043A">
            <w:pPr>
              <w:ind w:firstLine="5320" w:firstLineChars="19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 xml:space="preserve"> 202</w:t>
            </w:r>
            <w:r>
              <w:rPr>
                <w:rFonts w:hint="eastAsia" w:ascii="宋体" w:hAnsi="宋体" w:cs="宋体"/>
                <w:color w:val="auto"/>
                <w:sz w:val="28"/>
                <w:szCs w:val="28"/>
                <w:highlight w:val="none"/>
                <w:lang w:val="en-US" w:eastAsia="zh-CN"/>
              </w:rPr>
              <w:t>5</w:t>
            </w:r>
            <w:r>
              <w:rPr>
                <w:rFonts w:hint="eastAsia" w:ascii="宋体" w:hAnsi="宋体" w:eastAsia="宋体" w:cs="宋体"/>
                <w:color w:val="auto"/>
                <w:sz w:val="28"/>
                <w:szCs w:val="28"/>
                <w:highlight w:val="none"/>
              </w:rPr>
              <w:t>年</w:t>
            </w:r>
            <w:r>
              <w:rPr>
                <w:rFonts w:hint="eastAsia" w:ascii="宋体" w:hAnsi="宋体" w:cs="宋体"/>
                <w:color w:val="auto"/>
                <w:sz w:val="28"/>
                <w:szCs w:val="28"/>
                <w:highlight w:val="none"/>
                <w:lang w:val="en-US" w:eastAsia="zh-CN"/>
              </w:rPr>
              <w:t>9</w:t>
            </w:r>
            <w:r>
              <w:rPr>
                <w:rFonts w:hint="eastAsia" w:ascii="宋体" w:hAnsi="宋体" w:eastAsia="宋体" w:cs="宋体"/>
                <w:color w:val="auto"/>
                <w:sz w:val="28"/>
                <w:szCs w:val="28"/>
                <w:highlight w:val="none"/>
              </w:rPr>
              <w:t>月</w:t>
            </w:r>
          </w:p>
        </w:tc>
      </w:tr>
      <w:tr w14:paraId="60B46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1" w:hRule="atLeast"/>
        </w:trPr>
        <w:tc>
          <w:tcPr>
            <w:tcW w:w="9689" w:type="dxa"/>
          </w:tcPr>
          <w:p w14:paraId="2D346054">
            <w:pPr>
              <w:spacing w:line="320" w:lineRule="atLeast"/>
              <w:ind w:firstLine="560" w:firstLineChars="200"/>
              <w:rPr>
                <w:rFonts w:hint="eastAsia" w:ascii="宋体" w:hAnsi="宋体" w:eastAsia="宋体" w:cs="宋体"/>
                <w:color w:val="auto"/>
                <w:sz w:val="28"/>
                <w:szCs w:val="28"/>
                <w:highlight w:val="none"/>
              </w:rPr>
            </w:pPr>
          </w:p>
          <w:p w14:paraId="429FA252">
            <w:pPr>
              <w:spacing w:line="320" w:lineRule="atLeas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招标代理机构：滁州市城投工程咨询管理有限公司</w:t>
            </w:r>
          </w:p>
          <w:p w14:paraId="396B5BE0">
            <w:pPr>
              <w:spacing w:line="320" w:lineRule="atLeas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联系人：</w:t>
            </w:r>
            <w:r>
              <w:rPr>
                <w:rFonts w:hint="eastAsia" w:ascii="宋体" w:hAnsi="宋体" w:eastAsia="宋体" w:cs="宋体"/>
                <w:color w:val="auto"/>
                <w:sz w:val="28"/>
                <w:szCs w:val="28"/>
                <w:highlight w:val="none"/>
                <w:lang w:val="en-US" w:eastAsia="zh-CN"/>
              </w:rPr>
              <w:t>关勤勤</w:t>
            </w:r>
          </w:p>
          <w:p w14:paraId="3E3D785F">
            <w:pPr>
              <w:spacing w:line="320" w:lineRule="atLeas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 xml:space="preserve">联系电话： </w:t>
            </w:r>
            <w:r>
              <w:rPr>
                <w:rFonts w:hint="eastAsia" w:ascii="宋体" w:hAnsi="宋体" w:eastAsia="宋体" w:cs="宋体"/>
                <w:color w:val="auto"/>
                <w:sz w:val="28"/>
                <w:szCs w:val="28"/>
                <w:highlight w:val="none"/>
                <w:lang w:eastAsia="zh-CN"/>
              </w:rPr>
              <w:t>0550-35195</w:t>
            </w:r>
            <w:r>
              <w:rPr>
                <w:rFonts w:hint="eastAsia" w:ascii="宋体" w:hAnsi="宋体" w:eastAsia="宋体" w:cs="宋体"/>
                <w:color w:val="auto"/>
                <w:sz w:val="28"/>
                <w:szCs w:val="28"/>
                <w:highlight w:val="none"/>
                <w:lang w:val="en-US" w:eastAsia="zh-CN"/>
              </w:rPr>
              <w:t>90</w:t>
            </w: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18909605753</w:t>
            </w:r>
          </w:p>
          <w:p w14:paraId="497AA04E">
            <w:pPr>
              <w:rPr>
                <w:rFonts w:hint="eastAsia" w:ascii="宋体" w:hAnsi="宋体" w:eastAsia="宋体" w:cs="宋体"/>
                <w:color w:val="auto"/>
                <w:sz w:val="28"/>
                <w:szCs w:val="28"/>
                <w:highlight w:val="none"/>
              </w:rPr>
            </w:pPr>
          </w:p>
          <w:p w14:paraId="60AF574C">
            <w:pPr>
              <w:ind w:firstLine="5040" w:firstLineChars="18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（单位盖章）</w:t>
            </w:r>
          </w:p>
          <w:p w14:paraId="5AE54977">
            <w:pPr>
              <w:ind w:firstLine="4900" w:firstLineChars="175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 xml:space="preserve">   202</w:t>
            </w:r>
            <w:r>
              <w:rPr>
                <w:rFonts w:hint="eastAsia" w:ascii="宋体" w:hAnsi="宋体" w:cs="宋体"/>
                <w:color w:val="auto"/>
                <w:sz w:val="28"/>
                <w:szCs w:val="28"/>
                <w:highlight w:val="none"/>
                <w:lang w:val="en-US" w:eastAsia="zh-CN"/>
              </w:rPr>
              <w:t>5</w:t>
            </w:r>
            <w:r>
              <w:rPr>
                <w:rFonts w:hint="eastAsia" w:ascii="宋体" w:hAnsi="宋体" w:eastAsia="宋体" w:cs="宋体"/>
                <w:color w:val="auto"/>
                <w:sz w:val="28"/>
                <w:szCs w:val="28"/>
                <w:highlight w:val="none"/>
                <w:lang w:val="en-US" w:eastAsia="zh-CN"/>
              </w:rPr>
              <w:t>年</w:t>
            </w:r>
            <w:r>
              <w:rPr>
                <w:rFonts w:hint="eastAsia" w:ascii="宋体" w:hAnsi="宋体" w:cs="宋体"/>
                <w:color w:val="auto"/>
                <w:sz w:val="28"/>
                <w:szCs w:val="28"/>
                <w:highlight w:val="none"/>
                <w:lang w:val="en-US" w:eastAsia="zh-CN"/>
              </w:rPr>
              <w:t>9</w:t>
            </w:r>
            <w:r>
              <w:rPr>
                <w:rFonts w:hint="eastAsia" w:ascii="宋体" w:hAnsi="宋体" w:eastAsia="宋体" w:cs="宋体"/>
                <w:color w:val="auto"/>
                <w:sz w:val="28"/>
                <w:szCs w:val="28"/>
                <w:highlight w:val="none"/>
              </w:rPr>
              <w:t>月</w:t>
            </w:r>
          </w:p>
        </w:tc>
      </w:tr>
    </w:tbl>
    <w:p w14:paraId="22D2196B">
      <w:pPr>
        <w:pStyle w:val="20"/>
        <w:jc w:val="left"/>
        <w:rPr>
          <w:rFonts w:hint="eastAsia" w:ascii="宋体" w:hAnsi="宋体" w:eastAsia="宋体" w:cs="宋体"/>
          <w:color w:val="auto"/>
          <w:kern w:val="0"/>
          <w:sz w:val="24"/>
          <w:szCs w:val="24"/>
          <w:highlight w:val="none"/>
        </w:rPr>
      </w:pPr>
    </w:p>
    <w:p w14:paraId="63AE5489">
      <w:pPr>
        <w:pStyle w:val="20"/>
        <w:jc w:val="left"/>
        <w:rPr>
          <w:rFonts w:hint="eastAsia" w:ascii="宋体" w:hAnsi="宋体" w:eastAsia="宋体" w:cs="宋体"/>
          <w:color w:val="auto"/>
          <w:kern w:val="0"/>
          <w:sz w:val="24"/>
          <w:szCs w:val="24"/>
          <w:highlight w:val="none"/>
        </w:rPr>
      </w:pPr>
    </w:p>
    <w:p w14:paraId="542E3EE9">
      <w:pPr>
        <w:pStyle w:val="20"/>
        <w:jc w:val="left"/>
        <w:rPr>
          <w:rFonts w:hint="eastAsia" w:ascii="宋体" w:hAnsi="宋体" w:eastAsia="宋体" w:cs="宋体"/>
          <w:color w:val="auto"/>
          <w:kern w:val="0"/>
          <w:sz w:val="24"/>
          <w:szCs w:val="24"/>
          <w:highlight w:val="none"/>
        </w:rPr>
      </w:pPr>
    </w:p>
    <w:p w14:paraId="31148F29">
      <w:pPr>
        <w:pStyle w:val="20"/>
        <w:jc w:val="left"/>
        <w:rPr>
          <w:rFonts w:hint="eastAsia" w:ascii="宋体" w:hAnsi="宋体" w:eastAsia="宋体" w:cs="宋体"/>
          <w:color w:val="auto"/>
          <w:kern w:val="0"/>
          <w:sz w:val="24"/>
          <w:szCs w:val="24"/>
          <w:highlight w:val="none"/>
        </w:rPr>
      </w:pPr>
    </w:p>
    <w:p w14:paraId="2460B7EC">
      <w:pPr>
        <w:pStyle w:val="20"/>
        <w:jc w:val="left"/>
        <w:rPr>
          <w:rFonts w:hint="eastAsia" w:ascii="宋体" w:hAnsi="宋体" w:eastAsia="宋体" w:cs="宋体"/>
          <w:color w:val="auto"/>
          <w:kern w:val="0"/>
          <w:sz w:val="24"/>
          <w:szCs w:val="24"/>
          <w:highlight w:val="none"/>
        </w:rPr>
      </w:pPr>
    </w:p>
    <w:p w14:paraId="332418C5">
      <w:pPr>
        <w:pStyle w:val="20"/>
        <w:jc w:val="left"/>
        <w:rPr>
          <w:rFonts w:hint="eastAsia" w:ascii="宋体" w:hAnsi="宋体" w:eastAsia="宋体" w:cs="宋体"/>
          <w:color w:val="auto"/>
          <w:kern w:val="0"/>
          <w:sz w:val="24"/>
          <w:szCs w:val="24"/>
          <w:highlight w:val="none"/>
        </w:rPr>
      </w:pPr>
    </w:p>
    <w:p w14:paraId="155ACA93">
      <w:pPr>
        <w:pStyle w:val="2"/>
        <w:ind w:left="199" w:leftChars="95" w:firstLine="198" w:firstLineChars="66"/>
        <w:rPr>
          <w:rFonts w:hint="eastAsia" w:hAnsi="宋体"/>
          <w:color w:val="auto"/>
          <w:sz w:val="30"/>
          <w:szCs w:val="30"/>
          <w:highlight w:val="none"/>
        </w:rPr>
      </w:pPr>
      <w:r>
        <w:rPr>
          <w:rFonts w:hint="eastAsia" w:hAnsi="宋体"/>
          <w:color w:val="auto"/>
          <w:sz w:val="30"/>
          <w:szCs w:val="30"/>
          <w:highlight w:val="none"/>
        </w:rPr>
        <w:t>附件：</w:t>
      </w:r>
    </w:p>
    <w:p w14:paraId="3C4FBDD1">
      <w:pPr>
        <w:pStyle w:val="2"/>
        <w:ind w:left="199" w:leftChars="95" w:firstLine="198" w:firstLineChars="66"/>
        <w:rPr>
          <w:rFonts w:hint="eastAsia" w:hAnsi="宋体"/>
          <w:color w:val="auto"/>
          <w:sz w:val="30"/>
          <w:szCs w:val="30"/>
          <w:highlight w:val="none"/>
        </w:rPr>
      </w:pPr>
    </w:p>
    <w:p w14:paraId="65694767">
      <w:pPr>
        <w:rPr>
          <w:rFonts w:hint="eastAsia"/>
          <w:color w:val="auto"/>
          <w:highlight w:val="none"/>
        </w:rPr>
      </w:pPr>
    </w:p>
    <w:p w14:paraId="50AFC473">
      <w:pPr>
        <w:pStyle w:val="2"/>
        <w:ind w:left="199" w:leftChars="95" w:firstLine="211" w:firstLineChars="66"/>
        <w:rPr>
          <w:rFonts w:hint="default" w:ascii="Times New Roman" w:hAnsi="Times New Roman" w:eastAsia="楷体_GB2312" w:cs="Times New Roman"/>
          <w:color w:val="auto"/>
          <w:sz w:val="32"/>
          <w:szCs w:val="32"/>
          <w:highlight w:val="none"/>
          <w:shd w:val="clear" w:color="auto" w:fill="auto"/>
          <w:lang w:val="en-US" w:eastAsia="zh-CN"/>
        </w:rPr>
      </w:pPr>
      <w:r>
        <w:rPr>
          <w:rFonts w:hint="default" w:ascii="Times New Roman" w:hAnsi="Times New Roman" w:eastAsia="仿宋_GB2312" w:cs="Times New Roman"/>
          <w:color w:val="auto"/>
          <w:sz w:val="32"/>
          <w:szCs w:val="32"/>
          <w:highlight w:val="none"/>
          <w:shd w:val="clear" w:color="auto" w:fill="auto"/>
        </w:rPr>
        <w:t>滁重〔</w:t>
      </w:r>
      <w:r>
        <w:rPr>
          <w:rFonts w:hint="default" w:ascii="Times New Roman" w:hAnsi="Times New Roman" w:eastAsia="仿宋_GB2312" w:cs="Times New Roman"/>
          <w:color w:val="auto"/>
          <w:sz w:val="32"/>
          <w:szCs w:val="32"/>
          <w:highlight w:val="none"/>
          <w:shd w:val="clear" w:color="auto" w:fill="auto"/>
          <w:lang w:eastAsia="zh-CN"/>
        </w:rPr>
        <w:t>20</w:t>
      </w:r>
      <w:r>
        <w:rPr>
          <w:rFonts w:hint="default" w:ascii="Times New Roman" w:hAnsi="Times New Roman" w:eastAsia="仿宋_GB2312" w:cs="Times New Roman"/>
          <w:color w:val="auto"/>
          <w:sz w:val="32"/>
          <w:szCs w:val="32"/>
          <w:highlight w:val="none"/>
          <w:shd w:val="clear" w:color="auto" w:fill="auto"/>
          <w:lang w:val="en-US" w:eastAsia="zh-CN"/>
        </w:rPr>
        <w:t>22</w:t>
      </w:r>
      <w:r>
        <w:rPr>
          <w:rFonts w:hint="default" w:ascii="Times New Roman" w:hAnsi="Times New Roman" w:eastAsia="仿宋_GB2312" w:cs="Times New Roman"/>
          <w:color w:val="auto"/>
          <w:sz w:val="32"/>
          <w:szCs w:val="32"/>
          <w:highlight w:val="none"/>
          <w:shd w:val="clear" w:color="auto" w:fill="auto"/>
        </w:rPr>
        <w:t>〕</w:t>
      </w:r>
      <w:r>
        <w:rPr>
          <w:rFonts w:hint="default" w:ascii="Times New Roman" w:hAnsi="Times New Roman" w:eastAsia="仿宋_GB2312" w:cs="Times New Roman"/>
          <w:color w:val="auto"/>
          <w:sz w:val="32"/>
          <w:szCs w:val="32"/>
          <w:highlight w:val="none"/>
          <w:shd w:val="clear" w:color="auto" w:fill="auto"/>
          <w:lang w:val="en-US" w:eastAsia="zh-CN"/>
        </w:rPr>
        <w:t>55号</w:t>
      </w:r>
    </w:p>
    <w:p w14:paraId="1231DE3C">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default" w:ascii="Times New Roman" w:hAnsi="Times New Roman" w:eastAsia="方正小标宋简体" w:cs="Times New Roman"/>
          <w:b w:val="0"/>
          <w:bCs/>
          <w:color w:val="auto"/>
          <w:spacing w:val="-11"/>
          <w:sz w:val="44"/>
          <w:szCs w:val="44"/>
          <w:highlight w:val="none"/>
        </w:rPr>
      </w:pPr>
      <w:r>
        <w:rPr>
          <w:rFonts w:hint="default" w:ascii="Times New Roman" w:hAnsi="Times New Roman" w:eastAsia="方正小标宋简体" w:cs="Times New Roman"/>
          <w:b w:val="0"/>
          <w:bCs/>
          <w:color w:val="auto"/>
          <w:spacing w:val="-11"/>
          <w:sz w:val="44"/>
          <w:szCs w:val="44"/>
          <w:highlight w:val="none"/>
        </w:rPr>
        <w:t>关于印发《工程造价咨询服务管理办法》的通知</w:t>
      </w:r>
    </w:p>
    <w:p w14:paraId="638ADF2B">
      <w:pPr>
        <w:spacing w:line="600" w:lineRule="exact"/>
        <w:rPr>
          <w:rFonts w:hint="default" w:ascii="Times New Roman" w:hAnsi="Times New Roman" w:eastAsia="宋体" w:cs="Times New Roman"/>
          <w:color w:val="auto"/>
          <w:szCs w:val="32"/>
          <w:highlight w:val="none"/>
        </w:rPr>
      </w:pPr>
    </w:p>
    <w:p w14:paraId="37411C05">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outlineLvl w:val="9"/>
        <w:rPr>
          <w:rFonts w:hint="default" w:ascii="Times New Roman" w:hAnsi="Times New Roman" w:eastAsia="仿宋_GB2312" w:cs="Times New Roman"/>
          <w:color w:val="auto"/>
          <w:sz w:val="32"/>
          <w:szCs w:val="32"/>
          <w:highlight w:val="none"/>
        </w:rPr>
      </w:pPr>
      <w:r>
        <w:rPr>
          <w:rFonts w:hint="eastAsia" w:ascii="Times New Roman" w:hAnsi="仿宋_GB2312" w:eastAsia="仿宋_GB2312" w:cs="Times New Roman"/>
          <w:color w:val="auto"/>
          <w:sz w:val="32"/>
          <w:szCs w:val="32"/>
          <w:highlight w:val="none"/>
        </w:rPr>
        <w:t>机关各</w:t>
      </w:r>
      <w:r>
        <w:rPr>
          <w:rFonts w:hint="eastAsia" w:ascii="Times New Roman" w:hAnsi="仿宋_GB2312" w:eastAsia="仿宋_GB2312" w:cs="Times New Roman"/>
          <w:color w:val="auto"/>
          <w:sz w:val="32"/>
          <w:szCs w:val="32"/>
          <w:highlight w:val="none"/>
          <w:lang w:eastAsia="zh-CN"/>
        </w:rPr>
        <w:t>科室</w:t>
      </w:r>
      <w:r>
        <w:rPr>
          <w:rFonts w:hint="eastAsia" w:ascii="Times New Roman" w:hAnsi="仿宋_GB2312" w:eastAsia="仿宋_GB2312" w:cs="Times New Roman"/>
          <w:color w:val="auto"/>
          <w:sz w:val="32"/>
          <w:szCs w:val="32"/>
          <w:highlight w:val="none"/>
        </w:rPr>
        <w:t>、处属各</w:t>
      </w:r>
      <w:r>
        <w:rPr>
          <w:rFonts w:hint="eastAsia" w:ascii="Times New Roman" w:hAnsi="仿宋_GB2312" w:eastAsia="仿宋_GB2312" w:cs="Times New Roman"/>
          <w:color w:val="auto"/>
          <w:sz w:val="32"/>
          <w:szCs w:val="32"/>
          <w:highlight w:val="none"/>
          <w:lang w:val="en-US" w:eastAsia="zh-CN"/>
        </w:rPr>
        <w:t>单位</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各工程造价咨询企业</w:t>
      </w:r>
      <w:r>
        <w:rPr>
          <w:rFonts w:hint="default" w:ascii="Times New Roman" w:hAnsi="Times New Roman" w:eastAsia="仿宋_GB2312" w:cs="Times New Roman"/>
          <w:color w:val="auto"/>
          <w:sz w:val="32"/>
          <w:szCs w:val="32"/>
          <w:highlight w:val="none"/>
        </w:rPr>
        <w:t>：</w:t>
      </w:r>
    </w:p>
    <w:p w14:paraId="57D3091F">
      <w:pPr>
        <w:keepNext w:val="0"/>
        <w:keepLines w:val="0"/>
        <w:pageBreakBefore w:val="0"/>
        <w:widowControl w:val="0"/>
        <w:kinsoku/>
        <w:overflowPunct/>
        <w:topLinePunct w:val="0"/>
        <w:autoSpaceDE/>
        <w:autoSpaceDN/>
        <w:bidi w:val="0"/>
        <w:adjustRightInd/>
        <w:snapToGrid/>
        <w:spacing w:line="600" w:lineRule="exact"/>
        <w:ind w:firstLine="645"/>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pacing w:val="-4"/>
          <w:kern w:val="0"/>
          <w:sz w:val="32"/>
          <w:szCs w:val="32"/>
          <w:highlight w:val="none"/>
        </w:rPr>
        <w:t>为</w:t>
      </w:r>
      <w:r>
        <w:rPr>
          <w:rFonts w:hint="default" w:ascii="Times New Roman" w:hAnsi="Times New Roman" w:eastAsia="仿宋_GB2312" w:cs="Times New Roman"/>
          <w:color w:val="auto"/>
          <w:sz w:val="32"/>
          <w:szCs w:val="32"/>
          <w:highlight w:val="none"/>
        </w:rPr>
        <w:t>加强</w:t>
      </w:r>
      <w:r>
        <w:rPr>
          <w:rFonts w:hint="default" w:ascii="Times New Roman" w:hAnsi="Times New Roman" w:eastAsia="仿宋_GB2312" w:cs="Times New Roman"/>
          <w:color w:val="auto"/>
          <w:spacing w:val="-4"/>
          <w:kern w:val="0"/>
          <w:sz w:val="32"/>
          <w:szCs w:val="32"/>
          <w:highlight w:val="none"/>
        </w:rPr>
        <w:t>我处工程造价咨询服务管理</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kern w:val="0"/>
          <w:sz w:val="32"/>
          <w:szCs w:val="32"/>
          <w:highlight w:val="none"/>
        </w:rPr>
        <w:t>规范工程</w:t>
      </w:r>
      <w:r>
        <w:rPr>
          <w:rFonts w:hint="default" w:ascii="Times New Roman" w:hAnsi="Times New Roman" w:eastAsia="仿宋_GB2312" w:cs="Times New Roman"/>
          <w:color w:val="auto"/>
          <w:spacing w:val="-4"/>
          <w:kern w:val="0"/>
          <w:sz w:val="32"/>
          <w:szCs w:val="32"/>
          <w:highlight w:val="none"/>
        </w:rPr>
        <w:t>造价咨询企业</w:t>
      </w:r>
      <w:r>
        <w:rPr>
          <w:rFonts w:hint="default" w:ascii="Times New Roman" w:hAnsi="Times New Roman" w:eastAsia="仿宋_GB2312" w:cs="Times New Roman"/>
          <w:color w:val="auto"/>
          <w:kern w:val="0"/>
          <w:sz w:val="32"/>
          <w:szCs w:val="32"/>
          <w:highlight w:val="none"/>
        </w:rPr>
        <w:t>考核工作，</w:t>
      </w:r>
      <w:r>
        <w:rPr>
          <w:rFonts w:hint="default" w:ascii="Times New Roman" w:hAnsi="Times New Roman" w:eastAsia="仿宋_GB2312" w:cs="Times New Roman"/>
          <w:color w:val="auto"/>
          <w:kern w:val="0"/>
          <w:sz w:val="32"/>
          <w:szCs w:val="32"/>
          <w:highlight w:val="none"/>
          <w:lang w:val="en-US" w:eastAsia="zh-CN"/>
        </w:rPr>
        <w:t>2020年10月印发了</w:t>
      </w:r>
      <w:r>
        <w:rPr>
          <w:rFonts w:hint="default" w:ascii="Times New Roman" w:hAnsi="Times New Roman" w:eastAsia="仿宋_GB2312" w:cs="Times New Roman"/>
          <w:color w:val="auto"/>
          <w:sz w:val="32"/>
          <w:szCs w:val="32"/>
          <w:highlight w:val="none"/>
        </w:rPr>
        <w:t>《工程造价咨询服务管理办法</w:t>
      </w:r>
      <w:r>
        <w:rPr>
          <w:rFonts w:hint="default" w:ascii="Times New Roman" w:hAnsi="Times New Roman" w:eastAsia="仿宋_GB2312" w:cs="Times New Roman"/>
          <w:color w:val="auto"/>
          <w:sz w:val="32"/>
          <w:szCs w:val="32"/>
          <w:highlight w:val="none"/>
          <w:lang w:eastAsia="zh-CN"/>
        </w:rPr>
        <w:t>（试行）</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滁重〔</w:t>
      </w:r>
      <w:r>
        <w:rPr>
          <w:rFonts w:hint="default" w:ascii="Times New Roman" w:hAnsi="Times New Roman" w:eastAsia="仿宋_GB2312" w:cs="Times New Roman"/>
          <w:color w:val="auto"/>
          <w:sz w:val="32"/>
          <w:szCs w:val="32"/>
          <w:highlight w:val="none"/>
          <w:lang w:eastAsia="zh-CN"/>
        </w:rPr>
        <w:t>20</w:t>
      </w:r>
      <w:r>
        <w:rPr>
          <w:rFonts w:hint="default" w:ascii="Times New Roman" w:hAnsi="Times New Roman" w:eastAsia="仿宋_GB2312" w:cs="Times New Roman"/>
          <w:color w:val="auto"/>
          <w:sz w:val="32"/>
          <w:szCs w:val="32"/>
          <w:highlight w:val="none"/>
          <w:lang w:val="en-US" w:eastAsia="zh-CN"/>
        </w:rPr>
        <w:t>20</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 w:cs="Times New Roman"/>
          <w:color w:val="auto"/>
          <w:sz w:val="32"/>
          <w:szCs w:val="32"/>
          <w:highlight w:val="none"/>
          <w:shd w:val="clear" w:color="auto" w:fill="auto"/>
          <w:lang w:val="en-US" w:eastAsia="zh-CN"/>
        </w:rPr>
        <w:t>61</w:t>
      </w:r>
      <w:r>
        <w:rPr>
          <w:rFonts w:hint="default" w:ascii="Times New Roman" w:hAnsi="Times New Roman" w:eastAsia="仿宋_GB2312" w:cs="Times New Roman"/>
          <w:color w:val="auto"/>
          <w:sz w:val="32"/>
          <w:szCs w:val="32"/>
          <w:highlight w:val="none"/>
        </w:rPr>
        <w:t>号</w:t>
      </w:r>
      <w:r>
        <w:rPr>
          <w:rFonts w:hint="default" w:ascii="Times New Roman" w:hAnsi="Times New Roman" w:eastAsia="仿宋_GB2312" w:cs="Times New Roman"/>
          <w:color w:val="auto"/>
          <w:sz w:val="32"/>
          <w:szCs w:val="32"/>
          <w:highlight w:val="none"/>
          <w:lang w:val="en-US" w:eastAsia="zh-CN"/>
        </w:rPr>
        <w:t>)，试行已满一年，结合工作实际，现予以修订。经2022</w:t>
      </w:r>
      <w:r>
        <w:rPr>
          <w:rFonts w:hint="default" w:ascii="Times New Roman" w:hAnsi="Times New Roman" w:eastAsia="仿宋_GB2312" w:cs="Times New Roman"/>
          <w:color w:val="auto"/>
          <w:sz w:val="32"/>
          <w:szCs w:val="32"/>
          <w:highlight w:val="none"/>
          <w:shd w:val="clear" w:color="auto" w:fill="auto"/>
          <w:lang w:val="en-US" w:eastAsia="zh-CN"/>
        </w:rPr>
        <w:t>年6月</w:t>
      </w:r>
      <w:r>
        <w:rPr>
          <w:rFonts w:hint="eastAsia" w:ascii="Times New Roman" w:hAnsi="Times New Roman" w:eastAsia="仿宋_GB2312" w:cs="Times New Roman"/>
          <w:color w:val="auto"/>
          <w:sz w:val="32"/>
          <w:szCs w:val="32"/>
          <w:highlight w:val="none"/>
          <w:shd w:val="clear" w:color="auto" w:fill="auto"/>
          <w:lang w:val="en-US" w:eastAsia="zh-CN"/>
        </w:rPr>
        <w:t>23日</w:t>
      </w:r>
      <w:r>
        <w:rPr>
          <w:rFonts w:hint="default" w:ascii="Times New Roman" w:hAnsi="Times New Roman" w:eastAsia="仿宋_GB2312" w:cs="Times New Roman"/>
          <w:color w:val="auto"/>
          <w:sz w:val="32"/>
          <w:szCs w:val="32"/>
          <w:highlight w:val="none"/>
          <w:shd w:val="clear" w:color="auto" w:fill="auto"/>
          <w:lang w:val="en-US" w:eastAsia="zh-CN"/>
        </w:rPr>
        <w:t>党组会</w:t>
      </w:r>
      <w:r>
        <w:rPr>
          <w:rFonts w:hint="default" w:ascii="Times New Roman" w:hAnsi="Times New Roman" w:eastAsia="仿宋_GB2312" w:cs="Times New Roman"/>
          <w:color w:val="auto"/>
          <w:sz w:val="32"/>
          <w:szCs w:val="32"/>
          <w:highlight w:val="none"/>
          <w:lang w:val="en-US" w:eastAsia="zh-CN"/>
        </w:rPr>
        <w:t>研究同意，</w:t>
      </w:r>
      <w:r>
        <w:rPr>
          <w:rFonts w:hint="default" w:ascii="Times New Roman" w:hAnsi="Times New Roman" w:eastAsia="仿宋_GB2312" w:cs="Times New Roman"/>
          <w:color w:val="auto"/>
          <w:kern w:val="0"/>
          <w:sz w:val="32"/>
          <w:szCs w:val="32"/>
          <w:highlight w:val="none"/>
          <w:lang w:eastAsia="zh-CN"/>
        </w:rPr>
        <w:t>现印发</w:t>
      </w:r>
      <w:r>
        <w:rPr>
          <w:rFonts w:hint="default" w:ascii="Times New Roman" w:hAnsi="Times New Roman" w:eastAsia="仿宋_GB2312" w:cs="Times New Roman"/>
          <w:color w:val="auto"/>
          <w:sz w:val="32"/>
          <w:szCs w:val="32"/>
          <w:highlight w:val="none"/>
        </w:rPr>
        <w:t>《工程造价咨询服务管理办法》，请认真贯彻执行</w:t>
      </w:r>
      <w:r>
        <w:rPr>
          <w:rFonts w:hint="default" w:ascii="Times New Roman" w:hAnsi="Times New Roman" w:eastAsia="仿宋_GB2312" w:cs="Times New Roman"/>
          <w:color w:val="auto"/>
          <w:kern w:val="0"/>
          <w:sz w:val="32"/>
          <w:szCs w:val="32"/>
          <w:highlight w:val="none"/>
        </w:rPr>
        <w:t>，并及时反馈执行中的意见和</w:t>
      </w:r>
      <w:r>
        <w:rPr>
          <w:rFonts w:hint="default" w:ascii="Times New Roman" w:hAnsi="Times New Roman" w:eastAsia="仿宋_GB2312" w:cs="Times New Roman"/>
          <w:color w:val="auto"/>
          <w:sz w:val="32"/>
          <w:szCs w:val="32"/>
          <w:highlight w:val="none"/>
        </w:rPr>
        <w:t>建议。《工程造价咨询服务管理办法</w:t>
      </w:r>
      <w:r>
        <w:rPr>
          <w:rFonts w:hint="default" w:ascii="Times New Roman" w:hAnsi="Times New Roman" w:eastAsia="仿宋_GB2312" w:cs="Times New Roman"/>
          <w:color w:val="auto"/>
          <w:sz w:val="32"/>
          <w:szCs w:val="32"/>
          <w:highlight w:val="none"/>
          <w:lang w:eastAsia="zh-CN"/>
        </w:rPr>
        <w:t>（试行）</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滁重〔</w:t>
      </w:r>
      <w:r>
        <w:rPr>
          <w:rFonts w:hint="default" w:ascii="Times New Roman" w:hAnsi="Times New Roman" w:eastAsia="仿宋_GB2312" w:cs="Times New Roman"/>
          <w:color w:val="auto"/>
          <w:sz w:val="32"/>
          <w:szCs w:val="32"/>
          <w:highlight w:val="none"/>
          <w:lang w:eastAsia="zh-CN"/>
        </w:rPr>
        <w:t>20</w:t>
      </w:r>
      <w:r>
        <w:rPr>
          <w:rFonts w:hint="default" w:ascii="Times New Roman" w:hAnsi="Times New Roman" w:eastAsia="仿宋_GB2312" w:cs="Times New Roman"/>
          <w:color w:val="auto"/>
          <w:sz w:val="32"/>
          <w:szCs w:val="32"/>
          <w:highlight w:val="none"/>
          <w:lang w:val="en-US" w:eastAsia="zh-CN"/>
        </w:rPr>
        <w:t>20</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 w:cs="Times New Roman"/>
          <w:color w:val="auto"/>
          <w:sz w:val="32"/>
          <w:szCs w:val="32"/>
          <w:highlight w:val="none"/>
          <w:shd w:val="clear" w:color="auto" w:fill="auto"/>
          <w:lang w:val="en-US" w:eastAsia="zh-CN"/>
        </w:rPr>
        <w:t>61</w:t>
      </w:r>
      <w:r>
        <w:rPr>
          <w:rFonts w:hint="default" w:ascii="Times New Roman" w:hAnsi="Times New Roman" w:eastAsia="仿宋_GB2312" w:cs="Times New Roman"/>
          <w:color w:val="auto"/>
          <w:sz w:val="32"/>
          <w:szCs w:val="32"/>
          <w:highlight w:val="none"/>
        </w:rPr>
        <w:t>号</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《工程</w:t>
      </w:r>
      <w:r>
        <w:rPr>
          <w:rFonts w:hint="default" w:ascii="Times New Roman" w:hAnsi="Times New Roman" w:eastAsia="仿宋_GB2312" w:cs="Times New Roman"/>
          <w:color w:val="auto"/>
          <w:sz w:val="32"/>
          <w:szCs w:val="32"/>
          <w:highlight w:val="none"/>
          <w:lang w:eastAsia="zh-CN"/>
        </w:rPr>
        <w:t>量清单及最高投标限价编制管理办法</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滁重〔</w:t>
      </w:r>
      <w:r>
        <w:rPr>
          <w:rFonts w:hint="default" w:ascii="Times New Roman" w:hAnsi="Times New Roman" w:eastAsia="仿宋_GB2312" w:cs="Times New Roman"/>
          <w:color w:val="auto"/>
          <w:sz w:val="32"/>
          <w:szCs w:val="32"/>
          <w:highlight w:val="none"/>
          <w:lang w:eastAsia="zh-CN"/>
        </w:rPr>
        <w:t>20</w:t>
      </w:r>
      <w:r>
        <w:rPr>
          <w:rFonts w:hint="default" w:ascii="Times New Roman" w:hAnsi="Times New Roman" w:eastAsia="仿宋_GB2312" w:cs="Times New Roman"/>
          <w:color w:val="auto"/>
          <w:sz w:val="32"/>
          <w:szCs w:val="32"/>
          <w:highlight w:val="none"/>
          <w:lang w:val="en-US" w:eastAsia="zh-CN"/>
        </w:rPr>
        <w:t>19</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46</w:t>
      </w:r>
      <w:r>
        <w:rPr>
          <w:rFonts w:hint="default" w:ascii="Times New Roman" w:hAnsi="Times New Roman" w:eastAsia="仿宋_GB2312" w:cs="Times New Roman"/>
          <w:color w:val="auto"/>
          <w:sz w:val="32"/>
          <w:szCs w:val="32"/>
          <w:highlight w:val="none"/>
        </w:rPr>
        <w:t>号</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废止。</w:t>
      </w:r>
    </w:p>
    <w:p w14:paraId="200143EC">
      <w:pPr>
        <w:keepNext w:val="0"/>
        <w:keepLines w:val="0"/>
        <w:pageBreakBefore w:val="0"/>
        <w:widowControl w:val="0"/>
        <w:kinsoku/>
        <w:overflowPunct/>
        <w:topLinePunct w:val="0"/>
        <w:autoSpaceDE/>
        <w:autoSpaceDN/>
        <w:bidi w:val="0"/>
        <w:adjustRightInd/>
        <w:snapToGrid/>
        <w:spacing w:line="600" w:lineRule="exact"/>
        <w:textAlignment w:val="auto"/>
        <w:rPr>
          <w:rFonts w:hint="default" w:ascii="Times New Roman" w:hAnsi="Times New Roman" w:cs="Times New Roman"/>
          <w:color w:val="auto"/>
          <w:highlight w:val="none"/>
        </w:rPr>
      </w:pPr>
    </w:p>
    <w:p w14:paraId="1C04CB0B">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滁州市重点工程建设管理处</w:t>
      </w:r>
      <w:r>
        <w:rPr>
          <w:rFonts w:hint="default" w:ascii="Times New Roman" w:hAnsi="Times New Roman" w:eastAsia="仿宋_GB2312" w:cs="Times New Roman"/>
          <w:color w:val="auto"/>
          <w:sz w:val="32"/>
          <w:szCs w:val="32"/>
          <w:highlight w:val="none"/>
          <w:lang w:val="en-US" w:eastAsia="zh-CN"/>
        </w:rPr>
        <w:t xml:space="preserve">    </w:t>
      </w:r>
    </w:p>
    <w:p w14:paraId="52F0F73F">
      <w:pPr>
        <w:keepNext w:val="0"/>
        <w:keepLines w:val="0"/>
        <w:pageBreakBefore w:val="0"/>
        <w:widowControl w:val="0"/>
        <w:kinsoku/>
        <w:overflowPunct/>
        <w:topLinePunct w:val="0"/>
        <w:autoSpaceDE/>
        <w:autoSpaceDN/>
        <w:bidi w:val="0"/>
        <w:adjustRightInd/>
        <w:snapToGrid/>
        <w:spacing w:line="600" w:lineRule="exact"/>
        <w:ind w:firstLine="5120" w:firstLineChars="16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202</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rPr>
        <w:t>月</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日</w:t>
      </w:r>
    </w:p>
    <w:p w14:paraId="22CB56EB">
      <w:pPr>
        <w:pStyle w:val="2"/>
        <w:rPr>
          <w:rFonts w:hint="default" w:ascii="Times New Roman" w:hAnsi="Times New Roman" w:eastAsia="仿宋_GB2312" w:cs="Times New Roman"/>
          <w:color w:val="auto"/>
          <w:sz w:val="32"/>
          <w:szCs w:val="32"/>
          <w:highlight w:val="none"/>
        </w:rPr>
      </w:pPr>
    </w:p>
    <w:p w14:paraId="0C9F6B45">
      <w:pPr>
        <w:rPr>
          <w:rFonts w:hint="default"/>
          <w:color w:val="auto"/>
          <w:highlight w:val="none"/>
        </w:rPr>
      </w:pPr>
    </w:p>
    <w:p w14:paraId="4957FAEB">
      <w:pPr>
        <w:pStyle w:val="2"/>
        <w:rPr>
          <w:rFonts w:hint="default"/>
          <w:color w:val="auto"/>
          <w:highlight w:val="none"/>
        </w:rPr>
      </w:pPr>
    </w:p>
    <w:p w14:paraId="7C253514">
      <w:pPr>
        <w:rPr>
          <w:rFonts w:hint="default"/>
          <w:color w:val="auto"/>
          <w:highlight w:val="none"/>
        </w:rPr>
      </w:pPr>
    </w:p>
    <w:p w14:paraId="4F847B55">
      <w:pPr>
        <w:pStyle w:val="2"/>
        <w:rPr>
          <w:rFonts w:hint="default"/>
          <w:color w:val="auto"/>
          <w:highlight w:val="none"/>
        </w:rPr>
      </w:pPr>
    </w:p>
    <w:p w14:paraId="76D122F1">
      <w:pPr>
        <w:rPr>
          <w:rFonts w:hint="default"/>
          <w:color w:val="auto"/>
          <w:highlight w:val="none"/>
        </w:rPr>
      </w:pPr>
    </w:p>
    <w:p w14:paraId="705AA9CA">
      <w:pPr>
        <w:rPr>
          <w:rFonts w:hint="default"/>
          <w:color w:val="auto"/>
          <w:highlight w:val="none"/>
        </w:rPr>
      </w:pPr>
    </w:p>
    <w:p w14:paraId="60EEB4F4">
      <w:pPr>
        <w:pStyle w:val="2"/>
        <w:rPr>
          <w:rFonts w:hint="default"/>
          <w:color w:val="auto"/>
          <w:highlight w:val="none"/>
        </w:rPr>
      </w:pPr>
    </w:p>
    <w:p w14:paraId="0CF9E964">
      <w:pPr>
        <w:rPr>
          <w:rFonts w:hint="default"/>
          <w:color w:val="auto"/>
          <w:highlight w:val="none"/>
        </w:rPr>
      </w:pPr>
    </w:p>
    <w:p w14:paraId="690872CC">
      <w:pPr>
        <w:keepNext w:val="0"/>
        <w:keepLines w:val="0"/>
        <w:pageBreakBefore w:val="0"/>
        <w:kinsoku/>
        <w:wordWrap/>
        <w:overflowPunct/>
        <w:topLinePunct w:val="0"/>
        <w:autoSpaceDE/>
        <w:autoSpaceDN/>
        <w:bidi w:val="0"/>
        <w:adjustRightInd/>
        <w:spacing w:line="400" w:lineRule="exact"/>
        <w:jc w:val="center"/>
        <w:textAlignment w:val="auto"/>
        <w:rPr>
          <w:rFonts w:hint="default" w:ascii="Times New Roman" w:hAnsi="Times New Roman" w:eastAsia="方正小标宋简体" w:cs="Times New Roman"/>
          <w:b w:val="0"/>
          <w:bCs/>
          <w:color w:val="auto"/>
          <w:sz w:val="44"/>
          <w:szCs w:val="44"/>
          <w:highlight w:val="none"/>
          <w:lang w:eastAsia="zh-CN"/>
        </w:rPr>
      </w:pPr>
      <w:r>
        <w:rPr>
          <w:rFonts w:hint="default" w:ascii="Times New Roman" w:hAnsi="Times New Roman" w:eastAsia="方正小标宋简体" w:cs="Times New Roman"/>
          <w:b w:val="0"/>
          <w:bCs/>
          <w:color w:val="auto"/>
          <w:sz w:val="44"/>
          <w:szCs w:val="44"/>
          <w:highlight w:val="none"/>
        </w:rPr>
        <w:t>工程造价咨询服务管理办法</w:t>
      </w:r>
    </w:p>
    <w:p w14:paraId="6C5D8947">
      <w:pPr>
        <w:keepNext w:val="0"/>
        <w:keepLines w:val="0"/>
        <w:pageBreakBefore w:val="0"/>
        <w:kinsoku/>
        <w:wordWrap/>
        <w:overflowPunct/>
        <w:topLinePunct w:val="0"/>
        <w:autoSpaceDE/>
        <w:autoSpaceDN/>
        <w:bidi w:val="0"/>
        <w:adjustRightInd/>
        <w:spacing w:line="400" w:lineRule="exact"/>
        <w:ind w:firstLine="3520" w:firstLineChars="1100"/>
        <w:textAlignment w:val="auto"/>
        <w:rPr>
          <w:rFonts w:hint="default" w:ascii="Times New Roman" w:hAnsi="Times New Roman" w:eastAsia="仿宋_GB2312" w:cs="Times New Roman"/>
          <w:color w:val="auto"/>
          <w:sz w:val="32"/>
          <w:szCs w:val="32"/>
          <w:highlight w:val="none"/>
        </w:rPr>
      </w:pPr>
    </w:p>
    <w:p w14:paraId="4AC72A79">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outlineLvl w:val="9"/>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第一章 总则</w:t>
      </w:r>
    </w:p>
    <w:p w14:paraId="38D78040">
      <w:pPr>
        <w:keepNext w:val="0"/>
        <w:keepLines w:val="0"/>
        <w:pageBreakBefore w:val="0"/>
        <w:kinsoku/>
        <w:wordWrap/>
        <w:overflowPunct/>
        <w:topLinePunct w:val="0"/>
        <w:autoSpaceDE/>
        <w:autoSpaceDN/>
        <w:bidi w:val="0"/>
        <w:adjustRightInd/>
        <w:spacing w:line="400" w:lineRule="exact"/>
        <w:ind w:left="0" w:leftChars="0" w:firstLine="627"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pacing w:val="-4"/>
          <w:kern w:val="0"/>
          <w:sz w:val="32"/>
          <w:szCs w:val="32"/>
          <w:highlight w:val="none"/>
        </w:rPr>
        <w:t>第一条</w:t>
      </w:r>
      <w:r>
        <w:rPr>
          <w:rFonts w:hint="default" w:ascii="Times New Roman" w:hAnsi="Times New Roman" w:eastAsia="仿宋_GB2312" w:cs="Times New Roman"/>
          <w:color w:val="auto"/>
          <w:spacing w:val="-4"/>
          <w:kern w:val="0"/>
          <w:sz w:val="32"/>
          <w:szCs w:val="32"/>
          <w:highlight w:val="none"/>
        </w:rPr>
        <w:t xml:space="preserve"> </w:t>
      </w:r>
      <w:r>
        <w:rPr>
          <w:rFonts w:hint="default" w:ascii="Times New Roman" w:hAnsi="Times New Roman" w:eastAsia="仿宋_GB2312" w:cs="Times New Roman"/>
          <w:color w:val="auto"/>
          <w:spacing w:val="-4"/>
          <w:kern w:val="0"/>
          <w:sz w:val="32"/>
          <w:szCs w:val="32"/>
          <w:highlight w:val="none"/>
          <w:lang w:val="en-US" w:eastAsia="zh-CN"/>
        </w:rPr>
        <w:t xml:space="preserve"> </w:t>
      </w:r>
      <w:r>
        <w:rPr>
          <w:rFonts w:hint="default" w:ascii="Times New Roman" w:hAnsi="Times New Roman" w:eastAsia="仿宋_GB2312" w:cs="Times New Roman"/>
          <w:color w:val="auto"/>
          <w:spacing w:val="-4"/>
          <w:kern w:val="0"/>
          <w:sz w:val="32"/>
          <w:szCs w:val="32"/>
          <w:highlight w:val="none"/>
        </w:rPr>
        <w:t>为</w:t>
      </w:r>
      <w:r>
        <w:rPr>
          <w:rFonts w:hint="default" w:ascii="Times New Roman" w:hAnsi="Times New Roman" w:eastAsia="仿宋_GB2312" w:cs="Times New Roman"/>
          <w:color w:val="auto"/>
          <w:sz w:val="32"/>
          <w:szCs w:val="32"/>
          <w:highlight w:val="none"/>
        </w:rPr>
        <w:t>加强</w:t>
      </w:r>
      <w:r>
        <w:rPr>
          <w:rFonts w:hint="default" w:ascii="Times New Roman" w:hAnsi="Times New Roman" w:eastAsia="仿宋_GB2312" w:cs="Times New Roman"/>
          <w:color w:val="auto"/>
          <w:spacing w:val="-4"/>
          <w:kern w:val="0"/>
          <w:sz w:val="32"/>
          <w:szCs w:val="32"/>
          <w:highlight w:val="none"/>
        </w:rPr>
        <w:t>我处工程造价咨询服务管理</w:t>
      </w:r>
      <w:r>
        <w:rPr>
          <w:rFonts w:hint="default" w:ascii="Times New Roman" w:hAnsi="Times New Roman" w:eastAsia="仿宋_GB2312" w:cs="Times New Roman"/>
          <w:color w:val="auto"/>
          <w:sz w:val="32"/>
          <w:szCs w:val="32"/>
          <w:highlight w:val="none"/>
        </w:rPr>
        <w:t>，提高造价成果质量和工作效率，严格控制政府投资，防范风险，强化廉政建设，根据相关规定，结合我处实际，</w:t>
      </w:r>
      <w:r>
        <w:rPr>
          <w:rFonts w:hint="default" w:ascii="Times New Roman" w:hAnsi="Times New Roman" w:eastAsia="仿宋_GB2312" w:cs="Times New Roman"/>
          <w:color w:val="auto"/>
          <w:kern w:val="0"/>
          <w:sz w:val="32"/>
          <w:szCs w:val="32"/>
          <w:highlight w:val="none"/>
        </w:rPr>
        <w:t>制定</w:t>
      </w:r>
      <w:r>
        <w:rPr>
          <w:rFonts w:hint="default" w:ascii="Times New Roman" w:hAnsi="Times New Roman" w:eastAsia="仿宋_GB2312" w:cs="Times New Roman"/>
          <w:color w:val="auto"/>
          <w:sz w:val="32"/>
          <w:szCs w:val="32"/>
          <w:highlight w:val="none"/>
        </w:rPr>
        <w:t>本办法。</w:t>
      </w:r>
    </w:p>
    <w:p w14:paraId="795BD60B">
      <w:pPr>
        <w:keepNext w:val="0"/>
        <w:keepLines w:val="0"/>
        <w:pageBreakBefore w:val="0"/>
        <w:kinsoku/>
        <w:wordWrap/>
        <w:overflowPunct/>
        <w:topLinePunct w:val="0"/>
        <w:autoSpaceDE/>
        <w:autoSpaceDN/>
        <w:bidi w:val="0"/>
        <w:adjustRightInd/>
        <w:spacing w:line="400" w:lineRule="exact"/>
        <w:ind w:left="0" w:leftChars="0" w:firstLine="627" w:firstLineChars="200"/>
        <w:jc w:val="left"/>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仿宋_GB2312" w:cs="Times New Roman"/>
          <w:b/>
          <w:bCs/>
          <w:color w:val="auto"/>
          <w:spacing w:val="-4"/>
          <w:kern w:val="0"/>
          <w:sz w:val="32"/>
          <w:szCs w:val="32"/>
          <w:highlight w:val="none"/>
        </w:rPr>
        <w:t>第二条</w:t>
      </w:r>
      <w:r>
        <w:rPr>
          <w:rFonts w:hint="default" w:ascii="Times New Roman" w:hAnsi="Times New Roman" w:eastAsia="仿宋_GB2312" w:cs="Times New Roman"/>
          <w:color w:val="auto"/>
          <w:spacing w:val="-4"/>
          <w:kern w:val="0"/>
          <w:sz w:val="32"/>
          <w:szCs w:val="32"/>
          <w:highlight w:val="none"/>
        </w:rPr>
        <w:t xml:space="preserve"> </w:t>
      </w:r>
      <w:r>
        <w:rPr>
          <w:rFonts w:hint="default" w:ascii="Times New Roman" w:hAnsi="Times New Roman" w:eastAsia="仿宋_GB2312" w:cs="Times New Roman"/>
          <w:color w:val="auto"/>
          <w:spacing w:val="-4"/>
          <w:kern w:val="0"/>
          <w:sz w:val="32"/>
          <w:szCs w:val="32"/>
          <w:highlight w:val="none"/>
          <w:lang w:val="en-US" w:eastAsia="zh-CN"/>
        </w:rPr>
        <w:t xml:space="preserve"> </w:t>
      </w:r>
      <w:r>
        <w:rPr>
          <w:rFonts w:hint="default" w:ascii="Times New Roman" w:hAnsi="Times New Roman" w:eastAsia="仿宋_GB2312" w:cs="Times New Roman"/>
          <w:color w:val="auto"/>
          <w:spacing w:val="-4"/>
          <w:kern w:val="0"/>
          <w:sz w:val="32"/>
          <w:szCs w:val="32"/>
          <w:highlight w:val="none"/>
        </w:rPr>
        <w:t>我处委托工程造价咨询企业（以下简称“造价企业”）</w:t>
      </w:r>
      <w:r>
        <w:rPr>
          <w:rFonts w:hint="default" w:ascii="Times New Roman" w:hAnsi="Times New Roman" w:eastAsia="仿宋_GB2312" w:cs="Times New Roman"/>
          <w:color w:val="auto"/>
          <w:spacing w:val="-4"/>
          <w:kern w:val="0"/>
          <w:sz w:val="32"/>
          <w:szCs w:val="32"/>
          <w:highlight w:val="none"/>
          <w:lang w:eastAsia="zh-CN"/>
        </w:rPr>
        <w:t>的</w:t>
      </w:r>
      <w:r>
        <w:rPr>
          <w:rFonts w:hint="default" w:ascii="Times New Roman" w:hAnsi="Times New Roman" w:eastAsia="仿宋_GB2312" w:cs="Times New Roman"/>
          <w:color w:val="auto"/>
          <w:spacing w:val="-4"/>
          <w:kern w:val="0"/>
          <w:sz w:val="32"/>
          <w:szCs w:val="32"/>
          <w:highlight w:val="none"/>
        </w:rPr>
        <w:t>投资估算、设计概算、工程量清单</w:t>
      </w:r>
      <w:r>
        <w:rPr>
          <w:rFonts w:hint="default" w:ascii="Times New Roman" w:hAnsi="Times New Roman" w:eastAsia="仿宋_GB2312" w:cs="Times New Roman"/>
          <w:color w:val="auto"/>
          <w:spacing w:val="-4"/>
          <w:kern w:val="0"/>
          <w:sz w:val="32"/>
          <w:szCs w:val="32"/>
          <w:highlight w:val="none"/>
          <w:lang w:eastAsia="zh-CN"/>
        </w:rPr>
        <w:t>及</w:t>
      </w:r>
      <w:r>
        <w:rPr>
          <w:rFonts w:hint="default" w:ascii="Times New Roman" w:hAnsi="Times New Roman" w:eastAsia="仿宋_GB2312" w:cs="Times New Roman"/>
          <w:color w:val="auto"/>
          <w:spacing w:val="-4"/>
          <w:kern w:val="0"/>
          <w:sz w:val="32"/>
          <w:szCs w:val="32"/>
          <w:highlight w:val="none"/>
        </w:rPr>
        <w:t>最高投标限价编制</w:t>
      </w:r>
      <w:r>
        <w:rPr>
          <w:rFonts w:hint="default" w:ascii="Times New Roman" w:hAnsi="Times New Roman" w:eastAsia="仿宋_GB2312" w:cs="Times New Roman"/>
          <w:color w:val="auto"/>
          <w:spacing w:val="-4"/>
          <w:kern w:val="0"/>
          <w:sz w:val="32"/>
          <w:szCs w:val="32"/>
          <w:highlight w:val="none"/>
          <w:lang w:eastAsia="zh-CN"/>
        </w:rPr>
        <w:t>（以下简称“清单编制”）和审核</w:t>
      </w:r>
      <w:r>
        <w:rPr>
          <w:rFonts w:hint="default" w:ascii="Times New Roman" w:hAnsi="Times New Roman" w:eastAsia="仿宋_GB2312" w:cs="Times New Roman"/>
          <w:color w:val="auto"/>
          <w:spacing w:val="-4"/>
          <w:kern w:val="0"/>
          <w:sz w:val="32"/>
          <w:szCs w:val="32"/>
          <w:highlight w:val="none"/>
        </w:rPr>
        <w:t>、施工阶段全过程造价控制（以下简称“跟踪审计”）、结算审核、第三方复审等咨询业务均适用于本办法。</w:t>
      </w:r>
    </w:p>
    <w:p w14:paraId="5E247A21">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eastAsia="黑体" w:cs="Times New Roman"/>
          <w:color w:val="auto"/>
          <w:kern w:val="36"/>
          <w:sz w:val="32"/>
          <w:szCs w:val="32"/>
          <w:highlight w:val="none"/>
        </w:rPr>
      </w:pPr>
      <w:r>
        <w:rPr>
          <w:rFonts w:hint="default" w:ascii="Times New Roman" w:hAnsi="Times New Roman" w:eastAsia="黑体" w:cs="Times New Roman"/>
          <w:color w:val="auto"/>
          <w:sz w:val="32"/>
          <w:szCs w:val="32"/>
          <w:highlight w:val="none"/>
        </w:rPr>
        <w:t>第二章 工作流程</w:t>
      </w:r>
    </w:p>
    <w:p w14:paraId="43A68EFD">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第三条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eastAsia="zh-CN"/>
        </w:rPr>
        <w:t>清单编制审核</w:t>
      </w:r>
      <w:r>
        <w:rPr>
          <w:rFonts w:hint="default" w:ascii="Times New Roman" w:hAnsi="Times New Roman" w:eastAsia="仿宋_GB2312" w:cs="Times New Roman"/>
          <w:color w:val="auto"/>
          <w:sz w:val="32"/>
          <w:szCs w:val="32"/>
          <w:highlight w:val="none"/>
        </w:rPr>
        <w:t>流程</w:t>
      </w:r>
    </w:p>
    <w:p w14:paraId="310B8CA0">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cs="Times New Roman"/>
          <w:color w:val="auto"/>
          <w:sz w:val="32"/>
          <w:szCs w:val="32"/>
          <w:highlight w:val="none"/>
        </w:rPr>
      </w:pPr>
      <w:r>
        <w:rPr>
          <w:rFonts w:hint="default" w:ascii="Times New Roman" w:hAnsi="Times New Roman" w:eastAsia="仿宋_GB2312" w:cs="Times New Roman"/>
          <w:color w:val="auto"/>
          <w:kern w:val="2"/>
          <w:sz w:val="32"/>
          <w:szCs w:val="32"/>
          <w:highlight w:val="none"/>
          <w:lang w:val="en-US" w:eastAsia="zh-CN" w:bidi="ar-SA"/>
        </w:rPr>
        <w:t>工程技术科提供图审合格的完整纸质图、电子图和勘察报告等相关设计文件</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综合计划科委托造价企业</w:t>
      </w:r>
      <w:r>
        <w:rPr>
          <w:rFonts w:hint="default" w:ascii="Times New Roman" w:hAnsi="Times New Roman" w:eastAsia="仿宋_GB2312" w:cs="Times New Roman"/>
          <w:color w:val="auto"/>
          <w:sz w:val="32"/>
          <w:szCs w:val="32"/>
          <w:highlight w:val="none"/>
        </w:rPr>
        <w:t>编制清单→</w:t>
      </w:r>
      <w:r>
        <w:rPr>
          <w:rFonts w:hint="default" w:ascii="Times New Roman" w:hAnsi="Times New Roman" w:eastAsia="仿宋_GB2312" w:cs="Times New Roman"/>
          <w:color w:val="auto"/>
          <w:sz w:val="32"/>
          <w:szCs w:val="32"/>
          <w:highlight w:val="none"/>
          <w:lang w:eastAsia="zh-CN"/>
        </w:rPr>
        <w:t>项目分管领导牵头，组织综合计划科、工程技术科、工程建设科和设计（勘察）单位、清单编制单位等参加清单会审（投资较大、技术复杂、专业性较强的项目，可以委托第三方复审或组织专家论证）</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工程技术科督促设计单位按照会审意见限期完成修改，并对最终图纸进行确认</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编制单位出具会审备忘录（编制说明），按会审意见和终版图纸调整</w:t>
      </w:r>
      <w:r>
        <w:rPr>
          <w:rFonts w:hint="default" w:ascii="Times New Roman" w:hAnsi="Times New Roman" w:eastAsia="仿宋_GB2312" w:cs="Times New Roman"/>
          <w:color w:val="auto"/>
          <w:sz w:val="32"/>
          <w:szCs w:val="32"/>
          <w:highlight w:val="none"/>
        </w:rPr>
        <w:t>清单</w:t>
      </w:r>
      <w:r>
        <w:rPr>
          <w:rFonts w:hint="default" w:ascii="Times New Roman" w:hAnsi="Times New Roman" w:eastAsia="仿宋_GB2312" w:cs="Times New Roman"/>
          <w:color w:val="auto"/>
          <w:sz w:val="32"/>
          <w:szCs w:val="32"/>
          <w:highlight w:val="none"/>
          <w:lang w:eastAsia="zh-CN"/>
        </w:rPr>
        <w:t>。其中，</w:t>
      </w:r>
      <w:r>
        <w:rPr>
          <w:rFonts w:hint="default" w:ascii="Times New Roman" w:hAnsi="Times New Roman" w:eastAsia="仿宋_GB2312" w:cs="Times New Roman"/>
          <w:color w:val="auto"/>
          <w:sz w:val="32"/>
          <w:szCs w:val="32"/>
          <w:highlight w:val="none"/>
        </w:rPr>
        <w:t>最高</w:t>
      </w:r>
      <w:r>
        <w:rPr>
          <w:rFonts w:hint="default" w:ascii="Times New Roman" w:hAnsi="Times New Roman" w:eastAsia="仿宋_GB2312" w:cs="Times New Roman"/>
          <w:color w:val="auto"/>
          <w:sz w:val="32"/>
          <w:szCs w:val="32"/>
          <w:highlight w:val="none"/>
          <w:lang w:eastAsia="zh-CN"/>
        </w:rPr>
        <w:t>投标</w:t>
      </w:r>
      <w:r>
        <w:rPr>
          <w:rFonts w:hint="default" w:ascii="Times New Roman" w:hAnsi="Times New Roman" w:eastAsia="仿宋_GB2312" w:cs="Times New Roman"/>
          <w:color w:val="auto"/>
          <w:sz w:val="32"/>
          <w:szCs w:val="32"/>
          <w:highlight w:val="none"/>
        </w:rPr>
        <w:t>限价</w:t>
      </w:r>
      <w:r>
        <w:rPr>
          <w:rFonts w:hint="default" w:ascii="Times New Roman" w:hAnsi="Times New Roman" w:eastAsia="仿宋_GB2312" w:cs="Times New Roman"/>
          <w:color w:val="auto"/>
          <w:sz w:val="32"/>
          <w:szCs w:val="32"/>
          <w:highlight w:val="none"/>
          <w:lang w:eastAsia="zh-CN"/>
        </w:rPr>
        <w:t>一亿元以上项目报送市财政工程造价审核中心审核。（上述限额标准根据市财政局规定同步调整）</w:t>
      </w:r>
    </w:p>
    <w:p w14:paraId="36B399CF">
      <w:pPr>
        <w:keepNext w:val="0"/>
        <w:keepLines w:val="0"/>
        <w:pageBreakBefore w:val="0"/>
        <w:numPr>
          <w:ilvl w:val="0"/>
          <w:numId w:val="0"/>
        </w:numPr>
        <w:kinsoku/>
        <w:wordWrap/>
        <w:overflowPunct/>
        <w:topLinePunct w:val="0"/>
        <w:autoSpaceDE/>
        <w:autoSpaceDN/>
        <w:bidi w:val="0"/>
        <w:adjustRightInd/>
        <w:spacing w:line="400" w:lineRule="exact"/>
        <w:ind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lang w:val="en-US" w:eastAsia="zh-CN"/>
        </w:rPr>
        <w:t>第四条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项目</w:t>
      </w:r>
      <w:r>
        <w:rPr>
          <w:rFonts w:hint="default" w:ascii="Times New Roman" w:hAnsi="Times New Roman" w:eastAsia="仿宋_GB2312" w:cs="Times New Roman"/>
          <w:color w:val="auto"/>
          <w:sz w:val="32"/>
          <w:szCs w:val="32"/>
          <w:highlight w:val="none"/>
          <w:lang w:eastAsia="zh-CN"/>
        </w:rPr>
        <w:t>结算审核</w:t>
      </w:r>
      <w:r>
        <w:rPr>
          <w:rFonts w:hint="default" w:ascii="Times New Roman" w:hAnsi="Times New Roman" w:eastAsia="仿宋_GB2312" w:cs="Times New Roman"/>
          <w:color w:val="auto"/>
          <w:sz w:val="32"/>
          <w:szCs w:val="32"/>
          <w:highlight w:val="none"/>
        </w:rPr>
        <w:t>流程</w:t>
      </w:r>
    </w:p>
    <w:p w14:paraId="01552592">
      <w:pPr>
        <w:keepNext w:val="0"/>
        <w:keepLines w:val="0"/>
        <w:pageBreakBefore w:val="0"/>
        <w:numPr>
          <w:ilvl w:val="0"/>
          <w:numId w:val="0"/>
        </w:numPr>
        <w:kinsoku/>
        <w:wordWrap/>
        <w:overflowPunct/>
        <w:topLinePunct w:val="0"/>
        <w:autoSpaceDE/>
        <w:autoSpaceDN/>
        <w:bidi w:val="0"/>
        <w:adjustRightInd/>
        <w:spacing w:line="400"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w:t>
      </w:r>
      <w:r>
        <w:rPr>
          <w:rFonts w:hint="default" w:ascii="Times New Roman" w:hAnsi="Times New Roman" w:eastAsia="仿宋_GB2312" w:cs="Times New Roman"/>
          <w:color w:val="auto"/>
          <w:sz w:val="32"/>
          <w:szCs w:val="32"/>
          <w:highlight w:val="none"/>
          <w:lang w:eastAsia="zh-CN"/>
        </w:rPr>
        <w:t>工程</w:t>
      </w:r>
      <w:r>
        <w:rPr>
          <w:rFonts w:hint="default" w:ascii="Times New Roman" w:hAnsi="Times New Roman" w:eastAsia="仿宋_GB2312" w:cs="Times New Roman"/>
          <w:color w:val="auto"/>
          <w:sz w:val="32"/>
          <w:szCs w:val="32"/>
          <w:highlight w:val="none"/>
        </w:rPr>
        <w:t>合同价</w:t>
      </w:r>
      <w:r>
        <w:rPr>
          <w:rFonts w:hint="default" w:ascii="Times New Roman" w:hAnsi="Times New Roman" w:eastAsia="仿宋_GB2312" w:cs="Times New Roman"/>
          <w:color w:val="auto"/>
          <w:sz w:val="32"/>
          <w:szCs w:val="32"/>
          <w:highlight w:val="none"/>
          <w:lang w:eastAsia="zh-CN"/>
        </w:rPr>
        <w:t>2000</w:t>
      </w:r>
      <w:r>
        <w:rPr>
          <w:rFonts w:hint="default" w:ascii="Times New Roman" w:hAnsi="Times New Roman" w:eastAsia="仿宋_GB2312" w:cs="Times New Roman"/>
          <w:color w:val="auto"/>
          <w:sz w:val="32"/>
          <w:szCs w:val="32"/>
          <w:highlight w:val="none"/>
        </w:rPr>
        <w:t>万元及以上（绿化</w:t>
      </w:r>
      <w:r>
        <w:rPr>
          <w:rFonts w:hint="default" w:ascii="Times New Roman" w:hAnsi="Times New Roman" w:eastAsia="仿宋_GB2312" w:cs="Times New Roman"/>
          <w:color w:val="auto"/>
          <w:sz w:val="32"/>
          <w:szCs w:val="32"/>
          <w:highlight w:val="none"/>
          <w:lang w:eastAsia="zh-CN"/>
        </w:rPr>
        <w:t>、园林景观1000</w:t>
      </w:r>
      <w:r>
        <w:rPr>
          <w:rFonts w:hint="default" w:ascii="Times New Roman" w:hAnsi="Times New Roman" w:eastAsia="仿宋_GB2312" w:cs="Times New Roman"/>
          <w:color w:val="auto"/>
          <w:sz w:val="32"/>
          <w:szCs w:val="32"/>
          <w:highlight w:val="none"/>
        </w:rPr>
        <w:t>万元及以上）项目</w:t>
      </w:r>
    </w:p>
    <w:p w14:paraId="0B55380E">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施工单位向跟踪审计单位报送结算资料</w:t>
      </w:r>
      <w:r>
        <w:rPr>
          <w:rFonts w:hint="default" w:ascii="Times New Roman" w:hAnsi="Times New Roman" w:eastAsia="仿宋_GB2312" w:cs="Times New Roman"/>
          <w:color w:val="auto"/>
          <w:sz w:val="32"/>
          <w:szCs w:val="32"/>
          <w:highlight w:val="none"/>
        </w:rPr>
        <w:t>→跟踪审计单位出具</w:t>
      </w:r>
      <w:r>
        <w:rPr>
          <w:rFonts w:hint="default" w:ascii="Times New Roman" w:hAnsi="Times New Roman" w:eastAsia="仿宋_GB2312" w:cs="Times New Roman"/>
          <w:color w:val="auto"/>
          <w:sz w:val="32"/>
          <w:szCs w:val="32"/>
          <w:highlight w:val="none"/>
          <w:lang w:eastAsia="zh-CN"/>
        </w:rPr>
        <w:t>结算审核</w:t>
      </w:r>
      <w:r>
        <w:rPr>
          <w:rFonts w:hint="default" w:ascii="Times New Roman" w:hAnsi="Times New Roman" w:eastAsia="仿宋_GB2312" w:cs="Times New Roman"/>
          <w:color w:val="auto"/>
          <w:sz w:val="32"/>
          <w:szCs w:val="32"/>
          <w:highlight w:val="none"/>
        </w:rPr>
        <w:t>报告→工程建设科</w:t>
      </w:r>
      <w:r>
        <w:rPr>
          <w:rFonts w:hint="default" w:ascii="Times New Roman" w:hAnsi="Times New Roman" w:eastAsia="仿宋_GB2312" w:cs="Times New Roman"/>
          <w:color w:val="auto"/>
          <w:sz w:val="32"/>
          <w:szCs w:val="32"/>
          <w:highlight w:val="none"/>
          <w:lang w:eastAsia="zh-CN"/>
        </w:rPr>
        <w:t>组织监理、跟审、设计等单位</w:t>
      </w:r>
      <w:r>
        <w:rPr>
          <w:rFonts w:hint="default" w:ascii="Times New Roman" w:hAnsi="Times New Roman" w:eastAsia="仿宋_GB2312" w:cs="Times New Roman"/>
          <w:color w:val="auto"/>
          <w:sz w:val="32"/>
          <w:szCs w:val="32"/>
          <w:highlight w:val="none"/>
        </w:rPr>
        <w:t>审查→跟踪审计单位调整</w:t>
      </w:r>
      <w:r>
        <w:rPr>
          <w:rFonts w:hint="default" w:ascii="Times New Roman" w:hAnsi="Times New Roman" w:eastAsia="仿宋_GB2312" w:cs="Times New Roman"/>
          <w:color w:val="auto"/>
          <w:sz w:val="32"/>
          <w:szCs w:val="32"/>
          <w:highlight w:val="none"/>
          <w:lang w:eastAsia="zh-CN"/>
        </w:rPr>
        <w:t>结算审核</w:t>
      </w:r>
      <w:r>
        <w:rPr>
          <w:rFonts w:hint="default" w:ascii="Times New Roman" w:hAnsi="Times New Roman" w:eastAsia="仿宋_GB2312" w:cs="Times New Roman"/>
          <w:color w:val="auto"/>
          <w:sz w:val="32"/>
          <w:szCs w:val="32"/>
          <w:highlight w:val="none"/>
        </w:rPr>
        <w:t>报告→综合计划科复核→跟踪审计单位</w:t>
      </w:r>
      <w:r>
        <w:rPr>
          <w:rFonts w:hint="default" w:ascii="Times New Roman" w:hAnsi="Times New Roman" w:eastAsia="仿宋_GB2312" w:cs="Times New Roman"/>
          <w:color w:val="auto"/>
          <w:sz w:val="32"/>
          <w:szCs w:val="32"/>
          <w:highlight w:val="none"/>
          <w:lang w:eastAsia="zh-CN"/>
        </w:rPr>
        <w:t>定稿结算审核</w:t>
      </w:r>
      <w:r>
        <w:rPr>
          <w:rFonts w:hint="default" w:ascii="Times New Roman" w:hAnsi="Times New Roman" w:eastAsia="仿宋_GB2312" w:cs="Times New Roman"/>
          <w:color w:val="auto"/>
          <w:sz w:val="32"/>
          <w:szCs w:val="32"/>
          <w:highlight w:val="none"/>
        </w:rPr>
        <w:t>报告→</w:t>
      </w:r>
      <w:r>
        <w:rPr>
          <w:rFonts w:hint="default" w:ascii="Times New Roman" w:hAnsi="Times New Roman" w:eastAsia="仿宋_GB2312" w:cs="Times New Roman"/>
          <w:color w:val="auto"/>
          <w:sz w:val="32"/>
          <w:szCs w:val="32"/>
          <w:highlight w:val="none"/>
          <w:lang w:eastAsia="zh-CN"/>
        </w:rPr>
        <w:t>工程建设科报</w:t>
      </w:r>
      <w:r>
        <w:rPr>
          <w:rFonts w:hint="default" w:ascii="Times New Roman" w:hAnsi="Times New Roman" w:eastAsia="仿宋_GB2312" w:cs="Times New Roman"/>
          <w:color w:val="auto"/>
          <w:sz w:val="32"/>
          <w:szCs w:val="32"/>
          <w:highlight w:val="none"/>
        </w:rPr>
        <w:t>市财政工程造价审核中心出具审核意见书并备案</w:t>
      </w:r>
      <w:r>
        <w:rPr>
          <w:rFonts w:hint="default" w:ascii="Times New Roman" w:hAnsi="Times New Roman" w:eastAsia="仿宋_GB2312" w:cs="Times New Roman"/>
          <w:color w:val="auto"/>
          <w:sz w:val="32"/>
          <w:szCs w:val="32"/>
          <w:highlight w:val="none"/>
          <w:lang w:eastAsia="zh-CN"/>
        </w:rPr>
        <w:t>存档</w:t>
      </w:r>
      <w:r>
        <w:rPr>
          <w:rFonts w:hint="default" w:ascii="Times New Roman" w:hAnsi="Times New Roman" w:eastAsia="仿宋_GB2312" w:cs="Times New Roman"/>
          <w:color w:val="auto"/>
          <w:sz w:val="32"/>
          <w:szCs w:val="32"/>
          <w:highlight w:val="none"/>
        </w:rPr>
        <w:t>。</w:t>
      </w:r>
    </w:p>
    <w:p w14:paraId="27EC6225">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二</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工程</w:t>
      </w:r>
      <w:r>
        <w:rPr>
          <w:rFonts w:hint="default" w:ascii="Times New Roman" w:hAnsi="Times New Roman" w:eastAsia="仿宋_GB2312" w:cs="Times New Roman"/>
          <w:color w:val="auto"/>
          <w:sz w:val="32"/>
          <w:szCs w:val="32"/>
          <w:highlight w:val="none"/>
        </w:rPr>
        <w:t>合同价</w:t>
      </w:r>
      <w:r>
        <w:rPr>
          <w:rFonts w:hint="default" w:ascii="Times New Roman" w:hAnsi="Times New Roman" w:eastAsia="仿宋_GB2312" w:cs="Times New Roman"/>
          <w:color w:val="auto"/>
          <w:sz w:val="32"/>
          <w:szCs w:val="32"/>
          <w:highlight w:val="none"/>
          <w:lang w:eastAsia="zh-CN"/>
        </w:rPr>
        <w:t>200</w:t>
      </w:r>
      <w:r>
        <w:rPr>
          <w:rFonts w:hint="default" w:ascii="Times New Roman" w:hAnsi="Times New Roman" w:eastAsia="仿宋_GB2312" w:cs="Times New Roman"/>
          <w:color w:val="auto"/>
          <w:sz w:val="32"/>
          <w:szCs w:val="32"/>
          <w:highlight w:val="none"/>
        </w:rPr>
        <w:t>万元（绿化</w:t>
      </w:r>
      <w:r>
        <w:rPr>
          <w:rFonts w:hint="default" w:ascii="Times New Roman" w:hAnsi="Times New Roman" w:eastAsia="仿宋_GB2312" w:cs="Times New Roman"/>
          <w:color w:val="auto"/>
          <w:sz w:val="32"/>
          <w:szCs w:val="32"/>
          <w:highlight w:val="none"/>
          <w:lang w:eastAsia="zh-CN"/>
        </w:rPr>
        <w:t>、园林景观100</w:t>
      </w:r>
      <w:r>
        <w:rPr>
          <w:rFonts w:hint="default" w:ascii="Times New Roman" w:hAnsi="Times New Roman" w:eastAsia="仿宋_GB2312" w:cs="Times New Roman"/>
          <w:color w:val="auto"/>
          <w:sz w:val="32"/>
          <w:szCs w:val="32"/>
          <w:highlight w:val="none"/>
        </w:rPr>
        <w:t>万元）及以上，</w:t>
      </w:r>
      <w:r>
        <w:rPr>
          <w:rFonts w:hint="default" w:ascii="Times New Roman" w:hAnsi="Times New Roman" w:eastAsia="仿宋_GB2312" w:cs="Times New Roman"/>
          <w:color w:val="auto"/>
          <w:sz w:val="32"/>
          <w:szCs w:val="32"/>
          <w:highlight w:val="none"/>
          <w:lang w:eastAsia="zh-CN"/>
        </w:rPr>
        <w:t>2000</w:t>
      </w:r>
      <w:r>
        <w:rPr>
          <w:rFonts w:hint="default" w:ascii="Times New Roman" w:hAnsi="Times New Roman" w:eastAsia="仿宋_GB2312" w:cs="Times New Roman"/>
          <w:color w:val="auto"/>
          <w:sz w:val="32"/>
          <w:szCs w:val="32"/>
          <w:highlight w:val="none"/>
        </w:rPr>
        <w:t>万元（绿化</w:t>
      </w:r>
      <w:r>
        <w:rPr>
          <w:rFonts w:hint="default" w:ascii="Times New Roman" w:hAnsi="Times New Roman" w:eastAsia="仿宋_GB2312" w:cs="Times New Roman"/>
          <w:color w:val="auto"/>
          <w:sz w:val="32"/>
          <w:szCs w:val="32"/>
          <w:highlight w:val="none"/>
          <w:lang w:eastAsia="zh-CN"/>
        </w:rPr>
        <w:t>、园林景观1000</w:t>
      </w:r>
      <w:r>
        <w:rPr>
          <w:rFonts w:hint="default" w:ascii="Times New Roman" w:hAnsi="Times New Roman" w:eastAsia="仿宋_GB2312" w:cs="Times New Roman"/>
          <w:color w:val="auto"/>
          <w:sz w:val="32"/>
          <w:szCs w:val="32"/>
          <w:highlight w:val="none"/>
        </w:rPr>
        <w:t>万元）以下项目</w:t>
      </w:r>
    </w:p>
    <w:p w14:paraId="107B2FCC">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施工单位向跟踪审计单位报送结算资料</w:t>
      </w:r>
      <w:r>
        <w:rPr>
          <w:rFonts w:hint="default" w:ascii="Times New Roman" w:hAnsi="Times New Roman" w:eastAsia="仿宋_GB2312" w:cs="Times New Roman"/>
          <w:color w:val="auto"/>
          <w:sz w:val="32"/>
          <w:szCs w:val="32"/>
          <w:highlight w:val="none"/>
        </w:rPr>
        <w:t>→跟踪审计单位出具</w:t>
      </w:r>
      <w:r>
        <w:rPr>
          <w:rFonts w:hint="default" w:ascii="Times New Roman" w:hAnsi="Times New Roman" w:eastAsia="仿宋_GB2312" w:cs="Times New Roman"/>
          <w:color w:val="auto"/>
          <w:sz w:val="32"/>
          <w:szCs w:val="32"/>
          <w:highlight w:val="none"/>
          <w:lang w:eastAsia="zh-CN"/>
        </w:rPr>
        <w:t>结算审核</w:t>
      </w:r>
      <w:r>
        <w:rPr>
          <w:rFonts w:hint="default" w:ascii="Times New Roman" w:hAnsi="Times New Roman" w:eastAsia="仿宋_GB2312" w:cs="Times New Roman"/>
          <w:color w:val="auto"/>
          <w:sz w:val="32"/>
          <w:szCs w:val="32"/>
          <w:highlight w:val="none"/>
        </w:rPr>
        <w:t>报告→工程建设科</w:t>
      </w:r>
      <w:r>
        <w:rPr>
          <w:rFonts w:hint="default" w:ascii="Times New Roman" w:hAnsi="Times New Roman" w:eastAsia="仿宋_GB2312" w:cs="Times New Roman"/>
          <w:color w:val="auto"/>
          <w:sz w:val="32"/>
          <w:szCs w:val="32"/>
          <w:highlight w:val="none"/>
          <w:lang w:eastAsia="zh-CN"/>
        </w:rPr>
        <w:t>组织监理、跟审、设计等单位</w:t>
      </w:r>
      <w:r>
        <w:rPr>
          <w:rFonts w:hint="default" w:ascii="Times New Roman" w:hAnsi="Times New Roman" w:eastAsia="仿宋_GB2312" w:cs="Times New Roman"/>
          <w:color w:val="auto"/>
          <w:sz w:val="32"/>
          <w:szCs w:val="32"/>
          <w:highlight w:val="none"/>
        </w:rPr>
        <w:t>审查→跟踪审计单位调整</w:t>
      </w:r>
      <w:r>
        <w:rPr>
          <w:rFonts w:hint="default" w:ascii="Times New Roman" w:hAnsi="Times New Roman" w:eastAsia="仿宋_GB2312" w:cs="Times New Roman"/>
          <w:color w:val="auto"/>
          <w:sz w:val="32"/>
          <w:szCs w:val="32"/>
          <w:highlight w:val="none"/>
          <w:lang w:eastAsia="zh-CN"/>
        </w:rPr>
        <w:t>结算审核</w:t>
      </w:r>
      <w:r>
        <w:rPr>
          <w:rFonts w:hint="default" w:ascii="Times New Roman" w:hAnsi="Times New Roman" w:eastAsia="仿宋_GB2312" w:cs="Times New Roman"/>
          <w:color w:val="auto"/>
          <w:sz w:val="32"/>
          <w:szCs w:val="32"/>
          <w:highlight w:val="none"/>
        </w:rPr>
        <w:t>报告→综合计划科委托第三方</w:t>
      </w:r>
      <w:r>
        <w:rPr>
          <w:rFonts w:hint="default" w:ascii="Times New Roman" w:hAnsi="Times New Roman" w:eastAsia="仿宋_GB2312" w:cs="Times New Roman"/>
          <w:color w:val="auto"/>
          <w:sz w:val="32"/>
          <w:szCs w:val="32"/>
          <w:highlight w:val="none"/>
          <w:lang w:eastAsia="zh-CN"/>
        </w:rPr>
        <w:t>复审单位</w:t>
      </w:r>
      <w:r>
        <w:rPr>
          <w:rFonts w:hint="default" w:ascii="Times New Roman" w:hAnsi="Times New Roman" w:eastAsia="仿宋_GB2312" w:cs="Times New Roman"/>
          <w:color w:val="auto"/>
          <w:sz w:val="32"/>
          <w:szCs w:val="32"/>
          <w:highlight w:val="none"/>
        </w:rPr>
        <w:t>审核并出具结算审</w:t>
      </w:r>
      <w:r>
        <w:rPr>
          <w:rFonts w:hint="default" w:ascii="Times New Roman" w:hAnsi="Times New Roman" w:eastAsia="仿宋_GB2312" w:cs="Times New Roman"/>
          <w:color w:val="auto"/>
          <w:sz w:val="32"/>
          <w:szCs w:val="32"/>
          <w:highlight w:val="none"/>
          <w:lang w:eastAsia="zh-CN"/>
        </w:rPr>
        <w:t>（复）核</w:t>
      </w:r>
      <w:r>
        <w:rPr>
          <w:rFonts w:hint="default" w:ascii="Times New Roman" w:hAnsi="Times New Roman" w:eastAsia="仿宋_GB2312" w:cs="Times New Roman"/>
          <w:color w:val="auto"/>
          <w:sz w:val="32"/>
          <w:szCs w:val="32"/>
          <w:highlight w:val="none"/>
        </w:rPr>
        <w:t>报告→综合计划科复核→第三方</w:t>
      </w:r>
      <w:r>
        <w:rPr>
          <w:rFonts w:hint="default" w:ascii="Times New Roman" w:hAnsi="Times New Roman" w:eastAsia="仿宋_GB2312" w:cs="Times New Roman"/>
          <w:color w:val="auto"/>
          <w:sz w:val="32"/>
          <w:szCs w:val="32"/>
          <w:highlight w:val="none"/>
          <w:lang w:eastAsia="zh-CN"/>
        </w:rPr>
        <w:t>复审单位</w:t>
      </w:r>
      <w:r>
        <w:rPr>
          <w:rFonts w:hint="default" w:ascii="Times New Roman" w:hAnsi="Times New Roman" w:eastAsia="仿宋_GB2312" w:cs="Times New Roman"/>
          <w:color w:val="auto"/>
          <w:sz w:val="32"/>
          <w:szCs w:val="32"/>
          <w:highlight w:val="none"/>
        </w:rPr>
        <w:t>调整结算审</w:t>
      </w:r>
      <w:r>
        <w:rPr>
          <w:rFonts w:hint="default" w:ascii="Times New Roman" w:hAnsi="Times New Roman" w:eastAsia="仿宋_GB2312" w:cs="Times New Roman"/>
          <w:color w:val="auto"/>
          <w:sz w:val="32"/>
          <w:szCs w:val="32"/>
          <w:highlight w:val="none"/>
          <w:lang w:eastAsia="zh-CN"/>
        </w:rPr>
        <w:t>（复）核</w:t>
      </w:r>
      <w:r>
        <w:rPr>
          <w:rFonts w:hint="default" w:ascii="Times New Roman" w:hAnsi="Times New Roman" w:eastAsia="仿宋_GB2312" w:cs="Times New Roman"/>
          <w:color w:val="auto"/>
          <w:sz w:val="32"/>
          <w:szCs w:val="32"/>
          <w:highlight w:val="none"/>
        </w:rPr>
        <w:t>报告→</w:t>
      </w:r>
      <w:r>
        <w:rPr>
          <w:rFonts w:hint="default" w:ascii="Times New Roman" w:hAnsi="Times New Roman" w:eastAsia="仿宋_GB2312" w:cs="Times New Roman"/>
          <w:color w:val="auto"/>
          <w:sz w:val="32"/>
          <w:szCs w:val="32"/>
          <w:highlight w:val="none"/>
          <w:lang w:eastAsia="zh-CN"/>
        </w:rPr>
        <w:t>工程建设科</w:t>
      </w:r>
      <w:r>
        <w:rPr>
          <w:rFonts w:hint="default" w:ascii="Times New Roman" w:hAnsi="Times New Roman" w:eastAsia="仿宋_GB2312" w:cs="Times New Roman"/>
          <w:color w:val="auto"/>
          <w:sz w:val="32"/>
          <w:szCs w:val="32"/>
          <w:highlight w:val="none"/>
        </w:rPr>
        <w:t>备案</w:t>
      </w:r>
      <w:r>
        <w:rPr>
          <w:rFonts w:hint="default" w:ascii="Times New Roman" w:hAnsi="Times New Roman" w:eastAsia="仿宋_GB2312" w:cs="Times New Roman"/>
          <w:color w:val="auto"/>
          <w:sz w:val="32"/>
          <w:szCs w:val="32"/>
          <w:highlight w:val="none"/>
          <w:lang w:eastAsia="zh-CN"/>
        </w:rPr>
        <w:t>存档</w:t>
      </w:r>
      <w:r>
        <w:rPr>
          <w:rFonts w:hint="default" w:ascii="Times New Roman" w:hAnsi="Times New Roman" w:eastAsia="仿宋_GB2312" w:cs="Times New Roman"/>
          <w:color w:val="auto"/>
          <w:sz w:val="32"/>
          <w:szCs w:val="32"/>
          <w:highlight w:val="none"/>
        </w:rPr>
        <w:t>。</w:t>
      </w:r>
    </w:p>
    <w:p w14:paraId="2FB59B6C">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outlineLvl w:val="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w:t>
      </w:r>
      <w:r>
        <w:rPr>
          <w:rFonts w:hint="default" w:ascii="Times New Roman" w:hAnsi="Times New Roman" w:eastAsia="仿宋_GB2312" w:cs="Times New Roman"/>
          <w:color w:val="auto"/>
          <w:sz w:val="32"/>
          <w:szCs w:val="32"/>
          <w:highlight w:val="none"/>
          <w:lang w:eastAsia="zh-CN"/>
        </w:rPr>
        <w:t>工程</w:t>
      </w:r>
      <w:r>
        <w:rPr>
          <w:rFonts w:hint="default" w:ascii="Times New Roman" w:hAnsi="Times New Roman" w:eastAsia="仿宋_GB2312" w:cs="Times New Roman"/>
          <w:color w:val="auto"/>
          <w:sz w:val="32"/>
          <w:szCs w:val="32"/>
          <w:highlight w:val="none"/>
        </w:rPr>
        <w:t>合同价</w:t>
      </w:r>
      <w:r>
        <w:rPr>
          <w:rFonts w:hint="default" w:ascii="Times New Roman" w:hAnsi="Times New Roman" w:eastAsia="仿宋_GB2312" w:cs="Times New Roman"/>
          <w:color w:val="auto"/>
          <w:sz w:val="32"/>
          <w:szCs w:val="32"/>
          <w:highlight w:val="none"/>
          <w:lang w:eastAsia="zh-CN"/>
        </w:rPr>
        <w:t>200</w:t>
      </w:r>
      <w:r>
        <w:rPr>
          <w:rFonts w:hint="default" w:ascii="Times New Roman" w:hAnsi="Times New Roman" w:eastAsia="仿宋_GB2312" w:cs="Times New Roman"/>
          <w:color w:val="auto"/>
          <w:sz w:val="32"/>
          <w:szCs w:val="32"/>
          <w:highlight w:val="none"/>
        </w:rPr>
        <w:t>万元（绿化</w:t>
      </w:r>
      <w:r>
        <w:rPr>
          <w:rFonts w:hint="default" w:ascii="Times New Roman" w:hAnsi="Times New Roman" w:eastAsia="仿宋_GB2312" w:cs="Times New Roman"/>
          <w:color w:val="auto"/>
          <w:sz w:val="32"/>
          <w:szCs w:val="32"/>
          <w:highlight w:val="none"/>
          <w:lang w:eastAsia="zh-CN"/>
        </w:rPr>
        <w:t>、园林景观100</w:t>
      </w:r>
      <w:r>
        <w:rPr>
          <w:rFonts w:hint="default" w:ascii="Times New Roman" w:hAnsi="Times New Roman" w:eastAsia="仿宋_GB2312" w:cs="Times New Roman"/>
          <w:color w:val="auto"/>
          <w:sz w:val="32"/>
          <w:szCs w:val="32"/>
          <w:highlight w:val="none"/>
        </w:rPr>
        <w:t>万元）以下项目</w:t>
      </w:r>
    </w:p>
    <w:p w14:paraId="5BB9B67E">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施工单位向跟踪审计单位报送结算资料</w:t>
      </w:r>
      <w:r>
        <w:rPr>
          <w:rFonts w:hint="default" w:ascii="Times New Roman" w:hAnsi="Times New Roman" w:eastAsia="仿宋_GB2312" w:cs="Times New Roman"/>
          <w:color w:val="auto"/>
          <w:sz w:val="32"/>
          <w:szCs w:val="32"/>
          <w:highlight w:val="none"/>
        </w:rPr>
        <w:t>→跟踪审计单位出具</w:t>
      </w:r>
      <w:r>
        <w:rPr>
          <w:rFonts w:hint="default" w:ascii="Times New Roman" w:hAnsi="Times New Roman" w:eastAsia="仿宋_GB2312" w:cs="Times New Roman"/>
          <w:color w:val="auto"/>
          <w:sz w:val="32"/>
          <w:szCs w:val="32"/>
          <w:highlight w:val="none"/>
          <w:lang w:eastAsia="zh-CN"/>
        </w:rPr>
        <w:t>结算审核</w:t>
      </w:r>
      <w:r>
        <w:rPr>
          <w:rFonts w:hint="default" w:ascii="Times New Roman" w:hAnsi="Times New Roman" w:eastAsia="仿宋_GB2312" w:cs="Times New Roman"/>
          <w:color w:val="auto"/>
          <w:sz w:val="32"/>
          <w:szCs w:val="32"/>
          <w:highlight w:val="none"/>
        </w:rPr>
        <w:t>报告→工程建设科</w:t>
      </w:r>
      <w:r>
        <w:rPr>
          <w:rFonts w:hint="default" w:ascii="Times New Roman" w:hAnsi="Times New Roman" w:eastAsia="仿宋_GB2312" w:cs="Times New Roman"/>
          <w:color w:val="auto"/>
          <w:sz w:val="32"/>
          <w:szCs w:val="32"/>
          <w:highlight w:val="none"/>
          <w:lang w:eastAsia="zh-CN"/>
        </w:rPr>
        <w:t>组织监理、跟审、设计等单位</w:t>
      </w:r>
      <w:r>
        <w:rPr>
          <w:rFonts w:hint="default" w:ascii="Times New Roman" w:hAnsi="Times New Roman" w:eastAsia="仿宋_GB2312" w:cs="Times New Roman"/>
          <w:color w:val="auto"/>
          <w:sz w:val="32"/>
          <w:szCs w:val="32"/>
          <w:highlight w:val="none"/>
        </w:rPr>
        <w:t>审查→综合计划科复核→跟踪审计单位调整</w:t>
      </w:r>
      <w:r>
        <w:rPr>
          <w:rFonts w:hint="default" w:ascii="Times New Roman" w:hAnsi="Times New Roman" w:eastAsia="仿宋_GB2312" w:cs="Times New Roman"/>
          <w:color w:val="auto"/>
          <w:sz w:val="32"/>
          <w:szCs w:val="32"/>
          <w:highlight w:val="none"/>
          <w:lang w:eastAsia="zh-CN"/>
        </w:rPr>
        <w:t>结算审核</w:t>
      </w:r>
      <w:r>
        <w:rPr>
          <w:rFonts w:hint="default" w:ascii="Times New Roman" w:hAnsi="Times New Roman" w:eastAsia="仿宋_GB2312" w:cs="Times New Roman"/>
          <w:color w:val="auto"/>
          <w:sz w:val="32"/>
          <w:szCs w:val="32"/>
          <w:highlight w:val="none"/>
        </w:rPr>
        <w:t>报告→</w:t>
      </w:r>
      <w:r>
        <w:rPr>
          <w:rFonts w:hint="default" w:ascii="Times New Roman" w:hAnsi="Times New Roman" w:eastAsia="仿宋_GB2312" w:cs="Times New Roman"/>
          <w:color w:val="auto"/>
          <w:sz w:val="32"/>
          <w:szCs w:val="32"/>
          <w:highlight w:val="none"/>
          <w:lang w:eastAsia="zh-CN"/>
        </w:rPr>
        <w:t>工程建设科</w:t>
      </w:r>
      <w:r>
        <w:rPr>
          <w:rFonts w:hint="default" w:ascii="Times New Roman" w:hAnsi="Times New Roman" w:eastAsia="仿宋_GB2312" w:cs="Times New Roman"/>
          <w:color w:val="auto"/>
          <w:sz w:val="32"/>
          <w:szCs w:val="32"/>
          <w:highlight w:val="none"/>
        </w:rPr>
        <w:t>备案</w:t>
      </w:r>
      <w:r>
        <w:rPr>
          <w:rFonts w:hint="default" w:ascii="Times New Roman" w:hAnsi="Times New Roman" w:eastAsia="仿宋_GB2312" w:cs="Times New Roman"/>
          <w:color w:val="auto"/>
          <w:sz w:val="32"/>
          <w:szCs w:val="32"/>
          <w:highlight w:val="none"/>
          <w:lang w:eastAsia="zh-CN"/>
        </w:rPr>
        <w:t>存档</w:t>
      </w:r>
      <w:r>
        <w:rPr>
          <w:rFonts w:hint="default" w:ascii="Times New Roman" w:hAnsi="Times New Roman" w:eastAsia="仿宋_GB2312" w:cs="Times New Roman"/>
          <w:color w:val="auto"/>
          <w:sz w:val="32"/>
          <w:szCs w:val="32"/>
          <w:highlight w:val="none"/>
        </w:rPr>
        <w:t>。</w:t>
      </w:r>
    </w:p>
    <w:p w14:paraId="4FCD7067">
      <w:pPr>
        <w:pStyle w:val="2"/>
        <w:keepNext w:val="0"/>
        <w:keepLines w:val="0"/>
        <w:pageBreakBefore w:val="0"/>
        <w:kinsoku/>
        <w:wordWrap/>
        <w:overflowPunct/>
        <w:topLinePunct w:val="0"/>
        <w:autoSpaceDE/>
        <w:autoSpaceDN/>
        <w:bidi w:val="0"/>
        <w:adjustRightInd/>
        <w:spacing w:line="400" w:lineRule="exact"/>
        <w:ind w:left="0" w:leftChars="0" w:firstLine="640" w:firstLineChars="200"/>
        <w:textAlignment w:val="auto"/>
        <w:rPr>
          <w:rFonts w:hint="default" w:ascii="Times New Roman" w:hAnsi="Times New Roman"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上述限额标准根据市财政局规定同步调整。</w:t>
      </w:r>
    </w:p>
    <w:p w14:paraId="70D76ED3">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eastAsia="黑体" w:cs="Times New Roman"/>
          <w:color w:val="auto"/>
          <w:kern w:val="36"/>
          <w:sz w:val="32"/>
          <w:szCs w:val="32"/>
          <w:highlight w:val="none"/>
        </w:rPr>
      </w:pPr>
      <w:r>
        <w:rPr>
          <w:rFonts w:hint="default" w:ascii="Times New Roman" w:hAnsi="Times New Roman" w:eastAsia="黑体" w:cs="Times New Roman"/>
          <w:color w:val="auto"/>
          <w:sz w:val="32"/>
          <w:szCs w:val="32"/>
          <w:highlight w:val="none"/>
        </w:rPr>
        <w:t>第三章 业务委托</w:t>
      </w:r>
    </w:p>
    <w:p w14:paraId="31C99BA8">
      <w:pPr>
        <w:keepNext w:val="0"/>
        <w:keepLines w:val="0"/>
        <w:pageBreakBefore w:val="0"/>
        <w:kinsoku/>
        <w:wordWrap/>
        <w:overflowPunct/>
        <w:topLinePunct w:val="0"/>
        <w:autoSpaceDE/>
        <w:autoSpaceDN/>
        <w:bidi w:val="0"/>
        <w:adjustRightInd/>
        <w:spacing w:line="400" w:lineRule="exact"/>
        <w:ind w:left="0" w:leftChars="0" w:firstLine="604"/>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b/>
          <w:bCs/>
          <w:color w:val="auto"/>
          <w:sz w:val="32"/>
          <w:szCs w:val="32"/>
          <w:highlight w:val="none"/>
          <w:lang w:eastAsia="zh-CN"/>
        </w:rPr>
        <w:t>第五条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综合计划科负责</w:t>
      </w:r>
      <w:r>
        <w:rPr>
          <w:rFonts w:hint="default" w:ascii="Times New Roman" w:hAnsi="Times New Roman" w:eastAsia="仿宋_GB2312" w:cs="Times New Roman"/>
          <w:color w:val="auto"/>
          <w:kern w:val="36"/>
          <w:sz w:val="32"/>
          <w:szCs w:val="32"/>
          <w:highlight w:val="none"/>
        </w:rPr>
        <w:t>征集具备</w:t>
      </w:r>
      <w:r>
        <w:rPr>
          <w:rFonts w:hint="default" w:ascii="Times New Roman" w:hAnsi="Times New Roman" w:eastAsia="仿宋_GB2312" w:cs="Times New Roman"/>
          <w:color w:val="auto"/>
          <w:kern w:val="36"/>
          <w:sz w:val="32"/>
          <w:szCs w:val="32"/>
          <w:highlight w:val="none"/>
          <w:lang w:eastAsia="zh-CN"/>
        </w:rPr>
        <w:t>独立法人资格并有相应业务能力的</w:t>
      </w:r>
      <w:r>
        <w:rPr>
          <w:rFonts w:hint="default" w:ascii="Times New Roman" w:hAnsi="Times New Roman" w:eastAsia="仿宋_GB2312" w:cs="Times New Roman"/>
          <w:color w:val="auto"/>
          <w:spacing w:val="-4"/>
          <w:kern w:val="0"/>
          <w:sz w:val="32"/>
          <w:szCs w:val="32"/>
          <w:highlight w:val="none"/>
        </w:rPr>
        <w:t>造价企业，建立</w:t>
      </w:r>
      <w:r>
        <w:rPr>
          <w:rFonts w:hint="default" w:ascii="Times New Roman" w:hAnsi="Times New Roman" w:eastAsia="仿宋_GB2312" w:cs="Times New Roman"/>
          <w:color w:val="auto"/>
          <w:kern w:val="36"/>
          <w:sz w:val="32"/>
          <w:szCs w:val="32"/>
          <w:highlight w:val="none"/>
        </w:rPr>
        <w:t>“</w:t>
      </w:r>
      <w:r>
        <w:rPr>
          <w:rFonts w:hint="default" w:ascii="Times New Roman" w:hAnsi="Times New Roman" w:eastAsia="仿宋_GB2312" w:cs="Times New Roman"/>
          <w:color w:val="auto"/>
          <w:spacing w:val="-4"/>
          <w:kern w:val="0"/>
          <w:sz w:val="32"/>
          <w:szCs w:val="32"/>
          <w:highlight w:val="none"/>
        </w:rPr>
        <w:t>滁州市重点工程建设管理处工程造价咨询</w:t>
      </w:r>
      <w:r>
        <w:rPr>
          <w:rFonts w:hint="default" w:ascii="Times New Roman" w:hAnsi="Times New Roman" w:eastAsia="仿宋_GB2312" w:cs="Times New Roman"/>
          <w:color w:val="auto"/>
          <w:sz w:val="32"/>
          <w:szCs w:val="32"/>
          <w:highlight w:val="none"/>
        </w:rPr>
        <w:t>库”（以下简称“库”），</w:t>
      </w:r>
      <w:r>
        <w:rPr>
          <w:rFonts w:hint="default" w:ascii="Times New Roman" w:hAnsi="Times New Roman" w:eastAsia="仿宋_GB2312" w:cs="Times New Roman"/>
          <w:b w:val="0"/>
          <w:bCs w:val="0"/>
          <w:color w:val="auto"/>
          <w:sz w:val="32"/>
          <w:szCs w:val="32"/>
          <w:highlight w:val="none"/>
        </w:rPr>
        <w:t>该库</w:t>
      </w:r>
      <w:r>
        <w:rPr>
          <w:rFonts w:hint="default" w:ascii="Times New Roman" w:hAnsi="Times New Roman" w:eastAsia="仿宋_GB2312" w:cs="Times New Roman"/>
          <w:color w:val="auto"/>
          <w:kern w:val="0"/>
          <w:sz w:val="32"/>
          <w:szCs w:val="32"/>
          <w:highlight w:val="none"/>
        </w:rPr>
        <w:t>动态管理</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b/>
          <w:bCs/>
          <w:color w:val="auto"/>
          <w:kern w:val="0"/>
          <w:sz w:val="32"/>
          <w:szCs w:val="32"/>
          <w:highlight w:val="none"/>
          <w:lang w:val="en-US" w:eastAsia="zh-CN"/>
        </w:rPr>
        <w:t>随时</w:t>
      </w:r>
      <w:r>
        <w:rPr>
          <w:rFonts w:hint="default" w:ascii="Times New Roman" w:hAnsi="Times New Roman" w:eastAsia="仿宋_GB2312" w:cs="Times New Roman"/>
          <w:b/>
          <w:bCs/>
          <w:color w:val="auto"/>
          <w:sz w:val="32"/>
          <w:szCs w:val="32"/>
          <w:highlight w:val="none"/>
        </w:rPr>
        <w:t>登记</w:t>
      </w:r>
      <w:r>
        <w:rPr>
          <w:rFonts w:hint="default" w:ascii="Times New Roman" w:hAnsi="Times New Roman" w:eastAsia="仿宋_GB2312" w:cs="Times New Roman"/>
          <w:color w:val="auto"/>
          <w:sz w:val="32"/>
          <w:szCs w:val="32"/>
          <w:highlight w:val="none"/>
        </w:rPr>
        <w:t>，造价企业自</w:t>
      </w:r>
      <w:r>
        <w:rPr>
          <w:rFonts w:hint="default" w:ascii="Times New Roman" w:hAnsi="Times New Roman" w:eastAsia="仿宋_GB2312" w:cs="Times New Roman"/>
          <w:color w:val="auto"/>
          <w:sz w:val="32"/>
          <w:szCs w:val="32"/>
          <w:highlight w:val="none"/>
          <w:lang w:eastAsia="zh-CN"/>
        </w:rPr>
        <w:t>主</w:t>
      </w:r>
      <w:r>
        <w:rPr>
          <w:rFonts w:hint="default" w:ascii="Times New Roman" w:hAnsi="Times New Roman" w:eastAsia="仿宋_GB2312" w:cs="Times New Roman"/>
          <w:color w:val="auto"/>
          <w:sz w:val="32"/>
          <w:szCs w:val="32"/>
          <w:highlight w:val="none"/>
        </w:rPr>
        <w:t>报名</w:t>
      </w:r>
      <w:r>
        <w:rPr>
          <w:rFonts w:hint="default" w:ascii="Times New Roman" w:hAnsi="Times New Roman" w:eastAsia="仿宋_GB2312" w:cs="Times New Roman"/>
          <w:color w:val="auto"/>
          <w:sz w:val="32"/>
          <w:szCs w:val="32"/>
          <w:highlight w:val="none"/>
          <w:lang w:eastAsia="zh-CN"/>
        </w:rPr>
        <w:t>申请入库</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综合</w:t>
      </w:r>
      <w:r>
        <w:rPr>
          <w:rFonts w:hint="default" w:ascii="Times New Roman" w:hAnsi="Times New Roman" w:eastAsia="仿宋_GB2312" w:cs="Times New Roman"/>
          <w:color w:val="auto"/>
          <w:sz w:val="32"/>
          <w:szCs w:val="32"/>
          <w:highlight w:val="none"/>
        </w:rPr>
        <w:t>计划科</w:t>
      </w:r>
      <w:r>
        <w:rPr>
          <w:rFonts w:hint="default" w:ascii="Times New Roman" w:hAnsi="Times New Roman" w:eastAsia="仿宋_GB2312" w:cs="Times New Roman"/>
          <w:color w:val="auto"/>
          <w:sz w:val="32"/>
          <w:szCs w:val="32"/>
          <w:highlight w:val="none"/>
          <w:lang w:eastAsia="zh-CN"/>
        </w:rPr>
        <w:t>组织工程建设科、工程监管科等科室</w:t>
      </w:r>
      <w:r>
        <w:rPr>
          <w:rFonts w:hint="default" w:ascii="Times New Roman" w:hAnsi="Times New Roman" w:eastAsia="仿宋_GB2312" w:cs="Times New Roman"/>
          <w:color w:val="auto"/>
          <w:sz w:val="32"/>
          <w:szCs w:val="32"/>
          <w:highlight w:val="none"/>
        </w:rPr>
        <w:t>审查，入库的</w:t>
      </w:r>
      <w:r>
        <w:rPr>
          <w:rFonts w:hint="default" w:ascii="Times New Roman" w:hAnsi="Times New Roman" w:eastAsia="仿宋_GB2312" w:cs="Times New Roman"/>
          <w:color w:val="auto"/>
          <w:spacing w:val="-4"/>
          <w:kern w:val="0"/>
          <w:sz w:val="32"/>
          <w:szCs w:val="32"/>
          <w:highlight w:val="none"/>
        </w:rPr>
        <w:t>造价企业</w:t>
      </w:r>
      <w:r>
        <w:rPr>
          <w:rFonts w:hint="default" w:ascii="Times New Roman" w:hAnsi="Times New Roman" w:eastAsia="仿宋_GB2312" w:cs="Times New Roman"/>
          <w:color w:val="auto"/>
          <w:sz w:val="32"/>
          <w:szCs w:val="32"/>
          <w:highlight w:val="none"/>
          <w:lang w:eastAsia="zh-CN"/>
        </w:rPr>
        <w:t>违反本办法第二十八条、第二十九条、第三十条及</w:t>
      </w:r>
      <w:r>
        <w:rPr>
          <w:rFonts w:hint="default" w:ascii="Times New Roman" w:hAnsi="Times New Roman" w:eastAsia="仿宋_GB2312" w:cs="Times New Roman"/>
          <w:color w:val="auto"/>
          <w:sz w:val="32"/>
          <w:szCs w:val="32"/>
          <w:highlight w:val="none"/>
        </w:rPr>
        <w:t>存在违法违规行为等影响其履约能力的予以退库</w:t>
      </w:r>
      <w:r>
        <w:rPr>
          <w:rFonts w:hint="default" w:ascii="Times New Roman" w:hAnsi="Times New Roman" w:eastAsia="仿宋_GB2312" w:cs="Times New Roman"/>
          <w:color w:val="auto"/>
          <w:kern w:val="0"/>
          <w:sz w:val="32"/>
          <w:szCs w:val="32"/>
          <w:highlight w:val="none"/>
        </w:rPr>
        <w:t>。</w:t>
      </w:r>
    </w:p>
    <w:p w14:paraId="432B43EC">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工程</w:t>
      </w:r>
      <w:r>
        <w:rPr>
          <w:rFonts w:hint="default" w:ascii="Times New Roman" w:hAnsi="Times New Roman" w:eastAsia="仿宋_GB2312" w:cs="Times New Roman"/>
          <w:color w:val="auto"/>
          <w:kern w:val="0"/>
          <w:sz w:val="32"/>
          <w:szCs w:val="32"/>
          <w:highlight w:val="none"/>
        </w:rPr>
        <w:t>造价咨询服务</w:t>
      </w:r>
      <w:r>
        <w:rPr>
          <w:rFonts w:hint="default" w:ascii="Times New Roman" w:hAnsi="Times New Roman" w:eastAsia="仿宋_GB2312" w:cs="Times New Roman"/>
          <w:color w:val="auto"/>
          <w:sz w:val="32"/>
          <w:szCs w:val="32"/>
          <w:highlight w:val="none"/>
        </w:rPr>
        <w:t>费单项合同估算价</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eastAsia="zh-CN"/>
        </w:rPr>
        <w:t>0</w:t>
      </w:r>
      <w:r>
        <w:rPr>
          <w:rFonts w:hint="default" w:ascii="Times New Roman" w:hAnsi="Times New Roman" w:eastAsia="仿宋_GB2312" w:cs="Times New Roman"/>
          <w:color w:val="auto"/>
          <w:sz w:val="32"/>
          <w:szCs w:val="32"/>
          <w:highlight w:val="none"/>
        </w:rPr>
        <w:t>万元以下项目在库中委托（上述限额标准根据市公共资源进场交易目录同步调整），委托方式</w:t>
      </w:r>
      <w:r>
        <w:rPr>
          <w:rFonts w:hint="default" w:ascii="Times New Roman" w:hAnsi="Times New Roman" w:eastAsia="仿宋_GB2312" w:cs="Times New Roman"/>
          <w:color w:val="auto"/>
          <w:sz w:val="32"/>
          <w:szCs w:val="32"/>
          <w:highlight w:val="none"/>
          <w:lang w:eastAsia="zh-CN"/>
        </w:rPr>
        <w:t>有</w:t>
      </w:r>
      <w:r>
        <w:rPr>
          <w:rFonts w:hint="default" w:ascii="Times New Roman" w:hAnsi="Times New Roman" w:eastAsia="仿宋_GB2312" w:cs="Times New Roman"/>
          <w:color w:val="auto"/>
          <w:sz w:val="32"/>
          <w:szCs w:val="32"/>
          <w:highlight w:val="none"/>
        </w:rPr>
        <w:t>公开、邀请、奖励和指定方式</w:t>
      </w:r>
      <w:r>
        <w:rPr>
          <w:rFonts w:hint="default" w:ascii="Times New Roman" w:hAnsi="Times New Roman" w:eastAsia="仿宋_GB2312" w:cs="Times New Roman"/>
          <w:color w:val="auto"/>
          <w:sz w:val="32"/>
          <w:szCs w:val="32"/>
          <w:highlight w:val="none"/>
          <w:lang w:eastAsia="zh-CN"/>
        </w:rPr>
        <w:t>。</w:t>
      </w:r>
    </w:p>
    <w:p w14:paraId="7179038E">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default" w:ascii="Times New Roman" w:hAnsi="Times New Roman" w:eastAsia="仿宋_GB2312" w:cs="Times New Roman"/>
          <w:b/>
          <w:bCs/>
          <w:color w:val="auto"/>
          <w:sz w:val="32"/>
          <w:szCs w:val="32"/>
          <w:highlight w:val="none"/>
          <w:lang w:eastAsia="zh-CN"/>
        </w:rPr>
        <w:t>六</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公开方式</w:t>
      </w:r>
    </w:p>
    <w:p w14:paraId="393ABEA9">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color w:val="auto"/>
          <w:sz w:val="32"/>
          <w:szCs w:val="32"/>
          <w:highlight w:val="none"/>
        </w:rPr>
        <w:t>(一)</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综合计划科根据项目性质和特点，编制招标文件，经综合计划科</w:t>
      </w:r>
      <w:r>
        <w:rPr>
          <w:rFonts w:hint="default" w:ascii="Times New Roman" w:hAnsi="Times New Roman" w:eastAsia="仿宋_GB2312" w:cs="Times New Roman"/>
          <w:b w:val="0"/>
          <w:bCs w:val="0"/>
          <w:color w:val="auto"/>
          <w:sz w:val="32"/>
          <w:szCs w:val="32"/>
          <w:highlight w:val="none"/>
          <w:lang w:eastAsia="zh-CN"/>
        </w:rPr>
        <w:t>分管</w:t>
      </w:r>
      <w:r>
        <w:rPr>
          <w:rFonts w:hint="default" w:ascii="Times New Roman" w:hAnsi="Times New Roman" w:eastAsia="仿宋_GB2312" w:cs="Times New Roman"/>
          <w:b w:val="0"/>
          <w:bCs w:val="0"/>
          <w:color w:val="auto"/>
          <w:sz w:val="32"/>
          <w:szCs w:val="32"/>
          <w:highlight w:val="none"/>
        </w:rPr>
        <w:t>领导</w:t>
      </w:r>
      <w:r>
        <w:rPr>
          <w:rFonts w:hint="default" w:ascii="Times New Roman" w:hAnsi="Times New Roman" w:eastAsia="仿宋_GB2312" w:cs="Times New Roman"/>
          <w:color w:val="auto"/>
          <w:sz w:val="32"/>
          <w:szCs w:val="32"/>
          <w:highlight w:val="none"/>
        </w:rPr>
        <w:t>批准，在处门户网站公开招标。</w:t>
      </w:r>
    </w:p>
    <w:p w14:paraId="7FDB2833">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kern w:val="36"/>
          <w:sz w:val="32"/>
          <w:szCs w:val="32"/>
          <w:highlight w:val="none"/>
        </w:rPr>
        <w:t>库</w:t>
      </w:r>
      <w:r>
        <w:rPr>
          <w:rFonts w:hint="default" w:ascii="Times New Roman" w:hAnsi="Times New Roman" w:eastAsia="仿宋_GB2312" w:cs="Times New Roman"/>
          <w:color w:val="auto"/>
          <w:sz w:val="32"/>
          <w:szCs w:val="32"/>
          <w:highlight w:val="none"/>
        </w:rPr>
        <w:t>中</w:t>
      </w:r>
      <w:r>
        <w:rPr>
          <w:rFonts w:hint="default" w:ascii="Times New Roman" w:hAnsi="Times New Roman" w:eastAsia="仿宋_GB2312" w:cs="Times New Roman"/>
          <w:color w:val="auto"/>
          <w:kern w:val="0"/>
          <w:sz w:val="32"/>
          <w:szCs w:val="32"/>
          <w:highlight w:val="none"/>
        </w:rPr>
        <w:t>造价企业</w:t>
      </w:r>
      <w:r>
        <w:rPr>
          <w:rFonts w:hint="default" w:ascii="Times New Roman" w:hAnsi="Times New Roman" w:eastAsia="仿宋_GB2312" w:cs="Times New Roman"/>
          <w:color w:val="auto"/>
          <w:kern w:val="0"/>
          <w:sz w:val="32"/>
          <w:szCs w:val="32"/>
          <w:highlight w:val="none"/>
          <w:lang w:eastAsia="zh-CN"/>
        </w:rPr>
        <w:t>自主报名，递交投标文件</w:t>
      </w:r>
      <w:r>
        <w:rPr>
          <w:rFonts w:hint="default" w:ascii="Times New Roman" w:hAnsi="Times New Roman" w:eastAsia="仿宋_GB2312" w:cs="Times New Roman"/>
          <w:color w:val="auto"/>
          <w:sz w:val="32"/>
          <w:szCs w:val="32"/>
          <w:highlight w:val="none"/>
        </w:rPr>
        <w:t>。</w:t>
      </w:r>
    </w:p>
    <w:p w14:paraId="64CA99FA">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项目</w:t>
      </w:r>
      <w:r>
        <w:rPr>
          <w:rFonts w:hint="default" w:ascii="Times New Roman" w:hAnsi="Times New Roman" w:eastAsia="仿宋_GB2312" w:cs="Times New Roman"/>
          <w:color w:val="auto"/>
          <w:sz w:val="32"/>
          <w:szCs w:val="32"/>
          <w:highlight w:val="none"/>
          <w:lang w:eastAsia="zh-CN"/>
        </w:rPr>
        <w:t>开标时</w:t>
      </w:r>
      <w:r>
        <w:rPr>
          <w:rFonts w:hint="default" w:ascii="Times New Roman" w:hAnsi="Times New Roman" w:eastAsia="仿宋_GB2312" w:cs="Times New Roman"/>
          <w:color w:val="auto"/>
          <w:sz w:val="32"/>
          <w:szCs w:val="32"/>
          <w:highlight w:val="none"/>
        </w:rPr>
        <w:t>，综合计划科</w:t>
      </w:r>
      <w:r>
        <w:rPr>
          <w:rFonts w:hint="default" w:ascii="Times New Roman" w:hAnsi="Times New Roman" w:eastAsia="仿宋_GB2312" w:cs="Times New Roman"/>
          <w:color w:val="auto"/>
          <w:sz w:val="32"/>
          <w:szCs w:val="32"/>
          <w:highlight w:val="none"/>
          <w:lang w:eastAsia="zh-CN"/>
        </w:rPr>
        <w:t>组织资格</w:t>
      </w:r>
      <w:r>
        <w:rPr>
          <w:rFonts w:hint="default" w:ascii="Times New Roman" w:hAnsi="Times New Roman" w:eastAsia="仿宋_GB2312" w:cs="Times New Roman"/>
          <w:color w:val="auto"/>
          <w:sz w:val="32"/>
          <w:szCs w:val="32"/>
          <w:highlight w:val="none"/>
        </w:rPr>
        <w:t>审查</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sz w:val="32"/>
          <w:szCs w:val="32"/>
          <w:highlight w:val="none"/>
        </w:rPr>
        <w:t>通过审查</w:t>
      </w:r>
      <w:r>
        <w:rPr>
          <w:rFonts w:hint="default" w:ascii="Times New Roman" w:hAnsi="Times New Roman" w:eastAsia="仿宋_GB2312" w:cs="Times New Roman"/>
          <w:color w:val="auto"/>
          <w:kern w:val="0"/>
          <w:sz w:val="32"/>
          <w:szCs w:val="32"/>
          <w:highlight w:val="none"/>
        </w:rPr>
        <w:t>的</w:t>
      </w:r>
      <w:r>
        <w:rPr>
          <w:rFonts w:hint="default" w:ascii="Times New Roman" w:hAnsi="Times New Roman" w:eastAsia="仿宋_GB2312" w:cs="Times New Roman"/>
          <w:color w:val="auto"/>
          <w:sz w:val="32"/>
          <w:szCs w:val="32"/>
          <w:highlight w:val="none"/>
        </w:rPr>
        <w:t>造价企业</w:t>
      </w:r>
      <w:r>
        <w:rPr>
          <w:rFonts w:hint="default" w:ascii="Times New Roman" w:hAnsi="Times New Roman" w:eastAsia="仿宋_GB2312" w:cs="Times New Roman"/>
          <w:color w:val="auto"/>
          <w:kern w:val="0"/>
          <w:sz w:val="32"/>
          <w:szCs w:val="32"/>
          <w:highlight w:val="none"/>
        </w:rPr>
        <w:t>不</w:t>
      </w:r>
      <w:r>
        <w:rPr>
          <w:rFonts w:hint="default" w:ascii="Times New Roman" w:hAnsi="Times New Roman" w:eastAsia="仿宋_GB2312" w:cs="Times New Roman"/>
          <w:color w:val="auto"/>
          <w:kern w:val="0"/>
          <w:sz w:val="32"/>
          <w:szCs w:val="32"/>
          <w:highlight w:val="none"/>
          <w:lang w:eastAsia="zh-CN"/>
        </w:rPr>
        <w:t>得</w:t>
      </w:r>
      <w:r>
        <w:rPr>
          <w:rFonts w:hint="default" w:ascii="Times New Roman" w:hAnsi="Times New Roman" w:eastAsia="仿宋_GB2312" w:cs="Times New Roman"/>
          <w:color w:val="auto"/>
          <w:kern w:val="0"/>
          <w:sz w:val="32"/>
          <w:szCs w:val="32"/>
          <w:highlight w:val="none"/>
        </w:rPr>
        <w:t>少于三家，否则，再次</w:t>
      </w:r>
      <w:r>
        <w:rPr>
          <w:rFonts w:hint="default" w:ascii="Times New Roman" w:hAnsi="Times New Roman" w:eastAsia="仿宋_GB2312" w:cs="Times New Roman"/>
          <w:color w:val="auto"/>
          <w:sz w:val="32"/>
          <w:szCs w:val="32"/>
          <w:highlight w:val="none"/>
        </w:rPr>
        <w:t>发布项目招标公告，如第二次仍少于三家，可转为竞争性谈判或单一来源采购。</w:t>
      </w:r>
    </w:p>
    <w:p w14:paraId="67145C38">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(四)</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现场公开</w:t>
      </w:r>
      <w:r>
        <w:rPr>
          <w:rFonts w:hint="default" w:ascii="Times New Roman" w:hAnsi="Times New Roman" w:eastAsia="仿宋_GB2312" w:cs="Times New Roman"/>
          <w:color w:val="auto"/>
          <w:sz w:val="32"/>
          <w:szCs w:val="32"/>
          <w:highlight w:val="none"/>
          <w:lang w:eastAsia="zh-CN"/>
        </w:rPr>
        <w:t>确</w:t>
      </w:r>
      <w:r>
        <w:rPr>
          <w:rFonts w:hint="default" w:ascii="Times New Roman" w:hAnsi="Times New Roman" w:eastAsia="仿宋_GB2312" w:cs="Times New Roman"/>
          <w:color w:val="auto"/>
          <w:sz w:val="32"/>
          <w:szCs w:val="32"/>
          <w:highlight w:val="none"/>
        </w:rPr>
        <w:t>定造价企业，</w:t>
      </w:r>
      <w:r>
        <w:rPr>
          <w:rFonts w:hint="default" w:ascii="Times New Roman" w:hAnsi="Times New Roman" w:eastAsia="仿宋_GB2312" w:cs="Times New Roman"/>
          <w:color w:val="auto"/>
          <w:sz w:val="32"/>
          <w:szCs w:val="32"/>
          <w:highlight w:val="none"/>
          <w:lang w:eastAsia="zh-CN"/>
        </w:rPr>
        <w:t>中标</w:t>
      </w:r>
      <w:r>
        <w:rPr>
          <w:rFonts w:hint="default" w:ascii="Times New Roman" w:hAnsi="Times New Roman" w:eastAsia="仿宋_GB2312" w:cs="Times New Roman"/>
          <w:color w:val="auto"/>
          <w:sz w:val="32"/>
          <w:szCs w:val="32"/>
          <w:highlight w:val="none"/>
        </w:rPr>
        <w:t>结果在处门户网站公示。</w:t>
      </w:r>
    </w:p>
    <w:p w14:paraId="4F6CD7C4">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color w:val="auto"/>
          <w:sz w:val="32"/>
          <w:szCs w:val="32"/>
          <w:highlight w:val="none"/>
        </w:rPr>
        <w:t>(五)</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公示期满无异议，综合计划科发</w:t>
      </w:r>
      <w:r>
        <w:rPr>
          <w:rFonts w:hint="default" w:ascii="Times New Roman" w:hAnsi="Times New Roman" w:eastAsia="仿宋_GB2312" w:cs="Times New Roman"/>
          <w:color w:val="auto"/>
          <w:sz w:val="32"/>
          <w:szCs w:val="32"/>
          <w:highlight w:val="none"/>
          <w:lang w:eastAsia="zh-CN"/>
        </w:rPr>
        <w:t>中标</w:t>
      </w:r>
      <w:r>
        <w:rPr>
          <w:rFonts w:hint="default" w:ascii="Times New Roman" w:hAnsi="Times New Roman" w:eastAsia="仿宋_GB2312" w:cs="Times New Roman"/>
          <w:color w:val="auto"/>
          <w:sz w:val="32"/>
          <w:szCs w:val="32"/>
          <w:highlight w:val="none"/>
        </w:rPr>
        <w:t>通知书，与造价企业签订合同。</w:t>
      </w:r>
    </w:p>
    <w:p w14:paraId="54982722">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default" w:ascii="Times New Roman" w:hAnsi="Times New Roman" w:eastAsia="仿宋_GB2312" w:cs="Times New Roman"/>
          <w:b/>
          <w:bCs/>
          <w:color w:val="auto"/>
          <w:sz w:val="32"/>
          <w:szCs w:val="32"/>
          <w:highlight w:val="none"/>
          <w:lang w:eastAsia="zh-CN"/>
        </w:rPr>
        <w:t>七</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邀请方式</w:t>
      </w:r>
    </w:p>
    <w:p w14:paraId="5DD7E6E7">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综合计划科根据项目性质和特点，在库中筛选、</w:t>
      </w:r>
      <w:r>
        <w:rPr>
          <w:rFonts w:hint="default" w:ascii="Times New Roman" w:hAnsi="Times New Roman" w:eastAsia="仿宋_GB2312" w:cs="Times New Roman"/>
          <w:color w:val="auto"/>
          <w:sz w:val="32"/>
          <w:szCs w:val="32"/>
          <w:highlight w:val="none"/>
          <w:lang w:eastAsia="zh-CN"/>
        </w:rPr>
        <w:t>初审</w:t>
      </w:r>
      <w:r>
        <w:rPr>
          <w:rFonts w:hint="default" w:ascii="Times New Roman" w:hAnsi="Times New Roman" w:eastAsia="仿宋_GB2312" w:cs="Times New Roman"/>
          <w:color w:val="auto"/>
          <w:sz w:val="32"/>
          <w:szCs w:val="32"/>
          <w:highlight w:val="none"/>
        </w:rPr>
        <w:t>并推荐不少于</w:t>
      </w:r>
      <w:r>
        <w:rPr>
          <w:rFonts w:hint="default" w:ascii="Times New Roman" w:hAnsi="Times New Roman" w:eastAsia="仿宋_GB2312" w:cs="Times New Roman"/>
          <w:color w:val="auto"/>
          <w:sz w:val="32"/>
          <w:szCs w:val="32"/>
          <w:highlight w:val="none"/>
          <w:lang w:eastAsia="zh-CN"/>
        </w:rPr>
        <w:t>五</w:t>
      </w:r>
      <w:r>
        <w:rPr>
          <w:rFonts w:hint="default" w:ascii="Times New Roman" w:hAnsi="Times New Roman" w:eastAsia="仿宋_GB2312" w:cs="Times New Roman"/>
          <w:color w:val="auto"/>
          <w:sz w:val="32"/>
          <w:szCs w:val="32"/>
          <w:highlight w:val="none"/>
        </w:rPr>
        <w:t>家造价企业，综合计划科分管领导</w:t>
      </w:r>
      <w:r>
        <w:rPr>
          <w:rFonts w:hint="default" w:ascii="Times New Roman" w:hAnsi="Times New Roman" w:eastAsia="仿宋_GB2312" w:cs="Times New Roman"/>
          <w:color w:val="auto"/>
          <w:sz w:val="32"/>
          <w:szCs w:val="32"/>
          <w:highlight w:val="none"/>
          <w:lang w:eastAsia="zh-CN"/>
        </w:rPr>
        <w:t>组织审查，报</w:t>
      </w:r>
      <w:r>
        <w:rPr>
          <w:rFonts w:hint="default" w:ascii="Times New Roman" w:hAnsi="Times New Roman" w:eastAsia="仿宋_GB2312" w:cs="Times New Roman"/>
          <w:color w:val="auto"/>
          <w:sz w:val="32"/>
          <w:szCs w:val="32"/>
          <w:highlight w:val="none"/>
        </w:rPr>
        <w:t>主要领导</w:t>
      </w:r>
      <w:r>
        <w:rPr>
          <w:rFonts w:hint="default" w:ascii="Times New Roman" w:hAnsi="Times New Roman" w:eastAsia="仿宋_GB2312" w:cs="Times New Roman"/>
          <w:color w:val="auto"/>
          <w:sz w:val="32"/>
          <w:szCs w:val="32"/>
          <w:highlight w:val="none"/>
          <w:lang w:eastAsia="zh-CN"/>
        </w:rPr>
        <w:t>批准后</w:t>
      </w:r>
      <w:r>
        <w:rPr>
          <w:rFonts w:hint="default" w:ascii="Times New Roman" w:hAnsi="Times New Roman" w:eastAsia="仿宋_GB2312" w:cs="Times New Roman"/>
          <w:color w:val="auto"/>
          <w:sz w:val="32"/>
          <w:szCs w:val="32"/>
          <w:highlight w:val="none"/>
        </w:rPr>
        <w:t>向被推荐企业发出邀请。</w:t>
      </w:r>
    </w:p>
    <w:p w14:paraId="37F6A86A">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(二)</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被推荐的造价企业按照要求，参加项目竞价</w:t>
      </w:r>
      <w:r>
        <w:rPr>
          <w:rFonts w:hint="default" w:ascii="Times New Roman" w:hAnsi="Times New Roman" w:eastAsia="仿宋_GB2312" w:cs="Times New Roman"/>
          <w:color w:val="auto"/>
          <w:sz w:val="32"/>
          <w:szCs w:val="32"/>
          <w:highlight w:val="none"/>
          <w:lang w:eastAsia="zh-CN"/>
        </w:rPr>
        <w:t>。</w:t>
      </w:r>
    </w:p>
    <w:p w14:paraId="56F4E9D0">
      <w:pPr>
        <w:keepNext w:val="0"/>
        <w:keepLines w:val="0"/>
        <w:pageBreakBefore w:val="0"/>
        <w:kinsoku/>
        <w:wordWrap/>
        <w:overflowPunct/>
        <w:topLinePunct w:val="0"/>
        <w:autoSpaceDE/>
        <w:autoSpaceDN/>
        <w:bidi w:val="0"/>
        <w:adjustRightInd/>
        <w:spacing w:line="400" w:lineRule="exact"/>
        <w:ind w:left="0" w:lef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综合计划科发</w:t>
      </w:r>
      <w:r>
        <w:rPr>
          <w:rFonts w:hint="default" w:ascii="Times New Roman" w:hAnsi="Times New Roman" w:eastAsia="仿宋_GB2312" w:cs="Times New Roman"/>
          <w:color w:val="auto"/>
          <w:sz w:val="32"/>
          <w:szCs w:val="32"/>
          <w:highlight w:val="none"/>
          <w:lang w:eastAsia="zh-CN"/>
        </w:rPr>
        <w:t>中标</w:t>
      </w:r>
      <w:r>
        <w:rPr>
          <w:rFonts w:hint="default" w:ascii="Times New Roman" w:hAnsi="Times New Roman" w:eastAsia="仿宋_GB2312" w:cs="Times New Roman"/>
          <w:color w:val="auto"/>
          <w:sz w:val="32"/>
          <w:szCs w:val="32"/>
          <w:highlight w:val="none"/>
        </w:rPr>
        <w:t>通知书，与造价企业签订合同。</w:t>
      </w:r>
    </w:p>
    <w:p w14:paraId="6208E6A5">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default" w:ascii="Times New Roman" w:hAnsi="Times New Roman" w:eastAsia="仿宋_GB2312" w:cs="Times New Roman"/>
          <w:b/>
          <w:bCs/>
          <w:color w:val="auto"/>
          <w:sz w:val="32"/>
          <w:szCs w:val="32"/>
          <w:highlight w:val="none"/>
          <w:lang w:eastAsia="zh-CN"/>
        </w:rPr>
        <w:t>八</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奖励方式</w:t>
      </w:r>
    </w:p>
    <w:p w14:paraId="1633AE20">
      <w:pPr>
        <w:keepNext w:val="0"/>
        <w:keepLines w:val="0"/>
        <w:pageBreakBefore w:val="0"/>
        <w:kinsoku/>
        <w:wordWrap/>
        <w:overflowPunct/>
        <w:topLinePunct w:val="0"/>
        <w:autoSpaceDE/>
        <w:autoSpaceDN/>
        <w:bidi w:val="0"/>
        <w:adjustRightInd/>
        <w:spacing w:line="400"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为体现质量、信用优先原则，依据年度考核结果，对部分项目采取奖励方式委托</w:t>
      </w:r>
      <w:r>
        <w:rPr>
          <w:rFonts w:hint="default" w:ascii="Times New Roman" w:hAnsi="Times New Roman" w:eastAsia="仿宋_GB2312" w:cs="Times New Roman"/>
          <w:color w:val="auto"/>
          <w:spacing w:val="-4"/>
          <w:kern w:val="0"/>
          <w:sz w:val="32"/>
          <w:szCs w:val="32"/>
          <w:highlight w:val="none"/>
        </w:rPr>
        <w:t>造价企业</w:t>
      </w:r>
      <w:r>
        <w:rPr>
          <w:rFonts w:hint="default" w:ascii="Times New Roman" w:hAnsi="Times New Roman" w:eastAsia="仿宋_GB2312" w:cs="Times New Roman"/>
          <w:color w:val="auto"/>
          <w:sz w:val="32"/>
          <w:szCs w:val="32"/>
          <w:highlight w:val="none"/>
        </w:rPr>
        <w:t>。</w:t>
      </w:r>
    </w:p>
    <w:p w14:paraId="599E84F1">
      <w:pPr>
        <w:keepNext w:val="0"/>
        <w:keepLines w:val="0"/>
        <w:pageBreakBefore w:val="0"/>
        <w:numPr>
          <w:ilvl w:val="0"/>
          <w:numId w:val="0"/>
        </w:numPr>
        <w:kinsoku/>
        <w:wordWrap/>
        <w:overflowPunct/>
        <w:topLinePunct w:val="0"/>
        <w:autoSpaceDE/>
        <w:autoSpaceDN/>
        <w:bidi w:val="0"/>
        <w:adjustRightInd/>
        <w:spacing w:line="400" w:lineRule="exact"/>
        <w:ind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(二)</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年度考核</w:t>
      </w:r>
      <w:r>
        <w:rPr>
          <w:rFonts w:hint="default" w:ascii="Times New Roman" w:hAnsi="Times New Roman" w:eastAsia="仿宋_GB2312" w:cs="Times New Roman"/>
          <w:color w:val="auto"/>
          <w:sz w:val="32"/>
          <w:szCs w:val="32"/>
          <w:highlight w:val="none"/>
          <w:lang w:eastAsia="zh-CN"/>
        </w:rPr>
        <w:t>优秀等级</w:t>
      </w:r>
      <w:r>
        <w:rPr>
          <w:rFonts w:hint="default" w:ascii="Times New Roman" w:hAnsi="Times New Roman" w:eastAsia="仿宋_GB2312" w:cs="Times New Roman"/>
          <w:color w:val="auto"/>
          <w:sz w:val="32"/>
          <w:szCs w:val="32"/>
          <w:highlight w:val="none"/>
        </w:rPr>
        <w:t>排名前</w:t>
      </w:r>
      <w:r>
        <w:rPr>
          <w:rFonts w:hint="default" w:ascii="Times New Roman" w:hAnsi="Times New Roman" w:eastAsia="仿宋_GB2312" w:cs="Times New Roman"/>
          <w:color w:val="auto"/>
          <w:sz w:val="32"/>
          <w:szCs w:val="32"/>
          <w:highlight w:val="none"/>
          <w:lang w:eastAsia="zh-CN"/>
        </w:rPr>
        <w:t>三</w:t>
      </w:r>
      <w:r>
        <w:rPr>
          <w:rFonts w:hint="default" w:ascii="Times New Roman" w:hAnsi="Times New Roman" w:eastAsia="仿宋_GB2312" w:cs="Times New Roman"/>
          <w:color w:val="auto"/>
          <w:sz w:val="32"/>
          <w:szCs w:val="32"/>
          <w:highlight w:val="none"/>
        </w:rPr>
        <w:t>位</w:t>
      </w:r>
      <w:r>
        <w:rPr>
          <w:rFonts w:hint="default" w:ascii="Times New Roman" w:hAnsi="Times New Roman" w:eastAsia="仿宋_GB2312" w:cs="Times New Roman"/>
          <w:color w:val="auto"/>
          <w:sz w:val="32"/>
          <w:szCs w:val="32"/>
          <w:highlight w:val="none"/>
          <w:lang w:eastAsia="zh-CN"/>
        </w:rPr>
        <w:t>的</w:t>
      </w:r>
      <w:r>
        <w:rPr>
          <w:rFonts w:hint="default" w:ascii="Times New Roman" w:hAnsi="Times New Roman" w:eastAsia="仿宋_GB2312" w:cs="Times New Roman"/>
          <w:color w:val="auto"/>
          <w:sz w:val="32"/>
          <w:szCs w:val="32"/>
          <w:highlight w:val="none"/>
        </w:rPr>
        <w:t>造价企业</w:t>
      </w:r>
      <w:r>
        <w:rPr>
          <w:rFonts w:hint="default" w:ascii="Times New Roman" w:hAnsi="Times New Roman" w:eastAsia="仿宋_GB2312" w:cs="Times New Roman"/>
          <w:color w:val="auto"/>
          <w:sz w:val="32"/>
          <w:szCs w:val="32"/>
          <w:highlight w:val="none"/>
          <w:lang w:eastAsia="zh-CN"/>
        </w:rPr>
        <w:t>分别</w:t>
      </w:r>
      <w:r>
        <w:rPr>
          <w:rFonts w:hint="default" w:ascii="Times New Roman" w:hAnsi="Times New Roman" w:eastAsia="仿宋_GB2312" w:cs="Times New Roman"/>
          <w:color w:val="auto"/>
          <w:sz w:val="32"/>
          <w:szCs w:val="32"/>
          <w:highlight w:val="none"/>
        </w:rPr>
        <w:t>奖励</w:t>
      </w:r>
      <w:r>
        <w:rPr>
          <w:rFonts w:hint="default" w:ascii="Times New Roman" w:hAnsi="Times New Roman" w:eastAsia="仿宋_GB2312" w:cs="Times New Roman"/>
          <w:color w:val="auto"/>
          <w:sz w:val="32"/>
          <w:szCs w:val="32"/>
          <w:highlight w:val="none"/>
          <w:lang w:eastAsia="zh-CN"/>
        </w:rPr>
        <w:t>一个投资额</w:t>
      </w:r>
      <w:r>
        <w:rPr>
          <w:rFonts w:hint="default" w:ascii="Times New Roman" w:hAnsi="Times New Roman" w:eastAsia="仿宋_GB2312" w:cs="Times New Roman"/>
          <w:color w:val="auto"/>
          <w:sz w:val="32"/>
          <w:szCs w:val="32"/>
          <w:highlight w:val="none"/>
          <w:lang w:val="en-US" w:eastAsia="zh-CN"/>
        </w:rPr>
        <w:t>5000-10000万元的项目。</w:t>
      </w:r>
    </w:p>
    <w:p w14:paraId="4A3AA4DA">
      <w:pPr>
        <w:keepNext w:val="0"/>
        <w:keepLines w:val="0"/>
        <w:pageBreakBefore w:val="0"/>
        <w:numPr>
          <w:ilvl w:val="0"/>
          <w:numId w:val="2"/>
        </w:numPr>
        <w:kinsoku/>
        <w:wordWrap/>
        <w:overflowPunct/>
        <w:topLinePunct w:val="0"/>
        <w:autoSpaceDE/>
        <w:autoSpaceDN/>
        <w:bidi w:val="0"/>
        <w:adjustRightInd/>
        <w:spacing w:line="400"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奖励项目的具体安排，由综合计划科根据项目特</w:t>
      </w:r>
      <w:r>
        <w:rPr>
          <w:rFonts w:hint="default" w:ascii="Times New Roman" w:hAnsi="Times New Roman" w:eastAsia="仿宋_GB2312" w:cs="Times New Roman"/>
          <w:color w:val="auto"/>
          <w:sz w:val="32"/>
          <w:szCs w:val="32"/>
          <w:highlight w:val="none"/>
          <w:lang w:eastAsia="zh-CN"/>
        </w:rPr>
        <w:t>点</w:t>
      </w:r>
      <w:r>
        <w:rPr>
          <w:rFonts w:hint="default" w:ascii="Times New Roman" w:hAnsi="Times New Roman" w:eastAsia="仿宋_GB2312" w:cs="Times New Roman"/>
          <w:color w:val="auto"/>
          <w:sz w:val="32"/>
          <w:szCs w:val="32"/>
          <w:highlight w:val="none"/>
        </w:rPr>
        <w:t>，对符合奖励条件的造价企业，提出分配</w:t>
      </w:r>
      <w:r>
        <w:rPr>
          <w:rFonts w:hint="default" w:ascii="Times New Roman" w:hAnsi="Times New Roman" w:eastAsia="仿宋_GB2312" w:cs="Times New Roman"/>
          <w:color w:val="auto"/>
          <w:kern w:val="0"/>
          <w:sz w:val="32"/>
          <w:szCs w:val="32"/>
          <w:highlight w:val="none"/>
        </w:rPr>
        <w:t>意见，</w:t>
      </w:r>
      <w:r>
        <w:rPr>
          <w:rFonts w:hint="default" w:ascii="Times New Roman" w:hAnsi="Times New Roman" w:eastAsia="仿宋_GB2312" w:cs="Times New Roman"/>
          <w:color w:val="auto"/>
          <w:sz w:val="32"/>
          <w:szCs w:val="32"/>
          <w:highlight w:val="none"/>
        </w:rPr>
        <w:t>经综合计划科分管领导</w:t>
      </w:r>
      <w:r>
        <w:rPr>
          <w:rFonts w:hint="default" w:ascii="Times New Roman" w:hAnsi="Times New Roman" w:eastAsia="仿宋_GB2312" w:cs="Times New Roman"/>
          <w:color w:val="auto"/>
          <w:sz w:val="32"/>
          <w:szCs w:val="32"/>
          <w:highlight w:val="none"/>
          <w:lang w:eastAsia="zh-CN"/>
        </w:rPr>
        <w:t>审核</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报</w:t>
      </w:r>
      <w:r>
        <w:rPr>
          <w:rFonts w:hint="default" w:ascii="Times New Roman" w:hAnsi="Times New Roman" w:eastAsia="仿宋_GB2312" w:cs="Times New Roman"/>
          <w:color w:val="auto"/>
          <w:sz w:val="32"/>
          <w:szCs w:val="32"/>
          <w:highlight w:val="none"/>
        </w:rPr>
        <w:t>主任办公会研究通过后进行委托。</w:t>
      </w:r>
    </w:p>
    <w:p w14:paraId="64F25C78">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default" w:ascii="Times New Roman" w:hAnsi="Times New Roman" w:eastAsia="仿宋_GB2312" w:cs="Times New Roman"/>
          <w:b/>
          <w:bCs/>
          <w:color w:val="auto"/>
          <w:sz w:val="32"/>
          <w:szCs w:val="32"/>
          <w:highlight w:val="none"/>
          <w:lang w:eastAsia="zh-CN"/>
        </w:rPr>
        <w:t>九</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指定方式</w:t>
      </w:r>
    </w:p>
    <w:p w14:paraId="712343EE">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涉铁、涉军、涉密、电力、供水、燃气、古建筑、智能化等特殊项目，</w:t>
      </w:r>
      <w:r>
        <w:rPr>
          <w:rFonts w:hint="default" w:ascii="Times New Roman" w:hAnsi="Times New Roman" w:eastAsia="仿宋_GB2312" w:cs="Times New Roman"/>
          <w:color w:val="auto"/>
          <w:sz w:val="32"/>
          <w:szCs w:val="32"/>
          <w:highlight w:val="none"/>
          <w:lang w:eastAsia="zh-CN"/>
        </w:rPr>
        <w:t>且</w:t>
      </w:r>
      <w:r>
        <w:rPr>
          <w:rFonts w:hint="default" w:ascii="Times New Roman" w:hAnsi="Times New Roman" w:eastAsia="仿宋_GB2312" w:cs="Times New Roman"/>
          <w:color w:val="auto"/>
          <w:sz w:val="32"/>
          <w:szCs w:val="32"/>
          <w:highlight w:val="none"/>
        </w:rPr>
        <w:t>只有</w:t>
      </w:r>
      <w:r>
        <w:rPr>
          <w:rFonts w:hint="default" w:ascii="Times New Roman" w:hAnsi="Times New Roman" w:eastAsia="仿宋_GB2312" w:cs="Times New Roman"/>
          <w:color w:val="auto"/>
          <w:sz w:val="32"/>
          <w:szCs w:val="32"/>
          <w:highlight w:val="none"/>
          <w:lang w:eastAsia="zh-CN"/>
        </w:rPr>
        <w:t>极</w:t>
      </w:r>
      <w:r>
        <w:rPr>
          <w:rFonts w:hint="default" w:ascii="Times New Roman" w:hAnsi="Times New Roman" w:eastAsia="仿宋_GB2312" w:cs="Times New Roman"/>
          <w:color w:val="auto"/>
          <w:sz w:val="32"/>
          <w:szCs w:val="32"/>
          <w:highlight w:val="none"/>
        </w:rPr>
        <w:t>少量潜在造价企业可供选择的，由综合计划科在</w:t>
      </w:r>
      <w:r>
        <w:rPr>
          <w:rFonts w:hint="default" w:ascii="Times New Roman" w:hAnsi="Times New Roman" w:eastAsia="仿宋_GB2312" w:cs="Times New Roman"/>
          <w:color w:val="auto"/>
          <w:kern w:val="36"/>
          <w:sz w:val="32"/>
          <w:szCs w:val="32"/>
          <w:highlight w:val="none"/>
        </w:rPr>
        <w:t>库</w:t>
      </w:r>
      <w:r>
        <w:rPr>
          <w:rFonts w:hint="default" w:ascii="Times New Roman" w:hAnsi="Times New Roman" w:eastAsia="仿宋_GB2312" w:cs="Times New Roman"/>
          <w:color w:val="auto"/>
          <w:sz w:val="32"/>
          <w:szCs w:val="32"/>
          <w:highlight w:val="none"/>
        </w:rPr>
        <w:t>中选择具备相应</w:t>
      </w:r>
      <w:r>
        <w:rPr>
          <w:rFonts w:hint="default" w:ascii="Times New Roman" w:hAnsi="Times New Roman" w:eastAsia="仿宋_GB2312" w:cs="Times New Roman"/>
          <w:color w:val="auto"/>
          <w:sz w:val="32"/>
          <w:szCs w:val="32"/>
          <w:highlight w:val="none"/>
          <w:lang w:eastAsia="zh-CN"/>
        </w:rPr>
        <w:t>业务能力</w:t>
      </w:r>
      <w:r>
        <w:rPr>
          <w:rFonts w:hint="default" w:ascii="Times New Roman" w:hAnsi="Times New Roman" w:eastAsia="仿宋_GB2312" w:cs="Times New Roman"/>
          <w:color w:val="auto"/>
          <w:sz w:val="32"/>
          <w:szCs w:val="32"/>
          <w:highlight w:val="none"/>
        </w:rPr>
        <w:t>的造价企业，经综合计划科分管领导</w:t>
      </w:r>
      <w:r>
        <w:rPr>
          <w:rFonts w:hint="default" w:ascii="Times New Roman" w:hAnsi="Times New Roman" w:eastAsia="仿宋_GB2312" w:cs="Times New Roman"/>
          <w:color w:val="auto"/>
          <w:sz w:val="32"/>
          <w:szCs w:val="32"/>
          <w:highlight w:val="none"/>
          <w:lang w:eastAsia="zh-CN"/>
        </w:rPr>
        <w:t>审核</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报</w:t>
      </w:r>
      <w:r>
        <w:rPr>
          <w:rFonts w:hint="default" w:ascii="Times New Roman" w:hAnsi="Times New Roman" w:eastAsia="仿宋_GB2312" w:cs="Times New Roman"/>
          <w:color w:val="auto"/>
          <w:sz w:val="32"/>
          <w:szCs w:val="32"/>
          <w:highlight w:val="none"/>
        </w:rPr>
        <w:t>主任办公会研究通过后进行委托。</w:t>
      </w:r>
    </w:p>
    <w:p w14:paraId="0872B47B">
      <w:pPr>
        <w:pStyle w:val="2"/>
        <w:keepNext w:val="0"/>
        <w:keepLines w:val="0"/>
        <w:pageBreakBefore w:val="0"/>
        <w:kinsoku/>
        <w:wordWrap/>
        <w:overflowPunct/>
        <w:topLinePunct w:val="0"/>
        <w:autoSpaceDE/>
        <w:autoSpaceDN/>
        <w:bidi w:val="0"/>
        <w:adjustRightInd/>
        <w:spacing w:line="400" w:lineRule="exact"/>
        <w:ind w:left="0" w:leftChars="0" w:firstLine="643"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仿宋_GB2312" w:cs="Times New Roman"/>
          <w:b/>
          <w:bCs/>
          <w:color w:val="auto"/>
          <w:sz w:val="32"/>
          <w:szCs w:val="32"/>
          <w:highlight w:val="none"/>
          <w:lang w:eastAsia="zh-CN"/>
        </w:rPr>
        <w:t>第十条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工程</w:t>
      </w:r>
      <w:r>
        <w:rPr>
          <w:rFonts w:hint="default" w:ascii="Times New Roman" w:hAnsi="Times New Roman" w:eastAsia="仿宋_GB2312" w:cs="Times New Roman"/>
          <w:color w:val="auto"/>
          <w:kern w:val="0"/>
          <w:sz w:val="32"/>
          <w:szCs w:val="32"/>
          <w:highlight w:val="none"/>
        </w:rPr>
        <w:t>造价咨询服务</w:t>
      </w:r>
      <w:r>
        <w:rPr>
          <w:rFonts w:hint="default" w:ascii="Times New Roman" w:hAnsi="Times New Roman" w:eastAsia="仿宋_GB2312" w:cs="Times New Roman"/>
          <w:color w:val="auto"/>
          <w:sz w:val="32"/>
          <w:szCs w:val="32"/>
          <w:highlight w:val="none"/>
        </w:rPr>
        <w:t>费单项合同估算价</w:t>
      </w:r>
      <w:r>
        <w:rPr>
          <w:rFonts w:hint="default" w:ascii="Times New Roman" w:hAnsi="Times New Roman" w:eastAsia="仿宋_GB2312" w:cs="Times New Roman"/>
          <w:color w:val="auto"/>
          <w:sz w:val="32"/>
          <w:szCs w:val="32"/>
          <w:highlight w:val="none"/>
          <w:lang w:val="en-US" w:eastAsia="zh-CN"/>
        </w:rPr>
        <w:t>30</w:t>
      </w:r>
      <w:r>
        <w:rPr>
          <w:rFonts w:hint="default" w:ascii="Times New Roman" w:hAnsi="Times New Roman" w:eastAsia="仿宋_GB2312" w:cs="Times New Roman"/>
          <w:color w:val="auto"/>
          <w:sz w:val="32"/>
          <w:szCs w:val="32"/>
          <w:highlight w:val="none"/>
        </w:rPr>
        <w:t>万元及以上项目</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综合计划科根据项目性质和特点，编制招标文件，经综合计划科分管领导</w:t>
      </w:r>
      <w:r>
        <w:rPr>
          <w:rFonts w:hint="default" w:ascii="Times New Roman" w:hAnsi="Times New Roman" w:eastAsia="仿宋_GB2312" w:cs="Times New Roman"/>
          <w:color w:val="auto"/>
          <w:sz w:val="32"/>
          <w:szCs w:val="32"/>
          <w:highlight w:val="none"/>
          <w:lang w:eastAsia="zh-CN"/>
        </w:rPr>
        <w:t>审核</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报主要领导批准后在市公共资源交易中心</w:t>
      </w:r>
      <w:r>
        <w:rPr>
          <w:rFonts w:hint="default" w:ascii="Times New Roman" w:hAnsi="Times New Roman" w:eastAsia="仿宋_GB2312" w:cs="Times New Roman"/>
          <w:color w:val="auto"/>
          <w:sz w:val="32"/>
          <w:szCs w:val="32"/>
          <w:highlight w:val="none"/>
        </w:rPr>
        <w:t>公开招标。</w:t>
      </w:r>
    </w:p>
    <w:p w14:paraId="7749E4BF">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eastAsia="黑体" w:cs="Times New Roman"/>
          <w:color w:val="auto"/>
          <w:kern w:val="36"/>
          <w:sz w:val="32"/>
          <w:szCs w:val="32"/>
          <w:highlight w:val="none"/>
        </w:rPr>
      </w:pPr>
      <w:r>
        <w:rPr>
          <w:rFonts w:hint="default" w:ascii="Times New Roman" w:hAnsi="Times New Roman" w:eastAsia="黑体" w:cs="Times New Roman"/>
          <w:color w:val="auto"/>
          <w:sz w:val="32"/>
          <w:szCs w:val="32"/>
          <w:highlight w:val="none"/>
        </w:rPr>
        <w:t>第四章 服务费用</w:t>
      </w:r>
    </w:p>
    <w:p w14:paraId="0FBC5D48">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rPr>
        <w:t>第十</w:t>
      </w:r>
      <w:r>
        <w:rPr>
          <w:rFonts w:hint="default" w:ascii="Times New Roman" w:hAnsi="Times New Roman" w:eastAsia="仿宋_GB2312" w:cs="Times New Roman"/>
          <w:b/>
          <w:bCs/>
          <w:color w:val="auto"/>
          <w:sz w:val="32"/>
          <w:szCs w:val="32"/>
          <w:highlight w:val="none"/>
          <w:lang w:eastAsia="zh-CN"/>
        </w:rPr>
        <w:t>一</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eastAsia="zh-CN"/>
        </w:rPr>
        <w:t>清单编制服务费用、投资估算、设计概算等</w:t>
      </w:r>
      <w:r>
        <w:rPr>
          <w:rFonts w:hint="default" w:ascii="Times New Roman" w:hAnsi="Times New Roman" w:eastAsia="仿宋_GB2312" w:cs="Times New Roman"/>
          <w:color w:val="auto"/>
          <w:sz w:val="32"/>
          <w:szCs w:val="32"/>
          <w:highlight w:val="none"/>
        </w:rPr>
        <w:t>其他工程造价咨询服务</w:t>
      </w:r>
      <w:r>
        <w:rPr>
          <w:rFonts w:hint="default" w:ascii="Times New Roman" w:hAnsi="Times New Roman" w:eastAsia="仿宋_GB2312" w:cs="Times New Roman"/>
          <w:color w:val="auto"/>
          <w:kern w:val="0"/>
          <w:sz w:val="32"/>
          <w:szCs w:val="32"/>
          <w:highlight w:val="none"/>
        </w:rPr>
        <w:t>费</w:t>
      </w:r>
      <w:r>
        <w:rPr>
          <w:rFonts w:hint="default" w:ascii="Times New Roman" w:hAnsi="Times New Roman" w:eastAsia="仿宋_GB2312" w:cs="Times New Roman"/>
          <w:color w:val="auto"/>
          <w:sz w:val="32"/>
          <w:szCs w:val="32"/>
          <w:highlight w:val="none"/>
          <w:lang w:eastAsia="zh-CN"/>
        </w:rPr>
        <w:t>参照执行《安徽省建设工程造价咨询服务项目及收费标准》（皖价服</w:t>
      </w:r>
      <w:r>
        <w:rPr>
          <w:rFonts w:hint="default" w:ascii="Times New Roman" w:hAnsi="Times New Roman" w:eastAsia="仿宋" w:cs="Times New Roman"/>
          <w:color w:val="auto"/>
          <w:sz w:val="32"/>
          <w:szCs w:val="32"/>
          <w:highlight w:val="none"/>
          <w:shd w:val="clear" w:color="auto" w:fill="auto"/>
        </w:rPr>
        <w:t>〔</w:t>
      </w:r>
      <w:r>
        <w:rPr>
          <w:rFonts w:hint="default" w:ascii="Times New Roman" w:hAnsi="Times New Roman" w:eastAsia="仿宋" w:cs="Times New Roman"/>
          <w:color w:val="auto"/>
          <w:sz w:val="32"/>
          <w:szCs w:val="32"/>
          <w:highlight w:val="none"/>
          <w:shd w:val="clear" w:color="auto" w:fill="auto"/>
          <w:lang w:eastAsia="zh-CN"/>
        </w:rPr>
        <w:t>20</w:t>
      </w:r>
      <w:r>
        <w:rPr>
          <w:rFonts w:hint="default" w:ascii="Times New Roman" w:hAnsi="Times New Roman" w:eastAsia="仿宋" w:cs="Times New Roman"/>
          <w:color w:val="auto"/>
          <w:sz w:val="32"/>
          <w:szCs w:val="32"/>
          <w:highlight w:val="none"/>
          <w:shd w:val="clear" w:color="auto" w:fill="auto"/>
          <w:lang w:val="en-US" w:eastAsia="zh-CN"/>
        </w:rPr>
        <w:t>07</w:t>
      </w:r>
      <w:r>
        <w:rPr>
          <w:rFonts w:hint="default" w:ascii="Times New Roman" w:hAnsi="Times New Roman" w:eastAsia="仿宋" w:cs="Times New Roman"/>
          <w:color w:val="auto"/>
          <w:sz w:val="32"/>
          <w:szCs w:val="32"/>
          <w:highlight w:val="none"/>
          <w:shd w:val="clear" w:color="auto" w:fill="auto"/>
        </w:rPr>
        <w:t>〕</w:t>
      </w:r>
      <w:r>
        <w:rPr>
          <w:rFonts w:hint="default" w:ascii="Times New Roman" w:hAnsi="Times New Roman" w:eastAsia="仿宋_GB2312" w:cs="Times New Roman"/>
          <w:color w:val="auto"/>
          <w:sz w:val="32"/>
          <w:szCs w:val="32"/>
          <w:highlight w:val="none"/>
          <w:lang w:val="en-US" w:eastAsia="zh-CN"/>
        </w:rPr>
        <w:t>86号</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b/>
          <w:bCs/>
          <w:color w:val="auto"/>
          <w:sz w:val="32"/>
          <w:szCs w:val="32"/>
          <w:highlight w:val="none"/>
          <w:lang w:eastAsia="zh-CN"/>
        </w:rPr>
        <w:t>清单编制服务费由综合计划科按照工程难易程度提出下浮率（一般为</w:t>
      </w:r>
      <w:r>
        <w:rPr>
          <w:rFonts w:hint="default" w:ascii="Times New Roman" w:hAnsi="Times New Roman" w:eastAsia="仿宋_GB2312" w:cs="Times New Roman"/>
          <w:b/>
          <w:bCs/>
          <w:color w:val="auto"/>
          <w:sz w:val="32"/>
          <w:szCs w:val="32"/>
          <w:highlight w:val="none"/>
          <w:lang w:val="en-US" w:eastAsia="zh-CN"/>
        </w:rPr>
        <w:t>40%-60%）</w:t>
      </w:r>
      <w:r>
        <w:rPr>
          <w:rFonts w:hint="default" w:ascii="Times New Roman" w:hAnsi="Times New Roman" w:eastAsia="仿宋_GB2312" w:cs="Times New Roman"/>
          <w:b/>
          <w:bCs/>
          <w:color w:val="auto"/>
          <w:sz w:val="32"/>
          <w:szCs w:val="32"/>
          <w:highlight w:val="none"/>
          <w:lang w:eastAsia="zh-CN"/>
        </w:rPr>
        <w:t>，</w:t>
      </w:r>
      <w:r>
        <w:rPr>
          <w:rFonts w:hint="default" w:ascii="Times New Roman" w:hAnsi="Times New Roman" w:eastAsia="仿宋_GB2312" w:cs="Times New Roman"/>
          <w:b/>
          <w:bCs/>
          <w:color w:val="auto"/>
          <w:sz w:val="32"/>
          <w:szCs w:val="32"/>
          <w:highlight w:val="none"/>
        </w:rPr>
        <w:t>经综合计划科分管领导</w:t>
      </w:r>
      <w:r>
        <w:rPr>
          <w:rFonts w:hint="default" w:ascii="Times New Roman" w:hAnsi="Times New Roman" w:eastAsia="仿宋_GB2312" w:cs="Times New Roman"/>
          <w:b/>
          <w:bCs/>
          <w:color w:val="auto"/>
          <w:sz w:val="32"/>
          <w:szCs w:val="32"/>
          <w:highlight w:val="none"/>
          <w:lang w:eastAsia="zh-CN"/>
        </w:rPr>
        <w:t>批准后实施。特别复杂或特殊的项目报主任办公会研究通过后可不下浮。</w:t>
      </w:r>
    </w:p>
    <w:p w14:paraId="72C06B6C">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第十</w:t>
      </w:r>
      <w:r>
        <w:rPr>
          <w:rFonts w:hint="default" w:ascii="Times New Roman" w:hAnsi="Times New Roman" w:eastAsia="仿宋_GB2312" w:cs="Times New Roman"/>
          <w:b/>
          <w:bCs/>
          <w:color w:val="auto"/>
          <w:sz w:val="32"/>
          <w:szCs w:val="32"/>
          <w:highlight w:val="none"/>
          <w:lang w:eastAsia="zh-CN"/>
        </w:rPr>
        <w:t>二</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项目跟踪审计、结算审核固定费率执行下列标准：</w:t>
      </w:r>
    </w:p>
    <w:p w14:paraId="1ED0092D">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项目跟踪审计服务费标准</w:t>
      </w:r>
    </w:p>
    <w:tbl>
      <w:tblPr>
        <w:tblStyle w:val="45"/>
        <w:tblW w:w="8247" w:type="dxa"/>
        <w:jc w:val="center"/>
        <w:tblLayout w:type="fixed"/>
        <w:tblCellMar>
          <w:top w:w="0" w:type="dxa"/>
          <w:left w:w="108" w:type="dxa"/>
          <w:bottom w:w="0" w:type="dxa"/>
          <w:right w:w="108" w:type="dxa"/>
        </w:tblCellMar>
      </w:tblPr>
      <w:tblGrid>
        <w:gridCol w:w="3685"/>
        <w:gridCol w:w="2262"/>
        <w:gridCol w:w="2300"/>
      </w:tblGrid>
      <w:tr w14:paraId="56CFC27E">
        <w:tblPrEx>
          <w:tblCellMar>
            <w:top w:w="0" w:type="dxa"/>
            <w:left w:w="108" w:type="dxa"/>
            <w:bottom w:w="0" w:type="dxa"/>
            <w:right w:w="108" w:type="dxa"/>
          </w:tblCellMar>
        </w:tblPrEx>
        <w:trPr>
          <w:trHeight w:val="700" w:hRule="atLeast"/>
          <w:jc w:val="center"/>
        </w:trPr>
        <w:tc>
          <w:tcPr>
            <w:tcW w:w="3685" w:type="dxa"/>
            <w:tcBorders>
              <w:top w:val="single" w:color="auto" w:sz="4" w:space="0"/>
              <w:left w:val="single" w:color="auto" w:sz="4" w:space="0"/>
              <w:bottom w:val="single" w:color="auto" w:sz="4" w:space="0"/>
              <w:right w:val="single" w:color="auto" w:sz="4" w:space="0"/>
            </w:tcBorders>
            <w:noWrap w:val="0"/>
            <w:vAlign w:val="center"/>
          </w:tcPr>
          <w:p w14:paraId="00EA875B">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工程造价金额（万元）</w:t>
            </w:r>
          </w:p>
        </w:tc>
        <w:tc>
          <w:tcPr>
            <w:tcW w:w="2262" w:type="dxa"/>
            <w:tcBorders>
              <w:top w:val="single" w:color="auto" w:sz="4" w:space="0"/>
              <w:left w:val="single" w:color="auto" w:sz="4" w:space="0"/>
              <w:bottom w:val="single" w:color="auto" w:sz="4" w:space="0"/>
              <w:right w:val="single" w:color="auto" w:sz="4" w:space="0"/>
            </w:tcBorders>
            <w:noWrap w:val="0"/>
            <w:vAlign w:val="center"/>
          </w:tcPr>
          <w:p w14:paraId="6768ACB5">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基本费</w:t>
            </w:r>
          </w:p>
        </w:tc>
        <w:tc>
          <w:tcPr>
            <w:tcW w:w="2300" w:type="dxa"/>
            <w:tcBorders>
              <w:top w:val="single" w:color="auto" w:sz="4" w:space="0"/>
              <w:left w:val="nil"/>
              <w:bottom w:val="single" w:color="auto" w:sz="4" w:space="0"/>
              <w:right w:val="single" w:color="auto" w:sz="4" w:space="0"/>
            </w:tcBorders>
            <w:noWrap w:val="0"/>
            <w:vAlign w:val="center"/>
          </w:tcPr>
          <w:p w14:paraId="3DF9F5D0">
            <w:pPr>
              <w:keepNext w:val="0"/>
              <w:keepLines w:val="0"/>
              <w:pageBreakBefore w:val="0"/>
              <w:widowControl/>
              <w:kinsoku/>
              <w:wordWrap/>
              <w:overflowPunct/>
              <w:topLinePunct w:val="0"/>
              <w:autoSpaceDE/>
              <w:autoSpaceDN/>
              <w:bidi w:val="0"/>
              <w:adjustRightInd/>
              <w:spacing w:line="400" w:lineRule="exact"/>
              <w:ind w:left="0" w:leftChars="0" w:firstLine="320" w:firstLineChars="100"/>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审核成果费</w:t>
            </w:r>
          </w:p>
        </w:tc>
      </w:tr>
      <w:tr w14:paraId="4E895913">
        <w:tblPrEx>
          <w:tblCellMar>
            <w:top w:w="0" w:type="dxa"/>
            <w:left w:w="108" w:type="dxa"/>
            <w:bottom w:w="0" w:type="dxa"/>
            <w:right w:w="108" w:type="dxa"/>
          </w:tblCellMar>
        </w:tblPrEx>
        <w:trPr>
          <w:trHeight w:val="430" w:hRule="atLeast"/>
          <w:jc w:val="center"/>
        </w:trPr>
        <w:tc>
          <w:tcPr>
            <w:tcW w:w="3685" w:type="dxa"/>
            <w:tcBorders>
              <w:top w:val="single" w:color="auto" w:sz="4" w:space="0"/>
              <w:left w:val="single" w:color="auto" w:sz="4" w:space="0"/>
              <w:bottom w:val="single" w:color="auto" w:sz="4" w:space="0"/>
              <w:right w:val="single" w:color="auto" w:sz="4" w:space="0"/>
            </w:tcBorders>
            <w:noWrap w:val="0"/>
            <w:vAlign w:val="center"/>
          </w:tcPr>
          <w:p w14:paraId="6E066D37">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1000</w:t>
            </w:r>
            <w:r>
              <w:rPr>
                <w:rFonts w:hint="default" w:ascii="Times New Roman" w:hAnsi="Times New Roman" w:eastAsia="仿宋_GB2312" w:cs="Times New Roman"/>
                <w:color w:val="auto"/>
                <w:kern w:val="0"/>
                <w:sz w:val="32"/>
                <w:szCs w:val="32"/>
                <w:highlight w:val="none"/>
              </w:rPr>
              <w:t>以内（含）</w:t>
            </w:r>
          </w:p>
        </w:tc>
        <w:tc>
          <w:tcPr>
            <w:tcW w:w="2262" w:type="dxa"/>
            <w:tcBorders>
              <w:top w:val="single" w:color="auto" w:sz="4" w:space="0"/>
              <w:left w:val="single" w:color="auto" w:sz="4" w:space="0"/>
              <w:bottom w:val="single" w:color="auto" w:sz="4" w:space="0"/>
              <w:right w:val="single" w:color="auto" w:sz="4" w:space="0"/>
            </w:tcBorders>
            <w:noWrap w:val="0"/>
            <w:vAlign w:val="center"/>
          </w:tcPr>
          <w:p w14:paraId="27B8094F">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3</w:t>
            </w:r>
            <w:r>
              <w:rPr>
                <w:rFonts w:hint="default" w:ascii="Times New Roman" w:hAnsi="Times New Roman" w:eastAsia="仿宋_GB2312" w:cs="Times New Roman"/>
                <w:color w:val="auto"/>
                <w:kern w:val="0"/>
                <w:sz w:val="32"/>
                <w:szCs w:val="32"/>
                <w:highlight w:val="none"/>
              </w:rPr>
              <w:t>‰</w:t>
            </w:r>
          </w:p>
        </w:tc>
        <w:tc>
          <w:tcPr>
            <w:tcW w:w="2300" w:type="dxa"/>
            <w:tcBorders>
              <w:top w:val="nil"/>
              <w:left w:val="nil"/>
              <w:bottom w:val="single" w:color="auto" w:sz="4" w:space="0"/>
              <w:right w:val="single" w:color="auto" w:sz="4" w:space="0"/>
            </w:tcBorders>
            <w:noWrap w:val="0"/>
            <w:vAlign w:val="center"/>
          </w:tcPr>
          <w:p w14:paraId="6BBDE8AA">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b/>
                <w:bCs/>
                <w:color w:val="auto"/>
                <w:kern w:val="0"/>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rPr>
              <w:t>4</w:t>
            </w:r>
            <w:r>
              <w:rPr>
                <w:rFonts w:hint="default" w:ascii="Times New Roman" w:hAnsi="Times New Roman" w:eastAsia="仿宋_GB2312" w:cs="Times New Roman"/>
                <w:b/>
                <w:bCs/>
                <w:color w:val="auto"/>
                <w:kern w:val="0"/>
                <w:sz w:val="32"/>
                <w:szCs w:val="32"/>
                <w:highlight w:val="none"/>
              </w:rPr>
              <w:t>%</w:t>
            </w:r>
          </w:p>
        </w:tc>
      </w:tr>
      <w:tr w14:paraId="682E7A7A">
        <w:tblPrEx>
          <w:tblCellMar>
            <w:top w:w="0" w:type="dxa"/>
            <w:left w:w="108" w:type="dxa"/>
            <w:bottom w:w="0" w:type="dxa"/>
            <w:right w:w="108" w:type="dxa"/>
          </w:tblCellMar>
        </w:tblPrEx>
        <w:trPr>
          <w:trHeight w:val="430" w:hRule="atLeast"/>
          <w:jc w:val="center"/>
        </w:trPr>
        <w:tc>
          <w:tcPr>
            <w:tcW w:w="3685" w:type="dxa"/>
            <w:tcBorders>
              <w:top w:val="single" w:color="auto" w:sz="4" w:space="0"/>
              <w:left w:val="single" w:color="auto" w:sz="4" w:space="0"/>
              <w:bottom w:val="single" w:color="auto" w:sz="4" w:space="0"/>
              <w:right w:val="single" w:color="auto" w:sz="4" w:space="0"/>
            </w:tcBorders>
            <w:noWrap w:val="0"/>
            <w:vAlign w:val="center"/>
          </w:tcPr>
          <w:p w14:paraId="62D5863B">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1000</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kern w:val="0"/>
                <w:sz w:val="32"/>
                <w:szCs w:val="32"/>
                <w:highlight w:val="none"/>
                <w:lang w:eastAsia="zh-CN"/>
              </w:rPr>
              <w:t>5000</w:t>
            </w:r>
            <w:r>
              <w:rPr>
                <w:rFonts w:hint="default" w:ascii="Times New Roman" w:hAnsi="Times New Roman" w:eastAsia="仿宋_GB2312" w:cs="Times New Roman"/>
                <w:color w:val="auto"/>
                <w:kern w:val="0"/>
                <w:sz w:val="32"/>
                <w:szCs w:val="32"/>
                <w:highlight w:val="none"/>
              </w:rPr>
              <w:t>以内（含）</w:t>
            </w:r>
          </w:p>
        </w:tc>
        <w:tc>
          <w:tcPr>
            <w:tcW w:w="2262" w:type="dxa"/>
            <w:tcBorders>
              <w:top w:val="single" w:color="auto" w:sz="4" w:space="0"/>
              <w:left w:val="nil"/>
              <w:bottom w:val="single" w:color="auto" w:sz="4" w:space="0"/>
              <w:right w:val="single" w:color="auto" w:sz="4" w:space="0"/>
            </w:tcBorders>
            <w:noWrap w:val="0"/>
            <w:vAlign w:val="center"/>
          </w:tcPr>
          <w:p w14:paraId="728B4A49">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2</w:t>
            </w:r>
            <w:r>
              <w:rPr>
                <w:rFonts w:hint="default" w:ascii="Times New Roman" w:hAnsi="Times New Roman" w:eastAsia="仿宋_GB2312" w:cs="Times New Roman"/>
                <w:color w:val="auto"/>
                <w:kern w:val="0"/>
                <w:sz w:val="32"/>
                <w:szCs w:val="32"/>
                <w:highlight w:val="none"/>
              </w:rPr>
              <w:t>‰</w:t>
            </w:r>
          </w:p>
        </w:tc>
        <w:tc>
          <w:tcPr>
            <w:tcW w:w="2300" w:type="dxa"/>
            <w:tcBorders>
              <w:top w:val="nil"/>
              <w:left w:val="nil"/>
              <w:bottom w:val="single" w:color="auto" w:sz="4" w:space="0"/>
              <w:right w:val="single" w:color="auto" w:sz="4" w:space="0"/>
            </w:tcBorders>
            <w:noWrap w:val="0"/>
            <w:vAlign w:val="center"/>
          </w:tcPr>
          <w:p w14:paraId="7C514F9B">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b/>
                <w:bCs/>
                <w:color w:val="auto"/>
                <w:kern w:val="0"/>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rPr>
              <w:t>4</w:t>
            </w:r>
            <w:r>
              <w:rPr>
                <w:rFonts w:hint="default" w:ascii="Times New Roman" w:hAnsi="Times New Roman" w:eastAsia="仿宋_GB2312" w:cs="Times New Roman"/>
                <w:b/>
                <w:bCs/>
                <w:color w:val="auto"/>
                <w:kern w:val="0"/>
                <w:sz w:val="32"/>
                <w:szCs w:val="32"/>
                <w:highlight w:val="none"/>
              </w:rPr>
              <w:t>%</w:t>
            </w:r>
          </w:p>
        </w:tc>
      </w:tr>
      <w:tr w14:paraId="4217E22A">
        <w:tblPrEx>
          <w:tblCellMar>
            <w:top w:w="0" w:type="dxa"/>
            <w:left w:w="108" w:type="dxa"/>
            <w:bottom w:w="0" w:type="dxa"/>
            <w:right w:w="108" w:type="dxa"/>
          </w:tblCellMar>
        </w:tblPrEx>
        <w:trPr>
          <w:trHeight w:val="430" w:hRule="atLeast"/>
          <w:jc w:val="center"/>
        </w:trPr>
        <w:tc>
          <w:tcPr>
            <w:tcW w:w="3685" w:type="dxa"/>
            <w:tcBorders>
              <w:top w:val="nil"/>
              <w:left w:val="single" w:color="auto" w:sz="4" w:space="0"/>
              <w:bottom w:val="single" w:color="auto" w:sz="4" w:space="0"/>
              <w:right w:val="single" w:color="auto" w:sz="4" w:space="0"/>
            </w:tcBorders>
            <w:noWrap w:val="0"/>
            <w:vAlign w:val="center"/>
          </w:tcPr>
          <w:p w14:paraId="5A85F1DB">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5000</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kern w:val="0"/>
                <w:sz w:val="32"/>
                <w:szCs w:val="32"/>
                <w:highlight w:val="none"/>
                <w:lang w:eastAsia="zh-CN"/>
              </w:rPr>
              <w:t>10000</w:t>
            </w:r>
            <w:r>
              <w:rPr>
                <w:rFonts w:hint="default" w:ascii="Times New Roman" w:hAnsi="Times New Roman" w:eastAsia="仿宋_GB2312" w:cs="Times New Roman"/>
                <w:color w:val="auto"/>
                <w:kern w:val="0"/>
                <w:sz w:val="32"/>
                <w:szCs w:val="32"/>
                <w:highlight w:val="none"/>
              </w:rPr>
              <w:t>以内（含）</w:t>
            </w:r>
          </w:p>
        </w:tc>
        <w:tc>
          <w:tcPr>
            <w:tcW w:w="2262" w:type="dxa"/>
            <w:tcBorders>
              <w:top w:val="nil"/>
              <w:left w:val="nil"/>
              <w:bottom w:val="single" w:color="auto" w:sz="4" w:space="0"/>
              <w:right w:val="single" w:color="auto" w:sz="4" w:space="0"/>
            </w:tcBorders>
            <w:noWrap w:val="0"/>
            <w:vAlign w:val="center"/>
          </w:tcPr>
          <w:p w14:paraId="6F069245">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1</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kern w:val="0"/>
                <w:sz w:val="32"/>
                <w:szCs w:val="32"/>
                <w:highlight w:val="none"/>
                <w:lang w:eastAsia="zh-CN"/>
              </w:rPr>
              <w:t>5</w:t>
            </w:r>
            <w:r>
              <w:rPr>
                <w:rFonts w:hint="default" w:ascii="Times New Roman" w:hAnsi="Times New Roman" w:eastAsia="仿宋_GB2312" w:cs="Times New Roman"/>
                <w:color w:val="auto"/>
                <w:kern w:val="0"/>
                <w:sz w:val="32"/>
                <w:szCs w:val="32"/>
                <w:highlight w:val="none"/>
              </w:rPr>
              <w:t>‰</w:t>
            </w:r>
          </w:p>
        </w:tc>
        <w:tc>
          <w:tcPr>
            <w:tcW w:w="2300" w:type="dxa"/>
            <w:tcBorders>
              <w:top w:val="nil"/>
              <w:left w:val="nil"/>
              <w:bottom w:val="single" w:color="auto" w:sz="4" w:space="0"/>
              <w:right w:val="single" w:color="auto" w:sz="4" w:space="0"/>
            </w:tcBorders>
            <w:noWrap w:val="0"/>
            <w:vAlign w:val="center"/>
          </w:tcPr>
          <w:p w14:paraId="75B94241">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b/>
                <w:bCs/>
                <w:color w:val="auto"/>
                <w:kern w:val="0"/>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rPr>
              <w:t>4</w:t>
            </w:r>
            <w:r>
              <w:rPr>
                <w:rFonts w:hint="default" w:ascii="Times New Roman" w:hAnsi="Times New Roman" w:eastAsia="仿宋_GB2312" w:cs="Times New Roman"/>
                <w:b/>
                <w:bCs/>
                <w:color w:val="auto"/>
                <w:kern w:val="0"/>
                <w:sz w:val="32"/>
                <w:szCs w:val="32"/>
                <w:highlight w:val="none"/>
              </w:rPr>
              <w:t>%</w:t>
            </w:r>
          </w:p>
        </w:tc>
      </w:tr>
      <w:tr w14:paraId="74593421">
        <w:tblPrEx>
          <w:tblCellMar>
            <w:top w:w="0" w:type="dxa"/>
            <w:left w:w="108" w:type="dxa"/>
            <w:bottom w:w="0" w:type="dxa"/>
            <w:right w:w="108" w:type="dxa"/>
          </w:tblCellMar>
        </w:tblPrEx>
        <w:trPr>
          <w:trHeight w:val="430" w:hRule="atLeast"/>
          <w:jc w:val="center"/>
        </w:trPr>
        <w:tc>
          <w:tcPr>
            <w:tcW w:w="3685" w:type="dxa"/>
            <w:tcBorders>
              <w:top w:val="nil"/>
              <w:left w:val="single" w:color="auto" w:sz="4" w:space="0"/>
              <w:bottom w:val="single" w:color="auto" w:sz="4" w:space="0"/>
              <w:right w:val="single" w:color="auto" w:sz="4" w:space="0"/>
            </w:tcBorders>
            <w:noWrap w:val="0"/>
            <w:vAlign w:val="center"/>
          </w:tcPr>
          <w:p w14:paraId="3CB449D9">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10000</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kern w:val="0"/>
                <w:sz w:val="32"/>
                <w:szCs w:val="32"/>
                <w:highlight w:val="none"/>
                <w:lang w:val="en-US" w:eastAsia="zh-CN"/>
              </w:rPr>
              <w:t>5</w:t>
            </w:r>
            <w:r>
              <w:rPr>
                <w:rFonts w:hint="default" w:ascii="Times New Roman" w:hAnsi="Times New Roman" w:eastAsia="仿宋_GB2312" w:cs="Times New Roman"/>
                <w:color w:val="auto"/>
                <w:kern w:val="0"/>
                <w:sz w:val="32"/>
                <w:szCs w:val="32"/>
                <w:highlight w:val="none"/>
                <w:lang w:eastAsia="zh-CN"/>
              </w:rPr>
              <w:t>0000</w:t>
            </w:r>
            <w:r>
              <w:rPr>
                <w:rFonts w:hint="default" w:ascii="Times New Roman" w:hAnsi="Times New Roman" w:eastAsia="仿宋_GB2312" w:cs="Times New Roman"/>
                <w:color w:val="auto"/>
                <w:kern w:val="0"/>
                <w:sz w:val="32"/>
                <w:szCs w:val="32"/>
                <w:highlight w:val="none"/>
              </w:rPr>
              <w:t>以内（含）</w:t>
            </w:r>
          </w:p>
        </w:tc>
        <w:tc>
          <w:tcPr>
            <w:tcW w:w="2262" w:type="dxa"/>
            <w:tcBorders>
              <w:top w:val="nil"/>
              <w:left w:val="nil"/>
              <w:bottom w:val="single" w:color="auto" w:sz="4" w:space="0"/>
              <w:right w:val="single" w:color="auto" w:sz="4" w:space="0"/>
            </w:tcBorders>
            <w:noWrap w:val="0"/>
            <w:vAlign w:val="center"/>
          </w:tcPr>
          <w:p w14:paraId="006E780A">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1</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kern w:val="0"/>
                <w:sz w:val="32"/>
                <w:szCs w:val="32"/>
                <w:highlight w:val="none"/>
                <w:lang w:eastAsia="zh-CN"/>
              </w:rPr>
              <w:t>3</w:t>
            </w:r>
            <w:r>
              <w:rPr>
                <w:rFonts w:hint="default" w:ascii="Times New Roman" w:hAnsi="Times New Roman" w:eastAsia="仿宋_GB2312" w:cs="Times New Roman"/>
                <w:color w:val="auto"/>
                <w:kern w:val="0"/>
                <w:sz w:val="32"/>
                <w:szCs w:val="32"/>
                <w:highlight w:val="none"/>
              </w:rPr>
              <w:t>‰</w:t>
            </w:r>
          </w:p>
        </w:tc>
        <w:tc>
          <w:tcPr>
            <w:tcW w:w="2300" w:type="dxa"/>
            <w:tcBorders>
              <w:top w:val="nil"/>
              <w:left w:val="nil"/>
              <w:bottom w:val="single" w:color="auto" w:sz="4" w:space="0"/>
              <w:right w:val="single" w:color="auto" w:sz="4" w:space="0"/>
            </w:tcBorders>
            <w:noWrap w:val="0"/>
            <w:vAlign w:val="center"/>
          </w:tcPr>
          <w:p w14:paraId="006502A6">
            <w:pPr>
              <w:keepNext w:val="0"/>
              <w:keepLines w:val="0"/>
              <w:pageBreakBefore w:val="0"/>
              <w:widowControl/>
              <w:kinsoku/>
              <w:wordWrap/>
              <w:overflowPunct/>
              <w:topLinePunct w:val="0"/>
              <w:autoSpaceDE/>
              <w:autoSpaceDN/>
              <w:bidi w:val="0"/>
              <w:adjustRightInd/>
              <w:spacing w:line="400" w:lineRule="exact"/>
              <w:jc w:val="center"/>
              <w:textAlignment w:val="auto"/>
              <w:rPr>
                <w:rFonts w:hint="default" w:ascii="Times New Roman" w:hAnsi="Times New Roman" w:eastAsia="仿宋_GB2312" w:cs="Times New Roman"/>
                <w:b/>
                <w:bCs/>
                <w:color w:val="auto"/>
                <w:kern w:val="0"/>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rPr>
              <w:t>4</w:t>
            </w:r>
            <w:r>
              <w:rPr>
                <w:rFonts w:hint="default" w:ascii="Times New Roman" w:hAnsi="Times New Roman" w:eastAsia="仿宋_GB2312" w:cs="Times New Roman"/>
                <w:b/>
                <w:bCs/>
                <w:color w:val="auto"/>
                <w:kern w:val="0"/>
                <w:sz w:val="32"/>
                <w:szCs w:val="32"/>
                <w:highlight w:val="none"/>
              </w:rPr>
              <w:t>%</w:t>
            </w:r>
          </w:p>
        </w:tc>
      </w:tr>
      <w:tr w14:paraId="44911F06">
        <w:tblPrEx>
          <w:tblCellMar>
            <w:top w:w="0" w:type="dxa"/>
            <w:left w:w="108" w:type="dxa"/>
            <w:bottom w:w="0" w:type="dxa"/>
            <w:right w:w="108" w:type="dxa"/>
          </w:tblCellMar>
        </w:tblPrEx>
        <w:trPr>
          <w:trHeight w:val="430" w:hRule="atLeast"/>
          <w:jc w:val="center"/>
        </w:trPr>
        <w:tc>
          <w:tcPr>
            <w:tcW w:w="3685" w:type="dxa"/>
            <w:tcBorders>
              <w:top w:val="single" w:color="auto" w:sz="4" w:space="0"/>
              <w:left w:val="single" w:color="auto" w:sz="4" w:space="0"/>
              <w:bottom w:val="single" w:color="auto" w:sz="4" w:space="0"/>
              <w:right w:val="single" w:color="auto" w:sz="4" w:space="0"/>
            </w:tcBorders>
            <w:noWrap w:val="0"/>
            <w:vAlign w:val="center"/>
          </w:tcPr>
          <w:p w14:paraId="30221215">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50000</w:t>
            </w:r>
            <w:r>
              <w:rPr>
                <w:rFonts w:hint="default" w:ascii="Times New Roman" w:hAnsi="Times New Roman" w:eastAsia="仿宋_GB2312" w:cs="Times New Roman"/>
                <w:color w:val="auto"/>
                <w:kern w:val="0"/>
                <w:sz w:val="32"/>
                <w:szCs w:val="32"/>
                <w:highlight w:val="none"/>
              </w:rPr>
              <w:t>以上</w:t>
            </w:r>
          </w:p>
        </w:tc>
        <w:tc>
          <w:tcPr>
            <w:tcW w:w="2262" w:type="dxa"/>
            <w:tcBorders>
              <w:top w:val="single" w:color="auto" w:sz="4" w:space="0"/>
              <w:left w:val="nil"/>
              <w:bottom w:val="single" w:color="auto" w:sz="4" w:space="0"/>
              <w:right w:val="single" w:color="auto" w:sz="4" w:space="0"/>
            </w:tcBorders>
            <w:noWrap w:val="0"/>
            <w:vAlign w:val="center"/>
          </w:tcPr>
          <w:p w14:paraId="151633D8">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0</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kern w:val="0"/>
                <w:sz w:val="32"/>
                <w:szCs w:val="32"/>
                <w:highlight w:val="none"/>
                <w:lang w:eastAsia="zh-CN"/>
              </w:rPr>
              <w:t>8</w:t>
            </w:r>
            <w:r>
              <w:rPr>
                <w:rFonts w:hint="default" w:ascii="Times New Roman" w:hAnsi="Times New Roman" w:eastAsia="仿宋_GB2312" w:cs="Times New Roman"/>
                <w:color w:val="auto"/>
                <w:kern w:val="0"/>
                <w:sz w:val="32"/>
                <w:szCs w:val="32"/>
                <w:highlight w:val="none"/>
              </w:rPr>
              <w:t>‰</w:t>
            </w:r>
          </w:p>
        </w:tc>
        <w:tc>
          <w:tcPr>
            <w:tcW w:w="2300" w:type="dxa"/>
            <w:tcBorders>
              <w:top w:val="single" w:color="auto" w:sz="4" w:space="0"/>
              <w:left w:val="nil"/>
              <w:bottom w:val="single" w:color="auto" w:sz="4" w:space="0"/>
              <w:right w:val="single" w:color="auto" w:sz="4" w:space="0"/>
            </w:tcBorders>
            <w:noWrap w:val="0"/>
            <w:vAlign w:val="center"/>
          </w:tcPr>
          <w:p w14:paraId="2BBF2940">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b/>
                <w:bCs/>
                <w:color w:val="auto"/>
                <w:kern w:val="0"/>
                <w:sz w:val="32"/>
                <w:szCs w:val="32"/>
                <w:highlight w:val="none"/>
                <w:lang w:eastAsia="zh-CN"/>
              </w:rPr>
            </w:pPr>
            <w:r>
              <w:rPr>
                <w:rFonts w:hint="default" w:ascii="Times New Roman" w:hAnsi="Times New Roman" w:eastAsia="仿宋_GB2312" w:cs="Times New Roman"/>
                <w:b/>
                <w:bCs/>
                <w:color w:val="auto"/>
                <w:kern w:val="0"/>
                <w:sz w:val="32"/>
                <w:szCs w:val="32"/>
                <w:highlight w:val="none"/>
                <w:lang w:val="en-US" w:eastAsia="zh-CN"/>
              </w:rPr>
              <w:t>4</w:t>
            </w:r>
            <w:r>
              <w:rPr>
                <w:rFonts w:hint="default" w:ascii="Times New Roman" w:hAnsi="Times New Roman" w:eastAsia="仿宋_GB2312" w:cs="Times New Roman"/>
                <w:b/>
                <w:bCs/>
                <w:color w:val="auto"/>
                <w:kern w:val="0"/>
                <w:sz w:val="32"/>
                <w:szCs w:val="32"/>
                <w:highlight w:val="none"/>
              </w:rPr>
              <w:t>%</w:t>
            </w:r>
          </w:p>
        </w:tc>
      </w:tr>
    </w:tbl>
    <w:p w14:paraId="33C28906">
      <w:pPr>
        <w:keepNext w:val="0"/>
        <w:keepLines w:val="0"/>
        <w:pageBreakBefore w:val="0"/>
        <w:numPr>
          <w:ilvl w:val="0"/>
          <w:numId w:val="3"/>
        </w:numPr>
        <w:kinsoku/>
        <w:wordWrap/>
        <w:overflowPunct/>
        <w:topLinePunct w:val="0"/>
        <w:autoSpaceDE/>
        <w:autoSpaceDN/>
        <w:bidi w:val="0"/>
        <w:adjustRightInd/>
        <w:snapToGrid w:val="0"/>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项目结算审</w:t>
      </w:r>
      <w:r>
        <w:rPr>
          <w:rFonts w:hint="default" w:ascii="Times New Roman" w:hAnsi="Times New Roman" w:eastAsia="仿宋_GB2312" w:cs="Times New Roman"/>
          <w:color w:val="auto"/>
          <w:sz w:val="32"/>
          <w:szCs w:val="32"/>
          <w:highlight w:val="none"/>
          <w:lang w:eastAsia="zh-CN"/>
        </w:rPr>
        <w:t>核</w:t>
      </w:r>
      <w:r>
        <w:rPr>
          <w:rFonts w:hint="default" w:ascii="Times New Roman" w:hAnsi="Times New Roman" w:eastAsia="仿宋_GB2312" w:cs="Times New Roman"/>
          <w:color w:val="auto"/>
          <w:sz w:val="32"/>
          <w:szCs w:val="32"/>
          <w:highlight w:val="none"/>
        </w:rPr>
        <w:t>服务费标准</w:t>
      </w:r>
    </w:p>
    <w:tbl>
      <w:tblPr>
        <w:tblStyle w:val="45"/>
        <w:tblW w:w="0" w:type="auto"/>
        <w:jc w:val="center"/>
        <w:tblLayout w:type="fixed"/>
        <w:tblCellMar>
          <w:top w:w="0" w:type="dxa"/>
          <w:left w:w="108" w:type="dxa"/>
          <w:bottom w:w="0" w:type="dxa"/>
          <w:right w:w="108" w:type="dxa"/>
        </w:tblCellMar>
      </w:tblPr>
      <w:tblGrid>
        <w:gridCol w:w="3705"/>
        <w:gridCol w:w="2280"/>
        <w:gridCol w:w="2340"/>
      </w:tblGrid>
      <w:tr w14:paraId="09A42833">
        <w:tblPrEx>
          <w:tblCellMar>
            <w:top w:w="0" w:type="dxa"/>
            <w:left w:w="108" w:type="dxa"/>
            <w:bottom w:w="0" w:type="dxa"/>
            <w:right w:w="108" w:type="dxa"/>
          </w:tblCellMar>
        </w:tblPrEx>
        <w:trPr>
          <w:trHeight w:val="435" w:hRule="atLeast"/>
          <w:jc w:val="center"/>
        </w:trPr>
        <w:tc>
          <w:tcPr>
            <w:tcW w:w="3705" w:type="dxa"/>
            <w:tcBorders>
              <w:top w:val="single" w:color="auto" w:sz="4" w:space="0"/>
              <w:left w:val="single" w:color="auto" w:sz="4" w:space="0"/>
              <w:bottom w:val="single" w:color="auto" w:sz="4" w:space="0"/>
              <w:right w:val="single" w:color="auto" w:sz="4" w:space="0"/>
            </w:tcBorders>
            <w:noWrap w:val="0"/>
            <w:vAlign w:val="center"/>
          </w:tcPr>
          <w:p w14:paraId="1EBC6618">
            <w:pPr>
              <w:keepNext w:val="0"/>
              <w:keepLines w:val="0"/>
              <w:pageBreakBefore w:val="0"/>
              <w:widowControl/>
              <w:kinsoku/>
              <w:wordWrap/>
              <w:overflowPunct/>
              <w:topLinePunct w:val="0"/>
              <w:autoSpaceDE/>
              <w:autoSpaceDN/>
              <w:bidi w:val="0"/>
              <w:adjustRightInd/>
              <w:spacing w:line="400" w:lineRule="exact"/>
              <w:ind w:left="0" w:leftChars="0"/>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工程造价金额（万元）</w:t>
            </w:r>
          </w:p>
        </w:tc>
        <w:tc>
          <w:tcPr>
            <w:tcW w:w="2280" w:type="dxa"/>
            <w:tcBorders>
              <w:top w:val="single" w:color="auto" w:sz="4" w:space="0"/>
              <w:left w:val="nil"/>
              <w:bottom w:val="single" w:color="auto" w:sz="4" w:space="0"/>
              <w:right w:val="single" w:color="auto" w:sz="4" w:space="0"/>
            </w:tcBorders>
            <w:noWrap w:val="0"/>
            <w:vAlign w:val="center"/>
          </w:tcPr>
          <w:p w14:paraId="7AEEDA2A">
            <w:pPr>
              <w:keepNext w:val="0"/>
              <w:keepLines w:val="0"/>
              <w:pageBreakBefore w:val="0"/>
              <w:widowControl/>
              <w:kinsoku/>
              <w:wordWrap/>
              <w:overflowPunct/>
              <w:topLinePunct w:val="0"/>
              <w:autoSpaceDE/>
              <w:autoSpaceDN/>
              <w:bidi w:val="0"/>
              <w:adjustRightInd/>
              <w:spacing w:line="400" w:lineRule="exact"/>
              <w:textAlignment w:val="auto"/>
              <w:rPr>
                <w:rFonts w:hint="default" w:ascii="Times New Roman" w:hAnsi="Times New Roman" w:eastAsia="仿宋_GB2312" w:cs="Times New Roman"/>
                <w:color w:val="auto"/>
                <w:kern w:val="0"/>
                <w:sz w:val="32"/>
                <w:szCs w:val="32"/>
                <w:highlight w:val="none"/>
                <w:lang w:eastAsia="zh-CN"/>
              </w:rPr>
            </w:pPr>
            <w:r>
              <w:rPr>
                <w:rFonts w:hint="default" w:ascii="Times New Roman" w:hAnsi="Times New Roman" w:eastAsia="仿宋_GB2312" w:cs="Times New Roman"/>
                <w:color w:val="auto"/>
                <w:kern w:val="0"/>
                <w:sz w:val="32"/>
                <w:szCs w:val="32"/>
                <w:highlight w:val="none"/>
              </w:rPr>
              <w:t>基本费</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元</w:t>
            </w:r>
            <w:r>
              <w:rPr>
                <w:rFonts w:hint="default" w:ascii="Times New Roman" w:hAnsi="Times New Roman" w:eastAsia="仿宋_GB2312" w:cs="Times New Roman"/>
                <w:color w:val="auto"/>
                <w:kern w:val="0"/>
                <w:sz w:val="32"/>
                <w:szCs w:val="32"/>
                <w:highlight w:val="none"/>
                <w:lang w:eastAsia="zh-CN"/>
              </w:rPr>
              <w:t>）</w:t>
            </w:r>
          </w:p>
        </w:tc>
        <w:tc>
          <w:tcPr>
            <w:tcW w:w="2340" w:type="dxa"/>
            <w:tcBorders>
              <w:top w:val="single" w:color="auto" w:sz="4" w:space="0"/>
              <w:left w:val="nil"/>
              <w:bottom w:val="single" w:color="auto" w:sz="4" w:space="0"/>
              <w:right w:val="single" w:color="auto" w:sz="4" w:space="0"/>
            </w:tcBorders>
            <w:noWrap w:val="0"/>
            <w:vAlign w:val="center"/>
          </w:tcPr>
          <w:p w14:paraId="49B2E207">
            <w:pPr>
              <w:keepNext w:val="0"/>
              <w:keepLines w:val="0"/>
              <w:pageBreakBefore w:val="0"/>
              <w:widowControl/>
              <w:kinsoku/>
              <w:wordWrap/>
              <w:overflowPunct/>
              <w:topLinePunct w:val="0"/>
              <w:autoSpaceDE/>
              <w:autoSpaceDN/>
              <w:bidi w:val="0"/>
              <w:adjustRightInd/>
              <w:spacing w:line="400" w:lineRule="exact"/>
              <w:ind w:left="0" w:leftChars="0" w:firstLine="320" w:firstLineChars="100"/>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审核成果费</w:t>
            </w:r>
          </w:p>
        </w:tc>
      </w:tr>
      <w:tr w14:paraId="62DA5D2B">
        <w:tblPrEx>
          <w:tblCellMar>
            <w:top w:w="0" w:type="dxa"/>
            <w:left w:w="108" w:type="dxa"/>
            <w:bottom w:w="0" w:type="dxa"/>
            <w:right w:w="108" w:type="dxa"/>
          </w:tblCellMar>
        </w:tblPrEx>
        <w:trPr>
          <w:trHeight w:val="430" w:hRule="atLeast"/>
          <w:jc w:val="center"/>
        </w:trPr>
        <w:tc>
          <w:tcPr>
            <w:tcW w:w="3705" w:type="dxa"/>
            <w:tcBorders>
              <w:top w:val="nil"/>
              <w:left w:val="single" w:color="auto" w:sz="4" w:space="0"/>
              <w:bottom w:val="single" w:color="auto" w:sz="4" w:space="0"/>
              <w:right w:val="single" w:color="auto" w:sz="4" w:space="0"/>
            </w:tcBorders>
            <w:noWrap w:val="0"/>
            <w:vAlign w:val="center"/>
          </w:tcPr>
          <w:p w14:paraId="16A5BFCF">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500</w:t>
            </w:r>
            <w:r>
              <w:rPr>
                <w:rFonts w:hint="default" w:ascii="Times New Roman" w:hAnsi="Times New Roman" w:eastAsia="仿宋_GB2312" w:cs="Times New Roman"/>
                <w:color w:val="auto"/>
                <w:kern w:val="0"/>
                <w:sz w:val="32"/>
                <w:szCs w:val="32"/>
                <w:highlight w:val="none"/>
              </w:rPr>
              <w:t>以内</w:t>
            </w:r>
          </w:p>
        </w:tc>
        <w:tc>
          <w:tcPr>
            <w:tcW w:w="2280" w:type="dxa"/>
            <w:tcBorders>
              <w:top w:val="nil"/>
              <w:left w:val="nil"/>
              <w:bottom w:val="single" w:color="auto" w:sz="4" w:space="0"/>
              <w:right w:val="single" w:color="auto" w:sz="4" w:space="0"/>
            </w:tcBorders>
            <w:noWrap w:val="0"/>
            <w:vAlign w:val="center"/>
          </w:tcPr>
          <w:p w14:paraId="14B14D3E">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5000</w:t>
            </w:r>
          </w:p>
        </w:tc>
        <w:tc>
          <w:tcPr>
            <w:tcW w:w="2340" w:type="dxa"/>
            <w:tcBorders>
              <w:top w:val="nil"/>
              <w:left w:val="nil"/>
              <w:bottom w:val="single" w:color="auto" w:sz="4" w:space="0"/>
              <w:right w:val="single" w:color="auto" w:sz="4" w:space="0"/>
            </w:tcBorders>
            <w:noWrap w:val="0"/>
            <w:vAlign w:val="center"/>
          </w:tcPr>
          <w:p w14:paraId="67506465">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bCs/>
                <w:color w:val="auto"/>
                <w:kern w:val="0"/>
                <w:sz w:val="32"/>
                <w:szCs w:val="32"/>
                <w:highlight w:val="none"/>
                <w:lang w:val="en-US" w:eastAsia="zh-CN"/>
              </w:rPr>
              <w:t>4</w:t>
            </w:r>
            <w:r>
              <w:rPr>
                <w:rFonts w:hint="default" w:ascii="Times New Roman" w:hAnsi="Times New Roman" w:eastAsia="仿宋_GB2312" w:cs="Times New Roman"/>
                <w:b/>
                <w:bCs/>
                <w:color w:val="auto"/>
                <w:kern w:val="0"/>
                <w:sz w:val="32"/>
                <w:szCs w:val="32"/>
                <w:highlight w:val="none"/>
              </w:rPr>
              <w:t>%</w:t>
            </w:r>
          </w:p>
        </w:tc>
      </w:tr>
      <w:tr w14:paraId="1ED48D00">
        <w:tblPrEx>
          <w:tblCellMar>
            <w:top w:w="0" w:type="dxa"/>
            <w:left w:w="108" w:type="dxa"/>
            <w:bottom w:w="0" w:type="dxa"/>
            <w:right w:w="108" w:type="dxa"/>
          </w:tblCellMar>
        </w:tblPrEx>
        <w:trPr>
          <w:trHeight w:val="430" w:hRule="atLeast"/>
          <w:jc w:val="center"/>
        </w:trPr>
        <w:tc>
          <w:tcPr>
            <w:tcW w:w="3705" w:type="dxa"/>
            <w:tcBorders>
              <w:top w:val="nil"/>
              <w:left w:val="single" w:color="auto" w:sz="4" w:space="0"/>
              <w:bottom w:val="single" w:color="auto" w:sz="4" w:space="0"/>
              <w:right w:val="single" w:color="auto" w:sz="4" w:space="0"/>
            </w:tcBorders>
            <w:noWrap w:val="0"/>
            <w:vAlign w:val="center"/>
          </w:tcPr>
          <w:p w14:paraId="7159E1ED">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500</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kern w:val="0"/>
                <w:sz w:val="32"/>
                <w:szCs w:val="32"/>
                <w:highlight w:val="none"/>
                <w:lang w:eastAsia="zh-CN"/>
              </w:rPr>
              <w:t>1000</w:t>
            </w:r>
            <w:r>
              <w:rPr>
                <w:rFonts w:hint="default" w:ascii="Times New Roman" w:hAnsi="Times New Roman" w:eastAsia="仿宋_GB2312" w:cs="Times New Roman"/>
                <w:color w:val="auto"/>
                <w:kern w:val="0"/>
                <w:sz w:val="32"/>
                <w:szCs w:val="32"/>
                <w:highlight w:val="none"/>
              </w:rPr>
              <w:t>以内（含）</w:t>
            </w:r>
          </w:p>
        </w:tc>
        <w:tc>
          <w:tcPr>
            <w:tcW w:w="2280" w:type="dxa"/>
            <w:tcBorders>
              <w:top w:val="nil"/>
              <w:left w:val="nil"/>
              <w:bottom w:val="single" w:color="auto" w:sz="4" w:space="0"/>
              <w:right w:val="single" w:color="auto" w:sz="4" w:space="0"/>
            </w:tcBorders>
            <w:noWrap w:val="0"/>
            <w:vAlign w:val="center"/>
          </w:tcPr>
          <w:p w14:paraId="44367D52">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8000</w:t>
            </w:r>
          </w:p>
        </w:tc>
        <w:tc>
          <w:tcPr>
            <w:tcW w:w="2340" w:type="dxa"/>
            <w:tcBorders>
              <w:top w:val="nil"/>
              <w:left w:val="nil"/>
              <w:bottom w:val="single" w:color="auto" w:sz="4" w:space="0"/>
              <w:right w:val="single" w:color="auto" w:sz="4" w:space="0"/>
            </w:tcBorders>
            <w:noWrap w:val="0"/>
            <w:vAlign w:val="center"/>
          </w:tcPr>
          <w:p w14:paraId="24D3FE81">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bCs/>
                <w:color w:val="auto"/>
                <w:kern w:val="0"/>
                <w:sz w:val="32"/>
                <w:szCs w:val="32"/>
                <w:highlight w:val="none"/>
                <w:lang w:val="en-US" w:eastAsia="zh-CN"/>
              </w:rPr>
              <w:t>4</w:t>
            </w:r>
            <w:r>
              <w:rPr>
                <w:rFonts w:hint="default" w:ascii="Times New Roman" w:hAnsi="Times New Roman" w:eastAsia="仿宋_GB2312" w:cs="Times New Roman"/>
                <w:b/>
                <w:bCs/>
                <w:color w:val="auto"/>
                <w:kern w:val="0"/>
                <w:sz w:val="32"/>
                <w:szCs w:val="32"/>
                <w:highlight w:val="none"/>
              </w:rPr>
              <w:t>%</w:t>
            </w:r>
          </w:p>
        </w:tc>
      </w:tr>
      <w:tr w14:paraId="5B78C135">
        <w:tblPrEx>
          <w:tblCellMar>
            <w:top w:w="0" w:type="dxa"/>
            <w:left w:w="108" w:type="dxa"/>
            <w:bottom w:w="0" w:type="dxa"/>
            <w:right w:w="108" w:type="dxa"/>
          </w:tblCellMar>
        </w:tblPrEx>
        <w:trPr>
          <w:trHeight w:val="176" w:hRule="atLeast"/>
          <w:jc w:val="center"/>
        </w:trPr>
        <w:tc>
          <w:tcPr>
            <w:tcW w:w="3705" w:type="dxa"/>
            <w:tcBorders>
              <w:top w:val="single" w:color="auto" w:sz="4" w:space="0"/>
              <w:left w:val="single" w:color="auto" w:sz="4" w:space="0"/>
              <w:bottom w:val="single" w:color="auto" w:sz="4" w:space="0"/>
              <w:right w:val="single" w:color="auto" w:sz="4" w:space="0"/>
            </w:tcBorders>
            <w:noWrap w:val="0"/>
            <w:vAlign w:val="center"/>
          </w:tcPr>
          <w:p w14:paraId="526861D0">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1000</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kern w:val="0"/>
                <w:sz w:val="32"/>
                <w:szCs w:val="32"/>
                <w:highlight w:val="none"/>
                <w:lang w:eastAsia="zh-CN"/>
              </w:rPr>
              <w:t>10000</w:t>
            </w:r>
            <w:r>
              <w:rPr>
                <w:rFonts w:hint="default" w:ascii="Times New Roman" w:hAnsi="Times New Roman" w:eastAsia="仿宋_GB2312" w:cs="Times New Roman"/>
                <w:color w:val="auto"/>
                <w:kern w:val="0"/>
                <w:sz w:val="32"/>
                <w:szCs w:val="32"/>
                <w:highlight w:val="none"/>
              </w:rPr>
              <w:t>以内（含）</w:t>
            </w:r>
          </w:p>
        </w:tc>
        <w:tc>
          <w:tcPr>
            <w:tcW w:w="2280" w:type="dxa"/>
            <w:tcBorders>
              <w:top w:val="single" w:color="auto" w:sz="4" w:space="0"/>
              <w:left w:val="single" w:color="auto" w:sz="4" w:space="0"/>
              <w:bottom w:val="single" w:color="auto" w:sz="4" w:space="0"/>
              <w:right w:val="single" w:color="auto" w:sz="4" w:space="0"/>
            </w:tcBorders>
            <w:noWrap w:val="0"/>
            <w:vAlign w:val="center"/>
          </w:tcPr>
          <w:p w14:paraId="52601EAE">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10000</w:t>
            </w:r>
          </w:p>
        </w:tc>
        <w:tc>
          <w:tcPr>
            <w:tcW w:w="2340" w:type="dxa"/>
            <w:tcBorders>
              <w:top w:val="single" w:color="auto" w:sz="4" w:space="0"/>
              <w:left w:val="single" w:color="auto" w:sz="4" w:space="0"/>
              <w:bottom w:val="single" w:color="auto" w:sz="4" w:space="0"/>
              <w:right w:val="single" w:color="auto" w:sz="4" w:space="0"/>
            </w:tcBorders>
            <w:noWrap w:val="0"/>
            <w:vAlign w:val="center"/>
          </w:tcPr>
          <w:p w14:paraId="0C37C61D">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bCs/>
                <w:color w:val="auto"/>
                <w:kern w:val="0"/>
                <w:sz w:val="32"/>
                <w:szCs w:val="32"/>
                <w:highlight w:val="none"/>
                <w:lang w:val="en-US" w:eastAsia="zh-CN"/>
              </w:rPr>
              <w:t>4</w:t>
            </w:r>
            <w:r>
              <w:rPr>
                <w:rFonts w:hint="default" w:ascii="Times New Roman" w:hAnsi="Times New Roman" w:eastAsia="仿宋_GB2312" w:cs="Times New Roman"/>
                <w:b/>
                <w:bCs/>
                <w:color w:val="auto"/>
                <w:kern w:val="0"/>
                <w:sz w:val="32"/>
                <w:szCs w:val="32"/>
                <w:highlight w:val="none"/>
              </w:rPr>
              <w:t>%</w:t>
            </w:r>
          </w:p>
        </w:tc>
      </w:tr>
      <w:tr w14:paraId="58E8D1DC">
        <w:tblPrEx>
          <w:tblCellMar>
            <w:top w:w="0" w:type="dxa"/>
            <w:left w:w="108" w:type="dxa"/>
            <w:bottom w:w="0" w:type="dxa"/>
            <w:right w:w="108" w:type="dxa"/>
          </w:tblCellMar>
        </w:tblPrEx>
        <w:trPr>
          <w:trHeight w:val="430" w:hRule="atLeast"/>
          <w:jc w:val="center"/>
        </w:trPr>
        <w:tc>
          <w:tcPr>
            <w:tcW w:w="3705" w:type="dxa"/>
            <w:tcBorders>
              <w:top w:val="single" w:color="auto" w:sz="4" w:space="0"/>
              <w:left w:val="single" w:color="auto" w:sz="4" w:space="0"/>
              <w:bottom w:val="single" w:color="auto" w:sz="4" w:space="0"/>
              <w:right w:val="single" w:color="auto" w:sz="4" w:space="0"/>
            </w:tcBorders>
            <w:noWrap w:val="0"/>
            <w:vAlign w:val="center"/>
          </w:tcPr>
          <w:p w14:paraId="49F0F3D8">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10000</w:t>
            </w:r>
            <w:r>
              <w:rPr>
                <w:rFonts w:hint="default" w:ascii="Times New Roman" w:hAnsi="Times New Roman" w:eastAsia="仿宋_GB2312" w:cs="Times New Roman"/>
                <w:color w:val="auto"/>
                <w:kern w:val="0"/>
                <w:sz w:val="32"/>
                <w:szCs w:val="32"/>
                <w:highlight w:val="none"/>
              </w:rPr>
              <w:t>以上</w:t>
            </w:r>
          </w:p>
        </w:tc>
        <w:tc>
          <w:tcPr>
            <w:tcW w:w="2280" w:type="dxa"/>
            <w:tcBorders>
              <w:top w:val="single" w:color="auto" w:sz="4" w:space="0"/>
              <w:left w:val="single" w:color="auto" w:sz="4" w:space="0"/>
              <w:bottom w:val="single" w:color="auto" w:sz="4" w:space="0"/>
              <w:right w:val="single" w:color="auto" w:sz="4" w:space="0"/>
            </w:tcBorders>
            <w:noWrap w:val="0"/>
            <w:vAlign w:val="center"/>
          </w:tcPr>
          <w:p w14:paraId="7F5E9DB1">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20000</w:t>
            </w:r>
          </w:p>
        </w:tc>
        <w:tc>
          <w:tcPr>
            <w:tcW w:w="2340" w:type="dxa"/>
            <w:tcBorders>
              <w:top w:val="single" w:color="auto" w:sz="4" w:space="0"/>
              <w:left w:val="single" w:color="auto" w:sz="4" w:space="0"/>
              <w:bottom w:val="single" w:color="auto" w:sz="4" w:space="0"/>
              <w:right w:val="single" w:color="auto" w:sz="4" w:space="0"/>
            </w:tcBorders>
            <w:noWrap w:val="0"/>
            <w:vAlign w:val="center"/>
          </w:tcPr>
          <w:p w14:paraId="6C9BB8BD">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bCs/>
                <w:color w:val="auto"/>
                <w:kern w:val="0"/>
                <w:sz w:val="32"/>
                <w:szCs w:val="32"/>
                <w:highlight w:val="none"/>
                <w:lang w:val="en-US" w:eastAsia="zh-CN"/>
              </w:rPr>
              <w:t>4</w:t>
            </w:r>
            <w:r>
              <w:rPr>
                <w:rFonts w:hint="default" w:ascii="Times New Roman" w:hAnsi="Times New Roman" w:eastAsia="仿宋_GB2312" w:cs="Times New Roman"/>
                <w:b/>
                <w:bCs/>
                <w:color w:val="auto"/>
                <w:kern w:val="0"/>
                <w:sz w:val="32"/>
                <w:szCs w:val="32"/>
                <w:highlight w:val="none"/>
              </w:rPr>
              <w:t>%</w:t>
            </w:r>
          </w:p>
        </w:tc>
      </w:tr>
    </w:tbl>
    <w:p w14:paraId="2E816A04">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注：</w:t>
      </w:r>
      <w:r>
        <w:rPr>
          <w:rFonts w:hint="default" w:ascii="Times New Roman" w:hAnsi="Times New Roman" w:eastAsia="仿宋_GB2312" w:cs="Times New Roman"/>
          <w:color w:val="auto"/>
          <w:sz w:val="32"/>
          <w:szCs w:val="32"/>
          <w:highlight w:val="none"/>
          <w:lang w:val="en-US" w:eastAsia="zh-CN"/>
        </w:rPr>
        <w:t xml:space="preserve">1. </w:t>
      </w:r>
      <w:r>
        <w:rPr>
          <w:rFonts w:hint="default" w:ascii="Times New Roman" w:hAnsi="Times New Roman" w:eastAsia="仿宋_GB2312" w:cs="Times New Roman"/>
          <w:color w:val="auto"/>
          <w:sz w:val="32"/>
          <w:szCs w:val="32"/>
          <w:highlight w:val="none"/>
          <w:lang w:eastAsia="zh-CN"/>
        </w:rPr>
        <w:t>服务</w:t>
      </w:r>
      <w:r>
        <w:rPr>
          <w:rFonts w:hint="default" w:ascii="Times New Roman" w:hAnsi="Times New Roman" w:eastAsia="仿宋_GB2312" w:cs="Times New Roman"/>
          <w:color w:val="auto"/>
          <w:sz w:val="32"/>
          <w:szCs w:val="32"/>
          <w:highlight w:val="none"/>
        </w:rPr>
        <w:t>费计算方式为：基本费+审核成果费。其中，跟踪审计服务基本费计算基数为审定金额；审核成果费计算基数为</w:t>
      </w:r>
      <w:r>
        <w:rPr>
          <w:rFonts w:hint="default" w:ascii="Times New Roman" w:hAnsi="Times New Roman" w:eastAsia="仿宋_GB2312" w:cs="Times New Roman"/>
          <w:color w:val="auto"/>
          <w:sz w:val="32"/>
          <w:szCs w:val="32"/>
          <w:highlight w:val="none"/>
          <w:lang w:eastAsia="zh-CN"/>
        </w:rPr>
        <w:t>独立</w:t>
      </w:r>
      <w:r>
        <w:rPr>
          <w:rFonts w:hint="default" w:ascii="Times New Roman" w:hAnsi="Times New Roman" w:eastAsia="仿宋_GB2312" w:cs="Times New Roman"/>
          <w:color w:val="auto"/>
          <w:sz w:val="32"/>
          <w:szCs w:val="32"/>
          <w:highlight w:val="none"/>
        </w:rPr>
        <w:t>核减金额。</w:t>
      </w:r>
    </w:p>
    <w:p w14:paraId="26A80FCA">
      <w:pPr>
        <w:keepNext w:val="0"/>
        <w:keepLines w:val="0"/>
        <w:pageBreakBefore w:val="0"/>
        <w:numPr>
          <w:ilvl w:val="0"/>
          <w:numId w:val="4"/>
        </w:numPr>
        <w:kinsoku/>
        <w:wordWrap/>
        <w:overflowPunct/>
        <w:topLinePunct w:val="0"/>
        <w:autoSpaceDE/>
        <w:autoSpaceDN/>
        <w:bidi w:val="0"/>
        <w:adjustRightInd/>
        <w:spacing w:line="400" w:lineRule="exact"/>
        <w:ind w:left="0" w:leftChars="0" w:firstLine="1280" w:firstLineChars="4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工程造价审减率超过</w:t>
      </w:r>
      <w:r>
        <w:rPr>
          <w:rFonts w:hint="default" w:ascii="Times New Roman" w:hAnsi="Times New Roman" w:eastAsia="仿宋_GB2312" w:cs="Times New Roman"/>
          <w:b/>
          <w:bCs/>
          <w:color w:val="auto"/>
          <w:sz w:val="32"/>
          <w:szCs w:val="32"/>
          <w:highlight w:val="none"/>
          <w:lang w:val="en-US" w:eastAsia="zh-CN"/>
        </w:rPr>
        <w:t>3</w:t>
      </w:r>
      <w:r>
        <w:rPr>
          <w:rFonts w:hint="default" w:ascii="Times New Roman" w:hAnsi="Times New Roman" w:eastAsia="仿宋_GB2312" w:cs="Times New Roman"/>
          <w:b/>
          <w:bCs/>
          <w:color w:val="auto"/>
          <w:sz w:val="32"/>
          <w:szCs w:val="32"/>
          <w:highlight w:val="none"/>
        </w:rPr>
        <w:t>%</w:t>
      </w:r>
      <w:r>
        <w:rPr>
          <w:rFonts w:hint="default" w:ascii="Times New Roman" w:hAnsi="Times New Roman" w:eastAsia="仿宋_GB2312" w:cs="Times New Roman"/>
          <w:color w:val="auto"/>
          <w:sz w:val="32"/>
          <w:szCs w:val="32"/>
          <w:highlight w:val="none"/>
          <w:lang w:eastAsia="zh-CN"/>
        </w:rPr>
        <w:t>时</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将对施工单位进行处罚，处罚金额为</w:t>
      </w:r>
      <w:r>
        <w:rPr>
          <w:rFonts w:hint="default" w:ascii="Times New Roman" w:hAnsi="Times New Roman" w:eastAsia="仿宋_GB2312" w:cs="Times New Roman"/>
          <w:color w:val="auto"/>
          <w:sz w:val="32"/>
          <w:szCs w:val="32"/>
          <w:highlight w:val="none"/>
        </w:rPr>
        <w:t>审减率</w:t>
      </w:r>
      <w:r>
        <w:rPr>
          <w:rFonts w:hint="default" w:ascii="Times New Roman" w:hAnsi="Times New Roman" w:eastAsia="仿宋_GB2312" w:cs="Times New Roman"/>
          <w:color w:val="auto"/>
          <w:sz w:val="32"/>
          <w:szCs w:val="32"/>
          <w:highlight w:val="none"/>
          <w:lang w:eastAsia="zh-CN"/>
        </w:rPr>
        <w:t>超出</w:t>
      </w:r>
      <w:r>
        <w:rPr>
          <w:rFonts w:hint="default" w:ascii="Times New Roman" w:hAnsi="Times New Roman" w:eastAsia="仿宋_GB2312" w:cs="Times New Roman"/>
          <w:b/>
          <w:bCs/>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val="en-US" w:eastAsia="zh-CN"/>
        </w:rPr>
        <w:t>以上的报送金额的</w:t>
      </w:r>
      <w:r>
        <w:rPr>
          <w:rFonts w:hint="default" w:ascii="Times New Roman" w:hAnsi="Times New Roman" w:eastAsia="仿宋_GB2312" w:cs="Times New Roman"/>
          <w:b/>
          <w:bCs/>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由综合计划科在定案时明确处罚金额报工程监管科落实处罚</w:t>
      </w:r>
      <w:r>
        <w:rPr>
          <w:rFonts w:hint="default" w:ascii="Times New Roman" w:hAnsi="Times New Roman" w:eastAsia="仿宋_GB2312" w:cs="Times New Roman"/>
          <w:b w:val="0"/>
          <w:bCs w:val="0"/>
          <w:color w:val="auto"/>
          <w:sz w:val="32"/>
          <w:szCs w:val="32"/>
          <w:highlight w:val="none"/>
        </w:rPr>
        <w:t>。</w:t>
      </w:r>
    </w:p>
    <w:p w14:paraId="469F8031">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rPr>
        <w:t>第十</w:t>
      </w:r>
      <w:r>
        <w:rPr>
          <w:rFonts w:hint="default" w:ascii="Times New Roman" w:hAnsi="Times New Roman" w:eastAsia="仿宋_GB2312" w:cs="Times New Roman"/>
          <w:b/>
          <w:bCs/>
          <w:color w:val="auto"/>
          <w:sz w:val="32"/>
          <w:szCs w:val="32"/>
          <w:highlight w:val="none"/>
          <w:lang w:eastAsia="zh-CN"/>
        </w:rPr>
        <w:t>三</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对复杂项目</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造价成果有争议或存疑项目可委托第三方复审</w:t>
      </w:r>
      <w:r>
        <w:rPr>
          <w:rFonts w:hint="default" w:ascii="Times New Roman" w:hAnsi="Times New Roman" w:eastAsia="仿宋_GB2312" w:cs="Times New Roman"/>
          <w:color w:val="auto"/>
          <w:sz w:val="32"/>
          <w:szCs w:val="32"/>
          <w:highlight w:val="none"/>
          <w:lang w:eastAsia="zh-CN"/>
        </w:rPr>
        <w:t>（清单编制复审、结算复审），服务</w:t>
      </w:r>
      <w:r>
        <w:rPr>
          <w:rFonts w:hint="default" w:ascii="Times New Roman" w:hAnsi="Times New Roman" w:eastAsia="仿宋_GB2312" w:cs="Times New Roman"/>
          <w:color w:val="auto"/>
          <w:sz w:val="32"/>
          <w:szCs w:val="32"/>
          <w:highlight w:val="none"/>
        </w:rPr>
        <w:t>费用</w:t>
      </w:r>
      <w:r>
        <w:rPr>
          <w:rFonts w:hint="default" w:ascii="Times New Roman" w:hAnsi="Times New Roman" w:eastAsia="仿宋_GB2312" w:cs="Times New Roman"/>
          <w:color w:val="auto"/>
          <w:sz w:val="32"/>
          <w:szCs w:val="32"/>
          <w:highlight w:val="none"/>
          <w:lang w:eastAsia="zh-CN"/>
        </w:rPr>
        <w:t>同</w:t>
      </w:r>
      <w:r>
        <w:rPr>
          <w:rFonts w:hint="default" w:ascii="Times New Roman" w:hAnsi="Times New Roman" w:eastAsia="仿宋_GB2312" w:cs="Times New Roman"/>
          <w:color w:val="auto"/>
          <w:sz w:val="32"/>
          <w:szCs w:val="32"/>
          <w:highlight w:val="none"/>
        </w:rPr>
        <w:t>结算审</w:t>
      </w:r>
      <w:r>
        <w:rPr>
          <w:rFonts w:hint="default" w:ascii="Times New Roman" w:hAnsi="Times New Roman" w:eastAsia="仿宋_GB2312" w:cs="Times New Roman"/>
          <w:color w:val="auto"/>
          <w:sz w:val="32"/>
          <w:szCs w:val="32"/>
          <w:highlight w:val="none"/>
          <w:lang w:eastAsia="zh-CN"/>
        </w:rPr>
        <w:t>核</w:t>
      </w:r>
      <w:r>
        <w:rPr>
          <w:rFonts w:hint="default" w:ascii="Times New Roman" w:hAnsi="Times New Roman" w:eastAsia="仿宋_GB2312" w:cs="Times New Roman"/>
          <w:color w:val="auto"/>
          <w:sz w:val="32"/>
          <w:szCs w:val="32"/>
          <w:highlight w:val="none"/>
        </w:rPr>
        <w:t>服务费。</w:t>
      </w:r>
      <w:r>
        <w:rPr>
          <w:rFonts w:hint="default" w:ascii="Times New Roman" w:hAnsi="Times New Roman" w:eastAsia="黑体" w:cs="Times New Roman"/>
          <w:color w:val="auto"/>
          <w:sz w:val="32"/>
          <w:szCs w:val="32"/>
          <w:highlight w:val="none"/>
          <w:lang w:val="en-US" w:eastAsia="zh-CN"/>
        </w:rPr>
        <w:t xml:space="preserve">  </w:t>
      </w:r>
    </w:p>
    <w:p w14:paraId="586553DC">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第五章 服务要求</w:t>
      </w:r>
    </w:p>
    <w:p w14:paraId="1022A47C">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rPr>
        <w:t>第十</w:t>
      </w:r>
      <w:r>
        <w:rPr>
          <w:rFonts w:hint="default" w:ascii="Times New Roman" w:hAnsi="Times New Roman" w:eastAsia="仿宋_GB2312" w:cs="Times New Roman"/>
          <w:b/>
          <w:bCs/>
          <w:color w:val="auto"/>
          <w:sz w:val="32"/>
          <w:szCs w:val="32"/>
          <w:highlight w:val="none"/>
          <w:lang w:eastAsia="zh-CN"/>
        </w:rPr>
        <w:t>四</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造价企业需安排具备相应资格条件和类似业绩且经验丰富的造价人员编制清单及最高投标限价，严格执行三级复核制度，对工程造价咨询成果负经济、法律责任，编制人员必须进行现场踏勘，发现与设计不符的需经设计部门核实确认，变化较大的需重新设计。</w:t>
      </w:r>
    </w:p>
    <w:p w14:paraId="0A994736">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lang w:val="en-US" w:eastAsia="zh-CN"/>
        </w:rPr>
        <w:t>第十五条</w:t>
      </w:r>
      <w:r>
        <w:rPr>
          <w:rFonts w:hint="default" w:ascii="Times New Roman" w:hAnsi="Times New Roman" w:eastAsia="仿宋_GB2312" w:cs="Times New Roman"/>
          <w:color w:val="auto"/>
          <w:sz w:val="32"/>
          <w:szCs w:val="32"/>
          <w:highlight w:val="none"/>
          <w:lang w:val="en-US" w:eastAsia="zh-CN"/>
        </w:rPr>
        <w:t xml:space="preserve">  跟踪审计</w:t>
      </w:r>
      <w:r>
        <w:rPr>
          <w:rFonts w:hint="default" w:ascii="Times New Roman" w:hAnsi="Times New Roman" w:eastAsia="仿宋_GB2312" w:cs="Times New Roman"/>
          <w:color w:val="auto"/>
          <w:sz w:val="32"/>
          <w:szCs w:val="32"/>
          <w:highlight w:val="none"/>
        </w:rPr>
        <w:t>项目开工前，造价企业需将项目任命文报综合计划科</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综合计划科</w:t>
      </w:r>
      <w:r>
        <w:rPr>
          <w:rFonts w:hint="default" w:ascii="Times New Roman" w:hAnsi="Times New Roman" w:eastAsia="仿宋_GB2312" w:cs="Times New Roman"/>
          <w:color w:val="auto"/>
          <w:sz w:val="32"/>
          <w:szCs w:val="32"/>
          <w:highlight w:val="none"/>
          <w:lang w:eastAsia="zh-CN"/>
        </w:rPr>
        <w:t>抄送</w:t>
      </w:r>
      <w:r>
        <w:rPr>
          <w:rFonts w:hint="default" w:ascii="Times New Roman" w:hAnsi="Times New Roman" w:eastAsia="仿宋_GB2312" w:cs="Times New Roman"/>
          <w:color w:val="auto"/>
          <w:sz w:val="32"/>
          <w:szCs w:val="32"/>
          <w:highlight w:val="none"/>
        </w:rPr>
        <w:t>工程建设科，同一个造价人员在我处同时承揽</w:t>
      </w:r>
      <w:r>
        <w:rPr>
          <w:rFonts w:hint="default" w:ascii="Times New Roman" w:hAnsi="Times New Roman" w:eastAsia="仿宋_GB2312" w:cs="Times New Roman"/>
          <w:color w:val="auto"/>
          <w:sz w:val="32"/>
          <w:szCs w:val="32"/>
          <w:highlight w:val="none"/>
          <w:lang w:eastAsia="zh-CN"/>
        </w:rPr>
        <w:t>跟踪审计业</w:t>
      </w:r>
      <w:r>
        <w:rPr>
          <w:rFonts w:hint="default" w:ascii="Times New Roman" w:hAnsi="Times New Roman" w:eastAsia="仿宋_GB2312" w:cs="Times New Roman"/>
          <w:color w:val="auto"/>
          <w:sz w:val="32"/>
          <w:szCs w:val="32"/>
          <w:highlight w:val="none"/>
        </w:rPr>
        <w:t>务不得超过</w:t>
      </w:r>
      <w:r>
        <w:rPr>
          <w:rFonts w:hint="default" w:ascii="Times New Roman" w:hAnsi="Times New Roman" w:eastAsia="仿宋_GB2312" w:cs="Times New Roman"/>
          <w:color w:val="auto"/>
          <w:sz w:val="32"/>
          <w:szCs w:val="32"/>
          <w:highlight w:val="none"/>
          <w:lang w:eastAsia="zh-CN"/>
        </w:rPr>
        <w:t>三</w:t>
      </w:r>
      <w:r>
        <w:rPr>
          <w:rFonts w:hint="default" w:ascii="Times New Roman" w:hAnsi="Times New Roman" w:eastAsia="仿宋_GB2312" w:cs="Times New Roman"/>
          <w:color w:val="auto"/>
          <w:sz w:val="32"/>
          <w:szCs w:val="32"/>
          <w:highlight w:val="none"/>
        </w:rPr>
        <w:t>个项目</w:t>
      </w:r>
      <w:r>
        <w:rPr>
          <w:rFonts w:hint="default" w:ascii="Times New Roman" w:hAnsi="Times New Roman" w:eastAsia="仿宋_GB2312" w:cs="Times New Roman"/>
          <w:color w:val="auto"/>
          <w:sz w:val="32"/>
          <w:szCs w:val="32"/>
          <w:highlight w:val="none"/>
          <w:lang w:eastAsia="zh-CN"/>
        </w:rPr>
        <w:t>，且不得在两个以上市本级以外的地区同时承揽业务</w:t>
      </w:r>
      <w:r>
        <w:rPr>
          <w:rFonts w:hint="default" w:ascii="Times New Roman" w:hAnsi="Times New Roman" w:eastAsia="仿宋_GB2312" w:cs="Times New Roman"/>
          <w:color w:val="auto"/>
          <w:sz w:val="32"/>
          <w:szCs w:val="32"/>
          <w:highlight w:val="none"/>
        </w:rPr>
        <w:t>。</w:t>
      </w:r>
    </w:p>
    <w:p w14:paraId="67C0A50F">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b/>
          <w:bCs/>
          <w:color w:val="auto"/>
          <w:sz w:val="32"/>
          <w:szCs w:val="32"/>
          <w:highlight w:val="none"/>
        </w:rPr>
        <w:t>第十</w:t>
      </w:r>
      <w:r>
        <w:rPr>
          <w:rFonts w:hint="default" w:ascii="Times New Roman" w:hAnsi="Times New Roman" w:eastAsia="仿宋_GB2312" w:cs="Times New Roman"/>
          <w:b/>
          <w:bCs/>
          <w:color w:val="auto"/>
          <w:sz w:val="32"/>
          <w:szCs w:val="32"/>
          <w:highlight w:val="none"/>
          <w:lang w:eastAsia="zh-CN"/>
        </w:rPr>
        <w:t>六</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eastAsia="zh-CN"/>
        </w:rPr>
        <w:t>造价企业</w:t>
      </w:r>
      <w:r>
        <w:rPr>
          <w:rFonts w:hint="default" w:ascii="Times New Roman" w:hAnsi="Times New Roman" w:eastAsia="仿宋_GB2312" w:cs="Times New Roman"/>
          <w:color w:val="auto"/>
          <w:sz w:val="32"/>
          <w:szCs w:val="32"/>
          <w:highlight w:val="none"/>
        </w:rPr>
        <w:t>项目组</w:t>
      </w:r>
      <w:r>
        <w:rPr>
          <w:rFonts w:hint="default" w:ascii="Times New Roman" w:hAnsi="Times New Roman" w:eastAsia="仿宋_GB2312" w:cs="Times New Roman"/>
          <w:color w:val="auto"/>
          <w:sz w:val="32"/>
          <w:szCs w:val="32"/>
          <w:highlight w:val="none"/>
          <w:lang w:eastAsia="zh-CN"/>
        </w:rPr>
        <w:t>人员变更，</w:t>
      </w:r>
      <w:r>
        <w:rPr>
          <w:rFonts w:hint="default" w:ascii="Times New Roman" w:hAnsi="Times New Roman" w:eastAsia="仿宋_GB2312" w:cs="Times New Roman"/>
          <w:color w:val="auto"/>
          <w:sz w:val="32"/>
          <w:szCs w:val="32"/>
          <w:highlight w:val="none"/>
        </w:rPr>
        <w:t>变更后人员</w:t>
      </w:r>
      <w:r>
        <w:rPr>
          <w:rFonts w:hint="default" w:ascii="Times New Roman" w:hAnsi="Times New Roman" w:eastAsia="仿宋_GB2312" w:cs="Times New Roman"/>
          <w:color w:val="auto"/>
          <w:sz w:val="32"/>
          <w:szCs w:val="32"/>
          <w:highlight w:val="none"/>
          <w:lang w:eastAsia="zh-CN"/>
        </w:rPr>
        <w:t>必</w:t>
      </w:r>
      <w:r>
        <w:rPr>
          <w:rFonts w:hint="default" w:ascii="Times New Roman" w:hAnsi="Times New Roman" w:eastAsia="仿宋_GB2312" w:cs="Times New Roman"/>
          <w:color w:val="auto"/>
          <w:sz w:val="32"/>
          <w:szCs w:val="32"/>
          <w:highlight w:val="none"/>
        </w:rPr>
        <w:t>须</w:t>
      </w:r>
      <w:r>
        <w:rPr>
          <w:rFonts w:hint="default" w:ascii="Times New Roman" w:hAnsi="Times New Roman" w:eastAsia="仿宋_GB2312" w:cs="Times New Roman"/>
          <w:color w:val="auto"/>
          <w:sz w:val="32"/>
          <w:szCs w:val="32"/>
          <w:highlight w:val="none"/>
          <w:lang w:eastAsia="zh-CN"/>
        </w:rPr>
        <w:t>满足</w:t>
      </w:r>
      <w:r>
        <w:rPr>
          <w:rFonts w:hint="default" w:ascii="Times New Roman" w:hAnsi="Times New Roman" w:eastAsia="仿宋_GB2312" w:cs="Times New Roman"/>
          <w:color w:val="auto"/>
          <w:sz w:val="32"/>
          <w:szCs w:val="32"/>
          <w:highlight w:val="none"/>
        </w:rPr>
        <w:t>本项目</w:t>
      </w:r>
      <w:r>
        <w:rPr>
          <w:rFonts w:hint="default" w:ascii="Times New Roman" w:hAnsi="Times New Roman" w:eastAsia="仿宋_GB2312" w:cs="Times New Roman"/>
          <w:color w:val="auto"/>
          <w:sz w:val="32"/>
          <w:szCs w:val="32"/>
          <w:highlight w:val="none"/>
          <w:lang w:eastAsia="zh-CN"/>
        </w:rPr>
        <w:t>招标</w:t>
      </w:r>
      <w:r>
        <w:rPr>
          <w:rFonts w:hint="default" w:ascii="Times New Roman" w:hAnsi="Times New Roman" w:eastAsia="仿宋_GB2312" w:cs="Times New Roman"/>
          <w:color w:val="auto"/>
          <w:sz w:val="32"/>
          <w:szCs w:val="32"/>
          <w:highlight w:val="none"/>
        </w:rPr>
        <w:t>要求</w:t>
      </w:r>
      <w:r>
        <w:rPr>
          <w:rFonts w:hint="default" w:ascii="Times New Roman" w:hAnsi="Times New Roman" w:eastAsia="仿宋_GB2312" w:cs="Times New Roman"/>
          <w:color w:val="auto"/>
          <w:sz w:val="32"/>
          <w:szCs w:val="32"/>
          <w:highlight w:val="none"/>
          <w:lang w:eastAsia="zh-CN"/>
        </w:rPr>
        <w:t>。由造价企业向综合计划科提出申请并提供相应证明，工程建设</w:t>
      </w:r>
      <w:r>
        <w:rPr>
          <w:rFonts w:hint="default" w:ascii="Times New Roman" w:hAnsi="Times New Roman" w:eastAsia="仿宋_GB2312" w:cs="Times New Roman"/>
          <w:color w:val="auto"/>
          <w:sz w:val="32"/>
          <w:szCs w:val="32"/>
          <w:highlight w:val="none"/>
        </w:rPr>
        <w:t>科</w:t>
      </w:r>
      <w:r>
        <w:rPr>
          <w:rFonts w:hint="default" w:ascii="Times New Roman" w:hAnsi="Times New Roman" w:eastAsia="仿宋_GB2312" w:cs="Times New Roman"/>
          <w:color w:val="auto"/>
          <w:sz w:val="32"/>
          <w:szCs w:val="32"/>
          <w:highlight w:val="none"/>
          <w:lang w:eastAsia="zh-CN"/>
        </w:rPr>
        <w:t>和综合计划科会商提出意见，报综合计划科分管领导批准</w:t>
      </w:r>
      <w:r>
        <w:rPr>
          <w:rFonts w:hint="default" w:ascii="Times New Roman" w:hAnsi="Times New Roman" w:eastAsia="仿宋_GB2312" w:cs="Times New Roman"/>
          <w:color w:val="auto"/>
          <w:sz w:val="32"/>
          <w:szCs w:val="32"/>
          <w:highlight w:val="none"/>
        </w:rPr>
        <w:t>后予以备案</w:t>
      </w:r>
      <w:r>
        <w:rPr>
          <w:rFonts w:hint="default" w:ascii="Times New Roman" w:hAnsi="Times New Roman" w:eastAsia="仿宋_GB2312" w:cs="Times New Roman"/>
          <w:color w:val="auto"/>
          <w:sz w:val="32"/>
          <w:szCs w:val="32"/>
          <w:highlight w:val="none"/>
          <w:lang w:eastAsia="zh-CN"/>
        </w:rPr>
        <w:t>。</w:t>
      </w:r>
    </w:p>
    <w:p w14:paraId="5AB6E5B3">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项目组负责人因以下原因变更不予处罚：①</w:t>
      </w:r>
      <w:r>
        <w:rPr>
          <w:rFonts w:hint="default" w:ascii="Times New Roman" w:hAnsi="Times New Roman" w:eastAsia="仿宋_GB2312" w:cs="Times New Roman"/>
          <w:color w:val="auto"/>
          <w:sz w:val="32"/>
          <w:szCs w:val="32"/>
          <w:highlight w:val="none"/>
        </w:rPr>
        <w:t>亡故</w:t>
      </w:r>
      <w:r>
        <w:rPr>
          <w:rFonts w:hint="default" w:ascii="Times New Roman" w:hAnsi="Times New Roman" w:eastAsia="仿宋_GB2312" w:cs="Times New Roman"/>
          <w:color w:val="auto"/>
          <w:sz w:val="32"/>
          <w:szCs w:val="32"/>
          <w:highlight w:val="none"/>
          <w:lang w:eastAsia="zh-CN"/>
        </w:rPr>
        <w:t>；②</w:t>
      </w:r>
      <w:r>
        <w:rPr>
          <w:rFonts w:hint="default" w:ascii="Times New Roman" w:hAnsi="Times New Roman" w:eastAsia="仿宋_GB2312" w:cs="Times New Roman"/>
          <w:color w:val="auto"/>
          <w:sz w:val="32"/>
          <w:szCs w:val="32"/>
          <w:highlight w:val="none"/>
        </w:rPr>
        <w:t>重病</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或重伤</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三个月以上，不能履行职责</w:t>
      </w:r>
      <w:r>
        <w:rPr>
          <w:rFonts w:hint="default" w:ascii="Times New Roman" w:hAnsi="Times New Roman" w:eastAsia="仿宋_GB2312" w:cs="Times New Roman"/>
          <w:color w:val="auto"/>
          <w:sz w:val="32"/>
          <w:szCs w:val="32"/>
          <w:highlight w:val="none"/>
          <w:lang w:eastAsia="zh-CN"/>
        </w:rPr>
        <w:t>；③</w:t>
      </w:r>
      <w:r>
        <w:rPr>
          <w:rFonts w:hint="default" w:ascii="Times New Roman" w:hAnsi="Times New Roman" w:eastAsia="仿宋_GB2312" w:cs="Times New Roman"/>
          <w:color w:val="auto"/>
          <w:sz w:val="32"/>
          <w:szCs w:val="32"/>
          <w:highlight w:val="none"/>
        </w:rPr>
        <w:t>受到刑事或行政处罚，不能胜任；</w:t>
      </w:r>
      <w:r>
        <w:rPr>
          <w:rFonts w:hint="default" w:ascii="Times New Roman" w:hAnsi="Times New Roman" w:eastAsia="仿宋_GB2312" w:cs="Times New Roman"/>
          <w:color w:val="auto"/>
          <w:sz w:val="32"/>
          <w:szCs w:val="32"/>
          <w:highlight w:val="none"/>
          <w:lang w:eastAsia="zh-CN"/>
        </w:rPr>
        <w:t>④</w:t>
      </w:r>
      <w:r>
        <w:rPr>
          <w:rFonts w:hint="default" w:ascii="Times New Roman" w:hAnsi="Times New Roman" w:eastAsia="仿宋_GB2312" w:cs="Times New Roman"/>
          <w:color w:val="auto"/>
          <w:sz w:val="32"/>
          <w:szCs w:val="32"/>
          <w:highlight w:val="none"/>
        </w:rPr>
        <w:t>犯罪被羁押或判刑；</w:t>
      </w:r>
      <w:r>
        <w:rPr>
          <w:rFonts w:hint="default" w:ascii="Times New Roman" w:hAnsi="Times New Roman" w:eastAsia="仿宋_GB2312" w:cs="Times New Roman"/>
          <w:color w:val="auto"/>
          <w:sz w:val="32"/>
          <w:szCs w:val="32"/>
          <w:highlight w:val="none"/>
          <w:lang w:eastAsia="zh-CN"/>
        </w:rPr>
        <w:t>⑤</w:t>
      </w:r>
      <w:r>
        <w:rPr>
          <w:rFonts w:hint="default" w:ascii="Times New Roman" w:hAnsi="Times New Roman" w:eastAsia="仿宋_GB2312" w:cs="Times New Roman"/>
          <w:color w:val="auto"/>
          <w:sz w:val="32"/>
          <w:szCs w:val="32"/>
          <w:highlight w:val="none"/>
        </w:rPr>
        <w:t>被责令停止职业资格</w:t>
      </w:r>
      <w:r>
        <w:rPr>
          <w:rFonts w:hint="default" w:ascii="Times New Roman" w:hAnsi="Times New Roman" w:eastAsia="仿宋_GB2312" w:cs="Times New Roman"/>
          <w:color w:val="auto"/>
          <w:sz w:val="32"/>
          <w:szCs w:val="32"/>
          <w:highlight w:val="none"/>
          <w:lang w:eastAsia="zh-CN"/>
        </w:rPr>
        <w:t>。其他原因</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造价企业</w:t>
      </w:r>
      <w:r>
        <w:rPr>
          <w:rFonts w:hint="default" w:ascii="Times New Roman" w:hAnsi="Times New Roman" w:eastAsia="仿宋_GB2312" w:cs="Times New Roman"/>
          <w:color w:val="auto"/>
          <w:sz w:val="32"/>
          <w:szCs w:val="32"/>
          <w:highlight w:val="none"/>
        </w:rPr>
        <w:t>须缴纳</w:t>
      </w:r>
      <w:r>
        <w:rPr>
          <w:rFonts w:hint="default" w:ascii="Times New Roman" w:hAnsi="Times New Roman" w:eastAsia="仿宋_GB2312" w:cs="Times New Roman"/>
          <w:color w:val="auto"/>
          <w:sz w:val="32"/>
          <w:szCs w:val="32"/>
          <w:highlight w:val="none"/>
          <w:lang w:eastAsia="zh-CN"/>
        </w:rPr>
        <w:t>2</w:t>
      </w:r>
      <w:r>
        <w:rPr>
          <w:rFonts w:hint="default" w:ascii="Times New Roman" w:hAnsi="Times New Roman" w:eastAsia="仿宋_GB2312" w:cs="Times New Roman"/>
          <w:color w:val="auto"/>
          <w:sz w:val="32"/>
          <w:szCs w:val="32"/>
          <w:highlight w:val="none"/>
        </w:rPr>
        <w:t>万元违约金</w:t>
      </w:r>
      <w:r>
        <w:rPr>
          <w:rFonts w:hint="default" w:ascii="Times New Roman" w:hAnsi="Times New Roman" w:eastAsia="仿宋_GB2312" w:cs="Times New Roman"/>
          <w:color w:val="auto"/>
          <w:sz w:val="32"/>
          <w:szCs w:val="32"/>
          <w:highlight w:val="none"/>
          <w:lang w:eastAsia="zh-CN"/>
        </w:rPr>
        <w:t>。</w:t>
      </w:r>
    </w:p>
    <w:p w14:paraId="4BE39F4D">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第十</w:t>
      </w:r>
      <w:r>
        <w:rPr>
          <w:rFonts w:hint="default" w:ascii="Times New Roman" w:hAnsi="Times New Roman" w:eastAsia="仿宋_GB2312" w:cs="Times New Roman"/>
          <w:b/>
          <w:bCs/>
          <w:color w:val="auto"/>
          <w:sz w:val="32"/>
          <w:szCs w:val="32"/>
          <w:highlight w:val="none"/>
          <w:lang w:eastAsia="zh-CN"/>
        </w:rPr>
        <w:t>七</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kern w:val="0"/>
          <w:sz w:val="32"/>
          <w:szCs w:val="32"/>
          <w:highlight w:val="none"/>
          <w:lang w:eastAsia="zh-CN"/>
        </w:rPr>
        <w:t>跟踪审计单位</w:t>
      </w:r>
      <w:r>
        <w:rPr>
          <w:rFonts w:hint="default" w:ascii="Times New Roman" w:hAnsi="Times New Roman" w:eastAsia="仿宋_GB2312" w:cs="Times New Roman"/>
          <w:color w:val="auto"/>
          <w:sz w:val="32"/>
          <w:szCs w:val="32"/>
          <w:highlight w:val="none"/>
          <w:lang w:eastAsia="zh-CN"/>
        </w:rPr>
        <w:t>审计</w:t>
      </w:r>
      <w:r>
        <w:rPr>
          <w:rFonts w:hint="default" w:ascii="Times New Roman" w:hAnsi="Times New Roman" w:eastAsia="仿宋_GB2312" w:cs="Times New Roman"/>
          <w:color w:val="auto"/>
          <w:sz w:val="32"/>
          <w:szCs w:val="32"/>
          <w:highlight w:val="none"/>
        </w:rPr>
        <w:t>组每月</w:t>
      </w:r>
      <w:r>
        <w:rPr>
          <w:rFonts w:hint="default" w:ascii="Times New Roman" w:hAnsi="Times New Roman" w:eastAsia="仿宋_GB2312" w:cs="Times New Roman"/>
          <w:color w:val="auto"/>
          <w:sz w:val="32"/>
          <w:szCs w:val="32"/>
          <w:highlight w:val="none"/>
          <w:lang w:eastAsia="zh-CN"/>
        </w:rPr>
        <w:t>5</w:t>
      </w:r>
      <w:r>
        <w:rPr>
          <w:rFonts w:hint="default" w:ascii="Times New Roman" w:hAnsi="Times New Roman" w:eastAsia="仿宋_GB2312" w:cs="Times New Roman"/>
          <w:color w:val="auto"/>
          <w:sz w:val="32"/>
          <w:szCs w:val="32"/>
          <w:highlight w:val="none"/>
        </w:rPr>
        <w:t>日前</w:t>
      </w:r>
      <w:r>
        <w:rPr>
          <w:rFonts w:hint="default" w:ascii="Times New Roman" w:hAnsi="Times New Roman" w:eastAsia="仿宋_GB2312" w:cs="Times New Roman"/>
          <w:color w:val="auto"/>
          <w:sz w:val="32"/>
          <w:szCs w:val="32"/>
          <w:highlight w:val="none"/>
          <w:lang w:eastAsia="zh-CN"/>
        </w:rPr>
        <w:t>向</w:t>
      </w:r>
      <w:r>
        <w:rPr>
          <w:rFonts w:hint="default" w:ascii="Times New Roman" w:hAnsi="Times New Roman" w:eastAsia="仿宋_GB2312" w:cs="Times New Roman"/>
          <w:color w:val="auto"/>
          <w:sz w:val="32"/>
          <w:szCs w:val="32"/>
          <w:highlight w:val="none"/>
        </w:rPr>
        <w:t>综合计划科报送审计月报</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综合计划科</w:t>
      </w:r>
      <w:r>
        <w:rPr>
          <w:rFonts w:hint="default" w:ascii="Times New Roman" w:hAnsi="Times New Roman" w:eastAsia="仿宋_GB2312" w:cs="Times New Roman"/>
          <w:color w:val="auto"/>
          <w:sz w:val="32"/>
          <w:szCs w:val="32"/>
          <w:highlight w:val="none"/>
          <w:lang w:eastAsia="zh-CN"/>
        </w:rPr>
        <w:t>抄送</w:t>
      </w:r>
      <w:r>
        <w:rPr>
          <w:rFonts w:hint="default" w:ascii="Times New Roman" w:hAnsi="Times New Roman" w:eastAsia="仿宋_GB2312" w:cs="Times New Roman"/>
          <w:color w:val="auto"/>
          <w:sz w:val="32"/>
          <w:szCs w:val="32"/>
          <w:highlight w:val="none"/>
        </w:rPr>
        <w:t>工程建设科，月报主要</w:t>
      </w:r>
      <w:r>
        <w:rPr>
          <w:rFonts w:hint="default" w:ascii="Times New Roman" w:hAnsi="Times New Roman" w:eastAsia="仿宋_GB2312" w:cs="Times New Roman"/>
          <w:color w:val="auto"/>
          <w:sz w:val="32"/>
          <w:szCs w:val="32"/>
          <w:highlight w:val="none"/>
          <w:lang w:eastAsia="zh-CN"/>
        </w:rPr>
        <w:t>反映</w:t>
      </w:r>
      <w:r>
        <w:rPr>
          <w:rFonts w:hint="default" w:ascii="Times New Roman" w:hAnsi="Times New Roman" w:eastAsia="仿宋_GB2312" w:cs="Times New Roman"/>
          <w:color w:val="auto"/>
          <w:sz w:val="32"/>
          <w:szCs w:val="32"/>
          <w:highlight w:val="none"/>
        </w:rPr>
        <w:t>项目的进度、工程计量、工程变更等涉及工程造价方面的内容。</w:t>
      </w:r>
    </w:p>
    <w:p w14:paraId="23D42C99">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default" w:ascii="Times New Roman" w:hAnsi="Times New Roman" w:eastAsia="仿宋_GB2312" w:cs="Times New Roman"/>
          <w:b/>
          <w:bCs/>
          <w:color w:val="auto"/>
          <w:sz w:val="32"/>
          <w:szCs w:val="32"/>
          <w:highlight w:val="none"/>
          <w:lang w:eastAsia="zh-CN"/>
        </w:rPr>
        <w:t>十八</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eastAsia="zh-CN"/>
        </w:rPr>
        <w:t>结算审核单位</w:t>
      </w:r>
      <w:r>
        <w:rPr>
          <w:rFonts w:hint="default" w:ascii="Times New Roman" w:hAnsi="Times New Roman" w:eastAsia="仿宋_GB2312" w:cs="Times New Roman"/>
          <w:color w:val="auto"/>
          <w:sz w:val="32"/>
          <w:szCs w:val="32"/>
          <w:highlight w:val="none"/>
        </w:rPr>
        <w:t>应在</w:t>
      </w:r>
      <w:r>
        <w:rPr>
          <w:rFonts w:hint="default" w:ascii="Times New Roman" w:hAnsi="Times New Roman" w:eastAsia="仿宋_GB2312" w:cs="Times New Roman"/>
          <w:color w:val="auto"/>
          <w:sz w:val="32"/>
          <w:szCs w:val="32"/>
          <w:highlight w:val="none"/>
          <w:lang w:eastAsia="zh-CN"/>
        </w:rPr>
        <w:t>7</w:t>
      </w:r>
      <w:r>
        <w:rPr>
          <w:rFonts w:hint="default" w:ascii="Times New Roman" w:hAnsi="Times New Roman" w:eastAsia="仿宋_GB2312" w:cs="Times New Roman"/>
          <w:color w:val="auto"/>
          <w:sz w:val="32"/>
          <w:szCs w:val="32"/>
          <w:highlight w:val="none"/>
        </w:rPr>
        <w:t>日（</w:t>
      </w:r>
      <w:r>
        <w:rPr>
          <w:rFonts w:hint="default" w:ascii="Times New Roman" w:hAnsi="Times New Roman" w:eastAsia="仿宋_GB2312" w:cs="Times New Roman"/>
          <w:color w:val="auto"/>
          <w:sz w:val="32"/>
          <w:szCs w:val="32"/>
          <w:highlight w:val="none"/>
          <w:lang w:eastAsia="zh-CN"/>
        </w:rPr>
        <w:t>造价5000</w:t>
      </w:r>
      <w:r>
        <w:rPr>
          <w:rFonts w:hint="default" w:ascii="Times New Roman" w:hAnsi="Times New Roman" w:eastAsia="仿宋_GB2312" w:cs="Times New Roman"/>
          <w:color w:val="auto"/>
          <w:sz w:val="32"/>
          <w:szCs w:val="32"/>
          <w:highlight w:val="none"/>
        </w:rPr>
        <w:t>万</w:t>
      </w:r>
      <w:r>
        <w:rPr>
          <w:rFonts w:hint="default" w:ascii="Times New Roman" w:hAnsi="Times New Roman" w:eastAsia="仿宋_GB2312" w:cs="Times New Roman"/>
          <w:color w:val="auto"/>
          <w:sz w:val="32"/>
          <w:szCs w:val="32"/>
          <w:highlight w:val="none"/>
          <w:lang w:eastAsia="zh-CN"/>
        </w:rPr>
        <w:t>元</w:t>
      </w:r>
      <w:r>
        <w:rPr>
          <w:rFonts w:hint="default" w:ascii="Times New Roman" w:hAnsi="Times New Roman" w:eastAsia="仿宋_GB2312" w:cs="Times New Roman"/>
          <w:color w:val="auto"/>
          <w:sz w:val="32"/>
          <w:szCs w:val="32"/>
          <w:highlight w:val="none"/>
        </w:rPr>
        <w:t>以下）或</w:t>
      </w:r>
      <w:r>
        <w:rPr>
          <w:rFonts w:hint="default" w:ascii="Times New Roman" w:hAnsi="Times New Roman" w:eastAsia="仿宋_GB2312" w:cs="Times New Roman"/>
          <w:color w:val="auto"/>
          <w:sz w:val="32"/>
          <w:szCs w:val="32"/>
          <w:highlight w:val="none"/>
          <w:lang w:eastAsia="zh-CN"/>
        </w:rPr>
        <w:t>10</w:t>
      </w:r>
      <w:r>
        <w:rPr>
          <w:rFonts w:hint="default" w:ascii="Times New Roman" w:hAnsi="Times New Roman" w:eastAsia="仿宋_GB2312" w:cs="Times New Roman"/>
          <w:color w:val="auto"/>
          <w:sz w:val="32"/>
          <w:szCs w:val="32"/>
          <w:highlight w:val="none"/>
        </w:rPr>
        <w:t>日（</w:t>
      </w:r>
      <w:r>
        <w:rPr>
          <w:rFonts w:hint="default" w:ascii="Times New Roman" w:hAnsi="Times New Roman" w:eastAsia="仿宋_GB2312" w:cs="Times New Roman"/>
          <w:color w:val="auto"/>
          <w:sz w:val="32"/>
          <w:szCs w:val="32"/>
          <w:highlight w:val="none"/>
          <w:lang w:eastAsia="zh-CN"/>
        </w:rPr>
        <w:t>造价5000</w:t>
      </w:r>
      <w:r>
        <w:rPr>
          <w:rFonts w:hint="default" w:ascii="Times New Roman" w:hAnsi="Times New Roman" w:eastAsia="仿宋_GB2312" w:cs="Times New Roman"/>
          <w:color w:val="auto"/>
          <w:sz w:val="32"/>
          <w:szCs w:val="32"/>
          <w:highlight w:val="none"/>
        </w:rPr>
        <w:t>万</w:t>
      </w:r>
      <w:r>
        <w:rPr>
          <w:rFonts w:hint="default" w:ascii="Times New Roman" w:hAnsi="Times New Roman" w:eastAsia="仿宋_GB2312" w:cs="Times New Roman"/>
          <w:color w:val="auto"/>
          <w:sz w:val="32"/>
          <w:szCs w:val="32"/>
          <w:highlight w:val="none"/>
          <w:lang w:eastAsia="zh-CN"/>
        </w:rPr>
        <w:t>元</w:t>
      </w:r>
      <w:r>
        <w:rPr>
          <w:rFonts w:hint="default" w:ascii="Times New Roman" w:hAnsi="Times New Roman" w:eastAsia="仿宋_GB2312" w:cs="Times New Roman"/>
          <w:color w:val="auto"/>
          <w:sz w:val="32"/>
          <w:szCs w:val="32"/>
          <w:highlight w:val="none"/>
        </w:rPr>
        <w:t>以上）内，对施工单位报送的项目结算资料进行完整性检查，一次性书面告知，限期补充齐全。在实施结算审计</w:t>
      </w:r>
      <w:r>
        <w:rPr>
          <w:rFonts w:hint="default" w:ascii="Times New Roman" w:hAnsi="Times New Roman" w:eastAsia="仿宋_GB2312" w:cs="Times New Roman"/>
          <w:color w:val="auto"/>
          <w:sz w:val="32"/>
          <w:szCs w:val="32"/>
          <w:highlight w:val="none"/>
          <w:lang w:eastAsia="zh-CN"/>
        </w:rPr>
        <w:t>过</w:t>
      </w:r>
      <w:r>
        <w:rPr>
          <w:rFonts w:hint="default" w:ascii="Times New Roman" w:hAnsi="Times New Roman" w:eastAsia="仿宋_GB2312" w:cs="Times New Roman"/>
          <w:color w:val="auto"/>
          <w:sz w:val="32"/>
          <w:szCs w:val="32"/>
          <w:highlight w:val="none"/>
        </w:rPr>
        <w:t>程中，原则上不再接收施工单位提供的变更签证资料。如遇特殊情况，补充资料</w:t>
      </w:r>
      <w:r>
        <w:rPr>
          <w:rFonts w:hint="default" w:ascii="Times New Roman" w:hAnsi="Times New Roman" w:eastAsia="仿宋_GB2312" w:cs="Times New Roman"/>
          <w:color w:val="auto"/>
          <w:sz w:val="32"/>
          <w:szCs w:val="32"/>
          <w:highlight w:val="none"/>
          <w:lang w:eastAsia="zh-CN"/>
        </w:rPr>
        <w:t>需</w:t>
      </w:r>
      <w:r>
        <w:rPr>
          <w:rFonts w:hint="default" w:ascii="Times New Roman" w:hAnsi="Times New Roman" w:eastAsia="仿宋_GB2312" w:cs="Times New Roman"/>
          <w:color w:val="auto"/>
          <w:sz w:val="32"/>
          <w:szCs w:val="32"/>
          <w:highlight w:val="none"/>
        </w:rPr>
        <w:t>经</w:t>
      </w:r>
      <w:r>
        <w:rPr>
          <w:rFonts w:hint="default" w:ascii="Times New Roman" w:hAnsi="Times New Roman" w:eastAsia="仿宋_GB2312" w:cs="Times New Roman"/>
          <w:color w:val="auto"/>
          <w:sz w:val="32"/>
          <w:szCs w:val="32"/>
          <w:highlight w:val="none"/>
          <w:lang w:eastAsia="zh-CN"/>
        </w:rPr>
        <w:t>工程建设科和</w:t>
      </w:r>
      <w:r>
        <w:rPr>
          <w:rFonts w:hint="default" w:ascii="Times New Roman" w:hAnsi="Times New Roman" w:eastAsia="仿宋_GB2312" w:cs="Times New Roman"/>
          <w:color w:val="auto"/>
          <w:sz w:val="32"/>
          <w:szCs w:val="32"/>
          <w:highlight w:val="none"/>
        </w:rPr>
        <w:t>项目分管领导同意。</w:t>
      </w:r>
    </w:p>
    <w:p w14:paraId="40948EE5">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default" w:ascii="Times New Roman" w:hAnsi="Times New Roman" w:eastAsia="仿宋_GB2312" w:cs="Times New Roman"/>
          <w:b/>
          <w:bCs/>
          <w:color w:val="auto"/>
          <w:sz w:val="32"/>
          <w:szCs w:val="32"/>
          <w:highlight w:val="none"/>
          <w:lang w:eastAsia="zh-CN"/>
        </w:rPr>
        <w:t>十九</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 造价企业结算审</w:t>
      </w:r>
      <w:r>
        <w:rPr>
          <w:rFonts w:hint="default" w:ascii="Times New Roman" w:hAnsi="Times New Roman" w:eastAsia="仿宋_GB2312" w:cs="Times New Roman"/>
          <w:color w:val="auto"/>
          <w:sz w:val="32"/>
          <w:szCs w:val="32"/>
          <w:highlight w:val="none"/>
          <w:lang w:eastAsia="zh-CN"/>
        </w:rPr>
        <w:t>核</w:t>
      </w:r>
      <w:r>
        <w:rPr>
          <w:rFonts w:hint="default" w:ascii="Times New Roman" w:hAnsi="Times New Roman" w:eastAsia="仿宋_GB2312" w:cs="Times New Roman"/>
          <w:color w:val="auto"/>
          <w:sz w:val="32"/>
          <w:szCs w:val="32"/>
          <w:highlight w:val="none"/>
        </w:rPr>
        <w:t>的项目，造价在</w:t>
      </w:r>
      <w:r>
        <w:rPr>
          <w:rFonts w:hint="default" w:ascii="Times New Roman" w:hAnsi="Times New Roman" w:eastAsia="仿宋_GB2312" w:cs="Times New Roman"/>
          <w:color w:val="auto"/>
          <w:sz w:val="32"/>
          <w:szCs w:val="32"/>
          <w:highlight w:val="none"/>
          <w:lang w:eastAsia="zh-CN"/>
        </w:rPr>
        <w:t>500</w:t>
      </w:r>
      <w:r>
        <w:rPr>
          <w:rFonts w:hint="default" w:ascii="Times New Roman" w:hAnsi="Times New Roman" w:eastAsia="仿宋_GB2312" w:cs="Times New Roman"/>
          <w:color w:val="auto"/>
          <w:sz w:val="32"/>
          <w:szCs w:val="32"/>
          <w:highlight w:val="none"/>
        </w:rPr>
        <w:t>万元以下、</w:t>
      </w:r>
      <w:r>
        <w:rPr>
          <w:rFonts w:hint="default" w:ascii="Times New Roman" w:hAnsi="Times New Roman" w:eastAsia="仿宋_GB2312" w:cs="Times New Roman"/>
          <w:color w:val="auto"/>
          <w:sz w:val="32"/>
          <w:szCs w:val="32"/>
          <w:highlight w:val="none"/>
          <w:lang w:eastAsia="zh-CN"/>
        </w:rPr>
        <w:t>500</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eastAsia="zh-CN"/>
        </w:rPr>
        <w:t>2000</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eastAsia="zh-CN"/>
        </w:rPr>
        <w:t>2000</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eastAsia="zh-CN"/>
        </w:rPr>
        <w:t>5000</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eastAsia="zh-CN"/>
        </w:rPr>
        <w:t>5000</w:t>
      </w:r>
      <w:r>
        <w:rPr>
          <w:rFonts w:hint="default" w:ascii="Times New Roman" w:hAnsi="Times New Roman" w:eastAsia="仿宋_GB2312" w:cs="Times New Roman"/>
          <w:color w:val="auto"/>
          <w:sz w:val="32"/>
          <w:szCs w:val="32"/>
          <w:highlight w:val="none"/>
        </w:rPr>
        <w:t>万元以上的单项工程，应</w:t>
      </w:r>
      <w:r>
        <w:rPr>
          <w:rFonts w:hint="default" w:ascii="Times New Roman" w:hAnsi="Times New Roman" w:eastAsia="仿宋_GB2312" w:cs="Times New Roman"/>
          <w:color w:val="auto"/>
          <w:sz w:val="32"/>
          <w:szCs w:val="32"/>
          <w:highlight w:val="none"/>
          <w:lang w:eastAsia="zh-CN"/>
        </w:rPr>
        <w:t>分别</w:t>
      </w:r>
      <w:r>
        <w:rPr>
          <w:rFonts w:hint="default" w:ascii="Times New Roman" w:hAnsi="Times New Roman" w:eastAsia="仿宋_GB2312" w:cs="Times New Roman"/>
          <w:color w:val="auto"/>
          <w:sz w:val="32"/>
          <w:szCs w:val="32"/>
          <w:highlight w:val="none"/>
        </w:rPr>
        <w:t>在施工单位报送的项目结算资料完整</w:t>
      </w:r>
      <w:r>
        <w:rPr>
          <w:rFonts w:hint="default" w:ascii="Times New Roman" w:hAnsi="Times New Roman" w:eastAsia="仿宋_GB2312" w:cs="Times New Roman"/>
          <w:color w:val="auto"/>
          <w:sz w:val="32"/>
          <w:szCs w:val="32"/>
          <w:highlight w:val="none"/>
          <w:lang w:eastAsia="zh-CN"/>
        </w:rPr>
        <w:t>后的20</w:t>
      </w:r>
      <w:r>
        <w:rPr>
          <w:rFonts w:hint="default" w:ascii="Times New Roman" w:hAnsi="Times New Roman" w:eastAsia="仿宋_GB2312" w:cs="Times New Roman"/>
          <w:color w:val="auto"/>
          <w:sz w:val="32"/>
          <w:szCs w:val="32"/>
          <w:highlight w:val="none"/>
        </w:rPr>
        <w:t>日、</w:t>
      </w:r>
      <w:r>
        <w:rPr>
          <w:rFonts w:hint="default" w:ascii="Times New Roman" w:hAnsi="Times New Roman" w:eastAsia="仿宋_GB2312" w:cs="Times New Roman"/>
          <w:color w:val="auto"/>
          <w:sz w:val="32"/>
          <w:szCs w:val="32"/>
          <w:highlight w:val="none"/>
          <w:lang w:eastAsia="zh-CN"/>
        </w:rPr>
        <w:t>30</w:t>
      </w:r>
      <w:r>
        <w:rPr>
          <w:rFonts w:hint="default" w:ascii="Times New Roman" w:hAnsi="Times New Roman" w:eastAsia="仿宋_GB2312" w:cs="Times New Roman"/>
          <w:color w:val="auto"/>
          <w:sz w:val="32"/>
          <w:szCs w:val="32"/>
          <w:highlight w:val="none"/>
        </w:rPr>
        <w:t>日、</w:t>
      </w:r>
      <w:r>
        <w:rPr>
          <w:rFonts w:hint="default" w:ascii="Times New Roman" w:hAnsi="Times New Roman" w:eastAsia="仿宋_GB2312" w:cs="Times New Roman"/>
          <w:color w:val="auto"/>
          <w:sz w:val="32"/>
          <w:szCs w:val="32"/>
          <w:highlight w:val="none"/>
          <w:lang w:eastAsia="zh-CN"/>
        </w:rPr>
        <w:t>45</w:t>
      </w:r>
      <w:r>
        <w:rPr>
          <w:rFonts w:hint="default" w:ascii="Times New Roman" w:hAnsi="Times New Roman" w:eastAsia="仿宋_GB2312" w:cs="Times New Roman"/>
          <w:color w:val="auto"/>
          <w:sz w:val="32"/>
          <w:szCs w:val="32"/>
          <w:highlight w:val="none"/>
        </w:rPr>
        <w:t>日、</w:t>
      </w:r>
      <w:r>
        <w:rPr>
          <w:rFonts w:hint="default" w:ascii="Times New Roman" w:hAnsi="Times New Roman" w:eastAsia="仿宋_GB2312" w:cs="Times New Roman"/>
          <w:color w:val="auto"/>
          <w:sz w:val="32"/>
          <w:szCs w:val="32"/>
          <w:highlight w:val="none"/>
          <w:lang w:eastAsia="zh-CN"/>
        </w:rPr>
        <w:t>60</w:t>
      </w:r>
      <w:r>
        <w:rPr>
          <w:rFonts w:hint="default" w:ascii="Times New Roman" w:hAnsi="Times New Roman" w:eastAsia="仿宋_GB2312" w:cs="Times New Roman"/>
          <w:color w:val="auto"/>
          <w:sz w:val="32"/>
          <w:szCs w:val="32"/>
          <w:highlight w:val="none"/>
        </w:rPr>
        <w:t>日内完成，并出具审核报告。如遇特殊情况，经</w:t>
      </w:r>
      <w:r>
        <w:rPr>
          <w:rFonts w:hint="default" w:ascii="Times New Roman" w:hAnsi="Times New Roman" w:eastAsia="仿宋_GB2312" w:cs="Times New Roman"/>
          <w:color w:val="auto"/>
          <w:sz w:val="32"/>
          <w:szCs w:val="32"/>
          <w:highlight w:val="none"/>
          <w:lang w:eastAsia="zh-CN"/>
        </w:rPr>
        <w:t>工程建设科和</w:t>
      </w:r>
      <w:r>
        <w:rPr>
          <w:rFonts w:hint="default" w:ascii="Times New Roman" w:hAnsi="Times New Roman" w:eastAsia="仿宋_GB2312" w:cs="Times New Roman"/>
          <w:color w:val="auto"/>
          <w:sz w:val="32"/>
          <w:szCs w:val="32"/>
          <w:highlight w:val="none"/>
        </w:rPr>
        <w:t>项目分管领导同意，可适当延长，延长时间最长不得超过</w:t>
      </w:r>
      <w:r>
        <w:rPr>
          <w:rFonts w:hint="default" w:ascii="Times New Roman" w:hAnsi="Times New Roman" w:eastAsia="仿宋_GB2312" w:cs="Times New Roman"/>
          <w:color w:val="auto"/>
          <w:sz w:val="32"/>
          <w:szCs w:val="32"/>
          <w:highlight w:val="none"/>
          <w:lang w:eastAsia="zh-CN"/>
        </w:rPr>
        <w:t>30</w:t>
      </w:r>
      <w:r>
        <w:rPr>
          <w:rFonts w:hint="default" w:ascii="Times New Roman" w:hAnsi="Times New Roman" w:eastAsia="仿宋_GB2312" w:cs="Times New Roman"/>
          <w:color w:val="auto"/>
          <w:sz w:val="32"/>
          <w:szCs w:val="32"/>
          <w:highlight w:val="none"/>
        </w:rPr>
        <w:t>日。</w:t>
      </w:r>
    </w:p>
    <w:p w14:paraId="2DA95C62">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b/>
          <w:bCs/>
          <w:color w:val="auto"/>
          <w:sz w:val="32"/>
          <w:szCs w:val="32"/>
          <w:highlight w:val="none"/>
        </w:rPr>
        <w:t>第二十条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造价企业</w:t>
      </w:r>
      <w:r>
        <w:rPr>
          <w:rFonts w:hint="default" w:ascii="Times New Roman" w:hAnsi="Times New Roman" w:eastAsia="仿宋_GB2312" w:cs="Times New Roman"/>
          <w:color w:val="auto"/>
          <w:sz w:val="32"/>
          <w:szCs w:val="32"/>
          <w:highlight w:val="none"/>
          <w:lang w:eastAsia="zh-CN"/>
        </w:rPr>
        <w:t>清单编制</w:t>
      </w:r>
      <w:r>
        <w:rPr>
          <w:rFonts w:hint="default" w:ascii="Times New Roman" w:hAnsi="Times New Roman" w:eastAsia="仿宋_GB2312" w:cs="Times New Roman"/>
          <w:color w:val="auto"/>
          <w:sz w:val="32"/>
          <w:szCs w:val="32"/>
          <w:highlight w:val="none"/>
        </w:rPr>
        <w:t>的项目</w:t>
      </w:r>
      <w:r>
        <w:rPr>
          <w:rFonts w:hint="default" w:ascii="Times New Roman" w:hAnsi="Times New Roman" w:eastAsia="仿宋_GB2312" w:cs="Times New Roman"/>
          <w:color w:val="auto"/>
          <w:sz w:val="32"/>
          <w:szCs w:val="32"/>
          <w:highlight w:val="none"/>
          <w:lang w:eastAsia="zh-CN"/>
        </w:rPr>
        <w:t>，估算最高投标限价在</w:t>
      </w:r>
      <w:r>
        <w:rPr>
          <w:rFonts w:hint="default" w:ascii="Times New Roman" w:hAnsi="Times New Roman" w:eastAsia="仿宋_GB2312" w:cs="Times New Roman"/>
          <w:color w:val="auto"/>
          <w:sz w:val="32"/>
          <w:szCs w:val="32"/>
          <w:highlight w:val="none"/>
          <w:lang w:val="en-US" w:eastAsia="zh-CN"/>
        </w:rPr>
        <w:t xml:space="preserve">500万元以下、500万元-1000万元、1000万元-5000万元、5000万元-10000万元、10000万元以上的项目，应分别在7日、15日、20日、25日、30日内完成。特殊项目经综合计划科分管领导同意可以适当缩短或延长编制时间。  </w:t>
      </w:r>
      <w:r>
        <w:rPr>
          <w:rFonts w:hint="default" w:ascii="Times New Roman" w:hAnsi="Times New Roman" w:eastAsia="仿宋_GB2312" w:cs="Times New Roman"/>
          <w:color w:val="auto"/>
          <w:sz w:val="32"/>
          <w:szCs w:val="32"/>
          <w:highlight w:val="none"/>
        </w:rPr>
        <w:t xml:space="preserve">   </w:t>
      </w:r>
    </w:p>
    <w:p w14:paraId="61F9846C">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第六章 服务考核</w:t>
      </w:r>
    </w:p>
    <w:p w14:paraId="12606106">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第二十</w:t>
      </w:r>
      <w:r>
        <w:rPr>
          <w:rFonts w:hint="default" w:ascii="Times New Roman" w:hAnsi="Times New Roman" w:eastAsia="仿宋_GB2312" w:cs="Times New Roman"/>
          <w:b/>
          <w:bCs/>
          <w:color w:val="auto"/>
          <w:sz w:val="32"/>
          <w:szCs w:val="32"/>
          <w:highlight w:val="none"/>
          <w:lang w:eastAsia="zh-CN"/>
        </w:rPr>
        <w:t>一</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考核分类</w:t>
      </w:r>
    </w:p>
    <w:p w14:paraId="557BCC9C">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考核分为</w:t>
      </w:r>
      <w:r>
        <w:rPr>
          <w:rFonts w:hint="default" w:ascii="Times New Roman" w:hAnsi="Times New Roman" w:eastAsia="仿宋_GB2312" w:cs="Times New Roman"/>
          <w:color w:val="auto"/>
          <w:sz w:val="32"/>
          <w:szCs w:val="32"/>
          <w:highlight w:val="none"/>
          <w:lang w:eastAsia="zh-CN"/>
        </w:rPr>
        <w:t>清单编制质量考核、</w:t>
      </w:r>
      <w:r>
        <w:rPr>
          <w:rFonts w:hint="default" w:ascii="Times New Roman" w:hAnsi="Times New Roman" w:eastAsia="仿宋_GB2312" w:cs="Times New Roman"/>
          <w:color w:val="auto"/>
          <w:sz w:val="32"/>
          <w:szCs w:val="32"/>
          <w:highlight w:val="none"/>
        </w:rPr>
        <w:t>跟踪审计服务质量考核</w:t>
      </w:r>
      <w:r>
        <w:rPr>
          <w:rFonts w:hint="default" w:ascii="Times New Roman" w:hAnsi="Times New Roman" w:eastAsia="仿宋_GB2312" w:cs="Times New Roman"/>
          <w:color w:val="auto"/>
          <w:sz w:val="32"/>
          <w:szCs w:val="32"/>
          <w:highlight w:val="none"/>
          <w:lang w:eastAsia="zh-CN"/>
        </w:rPr>
        <w:t>和</w:t>
      </w:r>
      <w:r>
        <w:rPr>
          <w:rStyle w:val="155"/>
          <w:rFonts w:hint="default" w:ascii="Times New Roman" w:hAnsi="Times New Roman" w:eastAsia="仿宋_GB2312" w:cs="Times New Roman"/>
          <w:b w:val="0"/>
          <w:bCs w:val="0"/>
          <w:color w:val="auto"/>
          <w:sz w:val="32"/>
          <w:szCs w:val="32"/>
          <w:highlight w:val="none"/>
        </w:rPr>
        <w:t>结算审</w:t>
      </w:r>
      <w:r>
        <w:rPr>
          <w:rStyle w:val="155"/>
          <w:rFonts w:hint="default" w:ascii="Times New Roman" w:hAnsi="Times New Roman" w:cs="Times New Roman"/>
          <w:b w:val="0"/>
          <w:bCs w:val="0"/>
          <w:color w:val="auto"/>
          <w:sz w:val="32"/>
          <w:szCs w:val="32"/>
          <w:highlight w:val="none"/>
          <w:lang w:eastAsia="zh-CN"/>
        </w:rPr>
        <w:t>（复）</w:t>
      </w:r>
      <w:r>
        <w:rPr>
          <w:rStyle w:val="155"/>
          <w:rFonts w:hint="default" w:ascii="Times New Roman" w:hAnsi="Times New Roman" w:eastAsia="仿宋_GB2312" w:cs="Times New Roman"/>
          <w:b w:val="0"/>
          <w:bCs w:val="0"/>
          <w:color w:val="auto"/>
          <w:sz w:val="32"/>
          <w:szCs w:val="32"/>
          <w:highlight w:val="none"/>
        </w:rPr>
        <w:t>核</w:t>
      </w:r>
      <w:r>
        <w:rPr>
          <w:rStyle w:val="155"/>
          <w:rFonts w:hint="default" w:ascii="Times New Roman" w:hAnsi="Times New Roman" w:cs="Times New Roman"/>
          <w:b w:val="0"/>
          <w:bCs w:val="0"/>
          <w:color w:val="auto"/>
          <w:sz w:val="32"/>
          <w:szCs w:val="32"/>
          <w:highlight w:val="none"/>
          <w:lang w:eastAsia="zh-CN"/>
        </w:rPr>
        <w:t>成果质量</w:t>
      </w:r>
      <w:r>
        <w:rPr>
          <w:rStyle w:val="155"/>
          <w:rFonts w:hint="default" w:ascii="Times New Roman" w:hAnsi="Times New Roman" w:eastAsia="仿宋_GB2312" w:cs="Times New Roman"/>
          <w:b w:val="0"/>
          <w:bCs w:val="0"/>
          <w:color w:val="auto"/>
          <w:sz w:val="32"/>
          <w:szCs w:val="32"/>
          <w:highlight w:val="none"/>
        </w:rPr>
        <w:t>考核</w:t>
      </w:r>
      <w:r>
        <w:rPr>
          <w:rFonts w:hint="default" w:ascii="Times New Roman" w:hAnsi="Times New Roman" w:eastAsia="仿宋_GB2312" w:cs="Times New Roman"/>
          <w:color w:val="auto"/>
          <w:sz w:val="32"/>
          <w:szCs w:val="32"/>
          <w:highlight w:val="none"/>
        </w:rPr>
        <w:t>。</w:t>
      </w:r>
    </w:p>
    <w:p w14:paraId="6A929E8A">
      <w:pPr>
        <w:keepNext w:val="0"/>
        <w:keepLines w:val="0"/>
        <w:pageBreakBefore w:val="0"/>
        <w:kinsoku/>
        <w:wordWrap/>
        <w:overflowPunct/>
        <w:topLinePunct w:val="0"/>
        <w:autoSpaceDE/>
        <w:autoSpaceDN/>
        <w:bidi w:val="0"/>
        <w:adjustRightInd/>
        <w:spacing w:line="400" w:lineRule="exact"/>
        <w:ind w:left="0" w:leftChars="0" w:firstLine="643"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rPr>
        <w:t>第二十</w:t>
      </w:r>
      <w:r>
        <w:rPr>
          <w:rFonts w:hint="default" w:ascii="Times New Roman" w:hAnsi="Times New Roman" w:eastAsia="仿宋_GB2312" w:cs="Times New Roman"/>
          <w:b/>
          <w:bCs/>
          <w:color w:val="auto"/>
          <w:sz w:val="32"/>
          <w:szCs w:val="32"/>
          <w:highlight w:val="none"/>
          <w:lang w:eastAsia="zh-CN"/>
        </w:rPr>
        <w:t>二</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eastAsia="zh-CN"/>
        </w:rPr>
        <w:t>清单编制质量考核</w:t>
      </w:r>
      <w:r>
        <w:rPr>
          <w:rFonts w:hint="default" w:ascii="Times New Roman" w:hAnsi="Times New Roman" w:eastAsia="仿宋_GB2312" w:cs="Times New Roman"/>
          <w:color w:val="auto"/>
          <w:sz w:val="32"/>
          <w:szCs w:val="32"/>
          <w:highlight w:val="none"/>
        </w:rPr>
        <w:t>标准见《滁州市重点工程建设管理处工程量清单</w:t>
      </w:r>
      <w:r>
        <w:rPr>
          <w:rFonts w:hint="default" w:ascii="Times New Roman" w:hAnsi="Times New Roman" w:eastAsia="仿宋_GB2312" w:cs="Times New Roman"/>
          <w:color w:val="auto"/>
          <w:sz w:val="32"/>
          <w:szCs w:val="32"/>
          <w:highlight w:val="none"/>
          <w:lang w:eastAsia="zh-CN"/>
        </w:rPr>
        <w:t>及</w:t>
      </w:r>
      <w:r>
        <w:rPr>
          <w:rFonts w:hint="default" w:ascii="Times New Roman" w:hAnsi="Times New Roman" w:eastAsia="仿宋_GB2312" w:cs="Times New Roman"/>
          <w:color w:val="auto"/>
          <w:sz w:val="32"/>
          <w:szCs w:val="32"/>
          <w:highlight w:val="none"/>
        </w:rPr>
        <w:t>最高投标限价编制质量考核表》（附件</w:t>
      </w:r>
      <w:r>
        <w:rPr>
          <w:rFonts w:hint="default" w:ascii="Times New Roman" w:hAnsi="Times New Roman" w:eastAsia="仿宋_GB2312" w:cs="Times New Roman"/>
          <w:color w:val="auto"/>
          <w:sz w:val="32"/>
          <w:szCs w:val="32"/>
          <w:highlight w:val="none"/>
          <w:lang w:eastAsia="zh-CN"/>
        </w:rPr>
        <w:t>1</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年度考核根据当年</w:t>
      </w:r>
      <w:r>
        <w:rPr>
          <w:rFonts w:hint="default" w:ascii="Times New Roman" w:hAnsi="Times New Roman" w:eastAsia="仿宋_GB2312" w:cs="Times New Roman"/>
          <w:color w:val="auto"/>
          <w:sz w:val="32"/>
          <w:szCs w:val="32"/>
          <w:highlight w:val="none"/>
          <w:lang w:eastAsia="zh-CN"/>
        </w:rPr>
        <w:t>完成结算的</w:t>
      </w:r>
      <w:r>
        <w:rPr>
          <w:rFonts w:hint="default" w:ascii="Times New Roman" w:hAnsi="Times New Roman" w:eastAsia="仿宋_GB2312" w:cs="Times New Roman"/>
          <w:color w:val="auto"/>
          <w:sz w:val="32"/>
          <w:szCs w:val="32"/>
          <w:highlight w:val="none"/>
        </w:rPr>
        <w:t>项目考核结果平均分作为年度综合评定分值，考核结果设“优”、“良”、“中”、“差”四个等级，满分为</w:t>
      </w:r>
      <w:r>
        <w:rPr>
          <w:rFonts w:hint="default" w:ascii="Times New Roman" w:hAnsi="Times New Roman" w:eastAsia="仿宋_GB2312" w:cs="Times New Roman"/>
          <w:color w:val="auto"/>
          <w:sz w:val="32"/>
          <w:szCs w:val="32"/>
          <w:highlight w:val="none"/>
          <w:lang w:eastAsia="zh-CN"/>
        </w:rPr>
        <w:t>100</w:t>
      </w:r>
      <w:r>
        <w:rPr>
          <w:rFonts w:hint="default" w:ascii="Times New Roman" w:hAnsi="Times New Roman" w:eastAsia="仿宋_GB2312" w:cs="Times New Roman"/>
          <w:color w:val="auto"/>
          <w:sz w:val="32"/>
          <w:szCs w:val="32"/>
          <w:highlight w:val="none"/>
        </w:rPr>
        <w:t>分，得分</w:t>
      </w:r>
      <w:r>
        <w:rPr>
          <w:rFonts w:hint="default" w:ascii="Times New Roman" w:hAnsi="Times New Roman" w:eastAsia="仿宋_GB2312" w:cs="Times New Roman"/>
          <w:color w:val="auto"/>
          <w:sz w:val="32"/>
          <w:szCs w:val="32"/>
          <w:highlight w:val="none"/>
          <w:lang w:eastAsia="zh-CN"/>
        </w:rPr>
        <w:t>9</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分及以上的年度考核评“优”，得分</w:t>
      </w:r>
      <w:r>
        <w:rPr>
          <w:rFonts w:hint="default" w:ascii="Times New Roman" w:hAnsi="Times New Roman" w:eastAsia="仿宋_GB2312" w:cs="Times New Roman"/>
          <w:color w:val="auto"/>
          <w:sz w:val="32"/>
          <w:szCs w:val="32"/>
          <w:highlight w:val="none"/>
          <w:lang w:eastAsia="zh-CN"/>
        </w:rPr>
        <w:t>8</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分（含）-</w:t>
      </w:r>
      <w:r>
        <w:rPr>
          <w:rFonts w:hint="default" w:ascii="Times New Roman" w:hAnsi="Times New Roman" w:eastAsia="仿宋_GB2312" w:cs="Times New Roman"/>
          <w:color w:val="auto"/>
          <w:sz w:val="32"/>
          <w:szCs w:val="32"/>
          <w:highlight w:val="none"/>
          <w:lang w:eastAsia="zh-CN"/>
        </w:rPr>
        <w:t>9</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分的评“良”，得分</w:t>
      </w:r>
      <w:r>
        <w:rPr>
          <w:rFonts w:hint="default" w:ascii="Times New Roman" w:hAnsi="Times New Roman"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lang w:eastAsia="zh-CN"/>
        </w:rPr>
        <w:t>0</w:t>
      </w:r>
      <w:r>
        <w:rPr>
          <w:rFonts w:hint="default" w:ascii="Times New Roman" w:hAnsi="Times New Roman" w:eastAsia="仿宋_GB2312" w:cs="Times New Roman"/>
          <w:color w:val="auto"/>
          <w:sz w:val="32"/>
          <w:szCs w:val="32"/>
          <w:highlight w:val="none"/>
        </w:rPr>
        <w:t>分（含）-</w:t>
      </w:r>
      <w:r>
        <w:rPr>
          <w:rFonts w:hint="default" w:ascii="Times New Roman" w:hAnsi="Times New Roman" w:eastAsia="仿宋_GB2312" w:cs="Times New Roman"/>
          <w:color w:val="auto"/>
          <w:sz w:val="32"/>
          <w:szCs w:val="32"/>
          <w:highlight w:val="none"/>
          <w:lang w:eastAsia="zh-CN"/>
        </w:rPr>
        <w:t>8</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分的评“中”，</w:t>
      </w:r>
      <w:r>
        <w:rPr>
          <w:rFonts w:hint="default" w:ascii="Times New Roman" w:hAnsi="Times New Roman"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lang w:eastAsia="zh-CN"/>
        </w:rPr>
        <w:t>0</w:t>
      </w:r>
      <w:r>
        <w:rPr>
          <w:rFonts w:hint="default" w:ascii="Times New Roman" w:hAnsi="Times New Roman" w:eastAsia="仿宋_GB2312" w:cs="Times New Roman"/>
          <w:color w:val="auto"/>
          <w:sz w:val="32"/>
          <w:szCs w:val="32"/>
          <w:highlight w:val="none"/>
        </w:rPr>
        <w:t>分以下的评“差”。年度考核评“优”的造价企业予以通报表扬</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颁发“优秀工程造价企业”证书，同时对项目</w:t>
      </w:r>
      <w:r>
        <w:rPr>
          <w:rFonts w:hint="default" w:ascii="Times New Roman" w:hAnsi="Times New Roman" w:eastAsia="仿宋_GB2312" w:cs="Times New Roman"/>
          <w:color w:val="auto"/>
          <w:sz w:val="32"/>
          <w:szCs w:val="32"/>
          <w:highlight w:val="none"/>
          <w:lang w:eastAsia="zh-CN"/>
        </w:rPr>
        <w:t>组成员</w:t>
      </w:r>
      <w:r>
        <w:rPr>
          <w:rFonts w:hint="default" w:ascii="Times New Roman" w:hAnsi="Times New Roman" w:eastAsia="仿宋_GB2312" w:cs="Times New Roman"/>
          <w:color w:val="auto"/>
          <w:sz w:val="32"/>
          <w:szCs w:val="32"/>
          <w:highlight w:val="none"/>
        </w:rPr>
        <w:t>颁发“优秀工程造价成果奖”证书</w:t>
      </w:r>
      <w:r>
        <w:rPr>
          <w:rFonts w:hint="default" w:ascii="Times New Roman" w:hAnsi="Times New Roman" w:eastAsia="仿宋_GB2312" w:cs="Times New Roman"/>
          <w:color w:val="auto"/>
          <w:sz w:val="32"/>
          <w:szCs w:val="32"/>
          <w:highlight w:val="none"/>
          <w:lang w:eastAsia="zh-CN"/>
        </w:rPr>
        <w:t>，按排名对造价企业予以项目奖励</w:t>
      </w:r>
      <w:r>
        <w:rPr>
          <w:rFonts w:hint="default" w:ascii="Times New Roman" w:hAnsi="Times New Roman" w:eastAsia="仿宋_GB2312" w:cs="Times New Roman"/>
          <w:color w:val="auto"/>
          <w:sz w:val="32"/>
          <w:szCs w:val="32"/>
          <w:highlight w:val="none"/>
        </w:rPr>
        <w:t>；年度考核评“差”的造价企业予以通报批评。</w:t>
      </w:r>
    </w:p>
    <w:p w14:paraId="29976A61">
      <w:pPr>
        <w:keepNext w:val="0"/>
        <w:keepLines w:val="0"/>
        <w:pageBreakBefore w:val="0"/>
        <w:kinsoku/>
        <w:wordWrap/>
        <w:overflowPunct/>
        <w:topLinePunct w:val="0"/>
        <w:autoSpaceDE/>
        <w:autoSpaceDN/>
        <w:bidi w:val="0"/>
        <w:adjustRightInd/>
        <w:spacing w:line="400" w:lineRule="exact"/>
        <w:ind w:firstLine="643"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bCs/>
          <w:color w:val="auto"/>
          <w:sz w:val="32"/>
          <w:szCs w:val="32"/>
          <w:highlight w:val="none"/>
          <w:lang w:val="en-US" w:eastAsia="zh-CN"/>
        </w:rPr>
        <w:t>第二十三条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跟踪审计服务质量日常考核原则上每季度安排一次。考核以各造价企业单个审计项目为单位，对单个审计项目审计实施过程和完成情况进行综合考核，满分为</w:t>
      </w:r>
      <w:r>
        <w:rPr>
          <w:rFonts w:hint="default" w:ascii="Times New Roman" w:hAnsi="Times New Roman" w:eastAsia="仿宋_GB2312" w:cs="Times New Roman"/>
          <w:color w:val="auto"/>
          <w:sz w:val="32"/>
          <w:szCs w:val="32"/>
          <w:highlight w:val="none"/>
          <w:lang w:eastAsia="zh-CN"/>
        </w:rPr>
        <w:t>100</w:t>
      </w:r>
      <w:r>
        <w:rPr>
          <w:rFonts w:hint="default" w:ascii="Times New Roman" w:hAnsi="Times New Roman" w:eastAsia="仿宋_GB2312" w:cs="Times New Roman"/>
          <w:color w:val="auto"/>
          <w:sz w:val="32"/>
          <w:szCs w:val="32"/>
          <w:highlight w:val="none"/>
        </w:rPr>
        <w:t>分，考核标准见《滁州市重点工程建设管理处跟踪审计服务质量日常考核表》（附件</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）。考核结果设“优”、“良”、“中”、“差”四个等级，考核得分</w:t>
      </w:r>
      <w:r>
        <w:rPr>
          <w:rFonts w:hint="default" w:ascii="Times New Roman" w:hAnsi="Times New Roman" w:eastAsia="仿宋_GB2312" w:cs="Times New Roman"/>
          <w:color w:val="auto"/>
          <w:sz w:val="32"/>
          <w:szCs w:val="32"/>
          <w:highlight w:val="none"/>
          <w:lang w:eastAsia="zh-CN"/>
        </w:rPr>
        <w:t>9</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分及以上的项目评“优”，考核得分</w:t>
      </w:r>
      <w:r>
        <w:rPr>
          <w:rFonts w:hint="default" w:ascii="Times New Roman" w:hAnsi="Times New Roman" w:eastAsia="仿宋_GB2312" w:cs="Times New Roman"/>
          <w:color w:val="auto"/>
          <w:sz w:val="32"/>
          <w:szCs w:val="32"/>
          <w:highlight w:val="none"/>
          <w:lang w:eastAsia="zh-CN"/>
        </w:rPr>
        <w:t>8</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分（含）-</w:t>
      </w:r>
      <w:r>
        <w:rPr>
          <w:rFonts w:hint="default" w:ascii="Times New Roman" w:hAnsi="Times New Roman" w:eastAsia="仿宋_GB2312" w:cs="Times New Roman"/>
          <w:color w:val="auto"/>
          <w:sz w:val="32"/>
          <w:szCs w:val="32"/>
          <w:highlight w:val="none"/>
          <w:lang w:eastAsia="zh-CN"/>
        </w:rPr>
        <w:t>9</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分的项目评“良”，考核得分</w:t>
      </w:r>
      <w:r>
        <w:rPr>
          <w:rFonts w:hint="default" w:ascii="Times New Roman" w:hAnsi="Times New Roman" w:eastAsia="仿宋_GB2312" w:cs="Times New Roman"/>
          <w:color w:val="auto"/>
          <w:sz w:val="32"/>
          <w:szCs w:val="32"/>
          <w:highlight w:val="none"/>
          <w:lang w:eastAsia="zh-CN"/>
        </w:rPr>
        <w:t>70</w:t>
      </w:r>
      <w:r>
        <w:rPr>
          <w:rFonts w:hint="default" w:ascii="Times New Roman" w:hAnsi="Times New Roman" w:eastAsia="仿宋_GB2312" w:cs="Times New Roman"/>
          <w:color w:val="auto"/>
          <w:sz w:val="32"/>
          <w:szCs w:val="32"/>
          <w:highlight w:val="none"/>
        </w:rPr>
        <w:t>分（含）-</w:t>
      </w:r>
      <w:r>
        <w:rPr>
          <w:rFonts w:hint="default" w:ascii="Times New Roman" w:hAnsi="Times New Roman" w:eastAsia="仿宋_GB2312" w:cs="Times New Roman"/>
          <w:color w:val="auto"/>
          <w:sz w:val="32"/>
          <w:szCs w:val="32"/>
          <w:highlight w:val="none"/>
          <w:lang w:val="en-US" w:eastAsia="zh-CN"/>
        </w:rPr>
        <w:t>85</w:t>
      </w:r>
      <w:r>
        <w:rPr>
          <w:rFonts w:hint="default" w:ascii="Times New Roman" w:hAnsi="Times New Roman" w:eastAsia="仿宋_GB2312" w:cs="Times New Roman"/>
          <w:color w:val="auto"/>
          <w:sz w:val="32"/>
          <w:szCs w:val="32"/>
          <w:highlight w:val="none"/>
        </w:rPr>
        <w:t>分的项目评“中”，</w:t>
      </w:r>
      <w:r>
        <w:rPr>
          <w:rFonts w:hint="default" w:ascii="Times New Roman" w:hAnsi="Times New Roman" w:eastAsia="仿宋_GB2312" w:cs="Times New Roman"/>
          <w:color w:val="auto"/>
          <w:sz w:val="32"/>
          <w:szCs w:val="32"/>
          <w:highlight w:val="none"/>
          <w:lang w:eastAsia="zh-CN"/>
        </w:rPr>
        <w:t>70</w:t>
      </w:r>
      <w:r>
        <w:rPr>
          <w:rFonts w:hint="default" w:ascii="Times New Roman" w:hAnsi="Times New Roman" w:eastAsia="仿宋_GB2312" w:cs="Times New Roman"/>
          <w:color w:val="auto"/>
          <w:sz w:val="32"/>
          <w:szCs w:val="32"/>
          <w:highlight w:val="none"/>
        </w:rPr>
        <w:t>分以下的项目评“差”。对评“优” 项目的审计组予以通报表扬</w:t>
      </w:r>
      <w:r>
        <w:rPr>
          <w:rFonts w:hint="default" w:ascii="Times New Roman" w:hAnsi="Times New Roman" w:eastAsia="仿宋_GB2312" w:cs="Times New Roman"/>
          <w:b/>
          <w:bCs/>
          <w:color w:val="auto"/>
          <w:sz w:val="32"/>
          <w:szCs w:val="32"/>
          <w:highlight w:val="none"/>
        </w:rPr>
        <w:t>；</w:t>
      </w:r>
      <w:r>
        <w:rPr>
          <w:rFonts w:hint="default" w:ascii="Times New Roman" w:hAnsi="Times New Roman" w:eastAsia="仿宋_GB2312" w:cs="Times New Roman"/>
          <w:color w:val="auto"/>
          <w:sz w:val="32"/>
          <w:szCs w:val="32"/>
          <w:highlight w:val="none"/>
        </w:rPr>
        <w:t>对评“中”项目的审计组进行约谈；评“差”项目的审计组予以通报批评，进行约谈</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处罚</w:t>
      </w:r>
      <w:r>
        <w:rPr>
          <w:rFonts w:hint="default" w:ascii="Times New Roman" w:hAnsi="Times New Roman" w:eastAsia="仿宋_GB2312" w:cs="Times New Roman"/>
          <w:b w:val="0"/>
          <w:bCs w:val="0"/>
          <w:color w:val="auto"/>
          <w:sz w:val="32"/>
          <w:szCs w:val="32"/>
          <w:highlight w:val="none"/>
          <w:lang w:val="en-US" w:eastAsia="zh-CN"/>
        </w:rPr>
        <w:t>4</w:t>
      </w:r>
      <w:r>
        <w:rPr>
          <w:rFonts w:hint="default" w:ascii="Times New Roman" w:hAnsi="Times New Roman" w:eastAsia="仿宋_GB2312" w:cs="Times New Roman"/>
          <w:b w:val="0"/>
          <w:bCs w:val="0"/>
          <w:color w:val="auto"/>
          <w:sz w:val="32"/>
          <w:szCs w:val="32"/>
          <w:highlight w:val="none"/>
          <w:lang w:eastAsia="zh-CN"/>
        </w:rPr>
        <w:t>000</w:t>
      </w:r>
      <w:r>
        <w:rPr>
          <w:rFonts w:hint="default" w:ascii="Times New Roman" w:hAnsi="Times New Roman" w:eastAsia="仿宋_GB2312" w:cs="Times New Roman"/>
          <w:b w:val="0"/>
          <w:bCs w:val="0"/>
          <w:color w:val="auto"/>
          <w:sz w:val="32"/>
          <w:szCs w:val="32"/>
          <w:highlight w:val="none"/>
        </w:rPr>
        <w:t>元</w:t>
      </w:r>
      <w:r>
        <w:rPr>
          <w:rFonts w:hint="default" w:ascii="Times New Roman" w:hAnsi="Times New Roman" w:eastAsia="仿宋_GB2312" w:cs="Times New Roman"/>
          <w:b w:val="0"/>
          <w:bCs w:val="0"/>
          <w:color w:val="auto"/>
          <w:sz w:val="32"/>
          <w:szCs w:val="32"/>
          <w:highlight w:val="none"/>
          <w:lang w:eastAsia="zh-CN"/>
        </w:rPr>
        <w:t>及</w:t>
      </w:r>
      <w:r>
        <w:rPr>
          <w:rFonts w:hint="default" w:ascii="Times New Roman" w:hAnsi="Times New Roman" w:eastAsia="仿宋_GB2312" w:cs="Times New Roman"/>
          <w:b w:val="0"/>
          <w:bCs w:val="0"/>
          <w:color w:val="auto"/>
          <w:sz w:val="32"/>
          <w:szCs w:val="32"/>
          <w:highlight w:val="none"/>
          <w:lang w:val="en-US" w:eastAsia="zh-CN"/>
        </w:rPr>
        <w:t>暂停业务3</w:t>
      </w:r>
      <w:r>
        <w:rPr>
          <w:rFonts w:hint="default" w:ascii="Times New Roman" w:hAnsi="Times New Roman" w:eastAsia="仿宋_GB2312" w:cs="Times New Roman"/>
          <w:b w:val="0"/>
          <w:bCs w:val="0"/>
          <w:color w:val="auto"/>
          <w:sz w:val="32"/>
          <w:szCs w:val="32"/>
          <w:highlight w:val="none"/>
        </w:rPr>
        <w:t>个月，</w:t>
      </w:r>
      <w:r>
        <w:rPr>
          <w:rFonts w:hint="default" w:ascii="Times New Roman" w:hAnsi="Times New Roman" w:eastAsia="仿宋_GB2312" w:cs="Times New Roman"/>
          <w:b w:val="0"/>
          <w:bCs w:val="0"/>
          <w:color w:val="auto"/>
          <w:sz w:val="32"/>
          <w:szCs w:val="32"/>
          <w:highlight w:val="none"/>
          <w:lang w:val="en-US" w:eastAsia="zh-CN"/>
        </w:rPr>
        <w:t>连续两个</w:t>
      </w:r>
      <w:r>
        <w:rPr>
          <w:rFonts w:hint="default" w:ascii="Times New Roman" w:hAnsi="Times New Roman" w:eastAsia="仿宋_GB2312" w:cs="Times New Roman"/>
          <w:b w:val="0"/>
          <w:bCs w:val="0"/>
          <w:color w:val="auto"/>
          <w:sz w:val="32"/>
          <w:szCs w:val="32"/>
          <w:highlight w:val="none"/>
          <w:lang w:eastAsia="zh-CN"/>
        </w:rPr>
        <w:t>季度评</w:t>
      </w:r>
      <w:r>
        <w:rPr>
          <w:rFonts w:hint="default" w:ascii="Times New Roman" w:hAnsi="Times New Roman" w:eastAsia="仿宋_GB2312" w:cs="Times New Roman"/>
          <w:b w:val="0"/>
          <w:bCs w:val="0"/>
          <w:color w:val="auto"/>
          <w:sz w:val="32"/>
          <w:szCs w:val="32"/>
          <w:highlight w:val="none"/>
        </w:rPr>
        <w:t>“差”</w:t>
      </w:r>
      <w:r>
        <w:rPr>
          <w:rFonts w:hint="default" w:ascii="Times New Roman" w:hAnsi="Times New Roman" w:eastAsia="仿宋_GB2312" w:cs="Times New Roman"/>
          <w:b w:val="0"/>
          <w:bCs w:val="0"/>
          <w:color w:val="auto"/>
          <w:sz w:val="32"/>
          <w:szCs w:val="32"/>
          <w:highlight w:val="none"/>
          <w:lang w:eastAsia="zh-CN"/>
        </w:rPr>
        <w:t>的，</w:t>
      </w:r>
      <w:r>
        <w:rPr>
          <w:rFonts w:hint="default" w:ascii="Times New Roman" w:hAnsi="Times New Roman" w:eastAsia="仿宋_GB2312" w:cs="Times New Roman"/>
          <w:b w:val="0"/>
          <w:bCs w:val="0"/>
          <w:color w:val="auto"/>
          <w:sz w:val="32"/>
          <w:szCs w:val="32"/>
          <w:highlight w:val="none"/>
          <w:lang w:val="en-US" w:eastAsia="zh-CN"/>
        </w:rPr>
        <w:t>暂停业务12</w:t>
      </w:r>
      <w:r>
        <w:rPr>
          <w:rFonts w:hint="default" w:ascii="Times New Roman" w:hAnsi="Times New Roman" w:eastAsia="仿宋_GB2312" w:cs="Times New Roman"/>
          <w:b w:val="0"/>
          <w:bCs w:val="0"/>
          <w:color w:val="auto"/>
          <w:sz w:val="32"/>
          <w:szCs w:val="32"/>
          <w:highlight w:val="none"/>
        </w:rPr>
        <w:t>个月。</w:t>
      </w:r>
    </w:p>
    <w:p w14:paraId="7C02DFC9">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val="0"/>
          <w:bCs w:val="0"/>
          <w:color w:val="auto"/>
          <w:sz w:val="32"/>
          <w:szCs w:val="32"/>
          <w:highlight w:val="none"/>
        </w:rPr>
        <w:t>年度考核以当年所有项目日常考核结果</w:t>
      </w:r>
      <w:r>
        <w:rPr>
          <w:rFonts w:hint="default" w:ascii="Times New Roman" w:hAnsi="Times New Roman" w:eastAsia="仿宋_GB2312" w:cs="Times New Roman"/>
          <w:b w:val="0"/>
          <w:bCs w:val="0"/>
          <w:color w:val="auto"/>
          <w:sz w:val="32"/>
          <w:szCs w:val="32"/>
          <w:highlight w:val="none"/>
          <w:lang w:eastAsia="zh-CN"/>
        </w:rPr>
        <w:t>（本年度至少参评两次及以上）</w:t>
      </w:r>
      <w:r>
        <w:rPr>
          <w:rFonts w:hint="default" w:ascii="Times New Roman" w:hAnsi="Times New Roman" w:eastAsia="仿宋_GB2312" w:cs="Times New Roman"/>
          <w:b w:val="0"/>
          <w:bCs w:val="0"/>
          <w:color w:val="auto"/>
          <w:sz w:val="32"/>
          <w:szCs w:val="32"/>
          <w:highlight w:val="none"/>
        </w:rPr>
        <w:t>平均分作为年度综合评定分值，考核结果分设“优”、“良”、“中”、“差”四个等级。考核得</w:t>
      </w:r>
      <w:r>
        <w:rPr>
          <w:rFonts w:hint="default" w:ascii="Times New Roman" w:hAnsi="Times New Roman" w:eastAsia="仿宋_GB2312" w:cs="Times New Roman"/>
          <w:color w:val="auto"/>
          <w:sz w:val="32"/>
          <w:szCs w:val="32"/>
          <w:highlight w:val="none"/>
        </w:rPr>
        <w:t>分</w:t>
      </w:r>
      <w:r>
        <w:rPr>
          <w:rFonts w:hint="default" w:ascii="Times New Roman" w:hAnsi="Times New Roman" w:eastAsia="仿宋_GB2312" w:cs="Times New Roman"/>
          <w:color w:val="auto"/>
          <w:sz w:val="32"/>
          <w:szCs w:val="32"/>
          <w:highlight w:val="none"/>
          <w:lang w:eastAsia="zh-CN"/>
        </w:rPr>
        <w:t>9</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分及以上的造价企业评“优”，考核得分</w:t>
      </w:r>
      <w:r>
        <w:rPr>
          <w:rFonts w:hint="default" w:ascii="Times New Roman" w:hAnsi="Times New Roman" w:eastAsia="仿宋_GB2312" w:cs="Times New Roman"/>
          <w:color w:val="auto"/>
          <w:sz w:val="32"/>
          <w:szCs w:val="32"/>
          <w:highlight w:val="none"/>
          <w:lang w:eastAsia="zh-CN"/>
        </w:rPr>
        <w:t>8</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分（含）-</w:t>
      </w:r>
      <w:r>
        <w:rPr>
          <w:rFonts w:hint="default" w:ascii="Times New Roman" w:hAnsi="Times New Roman" w:eastAsia="仿宋_GB2312" w:cs="Times New Roman"/>
          <w:color w:val="auto"/>
          <w:sz w:val="32"/>
          <w:szCs w:val="32"/>
          <w:highlight w:val="none"/>
          <w:lang w:eastAsia="zh-CN"/>
        </w:rPr>
        <w:t>9</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分的造价企业评“良”，考核得分</w:t>
      </w:r>
      <w:r>
        <w:rPr>
          <w:rFonts w:hint="default" w:ascii="Times New Roman" w:hAnsi="Times New Roman" w:eastAsia="仿宋_GB2312" w:cs="Times New Roman"/>
          <w:color w:val="auto"/>
          <w:sz w:val="32"/>
          <w:szCs w:val="32"/>
          <w:highlight w:val="none"/>
          <w:lang w:eastAsia="zh-CN"/>
        </w:rPr>
        <w:t>70</w:t>
      </w:r>
      <w:r>
        <w:rPr>
          <w:rFonts w:hint="default" w:ascii="Times New Roman" w:hAnsi="Times New Roman" w:eastAsia="仿宋_GB2312" w:cs="Times New Roman"/>
          <w:color w:val="auto"/>
          <w:sz w:val="32"/>
          <w:szCs w:val="32"/>
          <w:highlight w:val="none"/>
        </w:rPr>
        <w:t>分（含）-</w:t>
      </w:r>
      <w:r>
        <w:rPr>
          <w:rFonts w:hint="default" w:ascii="Times New Roman" w:hAnsi="Times New Roman" w:eastAsia="仿宋_GB2312" w:cs="Times New Roman"/>
          <w:color w:val="auto"/>
          <w:sz w:val="32"/>
          <w:szCs w:val="32"/>
          <w:highlight w:val="none"/>
          <w:lang w:eastAsia="zh-CN"/>
        </w:rPr>
        <w:t>8</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分的造价企业评“中”，</w:t>
      </w:r>
      <w:r>
        <w:rPr>
          <w:rFonts w:hint="default" w:ascii="Times New Roman" w:hAnsi="Times New Roman" w:eastAsia="仿宋_GB2312" w:cs="Times New Roman"/>
          <w:color w:val="auto"/>
          <w:sz w:val="32"/>
          <w:szCs w:val="32"/>
          <w:highlight w:val="none"/>
          <w:lang w:eastAsia="zh-CN"/>
        </w:rPr>
        <w:t>70</w:t>
      </w:r>
      <w:r>
        <w:rPr>
          <w:rFonts w:hint="default" w:ascii="Times New Roman" w:hAnsi="Times New Roman" w:eastAsia="仿宋_GB2312" w:cs="Times New Roman"/>
          <w:color w:val="auto"/>
          <w:sz w:val="32"/>
          <w:szCs w:val="32"/>
          <w:highlight w:val="none"/>
        </w:rPr>
        <w:t>分以下的造价企业评“差”。年度考核评“优”的造价企业予以通报表扬</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颁发“优秀工程造价企业”证书，同时对项目</w:t>
      </w:r>
      <w:r>
        <w:rPr>
          <w:rFonts w:hint="default" w:ascii="Times New Roman" w:hAnsi="Times New Roman" w:eastAsia="仿宋_GB2312" w:cs="Times New Roman"/>
          <w:color w:val="auto"/>
          <w:sz w:val="32"/>
          <w:szCs w:val="32"/>
          <w:highlight w:val="none"/>
          <w:lang w:eastAsia="zh-CN"/>
        </w:rPr>
        <w:t>组成员</w:t>
      </w:r>
      <w:r>
        <w:rPr>
          <w:rFonts w:hint="default" w:ascii="Times New Roman" w:hAnsi="Times New Roman" w:eastAsia="仿宋_GB2312" w:cs="Times New Roman"/>
          <w:color w:val="auto"/>
          <w:sz w:val="32"/>
          <w:szCs w:val="32"/>
          <w:highlight w:val="none"/>
        </w:rPr>
        <w:t>颁发“优秀工程造价成果奖”证书</w:t>
      </w:r>
      <w:r>
        <w:rPr>
          <w:rFonts w:hint="default" w:ascii="Times New Roman" w:hAnsi="Times New Roman" w:eastAsia="仿宋_GB2312" w:cs="Times New Roman"/>
          <w:color w:val="auto"/>
          <w:sz w:val="32"/>
          <w:szCs w:val="32"/>
          <w:highlight w:val="none"/>
          <w:lang w:eastAsia="zh-CN"/>
        </w:rPr>
        <w:t>，按排名对造价企业予以项目奖励</w:t>
      </w:r>
      <w:r>
        <w:rPr>
          <w:rFonts w:hint="default" w:ascii="Times New Roman" w:hAnsi="Times New Roman" w:eastAsia="仿宋_GB2312" w:cs="Times New Roman"/>
          <w:color w:val="auto"/>
          <w:sz w:val="32"/>
          <w:szCs w:val="32"/>
          <w:highlight w:val="none"/>
        </w:rPr>
        <w:t>；年度考核评“差”的造价企业予以通报批评且</w:t>
      </w:r>
      <w:r>
        <w:rPr>
          <w:rFonts w:hint="default" w:ascii="Times New Roman" w:hAnsi="Times New Roman" w:eastAsia="仿宋_GB2312" w:cs="Times New Roman"/>
          <w:color w:val="auto"/>
          <w:sz w:val="32"/>
          <w:szCs w:val="32"/>
          <w:highlight w:val="none"/>
          <w:lang w:val="en-US" w:eastAsia="zh-CN"/>
        </w:rPr>
        <w:t>暂停业务</w:t>
      </w:r>
      <w:r>
        <w:rPr>
          <w:rFonts w:hint="default" w:ascii="Times New Roman" w:hAnsi="Times New Roman" w:eastAsia="仿宋_GB2312" w:cs="Times New Roman"/>
          <w:color w:val="auto"/>
          <w:sz w:val="32"/>
          <w:szCs w:val="32"/>
          <w:highlight w:val="none"/>
          <w:lang w:eastAsia="zh-CN"/>
        </w:rPr>
        <w:t>12</w:t>
      </w:r>
      <w:r>
        <w:rPr>
          <w:rFonts w:hint="default" w:ascii="Times New Roman" w:hAnsi="Times New Roman" w:eastAsia="仿宋_GB2312" w:cs="Times New Roman"/>
          <w:color w:val="auto"/>
          <w:sz w:val="32"/>
          <w:szCs w:val="32"/>
          <w:highlight w:val="none"/>
        </w:rPr>
        <w:t>个月。</w:t>
      </w:r>
    </w:p>
    <w:p w14:paraId="60F93DBD">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仿宋_GB2312" w:cs="Times New Roman"/>
          <w:b/>
          <w:bCs/>
          <w:color w:val="auto"/>
          <w:sz w:val="32"/>
          <w:szCs w:val="32"/>
          <w:highlight w:val="none"/>
          <w:lang w:eastAsia="zh-CN"/>
        </w:rPr>
        <w:t>第二十四条</w:t>
      </w:r>
      <w:r>
        <w:rPr>
          <w:rFonts w:hint="default" w:ascii="Times New Roman" w:hAnsi="Times New Roman" w:eastAsia="仿宋_GB2312" w:cs="Times New Roman"/>
          <w:color w:val="auto"/>
          <w:sz w:val="32"/>
          <w:szCs w:val="32"/>
          <w:highlight w:val="none"/>
          <w:lang w:val="en-US" w:eastAsia="zh-CN"/>
        </w:rPr>
        <w:t xml:space="preserve"> </w:t>
      </w:r>
      <w:r>
        <w:rPr>
          <w:rStyle w:val="155"/>
          <w:rFonts w:hint="default" w:ascii="Times New Roman" w:hAnsi="Times New Roman" w:eastAsia="仿宋_GB2312" w:cs="Times New Roman"/>
          <w:b w:val="0"/>
          <w:color w:val="auto"/>
          <w:sz w:val="32"/>
          <w:szCs w:val="32"/>
          <w:highlight w:val="none"/>
        </w:rPr>
        <w:t>结算审</w:t>
      </w:r>
      <w:r>
        <w:rPr>
          <w:rStyle w:val="155"/>
          <w:rFonts w:hint="default" w:ascii="Times New Roman" w:hAnsi="Times New Roman" w:cs="Times New Roman"/>
          <w:b w:val="0"/>
          <w:color w:val="auto"/>
          <w:sz w:val="32"/>
          <w:szCs w:val="32"/>
          <w:highlight w:val="none"/>
          <w:lang w:eastAsia="zh-CN"/>
        </w:rPr>
        <w:t>（复）</w:t>
      </w:r>
      <w:r>
        <w:rPr>
          <w:rStyle w:val="155"/>
          <w:rFonts w:hint="default" w:ascii="Times New Roman" w:hAnsi="Times New Roman" w:eastAsia="仿宋_GB2312" w:cs="Times New Roman"/>
          <w:b w:val="0"/>
          <w:color w:val="auto"/>
          <w:sz w:val="32"/>
          <w:szCs w:val="32"/>
          <w:highlight w:val="none"/>
        </w:rPr>
        <w:t>核</w:t>
      </w:r>
      <w:r>
        <w:rPr>
          <w:rStyle w:val="155"/>
          <w:rFonts w:hint="default" w:ascii="Times New Roman" w:hAnsi="Times New Roman" w:cs="Times New Roman"/>
          <w:b w:val="0"/>
          <w:color w:val="auto"/>
          <w:sz w:val="32"/>
          <w:szCs w:val="32"/>
          <w:highlight w:val="none"/>
          <w:lang w:eastAsia="zh-CN"/>
        </w:rPr>
        <w:t>成果质量</w:t>
      </w:r>
      <w:r>
        <w:rPr>
          <w:rStyle w:val="155"/>
          <w:rFonts w:hint="default" w:ascii="Times New Roman" w:hAnsi="Times New Roman" w:eastAsia="仿宋_GB2312" w:cs="Times New Roman"/>
          <w:b w:val="0"/>
          <w:color w:val="auto"/>
          <w:sz w:val="32"/>
          <w:szCs w:val="32"/>
          <w:highlight w:val="none"/>
        </w:rPr>
        <w:t>考核</w:t>
      </w:r>
      <w:r>
        <w:rPr>
          <w:rFonts w:hint="default" w:ascii="Times New Roman" w:hAnsi="Times New Roman" w:eastAsia="仿宋_GB2312" w:cs="Times New Roman"/>
          <w:color w:val="auto"/>
          <w:sz w:val="32"/>
          <w:szCs w:val="32"/>
          <w:highlight w:val="none"/>
        </w:rPr>
        <w:t>标准见《滁州市重点工程建设管理处</w:t>
      </w:r>
      <w:r>
        <w:rPr>
          <w:rStyle w:val="155"/>
          <w:rFonts w:hint="default" w:ascii="Times New Roman" w:hAnsi="Times New Roman" w:eastAsia="仿宋_GB2312" w:cs="Times New Roman"/>
          <w:b w:val="0"/>
          <w:color w:val="auto"/>
          <w:sz w:val="32"/>
          <w:szCs w:val="32"/>
          <w:highlight w:val="none"/>
        </w:rPr>
        <w:t>项目结算审</w:t>
      </w:r>
      <w:r>
        <w:rPr>
          <w:rStyle w:val="155"/>
          <w:rFonts w:hint="default" w:ascii="Times New Roman" w:hAnsi="Times New Roman" w:cs="Times New Roman"/>
          <w:b w:val="0"/>
          <w:color w:val="auto"/>
          <w:sz w:val="32"/>
          <w:szCs w:val="32"/>
          <w:highlight w:val="none"/>
          <w:lang w:eastAsia="zh-CN"/>
        </w:rPr>
        <w:t>（复）</w:t>
      </w:r>
      <w:r>
        <w:rPr>
          <w:rStyle w:val="155"/>
          <w:rFonts w:hint="default" w:ascii="Times New Roman" w:hAnsi="Times New Roman" w:eastAsia="仿宋_GB2312" w:cs="Times New Roman"/>
          <w:b w:val="0"/>
          <w:color w:val="auto"/>
          <w:sz w:val="32"/>
          <w:szCs w:val="32"/>
          <w:highlight w:val="none"/>
        </w:rPr>
        <w:t>核</w:t>
      </w:r>
      <w:r>
        <w:rPr>
          <w:rStyle w:val="155"/>
          <w:rFonts w:hint="default" w:ascii="Times New Roman" w:hAnsi="Times New Roman" w:cs="Times New Roman"/>
          <w:b w:val="0"/>
          <w:color w:val="auto"/>
          <w:sz w:val="32"/>
          <w:szCs w:val="32"/>
          <w:highlight w:val="none"/>
          <w:lang w:eastAsia="zh-CN"/>
        </w:rPr>
        <w:t>成果质量</w:t>
      </w:r>
      <w:r>
        <w:rPr>
          <w:rStyle w:val="155"/>
          <w:rFonts w:hint="default" w:ascii="Times New Roman" w:hAnsi="Times New Roman" w:eastAsia="仿宋_GB2312" w:cs="Times New Roman"/>
          <w:b w:val="0"/>
          <w:color w:val="auto"/>
          <w:sz w:val="32"/>
          <w:szCs w:val="32"/>
          <w:highlight w:val="none"/>
        </w:rPr>
        <w:t>考核表</w:t>
      </w:r>
      <w:r>
        <w:rPr>
          <w:rFonts w:hint="default" w:ascii="Times New Roman" w:hAnsi="Times New Roman" w:eastAsia="仿宋_GB2312" w:cs="Times New Roman"/>
          <w:color w:val="auto"/>
          <w:sz w:val="32"/>
          <w:szCs w:val="32"/>
          <w:highlight w:val="none"/>
        </w:rPr>
        <w:t>》（附件</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年度考核根据当年</w:t>
      </w:r>
      <w:r>
        <w:rPr>
          <w:rFonts w:hint="default" w:ascii="Times New Roman" w:hAnsi="Times New Roman" w:eastAsia="仿宋_GB2312" w:cs="Times New Roman"/>
          <w:color w:val="auto"/>
          <w:sz w:val="32"/>
          <w:szCs w:val="32"/>
          <w:highlight w:val="none"/>
          <w:lang w:eastAsia="zh-CN"/>
        </w:rPr>
        <w:t>完成结算的</w:t>
      </w:r>
      <w:r>
        <w:rPr>
          <w:rFonts w:hint="default" w:ascii="Times New Roman" w:hAnsi="Times New Roman" w:eastAsia="仿宋_GB2312" w:cs="Times New Roman"/>
          <w:color w:val="auto"/>
          <w:sz w:val="32"/>
          <w:szCs w:val="32"/>
          <w:highlight w:val="none"/>
        </w:rPr>
        <w:t>项目考核结果平均分作为年度综合评定分值，考核结果设“优”、“良”、“中”、“差”四个等级，得分</w:t>
      </w:r>
      <w:r>
        <w:rPr>
          <w:rFonts w:hint="default" w:ascii="Times New Roman" w:hAnsi="Times New Roman" w:eastAsia="仿宋_GB2312" w:cs="Times New Roman"/>
          <w:color w:val="auto"/>
          <w:sz w:val="32"/>
          <w:szCs w:val="32"/>
          <w:highlight w:val="none"/>
          <w:lang w:eastAsia="zh-CN"/>
        </w:rPr>
        <w:t>9</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分及以上的年度考核评“优”，得分</w:t>
      </w:r>
      <w:r>
        <w:rPr>
          <w:rFonts w:hint="default" w:ascii="Times New Roman" w:hAnsi="Times New Roman" w:eastAsia="仿宋_GB2312" w:cs="Times New Roman"/>
          <w:color w:val="auto"/>
          <w:sz w:val="32"/>
          <w:szCs w:val="32"/>
          <w:highlight w:val="none"/>
          <w:lang w:eastAsia="zh-CN"/>
        </w:rPr>
        <w:t>8</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分（含）-</w:t>
      </w:r>
      <w:r>
        <w:rPr>
          <w:rFonts w:hint="default" w:ascii="Times New Roman" w:hAnsi="Times New Roman" w:eastAsia="仿宋_GB2312" w:cs="Times New Roman"/>
          <w:color w:val="auto"/>
          <w:sz w:val="32"/>
          <w:szCs w:val="32"/>
          <w:highlight w:val="none"/>
          <w:lang w:eastAsia="zh-CN"/>
        </w:rPr>
        <w:t>9</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分的评“良”，得分</w:t>
      </w:r>
      <w:r>
        <w:rPr>
          <w:rFonts w:hint="default" w:ascii="Times New Roman" w:hAnsi="Times New Roman" w:eastAsia="仿宋_GB2312" w:cs="Times New Roman"/>
          <w:color w:val="auto"/>
          <w:sz w:val="32"/>
          <w:szCs w:val="32"/>
          <w:highlight w:val="none"/>
          <w:lang w:eastAsia="zh-CN"/>
        </w:rPr>
        <w:t>70</w:t>
      </w:r>
      <w:r>
        <w:rPr>
          <w:rFonts w:hint="default" w:ascii="Times New Roman" w:hAnsi="Times New Roman" w:eastAsia="仿宋_GB2312" w:cs="Times New Roman"/>
          <w:color w:val="auto"/>
          <w:sz w:val="32"/>
          <w:szCs w:val="32"/>
          <w:highlight w:val="none"/>
        </w:rPr>
        <w:t>分（含）-</w:t>
      </w:r>
      <w:r>
        <w:rPr>
          <w:rFonts w:hint="default" w:ascii="Times New Roman" w:hAnsi="Times New Roman" w:eastAsia="仿宋_GB2312" w:cs="Times New Roman"/>
          <w:color w:val="auto"/>
          <w:sz w:val="32"/>
          <w:szCs w:val="32"/>
          <w:highlight w:val="none"/>
          <w:lang w:eastAsia="zh-CN"/>
        </w:rPr>
        <w:t>8</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分的评“中”，</w:t>
      </w:r>
      <w:r>
        <w:rPr>
          <w:rFonts w:hint="default" w:ascii="Times New Roman" w:hAnsi="Times New Roman" w:eastAsia="仿宋_GB2312" w:cs="Times New Roman"/>
          <w:color w:val="auto"/>
          <w:sz w:val="32"/>
          <w:szCs w:val="32"/>
          <w:highlight w:val="none"/>
          <w:lang w:eastAsia="zh-CN"/>
        </w:rPr>
        <w:t>70</w:t>
      </w:r>
      <w:r>
        <w:rPr>
          <w:rFonts w:hint="default" w:ascii="Times New Roman" w:hAnsi="Times New Roman" w:eastAsia="仿宋_GB2312" w:cs="Times New Roman"/>
          <w:color w:val="auto"/>
          <w:sz w:val="32"/>
          <w:szCs w:val="32"/>
          <w:highlight w:val="none"/>
        </w:rPr>
        <w:t>分以下的评“差”。年度考核评“优”的造价企业予以通报表扬</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颁发“优秀工程造价企业”证书，同时对项目</w:t>
      </w:r>
      <w:r>
        <w:rPr>
          <w:rFonts w:hint="default" w:ascii="Times New Roman" w:hAnsi="Times New Roman" w:eastAsia="仿宋_GB2312" w:cs="Times New Roman"/>
          <w:color w:val="auto"/>
          <w:sz w:val="32"/>
          <w:szCs w:val="32"/>
          <w:highlight w:val="none"/>
          <w:lang w:eastAsia="zh-CN"/>
        </w:rPr>
        <w:t>组成员</w:t>
      </w:r>
      <w:r>
        <w:rPr>
          <w:rFonts w:hint="default" w:ascii="Times New Roman" w:hAnsi="Times New Roman" w:eastAsia="仿宋_GB2312" w:cs="Times New Roman"/>
          <w:color w:val="auto"/>
          <w:sz w:val="32"/>
          <w:szCs w:val="32"/>
          <w:highlight w:val="none"/>
        </w:rPr>
        <w:t>颁发“优秀工程造价成果奖”证书</w:t>
      </w:r>
      <w:r>
        <w:rPr>
          <w:rFonts w:hint="default" w:ascii="Times New Roman" w:hAnsi="Times New Roman" w:eastAsia="仿宋_GB2312" w:cs="Times New Roman"/>
          <w:color w:val="auto"/>
          <w:sz w:val="32"/>
          <w:szCs w:val="32"/>
          <w:highlight w:val="none"/>
          <w:lang w:eastAsia="zh-CN"/>
        </w:rPr>
        <w:t>，按排名对造价企业予以项目奖励</w:t>
      </w:r>
      <w:r>
        <w:rPr>
          <w:rFonts w:hint="default" w:ascii="Times New Roman" w:hAnsi="Times New Roman" w:eastAsia="仿宋_GB2312" w:cs="Times New Roman"/>
          <w:color w:val="auto"/>
          <w:sz w:val="32"/>
          <w:szCs w:val="32"/>
          <w:highlight w:val="none"/>
        </w:rPr>
        <w:t>；年度考核评“差”的造价企业予以通报批评</w:t>
      </w:r>
      <w:r>
        <w:rPr>
          <w:rFonts w:hint="default" w:ascii="Times New Roman" w:hAnsi="Times New Roman" w:eastAsia="仿宋_GB2312" w:cs="Times New Roman"/>
          <w:color w:val="auto"/>
          <w:sz w:val="32"/>
          <w:szCs w:val="32"/>
          <w:highlight w:val="none"/>
          <w:lang w:eastAsia="zh-CN"/>
        </w:rPr>
        <w:t>并</w:t>
      </w:r>
      <w:r>
        <w:rPr>
          <w:rFonts w:hint="default" w:ascii="Times New Roman" w:hAnsi="Times New Roman" w:eastAsia="仿宋_GB2312" w:cs="Times New Roman"/>
          <w:color w:val="auto"/>
          <w:sz w:val="32"/>
          <w:szCs w:val="32"/>
          <w:highlight w:val="none"/>
        </w:rPr>
        <w:t>进行约谈。</w:t>
      </w:r>
    </w:p>
    <w:p w14:paraId="2B87FD58">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第七章 罚则</w:t>
      </w:r>
    </w:p>
    <w:p w14:paraId="54F3FB77">
      <w:pPr>
        <w:keepNext w:val="0"/>
        <w:keepLines w:val="0"/>
        <w:pageBreakBefore w:val="0"/>
        <w:numPr>
          <w:ilvl w:val="0"/>
          <w:numId w:val="0"/>
        </w:numPr>
        <w:kinsoku/>
        <w:wordWrap/>
        <w:overflowPunct/>
        <w:topLinePunct w:val="0"/>
        <w:autoSpaceDE/>
        <w:autoSpaceDN/>
        <w:bidi w:val="0"/>
        <w:adjustRightInd/>
        <w:spacing w:line="400" w:lineRule="exact"/>
        <w:ind w:firstLine="643"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rPr>
        <w:t>第二十</w:t>
      </w:r>
      <w:r>
        <w:rPr>
          <w:rFonts w:hint="default" w:ascii="Times New Roman" w:hAnsi="Times New Roman" w:eastAsia="仿宋_GB2312" w:cs="Times New Roman"/>
          <w:b/>
          <w:bCs/>
          <w:color w:val="auto"/>
          <w:sz w:val="32"/>
          <w:szCs w:val="32"/>
          <w:highlight w:val="none"/>
          <w:lang w:eastAsia="zh-CN"/>
        </w:rPr>
        <w:t>五</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项目施工过程中发现清单错漏项，累计5万元（含）-30万元（不含）的，给予企业4000元的违约金处罚；累计30万元（含）-50万元（不含）的，给予企业8000元的违约金处罚；累计50万元（含）-100万元（不含）的，给予企业12000元的违约金处罚；累计100万元（含）以上且误差率3%（含）以内的，给予企业20000元的违约金处罚，暂停业务6个月；累计100万元（含）以上的且误差率在3%（不含）-5%（含）的，暂停业务12个月，给予企业10%咨询服务费的违约金处罚且不低于20000元；累计100万元（含）以上的且误差率超过5%（含）的，暂停业务12个月，给予企业50%咨询服务费的违约金处罚且不低于20000元并对企业及相关责任人进行通报，上述违约金处罚以服务费用总额为上限。</w:t>
      </w:r>
    </w:p>
    <w:p w14:paraId="427758E1">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lang w:eastAsia="zh-CN"/>
        </w:rPr>
        <w:t>第二十六条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项目跟踪审计、</w:t>
      </w:r>
      <w:r>
        <w:rPr>
          <w:rFonts w:hint="default" w:ascii="Times New Roman" w:hAnsi="Times New Roman" w:eastAsia="仿宋_GB2312" w:cs="Times New Roman"/>
          <w:b w:val="0"/>
          <w:bCs w:val="0"/>
          <w:color w:val="auto"/>
          <w:sz w:val="32"/>
          <w:szCs w:val="32"/>
          <w:highlight w:val="none"/>
        </w:rPr>
        <w:t>结算审核服务费</w:t>
      </w:r>
      <w:r>
        <w:rPr>
          <w:rFonts w:hint="default" w:ascii="Times New Roman" w:hAnsi="Times New Roman" w:eastAsia="仿宋_GB2312" w:cs="Times New Roman"/>
          <w:b w:val="0"/>
          <w:bCs w:val="0"/>
          <w:color w:val="auto"/>
          <w:sz w:val="32"/>
          <w:szCs w:val="32"/>
          <w:highlight w:val="none"/>
          <w:lang w:eastAsia="zh-CN"/>
        </w:rPr>
        <w:t>的误差违约金处罚</w:t>
      </w:r>
      <w:r>
        <w:rPr>
          <w:rFonts w:hint="default" w:ascii="Times New Roman" w:hAnsi="Times New Roman" w:eastAsia="仿宋_GB2312" w:cs="Times New Roman"/>
          <w:color w:val="auto"/>
          <w:sz w:val="32"/>
          <w:szCs w:val="32"/>
          <w:highlight w:val="none"/>
        </w:rPr>
        <w:t>根据第三方复审</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综合计划科复核</w:t>
      </w:r>
      <w:r>
        <w:rPr>
          <w:rFonts w:hint="default" w:ascii="Times New Roman" w:hAnsi="Times New Roman" w:eastAsia="仿宋_GB2312" w:cs="Times New Roman"/>
          <w:color w:val="auto"/>
          <w:sz w:val="32"/>
          <w:szCs w:val="32"/>
          <w:highlight w:val="none"/>
          <w:lang w:eastAsia="zh-CN"/>
        </w:rPr>
        <w:t>或</w:t>
      </w:r>
      <w:r>
        <w:rPr>
          <w:rFonts w:hint="default" w:ascii="Times New Roman" w:hAnsi="Times New Roman" w:eastAsia="仿宋_GB2312" w:cs="Times New Roman"/>
          <w:color w:val="auto"/>
          <w:sz w:val="32"/>
          <w:szCs w:val="32"/>
          <w:highlight w:val="none"/>
        </w:rPr>
        <w:t>市财政工程造价审核中心</w:t>
      </w:r>
      <w:r>
        <w:rPr>
          <w:rFonts w:hint="default" w:ascii="Times New Roman" w:hAnsi="Times New Roman" w:eastAsia="仿宋_GB2312" w:cs="Times New Roman"/>
          <w:color w:val="auto"/>
          <w:sz w:val="32"/>
          <w:szCs w:val="32"/>
          <w:highlight w:val="none"/>
          <w:lang w:eastAsia="zh-CN"/>
        </w:rPr>
        <w:t>的</w:t>
      </w:r>
      <w:r>
        <w:rPr>
          <w:rFonts w:hint="default" w:ascii="Times New Roman" w:hAnsi="Times New Roman" w:eastAsia="仿宋_GB2312" w:cs="Times New Roman"/>
          <w:color w:val="auto"/>
          <w:sz w:val="32"/>
          <w:szCs w:val="32"/>
          <w:highlight w:val="none"/>
        </w:rPr>
        <w:t>审核结果</w:t>
      </w:r>
      <w:r>
        <w:rPr>
          <w:rFonts w:hint="default" w:ascii="Times New Roman" w:hAnsi="Times New Roman" w:eastAsia="仿宋_GB2312" w:cs="Times New Roman"/>
          <w:color w:val="auto"/>
          <w:sz w:val="32"/>
          <w:szCs w:val="32"/>
          <w:highlight w:val="none"/>
          <w:lang w:eastAsia="zh-CN"/>
        </w:rPr>
        <w:t>确定</w:t>
      </w:r>
      <w:r>
        <w:rPr>
          <w:rFonts w:hint="default" w:ascii="Times New Roman" w:hAnsi="Times New Roman" w:eastAsia="仿宋_GB2312" w:cs="Times New Roman"/>
          <w:color w:val="auto"/>
          <w:sz w:val="32"/>
          <w:szCs w:val="32"/>
          <w:highlight w:val="none"/>
        </w:rPr>
        <w:t>：</w:t>
      </w:r>
    </w:p>
    <w:p w14:paraId="2D009790">
      <w:pPr>
        <w:keepNext w:val="0"/>
        <w:keepLines w:val="0"/>
        <w:pageBreakBefore w:val="0"/>
        <w:numPr>
          <w:ilvl w:val="0"/>
          <w:numId w:val="5"/>
        </w:numPr>
        <w:kinsoku/>
        <w:wordWrap/>
        <w:overflowPunct/>
        <w:topLinePunct w:val="0"/>
        <w:autoSpaceDE/>
        <w:autoSpaceDN/>
        <w:bidi w:val="0"/>
        <w:adjustRightInd/>
        <w:spacing w:line="400" w:lineRule="exact"/>
        <w:ind w:left="-10" w:leftChars="0" w:firstLine="640" w:firstLineChars="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审核结果误差在</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%（含）之间，</w:t>
      </w:r>
      <w:r>
        <w:rPr>
          <w:rFonts w:hint="default" w:ascii="Times New Roman" w:hAnsi="Times New Roman" w:eastAsia="仿宋_GB2312" w:cs="Times New Roman"/>
          <w:color w:val="auto"/>
          <w:sz w:val="32"/>
          <w:szCs w:val="32"/>
          <w:highlight w:val="none"/>
          <w:lang w:eastAsia="zh-CN"/>
        </w:rPr>
        <w:t>以服务费的</w:t>
      </w:r>
      <w:r>
        <w:rPr>
          <w:rFonts w:hint="default" w:ascii="Times New Roman" w:hAnsi="Times New Roman" w:eastAsia="仿宋_GB2312" w:cs="Times New Roman"/>
          <w:b/>
          <w:bCs/>
          <w:color w:val="auto"/>
          <w:sz w:val="32"/>
          <w:szCs w:val="32"/>
          <w:highlight w:val="none"/>
          <w:lang w:val="en-US" w:eastAsia="zh-CN"/>
        </w:rPr>
        <w:t>25</w:t>
      </w:r>
      <w:r>
        <w:rPr>
          <w:rFonts w:hint="default" w:ascii="Times New Roman" w:hAnsi="Times New Roman" w:eastAsia="仿宋_GB2312" w:cs="Times New Roman"/>
          <w:b/>
          <w:bCs/>
          <w:color w:val="auto"/>
          <w:sz w:val="32"/>
          <w:szCs w:val="32"/>
          <w:highlight w:val="none"/>
        </w:rPr>
        <w:t>%</w:t>
      </w:r>
      <w:r>
        <w:rPr>
          <w:rFonts w:hint="default" w:ascii="Times New Roman" w:hAnsi="Times New Roman" w:eastAsia="仿宋_GB2312" w:cs="Times New Roman"/>
          <w:b w:val="0"/>
          <w:bCs w:val="0"/>
          <w:color w:val="auto"/>
          <w:sz w:val="32"/>
          <w:szCs w:val="32"/>
          <w:highlight w:val="none"/>
          <w:lang w:eastAsia="zh-CN"/>
        </w:rPr>
        <w:t>作为违约金</w:t>
      </w:r>
      <w:r>
        <w:rPr>
          <w:rFonts w:hint="default" w:ascii="Times New Roman" w:hAnsi="Times New Roman" w:eastAsia="仿宋_GB2312" w:cs="Times New Roman"/>
          <w:color w:val="auto"/>
          <w:sz w:val="32"/>
          <w:szCs w:val="32"/>
          <w:highlight w:val="none"/>
        </w:rPr>
        <w:t>；</w:t>
      </w:r>
    </w:p>
    <w:p w14:paraId="53C4FBE2">
      <w:pPr>
        <w:keepNext w:val="0"/>
        <w:keepLines w:val="0"/>
        <w:pageBreakBefore w:val="0"/>
        <w:numPr>
          <w:ilvl w:val="0"/>
          <w:numId w:val="5"/>
        </w:numPr>
        <w:kinsoku/>
        <w:wordWrap/>
        <w:overflowPunct/>
        <w:topLinePunct w:val="0"/>
        <w:autoSpaceDE/>
        <w:autoSpaceDN/>
        <w:bidi w:val="0"/>
        <w:adjustRightInd/>
        <w:spacing w:line="400" w:lineRule="exact"/>
        <w:ind w:left="-10" w:leftChars="0" w:firstLine="640" w:firstLineChars="0"/>
        <w:jc w:val="left"/>
        <w:textAlignment w:val="auto"/>
        <w:rPr>
          <w:rFonts w:hint="default" w:ascii="Times New Roman" w:hAnsi="Times New Roman" w:cs="Times New Roman"/>
          <w:color w:val="auto"/>
          <w:sz w:val="32"/>
          <w:szCs w:val="32"/>
          <w:highlight w:val="none"/>
        </w:rPr>
      </w:pPr>
      <w:r>
        <w:rPr>
          <w:rFonts w:hint="default" w:ascii="Times New Roman" w:hAnsi="Times New Roman" w:eastAsia="仿宋_GB2312" w:cs="Times New Roman"/>
          <w:color w:val="auto"/>
          <w:sz w:val="32"/>
          <w:szCs w:val="32"/>
          <w:highlight w:val="none"/>
        </w:rPr>
        <w:t>审核结果误差在</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%（含）之间，</w:t>
      </w:r>
      <w:r>
        <w:rPr>
          <w:rFonts w:hint="default" w:ascii="Times New Roman" w:hAnsi="Times New Roman" w:eastAsia="仿宋_GB2312" w:cs="Times New Roman"/>
          <w:color w:val="auto"/>
          <w:sz w:val="32"/>
          <w:szCs w:val="32"/>
          <w:highlight w:val="none"/>
          <w:lang w:eastAsia="zh-CN"/>
        </w:rPr>
        <w:t>以服务费的</w:t>
      </w:r>
      <w:r>
        <w:rPr>
          <w:rFonts w:hint="default" w:ascii="Times New Roman" w:hAnsi="Times New Roman" w:eastAsia="仿宋_GB2312" w:cs="Times New Roman"/>
          <w:b/>
          <w:bCs/>
          <w:color w:val="auto"/>
          <w:sz w:val="32"/>
          <w:szCs w:val="32"/>
          <w:highlight w:val="none"/>
          <w:lang w:val="en-US" w:eastAsia="zh-CN"/>
        </w:rPr>
        <w:t>50</w:t>
      </w:r>
      <w:r>
        <w:rPr>
          <w:rFonts w:hint="default" w:ascii="Times New Roman" w:hAnsi="Times New Roman" w:eastAsia="仿宋_GB2312" w:cs="Times New Roman"/>
          <w:b/>
          <w:bCs/>
          <w:color w:val="auto"/>
          <w:sz w:val="32"/>
          <w:szCs w:val="32"/>
          <w:highlight w:val="none"/>
        </w:rPr>
        <w:t>%</w:t>
      </w:r>
      <w:r>
        <w:rPr>
          <w:rFonts w:hint="default" w:ascii="Times New Roman" w:hAnsi="Times New Roman" w:eastAsia="仿宋_GB2312" w:cs="Times New Roman"/>
          <w:b w:val="0"/>
          <w:bCs w:val="0"/>
          <w:color w:val="auto"/>
          <w:sz w:val="32"/>
          <w:szCs w:val="32"/>
          <w:highlight w:val="none"/>
          <w:lang w:eastAsia="zh-CN"/>
        </w:rPr>
        <w:t>作为违约金</w:t>
      </w:r>
      <w:r>
        <w:rPr>
          <w:rFonts w:hint="default" w:ascii="Times New Roman" w:hAnsi="Times New Roman" w:eastAsia="仿宋_GB2312" w:cs="Times New Roman"/>
          <w:color w:val="auto"/>
          <w:sz w:val="32"/>
          <w:szCs w:val="32"/>
          <w:highlight w:val="none"/>
        </w:rPr>
        <w:t>；</w:t>
      </w:r>
    </w:p>
    <w:p w14:paraId="49182F4F">
      <w:pPr>
        <w:keepNext w:val="0"/>
        <w:keepLines w:val="0"/>
        <w:pageBreakBefore w:val="0"/>
        <w:numPr>
          <w:ilvl w:val="0"/>
          <w:numId w:val="5"/>
        </w:numPr>
        <w:kinsoku/>
        <w:wordWrap/>
        <w:overflowPunct/>
        <w:topLinePunct w:val="0"/>
        <w:autoSpaceDE/>
        <w:autoSpaceDN/>
        <w:bidi w:val="0"/>
        <w:adjustRightInd/>
        <w:spacing w:line="400" w:lineRule="exact"/>
        <w:ind w:left="-10" w:leftChars="0" w:firstLine="640" w:firstLineChars="0"/>
        <w:jc w:val="left"/>
        <w:textAlignment w:val="auto"/>
        <w:rPr>
          <w:rFonts w:hint="default" w:ascii="Times New Roman" w:hAnsi="Times New Roman"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审核结果误差在</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%（含）之间，</w:t>
      </w:r>
      <w:r>
        <w:rPr>
          <w:rFonts w:hint="default" w:ascii="Times New Roman" w:hAnsi="Times New Roman" w:eastAsia="仿宋_GB2312" w:cs="Times New Roman"/>
          <w:color w:val="auto"/>
          <w:sz w:val="32"/>
          <w:szCs w:val="32"/>
          <w:highlight w:val="none"/>
          <w:lang w:eastAsia="zh-CN"/>
        </w:rPr>
        <w:t>以服务费的</w:t>
      </w:r>
      <w:r>
        <w:rPr>
          <w:rFonts w:hint="default" w:ascii="Times New Roman" w:hAnsi="Times New Roman" w:eastAsia="仿宋_GB2312" w:cs="Times New Roman"/>
          <w:b/>
          <w:bCs/>
          <w:color w:val="auto"/>
          <w:sz w:val="32"/>
          <w:szCs w:val="32"/>
          <w:highlight w:val="none"/>
          <w:lang w:val="en-US" w:eastAsia="zh-CN"/>
        </w:rPr>
        <w:t>75</w:t>
      </w:r>
      <w:r>
        <w:rPr>
          <w:rFonts w:hint="default" w:ascii="Times New Roman" w:hAnsi="Times New Roman" w:eastAsia="仿宋_GB2312" w:cs="Times New Roman"/>
          <w:b/>
          <w:bCs/>
          <w:color w:val="auto"/>
          <w:sz w:val="32"/>
          <w:szCs w:val="32"/>
          <w:highlight w:val="none"/>
        </w:rPr>
        <w:t>%</w:t>
      </w:r>
      <w:r>
        <w:rPr>
          <w:rFonts w:hint="default" w:ascii="Times New Roman" w:hAnsi="Times New Roman" w:eastAsia="仿宋_GB2312" w:cs="Times New Roman"/>
          <w:b w:val="0"/>
          <w:bCs w:val="0"/>
          <w:color w:val="auto"/>
          <w:sz w:val="32"/>
          <w:szCs w:val="32"/>
          <w:highlight w:val="none"/>
          <w:lang w:eastAsia="zh-CN"/>
        </w:rPr>
        <w:t>作为违约金</w:t>
      </w:r>
      <w:r>
        <w:rPr>
          <w:rFonts w:hint="default" w:ascii="Times New Roman" w:hAnsi="Times New Roman" w:eastAsia="仿宋_GB2312" w:cs="Times New Roman"/>
          <w:color w:val="auto"/>
          <w:sz w:val="32"/>
          <w:szCs w:val="32"/>
          <w:highlight w:val="none"/>
        </w:rPr>
        <w:t>；</w:t>
      </w:r>
    </w:p>
    <w:p w14:paraId="1DCE3536">
      <w:pPr>
        <w:keepNext w:val="0"/>
        <w:keepLines w:val="0"/>
        <w:pageBreakBefore w:val="0"/>
        <w:numPr>
          <w:ilvl w:val="0"/>
          <w:numId w:val="5"/>
        </w:numPr>
        <w:kinsoku/>
        <w:wordWrap/>
        <w:overflowPunct/>
        <w:topLinePunct w:val="0"/>
        <w:autoSpaceDE/>
        <w:autoSpaceDN/>
        <w:bidi w:val="0"/>
        <w:adjustRightInd/>
        <w:spacing w:line="400" w:lineRule="exact"/>
        <w:ind w:left="-10" w:leftChars="0" w:firstLine="640" w:firstLineChars="0"/>
        <w:jc w:val="left"/>
        <w:textAlignment w:val="auto"/>
        <w:rPr>
          <w:rFonts w:hint="default" w:ascii="Times New Roman" w:hAnsi="Times New Roman"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审核结果误差超过</w:t>
      </w: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的</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eastAsia="zh-CN"/>
        </w:rPr>
        <w:t>以全额服务费</w:t>
      </w:r>
      <w:r>
        <w:rPr>
          <w:rFonts w:hint="default" w:ascii="Times New Roman" w:hAnsi="Times New Roman" w:eastAsia="仿宋_GB2312" w:cs="Times New Roman"/>
          <w:b w:val="0"/>
          <w:bCs w:val="0"/>
          <w:color w:val="auto"/>
          <w:sz w:val="32"/>
          <w:szCs w:val="32"/>
          <w:highlight w:val="none"/>
          <w:lang w:eastAsia="zh-CN"/>
        </w:rPr>
        <w:t>作为违约金</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 xml:space="preserve">同时，工程造价 </w:t>
      </w:r>
      <w:r>
        <w:rPr>
          <w:rFonts w:hint="default" w:ascii="Times New Roman" w:hAnsi="Times New Roman" w:eastAsia="仿宋_GB2312" w:cs="Times New Roman"/>
          <w:color w:val="auto"/>
          <w:sz w:val="32"/>
          <w:szCs w:val="32"/>
          <w:highlight w:val="none"/>
          <w:lang w:eastAsia="zh-CN"/>
        </w:rPr>
        <w:t>1000</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5000</w:t>
      </w:r>
      <w:r>
        <w:rPr>
          <w:rFonts w:hint="default" w:ascii="Times New Roman" w:hAnsi="Times New Roman" w:eastAsia="仿宋_GB2312" w:cs="Times New Roman"/>
          <w:color w:val="auto"/>
          <w:sz w:val="32"/>
          <w:szCs w:val="32"/>
          <w:highlight w:val="none"/>
        </w:rPr>
        <w:t xml:space="preserve"> 万元项目，</w:t>
      </w:r>
      <w:r>
        <w:rPr>
          <w:rFonts w:hint="default" w:ascii="Times New Roman" w:hAnsi="Times New Roman" w:eastAsia="仿宋_GB2312" w:cs="Times New Roman"/>
          <w:color w:val="auto"/>
          <w:sz w:val="32"/>
          <w:szCs w:val="32"/>
          <w:highlight w:val="none"/>
          <w:lang w:eastAsia="zh-CN"/>
        </w:rPr>
        <w:t>暂停</w:t>
      </w:r>
      <w:r>
        <w:rPr>
          <w:rFonts w:hint="default" w:ascii="Times New Roman" w:hAnsi="Times New Roman" w:eastAsia="仿宋_GB2312" w:cs="Times New Roman"/>
          <w:color w:val="auto"/>
          <w:sz w:val="32"/>
          <w:szCs w:val="32"/>
          <w:highlight w:val="none"/>
        </w:rPr>
        <w:t>业务</w:t>
      </w:r>
      <w:r>
        <w:rPr>
          <w:rFonts w:hint="default" w:ascii="Times New Roman" w:hAnsi="Times New Roman" w:eastAsia="仿宋_GB2312" w:cs="Times New Roman"/>
          <w:color w:val="auto"/>
          <w:sz w:val="32"/>
          <w:szCs w:val="32"/>
          <w:highlight w:val="none"/>
          <w:lang w:val="en-US" w:eastAsia="zh-CN"/>
        </w:rPr>
        <w:t>6个月</w:t>
      </w:r>
      <w:r>
        <w:rPr>
          <w:rFonts w:hint="default" w:ascii="Times New Roman" w:hAnsi="Times New Roman" w:eastAsia="仿宋_GB2312" w:cs="Times New Roman"/>
          <w:color w:val="auto"/>
          <w:sz w:val="32"/>
          <w:szCs w:val="32"/>
          <w:highlight w:val="none"/>
        </w:rPr>
        <w:t xml:space="preserve">；工程造价 </w:t>
      </w:r>
      <w:r>
        <w:rPr>
          <w:rFonts w:hint="default" w:ascii="Times New Roman" w:hAnsi="Times New Roman" w:eastAsia="仿宋_GB2312" w:cs="Times New Roman"/>
          <w:color w:val="auto"/>
          <w:sz w:val="32"/>
          <w:szCs w:val="32"/>
          <w:highlight w:val="none"/>
          <w:lang w:eastAsia="zh-CN"/>
        </w:rPr>
        <w:t>5000</w:t>
      </w:r>
      <w:r>
        <w:rPr>
          <w:rFonts w:hint="default" w:ascii="Times New Roman" w:hAnsi="Times New Roman" w:eastAsia="仿宋_GB2312" w:cs="Times New Roman"/>
          <w:color w:val="auto"/>
          <w:sz w:val="32"/>
          <w:szCs w:val="32"/>
          <w:highlight w:val="none"/>
        </w:rPr>
        <w:t xml:space="preserve"> 万元以上项目，</w:t>
      </w:r>
      <w:r>
        <w:rPr>
          <w:rFonts w:hint="default" w:ascii="Times New Roman" w:hAnsi="Times New Roman" w:eastAsia="仿宋_GB2312" w:cs="Times New Roman"/>
          <w:color w:val="auto"/>
          <w:sz w:val="32"/>
          <w:szCs w:val="32"/>
          <w:highlight w:val="none"/>
          <w:lang w:eastAsia="zh-CN"/>
        </w:rPr>
        <w:t>暂停</w:t>
      </w:r>
      <w:r>
        <w:rPr>
          <w:rFonts w:hint="default" w:ascii="Times New Roman" w:hAnsi="Times New Roman" w:eastAsia="仿宋_GB2312" w:cs="Times New Roman"/>
          <w:color w:val="auto"/>
          <w:sz w:val="32"/>
          <w:szCs w:val="32"/>
          <w:highlight w:val="none"/>
        </w:rPr>
        <w:t>业务</w:t>
      </w:r>
      <w:r>
        <w:rPr>
          <w:rFonts w:hint="default" w:ascii="Times New Roman" w:hAnsi="Times New Roman" w:eastAsia="仿宋_GB2312" w:cs="Times New Roman"/>
          <w:color w:val="auto"/>
          <w:sz w:val="32"/>
          <w:szCs w:val="32"/>
          <w:highlight w:val="none"/>
          <w:lang w:val="en-US" w:eastAsia="zh-CN"/>
        </w:rPr>
        <w:t>12个月。</w:t>
      </w:r>
    </w:p>
    <w:p w14:paraId="2B54126E">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lang w:val="en-US" w:eastAsia="zh-CN"/>
        </w:rPr>
        <w:t>第二十七条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造价企业应在规定时间内提交</w:t>
      </w:r>
      <w:r>
        <w:rPr>
          <w:rFonts w:hint="default" w:ascii="Times New Roman" w:hAnsi="Times New Roman" w:eastAsia="仿宋_GB2312" w:cs="Times New Roman"/>
          <w:color w:val="auto"/>
          <w:sz w:val="32"/>
          <w:szCs w:val="32"/>
          <w:highlight w:val="none"/>
          <w:lang w:eastAsia="zh-CN"/>
        </w:rPr>
        <w:t>咨询成果文件</w:t>
      </w:r>
      <w:r>
        <w:rPr>
          <w:rFonts w:hint="default" w:ascii="Times New Roman" w:hAnsi="Times New Roman" w:eastAsia="仿宋_GB2312" w:cs="Times New Roman"/>
          <w:color w:val="auto"/>
          <w:sz w:val="32"/>
          <w:szCs w:val="32"/>
          <w:highlight w:val="none"/>
        </w:rPr>
        <w:t>，因造价企业原因未能按</w:t>
      </w:r>
      <w:r>
        <w:rPr>
          <w:rFonts w:hint="default" w:ascii="Times New Roman" w:hAnsi="Times New Roman" w:eastAsia="仿宋_GB2312" w:cs="Times New Roman"/>
          <w:color w:val="auto"/>
          <w:sz w:val="32"/>
          <w:szCs w:val="32"/>
          <w:highlight w:val="none"/>
          <w:lang w:eastAsia="zh-CN"/>
        </w:rPr>
        <w:t>时</w:t>
      </w:r>
      <w:r>
        <w:rPr>
          <w:rFonts w:hint="default" w:ascii="Times New Roman" w:hAnsi="Times New Roman" w:eastAsia="仿宋_GB2312" w:cs="Times New Roman"/>
          <w:color w:val="auto"/>
          <w:sz w:val="32"/>
          <w:szCs w:val="32"/>
          <w:highlight w:val="none"/>
        </w:rPr>
        <w:t>提交，超过</w:t>
      </w:r>
      <w:r>
        <w:rPr>
          <w:rFonts w:hint="default" w:ascii="Times New Roman" w:hAnsi="Times New Roman" w:eastAsia="仿宋_GB2312" w:cs="Times New Roman"/>
          <w:color w:val="auto"/>
          <w:sz w:val="32"/>
          <w:szCs w:val="32"/>
          <w:highlight w:val="none"/>
          <w:lang w:eastAsia="zh-CN"/>
        </w:rPr>
        <w:t>5</w:t>
      </w:r>
      <w:r>
        <w:rPr>
          <w:rFonts w:hint="default" w:ascii="Times New Roman" w:hAnsi="Times New Roman" w:eastAsia="仿宋_GB2312" w:cs="Times New Roman"/>
          <w:color w:val="auto"/>
          <w:sz w:val="32"/>
          <w:szCs w:val="32"/>
          <w:highlight w:val="none"/>
        </w:rPr>
        <w:t>日的，扣咨询服务费</w:t>
      </w:r>
      <w:r>
        <w:rPr>
          <w:rFonts w:hint="default" w:ascii="Times New Roman" w:hAnsi="Times New Roman" w:eastAsia="仿宋_GB2312" w:cs="Times New Roman"/>
          <w:color w:val="auto"/>
          <w:sz w:val="32"/>
          <w:szCs w:val="32"/>
          <w:highlight w:val="none"/>
          <w:lang w:eastAsia="zh-CN"/>
        </w:rPr>
        <w:t>500</w:t>
      </w:r>
      <w:r>
        <w:rPr>
          <w:rFonts w:hint="default" w:ascii="Times New Roman" w:hAnsi="Times New Roman" w:eastAsia="仿宋_GB2312" w:cs="Times New Roman"/>
          <w:color w:val="auto"/>
          <w:sz w:val="32"/>
          <w:szCs w:val="32"/>
          <w:highlight w:val="none"/>
        </w:rPr>
        <w:t>元/日；超</w:t>
      </w:r>
      <w:r>
        <w:rPr>
          <w:rFonts w:hint="default" w:ascii="Times New Roman" w:hAnsi="Times New Roman" w:eastAsia="仿宋_GB2312" w:cs="Times New Roman"/>
          <w:color w:val="auto"/>
          <w:sz w:val="32"/>
          <w:szCs w:val="32"/>
          <w:highlight w:val="none"/>
          <w:lang w:eastAsia="zh-CN"/>
        </w:rPr>
        <w:t>过15</w:t>
      </w:r>
      <w:r>
        <w:rPr>
          <w:rFonts w:hint="default" w:ascii="Times New Roman" w:hAnsi="Times New Roman" w:eastAsia="仿宋_GB2312" w:cs="Times New Roman"/>
          <w:color w:val="auto"/>
          <w:sz w:val="32"/>
          <w:szCs w:val="32"/>
          <w:highlight w:val="none"/>
        </w:rPr>
        <w:t>日的，扣咨询服务费</w:t>
      </w:r>
      <w:r>
        <w:rPr>
          <w:rFonts w:hint="default" w:ascii="Times New Roman" w:hAnsi="Times New Roman" w:eastAsia="仿宋_GB2312" w:cs="Times New Roman"/>
          <w:color w:val="auto"/>
          <w:sz w:val="32"/>
          <w:szCs w:val="32"/>
          <w:highlight w:val="none"/>
          <w:lang w:eastAsia="zh-CN"/>
        </w:rPr>
        <w:t>1000</w:t>
      </w:r>
      <w:r>
        <w:rPr>
          <w:rFonts w:hint="default" w:ascii="Times New Roman" w:hAnsi="Times New Roman" w:eastAsia="仿宋_GB2312" w:cs="Times New Roman"/>
          <w:color w:val="auto"/>
          <w:sz w:val="32"/>
          <w:szCs w:val="32"/>
          <w:highlight w:val="none"/>
        </w:rPr>
        <w:t>元/日；超</w:t>
      </w:r>
      <w:r>
        <w:rPr>
          <w:rFonts w:hint="default" w:ascii="Times New Roman" w:hAnsi="Times New Roman" w:eastAsia="仿宋_GB2312" w:cs="Times New Roman"/>
          <w:color w:val="auto"/>
          <w:sz w:val="32"/>
          <w:szCs w:val="32"/>
          <w:highlight w:val="none"/>
          <w:lang w:eastAsia="zh-CN"/>
        </w:rPr>
        <w:t>过</w:t>
      </w:r>
      <w:r>
        <w:rPr>
          <w:rFonts w:hint="default" w:ascii="Times New Roman" w:hAnsi="Times New Roman" w:eastAsia="仿宋_GB2312" w:cs="Times New Roman"/>
          <w:color w:val="auto"/>
          <w:sz w:val="32"/>
          <w:szCs w:val="32"/>
          <w:highlight w:val="none"/>
        </w:rPr>
        <w:t>规定时间一半以上的，终止委托</w:t>
      </w:r>
      <w:r>
        <w:rPr>
          <w:rFonts w:hint="default" w:ascii="Times New Roman" w:hAnsi="Times New Roman" w:eastAsia="仿宋_GB2312" w:cs="Times New Roman"/>
          <w:color w:val="auto"/>
          <w:sz w:val="32"/>
          <w:szCs w:val="32"/>
          <w:highlight w:val="none"/>
          <w:lang w:eastAsia="zh-CN"/>
        </w:rPr>
        <w:t>业务</w:t>
      </w:r>
      <w:r>
        <w:rPr>
          <w:rFonts w:hint="default" w:ascii="Times New Roman" w:hAnsi="Times New Roman" w:eastAsia="仿宋_GB2312" w:cs="Times New Roman"/>
          <w:color w:val="auto"/>
          <w:sz w:val="32"/>
          <w:szCs w:val="32"/>
          <w:highlight w:val="none"/>
        </w:rPr>
        <w:t>。</w:t>
      </w:r>
    </w:p>
    <w:p w14:paraId="3AA6F107">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b/>
          <w:bCs/>
          <w:color w:val="auto"/>
          <w:sz w:val="32"/>
          <w:szCs w:val="32"/>
          <w:highlight w:val="none"/>
        </w:rPr>
        <w:t>第</w:t>
      </w:r>
      <w:r>
        <w:rPr>
          <w:rFonts w:hint="default" w:ascii="Times New Roman" w:hAnsi="Times New Roman" w:eastAsia="仿宋_GB2312" w:cs="Times New Roman"/>
          <w:b/>
          <w:bCs/>
          <w:color w:val="auto"/>
          <w:sz w:val="32"/>
          <w:szCs w:val="32"/>
          <w:highlight w:val="none"/>
          <w:lang w:eastAsia="zh-CN"/>
        </w:rPr>
        <w:t>二十八</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造价企业</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sz w:val="32"/>
          <w:szCs w:val="32"/>
          <w:highlight w:val="none"/>
        </w:rPr>
        <w:t>人员）不得接受项目施工单位的结算编制等影响审计独立性的业务，一经发现，</w:t>
      </w:r>
      <w:r>
        <w:rPr>
          <w:rFonts w:hint="default" w:ascii="Times New Roman" w:hAnsi="Times New Roman" w:eastAsia="仿宋_GB2312" w:cs="Times New Roman"/>
          <w:color w:val="auto"/>
          <w:sz w:val="32"/>
          <w:szCs w:val="32"/>
          <w:highlight w:val="none"/>
          <w:lang w:eastAsia="zh-CN"/>
        </w:rPr>
        <w:t>终止</w:t>
      </w:r>
      <w:r>
        <w:rPr>
          <w:rFonts w:hint="default" w:ascii="Times New Roman" w:hAnsi="Times New Roman" w:eastAsia="仿宋_GB2312" w:cs="Times New Roman"/>
          <w:color w:val="auto"/>
          <w:sz w:val="32"/>
          <w:szCs w:val="32"/>
          <w:highlight w:val="none"/>
        </w:rPr>
        <w:t>项目造价咨询委托协议，清除出库，并在处官网通报，同时抄送市审计局，市住建局，市财政局</w:t>
      </w:r>
      <w:r>
        <w:rPr>
          <w:rFonts w:hint="default" w:ascii="Times New Roman" w:hAnsi="Times New Roman" w:eastAsia="仿宋_GB2312" w:cs="Times New Roman"/>
          <w:color w:val="auto"/>
          <w:sz w:val="32"/>
          <w:szCs w:val="32"/>
          <w:highlight w:val="none"/>
          <w:lang w:eastAsia="zh-CN"/>
        </w:rPr>
        <w:t>，市公管局</w:t>
      </w:r>
      <w:r>
        <w:rPr>
          <w:rFonts w:hint="default" w:ascii="Times New Roman" w:hAnsi="Times New Roman" w:eastAsia="仿宋_GB2312" w:cs="Times New Roman"/>
          <w:color w:val="auto"/>
          <w:sz w:val="32"/>
          <w:szCs w:val="32"/>
          <w:highlight w:val="none"/>
        </w:rPr>
        <w:t>。</w:t>
      </w:r>
    </w:p>
    <w:p w14:paraId="388D75A1">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default" w:ascii="Times New Roman" w:hAnsi="Times New Roman" w:eastAsia="仿宋_GB2312" w:cs="Times New Roman"/>
          <w:b/>
          <w:bCs/>
          <w:color w:val="auto"/>
          <w:sz w:val="32"/>
          <w:szCs w:val="32"/>
          <w:highlight w:val="none"/>
          <w:lang w:eastAsia="zh-CN"/>
        </w:rPr>
        <w:t>二十九</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造价企业有下列情形之一的，可扣减审计服务费用，终止审计委托协议，提请行政主管部门给予警告、通报，清除出库</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有限期或无限期禁止从事我处项目等处罚</w:t>
      </w:r>
      <w:r>
        <w:rPr>
          <w:rFonts w:hint="default" w:ascii="Times New Roman" w:hAnsi="Times New Roman" w:eastAsia="仿宋_GB2312" w:cs="Times New Roman"/>
          <w:color w:val="auto"/>
          <w:sz w:val="32"/>
          <w:szCs w:val="32"/>
          <w:highlight w:val="none"/>
          <w:lang w:eastAsia="zh-CN"/>
        </w:rPr>
        <w:t>，构成犯罪的，依法追究刑事责任</w:t>
      </w:r>
      <w:r>
        <w:rPr>
          <w:rFonts w:hint="default" w:ascii="Times New Roman" w:hAnsi="Times New Roman" w:eastAsia="仿宋_GB2312" w:cs="Times New Roman"/>
          <w:color w:val="auto"/>
          <w:sz w:val="32"/>
          <w:szCs w:val="32"/>
          <w:highlight w:val="none"/>
        </w:rPr>
        <w:t>：</w:t>
      </w:r>
    </w:p>
    <w:p w14:paraId="2F82BC99">
      <w:pPr>
        <w:keepNext w:val="0"/>
        <w:keepLines w:val="0"/>
        <w:pageBreakBefore w:val="0"/>
        <w:numPr>
          <w:ilvl w:val="0"/>
          <w:numId w:val="6"/>
        </w:numPr>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工程结算审核报告存在重大失误或质量低劣；</w:t>
      </w:r>
    </w:p>
    <w:p w14:paraId="7C33F91C">
      <w:pPr>
        <w:keepNext w:val="0"/>
        <w:keepLines w:val="0"/>
        <w:pageBreakBefore w:val="0"/>
        <w:numPr>
          <w:ilvl w:val="0"/>
          <w:numId w:val="6"/>
        </w:numPr>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因自身工作错误或过失造成重大损失；</w:t>
      </w:r>
    </w:p>
    <w:p w14:paraId="2C18A935">
      <w:pPr>
        <w:keepNext w:val="0"/>
        <w:keepLines w:val="0"/>
        <w:pageBreakBefore w:val="0"/>
        <w:numPr>
          <w:ilvl w:val="0"/>
          <w:numId w:val="6"/>
        </w:numPr>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未经允许私自向施工单位透露审核情况或信息；</w:t>
      </w:r>
    </w:p>
    <w:p w14:paraId="702EA5F5">
      <w:pPr>
        <w:keepNext w:val="0"/>
        <w:keepLines w:val="0"/>
        <w:pageBreakBefore w:val="0"/>
        <w:numPr>
          <w:ilvl w:val="0"/>
          <w:numId w:val="6"/>
        </w:numPr>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向相关单位或个人索要财物等谋取不正当利益；</w:t>
      </w:r>
    </w:p>
    <w:p w14:paraId="249FAD4E">
      <w:pPr>
        <w:keepNext w:val="0"/>
        <w:keepLines w:val="0"/>
        <w:pageBreakBefore w:val="0"/>
        <w:numPr>
          <w:ilvl w:val="0"/>
          <w:numId w:val="6"/>
        </w:numPr>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单独或与其他各方串通舞弊、弄虚作假；</w:t>
      </w:r>
    </w:p>
    <w:p w14:paraId="52E49EC7">
      <w:pPr>
        <w:keepNext w:val="0"/>
        <w:keepLines w:val="0"/>
        <w:pageBreakBefore w:val="0"/>
        <w:numPr>
          <w:ilvl w:val="0"/>
          <w:numId w:val="6"/>
        </w:numPr>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其他违反法律法规和</w:t>
      </w:r>
      <w:r>
        <w:rPr>
          <w:rFonts w:hint="default" w:ascii="Times New Roman" w:hAnsi="Times New Roman" w:eastAsia="仿宋_GB2312" w:cs="Times New Roman"/>
          <w:color w:val="auto"/>
          <w:sz w:val="32"/>
          <w:szCs w:val="32"/>
          <w:highlight w:val="none"/>
          <w:lang w:eastAsia="zh-CN"/>
        </w:rPr>
        <w:t>规定</w:t>
      </w:r>
      <w:r>
        <w:rPr>
          <w:rFonts w:hint="default" w:ascii="Times New Roman" w:hAnsi="Times New Roman" w:eastAsia="仿宋_GB2312" w:cs="Times New Roman"/>
          <w:color w:val="auto"/>
          <w:sz w:val="32"/>
          <w:szCs w:val="32"/>
          <w:highlight w:val="none"/>
        </w:rPr>
        <w:t>的行为。</w:t>
      </w:r>
    </w:p>
    <w:p w14:paraId="0668D6B9">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default" w:ascii="Times New Roman" w:hAnsi="Times New Roman" w:eastAsia="仿宋_GB2312" w:cs="Times New Roman"/>
          <w:b/>
          <w:bCs/>
          <w:color w:val="auto"/>
          <w:sz w:val="32"/>
          <w:szCs w:val="32"/>
          <w:highlight w:val="none"/>
          <w:lang w:eastAsia="zh-CN"/>
        </w:rPr>
        <w:t>三十</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造价企业存在转包、违法分包等行为的，</w:t>
      </w:r>
      <w:r>
        <w:rPr>
          <w:rFonts w:hint="default" w:ascii="Times New Roman" w:hAnsi="Times New Roman" w:eastAsia="仿宋_GB2312" w:cs="Times New Roman"/>
          <w:color w:val="auto"/>
          <w:sz w:val="32"/>
          <w:szCs w:val="32"/>
          <w:highlight w:val="none"/>
        </w:rPr>
        <w:t>无证人员执业、挂靠执业、执业人员不到岗等违反相关</w:t>
      </w:r>
      <w:r>
        <w:rPr>
          <w:rFonts w:hint="default" w:ascii="Times New Roman" w:hAnsi="Times New Roman" w:eastAsia="仿宋_GB2312" w:cs="Times New Roman"/>
          <w:color w:val="auto"/>
          <w:sz w:val="32"/>
          <w:szCs w:val="32"/>
          <w:highlight w:val="none"/>
          <w:lang w:eastAsia="zh-CN"/>
        </w:rPr>
        <w:t>法规的，将按相关法规进行处罚，终止</w:t>
      </w:r>
      <w:r>
        <w:rPr>
          <w:rFonts w:hint="default" w:ascii="Times New Roman" w:hAnsi="Times New Roman" w:eastAsia="仿宋_GB2312" w:cs="Times New Roman"/>
          <w:color w:val="auto"/>
          <w:sz w:val="32"/>
          <w:szCs w:val="32"/>
          <w:highlight w:val="none"/>
        </w:rPr>
        <w:t>委托业务</w:t>
      </w:r>
      <w:r>
        <w:rPr>
          <w:rFonts w:hint="default" w:ascii="Times New Roman" w:hAnsi="Times New Roman" w:eastAsia="仿宋_GB2312" w:cs="Times New Roman"/>
          <w:color w:val="auto"/>
          <w:sz w:val="32"/>
          <w:szCs w:val="32"/>
          <w:highlight w:val="none"/>
          <w:lang w:eastAsia="zh-CN"/>
        </w:rPr>
        <w:t>，清除出库，三年内不得申请入库</w:t>
      </w:r>
      <w:r>
        <w:rPr>
          <w:rFonts w:hint="default" w:ascii="Times New Roman" w:hAnsi="Times New Roman" w:eastAsia="仿宋_GB2312" w:cs="Times New Roman"/>
          <w:color w:val="auto"/>
          <w:sz w:val="32"/>
          <w:szCs w:val="32"/>
          <w:highlight w:val="none"/>
        </w:rPr>
        <w:t>。</w:t>
      </w:r>
    </w:p>
    <w:p w14:paraId="4BF85EDC">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rPr>
        <w:t>第八章 附则</w:t>
      </w:r>
    </w:p>
    <w:p w14:paraId="20649371">
      <w:pPr>
        <w:keepNext w:val="0"/>
        <w:keepLines w:val="0"/>
        <w:pageBreakBefore w:val="0"/>
        <w:kinsoku/>
        <w:wordWrap/>
        <w:overflowPunct/>
        <w:topLinePunct w:val="0"/>
        <w:autoSpaceDE/>
        <w:autoSpaceDN/>
        <w:bidi w:val="0"/>
        <w:adjustRightInd/>
        <w:snapToGrid w:val="0"/>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第三十一条</w:t>
      </w:r>
      <w:r>
        <w:rPr>
          <w:rFonts w:hint="default" w:ascii="Times New Roman" w:hAnsi="Times New Roman" w:eastAsia="仿宋_GB2312" w:cs="Times New Roman"/>
          <w:color w:val="auto"/>
          <w:sz w:val="32"/>
          <w:szCs w:val="32"/>
          <w:highlight w:val="none"/>
          <w:lang w:val="en-US" w:eastAsia="zh-CN"/>
        </w:rPr>
        <w:t xml:space="preserve">  对</w:t>
      </w:r>
      <w:r>
        <w:rPr>
          <w:rFonts w:hint="default" w:ascii="Times New Roman" w:hAnsi="Times New Roman" w:eastAsia="仿宋_GB2312" w:cs="Times New Roman"/>
          <w:color w:val="auto"/>
          <w:sz w:val="32"/>
          <w:szCs w:val="32"/>
          <w:highlight w:val="none"/>
          <w:lang w:eastAsia="zh-CN"/>
        </w:rPr>
        <w:t>清单编制企业的处罚，由工程建设科牵头，召集设计、清单编制、施工、监理、跟踪审计、工程监管科、综合计划科，并提出处理意见，经项目分管领导批准后，工程建设科报主任办公会研究，工程监管科落实处罚。</w:t>
      </w:r>
    </w:p>
    <w:p w14:paraId="0704E26E">
      <w:pPr>
        <w:keepNext w:val="0"/>
        <w:keepLines w:val="0"/>
        <w:pageBreakBefore w:val="0"/>
        <w:kinsoku/>
        <w:wordWrap/>
        <w:overflowPunct/>
        <w:topLinePunct w:val="0"/>
        <w:autoSpaceDE/>
        <w:autoSpaceDN/>
        <w:bidi w:val="0"/>
        <w:adjustRightInd/>
        <w:snapToGrid w:val="0"/>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lang w:val="en-US" w:eastAsia="zh-CN"/>
        </w:rPr>
        <w:t>第三十二条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考核由综合计划科负责</w:t>
      </w:r>
      <w:r>
        <w:rPr>
          <w:rFonts w:hint="default" w:ascii="Times New Roman" w:hAnsi="Times New Roman" w:eastAsia="仿宋_GB2312" w:cs="Times New Roman"/>
          <w:color w:val="auto"/>
          <w:sz w:val="32"/>
          <w:szCs w:val="32"/>
          <w:highlight w:val="none"/>
          <w:lang w:eastAsia="zh-CN"/>
        </w:rPr>
        <w:t>实施</w:t>
      </w:r>
      <w:r>
        <w:rPr>
          <w:rFonts w:hint="default" w:ascii="Times New Roman" w:hAnsi="Times New Roman" w:eastAsia="仿宋_GB2312" w:cs="Times New Roman"/>
          <w:color w:val="auto"/>
          <w:sz w:val="32"/>
          <w:szCs w:val="32"/>
          <w:highlight w:val="none"/>
        </w:rPr>
        <w:t>，工程建设相关科室配合</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考核结果</w:t>
      </w:r>
      <w:r>
        <w:rPr>
          <w:rFonts w:hint="default" w:ascii="Times New Roman" w:hAnsi="Times New Roman" w:eastAsia="仿宋_GB2312" w:cs="Times New Roman"/>
          <w:b w:val="0"/>
          <w:bCs w:val="0"/>
          <w:color w:val="auto"/>
          <w:sz w:val="32"/>
          <w:szCs w:val="32"/>
          <w:highlight w:val="none"/>
          <w:lang w:eastAsia="zh-CN"/>
        </w:rPr>
        <w:t>经</w:t>
      </w:r>
      <w:r>
        <w:rPr>
          <w:rFonts w:hint="default" w:ascii="Times New Roman" w:hAnsi="Times New Roman" w:eastAsia="仿宋_GB2312" w:cs="Times New Roman"/>
          <w:b w:val="0"/>
          <w:bCs w:val="0"/>
          <w:color w:val="auto"/>
          <w:sz w:val="32"/>
          <w:szCs w:val="32"/>
          <w:highlight w:val="none"/>
        </w:rPr>
        <w:t>综合计划科分管领导</w:t>
      </w:r>
      <w:r>
        <w:rPr>
          <w:rFonts w:hint="default" w:ascii="Times New Roman" w:hAnsi="Times New Roman" w:eastAsia="仿宋_GB2312" w:cs="Times New Roman"/>
          <w:b w:val="0"/>
          <w:bCs w:val="0"/>
          <w:color w:val="auto"/>
          <w:sz w:val="32"/>
          <w:szCs w:val="32"/>
          <w:highlight w:val="none"/>
          <w:lang w:eastAsia="zh-CN"/>
        </w:rPr>
        <w:t>审核</w:t>
      </w:r>
      <w:r>
        <w:rPr>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color w:val="auto"/>
          <w:sz w:val="32"/>
          <w:szCs w:val="32"/>
          <w:highlight w:val="none"/>
        </w:rPr>
        <w:t>综合计划科</w:t>
      </w:r>
      <w:r>
        <w:rPr>
          <w:rFonts w:hint="default" w:ascii="Times New Roman" w:hAnsi="Times New Roman" w:eastAsia="仿宋_GB2312" w:cs="Times New Roman"/>
          <w:b w:val="0"/>
          <w:bCs w:val="0"/>
          <w:color w:val="auto"/>
          <w:sz w:val="32"/>
          <w:szCs w:val="32"/>
          <w:highlight w:val="none"/>
          <w:lang w:eastAsia="zh-CN"/>
        </w:rPr>
        <w:t>报</w:t>
      </w:r>
      <w:r>
        <w:rPr>
          <w:rFonts w:hint="default" w:ascii="Times New Roman" w:hAnsi="Times New Roman" w:eastAsia="仿宋_GB2312" w:cs="Times New Roman"/>
          <w:b w:val="0"/>
          <w:bCs w:val="0"/>
          <w:color w:val="auto"/>
          <w:sz w:val="32"/>
          <w:szCs w:val="32"/>
          <w:highlight w:val="none"/>
        </w:rPr>
        <w:t>主任办公会</w:t>
      </w:r>
      <w:r>
        <w:rPr>
          <w:rFonts w:hint="default" w:ascii="Times New Roman" w:hAnsi="Times New Roman" w:eastAsia="仿宋_GB2312" w:cs="Times New Roman"/>
          <w:b w:val="0"/>
          <w:bCs w:val="0"/>
          <w:color w:val="auto"/>
          <w:sz w:val="32"/>
          <w:szCs w:val="32"/>
          <w:highlight w:val="none"/>
          <w:lang w:eastAsia="zh-CN"/>
        </w:rPr>
        <w:t>研究，</w:t>
      </w:r>
      <w:r>
        <w:rPr>
          <w:rFonts w:hint="default" w:ascii="Times New Roman" w:hAnsi="Times New Roman" w:eastAsia="仿宋_GB2312" w:cs="Times New Roman"/>
          <w:color w:val="auto"/>
          <w:sz w:val="32"/>
          <w:szCs w:val="32"/>
          <w:highlight w:val="none"/>
          <w:lang w:eastAsia="zh-CN"/>
        </w:rPr>
        <w:t>工程监管科</w:t>
      </w:r>
      <w:r>
        <w:rPr>
          <w:rFonts w:hint="default" w:ascii="Times New Roman" w:hAnsi="Times New Roman" w:eastAsia="仿宋_GB2312" w:cs="Times New Roman"/>
          <w:b w:val="0"/>
          <w:bCs w:val="0"/>
          <w:color w:val="auto"/>
          <w:sz w:val="32"/>
          <w:szCs w:val="32"/>
          <w:highlight w:val="none"/>
          <w:lang w:eastAsia="zh-CN"/>
        </w:rPr>
        <w:t>落实</w:t>
      </w:r>
      <w:r>
        <w:rPr>
          <w:rFonts w:hint="default" w:ascii="Times New Roman" w:hAnsi="Times New Roman" w:eastAsia="仿宋_GB2312" w:cs="Times New Roman"/>
          <w:color w:val="auto"/>
          <w:sz w:val="32"/>
          <w:szCs w:val="32"/>
          <w:highlight w:val="none"/>
          <w:lang w:eastAsia="zh-CN"/>
        </w:rPr>
        <w:t>处罚</w:t>
      </w:r>
      <w:r>
        <w:rPr>
          <w:rFonts w:hint="default" w:ascii="Times New Roman" w:hAnsi="Times New Roman" w:eastAsia="仿宋_GB2312" w:cs="Times New Roman"/>
          <w:b w:val="0"/>
          <w:bCs w:val="0"/>
          <w:color w:val="auto"/>
          <w:sz w:val="32"/>
          <w:szCs w:val="32"/>
          <w:highlight w:val="none"/>
          <w:lang w:eastAsia="zh-CN"/>
        </w:rPr>
        <w:t>。</w:t>
      </w:r>
    </w:p>
    <w:p w14:paraId="69EEFBA8">
      <w:pPr>
        <w:keepNext w:val="0"/>
        <w:keepLines w:val="0"/>
        <w:pageBreakBefore w:val="0"/>
        <w:kinsoku/>
        <w:wordWrap/>
        <w:overflowPunct/>
        <w:topLinePunct w:val="0"/>
        <w:autoSpaceDE/>
        <w:autoSpaceDN/>
        <w:bidi w:val="0"/>
        <w:adjustRightInd/>
        <w:spacing w:line="400" w:lineRule="exact"/>
        <w:ind w:firstLine="645"/>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default" w:ascii="Times New Roman" w:hAnsi="Times New Roman" w:eastAsia="仿宋_GB2312" w:cs="Times New Roman"/>
          <w:b/>
          <w:bCs/>
          <w:color w:val="auto"/>
          <w:sz w:val="32"/>
          <w:szCs w:val="32"/>
          <w:highlight w:val="none"/>
          <w:lang w:eastAsia="zh-CN"/>
        </w:rPr>
        <w:t>三十三</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暂停业务范围包括清单编制、跟踪审计和结算审核等，暂停时间自</w:t>
      </w:r>
      <w:r>
        <w:rPr>
          <w:rFonts w:hint="default" w:ascii="Times New Roman" w:hAnsi="Times New Roman" w:eastAsia="仿宋_GB2312" w:cs="Times New Roman"/>
          <w:b w:val="0"/>
          <w:bCs w:val="0"/>
          <w:color w:val="auto"/>
          <w:sz w:val="32"/>
          <w:szCs w:val="32"/>
          <w:highlight w:val="none"/>
          <w:lang w:val="en-US" w:eastAsia="zh-CN"/>
        </w:rPr>
        <w:t>主任办公会研究通过之日起计算。</w:t>
      </w:r>
    </w:p>
    <w:p w14:paraId="27779C98">
      <w:pPr>
        <w:keepNext w:val="0"/>
        <w:keepLines w:val="0"/>
        <w:pageBreakBefore w:val="0"/>
        <w:kinsoku/>
        <w:wordWrap/>
        <w:overflowPunct/>
        <w:topLinePunct w:val="0"/>
        <w:autoSpaceDE/>
        <w:autoSpaceDN/>
        <w:bidi w:val="0"/>
        <w:adjustRightInd/>
        <w:spacing w:line="400" w:lineRule="exact"/>
        <w:ind w:firstLine="645"/>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default" w:ascii="Times New Roman" w:hAnsi="Times New Roman" w:eastAsia="仿宋_GB2312" w:cs="Times New Roman"/>
          <w:b/>
          <w:bCs/>
          <w:color w:val="auto"/>
          <w:sz w:val="32"/>
          <w:szCs w:val="32"/>
          <w:highlight w:val="none"/>
          <w:lang w:eastAsia="zh-CN"/>
        </w:rPr>
        <w:t>三十四</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本办法自</w:t>
      </w:r>
      <w:r>
        <w:rPr>
          <w:rFonts w:hint="default" w:ascii="Times New Roman" w:hAnsi="Times New Roman" w:eastAsia="仿宋_GB2312" w:cs="Times New Roman"/>
          <w:color w:val="auto"/>
          <w:sz w:val="32"/>
          <w:szCs w:val="32"/>
          <w:highlight w:val="none"/>
          <w:lang w:val="en-US" w:eastAsia="zh-CN"/>
        </w:rPr>
        <w:t>2022年</w:t>
      </w:r>
      <w:r>
        <w:rPr>
          <w:rFonts w:hint="eastAsia" w:ascii="Times New Roman" w:hAnsi="Times New Roman"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lang w:val="en-US" w:eastAsia="zh-CN"/>
        </w:rPr>
        <w:t>月</w:t>
      </w:r>
      <w:r>
        <w:rPr>
          <w:rFonts w:hint="eastAsia"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val="en-US" w:eastAsia="zh-CN"/>
        </w:rPr>
        <w:t>日</w:t>
      </w:r>
      <w:r>
        <w:rPr>
          <w:rFonts w:hint="default" w:ascii="Times New Roman" w:hAnsi="Times New Roman" w:eastAsia="仿宋_GB2312" w:cs="Times New Roman"/>
          <w:color w:val="auto"/>
          <w:sz w:val="32"/>
          <w:szCs w:val="32"/>
          <w:highlight w:val="none"/>
        </w:rPr>
        <w:t>起施行，处属各中心可参照执行</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《工程造价咨询服务管理办法</w:t>
      </w:r>
      <w:r>
        <w:rPr>
          <w:rFonts w:hint="default" w:ascii="Times New Roman" w:hAnsi="Times New Roman" w:eastAsia="仿宋_GB2312" w:cs="Times New Roman"/>
          <w:color w:val="auto"/>
          <w:sz w:val="32"/>
          <w:szCs w:val="32"/>
          <w:highlight w:val="none"/>
          <w:lang w:eastAsia="zh-CN"/>
        </w:rPr>
        <w:t>（试行）</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滁重〔</w:t>
      </w:r>
      <w:r>
        <w:rPr>
          <w:rFonts w:hint="default" w:ascii="Times New Roman" w:hAnsi="Times New Roman" w:eastAsia="仿宋_GB2312" w:cs="Times New Roman"/>
          <w:color w:val="auto"/>
          <w:sz w:val="32"/>
          <w:szCs w:val="32"/>
          <w:highlight w:val="none"/>
          <w:lang w:eastAsia="zh-CN"/>
        </w:rPr>
        <w:t>20</w:t>
      </w:r>
      <w:r>
        <w:rPr>
          <w:rFonts w:hint="default" w:ascii="Times New Roman" w:hAnsi="Times New Roman" w:eastAsia="仿宋_GB2312" w:cs="Times New Roman"/>
          <w:color w:val="auto"/>
          <w:sz w:val="32"/>
          <w:szCs w:val="32"/>
          <w:highlight w:val="none"/>
          <w:lang w:val="en-US" w:eastAsia="zh-CN"/>
        </w:rPr>
        <w:t>20</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 w:cs="Times New Roman"/>
          <w:color w:val="auto"/>
          <w:sz w:val="32"/>
          <w:szCs w:val="32"/>
          <w:highlight w:val="none"/>
          <w:shd w:val="clear" w:color="auto" w:fill="auto"/>
          <w:lang w:val="en-US" w:eastAsia="zh-CN"/>
        </w:rPr>
        <w:t>61</w:t>
      </w:r>
      <w:r>
        <w:rPr>
          <w:rFonts w:hint="default" w:ascii="Times New Roman" w:hAnsi="Times New Roman" w:eastAsia="仿宋_GB2312" w:cs="Times New Roman"/>
          <w:color w:val="auto"/>
          <w:sz w:val="32"/>
          <w:szCs w:val="32"/>
          <w:highlight w:val="none"/>
        </w:rPr>
        <w:t>号</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《工程</w:t>
      </w:r>
      <w:r>
        <w:rPr>
          <w:rFonts w:hint="default" w:ascii="Times New Roman" w:hAnsi="Times New Roman" w:eastAsia="仿宋_GB2312" w:cs="Times New Roman"/>
          <w:color w:val="auto"/>
          <w:sz w:val="32"/>
          <w:szCs w:val="32"/>
          <w:highlight w:val="none"/>
          <w:lang w:eastAsia="zh-CN"/>
        </w:rPr>
        <w:t>量清单及最高投标限价编制管理办法</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滁重〔</w:t>
      </w:r>
      <w:r>
        <w:rPr>
          <w:rFonts w:hint="default" w:ascii="Times New Roman" w:hAnsi="Times New Roman" w:eastAsia="仿宋_GB2312" w:cs="Times New Roman"/>
          <w:color w:val="auto"/>
          <w:sz w:val="32"/>
          <w:szCs w:val="32"/>
          <w:highlight w:val="none"/>
          <w:lang w:eastAsia="zh-CN"/>
        </w:rPr>
        <w:t>20</w:t>
      </w:r>
      <w:r>
        <w:rPr>
          <w:rFonts w:hint="default" w:ascii="Times New Roman" w:hAnsi="Times New Roman" w:eastAsia="仿宋_GB2312" w:cs="Times New Roman"/>
          <w:color w:val="auto"/>
          <w:sz w:val="32"/>
          <w:szCs w:val="32"/>
          <w:highlight w:val="none"/>
          <w:lang w:val="en-US" w:eastAsia="zh-CN"/>
        </w:rPr>
        <w:t>19</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46</w:t>
      </w:r>
      <w:r>
        <w:rPr>
          <w:rFonts w:hint="default" w:ascii="Times New Roman" w:hAnsi="Times New Roman" w:eastAsia="仿宋_GB2312" w:cs="Times New Roman"/>
          <w:color w:val="auto"/>
          <w:sz w:val="32"/>
          <w:szCs w:val="32"/>
          <w:highlight w:val="none"/>
        </w:rPr>
        <w:t>号</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废止。</w:t>
      </w:r>
    </w:p>
    <w:p w14:paraId="46314354">
      <w:pPr>
        <w:keepNext w:val="0"/>
        <w:keepLines w:val="0"/>
        <w:pageBreakBefore w:val="0"/>
        <w:kinsoku/>
        <w:wordWrap/>
        <w:overflowPunct/>
        <w:topLinePunct w:val="0"/>
        <w:autoSpaceDE/>
        <w:autoSpaceDN/>
        <w:bidi w:val="0"/>
        <w:adjustRightInd/>
        <w:spacing w:line="400" w:lineRule="exact"/>
        <w:textAlignment w:val="auto"/>
        <w:rPr>
          <w:rFonts w:hint="default" w:ascii="Times New Roman" w:hAnsi="Times New Roman" w:cs="Times New Roman"/>
          <w:color w:val="auto"/>
          <w:sz w:val="32"/>
          <w:szCs w:val="32"/>
          <w:highlight w:val="none"/>
        </w:rPr>
      </w:pPr>
    </w:p>
    <w:p w14:paraId="49F73DC8">
      <w:pPr>
        <w:keepNext w:val="0"/>
        <w:keepLines w:val="0"/>
        <w:pageBreakBefore w:val="0"/>
        <w:widowControl w:val="0"/>
        <w:kinsoku/>
        <w:wordWrap/>
        <w:overflowPunct/>
        <w:topLinePunct w:val="0"/>
        <w:autoSpaceDE/>
        <w:autoSpaceDN/>
        <w:bidi w:val="0"/>
        <w:adjustRightInd/>
        <w:snapToGrid/>
        <w:spacing w:line="400" w:lineRule="exact"/>
        <w:ind w:left="1700" w:leftChars="200" w:hanging="1280" w:hangingChars="4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附件</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《滁州市重点工程建设管理处工程量清单</w:t>
      </w:r>
      <w:r>
        <w:rPr>
          <w:rFonts w:hint="default" w:ascii="Times New Roman" w:hAnsi="Times New Roman" w:eastAsia="仿宋_GB2312" w:cs="Times New Roman"/>
          <w:color w:val="auto"/>
          <w:sz w:val="32"/>
          <w:szCs w:val="32"/>
          <w:highlight w:val="none"/>
          <w:lang w:eastAsia="zh-CN"/>
        </w:rPr>
        <w:t>及</w:t>
      </w:r>
      <w:r>
        <w:rPr>
          <w:rFonts w:hint="default" w:ascii="Times New Roman" w:hAnsi="Times New Roman" w:eastAsia="仿宋_GB2312" w:cs="Times New Roman"/>
          <w:color w:val="auto"/>
          <w:sz w:val="32"/>
          <w:szCs w:val="32"/>
          <w:highlight w:val="none"/>
        </w:rPr>
        <w:t>最高投标限价编制质量考核表》</w:t>
      </w:r>
    </w:p>
    <w:p w14:paraId="5211ECED">
      <w:pPr>
        <w:keepNext w:val="0"/>
        <w:keepLines w:val="0"/>
        <w:pageBreakBefore w:val="0"/>
        <w:widowControl w:val="0"/>
        <w:kinsoku/>
        <w:wordWrap/>
        <w:overflowPunct/>
        <w:topLinePunct w:val="0"/>
        <w:autoSpaceDE/>
        <w:autoSpaceDN/>
        <w:bidi w:val="0"/>
        <w:adjustRightInd/>
        <w:snapToGrid/>
        <w:spacing w:line="400" w:lineRule="exact"/>
        <w:ind w:left="1370" w:leftChars="500" w:hanging="320" w:hangingChars="1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《滁州市重点工程建设管理处</w:t>
      </w:r>
      <w:r>
        <w:rPr>
          <w:rFonts w:hint="default" w:ascii="Times New Roman" w:hAnsi="Times New Roman" w:eastAsia="仿宋_GB2312" w:cs="Times New Roman"/>
          <w:color w:val="auto"/>
          <w:sz w:val="32"/>
          <w:szCs w:val="32"/>
          <w:highlight w:val="none"/>
          <w:lang w:eastAsia="zh-CN"/>
        </w:rPr>
        <w:t>跟踪</w:t>
      </w:r>
      <w:r>
        <w:rPr>
          <w:rStyle w:val="155"/>
          <w:rFonts w:hint="default" w:ascii="Times New Roman" w:hAnsi="Times New Roman" w:eastAsia="仿宋_GB2312" w:cs="Times New Roman"/>
          <w:b w:val="0"/>
          <w:color w:val="auto"/>
          <w:sz w:val="32"/>
          <w:szCs w:val="32"/>
          <w:highlight w:val="none"/>
          <w:lang w:bidi="ar"/>
        </w:rPr>
        <w:t>审计服务质量日常考核表</w:t>
      </w:r>
      <w:r>
        <w:rPr>
          <w:rFonts w:hint="default" w:ascii="Times New Roman" w:hAnsi="Times New Roman" w:eastAsia="仿宋_GB2312" w:cs="Times New Roman"/>
          <w:color w:val="auto"/>
          <w:sz w:val="32"/>
          <w:szCs w:val="32"/>
          <w:highlight w:val="none"/>
        </w:rPr>
        <w:t>》</w:t>
      </w:r>
    </w:p>
    <w:tbl>
      <w:tblPr>
        <w:tblStyle w:val="46"/>
        <w:tblpPr w:leftFromText="180" w:rightFromText="180" w:vertAnchor="text" w:horzAnchor="page" w:tblpXSpec="center" w:tblpY="1462"/>
        <w:tblOverlap w:val="never"/>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354"/>
      </w:tblGrid>
      <w:tr w14:paraId="555630B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9354" w:type="dxa"/>
            <w:tcBorders>
              <w:top w:val="single" w:color="auto" w:sz="12" w:space="0"/>
              <w:bottom w:val="single" w:color="auto" w:sz="4" w:space="0"/>
              <w:tl2br w:val="nil"/>
              <w:tr2bl w:val="nil"/>
            </w:tcBorders>
            <w:noWrap w:val="0"/>
            <w:vAlign w:val="top"/>
          </w:tcPr>
          <w:p w14:paraId="771C9E0B">
            <w:pPr>
              <w:keepNext w:val="0"/>
              <w:keepLines w:val="0"/>
              <w:pageBreakBefore w:val="0"/>
              <w:widowControl w:val="0"/>
              <w:kinsoku/>
              <w:wordWrap/>
              <w:overflowPunct/>
              <w:topLinePunct w:val="0"/>
              <w:autoSpaceDE/>
              <w:autoSpaceDN/>
              <w:bidi w:val="0"/>
              <w:adjustRightInd/>
              <w:snapToGrid/>
              <w:spacing w:line="400" w:lineRule="exact"/>
              <w:ind w:left="0" w:leftChars="0"/>
              <w:jc w:val="both"/>
              <w:textAlignment w:val="auto"/>
              <w:rPr>
                <w:rFonts w:hint="default" w:ascii="Times New Roman" w:hAnsi="Times New Roman" w:eastAsia="仿宋_GB2312" w:cs="Times New Roman"/>
                <w:b w:val="0"/>
                <w:bCs w:val="0"/>
                <w:color w:val="auto"/>
                <w:sz w:val="32"/>
                <w:szCs w:val="32"/>
                <w:highlight w:val="none"/>
                <w:vertAlign w:val="baseline"/>
                <w:lang w:val="en-US" w:eastAsia="zh-CN"/>
              </w:rPr>
            </w:pPr>
            <w:r>
              <w:rPr>
                <w:rFonts w:hint="default" w:ascii="Times New Roman" w:hAnsi="Times New Roman" w:eastAsia="仿宋_GB2312" w:cs="Times New Roman"/>
                <w:color w:val="auto"/>
                <w:kern w:val="0"/>
                <w:sz w:val="32"/>
                <w:szCs w:val="32"/>
                <w:highlight w:val="none"/>
              </w:rPr>
              <w:t>抄送：市审计局，市住建局，市财政局，市公管局</w:t>
            </w:r>
          </w:p>
        </w:tc>
      </w:tr>
      <w:tr w14:paraId="38558A5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354" w:type="dxa"/>
            <w:tcBorders>
              <w:top w:val="single" w:color="auto" w:sz="4" w:space="0"/>
              <w:bottom w:val="single" w:color="auto" w:sz="12" w:space="0"/>
              <w:tl2br w:val="nil"/>
              <w:tr2bl w:val="nil"/>
            </w:tcBorders>
            <w:noWrap w:val="0"/>
            <w:vAlign w:val="top"/>
          </w:tcPr>
          <w:p w14:paraId="13076E55">
            <w:pPr>
              <w:pStyle w:val="2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default" w:ascii="Times New Roman" w:hAnsi="Times New Roman" w:eastAsia="仿宋_GB2312" w:cs="Times New Roman"/>
                <w:b w:val="0"/>
                <w:bCs w:val="0"/>
                <w:color w:val="auto"/>
                <w:sz w:val="32"/>
                <w:szCs w:val="32"/>
                <w:highlight w:val="none"/>
                <w:vertAlign w:val="baseline"/>
                <w:lang w:val="en-US" w:eastAsia="zh-CN"/>
              </w:rPr>
            </w:pPr>
            <w:r>
              <w:rPr>
                <w:rFonts w:hint="default" w:ascii="Times New Roman" w:hAnsi="Times New Roman" w:eastAsia="仿宋_GB2312" w:cs="Times New Roman"/>
                <w:b w:val="0"/>
                <w:bCs w:val="0"/>
                <w:color w:val="auto"/>
                <w:sz w:val="32"/>
                <w:szCs w:val="32"/>
                <w:highlight w:val="none"/>
                <w:lang w:val="en-US" w:eastAsia="zh-CN"/>
              </w:rPr>
              <w:t>滁州市重点工程建设管理处办公室        2022年9月5日印发</w:t>
            </w:r>
          </w:p>
        </w:tc>
      </w:tr>
    </w:tbl>
    <w:p w14:paraId="4A67A413">
      <w:pPr>
        <w:pStyle w:val="2"/>
        <w:keepNext w:val="0"/>
        <w:keepLines w:val="0"/>
        <w:pageBreakBefore w:val="0"/>
        <w:widowControl w:val="0"/>
        <w:kinsoku/>
        <w:wordWrap/>
        <w:overflowPunct/>
        <w:topLinePunct w:val="0"/>
        <w:autoSpaceDE/>
        <w:autoSpaceDN/>
        <w:bidi w:val="0"/>
        <w:adjustRightInd/>
        <w:snapToGrid/>
        <w:spacing w:after="0" w:line="400" w:lineRule="exact"/>
        <w:ind w:left="1370" w:leftChars="500" w:hanging="320" w:hangingChars="1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《滁州市重点工程建设管理处结算审</w:t>
      </w:r>
      <w:r>
        <w:rPr>
          <w:rFonts w:hint="default" w:ascii="Times New Roman" w:hAnsi="Times New Roman" w:eastAsia="仿宋_GB2312" w:cs="Times New Roman"/>
          <w:color w:val="auto"/>
          <w:sz w:val="32"/>
          <w:szCs w:val="32"/>
          <w:highlight w:val="none"/>
          <w:lang w:eastAsia="zh-CN"/>
        </w:rPr>
        <w:t>（复）</w:t>
      </w:r>
      <w:r>
        <w:rPr>
          <w:rFonts w:hint="default" w:ascii="Times New Roman" w:hAnsi="Times New Roman" w:eastAsia="仿宋_GB2312" w:cs="Times New Roman"/>
          <w:color w:val="auto"/>
          <w:sz w:val="32"/>
          <w:szCs w:val="32"/>
          <w:highlight w:val="none"/>
        </w:rPr>
        <w:t>核</w:t>
      </w:r>
      <w:r>
        <w:rPr>
          <w:rFonts w:hint="default" w:ascii="Times New Roman" w:hAnsi="Times New Roman" w:eastAsia="仿宋_GB2312" w:cs="Times New Roman"/>
          <w:color w:val="auto"/>
          <w:sz w:val="32"/>
          <w:szCs w:val="32"/>
          <w:highlight w:val="none"/>
          <w:lang w:eastAsia="zh-CN"/>
        </w:rPr>
        <w:t>成果质量</w:t>
      </w:r>
      <w:r>
        <w:rPr>
          <w:rFonts w:hint="default" w:ascii="Times New Roman" w:hAnsi="Times New Roman" w:eastAsia="仿宋_GB2312" w:cs="Times New Roman"/>
          <w:color w:val="auto"/>
          <w:sz w:val="32"/>
          <w:szCs w:val="32"/>
          <w:highlight w:val="none"/>
        </w:rPr>
        <w:t>考核表》</w:t>
      </w:r>
    </w:p>
    <w:p w14:paraId="7747B6AC">
      <w:pPr>
        <w:pStyle w:val="2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ascii="Times New Roman" w:hAnsi="Times New Roman" w:eastAsia="仿宋_GB2312" w:cs="Times New Roman"/>
          <w:color w:val="auto"/>
          <w:sz w:val="32"/>
          <w:szCs w:val="32"/>
          <w:highlight w:val="none"/>
          <w:lang w:val="en-US" w:eastAsia="zh-CN"/>
        </w:rPr>
        <w:sectPr>
          <w:footerReference r:id="rId9" w:type="default"/>
          <w:pgSz w:w="11906" w:h="16838"/>
          <w:pgMar w:top="1417" w:right="1417" w:bottom="1134" w:left="1417" w:header="680" w:footer="680" w:gutter="0"/>
          <w:pgBorders w:offsetFrom="page">
            <w:top w:val="none" w:sz="0" w:space="0"/>
            <w:left w:val="none" w:sz="0" w:space="0"/>
            <w:bottom w:val="none" w:sz="0" w:space="0"/>
            <w:right w:val="none" w:sz="0" w:space="0"/>
          </w:pgBorders>
          <w:pgNumType w:fmt="decimal" w:start="1"/>
          <w:cols w:space="0" w:num="1"/>
          <w:rtlGutter w:val="0"/>
          <w:docGrid w:type="lines" w:linePitch="318" w:charSpace="0"/>
        </w:sectPr>
      </w:pPr>
    </w:p>
    <w:p w14:paraId="51C7697F">
      <w:pPr>
        <w:pStyle w:val="2"/>
        <w:spacing w:line="240" w:lineRule="auto"/>
        <w:ind w:left="0" w:leftChars="0" w:firstLine="0" w:firstLineChars="0"/>
        <w:rPr>
          <w:rFonts w:hint="eastAsia" w:ascii="宋体" w:hAnsi="宋体" w:eastAsia="宋体" w:cs="宋体"/>
          <w:color w:val="auto"/>
          <w:highlight w:val="none"/>
        </w:rPr>
      </w:pPr>
      <w:r>
        <w:rPr>
          <w:rFonts w:hint="eastAsia" w:ascii="宋体" w:hAnsi="宋体" w:eastAsia="宋体" w:cs="宋体"/>
          <w:color w:val="auto"/>
          <w:sz w:val="32"/>
          <w:szCs w:val="32"/>
          <w:highlight w:val="none"/>
        </w:rPr>
        <w:t>附件</w:t>
      </w:r>
      <w:r>
        <w:rPr>
          <w:rFonts w:hint="eastAsia" w:ascii="宋体" w:hAnsi="宋体" w:eastAsia="宋体" w:cs="宋体"/>
          <w:color w:val="auto"/>
          <w:sz w:val="32"/>
          <w:szCs w:val="32"/>
          <w:highlight w:val="none"/>
          <w:lang w:val="en-US" w:eastAsia="zh-CN"/>
        </w:rPr>
        <w:t>1</w:t>
      </w:r>
      <w:r>
        <w:rPr>
          <w:rFonts w:hint="eastAsia" w:ascii="宋体" w:hAnsi="宋体" w:eastAsia="宋体" w:cs="宋体"/>
          <w:color w:val="auto"/>
          <w:sz w:val="32"/>
          <w:szCs w:val="32"/>
          <w:highlight w:val="none"/>
        </w:rPr>
        <w:t>：</w:t>
      </w:r>
    </w:p>
    <w:tbl>
      <w:tblPr>
        <w:tblStyle w:val="45"/>
        <w:tblpPr w:leftFromText="180" w:rightFromText="180" w:vertAnchor="text" w:horzAnchor="page" w:tblpX="795" w:tblpY="744"/>
        <w:tblOverlap w:val="never"/>
        <w:tblW w:w="10412" w:type="dxa"/>
        <w:jc w:val="center"/>
        <w:tblLayout w:type="fixed"/>
        <w:tblCellMar>
          <w:top w:w="0" w:type="dxa"/>
          <w:left w:w="0" w:type="dxa"/>
          <w:bottom w:w="0" w:type="dxa"/>
          <w:right w:w="0" w:type="dxa"/>
        </w:tblCellMar>
      </w:tblPr>
      <w:tblGrid>
        <w:gridCol w:w="640"/>
        <w:gridCol w:w="689"/>
        <w:gridCol w:w="2928"/>
        <w:gridCol w:w="566"/>
        <w:gridCol w:w="702"/>
        <w:gridCol w:w="1030"/>
        <w:gridCol w:w="3857"/>
      </w:tblGrid>
      <w:tr w14:paraId="5745EAB2">
        <w:tblPrEx>
          <w:tblCellMar>
            <w:top w:w="0" w:type="dxa"/>
            <w:left w:w="0" w:type="dxa"/>
            <w:bottom w:w="0" w:type="dxa"/>
            <w:right w:w="0" w:type="dxa"/>
          </w:tblCellMar>
        </w:tblPrEx>
        <w:trPr>
          <w:trHeight w:val="435" w:hRule="atLeast"/>
          <w:jc w:val="center"/>
        </w:trPr>
        <w:tc>
          <w:tcPr>
            <w:tcW w:w="10412" w:type="dxa"/>
            <w:gridSpan w:val="7"/>
            <w:tcBorders>
              <w:top w:val="nil"/>
              <w:left w:val="nil"/>
              <w:bottom w:val="single" w:color="000000" w:sz="4" w:space="0"/>
              <w:right w:val="nil"/>
            </w:tcBorders>
            <w:noWrap w:val="0"/>
            <w:tcMar>
              <w:top w:w="15" w:type="dxa"/>
              <w:left w:w="15" w:type="dxa"/>
              <w:right w:w="15" w:type="dxa"/>
            </w:tcMar>
            <w:vAlign w:val="center"/>
          </w:tcPr>
          <w:p w14:paraId="53EB4CDA">
            <w:pPr>
              <w:widowControl/>
              <w:jc w:val="center"/>
              <w:textAlignment w:val="center"/>
              <w:rPr>
                <w:rFonts w:hint="eastAsia" w:ascii="宋体" w:hAnsi="宋体" w:eastAsia="宋体" w:cs="宋体"/>
                <w:b/>
                <w:color w:val="auto"/>
                <w:szCs w:val="32"/>
                <w:highlight w:val="none"/>
              </w:rPr>
            </w:pPr>
            <w:r>
              <w:rPr>
                <w:rFonts w:hint="eastAsia" w:ascii="宋体" w:hAnsi="宋体" w:eastAsia="宋体" w:cs="宋体"/>
                <w:b/>
                <w:color w:val="auto"/>
                <w:kern w:val="0"/>
                <w:szCs w:val="32"/>
                <w:highlight w:val="none"/>
                <w:u w:val="single"/>
                <w:lang w:bidi="ar"/>
              </w:rPr>
              <w:t xml:space="preserve">                      </w:t>
            </w:r>
            <w:r>
              <w:rPr>
                <w:rStyle w:val="149"/>
                <w:rFonts w:hint="eastAsia" w:ascii="宋体" w:hAnsi="宋体" w:eastAsia="宋体" w:cs="宋体"/>
                <w:b w:val="0"/>
                <w:color w:val="auto"/>
                <w:highlight w:val="none"/>
                <w:lang w:bidi="ar"/>
              </w:rPr>
              <w:t>项目工程量清单</w:t>
            </w:r>
            <w:r>
              <w:rPr>
                <w:rStyle w:val="149"/>
                <w:rFonts w:hint="eastAsia" w:ascii="宋体" w:hAnsi="宋体" w:eastAsia="宋体" w:cs="宋体"/>
                <w:b w:val="0"/>
                <w:color w:val="auto"/>
                <w:highlight w:val="none"/>
                <w:lang w:eastAsia="zh-CN" w:bidi="ar"/>
              </w:rPr>
              <w:t>及</w:t>
            </w:r>
            <w:r>
              <w:rPr>
                <w:rStyle w:val="149"/>
                <w:rFonts w:hint="eastAsia" w:ascii="宋体" w:hAnsi="宋体" w:eastAsia="宋体" w:cs="宋体"/>
                <w:b w:val="0"/>
                <w:color w:val="auto"/>
                <w:highlight w:val="none"/>
                <w:lang w:bidi="ar"/>
              </w:rPr>
              <w:t xml:space="preserve">最高投标限价编制质量考核表 </w:t>
            </w:r>
          </w:p>
        </w:tc>
      </w:tr>
      <w:tr w14:paraId="284BAF87">
        <w:tblPrEx>
          <w:tblCellMar>
            <w:top w:w="0" w:type="dxa"/>
            <w:left w:w="0" w:type="dxa"/>
            <w:bottom w:w="0" w:type="dxa"/>
            <w:right w:w="0" w:type="dxa"/>
          </w:tblCellMar>
        </w:tblPrEx>
        <w:trPr>
          <w:trHeight w:val="503" w:hRule="atLeast"/>
          <w:jc w:val="center"/>
        </w:trPr>
        <w:tc>
          <w:tcPr>
            <w:tcW w:w="6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47703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color w:val="auto"/>
                <w:sz w:val="22"/>
                <w:szCs w:val="22"/>
                <w:highlight w:val="none"/>
                <w:lang w:val="en-US" w:eastAsia="zh-CN"/>
              </w:rPr>
            </w:pPr>
            <w:r>
              <w:rPr>
                <w:rFonts w:hint="eastAsia" w:ascii="宋体" w:hAnsi="宋体" w:eastAsia="宋体" w:cs="宋体"/>
                <w:b/>
                <w:color w:val="auto"/>
                <w:kern w:val="0"/>
                <w:sz w:val="22"/>
                <w:szCs w:val="22"/>
                <w:highlight w:val="none"/>
                <w:lang w:eastAsia="zh-CN" w:bidi="ar"/>
              </w:rPr>
              <w:t>序号</w:t>
            </w:r>
          </w:p>
        </w:tc>
        <w:tc>
          <w:tcPr>
            <w:tcW w:w="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6125D8">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lang w:bidi="ar"/>
              </w:rPr>
              <w:t>指标</w:t>
            </w: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9066EB">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lang w:bidi="ar"/>
              </w:rPr>
              <w:t>内容</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3A31C1">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lang w:bidi="ar"/>
              </w:rPr>
              <w:t>总分</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41D8F6">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lang w:bidi="ar"/>
              </w:rPr>
              <w:t>得分</w:t>
            </w: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439650">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lang w:bidi="ar"/>
              </w:rPr>
              <w:t>打分说明</w:t>
            </w: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CD3286">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lang w:bidi="ar"/>
              </w:rPr>
              <w:t>备注</w:t>
            </w:r>
          </w:p>
        </w:tc>
      </w:tr>
      <w:tr w14:paraId="27C981FF">
        <w:tblPrEx>
          <w:tblCellMar>
            <w:top w:w="0" w:type="dxa"/>
            <w:left w:w="0" w:type="dxa"/>
            <w:bottom w:w="0" w:type="dxa"/>
            <w:right w:w="0" w:type="dxa"/>
          </w:tblCellMar>
        </w:tblPrEx>
        <w:trPr>
          <w:trHeight w:val="90" w:hRule="atLeast"/>
          <w:jc w:val="center"/>
        </w:trPr>
        <w:tc>
          <w:tcPr>
            <w:tcW w:w="64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4AA0F3DE">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eastAsia="zh-CN" w:bidi="ar"/>
              </w:rPr>
              <w:t>一</w:t>
            </w:r>
          </w:p>
        </w:tc>
        <w:tc>
          <w:tcPr>
            <w:tcW w:w="689"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1A81AECC">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基本考核分</w:t>
            </w: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9BD6CB">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bidi="ar"/>
              </w:rPr>
              <w:t>人员能力是否具备胜任本项目需要</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B52DA3">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20</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8D76D1">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CB3EAE">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C88808">
            <w:pPr>
              <w:widowControl/>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eastAsia="zh-CN" w:bidi="ar"/>
              </w:rPr>
              <w:t>需在项目开始编制前向综合计划科报送编制审核组成员任命文件：</w:t>
            </w:r>
            <w:r>
              <w:rPr>
                <w:rFonts w:hint="eastAsia" w:ascii="宋体" w:hAnsi="宋体" w:eastAsia="宋体" w:cs="宋体"/>
                <w:color w:val="auto"/>
                <w:kern w:val="0"/>
                <w:sz w:val="24"/>
                <w:szCs w:val="24"/>
                <w:highlight w:val="none"/>
                <w:lang w:val="en-US" w:eastAsia="zh-CN" w:bidi="ar"/>
              </w:rPr>
              <w:t>5分</w:t>
            </w:r>
          </w:p>
          <w:p w14:paraId="2FA08CB6">
            <w:pPr>
              <w:widowControl/>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编制</w:t>
            </w:r>
            <w:r>
              <w:rPr>
                <w:rFonts w:hint="eastAsia" w:ascii="宋体" w:hAnsi="宋体" w:eastAsia="宋体" w:cs="宋体"/>
                <w:color w:val="auto"/>
                <w:kern w:val="0"/>
                <w:sz w:val="24"/>
                <w:szCs w:val="24"/>
                <w:highlight w:val="none"/>
                <w:lang w:eastAsia="zh-CN" w:bidi="ar"/>
              </w:rPr>
              <w:t>、</w:t>
            </w:r>
            <w:r>
              <w:rPr>
                <w:rFonts w:hint="eastAsia" w:ascii="宋体" w:hAnsi="宋体" w:eastAsia="宋体" w:cs="宋体"/>
                <w:color w:val="auto"/>
                <w:kern w:val="0"/>
                <w:sz w:val="24"/>
                <w:szCs w:val="24"/>
                <w:highlight w:val="none"/>
                <w:lang w:bidi="ar"/>
              </w:rPr>
              <w:t xml:space="preserve">复核人员资格：5分                                      </w:t>
            </w:r>
          </w:p>
          <w:p w14:paraId="4BB90FCA">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会审汇报人员资格 ：</w:t>
            </w:r>
            <w:r>
              <w:rPr>
                <w:rFonts w:hint="eastAsia" w:ascii="宋体" w:hAnsi="宋体" w:eastAsia="宋体" w:cs="宋体"/>
                <w:color w:val="auto"/>
                <w:kern w:val="0"/>
                <w:sz w:val="24"/>
                <w:szCs w:val="24"/>
                <w:highlight w:val="none"/>
                <w:lang w:val="en-US" w:eastAsia="zh-CN" w:bidi="ar"/>
              </w:rPr>
              <w:t>10</w:t>
            </w:r>
            <w:r>
              <w:rPr>
                <w:rFonts w:hint="eastAsia" w:ascii="宋体" w:hAnsi="宋体" w:eastAsia="宋体" w:cs="宋体"/>
                <w:color w:val="auto"/>
                <w:kern w:val="0"/>
                <w:sz w:val="24"/>
                <w:szCs w:val="24"/>
                <w:highlight w:val="none"/>
                <w:lang w:bidi="ar"/>
              </w:rPr>
              <w:t xml:space="preserve">分                  </w:t>
            </w:r>
          </w:p>
        </w:tc>
      </w:tr>
      <w:tr w14:paraId="2AE1F268">
        <w:tblPrEx>
          <w:tblCellMar>
            <w:top w:w="0" w:type="dxa"/>
            <w:left w:w="0" w:type="dxa"/>
            <w:bottom w:w="0" w:type="dxa"/>
            <w:right w:w="0" w:type="dxa"/>
          </w:tblCellMar>
        </w:tblPrEx>
        <w:trPr>
          <w:trHeight w:val="541" w:hRule="atLeast"/>
          <w:jc w:val="center"/>
        </w:trPr>
        <w:tc>
          <w:tcPr>
            <w:tcW w:w="640" w:type="dxa"/>
            <w:vMerge w:val="continue"/>
            <w:tcBorders>
              <w:left w:val="single" w:color="000000" w:sz="4" w:space="0"/>
              <w:right w:val="single" w:color="000000" w:sz="4" w:space="0"/>
            </w:tcBorders>
            <w:noWrap w:val="0"/>
            <w:tcMar>
              <w:top w:w="15" w:type="dxa"/>
              <w:left w:w="15" w:type="dxa"/>
              <w:right w:w="15" w:type="dxa"/>
            </w:tcMar>
            <w:vAlign w:val="center"/>
          </w:tcPr>
          <w:p w14:paraId="235A8EEC">
            <w:pPr>
              <w:jc w:val="center"/>
              <w:rPr>
                <w:rFonts w:hint="eastAsia" w:ascii="宋体" w:hAnsi="宋体" w:eastAsia="宋体" w:cs="宋体"/>
                <w:color w:val="auto"/>
                <w:sz w:val="24"/>
                <w:szCs w:val="24"/>
                <w:highlight w:val="none"/>
              </w:rPr>
            </w:pPr>
          </w:p>
        </w:tc>
        <w:tc>
          <w:tcPr>
            <w:tcW w:w="689" w:type="dxa"/>
            <w:vMerge w:val="continue"/>
            <w:tcBorders>
              <w:left w:val="single" w:color="000000" w:sz="4" w:space="0"/>
              <w:right w:val="single" w:color="000000" w:sz="4" w:space="0"/>
            </w:tcBorders>
            <w:noWrap w:val="0"/>
            <w:tcMar>
              <w:top w:w="15" w:type="dxa"/>
              <w:left w:w="15" w:type="dxa"/>
              <w:right w:w="15" w:type="dxa"/>
            </w:tcMar>
            <w:vAlign w:val="center"/>
          </w:tcPr>
          <w:p w14:paraId="1A50FB56">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3760F7">
            <w:pPr>
              <w:widowControl/>
              <w:numPr>
                <w:ilvl w:val="0"/>
                <w:numId w:val="0"/>
              </w:numPr>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bidi="ar"/>
              </w:rPr>
              <w:t>现场踏勘</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195AFB">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10</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37B742">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5C7BB5">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DFA906">
            <w:pPr>
              <w:widowControl/>
              <w:jc w:val="left"/>
              <w:textAlignment w:val="center"/>
              <w:rPr>
                <w:rFonts w:hint="eastAsia" w:ascii="宋体" w:hAnsi="宋体" w:eastAsia="宋体" w:cs="宋体"/>
                <w:color w:val="auto"/>
                <w:sz w:val="24"/>
                <w:szCs w:val="24"/>
                <w:highlight w:val="none"/>
                <w:lang w:val="en-US" w:eastAsia="zh-CN"/>
              </w:rPr>
            </w:pPr>
          </w:p>
        </w:tc>
      </w:tr>
      <w:tr w14:paraId="3B2B88FF">
        <w:tblPrEx>
          <w:tblCellMar>
            <w:top w:w="0" w:type="dxa"/>
            <w:left w:w="0" w:type="dxa"/>
            <w:bottom w:w="0" w:type="dxa"/>
            <w:right w:w="0" w:type="dxa"/>
          </w:tblCellMar>
        </w:tblPrEx>
        <w:trPr>
          <w:trHeight w:val="1710" w:hRule="atLeast"/>
          <w:jc w:val="center"/>
        </w:trPr>
        <w:tc>
          <w:tcPr>
            <w:tcW w:w="640" w:type="dxa"/>
            <w:vMerge w:val="continue"/>
            <w:tcBorders>
              <w:left w:val="single" w:color="000000" w:sz="4" w:space="0"/>
              <w:right w:val="single" w:color="000000" w:sz="4" w:space="0"/>
            </w:tcBorders>
            <w:noWrap w:val="0"/>
            <w:tcMar>
              <w:top w:w="15" w:type="dxa"/>
              <w:left w:w="15" w:type="dxa"/>
              <w:right w:w="15" w:type="dxa"/>
            </w:tcMar>
            <w:vAlign w:val="center"/>
          </w:tcPr>
          <w:p w14:paraId="7E2E2589">
            <w:pPr>
              <w:jc w:val="center"/>
              <w:rPr>
                <w:rFonts w:hint="eastAsia" w:ascii="宋体" w:hAnsi="宋体" w:eastAsia="宋体" w:cs="宋体"/>
                <w:color w:val="auto"/>
                <w:sz w:val="24"/>
                <w:szCs w:val="24"/>
                <w:highlight w:val="none"/>
              </w:rPr>
            </w:pPr>
          </w:p>
        </w:tc>
        <w:tc>
          <w:tcPr>
            <w:tcW w:w="689" w:type="dxa"/>
            <w:vMerge w:val="continue"/>
            <w:tcBorders>
              <w:left w:val="single" w:color="000000" w:sz="4" w:space="0"/>
              <w:right w:val="single" w:color="000000" w:sz="4" w:space="0"/>
            </w:tcBorders>
            <w:noWrap w:val="0"/>
            <w:tcMar>
              <w:top w:w="15" w:type="dxa"/>
              <w:left w:w="15" w:type="dxa"/>
              <w:right w:w="15" w:type="dxa"/>
            </w:tcMar>
            <w:vAlign w:val="center"/>
          </w:tcPr>
          <w:p w14:paraId="2A3425F7">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FB165B">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3.是否按时完成清单编制</w:t>
            </w:r>
            <w:r>
              <w:rPr>
                <w:rFonts w:hint="eastAsia" w:ascii="宋体" w:hAnsi="宋体" w:eastAsia="宋体" w:cs="宋体"/>
                <w:color w:val="auto"/>
                <w:kern w:val="0"/>
                <w:sz w:val="24"/>
                <w:szCs w:val="24"/>
                <w:highlight w:val="none"/>
                <w:lang w:bidi="ar"/>
              </w:rPr>
              <w:t>清单</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6043D3">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20</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B6AD26">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39C5AF">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F54627">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原则上</w:t>
            </w:r>
            <w:r>
              <w:rPr>
                <w:rStyle w:val="151"/>
                <w:rFonts w:hint="eastAsia" w:ascii="宋体" w:hAnsi="宋体" w:eastAsia="宋体" w:cs="宋体"/>
                <w:color w:val="auto"/>
                <w:sz w:val="24"/>
                <w:szCs w:val="24"/>
                <w:highlight w:val="none"/>
                <w:lang w:bidi="ar"/>
              </w:rPr>
              <w:t>500</w:t>
            </w:r>
            <w:r>
              <w:rPr>
                <w:rStyle w:val="152"/>
                <w:rFonts w:hint="eastAsia" w:ascii="宋体" w:hAnsi="宋体" w:eastAsia="宋体" w:cs="宋体"/>
                <w:color w:val="auto"/>
                <w:sz w:val="24"/>
                <w:szCs w:val="24"/>
                <w:highlight w:val="none"/>
                <w:lang w:bidi="ar"/>
              </w:rPr>
              <w:t>万元以下项目编制时间为</w:t>
            </w:r>
            <w:r>
              <w:rPr>
                <w:rStyle w:val="151"/>
                <w:rFonts w:hint="eastAsia" w:ascii="宋体" w:hAnsi="宋体" w:eastAsia="宋体" w:cs="宋体"/>
                <w:color w:val="auto"/>
                <w:sz w:val="24"/>
                <w:szCs w:val="24"/>
                <w:highlight w:val="none"/>
                <w:lang w:bidi="ar"/>
              </w:rPr>
              <w:t>7</w:t>
            </w:r>
            <w:r>
              <w:rPr>
                <w:rStyle w:val="152"/>
                <w:rFonts w:hint="eastAsia" w:ascii="宋体" w:hAnsi="宋体" w:eastAsia="宋体" w:cs="宋体"/>
                <w:color w:val="auto"/>
                <w:sz w:val="24"/>
                <w:szCs w:val="24"/>
                <w:highlight w:val="none"/>
                <w:lang w:bidi="ar"/>
              </w:rPr>
              <w:t>天,</w:t>
            </w:r>
            <w:r>
              <w:rPr>
                <w:rStyle w:val="151"/>
                <w:rFonts w:hint="eastAsia" w:ascii="宋体" w:hAnsi="宋体" w:eastAsia="宋体" w:cs="宋体"/>
                <w:color w:val="auto"/>
                <w:sz w:val="24"/>
                <w:szCs w:val="24"/>
                <w:highlight w:val="none"/>
                <w:lang w:bidi="ar"/>
              </w:rPr>
              <w:t>500-1000</w:t>
            </w:r>
            <w:r>
              <w:rPr>
                <w:rStyle w:val="152"/>
                <w:rFonts w:hint="eastAsia" w:ascii="宋体" w:hAnsi="宋体" w:eastAsia="宋体" w:cs="宋体"/>
                <w:color w:val="auto"/>
                <w:sz w:val="24"/>
                <w:szCs w:val="24"/>
                <w:highlight w:val="none"/>
                <w:lang w:bidi="ar"/>
              </w:rPr>
              <w:t>万元项目</w:t>
            </w:r>
            <w:r>
              <w:rPr>
                <w:rStyle w:val="151"/>
                <w:rFonts w:hint="eastAsia" w:ascii="宋体" w:hAnsi="宋体" w:eastAsia="宋体" w:cs="宋体"/>
                <w:color w:val="auto"/>
                <w:sz w:val="24"/>
                <w:szCs w:val="24"/>
                <w:highlight w:val="none"/>
                <w:lang w:bidi="ar"/>
              </w:rPr>
              <w:t>15</w:t>
            </w:r>
            <w:r>
              <w:rPr>
                <w:rStyle w:val="152"/>
                <w:rFonts w:hint="eastAsia" w:ascii="宋体" w:hAnsi="宋体" w:eastAsia="宋体" w:cs="宋体"/>
                <w:color w:val="auto"/>
                <w:sz w:val="24"/>
                <w:szCs w:val="24"/>
                <w:highlight w:val="none"/>
                <w:lang w:bidi="ar"/>
              </w:rPr>
              <w:t>天，</w:t>
            </w:r>
            <w:r>
              <w:rPr>
                <w:rStyle w:val="151"/>
                <w:rFonts w:hint="eastAsia" w:ascii="宋体" w:hAnsi="宋体" w:eastAsia="宋体" w:cs="宋体"/>
                <w:color w:val="auto"/>
                <w:sz w:val="24"/>
                <w:szCs w:val="24"/>
                <w:highlight w:val="none"/>
                <w:lang w:bidi="ar"/>
              </w:rPr>
              <w:t>1000</w:t>
            </w:r>
            <w:r>
              <w:rPr>
                <w:rStyle w:val="152"/>
                <w:rFonts w:hint="eastAsia" w:ascii="宋体" w:hAnsi="宋体" w:eastAsia="宋体" w:cs="宋体"/>
                <w:color w:val="auto"/>
                <w:sz w:val="24"/>
                <w:szCs w:val="24"/>
                <w:highlight w:val="none"/>
                <w:lang w:bidi="ar"/>
              </w:rPr>
              <w:t>万元</w:t>
            </w:r>
            <w:r>
              <w:rPr>
                <w:rStyle w:val="151"/>
                <w:rFonts w:hint="eastAsia" w:ascii="宋体" w:hAnsi="宋体" w:eastAsia="宋体" w:cs="宋体"/>
                <w:color w:val="auto"/>
                <w:sz w:val="24"/>
                <w:szCs w:val="24"/>
                <w:highlight w:val="none"/>
                <w:lang w:bidi="ar"/>
              </w:rPr>
              <w:t>-5000</w:t>
            </w:r>
            <w:r>
              <w:rPr>
                <w:rStyle w:val="152"/>
                <w:rFonts w:hint="eastAsia" w:ascii="宋体" w:hAnsi="宋体" w:eastAsia="宋体" w:cs="宋体"/>
                <w:color w:val="auto"/>
                <w:sz w:val="24"/>
                <w:szCs w:val="24"/>
                <w:highlight w:val="none"/>
                <w:lang w:bidi="ar"/>
              </w:rPr>
              <w:t>万元项目</w:t>
            </w:r>
            <w:r>
              <w:rPr>
                <w:rStyle w:val="151"/>
                <w:rFonts w:hint="eastAsia" w:ascii="宋体" w:hAnsi="宋体" w:eastAsia="宋体" w:cs="宋体"/>
                <w:color w:val="auto"/>
                <w:sz w:val="24"/>
                <w:szCs w:val="24"/>
                <w:highlight w:val="none"/>
                <w:lang w:bidi="ar"/>
              </w:rPr>
              <w:t>20</w:t>
            </w:r>
            <w:r>
              <w:rPr>
                <w:rStyle w:val="152"/>
                <w:rFonts w:hint="eastAsia" w:ascii="宋体" w:hAnsi="宋体" w:eastAsia="宋体" w:cs="宋体"/>
                <w:color w:val="auto"/>
                <w:sz w:val="24"/>
                <w:szCs w:val="24"/>
                <w:highlight w:val="none"/>
                <w:lang w:bidi="ar"/>
              </w:rPr>
              <w:t>天，</w:t>
            </w:r>
            <w:r>
              <w:rPr>
                <w:rStyle w:val="151"/>
                <w:rFonts w:hint="eastAsia" w:ascii="宋体" w:hAnsi="宋体" w:eastAsia="宋体" w:cs="宋体"/>
                <w:color w:val="auto"/>
                <w:sz w:val="24"/>
                <w:szCs w:val="24"/>
                <w:highlight w:val="none"/>
                <w:lang w:bidi="ar"/>
              </w:rPr>
              <w:t>5000</w:t>
            </w:r>
            <w:r>
              <w:rPr>
                <w:rStyle w:val="152"/>
                <w:rFonts w:hint="eastAsia" w:ascii="宋体" w:hAnsi="宋体" w:eastAsia="宋体" w:cs="宋体"/>
                <w:color w:val="auto"/>
                <w:sz w:val="24"/>
                <w:szCs w:val="24"/>
                <w:highlight w:val="none"/>
                <w:lang w:bidi="ar"/>
              </w:rPr>
              <w:t>万元</w:t>
            </w:r>
            <w:r>
              <w:rPr>
                <w:rStyle w:val="151"/>
                <w:rFonts w:hint="eastAsia" w:ascii="宋体" w:hAnsi="宋体" w:eastAsia="宋体" w:cs="宋体"/>
                <w:color w:val="auto"/>
                <w:sz w:val="24"/>
                <w:szCs w:val="24"/>
                <w:highlight w:val="none"/>
                <w:lang w:bidi="ar"/>
              </w:rPr>
              <w:t>-1</w:t>
            </w:r>
            <w:r>
              <w:rPr>
                <w:rStyle w:val="152"/>
                <w:rFonts w:hint="eastAsia" w:ascii="宋体" w:hAnsi="宋体" w:eastAsia="宋体" w:cs="宋体"/>
                <w:color w:val="auto"/>
                <w:sz w:val="24"/>
                <w:szCs w:val="24"/>
                <w:highlight w:val="none"/>
                <w:lang w:bidi="ar"/>
              </w:rPr>
              <w:t>亿元项目</w:t>
            </w:r>
            <w:r>
              <w:rPr>
                <w:rStyle w:val="151"/>
                <w:rFonts w:hint="eastAsia" w:ascii="宋体" w:hAnsi="宋体" w:eastAsia="宋体" w:cs="宋体"/>
                <w:color w:val="auto"/>
                <w:sz w:val="24"/>
                <w:szCs w:val="24"/>
                <w:highlight w:val="none"/>
                <w:lang w:bidi="ar"/>
              </w:rPr>
              <w:t>25</w:t>
            </w:r>
            <w:r>
              <w:rPr>
                <w:rStyle w:val="152"/>
                <w:rFonts w:hint="eastAsia" w:ascii="宋体" w:hAnsi="宋体" w:eastAsia="宋体" w:cs="宋体"/>
                <w:color w:val="auto"/>
                <w:sz w:val="24"/>
                <w:szCs w:val="24"/>
                <w:highlight w:val="none"/>
                <w:lang w:bidi="ar"/>
              </w:rPr>
              <w:t>天，</w:t>
            </w:r>
            <w:r>
              <w:rPr>
                <w:rStyle w:val="151"/>
                <w:rFonts w:hint="eastAsia" w:ascii="宋体" w:hAnsi="宋体" w:eastAsia="宋体" w:cs="宋体"/>
                <w:color w:val="auto"/>
                <w:sz w:val="24"/>
                <w:szCs w:val="24"/>
                <w:highlight w:val="none"/>
                <w:lang w:bidi="ar"/>
              </w:rPr>
              <w:t>1</w:t>
            </w:r>
            <w:r>
              <w:rPr>
                <w:rStyle w:val="152"/>
                <w:rFonts w:hint="eastAsia" w:ascii="宋体" w:hAnsi="宋体" w:eastAsia="宋体" w:cs="宋体"/>
                <w:color w:val="auto"/>
                <w:sz w:val="24"/>
                <w:szCs w:val="24"/>
                <w:highlight w:val="none"/>
                <w:lang w:bidi="ar"/>
              </w:rPr>
              <w:t>亿元以上项目不低于</w:t>
            </w:r>
            <w:r>
              <w:rPr>
                <w:rStyle w:val="151"/>
                <w:rFonts w:hint="eastAsia" w:ascii="宋体" w:hAnsi="宋体" w:eastAsia="宋体" w:cs="宋体"/>
                <w:color w:val="auto"/>
                <w:sz w:val="24"/>
                <w:szCs w:val="24"/>
                <w:highlight w:val="none"/>
                <w:lang w:bidi="ar"/>
              </w:rPr>
              <w:t>30</w:t>
            </w:r>
            <w:r>
              <w:rPr>
                <w:rStyle w:val="152"/>
                <w:rFonts w:hint="eastAsia" w:ascii="宋体" w:hAnsi="宋体" w:eastAsia="宋体" w:cs="宋体"/>
                <w:color w:val="auto"/>
                <w:sz w:val="24"/>
                <w:szCs w:val="24"/>
                <w:highlight w:val="none"/>
                <w:lang w:bidi="ar"/>
              </w:rPr>
              <w:t>天，特殊项目经处领导同意可以适当缩短或延长编制时间</w:t>
            </w:r>
            <w:r>
              <w:rPr>
                <w:rStyle w:val="152"/>
                <w:rFonts w:hint="eastAsia" w:ascii="宋体" w:hAnsi="宋体" w:eastAsia="宋体" w:cs="宋体"/>
                <w:color w:val="auto"/>
                <w:sz w:val="24"/>
                <w:szCs w:val="24"/>
                <w:highlight w:val="none"/>
                <w:lang w:eastAsia="zh-CN" w:bidi="ar"/>
              </w:rPr>
              <w:t>。每延误</w:t>
            </w:r>
            <w:r>
              <w:rPr>
                <w:rStyle w:val="152"/>
                <w:rFonts w:hint="eastAsia" w:ascii="宋体" w:hAnsi="宋体" w:eastAsia="宋体" w:cs="宋体"/>
                <w:color w:val="auto"/>
                <w:sz w:val="24"/>
                <w:szCs w:val="24"/>
                <w:highlight w:val="none"/>
                <w:lang w:val="en-US" w:eastAsia="zh-CN" w:bidi="ar"/>
              </w:rPr>
              <w:t>1</w:t>
            </w:r>
            <w:r>
              <w:rPr>
                <w:rStyle w:val="152"/>
                <w:rFonts w:hint="eastAsia" w:ascii="宋体" w:hAnsi="宋体" w:eastAsia="宋体" w:cs="宋体"/>
                <w:color w:val="auto"/>
                <w:sz w:val="24"/>
                <w:szCs w:val="24"/>
                <w:highlight w:val="none"/>
                <w:lang w:eastAsia="zh-CN" w:bidi="ar"/>
              </w:rPr>
              <w:t>天扣</w:t>
            </w:r>
            <w:r>
              <w:rPr>
                <w:rStyle w:val="152"/>
                <w:rFonts w:hint="eastAsia" w:ascii="宋体" w:hAnsi="宋体" w:eastAsia="宋体" w:cs="宋体"/>
                <w:color w:val="auto"/>
                <w:sz w:val="24"/>
                <w:szCs w:val="24"/>
                <w:highlight w:val="none"/>
                <w:lang w:val="en-US" w:eastAsia="zh-CN" w:bidi="ar"/>
              </w:rPr>
              <w:t>1分，扣完为止。</w:t>
            </w:r>
          </w:p>
        </w:tc>
      </w:tr>
      <w:tr w14:paraId="06EE182A">
        <w:tblPrEx>
          <w:tblCellMar>
            <w:top w:w="0" w:type="dxa"/>
            <w:left w:w="0" w:type="dxa"/>
            <w:bottom w:w="0" w:type="dxa"/>
            <w:right w:w="0" w:type="dxa"/>
          </w:tblCellMar>
        </w:tblPrEx>
        <w:trPr>
          <w:trHeight w:val="480" w:hRule="atLeast"/>
          <w:jc w:val="center"/>
        </w:trPr>
        <w:tc>
          <w:tcPr>
            <w:tcW w:w="640" w:type="dxa"/>
            <w:vMerge w:val="continue"/>
            <w:tcBorders>
              <w:left w:val="single" w:color="000000" w:sz="4" w:space="0"/>
              <w:right w:val="single" w:color="000000" w:sz="4" w:space="0"/>
            </w:tcBorders>
            <w:noWrap w:val="0"/>
            <w:tcMar>
              <w:top w:w="15" w:type="dxa"/>
              <w:left w:w="15" w:type="dxa"/>
              <w:right w:w="15" w:type="dxa"/>
            </w:tcMar>
            <w:vAlign w:val="center"/>
          </w:tcPr>
          <w:p w14:paraId="6F2E2BB9">
            <w:pPr>
              <w:jc w:val="center"/>
              <w:rPr>
                <w:rFonts w:hint="eastAsia" w:ascii="宋体" w:hAnsi="宋体" w:eastAsia="宋体" w:cs="宋体"/>
                <w:color w:val="auto"/>
                <w:sz w:val="24"/>
                <w:szCs w:val="24"/>
                <w:highlight w:val="none"/>
              </w:rPr>
            </w:pPr>
          </w:p>
        </w:tc>
        <w:tc>
          <w:tcPr>
            <w:tcW w:w="689" w:type="dxa"/>
            <w:vMerge w:val="continue"/>
            <w:tcBorders>
              <w:left w:val="single" w:color="000000" w:sz="4" w:space="0"/>
              <w:right w:val="single" w:color="000000" w:sz="4" w:space="0"/>
            </w:tcBorders>
            <w:noWrap w:val="0"/>
            <w:tcMar>
              <w:top w:w="15" w:type="dxa"/>
              <w:left w:w="15" w:type="dxa"/>
              <w:right w:w="15" w:type="dxa"/>
            </w:tcMar>
            <w:vAlign w:val="center"/>
          </w:tcPr>
          <w:p w14:paraId="41C636D2">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46B471">
            <w:pPr>
              <w:widowControl/>
              <w:jc w:val="left"/>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4.</w:t>
            </w:r>
            <w:r>
              <w:rPr>
                <w:rFonts w:hint="eastAsia" w:ascii="宋体" w:hAnsi="宋体" w:eastAsia="宋体" w:cs="宋体"/>
                <w:color w:val="auto"/>
                <w:kern w:val="0"/>
                <w:sz w:val="24"/>
                <w:szCs w:val="24"/>
                <w:highlight w:val="none"/>
                <w:lang w:bidi="ar"/>
              </w:rPr>
              <w:t>会审发现错漏情况</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4D7C62">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20</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416840">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8EDC34">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0C4C0B">
            <w:pPr>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本项基本分</w:t>
            </w:r>
            <w:r>
              <w:rPr>
                <w:rFonts w:hint="eastAsia" w:ascii="宋体" w:hAnsi="宋体" w:eastAsia="宋体" w:cs="宋体"/>
                <w:color w:val="auto"/>
                <w:kern w:val="0"/>
                <w:sz w:val="24"/>
                <w:szCs w:val="24"/>
                <w:highlight w:val="none"/>
                <w:lang w:val="en-US" w:eastAsia="zh-CN" w:bidi="ar"/>
              </w:rPr>
              <w:t>20</w:t>
            </w:r>
            <w:r>
              <w:rPr>
                <w:rFonts w:hint="eastAsia" w:ascii="宋体" w:hAnsi="宋体" w:eastAsia="宋体" w:cs="宋体"/>
                <w:color w:val="auto"/>
                <w:kern w:val="0"/>
                <w:sz w:val="24"/>
                <w:szCs w:val="24"/>
                <w:highlight w:val="none"/>
                <w:lang w:bidi="ar"/>
              </w:rPr>
              <w:t>分，出现</w:t>
            </w:r>
            <w:r>
              <w:rPr>
                <w:rFonts w:hint="eastAsia" w:ascii="宋体" w:hAnsi="宋体" w:eastAsia="宋体" w:cs="宋体"/>
                <w:color w:val="auto"/>
                <w:kern w:val="0"/>
                <w:sz w:val="24"/>
                <w:szCs w:val="24"/>
                <w:highlight w:val="none"/>
                <w:lang w:eastAsia="zh-CN" w:bidi="ar"/>
              </w:rPr>
              <w:t>单项</w:t>
            </w:r>
            <w:r>
              <w:rPr>
                <w:rFonts w:hint="eastAsia" w:ascii="宋体" w:hAnsi="宋体" w:eastAsia="宋体" w:cs="宋体"/>
                <w:color w:val="auto"/>
                <w:kern w:val="0"/>
                <w:sz w:val="24"/>
                <w:szCs w:val="24"/>
                <w:highlight w:val="none"/>
                <w:lang w:bidi="ar"/>
              </w:rPr>
              <w:t>工程量计算误差超过15%每项扣1分，清单描述错误或未描述或描述不清楚或组价错误每项扣2分，取费错误每项扣5分，扣完为止</w:t>
            </w:r>
          </w:p>
        </w:tc>
      </w:tr>
      <w:tr w14:paraId="1EA0C599">
        <w:tblPrEx>
          <w:tblCellMar>
            <w:top w:w="0" w:type="dxa"/>
            <w:left w:w="0" w:type="dxa"/>
            <w:bottom w:w="0" w:type="dxa"/>
            <w:right w:w="0" w:type="dxa"/>
          </w:tblCellMar>
        </w:tblPrEx>
        <w:trPr>
          <w:trHeight w:val="932" w:hRule="atLeast"/>
          <w:jc w:val="center"/>
        </w:trPr>
        <w:tc>
          <w:tcPr>
            <w:tcW w:w="640" w:type="dxa"/>
            <w:vMerge w:val="continue"/>
            <w:tcBorders>
              <w:left w:val="single" w:color="000000" w:sz="4" w:space="0"/>
              <w:right w:val="single" w:color="000000" w:sz="4" w:space="0"/>
            </w:tcBorders>
            <w:noWrap w:val="0"/>
            <w:tcMar>
              <w:top w:w="15" w:type="dxa"/>
              <w:left w:w="15" w:type="dxa"/>
              <w:right w:w="15" w:type="dxa"/>
            </w:tcMar>
            <w:vAlign w:val="center"/>
          </w:tcPr>
          <w:p w14:paraId="70EF0C98">
            <w:pPr>
              <w:jc w:val="center"/>
              <w:rPr>
                <w:rFonts w:hint="eastAsia" w:ascii="宋体" w:hAnsi="宋体" w:eastAsia="宋体" w:cs="宋体"/>
                <w:color w:val="auto"/>
                <w:sz w:val="24"/>
                <w:szCs w:val="24"/>
                <w:highlight w:val="none"/>
              </w:rPr>
            </w:pPr>
          </w:p>
        </w:tc>
        <w:tc>
          <w:tcPr>
            <w:tcW w:w="689" w:type="dxa"/>
            <w:vMerge w:val="continue"/>
            <w:tcBorders>
              <w:left w:val="single" w:color="000000" w:sz="4" w:space="0"/>
              <w:right w:val="single" w:color="000000" w:sz="4" w:space="0"/>
            </w:tcBorders>
            <w:noWrap w:val="0"/>
            <w:tcMar>
              <w:top w:w="15" w:type="dxa"/>
              <w:left w:w="15" w:type="dxa"/>
              <w:right w:w="15" w:type="dxa"/>
            </w:tcMar>
            <w:vAlign w:val="center"/>
          </w:tcPr>
          <w:p w14:paraId="3D7BBFBC">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48855A">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5.</w:t>
            </w:r>
            <w:r>
              <w:rPr>
                <w:rFonts w:hint="eastAsia" w:ascii="宋体" w:hAnsi="宋体" w:eastAsia="宋体" w:cs="宋体"/>
                <w:color w:val="auto"/>
                <w:kern w:val="0"/>
                <w:sz w:val="24"/>
                <w:szCs w:val="24"/>
                <w:highlight w:val="none"/>
                <w:lang w:bidi="ar"/>
              </w:rPr>
              <w:t>成果文件修改定稿时间满足会议要求</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F42BB8">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10</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CA608E">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8B631C">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848488">
            <w:pPr>
              <w:jc w:val="left"/>
              <w:rPr>
                <w:rFonts w:hint="eastAsia" w:ascii="宋体" w:hAnsi="宋体" w:eastAsia="宋体" w:cs="宋体"/>
                <w:color w:val="auto"/>
                <w:sz w:val="24"/>
                <w:szCs w:val="24"/>
                <w:highlight w:val="none"/>
              </w:rPr>
            </w:pPr>
          </w:p>
        </w:tc>
      </w:tr>
      <w:tr w14:paraId="2656486A">
        <w:tblPrEx>
          <w:tblCellMar>
            <w:top w:w="0" w:type="dxa"/>
            <w:left w:w="0" w:type="dxa"/>
            <w:bottom w:w="0" w:type="dxa"/>
            <w:right w:w="0" w:type="dxa"/>
          </w:tblCellMar>
        </w:tblPrEx>
        <w:trPr>
          <w:trHeight w:val="872" w:hRule="atLeast"/>
          <w:jc w:val="center"/>
        </w:trPr>
        <w:tc>
          <w:tcPr>
            <w:tcW w:w="640" w:type="dxa"/>
            <w:vMerge w:val="continue"/>
            <w:tcBorders>
              <w:left w:val="single" w:color="000000" w:sz="4" w:space="0"/>
              <w:right w:val="single" w:color="000000" w:sz="4" w:space="0"/>
            </w:tcBorders>
            <w:noWrap w:val="0"/>
            <w:tcMar>
              <w:top w:w="15" w:type="dxa"/>
              <w:left w:w="15" w:type="dxa"/>
              <w:right w:w="15" w:type="dxa"/>
            </w:tcMar>
            <w:vAlign w:val="center"/>
          </w:tcPr>
          <w:p w14:paraId="5F6BE33E">
            <w:pPr>
              <w:jc w:val="center"/>
              <w:rPr>
                <w:rFonts w:hint="eastAsia" w:ascii="宋体" w:hAnsi="宋体" w:eastAsia="宋体" w:cs="宋体"/>
                <w:color w:val="auto"/>
                <w:sz w:val="24"/>
                <w:szCs w:val="24"/>
                <w:highlight w:val="none"/>
              </w:rPr>
            </w:pPr>
          </w:p>
        </w:tc>
        <w:tc>
          <w:tcPr>
            <w:tcW w:w="689" w:type="dxa"/>
            <w:vMerge w:val="continue"/>
            <w:tcBorders>
              <w:left w:val="single" w:color="000000" w:sz="4" w:space="0"/>
              <w:right w:val="single" w:color="000000" w:sz="4" w:space="0"/>
            </w:tcBorders>
            <w:noWrap w:val="0"/>
            <w:tcMar>
              <w:top w:w="15" w:type="dxa"/>
              <w:left w:w="15" w:type="dxa"/>
              <w:right w:w="15" w:type="dxa"/>
            </w:tcMar>
            <w:vAlign w:val="center"/>
          </w:tcPr>
          <w:p w14:paraId="559511DF">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03F952">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6.</w:t>
            </w:r>
            <w:r>
              <w:rPr>
                <w:rFonts w:hint="eastAsia" w:ascii="宋体" w:hAnsi="宋体" w:eastAsia="宋体" w:cs="宋体"/>
                <w:color w:val="auto"/>
                <w:kern w:val="0"/>
                <w:sz w:val="24"/>
                <w:szCs w:val="24"/>
                <w:highlight w:val="none"/>
                <w:lang w:eastAsia="zh-CN" w:bidi="ar"/>
              </w:rPr>
              <w:t>备忘录（</w:t>
            </w:r>
            <w:r>
              <w:rPr>
                <w:rFonts w:hint="eastAsia" w:ascii="宋体" w:hAnsi="宋体" w:eastAsia="宋体" w:cs="宋体"/>
                <w:color w:val="auto"/>
                <w:kern w:val="0"/>
                <w:sz w:val="24"/>
                <w:szCs w:val="24"/>
                <w:highlight w:val="none"/>
                <w:lang w:bidi="ar"/>
              </w:rPr>
              <w:t>编制说明</w:t>
            </w:r>
            <w:r>
              <w:rPr>
                <w:rFonts w:hint="eastAsia" w:ascii="宋体" w:hAnsi="宋体" w:eastAsia="宋体" w:cs="宋体"/>
                <w:color w:val="auto"/>
                <w:kern w:val="0"/>
                <w:sz w:val="24"/>
                <w:szCs w:val="24"/>
                <w:highlight w:val="none"/>
                <w:lang w:eastAsia="zh-CN" w:bidi="ar"/>
              </w:rPr>
              <w:t>）</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8A37DC">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10</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1F7937">
            <w:pPr>
              <w:jc w:val="left"/>
              <w:rPr>
                <w:rFonts w:hint="eastAsia" w:ascii="宋体" w:hAnsi="宋体" w:eastAsia="宋体" w:cs="宋体"/>
                <w:b/>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A6CC21">
            <w:pPr>
              <w:jc w:val="left"/>
              <w:rPr>
                <w:rFonts w:hint="eastAsia" w:ascii="宋体" w:hAnsi="宋体" w:eastAsia="宋体" w:cs="宋体"/>
                <w:b/>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7CAE35">
            <w:pPr>
              <w:jc w:val="left"/>
              <w:rPr>
                <w:rFonts w:hint="eastAsia" w:ascii="宋体" w:hAnsi="宋体" w:eastAsia="宋体" w:cs="宋体"/>
                <w:color w:val="auto"/>
                <w:sz w:val="24"/>
                <w:szCs w:val="24"/>
                <w:highlight w:val="none"/>
              </w:rPr>
            </w:pPr>
          </w:p>
        </w:tc>
      </w:tr>
      <w:tr w14:paraId="116614D6">
        <w:tblPrEx>
          <w:tblCellMar>
            <w:top w:w="0" w:type="dxa"/>
            <w:left w:w="0" w:type="dxa"/>
            <w:bottom w:w="0" w:type="dxa"/>
            <w:right w:w="0" w:type="dxa"/>
          </w:tblCellMar>
        </w:tblPrEx>
        <w:trPr>
          <w:trHeight w:val="90" w:hRule="atLeast"/>
          <w:jc w:val="center"/>
        </w:trPr>
        <w:tc>
          <w:tcPr>
            <w:tcW w:w="640" w:type="dxa"/>
            <w:vMerge w:val="continue"/>
            <w:tcBorders>
              <w:left w:val="single" w:color="000000" w:sz="4" w:space="0"/>
              <w:bottom w:val="single" w:color="auto" w:sz="4" w:space="0"/>
              <w:right w:val="single" w:color="000000" w:sz="4" w:space="0"/>
            </w:tcBorders>
            <w:noWrap w:val="0"/>
            <w:tcMar>
              <w:top w:w="15" w:type="dxa"/>
              <w:left w:w="15" w:type="dxa"/>
              <w:right w:w="15" w:type="dxa"/>
            </w:tcMar>
            <w:vAlign w:val="center"/>
          </w:tcPr>
          <w:p w14:paraId="66EEB794">
            <w:pPr>
              <w:jc w:val="center"/>
              <w:rPr>
                <w:rFonts w:hint="eastAsia" w:ascii="宋体" w:hAnsi="宋体" w:eastAsia="宋体" w:cs="宋体"/>
                <w:color w:val="auto"/>
                <w:sz w:val="24"/>
                <w:szCs w:val="24"/>
                <w:highlight w:val="none"/>
              </w:rPr>
            </w:pPr>
          </w:p>
        </w:tc>
        <w:tc>
          <w:tcPr>
            <w:tcW w:w="689" w:type="dxa"/>
            <w:vMerge w:val="continue"/>
            <w:tcBorders>
              <w:left w:val="single" w:color="000000" w:sz="4" w:space="0"/>
              <w:bottom w:val="single" w:color="auto" w:sz="4" w:space="0"/>
              <w:right w:val="single" w:color="000000" w:sz="4" w:space="0"/>
            </w:tcBorders>
            <w:noWrap w:val="0"/>
            <w:tcMar>
              <w:top w:w="15" w:type="dxa"/>
              <w:left w:w="15" w:type="dxa"/>
              <w:right w:w="15" w:type="dxa"/>
            </w:tcMar>
            <w:vAlign w:val="center"/>
          </w:tcPr>
          <w:p w14:paraId="1C7842D1">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473EBB42">
            <w:pPr>
              <w:widowControl/>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7.业主综合评价</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612CD0">
            <w:pPr>
              <w:widowControl/>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10</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4EDC37">
            <w:pPr>
              <w:jc w:val="left"/>
              <w:rPr>
                <w:rFonts w:hint="eastAsia" w:ascii="宋体" w:hAnsi="宋体" w:eastAsia="宋体" w:cs="宋体"/>
                <w:b/>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51CE54">
            <w:pPr>
              <w:jc w:val="left"/>
              <w:rPr>
                <w:rFonts w:hint="eastAsia" w:ascii="宋体" w:hAnsi="宋体" w:eastAsia="宋体" w:cs="宋体"/>
                <w:b/>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7630E9">
            <w:pPr>
              <w:jc w:val="left"/>
              <w:rPr>
                <w:rFonts w:hint="eastAsia" w:ascii="宋体" w:hAnsi="宋体" w:eastAsia="宋体" w:cs="宋体"/>
                <w:color w:val="auto"/>
                <w:sz w:val="24"/>
                <w:szCs w:val="24"/>
                <w:highlight w:val="none"/>
              </w:rPr>
            </w:pPr>
          </w:p>
        </w:tc>
      </w:tr>
      <w:tr w14:paraId="469D4441">
        <w:tblPrEx>
          <w:tblCellMar>
            <w:top w:w="0" w:type="dxa"/>
            <w:left w:w="0" w:type="dxa"/>
            <w:bottom w:w="0" w:type="dxa"/>
            <w:right w:w="0" w:type="dxa"/>
          </w:tblCellMar>
        </w:tblPrEx>
        <w:trPr>
          <w:trHeight w:val="1400" w:hRule="atLeast"/>
          <w:jc w:val="center"/>
        </w:trPr>
        <w:tc>
          <w:tcPr>
            <w:tcW w:w="64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F53E7A5">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eastAsia="zh-CN" w:bidi="ar"/>
              </w:rPr>
              <w:t>二</w:t>
            </w:r>
          </w:p>
        </w:tc>
        <w:tc>
          <w:tcPr>
            <w:tcW w:w="68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49A8AF3">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扣分项</w:t>
            </w:r>
          </w:p>
        </w:tc>
        <w:tc>
          <w:tcPr>
            <w:tcW w:w="292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C68BCD8">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8.</w:t>
            </w:r>
            <w:r>
              <w:rPr>
                <w:rFonts w:hint="eastAsia" w:ascii="宋体" w:hAnsi="宋体" w:eastAsia="宋体" w:cs="宋体"/>
                <w:color w:val="auto"/>
                <w:kern w:val="0"/>
                <w:sz w:val="24"/>
                <w:szCs w:val="24"/>
                <w:highlight w:val="none"/>
                <w:lang w:bidi="ar"/>
              </w:rPr>
              <w:t>存在转包、违法分包嫌疑</w:t>
            </w:r>
          </w:p>
        </w:tc>
        <w:tc>
          <w:tcPr>
            <w:tcW w:w="566"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08F9ED55">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 </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A15196">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33897F">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14EAAB">
            <w:pPr>
              <w:widowControl/>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bidi="ar"/>
              </w:rPr>
              <w:t>编制人员与投标</w:t>
            </w:r>
            <w:r>
              <w:rPr>
                <w:rFonts w:hint="eastAsia" w:ascii="宋体" w:hAnsi="宋体" w:eastAsia="宋体" w:cs="宋体"/>
                <w:color w:val="auto"/>
                <w:kern w:val="0"/>
                <w:sz w:val="24"/>
                <w:szCs w:val="24"/>
                <w:highlight w:val="none"/>
                <w:lang w:eastAsia="zh-CN" w:bidi="ar"/>
              </w:rPr>
              <w:t>时</w:t>
            </w:r>
            <w:r>
              <w:rPr>
                <w:rFonts w:hint="eastAsia" w:ascii="宋体" w:hAnsi="宋体" w:eastAsia="宋体" w:cs="宋体"/>
                <w:color w:val="auto"/>
                <w:kern w:val="0"/>
                <w:sz w:val="24"/>
                <w:szCs w:val="24"/>
                <w:highlight w:val="none"/>
                <w:lang w:bidi="ar"/>
              </w:rPr>
              <w:t>人员一致；成果文件签章人员与实际编制人员一致；人员变更报送批准，且变更人员符合项目招标时人员配备要求，不符合要求</w:t>
            </w:r>
            <w:r>
              <w:rPr>
                <w:rFonts w:hint="eastAsia" w:ascii="宋体" w:hAnsi="宋体" w:eastAsia="宋体" w:cs="宋体"/>
                <w:color w:val="auto"/>
                <w:kern w:val="0"/>
                <w:sz w:val="24"/>
                <w:szCs w:val="24"/>
                <w:highlight w:val="none"/>
                <w:lang w:eastAsia="zh-CN" w:bidi="ar"/>
              </w:rPr>
              <w:t>的每项</w:t>
            </w:r>
            <w:r>
              <w:rPr>
                <w:rFonts w:hint="eastAsia" w:ascii="宋体" w:hAnsi="宋体" w:eastAsia="宋体" w:cs="宋体"/>
                <w:color w:val="auto"/>
                <w:kern w:val="0"/>
                <w:sz w:val="24"/>
                <w:szCs w:val="24"/>
                <w:highlight w:val="none"/>
                <w:lang w:bidi="ar"/>
              </w:rPr>
              <w:t>扣10分</w:t>
            </w:r>
          </w:p>
        </w:tc>
      </w:tr>
      <w:tr w14:paraId="407CB5B4">
        <w:tblPrEx>
          <w:tblCellMar>
            <w:top w:w="0" w:type="dxa"/>
            <w:left w:w="0" w:type="dxa"/>
            <w:bottom w:w="0" w:type="dxa"/>
            <w:right w:w="0" w:type="dxa"/>
          </w:tblCellMar>
        </w:tblPrEx>
        <w:trPr>
          <w:trHeight w:val="1061" w:hRule="atLeast"/>
          <w:jc w:val="center"/>
        </w:trPr>
        <w:tc>
          <w:tcPr>
            <w:tcW w:w="640" w:type="dxa"/>
            <w:vMerge w:val="continue"/>
            <w:tcBorders>
              <w:top w:val="single" w:color="auto" w:sz="4" w:space="0"/>
              <w:left w:val="single" w:color="auto" w:sz="4" w:space="0"/>
              <w:right w:val="single" w:color="000000" w:sz="4" w:space="0"/>
            </w:tcBorders>
            <w:noWrap w:val="0"/>
            <w:tcMar>
              <w:top w:w="15" w:type="dxa"/>
              <w:left w:w="15" w:type="dxa"/>
              <w:right w:w="15" w:type="dxa"/>
            </w:tcMar>
            <w:vAlign w:val="center"/>
          </w:tcPr>
          <w:p w14:paraId="4141160B">
            <w:pPr>
              <w:jc w:val="center"/>
              <w:rPr>
                <w:rFonts w:hint="eastAsia" w:ascii="宋体" w:hAnsi="宋体" w:eastAsia="宋体" w:cs="宋体"/>
                <w:color w:val="auto"/>
                <w:sz w:val="24"/>
                <w:szCs w:val="24"/>
                <w:highlight w:val="none"/>
              </w:rPr>
            </w:pPr>
          </w:p>
        </w:tc>
        <w:tc>
          <w:tcPr>
            <w:tcW w:w="689" w:type="dxa"/>
            <w:vMerge w:val="continue"/>
            <w:tcBorders>
              <w:top w:val="single" w:color="auto" w:sz="4" w:space="0"/>
              <w:left w:val="single" w:color="000000" w:sz="4" w:space="0"/>
              <w:right w:val="single" w:color="000000" w:sz="4" w:space="0"/>
            </w:tcBorders>
            <w:noWrap w:val="0"/>
            <w:tcMar>
              <w:top w:w="15" w:type="dxa"/>
              <w:left w:w="15" w:type="dxa"/>
              <w:right w:w="15" w:type="dxa"/>
            </w:tcMar>
            <w:vAlign w:val="center"/>
          </w:tcPr>
          <w:p w14:paraId="455D43FE">
            <w:pPr>
              <w:jc w:val="center"/>
              <w:rPr>
                <w:rFonts w:hint="eastAsia" w:ascii="宋体" w:hAnsi="宋体" w:eastAsia="宋体" w:cs="宋体"/>
                <w:color w:val="auto"/>
                <w:sz w:val="24"/>
                <w:szCs w:val="24"/>
                <w:highlight w:val="none"/>
              </w:rPr>
            </w:pPr>
          </w:p>
        </w:tc>
        <w:tc>
          <w:tcPr>
            <w:tcW w:w="2928"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E786C5">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9.</w:t>
            </w:r>
            <w:r>
              <w:rPr>
                <w:rFonts w:hint="eastAsia" w:ascii="宋体" w:hAnsi="宋体" w:eastAsia="宋体" w:cs="宋体"/>
                <w:color w:val="auto"/>
                <w:kern w:val="0"/>
                <w:sz w:val="24"/>
                <w:szCs w:val="24"/>
                <w:highlight w:val="none"/>
                <w:lang w:bidi="ar"/>
              </w:rPr>
              <w:t>施工过程中发现清单错漏单项</w:t>
            </w:r>
            <w:r>
              <w:rPr>
                <w:rFonts w:hint="eastAsia" w:ascii="宋体" w:hAnsi="宋体" w:eastAsia="宋体" w:cs="宋体"/>
                <w:color w:val="auto"/>
                <w:kern w:val="0"/>
                <w:sz w:val="24"/>
                <w:szCs w:val="24"/>
                <w:highlight w:val="none"/>
                <w:lang w:val="en-US" w:eastAsia="zh-CN" w:bidi="ar"/>
              </w:rPr>
              <w:t>5万元（含）-30万元（不含）的</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D7A297">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 </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41783B">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E9B6F6">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F448B8">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每次扣5分</w:t>
            </w:r>
          </w:p>
        </w:tc>
      </w:tr>
      <w:tr w14:paraId="7A0F8B84">
        <w:tblPrEx>
          <w:tblCellMar>
            <w:top w:w="0" w:type="dxa"/>
            <w:left w:w="0" w:type="dxa"/>
            <w:bottom w:w="0" w:type="dxa"/>
            <w:right w:w="0" w:type="dxa"/>
          </w:tblCellMar>
        </w:tblPrEx>
        <w:trPr>
          <w:trHeight w:val="1061" w:hRule="atLeast"/>
          <w:jc w:val="center"/>
        </w:trPr>
        <w:tc>
          <w:tcPr>
            <w:tcW w:w="640" w:type="dxa"/>
            <w:vMerge w:val="continue"/>
            <w:tcBorders>
              <w:left w:val="single" w:color="auto" w:sz="4" w:space="0"/>
              <w:right w:val="single" w:color="000000" w:sz="4" w:space="0"/>
            </w:tcBorders>
            <w:noWrap w:val="0"/>
            <w:tcMar>
              <w:top w:w="15" w:type="dxa"/>
              <w:left w:w="15" w:type="dxa"/>
              <w:right w:w="15" w:type="dxa"/>
            </w:tcMar>
            <w:vAlign w:val="center"/>
          </w:tcPr>
          <w:p w14:paraId="50B7267D">
            <w:pPr>
              <w:jc w:val="center"/>
              <w:rPr>
                <w:rFonts w:hint="eastAsia" w:ascii="宋体" w:hAnsi="宋体" w:eastAsia="宋体" w:cs="宋体"/>
                <w:color w:val="auto"/>
                <w:sz w:val="24"/>
                <w:szCs w:val="24"/>
                <w:highlight w:val="none"/>
              </w:rPr>
            </w:pPr>
          </w:p>
        </w:tc>
        <w:tc>
          <w:tcPr>
            <w:tcW w:w="689" w:type="dxa"/>
            <w:vMerge w:val="continue"/>
            <w:tcBorders>
              <w:left w:val="single" w:color="000000" w:sz="4" w:space="0"/>
              <w:right w:val="single" w:color="000000" w:sz="4" w:space="0"/>
            </w:tcBorders>
            <w:noWrap w:val="0"/>
            <w:tcMar>
              <w:top w:w="15" w:type="dxa"/>
              <w:left w:w="15" w:type="dxa"/>
              <w:right w:w="15" w:type="dxa"/>
            </w:tcMar>
            <w:vAlign w:val="center"/>
          </w:tcPr>
          <w:p w14:paraId="6C9D74FC">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67416A">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10.</w:t>
            </w:r>
            <w:r>
              <w:rPr>
                <w:rFonts w:hint="eastAsia" w:ascii="宋体" w:hAnsi="宋体" w:eastAsia="宋体" w:cs="宋体"/>
                <w:color w:val="auto"/>
                <w:kern w:val="0"/>
                <w:sz w:val="24"/>
                <w:szCs w:val="24"/>
                <w:highlight w:val="none"/>
                <w:lang w:bidi="ar"/>
              </w:rPr>
              <w:t>施工过程中发现清单错漏</w:t>
            </w:r>
            <w:r>
              <w:rPr>
                <w:rFonts w:hint="eastAsia" w:ascii="宋体" w:hAnsi="宋体" w:eastAsia="宋体" w:cs="宋体"/>
                <w:color w:val="auto"/>
                <w:kern w:val="0"/>
                <w:sz w:val="24"/>
                <w:szCs w:val="24"/>
                <w:highlight w:val="none"/>
                <w:lang w:eastAsia="zh-CN" w:bidi="ar"/>
              </w:rPr>
              <w:t>累计</w:t>
            </w:r>
            <w:r>
              <w:rPr>
                <w:rFonts w:hint="eastAsia" w:ascii="宋体" w:hAnsi="宋体" w:eastAsia="宋体" w:cs="宋体"/>
                <w:color w:val="auto"/>
                <w:kern w:val="0"/>
                <w:sz w:val="24"/>
                <w:szCs w:val="24"/>
                <w:highlight w:val="none"/>
                <w:lang w:val="en-US" w:eastAsia="zh-CN" w:bidi="ar"/>
              </w:rPr>
              <w:t>30万元（含）-50万元（不含）的</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1183BF">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 </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540229">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44E67C">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7F2913">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扣</w:t>
            </w:r>
            <w:r>
              <w:rPr>
                <w:rFonts w:hint="eastAsia" w:ascii="宋体" w:hAnsi="宋体" w:eastAsia="宋体" w:cs="宋体"/>
                <w:color w:val="auto"/>
                <w:kern w:val="0"/>
                <w:sz w:val="24"/>
                <w:szCs w:val="24"/>
                <w:highlight w:val="none"/>
                <w:lang w:val="en-US" w:eastAsia="zh-CN" w:bidi="ar"/>
              </w:rPr>
              <w:t>10</w:t>
            </w:r>
            <w:r>
              <w:rPr>
                <w:rFonts w:hint="eastAsia" w:ascii="宋体" w:hAnsi="宋体" w:eastAsia="宋体" w:cs="宋体"/>
                <w:color w:val="auto"/>
                <w:kern w:val="0"/>
                <w:sz w:val="24"/>
                <w:szCs w:val="24"/>
                <w:highlight w:val="none"/>
                <w:lang w:bidi="ar"/>
              </w:rPr>
              <w:t>分</w:t>
            </w:r>
          </w:p>
        </w:tc>
      </w:tr>
      <w:tr w14:paraId="7F261B70">
        <w:tblPrEx>
          <w:tblCellMar>
            <w:top w:w="0" w:type="dxa"/>
            <w:left w:w="0" w:type="dxa"/>
            <w:bottom w:w="0" w:type="dxa"/>
            <w:right w:w="0" w:type="dxa"/>
          </w:tblCellMar>
        </w:tblPrEx>
        <w:trPr>
          <w:trHeight w:val="1061" w:hRule="atLeast"/>
          <w:jc w:val="center"/>
        </w:trPr>
        <w:tc>
          <w:tcPr>
            <w:tcW w:w="640" w:type="dxa"/>
            <w:vMerge w:val="continue"/>
            <w:tcBorders>
              <w:left w:val="single" w:color="auto" w:sz="4" w:space="0"/>
              <w:right w:val="single" w:color="000000" w:sz="4" w:space="0"/>
            </w:tcBorders>
            <w:noWrap w:val="0"/>
            <w:tcMar>
              <w:top w:w="15" w:type="dxa"/>
              <w:left w:w="15" w:type="dxa"/>
              <w:right w:w="15" w:type="dxa"/>
            </w:tcMar>
            <w:vAlign w:val="center"/>
          </w:tcPr>
          <w:p w14:paraId="50ECB03B">
            <w:pPr>
              <w:jc w:val="center"/>
              <w:rPr>
                <w:rFonts w:hint="eastAsia" w:ascii="宋体" w:hAnsi="宋体" w:eastAsia="宋体" w:cs="宋体"/>
                <w:color w:val="auto"/>
                <w:sz w:val="24"/>
                <w:szCs w:val="24"/>
                <w:highlight w:val="none"/>
              </w:rPr>
            </w:pPr>
          </w:p>
        </w:tc>
        <w:tc>
          <w:tcPr>
            <w:tcW w:w="689" w:type="dxa"/>
            <w:vMerge w:val="continue"/>
            <w:tcBorders>
              <w:left w:val="single" w:color="000000" w:sz="4" w:space="0"/>
              <w:right w:val="single" w:color="000000" w:sz="4" w:space="0"/>
            </w:tcBorders>
            <w:noWrap w:val="0"/>
            <w:tcMar>
              <w:top w:w="15" w:type="dxa"/>
              <w:left w:w="15" w:type="dxa"/>
              <w:right w:w="15" w:type="dxa"/>
            </w:tcMar>
            <w:vAlign w:val="center"/>
          </w:tcPr>
          <w:p w14:paraId="6AA9212D">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9D8578">
            <w:pPr>
              <w:widowControl/>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11.</w:t>
            </w:r>
            <w:r>
              <w:rPr>
                <w:rFonts w:hint="eastAsia" w:ascii="宋体" w:hAnsi="宋体" w:eastAsia="宋体" w:cs="宋体"/>
                <w:color w:val="auto"/>
                <w:kern w:val="0"/>
                <w:sz w:val="24"/>
                <w:szCs w:val="24"/>
                <w:highlight w:val="none"/>
                <w:lang w:bidi="ar"/>
              </w:rPr>
              <w:t>施工过程中发现清单错漏</w:t>
            </w:r>
            <w:r>
              <w:rPr>
                <w:rFonts w:hint="eastAsia" w:ascii="宋体" w:hAnsi="宋体" w:eastAsia="宋体" w:cs="宋体"/>
                <w:color w:val="auto"/>
                <w:kern w:val="0"/>
                <w:sz w:val="24"/>
                <w:szCs w:val="24"/>
                <w:highlight w:val="none"/>
                <w:lang w:eastAsia="zh-CN" w:bidi="ar"/>
              </w:rPr>
              <w:t>累计</w:t>
            </w:r>
            <w:r>
              <w:rPr>
                <w:rFonts w:hint="eastAsia" w:ascii="宋体" w:hAnsi="宋体" w:eastAsia="宋体" w:cs="宋体"/>
                <w:color w:val="auto"/>
                <w:kern w:val="0"/>
                <w:sz w:val="24"/>
                <w:szCs w:val="24"/>
                <w:highlight w:val="none"/>
                <w:lang w:val="en-US" w:eastAsia="zh-CN" w:bidi="ar"/>
              </w:rPr>
              <w:t>50万元（含）-100万元（不含）的</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6DC382">
            <w:pPr>
              <w:widowControl/>
              <w:jc w:val="center"/>
              <w:textAlignment w:val="center"/>
              <w:rPr>
                <w:rFonts w:hint="eastAsia" w:ascii="宋体" w:hAnsi="宋体" w:eastAsia="宋体" w:cs="宋体"/>
                <w:color w:val="auto"/>
                <w:kern w:val="0"/>
                <w:sz w:val="24"/>
                <w:szCs w:val="24"/>
                <w:highlight w:val="none"/>
                <w:lang w:bidi="ar"/>
              </w:rPr>
            </w:pP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3DB37E">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BC20A6">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2EA67C">
            <w:pPr>
              <w:widowControl/>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扣</w:t>
            </w:r>
            <w:r>
              <w:rPr>
                <w:rFonts w:hint="eastAsia" w:ascii="宋体" w:hAnsi="宋体" w:eastAsia="宋体" w:cs="宋体"/>
                <w:color w:val="auto"/>
                <w:kern w:val="0"/>
                <w:sz w:val="24"/>
                <w:szCs w:val="24"/>
                <w:highlight w:val="none"/>
                <w:lang w:val="en-US" w:eastAsia="zh-CN" w:bidi="ar"/>
              </w:rPr>
              <w:t>20</w:t>
            </w:r>
            <w:r>
              <w:rPr>
                <w:rFonts w:hint="eastAsia" w:ascii="宋体" w:hAnsi="宋体" w:eastAsia="宋体" w:cs="宋体"/>
                <w:color w:val="auto"/>
                <w:kern w:val="0"/>
                <w:sz w:val="24"/>
                <w:szCs w:val="24"/>
                <w:highlight w:val="none"/>
                <w:lang w:bidi="ar"/>
              </w:rPr>
              <w:t>分</w:t>
            </w:r>
          </w:p>
        </w:tc>
      </w:tr>
      <w:tr w14:paraId="6A74C286">
        <w:tblPrEx>
          <w:tblCellMar>
            <w:top w:w="0" w:type="dxa"/>
            <w:left w:w="0" w:type="dxa"/>
            <w:bottom w:w="0" w:type="dxa"/>
            <w:right w:w="0" w:type="dxa"/>
          </w:tblCellMar>
        </w:tblPrEx>
        <w:trPr>
          <w:trHeight w:val="1169" w:hRule="atLeast"/>
          <w:jc w:val="center"/>
        </w:trPr>
        <w:tc>
          <w:tcPr>
            <w:tcW w:w="640" w:type="dxa"/>
            <w:vMerge w:val="continue"/>
            <w:tcBorders>
              <w:left w:val="single" w:color="auto" w:sz="4" w:space="0"/>
              <w:right w:val="single" w:color="000000" w:sz="4" w:space="0"/>
            </w:tcBorders>
            <w:noWrap w:val="0"/>
            <w:tcMar>
              <w:top w:w="15" w:type="dxa"/>
              <w:left w:w="15" w:type="dxa"/>
              <w:right w:w="15" w:type="dxa"/>
            </w:tcMar>
            <w:vAlign w:val="center"/>
          </w:tcPr>
          <w:p w14:paraId="0847C6B8">
            <w:pPr>
              <w:jc w:val="center"/>
              <w:rPr>
                <w:rFonts w:hint="eastAsia" w:ascii="宋体" w:hAnsi="宋体" w:eastAsia="宋体" w:cs="宋体"/>
                <w:color w:val="auto"/>
                <w:sz w:val="24"/>
                <w:szCs w:val="24"/>
                <w:highlight w:val="none"/>
              </w:rPr>
            </w:pPr>
          </w:p>
        </w:tc>
        <w:tc>
          <w:tcPr>
            <w:tcW w:w="689" w:type="dxa"/>
            <w:vMerge w:val="continue"/>
            <w:tcBorders>
              <w:left w:val="single" w:color="000000" w:sz="4" w:space="0"/>
              <w:right w:val="single" w:color="000000" w:sz="4" w:space="0"/>
            </w:tcBorders>
            <w:noWrap w:val="0"/>
            <w:tcMar>
              <w:top w:w="15" w:type="dxa"/>
              <w:left w:w="15" w:type="dxa"/>
              <w:right w:w="15" w:type="dxa"/>
            </w:tcMar>
            <w:vAlign w:val="center"/>
          </w:tcPr>
          <w:p w14:paraId="258B3266">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6FEF42">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12.</w:t>
            </w:r>
            <w:r>
              <w:rPr>
                <w:rFonts w:hint="eastAsia" w:ascii="宋体" w:hAnsi="宋体" w:eastAsia="宋体" w:cs="宋体"/>
                <w:color w:val="auto"/>
                <w:kern w:val="0"/>
                <w:sz w:val="24"/>
                <w:szCs w:val="24"/>
                <w:highlight w:val="none"/>
                <w:lang w:bidi="ar"/>
              </w:rPr>
              <w:t>施工过程中发现清单错漏</w:t>
            </w:r>
            <w:r>
              <w:rPr>
                <w:rFonts w:hint="eastAsia" w:ascii="宋体" w:hAnsi="宋体" w:eastAsia="宋体" w:cs="宋体"/>
                <w:color w:val="auto"/>
                <w:kern w:val="0"/>
                <w:sz w:val="24"/>
                <w:szCs w:val="24"/>
                <w:highlight w:val="none"/>
                <w:lang w:eastAsia="zh-CN" w:bidi="ar"/>
              </w:rPr>
              <w:t>累计</w:t>
            </w:r>
            <w:r>
              <w:rPr>
                <w:rFonts w:hint="eastAsia" w:ascii="宋体" w:hAnsi="宋体" w:eastAsia="宋体" w:cs="宋体"/>
                <w:color w:val="auto"/>
                <w:kern w:val="0"/>
                <w:sz w:val="24"/>
                <w:szCs w:val="24"/>
                <w:highlight w:val="none"/>
                <w:lang w:val="en-US" w:eastAsia="zh-CN" w:bidi="ar"/>
              </w:rPr>
              <w:t>100</w:t>
            </w:r>
            <w:r>
              <w:rPr>
                <w:rFonts w:hint="eastAsia" w:ascii="宋体" w:hAnsi="宋体" w:eastAsia="宋体" w:cs="宋体"/>
                <w:color w:val="auto"/>
                <w:kern w:val="0"/>
                <w:sz w:val="24"/>
                <w:szCs w:val="24"/>
                <w:highlight w:val="none"/>
                <w:lang w:bidi="ar"/>
              </w:rPr>
              <w:t>万元</w:t>
            </w:r>
            <w:r>
              <w:rPr>
                <w:rFonts w:hint="eastAsia" w:ascii="宋体" w:hAnsi="宋体" w:eastAsia="宋体" w:cs="宋体"/>
                <w:color w:val="auto"/>
                <w:kern w:val="0"/>
                <w:sz w:val="24"/>
                <w:szCs w:val="24"/>
                <w:highlight w:val="none"/>
                <w:lang w:val="en-US" w:eastAsia="zh-CN" w:bidi="ar"/>
              </w:rPr>
              <w:t>且误差率3%（含）以内的</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913B39">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 </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D1AD42">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78F065">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BEE78C">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扣</w:t>
            </w:r>
            <w:r>
              <w:rPr>
                <w:rFonts w:hint="eastAsia" w:ascii="宋体" w:hAnsi="宋体" w:eastAsia="宋体" w:cs="宋体"/>
                <w:color w:val="auto"/>
                <w:kern w:val="0"/>
                <w:sz w:val="24"/>
                <w:szCs w:val="24"/>
                <w:highlight w:val="none"/>
                <w:lang w:val="en-US" w:eastAsia="zh-CN" w:bidi="ar"/>
              </w:rPr>
              <w:t>30</w:t>
            </w:r>
            <w:r>
              <w:rPr>
                <w:rFonts w:hint="eastAsia" w:ascii="宋体" w:hAnsi="宋体" w:eastAsia="宋体" w:cs="宋体"/>
                <w:color w:val="auto"/>
                <w:kern w:val="0"/>
                <w:sz w:val="24"/>
                <w:szCs w:val="24"/>
                <w:highlight w:val="none"/>
                <w:lang w:bidi="ar"/>
              </w:rPr>
              <w:t>分</w:t>
            </w:r>
          </w:p>
        </w:tc>
      </w:tr>
      <w:tr w14:paraId="29B7F7EC">
        <w:tblPrEx>
          <w:tblCellMar>
            <w:top w:w="0" w:type="dxa"/>
            <w:left w:w="0" w:type="dxa"/>
            <w:bottom w:w="0" w:type="dxa"/>
            <w:right w:w="0" w:type="dxa"/>
          </w:tblCellMar>
        </w:tblPrEx>
        <w:trPr>
          <w:trHeight w:val="1363" w:hRule="atLeast"/>
          <w:jc w:val="center"/>
        </w:trPr>
        <w:tc>
          <w:tcPr>
            <w:tcW w:w="640" w:type="dxa"/>
            <w:vMerge w:val="continue"/>
            <w:tcBorders>
              <w:left w:val="single" w:color="auto" w:sz="4" w:space="0"/>
              <w:right w:val="single" w:color="000000" w:sz="4" w:space="0"/>
            </w:tcBorders>
            <w:noWrap w:val="0"/>
            <w:tcMar>
              <w:top w:w="15" w:type="dxa"/>
              <w:left w:w="15" w:type="dxa"/>
              <w:right w:w="15" w:type="dxa"/>
            </w:tcMar>
            <w:vAlign w:val="center"/>
          </w:tcPr>
          <w:p w14:paraId="56011C21">
            <w:pPr>
              <w:jc w:val="center"/>
              <w:rPr>
                <w:rFonts w:hint="eastAsia" w:ascii="宋体" w:hAnsi="宋体" w:eastAsia="宋体" w:cs="宋体"/>
                <w:color w:val="auto"/>
                <w:sz w:val="24"/>
                <w:szCs w:val="24"/>
                <w:highlight w:val="none"/>
              </w:rPr>
            </w:pPr>
          </w:p>
        </w:tc>
        <w:tc>
          <w:tcPr>
            <w:tcW w:w="689" w:type="dxa"/>
            <w:vMerge w:val="continue"/>
            <w:tcBorders>
              <w:left w:val="single" w:color="000000" w:sz="4" w:space="0"/>
              <w:right w:val="single" w:color="000000" w:sz="4" w:space="0"/>
            </w:tcBorders>
            <w:noWrap w:val="0"/>
            <w:tcMar>
              <w:top w:w="15" w:type="dxa"/>
              <w:left w:w="15" w:type="dxa"/>
              <w:right w:w="15" w:type="dxa"/>
            </w:tcMar>
            <w:vAlign w:val="center"/>
          </w:tcPr>
          <w:p w14:paraId="60DA2A3F">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3A2C0A">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13.</w:t>
            </w:r>
            <w:r>
              <w:rPr>
                <w:rFonts w:hint="eastAsia" w:ascii="宋体" w:hAnsi="宋体" w:eastAsia="宋体" w:cs="宋体"/>
                <w:color w:val="auto"/>
                <w:kern w:val="0"/>
                <w:sz w:val="24"/>
                <w:szCs w:val="24"/>
                <w:highlight w:val="none"/>
                <w:lang w:bidi="ar"/>
              </w:rPr>
              <w:t>施工过程中发现清单错漏</w:t>
            </w:r>
            <w:r>
              <w:rPr>
                <w:rFonts w:hint="eastAsia" w:ascii="宋体" w:hAnsi="宋体" w:eastAsia="宋体" w:cs="宋体"/>
                <w:color w:val="auto"/>
                <w:kern w:val="0"/>
                <w:sz w:val="24"/>
                <w:szCs w:val="24"/>
                <w:highlight w:val="none"/>
                <w:lang w:eastAsia="zh-CN" w:bidi="ar"/>
              </w:rPr>
              <w:t>累计</w:t>
            </w:r>
            <w:r>
              <w:rPr>
                <w:rFonts w:hint="eastAsia" w:ascii="宋体" w:hAnsi="宋体" w:eastAsia="宋体" w:cs="宋体"/>
                <w:color w:val="auto"/>
                <w:kern w:val="0"/>
                <w:sz w:val="24"/>
                <w:szCs w:val="24"/>
                <w:highlight w:val="none"/>
                <w:lang w:val="en-US" w:eastAsia="zh-CN" w:bidi="ar"/>
              </w:rPr>
              <w:t>100万元（含）以上的且误差率在3%（不含）-5%（含）的</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B5A593">
            <w:pPr>
              <w:jc w:val="center"/>
              <w:rPr>
                <w:rFonts w:hint="eastAsia" w:ascii="宋体" w:hAnsi="宋体" w:eastAsia="宋体" w:cs="宋体"/>
                <w:color w:val="auto"/>
                <w:sz w:val="24"/>
                <w:szCs w:val="24"/>
                <w:highlight w:val="none"/>
              </w:rPr>
            </w:pP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FFADEF">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EFF308">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2AC9E6">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扣</w:t>
            </w:r>
            <w:r>
              <w:rPr>
                <w:rFonts w:hint="eastAsia" w:ascii="宋体" w:hAnsi="宋体" w:eastAsia="宋体" w:cs="宋体"/>
                <w:color w:val="auto"/>
                <w:kern w:val="0"/>
                <w:sz w:val="24"/>
                <w:szCs w:val="24"/>
                <w:highlight w:val="none"/>
                <w:lang w:val="en-US" w:eastAsia="zh-CN" w:bidi="ar"/>
              </w:rPr>
              <w:t>40</w:t>
            </w:r>
            <w:r>
              <w:rPr>
                <w:rFonts w:hint="eastAsia" w:ascii="宋体" w:hAnsi="宋体" w:eastAsia="宋体" w:cs="宋体"/>
                <w:color w:val="auto"/>
                <w:kern w:val="0"/>
                <w:sz w:val="24"/>
                <w:szCs w:val="24"/>
                <w:highlight w:val="none"/>
                <w:lang w:bidi="ar"/>
              </w:rPr>
              <w:t>分</w:t>
            </w:r>
          </w:p>
        </w:tc>
      </w:tr>
      <w:tr w14:paraId="6D948B65">
        <w:tblPrEx>
          <w:tblCellMar>
            <w:top w:w="0" w:type="dxa"/>
            <w:left w:w="0" w:type="dxa"/>
            <w:bottom w:w="0" w:type="dxa"/>
            <w:right w:w="0" w:type="dxa"/>
          </w:tblCellMar>
        </w:tblPrEx>
        <w:trPr>
          <w:trHeight w:val="1396" w:hRule="atLeast"/>
          <w:jc w:val="center"/>
        </w:trPr>
        <w:tc>
          <w:tcPr>
            <w:tcW w:w="640" w:type="dxa"/>
            <w:vMerge w:val="continue"/>
            <w:tcBorders>
              <w:left w:val="single" w:color="auto" w:sz="4" w:space="0"/>
              <w:bottom w:val="single" w:color="000000" w:sz="4" w:space="0"/>
              <w:right w:val="single" w:color="000000" w:sz="4" w:space="0"/>
            </w:tcBorders>
            <w:noWrap w:val="0"/>
            <w:tcMar>
              <w:top w:w="15" w:type="dxa"/>
              <w:left w:w="15" w:type="dxa"/>
              <w:right w:w="15" w:type="dxa"/>
            </w:tcMar>
            <w:vAlign w:val="center"/>
          </w:tcPr>
          <w:p w14:paraId="64B455B3">
            <w:pPr>
              <w:jc w:val="center"/>
              <w:rPr>
                <w:rFonts w:hint="eastAsia" w:ascii="宋体" w:hAnsi="宋体" w:eastAsia="宋体" w:cs="宋体"/>
                <w:color w:val="auto"/>
                <w:sz w:val="24"/>
                <w:szCs w:val="24"/>
                <w:highlight w:val="none"/>
              </w:rPr>
            </w:pPr>
          </w:p>
        </w:tc>
        <w:tc>
          <w:tcPr>
            <w:tcW w:w="689"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3CED53F1">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3A4AF1">
            <w:pPr>
              <w:widowControl/>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14.</w:t>
            </w:r>
            <w:r>
              <w:rPr>
                <w:rFonts w:hint="eastAsia" w:ascii="宋体" w:hAnsi="宋体" w:eastAsia="宋体" w:cs="宋体"/>
                <w:color w:val="auto"/>
                <w:kern w:val="0"/>
                <w:sz w:val="24"/>
                <w:szCs w:val="24"/>
                <w:highlight w:val="none"/>
                <w:lang w:bidi="ar"/>
              </w:rPr>
              <w:t>施工过程中发现清单错漏</w:t>
            </w:r>
            <w:r>
              <w:rPr>
                <w:rFonts w:hint="eastAsia" w:ascii="宋体" w:hAnsi="宋体" w:eastAsia="宋体" w:cs="宋体"/>
                <w:color w:val="auto"/>
                <w:kern w:val="0"/>
                <w:sz w:val="24"/>
                <w:szCs w:val="24"/>
                <w:highlight w:val="none"/>
                <w:lang w:eastAsia="zh-CN" w:bidi="ar"/>
              </w:rPr>
              <w:t>累计</w:t>
            </w:r>
            <w:r>
              <w:rPr>
                <w:rFonts w:hint="eastAsia" w:ascii="宋体" w:hAnsi="宋体" w:eastAsia="宋体" w:cs="宋体"/>
                <w:color w:val="auto"/>
                <w:kern w:val="0"/>
                <w:sz w:val="24"/>
                <w:szCs w:val="24"/>
                <w:highlight w:val="none"/>
                <w:lang w:val="en-US" w:eastAsia="zh-CN" w:bidi="ar"/>
              </w:rPr>
              <w:t>100万元（含）以上的且误差率超过5%（含）的</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DCC979">
            <w:pPr>
              <w:jc w:val="center"/>
              <w:rPr>
                <w:rFonts w:hint="eastAsia" w:ascii="宋体" w:hAnsi="宋体" w:eastAsia="宋体" w:cs="宋体"/>
                <w:color w:val="auto"/>
                <w:sz w:val="24"/>
                <w:szCs w:val="24"/>
                <w:highlight w:val="none"/>
              </w:rPr>
            </w:pP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ABDCEE">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AB2036">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B7DF2C">
            <w:pPr>
              <w:widowControl/>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扣</w:t>
            </w:r>
            <w:r>
              <w:rPr>
                <w:rFonts w:hint="eastAsia" w:ascii="宋体" w:hAnsi="宋体" w:eastAsia="宋体" w:cs="宋体"/>
                <w:color w:val="auto"/>
                <w:kern w:val="0"/>
                <w:sz w:val="24"/>
                <w:szCs w:val="24"/>
                <w:highlight w:val="none"/>
                <w:lang w:val="en-US" w:eastAsia="zh-CN" w:bidi="ar"/>
              </w:rPr>
              <w:t>50</w:t>
            </w:r>
            <w:r>
              <w:rPr>
                <w:rFonts w:hint="eastAsia" w:ascii="宋体" w:hAnsi="宋体" w:eastAsia="宋体" w:cs="宋体"/>
                <w:color w:val="auto"/>
                <w:kern w:val="0"/>
                <w:sz w:val="24"/>
                <w:szCs w:val="24"/>
                <w:highlight w:val="none"/>
                <w:lang w:bidi="ar"/>
              </w:rPr>
              <w:t>分</w:t>
            </w:r>
          </w:p>
        </w:tc>
      </w:tr>
      <w:tr w14:paraId="5B7ED349">
        <w:tblPrEx>
          <w:tblCellMar>
            <w:top w:w="0" w:type="dxa"/>
            <w:left w:w="0" w:type="dxa"/>
            <w:bottom w:w="0" w:type="dxa"/>
            <w:right w:w="0" w:type="dxa"/>
          </w:tblCellMar>
        </w:tblPrEx>
        <w:trPr>
          <w:trHeight w:val="645" w:hRule="atLeast"/>
          <w:jc w:val="center"/>
        </w:trPr>
        <w:tc>
          <w:tcPr>
            <w:tcW w:w="64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27C754">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eastAsia="zh-CN" w:bidi="ar"/>
              </w:rPr>
              <w:t>三</w:t>
            </w:r>
          </w:p>
        </w:tc>
        <w:tc>
          <w:tcPr>
            <w:tcW w:w="68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8411AC">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加分项</w:t>
            </w: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647479">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15.</w:t>
            </w:r>
            <w:r>
              <w:rPr>
                <w:rFonts w:hint="eastAsia" w:ascii="宋体" w:hAnsi="宋体" w:eastAsia="宋体" w:cs="宋体"/>
                <w:color w:val="auto"/>
                <w:kern w:val="0"/>
                <w:sz w:val="24"/>
                <w:szCs w:val="24"/>
                <w:highlight w:val="none"/>
                <w:lang w:bidi="ar"/>
              </w:rPr>
              <w:t>发现设计重大错漏</w:t>
            </w:r>
          </w:p>
        </w:tc>
        <w:tc>
          <w:tcPr>
            <w:tcW w:w="566"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5CDCFDEE">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 </w:t>
            </w:r>
          </w:p>
        </w:tc>
        <w:tc>
          <w:tcPr>
            <w:tcW w:w="702"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22256BA9">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03598870">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02A46CF5">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每项加5分</w:t>
            </w:r>
          </w:p>
        </w:tc>
      </w:tr>
      <w:tr w14:paraId="2DCA6B3B">
        <w:tblPrEx>
          <w:tblCellMar>
            <w:top w:w="0" w:type="dxa"/>
            <w:left w:w="0" w:type="dxa"/>
            <w:bottom w:w="0" w:type="dxa"/>
            <w:right w:w="0" w:type="dxa"/>
          </w:tblCellMar>
        </w:tblPrEx>
        <w:trPr>
          <w:trHeight w:val="718" w:hRule="atLeast"/>
          <w:jc w:val="center"/>
        </w:trPr>
        <w:tc>
          <w:tcPr>
            <w:tcW w:w="6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D66755">
            <w:pPr>
              <w:jc w:val="center"/>
              <w:rPr>
                <w:rFonts w:hint="eastAsia" w:ascii="宋体" w:hAnsi="宋体" w:eastAsia="宋体" w:cs="宋体"/>
                <w:color w:val="auto"/>
                <w:sz w:val="24"/>
                <w:szCs w:val="24"/>
                <w:highlight w:val="none"/>
              </w:rPr>
            </w:pPr>
          </w:p>
        </w:tc>
        <w:tc>
          <w:tcPr>
            <w:tcW w:w="68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5D5C32">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EECBDE">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16.</w:t>
            </w:r>
            <w:r>
              <w:rPr>
                <w:rFonts w:hint="eastAsia" w:ascii="宋体" w:hAnsi="宋体" w:eastAsia="宋体" w:cs="宋体"/>
                <w:color w:val="auto"/>
                <w:kern w:val="0"/>
                <w:sz w:val="24"/>
                <w:szCs w:val="24"/>
                <w:highlight w:val="none"/>
                <w:lang w:bidi="ar"/>
              </w:rPr>
              <w:t>提出合理化意见被采纳的</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B3B6D0">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 </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8CEA10">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BB6E43">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7850AF">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每项加5分</w:t>
            </w:r>
          </w:p>
        </w:tc>
      </w:tr>
      <w:tr w14:paraId="6C2C5956">
        <w:tblPrEx>
          <w:tblCellMar>
            <w:top w:w="0" w:type="dxa"/>
            <w:left w:w="0" w:type="dxa"/>
            <w:bottom w:w="0" w:type="dxa"/>
            <w:right w:w="0" w:type="dxa"/>
          </w:tblCellMar>
        </w:tblPrEx>
        <w:trPr>
          <w:trHeight w:val="784" w:hRule="atLeast"/>
          <w:jc w:val="center"/>
        </w:trPr>
        <w:tc>
          <w:tcPr>
            <w:tcW w:w="6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A3E9D7">
            <w:pPr>
              <w:jc w:val="center"/>
              <w:rPr>
                <w:rFonts w:hint="eastAsia" w:ascii="宋体" w:hAnsi="宋体" w:eastAsia="宋体" w:cs="宋体"/>
                <w:color w:val="auto"/>
                <w:sz w:val="24"/>
                <w:szCs w:val="24"/>
                <w:highlight w:val="none"/>
              </w:rPr>
            </w:pPr>
          </w:p>
        </w:tc>
        <w:tc>
          <w:tcPr>
            <w:tcW w:w="68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C2D259">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3C3B9E">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17.</w:t>
            </w:r>
            <w:r>
              <w:rPr>
                <w:rFonts w:hint="eastAsia" w:ascii="宋体" w:hAnsi="宋体" w:eastAsia="宋体" w:cs="宋体"/>
                <w:color w:val="auto"/>
                <w:kern w:val="0"/>
                <w:sz w:val="24"/>
                <w:szCs w:val="24"/>
                <w:highlight w:val="none"/>
                <w:lang w:bidi="ar"/>
              </w:rPr>
              <w:t>发现并移交经济案件线索且被立案查处</w:t>
            </w:r>
          </w:p>
        </w:tc>
        <w:tc>
          <w:tcPr>
            <w:tcW w:w="566"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6E50C745">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 </w:t>
            </w:r>
          </w:p>
        </w:tc>
        <w:tc>
          <w:tcPr>
            <w:tcW w:w="702"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0262A128">
            <w:pPr>
              <w:jc w:val="left"/>
              <w:rPr>
                <w:rFonts w:hint="eastAsia" w:ascii="宋体" w:hAnsi="宋体" w:eastAsia="宋体" w:cs="宋体"/>
                <w:color w:val="auto"/>
                <w:sz w:val="24"/>
                <w:szCs w:val="24"/>
                <w:highlight w:val="none"/>
              </w:rPr>
            </w:pPr>
          </w:p>
        </w:tc>
        <w:tc>
          <w:tcPr>
            <w:tcW w:w="103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60089FB1">
            <w:pPr>
              <w:jc w:val="left"/>
              <w:rPr>
                <w:rFonts w:hint="eastAsia" w:ascii="宋体" w:hAnsi="宋体" w:eastAsia="宋体" w:cs="宋体"/>
                <w:color w:val="auto"/>
                <w:sz w:val="24"/>
                <w:szCs w:val="24"/>
                <w:highlight w:val="none"/>
              </w:rPr>
            </w:pPr>
          </w:p>
        </w:tc>
        <w:tc>
          <w:tcPr>
            <w:tcW w:w="3857"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7175181F">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每件加20分</w:t>
            </w:r>
          </w:p>
        </w:tc>
      </w:tr>
      <w:tr w14:paraId="0CA81264">
        <w:tblPrEx>
          <w:tblCellMar>
            <w:top w:w="0" w:type="dxa"/>
            <w:left w:w="0" w:type="dxa"/>
            <w:bottom w:w="0" w:type="dxa"/>
            <w:right w:w="0" w:type="dxa"/>
          </w:tblCellMar>
        </w:tblPrEx>
        <w:trPr>
          <w:trHeight w:val="470" w:hRule="atLeast"/>
          <w:jc w:val="center"/>
        </w:trPr>
        <w:tc>
          <w:tcPr>
            <w:tcW w:w="482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FA33C8">
            <w:pPr>
              <w:widowControl/>
              <w:jc w:val="right"/>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合计</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4B9086">
            <w:pPr>
              <w:jc w:val="left"/>
              <w:rPr>
                <w:rFonts w:hint="eastAsia" w:ascii="宋体" w:hAnsi="宋体" w:eastAsia="宋体" w:cs="宋体"/>
                <w:b/>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8D9B23">
            <w:pPr>
              <w:jc w:val="left"/>
              <w:rPr>
                <w:rFonts w:hint="eastAsia" w:ascii="宋体" w:hAnsi="宋体" w:eastAsia="宋体" w:cs="宋体"/>
                <w:b/>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E436CF">
            <w:pPr>
              <w:jc w:val="left"/>
              <w:rPr>
                <w:rFonts w:hint="eastAsia" w:ascii="宋体" w:hAnsi="宋体" w:eastAsia="宋体" w:cs="宋体"/>
                <w:color w:val="auto"/>
                <w:sz w:val="24"/>
                <w:szCs w:val="24"/>
                <w:highlight w:val="none"/>
              </w:rPr>
            </w:pPr>
          </w:p>
        </w:tc>
      </w:tr>
      <w:tr w14:paraId="52340764">
        <w:tblPrEx>
          <w:tblCellMar>
            <w:top w:w="0" w:type="dxa"/>
            <w:left w:w="0" w:type="dxa"/>
            <w:bottom w:w="0" w:type="dxa"/>
            <w:right w:w="0" w:type="dxa"/>
          </w:tblCellMar>
        </w:tblPrEx>
        <w:trPr>
          <w:trHeight w:val="944" w:hRule="atLeast"/>
          <w:jc w:val="center"/>
        </w:trPr>
        <w:tc>
          <w:tcPr>
            <w:tcW w:w="10412"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D2CC01A">
            <w:pPr>
              <w:widowControl/>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造价咨询人员签字：               考核人员签字 ：              </w:t>
            </w:r>
          </w:p>
          <w:p w14:paraId="633CB4C3">
            <w:pPr>
              <w:widowControl/>
              <w:textAlignment w:val="center"/>
              <w:rPr>
                <w:rFonts w:hint="eastAsia" w:ascii="宋体" w:hAnsi="宋体" w:eastAsia="宋体" w:cs="宋体"/>
                <w:color w:val="auto"/>
                <w:kern w:val="0"/>
                <w:sz w:val="24"/>
                <w:szCs w:val="24"/>
                <w:highlight w:val="none"/>
                <w:lang w:bidi="ar"/>
              </w:rPr>
            </w:pPr>
          </w:p>
          <w:p w14:paraId="52BF021C">
            <w:pPr>
              <w:widowControl/>
              <w:ind w:firstLine="7560" w:firstLineChars="3150"/>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      </w:t>
            </w:r>
            <w:r>
              <w:rPr>
                <w:rStyle w:val="153"/>
                <w:rFonts w:hint="eastAsia" w:ascii="宋体" w:hAnsi="宋体" w:eastAsia="宋体" w:cs="宋体"/>
                <w:color w:val="auto"/>
                <w:sz w:val="24"/>
                <w:szCs w:val="24"/>
                <w:highlight w:val="none"/>
                <w:lang w:bidi="ar"/>
              </w:rPr>
              <w:t xml:space="preserve">     </w:t>
            </w:r>
            <w:r>
              <w:rPr>
                <w:rStyle w:val="154"/>
                <w:rFonts w:hint="eastAsia" w:ascii="宋体" w:hAnsi="宋体" w:eastAsia="宋体" w:cs="宋体"/>
                <w:color w:val="auto"/>
                <w:sz w:val="24"/>
                <w:szCs w:val="24"/>
                <w:highlight w:val="none"/>
                <w:lang w:bidi="ar"/>
              </w:rPr>
              <w:t>年</w:t>
            </w:r>
            <w:r>
              <w:rPr>
                <w:rStyle w:val="153"/>
                <w:rFonts w:hint="eastAsia" w:ascii="宋体" w:hAnsi="宋体" w:eastAsia="宋体" w:cs="宋体"/>
                <w:color w:val="auto"/>
                <w:sz w:val="24"/>
                <w:szCs w:val="24"/>
                <w:highlight w:val="none"/>
                <w:lang w:bidi="ar"/>
              </w:rPr>
              <w:t xml:space="preserve">   </w:t>
            </w:r>
            <w:r>
              <w:rPr>
                <w:rStyle w:val="154"/>
                <w:rFonts w:hint="eastAsia" w:ascii="宋体" w:hAnsi="宋体" w:eastAsia="宋体" w:cs="宋体"/>
                <w:color w:val="auto"/>
                <w:sz w:val="24"/>
                <w:szCs w:val="24"/>
                <w:highlight w:val="none"/>
                <w:lang w:bidi="ar"/>
              </w:rPr>
              <w:t>月</w:t>
            </w:r>
            <w:r>
              <w:rPr>
                <w:rStyle w:val="153"/>
                <w:rFonts w:hint="eastAsia" w:ascii="宋体" w:hAnsi="宋体" w:eastAsia="宋体" w:cs="宋体"/>
                <w:color w:val="auto"/>
                <w:sz w:val="24"/>
                <w:szCs w:val="24"/>
                <w:highlight w:val="none"/>
                <w:lang w:bidi="ar"/>
              </w:rPr>
              <w:t xml:space="preserve">   </w:t>
            </w:r>
            <w:r>
              <w:rPr>
                <w:rStyle w:val="154"/>
                <w:rFonts w:hint="eastAsia" w:ascii="宋体" w:hAnsi="宋体" w:eastAsia="宋体" w:cs="宋体"/>
                <w:color w:val="auto"/>
                <w:sz w:val="24"/>
                <w:szCs w:val="24"/>
                <w:highlight w:val="none"/>
                <w:lang w:bidi="ar"/>
              </w:rPr>
              <w:t xml:space="preserve">日     </w:t>
            </w:r>
          </w:p>
        </w:tc>
      </w:tr>
    </w:tbl>
    <w:p w14:paraId="7E9CCC01">
      <w:pPr>
        <w:pStyle w:val="2"/>
        <w:spacing w:line="240" w:lineRule="auto"/>
        <w:ind w:left="0" w:leftChars="0" w:firstLine="0" w:firstLineChars="0"/>
        <w:rPr>
          <w:rFonts w:hint="eastAsia" w:ascii="宋体" w:hAnsi="宋体" w:eastAsia="宋体" w:cs="宋体"/>
          <w:color w:val="auto"/>
          <w:sz w:val="32"/>
          <w:szCs w:val="32"/>
          <w:highlight w:val="none"/>
        </w:rPr>
      </w:pPr>
    </w:p>
    <w:p w14:paraId="15FDB7B2">
      <w:pPr>
        <w:pStyle w:val="2"/>
        <w:spacing w:line="240" w:lineRule="auto"/>
        <w:ind w:left="0" w:leftChars="0" w:firstLine="0" w:firstLineChars="0"/>
        <w:rPr>
          <w:rFonts w:hint="eastAsia" w:ascii="宋体" w:hAnsi="宋体" w:eastAsia="宋体" w:cs="宋体"/>
          <w:color w:val="auto"/>
          <w:sz w:val="32"/>
          <w:szCs w:val="32"/>
          <w:highlight w:val="none"/>
        </w:rPr>
      </w:pPr>
    </w:p>
    <w:p w14:paraId="344C7DD0">
      <w:pPr>
        <w:rPr>
          <w:rFonts w:hint="eastAsia" w:ascii="宋体" w:hAnsi="宋体" w:eastAsia="宋体" w:cs="宋体"/>
          <w:color w:val="auto"/>
          <w:sz w:val="32"/>
          <w:szCs w:val="32"/>
          <w:highlight w:val="none"/>
        </w:rPr>
      </w:pPr>
    </w:p>
    <w:p w14:paraId="4A2B78AE">
      <w:pPr>
        <w:pStyle w:val="2"/>
        <w:rPr>
          <w:rFonts w:hint="eastAsia" w:ascii="宋体" w:hAnsi="宋体" w:eastAsia="宋体" w:cs="宋体"/>
          <w:color w:val="auto"/>
          <w:sz w:val="32"/>
          <w:szCs w:val="32"/>
          <w:highlight w:val="none"/>
        </w:rPr>
      </w:pPr>
    </w:p>
    <w:p w14:paraId="7409AD80">
      <w:pPr>
        <w:rPr>
          <w:rFonts w:hint="eastAsia" w:ascii="宋体" w:hAnsi="宋体" w:eastAsia="宋体" w:cs="宋体"/>
          <w:color w:val="auto"/>
          <w:sz w:val="32"/>
          <w:szCs w:val="32"/>
          <w:highlight w:val="none"/>
        </w:rPr>
      </w:pPr>
    </w:p>
    <w:p w14:paraId="3EA97D51">
      <w:pPr>
        <w:pStyle w:val="2"/>
        <w:rPr>
          <w:rFonts w:hint="eastAsia" w:ascii="宋体" w:hAnsi="宋体" w:eastAsia="宋体" w:cs="宋体"/>
          <w:color w:val="auto"/>
          <w:sz w:val="32"/>
          <w:szCs w:val="32"/>
          <w:highlight w:val="none"/>
        </w:rPr>
      </w:pPr>
    </w:p>
    <w:p w14:paraId="3DFCAA94">
      <w:pPr>
        <w:rPr>
          <w:rFonts w:hint="eastAsia" w:ascii="宋体" w:hAnsi="宋体" w:eastAsia="宋体" w:cs="宋体"/>
          <w:color w:val="auto"/>
          <w:sz w:val="32"/>
          <w:szCs w:val="32"/>
          <w:highlight w:val="none"/>
        </w:rPr>
      </w:pPr>
    </w:p>
    <w:p w14:paraId="3E001B22">
      <w:pPr>
        <w:pStyle w:val="2"/>
        <w:rPr>
          <w:rFonts w:hint="eastAsia"/>
          <w:color w:val="auto"/>
          <w:highlight w:val="none"/>
        </w:rPr>
      </w:pPr>
    </w:p>
    <w:p w14:paraId="525AF85E">
      <w:pPr>
        <w:rPr>
          <w:rFonts w:hint="eastAsia" w:ascii="宋体" w:hAnsi="宋体" w:eastAsia="宋体" w:cs="宋体"/>
          <w:color w:val="auto"/>
          <w:sz w:val="32"/>
          <w:szCs w:val="32"/>
          <w:highlight w:val="none"/>
        </w:rPr>
      </w:pPr>
    </w:p>
    <w:p w14:paraId="52B20293">
      <w:pPr>
        <w:pStyle w:val="2"/>
        <w:spacing w:line="240" w:lineRule="auto"/>
        <w:ind w:left="0" w:leftChars="0" w:firstLine="0" w:firstLineChars="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附件</w:t>
      </w:r>
      <w:r>
        <w:rPr>
          <w:rFonts w:hint="eastAsia" w:ascii="宋体" w:hAnsi="宋体" w:eastAsia="宋体" w:cs="宋体"/>
          <w:color w:val="auto"/>
          <w:sz w:val="32"/>
          <w:szCs w:val="32"/>
          <w:highlight w:val="none"/>
          <w:lang w:val="en-US" w:eastAsia="zh-CN"/>
        </w:rPr>
        <w:t>2</w:t>
      </w:r>
      <w:r>
        <w:rPr>
          <w:rFonts w:hint="eastAsia" w:ascii="宋体" w:hAnsi="宋体" w:eastAsia="宋体" w:cs="宋体"/>
          <w:color w:val="auto"/>
          <w:sz w:val="32"/>
          <w:szCs w:val="32"/>
          <w:highlight w:val="none"/>
        </w:rPr>
        <w:t>：</w:t>
      </w:r>
    </w:p>
    <w:tbl>
      <w:tblPr>
        <w:tblStyle w:val="45"/>
        <w:tblW w:w="9998" w:type="dxa"/>
        <w:jc w:val="center"/>
        <w:tblLayout w:type="fixed"/>
        <w:tblCellMar>
          <w:top w:w="0" w:type="dxa"/>
          <w:left w:w="0" w:type="dxa"/>
          <w:bottom w:w="0" w:type="dxa"/>
          <w:right w:w="0" w:type="dxa"/>
        </w:tblCellMar>
      </w:tblPr>
      <w:tblGrid>
        <w:gridCol w:w="556"/>
        <w:gridCol w:w="892"/>
        <w:gridCol w:w="2720"/>
        <w:gridCol w:w="712"/>
        <w:gridCol w:w="596"/>
        <w:gridCol w:w="1002"/>
        <w:gridCol w:w="3520"/>
      </w:tblGrid>
      <w:tr w14:paraId="1014D78D">
        <w:tblPrEx>
          <w:tblCellMar>
            <w:top w:w="0" w:type="dxa"/>
            <w:left w:w="0" w:type="dxa"/>
            <w:bottom w:w="0" w:type="dxa"/>
            <w:right w:w="0" w:type="dxa"/>
          </w:tblCellMar>
        </w:tblPrEx>
        <w:trPr>
          <w:trHeight w:val="435" w:hRule="atLeast"/>
          <w:jc w:val="center"/>
        </w:trPr>
        <w:tc>
          <w:tcPr>
            <w:tcW w:w="9998" w:type="dxa"/>
            <w:gridSpan w:val="7"/>
            <w:tcBorders>
              <w:top w:val="nil"/>
              <w:left w:val="nil"/>
              <w:bottom w:val="single" w:color="000000" w:sz="4" w:space="0"/>
              <w:right w:val="nil"/>
            </w:tcBorders>
            <w:noWrap w:val="0"/>
            <w:tcMar>
              <w:top w:w="15" w:type="dxa"/>
              <w:left w:w="15" w:type="dxa"/>
              <w:right w:w="15" w:type="dxa"/>
            </w:tcMar>
            <w:vAlign w:val="center"/>
          </w:tcPr>
          <w:p w14:paraId="2C504765">
            <w:pPr>
              <w:widowControl/>
              <w:jc w:val="center"/>
              <w:textAlignment w:val="center"/>
              <w:rPr>
                <w:rFonts w:hint="eastAsia" w:ascii="宋体" w:hAnsi="宋体" w:eastAsia="宋体" w:cs="宋体"/>
                <w:b/>
                <w:color w:val="auto"/>
                <w:szCs w:val="32"/>
                <w:highlight w:val="none"/>
              </w:rPr>
            </w:pPr>
            <w:r>
              <w:rPr>
                <w:rFonts w:hint="eastAsia" w:ascii="宋体" w:hAnsi="宋体" w:eastAsia="宋体" w:cs="宋体"/>
                <w:b/>
                <w:color w:val="auto"/>
                <w:kern w:val="0"/>
                <w:szCs w:val="32"/>
                <w:highlight w:val="none"/>
                <w:u w:val="single"/>
                <w:lang w:bidi="ar"/>
              </w:rPr>
              <w:t xml:space="preserve">                         </w:t>
            </w:r>
            <w:r>
              <w:rPr>
                <w:rFonts w:hint="eastAsia" w:ascii="宋体" w:hAnsi="宋体" w:eastAsia="宋体" w:cs="宋体"/>
                <w:b/>
                <w:color w:val="auto"/>
                <w:kern w:val="0"/>
                <w:szCs w:val="32"/>
                <w:highlight w:val="none"/>
                <w:u w:val="single"/>
                <w:lang w:val="en-US" w:eastAsia="zh-CN" w:bidi="ar"/>
              </w:rPr>
              <w:t xml:space="preserve">   </w:t>
            </w:r>
            <w:r>
              <w:rPr>
                <w:rFonts w:hint="eastAsia" w:ascii="宋体" w:hAnsi="宋体" w:eastAsia="宋体" w:cs="宋体"/>
                <w:b/>
                <w:color w:val="auto"/>
                <w:kern w:val="0"/>
                <w:szCs w:val="32"/>
                <w:highlight w:val="none"/>
                <w:u w:val="single"/>
                <w:lang w:bidi="ar"/>
              </w:rPr>
              <w:t xml:space="preserve">    </w:t>
            </w:r>
            <w:r>
              <w:rPr>
                <w:rStyle w:val="155"/>
                <w:rFonts w:hint="eastAsia" w:ascii="宋体" w:hAnsi="宋体" w:eastAsia="宋体" w:cs="宋体"/>
                <w:b w:val="0"/>
                <w:color w:val="auto"/>
                <w:highlight w:val="none"/>
                <w:lang w:bidi="ar"/>
              </w:rPr>
              <w:t>项目</w:t>
            </w:r>
            <w:r>
              <w:rPr>
                <w:rStyle w:val="155"/>
                <w:rFonts w:hint="eastAsia" w:ascii="宋体" w:hAnsi="宋体" w:eastAsia="宋体" w:cs="宋体"/>
                <w:b w:val="0"/>
                <w:color w:val="auto"/>
                <w:highlight w:val="none"/>
                <w:lang w:eastAsia="zh-CN" w:bidi="ar"/>
              </w:rPr>
              <w:t>跟踪</w:t>
            </w:r>
            <w:r>
              <w:rPr>
                <w:rStyle w:val="155"/>
                <w:rFonts w:hint="eastAsia" w:ascii="宋体" w:hAnsi="宋体" w:eastAsia="宋体" w:cs="宋体"/>
                <w:b w:val="0"/>
                <w:color w:val="auto"/>
                <w:highlight w:val="none"/>
                <w:lang w:bidi="ar"/>
              </w:rPr>
              <w:t xml:space="preserve">审计服务质量日常考核表           </w:t>
            </w:r>
          </w:p>
        </w:tc>
      </w:tr>
      <w:tr w14:paraId="73404592">
        <w:tblPrEx>
          <w:tblCellMar>
            <w:top w:w="0" w:type="dxa"/>
            <w:left w:w="0" w:type="dxa"/>
            <w:bottom w:w="0" w:type="dxa"/>
            <w:right w:w="0" w:type="dxa"/>
          </w:tblCellMar>
        </w:tblPrEx>
        <w:trPr>
          <w:trHeight w:val="90" w:hRule="atLeast"/>
          <w:jc w:val="center"/>
        </w:trPr>
        <w:tc>
          <w:tcPr>
            <w:tcW w:w="5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76A9A8">
            <w:pPr>
              <w:widowControl/>
              <w:jc w:val="center"/>
              <w:textAlignment w:val="center"/>
              <w:rPr>
                <w:rFonts w:hint="eastAsia" w:ascii="宋体" w:hAnsi="宋体" w:eastAsia="宋体" w:cs="宋体"/>
                <w:b/>
                <w:color w:val="auto"/>
                <w:sz w:val="22"/>
                <w:szCs w:val="22"/>
                <w:highlight w:val="none"/>
                <w:lang w:eastAsia="zh-CN"/>
              </w:rPr>
            </w:pPr>
            <w:r>
              <w:rPr>
                <w:rFonts w:hint="eastAsia" w:ascii="宋体" w:hAnsi="宋体" w:eastAsia="宋体" w:cs="宋体"/>
                <w:b/>
                <w:color w:val="auto"/>
                <w:kern w:val="0"/>
                <w:sz w:val="22"/>
                <w:szCs w:val="22"/>
                <w:highlight w:val="none"/>
                <w:lang w:eastAsia="zh-CN" w:bidi="ar"/>
              </w:rPr>
              <w:t>序号</w:t>
            </w:r>
          </w:p>
        </w:tc>
        <w:tc>
          <w:tcPr>
            <w:tcW w:w="8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30866C">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lang w:bidi="ar"/>
              </w:rPr>
              <w:t>指标</w:t>
            </w: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291CE4">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lang w:bidi="ar"/>
              </w:rPr>
              <w:t>内容</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94DAEE">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lang w:bidi="ar"/>
              </w:rPr>
              <w:t>总分</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2B0951">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lang w:bidi="ar"/>
              </w:rPr>
              <w:t>得分</w:t>
            </w: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5BD026">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lang w:bidi="ar"/>
              </w:rPr>
              <w:t>打分说明</w:t>
            </w: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86A37F">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lang w:bidi="ar"/>
              </w:rPr>
              <w:t>备注</w:t>
            </w:r>
          </w:p>
        </w:tc>
      </w:tr>
      <w:tr w14:paraId="454D6840">
        <w:tblPrEx>
          <w:tblCellMar>
            <w:top w:w="0" w:type="dxa"/>
            <w:left w:w="0" w:type="dxa"/>
            <w:bottom w:w="0" w:type="dxa"/>
            <w:right w:w="0" w:type="dxa"/>
          </w:tblCellMar>
        </w:tblPrEx>
        <w:trPr>
          <w:trHeight w:val="90" w:hRule="atLeast"/>
          <w:jc w:val="center"/>
        </w:trPr>
        <w:tc>
          <w:tcPr>
            <w:tcW w:w="556"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637FCBF0">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eastAsia="zh-CN" w:bidi="ar"/>
              </w:rPr>
              <w:t>一</w:t>
            </w:r>
          </w:p>
        </w:tc>
        <w:tc>
          <w:tcPr>
            <w:tcW w:w="892"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1D0619A5">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bidi="ar"/>
              </w:rPr>
              <w:t>人员组成</w:t>
            </w:r>
            <w:r>
              <w:rPr>
                <w:rFonts w:hint="eastAsia" w:ascii="宋体" w:hAnsi="宋体" w:eastAsia="宋体" w:cs="宋体"/>
                <w:color w:val="auto"/>
                <w:kern w:val="0"/>
                <w:sz w:val="24"/>
                <w:szCs w:val="24"/>
                <w:highlight w:val="none"/>
                <w:lang w:eastAsia="zh-CN" w:bidi="ar"/>
              </w:rPr>
              <w:t>、</w:t>
            </w:r>
            <w:r>
              <w:rPr>
                <w:rFonts w:hint="eastAsia" w:ascii="宋体" w:hAnsi="宋体" w:eastAsia="宋体" w:cs="宋体"/>
                <w:color w:val="auto"/>
                <w:kern w:val="0"/>
                <w:sz w:val="24"/>
                <w:szCs w:val="24"/>
                <w:highlight w:val="none"/>
                <w:lang w:bidi="ar"/>
              </w:rPr>
              <w:t>变更</w:t>
            </w:r>
            <w:r>
              <w:rPr>
                <w:rFonts w:hint="eastAsia" w:ascii="宋体" w:hAnsi="宋体" w:eastAsia="宋体" w:cs="宋体"/>
                <w:color w:val="auto"/>
                <w:kern w:val="0"/>
                <w:sz w:val="24"/>
                <w:szCs w:val="24"/>
                <w:highlight w:val="none"/>
                <w:lang w:eastAsia="zh-CN" w:bidi="ar"/>
              </w:rPr>
              <w:t>及前期准备</w:t>
            </w: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278F69">
            <w:pPr>
              <w:widowControl/>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bidi="ar"/>
              </w:rPr>
              <w:t>是否具备胜任本项目跟踪审计工作能力</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BA03A0">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4</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B7CA0B">
            <w:pPr>
              <w:jc w:val="left"/>
              <w:rPr>
                <w:rFonts w:hint="eastAsia" w:ascii="宋体" w:hAnsi="宋体" w:eastAsia="宋体" w:cs="宋体"/>
                <w:color w:val="auto"/>
                <w:kern w:val="2"/>
                <w:sz w:val="24"/>
                <w:szCs w:val="24"/>
                <w:highlight w:val="none"/>
                <w:lang w:val="en-US" w:eastAsia="zh-CN" w:bidi="ar-SA"/>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6588F7">
            <w:pPr>
              <w:jc w:val="left"/>
              <w:rPr>
                <w:rFonts w:hint="eastAsia" w:ascii="宋体" w:hAnsi="宋体" w:eastAsia="宋体" w:cs="宋体"/>
                <w:color w:val="auto"/>
                <w:kern w:val="2"/>
                <w:sz w:val="24"/>
                <w:szCs w:val="24"/>
                <w:highlight w:val="none"/>
                <w:lang w:val="en-US" w:eastAsia="zh-CN" w:bidi="ar-SA"/>
              </w:rPr>
            </w:pP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2E8E4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eastAsia="zh-CN" w:bidi="ar"/>
              </w:rPr>
              <w:t>需有与跟审投标文件、委托协议一致的</w:t>
            </w:r>
            <w:r>
              <w:rPr>
                <w:rFonts w:hint="eastAsia" w:ascii="宋体" w:hAnsi="宋体" w:eastAsia="宋体" w:cs="宋体"/>
                <w:color w:val="auto"/>
                <w:kern w:val="0"/>
                <w:sz w:val="21"/>
                <w:szCs w:val="21"/>
                <w:highlight w:val="none"/>
                <w:lang w:bidi="ar"/>
              </w:rPr>
              <w:t>任命文</w:t>
            </w:r>
            <w:r>
              <w:rPr>
                <w:rFonts w:hint="eastAsia" w:ascii="宋体" w:hAnsi="宋体" w:eastAsia="宋体" w:cs="宋体"/>
                <w:color w:val="auto"/>
                <w:kern w:val="0"/>
                <w:sz w:val="21"/>
                <w:szCs w:val="21"/>
                <w:highlight w:val="none"/>
                <w:lang w:eastAsia="zh-CN" w:bidi="ar"/>
              </w:rPr>
              <w:t>并</w:t>
            </w:r>
            <w:r>
              <w:rPr>
                <w:rFonts w:hint="eastAsia" w:ascii="宋体" w:hAnsi="宋体" w:eastAsia="宋体" w:cs="宋体"/>
                <w:color w:val="auto"/>
                <w:kern w:val="0"/>
                <w:sz w:val="21"/>
                <w:szCs w:val="21"/>
                <w:highlight w:val="none"/>
                <w:lang w:bidi="ar"/>
              </w:rPr>
              <w:t>及时报送</w:t>
            </w:r>
            <w:r>
              <w:rPr>
                <w:rFonts w:hint="eastAsia" w:ascii="宋体" w:hAnsi="宋体" w:eastAsia="宋体" w:cs="宋体"/>
                <w:color w:val="auto"/>
                <w:kern w:val="0"/>
                <w:sz w:val="21"/>
                <w:szCs w:val="21"/>
                <w:highlight w:val="none"/>
                <w:lang w:eastAsia="zh-CN" w:bidi="ar"/>
              </w:rPr>
              <w:t>综合计划科和业主代表</w:t>
            </w:r>
            <w:r>
              <w:rPr>
                <w:rFonts w:hint="eastAsia" w:ascii="宋体" w:hAnsi="宋体" w:eastAsia="宋体" w:cs="宋体"/>
                <w:color w:val="auto"/>
                <w:kern w:val="0"/>
                <w:sz w:val="21"/>
                <w:szCs w:val="21"/>
                <w:highlight w:val="none"/>
                <w:lang w:bidi="ar"/>
              </w:rPr>
              <w:t>备案（</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bidi="ar"/>
              </w:rPr>
              <w:t>分）</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人员变更</w:t>
            </w:r>
            <w:r>
              <w:rPr>
                <w:rFonts w:hint="eastAsia" w:ascii="宋体" w:hAnsi="宋体" w:eastAsia="宋体" w:cs="宋体"/>
                <w:color w:val="auto"/>
                <w:kern w:val="0"/>
                <w:sz w:val="21"/>
                <w:szCs w:val="21"/>
                <w:highlight w:val="none"/>
                <w:lang w:eastAsia="zh-CN" w:bidi="ar"/>
              </w:rPr>
              <w:t>的，程序</w:t>
            </w:r>
            <w:r>
              <w:rPr>
                <w:rFonts w:hint="eastAsia" w:ascii="宋体" w:hAnsi="宋体" w:eastAsia="宋体" w:cs="宋体"/>
                <w:color w:val="auto"/>
                <w:kern w:val="0"/>
                <w:sz w:val="21"/>
                <w:szCs w:val="21"/>
                <w:highlight w:val="none"/>
                <w:lang w:bidi="ar"/>
              </w:rPr>
              <w:t>是否</w:t>
            </w:r>
            <w:r>
              <w:rPr>
                <w:rFonts w:hint="eastAsia" w:ascii="宋体" w:hAnsi="宋体" w:eastAsia="宋体" w:cs="宋体"/>
                <w:color w:val="auto"/>
                <w:kern w:val="0"/>
                <w:sz w:val="21"/>
                <w:szCs w:val="21"/>
                <w:highlight w:val="none"/>
                <w:lang w:eastAsia="zh-CN" w:bidi="ar"/>
              </w:rPr>
              <w:t>按管理办法完成</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分）</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若不一致或未办理变更手续</w:t>
            </w:r>
            <w:r>
              <w:rPr>
                <w:rFonts w:hint="eastAsia" w:ascii="宋体" w:hAnsi="宋体" w:eastAsia="宋体" w:cs="宋体"/>
                <w:color w:val="auto"/>
                <w:kern w:val="0"/>
                <w:sz w:val="21"/>
                <w:szCs w:val="21"/>
                <w:highlight w:val="none"/>
                <w:lang w:eastAsia="zh-CN" w:bidi="ar"/>
              </w:rPr>
              <w:t>的，本项</w:t>
            </w:r>
            <w:r>
              <w:rPr>
                <w:rFonts w:hint="eastAsia" w:ascii="宋体" w:hAnsi="宋体" w:eastAsia="宋体" w:cs="宋体"/>
                <w:color w:val="auto"/>
                <w:kern w:val="0"/>
                <w:sz w:val="21"/>
                <w:szCs w:val="21"/>
                <w:highlight w:val="none"/>
                <w:lang w:bidi="ar"/>
              </w:rPr>
              <w:t>得0分</w:t>
            </w:r>
          </w:p>
        </w:tc>
      </w:tr>
      <w:tr w14:paraId="570B743F">
        <w:tblPrEx>
          <w:tblCellMar>
            <w:top w:w="0" w:type="dxa"/>
            <w:left w:w="0" w:type="dxa"/>
            <w:bottom w:w="0" w:type="dxa"/>
            <w:right w:w="0" w:type="dxa"/>
          </w:tblCellMar>
        </w:tblPrEx>
        <w:trPr>
          <w:trHeight w:val="1462" w:hRule="atLeast"/>
          <w:jc w:val="center"/>
        </w:trPr>
        <w:tc>
          <w:tcPr>
            <w:tcW w:w="556" w:type="dxa"/>
            <w:vMerge w:val="continue"/>
            <w:tcBorders>
              <w:left w:val="single" w:color="000000" w:sz="4" w:space="0"/>
              <w:right w:val="single" w:color="000000" w:sz="4" w:space="0"/>
            </w:tcBorders>
            <w:noWrap w:val="0"/>
            <w:tcMar>
              <w:top w:w="15" w:type="dxa"/>
              <w:left w:w="15" w:type="dxa"/>
              <w:right w:w="15" w:type="dxa"/>
            </w:tcMar>
            <w:vAlign w:val="center"/>
          </w:tcPr>
          <w:p w14:paraId="013F0D3B">
            <w:pPr>
              <w:widowControl/>
              <w:jc w:val="center"/>
              <w:textAlignment w:val="center"/>
              <w:rPr>
                <w:rFonts w:hint="eastAsia" w:ascii="宋体" w:hAnsi="宋体" w:eastAsia="宋体" w:cs="宋体"/>
                <w:color w:val="auto"/>
                <w:kern w:val="0"/>
                <w:sz w:val="24"/>
                <w:szCs w:val="24"/>
                <w:highlight w:val="none"/>
                <w:lang w:bidi="ar"/>
              </w:rPr>
            </w:pPr>
          </w:p>
        </w:tc>
        <w:tc>
          <w:tcPr>
            <w:tcW w:w="892" w:type="dxa"/>
            <w:vMerge w:val="continue"/>
            <w:tcBorders>
              <w:left w:val="single" w:color="000000" w:sz="4" w:space="0"/>
              <w:right w:val="single" w:color="000000" w:sz="4" w:space="0"/>
            </w:tcBorders>
            <w:noWrap w:val="0"/>
            <w:tcMar>
              <w:top w:w="15" w:type="dxa"/>
              <w:left w:w="15" w:type="dxa"/>
              <w:right w:w="15" w:type="dxa"/>
            </w:tcMar>
            <w:vAlign w:val="center"/>
          </w:tcPr>
          <w:p w14:paraId="64F384A0">
            <w:pPr>
              <w:widowControl/>
              <w:jc w:val="center"/>
              <w:textAlignment w:val="center"/>
              <w:rPr>
                <w:rFonts w:hint="eastAsia" w:ascii="宋体" w:hAnsi="宋体" w:eastAsia="宋体" w:cs="宋体"/>
                <w:color w:val="auto"/>
                <w:kern w:val="0"/>
                <w:sz w:val="24"/>
                <w:szCs w:val="24"/>
                <w:highlight w:val="none"/>
                <w:lang w:bidi="ar"/>
              </w:rPr>
            </w:pP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B0A2F1">
            <w:pPr>
              <w:widowControl/>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bidi="ar"/>
              </w:rPr>
              <w:t>到岗履职</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1A8C12">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4</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B0D0E9">
            <w:pPr>
              <w:jc w:val="left"/>
              <w:rPr>
                <w:rFonts w:hint="eastAsia" w:ascii="宋体" w:hAnsi="宋体" w:eastAsia="宋体" w:cs="宋体"/>
                <w:color w:val="auto"/>
                <w:kern w:val="2"/>
                <w:sz w:val="24"/>
                <w:szCs w:val="24"/>
                <w:highlight w:val="none"/>
                <w:lang w:val="en-US" w:eastAsia="zh-CN" w:bidi="ar-SA"/>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0BBF13">
            <w:pPr>
              <w:jc w:val="left"/>
              <w:rPr>
                <w:rFonts w:hint="eastAsia" w:ascii="宋体" w:hAnsi="宋体" w:eastAsia="宋体" w:cs="宋体"/>
                <w:color w:val="auto"/>
                <w:kern w:val="2"/>
                <w:sz w:val="24"/>
                <w:szCs w:val="24"/>
                <w:highlight w:val="none"/>
                <w:lang w:val="en-US" w:eastAsia="zh-CN" w:bidi="ar-SA"/>
              </w:rPr>
            </w:pP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0FF3B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业主、监理反映履职情况，经检查组询问，项目负责人或现场审计人员是否了解工程现场情况，</w:t>
            </w:r>
            <w:r>
              <w:rPr>
                <w:rFonts w:hint="eastAsia" w:ascii="宋体" w:hAnsi="宋体" w:eastAsia="宋体" w:cs="宋体"/>
                <w:color w:val="auto"/>
                <w:kern w:val="0"/>
                <w:sz w:val="21"/>
                <w:szCs w:val="21"/>
                <w:highlight w:val="none"/>
                <w:lang w:eastAsia="zh-CN" w:bidi="ar"/>
              </w:rPr>
              <w:t>有驻场要求的需考核打卡</w:t>
            </w:r>
            <w:r>
              <w:rPr>
                <w:rFonts w:hint="eastAsia" w:ascii="宋体" w:hAnsi="宋体" w:eastAsia="宋体" w:cs="宋体"/>
                <w:color w:val="auto"/>
                <w:kern w:val="0"/>
                <w:sz w:val="21"/>
                <w:szCs w:val="21"/>
                <w:highlight w:val="none"/>
                <w:lang w:bidi="ar"/>
              </w:rPr>
              <w:t>情况。</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不好0分、较好</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bidi="ar"/>
              </w:rPr>
              <w:t>分、很好</w:t>
            </w:r>
            <w:r>
              <w:rPr>
                <w:rFonts w:hint="eastAsia" w:ascii="宋体" w:hAnsi="宋体" w:eastAsia="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bidi="ar"/>
              </w:rPr>
              <w:t>分</w:t>
            </w:r>
            <w:r>
              <w:rPr>
                <w:rFonts w:hint="eastAsia" w:ascii="宋体" w:hAnsi="宋体" w:eastAsia="宋体" w:cs="宋体"/>
                <w:color w:val="auto"/>
                <w:kern w:val="0"/>
                <w:sz w:val="21"/>
                <w:szCs w:val="21"/>
                <w:highlight w:val="none"/>
                <w:lang w:eastAsia="zh-CN" w:bidi="ar"/>
              </w:rPr>
              <w:t>）主要会议未参加或单项隐蔽工程未参与计量的，本项得</w:t>
            </w:r>
            <w:r>
              <w:rPr>
                <w:rFonts w:hint="eastAsia" w:ascii="宋体" w:hAnsi="宋体" w:eastAsia="宋体" w:cs="宋体"/>
                <w:color w:val="auto"/>
                <w:kern w:val="0"/>
                <w:sz w:val="21"/>
                <w:szCs w:val="21"/>
                <w:highlight w:val="none"/>
                <w:lang w:val="en-US" w:eastAsia="zh-CN" w:bidi="ar"/>
              </w:rPr>
              <w:t>0分（本项由业主代表参与打分）</w:t>
            </w:r>
          </w:p>
        </w:tc>
      </w:tr>
      <w:tr w14:paraId="592F05F5">
        <w:tblPrEx>
          <w:tblCellMar>
            <w:top w:w="0" w:type="dxa"/>
            <w:left w:w="0" w:type="dxa"/>
            <w:bottom w:w="0" w:type="dxa"/>
            <w:right w:w="0" w:type="dxa"/>
          </w:tblCellMar>
        </w:tblPrEx>
        <w:trPr>
          <w:trHeight w:val="813" w:hRule="atLeast"/>
          <w:jc w:val="center"/>
        </w:trPr>
        <w:tc>
          <w:tcPr>
            <w:tcW w:w="556"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279EE721">
            <w:pPr>
              <w:widowControl/>
              <w:jc w:val="center"/>
              <w:textAlignment w:val="center"/>
              <w:rPr>
                <w:rFonts w:hint="eastAsia" w:ascii="宋体" w:hAnsi="宋体" w:eastAsia="宋体" w:cs="宋体"/>
                <w:color w:val="auto"/>
                <w:sz w:val="24"/>
                <w:szCs w:val="24"/>
                <w:highlight w:val="none"/>
                <w:lang w:eastAsia="zh-CN"/>
              </w:rPr>
            </w:pPr>
          </w:p>
        </w:tc>
        <w:tc>
          <w:tcPr>
            <w:tcW w:w="892"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070C62D8">
            <w:pPr>
              <w:widowControl/>
              <w:jc w:val="center"/>
              <w:textAlignment w:val="center"/>
              <w:rPr>
                <w:rFonts w:hint="eastAsia" w:ascii="宋体" w:hAnsi="宋体" w:eastAsia="宋体" w:cs="宋体"/>
                <w:color w:val="auto"/>
                <w:sz w:val="24"/>
                <w:szCs w:val="24"/>
                <w:highlight w:val="none"/>
                <w:lang w:val="en-US" w:eastAsia="zh-CN"/>
              </w:rPr>
            </w:pP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ED6CE5">
            <w:pPr>
              <w:widowControl/>
              <w:jc w:val="left"/>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eastAsia="zh-CN" w:bidi="ar"/>
              </w:rPr>
              <w:t>资料是否收集齐全</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B86C73">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2</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3E3D61">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609D88">
            <w:pPr>
              <w:jc w:val="left"/>
              <w:rPr>
                <w:rFonts w:hint="eastAsia" w:ascii="宋体" w:hAnsi="宋体" w:eastAsia="宋体" w:cs="宋体"/>
                <w:color w:val="auto"/>
                <w:sz w:val="24"/>
                <w:szCs w:val="24"/>
                <w:highlight w:val="none"/>
              </w:rPr>
            </w:pP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C0A5CD">
            <w:pPr>
              <w:widowControl/>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需有招标文件、工程量清单及最高投标限价、中标单位投标文件、建设工程施工合同、图纸等前期资料。未收集齐全的，本项得</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lang w:eastAsia="zh-CN"/>
              </w:rPr>
              <w:t>分</w:t>
            </w:r>
          </w:p>
        </w:tc>
      </w:tr>
      <w:tr w14:paraId="21C7E927">
        <w:tblPrEx>
          <w:tblCellMar>
            <w:top w:w="0" w:type="dxa"/>
            <w:left w:w="0" w:type="dxa"/>
            <w:bottom w:w="0" w:type="dxa"/>
            <w:right w:w="0" w:type="dxa"/>
          </w:tblCellMar>
        </w:tblPrEx>
        <w:trPr>
          <w:trHeight w:val="1427" w:hRule="atLeast"/>
          <w:jc w:val="center"/>
        </w:trPr>
        <w:tc>
          <w:tcPr>
            <w:tcW w:w="556" w:type="dxa"/>
            <w:tcBorders>
              <w:top w:val="single" w:color="auto" w:sz="4" w:space="0"/>
              <w:left w:val="single" w:color="auto" w:sz="4" w:space="0"/>
              <w:bottom w:val="single" w:color="auto" w:sz="4" w:space="0"/>
              <w:right w:val="single" w:color="000000" w:sz="4" w:space="0"/>
            </w:tcBorders>
            <w:noWrap w:val="0"/>
            <w:tcMar>
              <w:top w:w="15" w:type="dxa"/>
              <w:left w:w="15" w:type="dxa"/>
              <w:right w:w="15" w:type="dxa"/>
            </w:tcMar>
            <w:vAlign w:val="center"/>
          </w:tcPr>
          <w:p w14:paraId="143439DA">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eastAsia="zh-CN" w:bidi="ar"/>
              </w:rPr>
              <w:t>二</w:t>
            </w:r>
          </w:p>
        </w:tc>
        <w:tc>
          <w:tcPr>
            <w:tcW w:w="892"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32E0299B">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审计实施方案</w:t>
            </w:r>
          </w:p>
        </w:tc>
        <w:tc>
          <w:tcPr>
            <w:tcW w:w="2720"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69289061">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内容规范、全面、针对性强，按照《关于进一步规范政府投资项目跟踪审计实施方案及清单复核报告制度的通知》要求编写</w:t>
            </w:r>
          </w:p>
        </w:tc>
        <w:tc>
          <w:tcPr>
            <w:tcW w:w="712"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75A170A7">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5</w:t>
            </w:r>
          </w:p>
        </w:tc>
        <w:tc>
          <w:tcPr>
            <w:tcW w:w="596"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5C8359A7">
            <w:pPr>
              <w:jc w:val="left"/>
              <w:rPr>
                <w:rFonts w:hint="eastAsia" w:ascii="宋体" w:hAnsi="宋体" w:eastAsia="宋体" w:cs="宋体"/>
                <w:color w:val="auto"/>
                <w:sz w:val="24"/>
                <w:szCs w:val="24"/>
                <w:highlight w:val="none"/>
              </w:rPr>
            </w:pPr>
          </w:p>
        </w:tc>
        <w:tc>
          <w:tcPr>
            <w:tcW w:w="1002"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5D46EEEE">
            <w:pPr>
              <w:jc w:val="left"/>
              <w:rPr>
                <w:rFonts w:hint="eastAsia" w:ascii="宋体" w:hAnsi="宋体" w:eastAsia="宋体" w:cs="宋体"/>
                <w:color w:val="auto"/>
                <w:sz w:val="24"/>
                <w:szCs w:val="24"/>
                <w:highlight w:val="none"/>
              </w:rPr>
            </w:pPr>
          </w:p>
        </w:tc>
        <w:tc>
          <w:tcPr>
            <w:tcW w:w="3520" w:type="dxa"/>
            <w:tcBorders>
              <w:top w:val="single" w:color="auto" w:sz="4" w:space="0"/>
              <w:left w:val="single" w:color="000000" w:sz="4" w:space="0"/>
              <w:bottom w:val="single" w:color="auto" w:sz="4" w:space="0"/>
              <w:right w:val="single" w:color="auto" w:sz="4" w:space="0"/>
            </w:tcBorders>
            <w:noWrap w:val="0"/>
            <w:tcMar>
              <w:top w:w="15" w:type="dxa"/>
              <w:left w:w="15" w:type="dxa"/>
              <w:right w:w="15" w:type="dxa"/>
            </w:tcMar>
            <w:vAlign w:val="center"/>
          </w:tcPr>
          <w:p w14:paraId="0FB23D18">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要素：1.总述2.人员配置3.工作内容4.跟踪审计重点5.审计程序6.审计质量保证措施</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不好0分、较好</w:t>
            </w: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分、很好</w:t>
            </w:r>
            <w:r>
              <w:rPr>
                <w:rFonts w:hint="eastAsia" w:ascii="宋体" w:hAnsi="宋体" w:eastAsia="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bidi="ar"/>
              </w:rPr>
              <w:t>分</w:t>
            </w:r>
            <w:r>
              <w:rPr>
                <w:rFonts w:hint="eastAsia" w:ascii="宋体" w:hAnsi="宋体" w:eastAsia="宋体" w:cs="宋体"/>
                <w:color w:val="auto"/>
                <w:kern w:val="0"/>
                <w:sz w:val="21"/>
                <w:szCs w:val="21"/>
                <w:highlight w:val="none"/>
                <w:lang w:eastAsia="zh-CN" w:bidi="ar"/>
              </w:rPr>
              <w:t>）。于</w:t>
            </w:r>
            <w:r>
              <w:rPr>
                <w:rFonts w:hint="eastAsia" w:ascii="宋体" w:hAnsi="宋体" w:eastAsia="宋体" w:cs="宋体"/>
                <w:color w:val="auto"/>
                <w:kern w:val="0"/>
                <w:sz w:val="21"/>
                <w:szCs w:val="21"/>
                <w:highlight w:val="none"/>
                <w:lang w:bidi="ar"/>
              </w:rPr>
              <w:t>开工前报送</w:t>
            </w:r>
            <w:r>
              <w:rPr>
                <w:rFonts w:hint="eastAsia" w:ascii="宋体" w:hAnsi="宋体" w:eastAsia="宋体" w:cs="宋体"/>
                <w:color w:val="auto"/>
                <w:kern w:val="0"/>
                <w:sz w:val="21"/>
                <w:szCs w:val="21"/>
                <w:highlight w:val="none"/>
                <w:lang w:eastAsia="zh-CN" w:bidi="ar"/>
              </w:rPr>
              <w:t>综合计划科和业主代表</w:t>
            </w:r>
            <w:r>
              <w:rPr>
                <w:rFonts w:hint="eastAsia" w:ascii="宋体" w:hAnsi="宋体" w:eastAsia="宋体" w:cs="宋体"/>
                <w:color w:val="auto"/>
                <w:kern w:val="0"/>
                <w:sz w:val="21"/>
                <w:szCs w:val="21"/>
                <w:highlight w:val="none"/>
                <w:lang w:bidi="ar"/>
              </w:rPr>
              <w:t>备案（</w:t>
            </w:r>
            <w:r>
              <w:rPr>
                <w:rFonts w:hint="eastAsia" w:ascii="宋体" w:hAnsi="宋体" w:eastAsia="宋体" w:cs="宋体"/>
                <w:color w:val="auto"/>
                <w:kern w:val="0"/>
                <w:sz w:val="21"/>
                <w:szCs w:val="21"/>
                <w:highlight w:val="none"/>
                <w:lang w:val="en-US" w:eastAsia="zh-CN" w:bidi="ar"/>
              </w:rPr>
              <w:t>1分</w:t>
            </w:r>
            <w:r>
              <w:rPr>
                <w:rFonts w:hint="eastAsia" w:ascii="宋体" w:hAnsi="宋体" w:eastAsia="宋体" w:cs="宋体"/>
                <w:color w:val="auto"/>
                <w:kern w:val="0"/>
                <w:sz w:val="21"/>
                <w:szCs w:val="21"/>
                <w:highlight w:val="none"/>
                <w:lang w:bidi="ar"/>
              </w:rPr>
              <w:t>）</w:t>
            </w:r>
          </w:p>
        </w:tc>
      </w:tr>
      <w:tr w14:paraId="603A1A02">
        <w:tblPrEx>
          <w:tblCellMar>
            <w:top w:w="0" w:type="dxa"/>
            <w:left w:w="0" w:type="dxa"/>
            <w:bottom w:w="0" w:type="dxa"/>
            <w:right w:w="0" w:type="dxa"/>
          </w:tblCellMar>
        </w:tblPrEx>
        <w:trPr>
          <w:trHeight w:val="1307" w:hRule="atLeast"/>
          <w:jc w:val="center"/>
        </w:trPr>
        <w:tc>
          <w:tcPr>
            <w:tcW w:w="556"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150CF1C6">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eastAsia="zh-CN" w:bidi="ar"/>
              </w:rPr>
              <w:t>三</w:t>
            </w:r>
          </w:p>
        </w:tc>
        <w:tc>
          <w:tcPr>
            <w:tcW w:w="892"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1EAACE69">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清单复核记录</w:t>
            </w: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5E446D">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bidi="ar"/>
              </w:rPr>
              <w:t>是否完整反映招投标清单价格中错漏，并提出应对措施，是否按照《关于进一步规范政府投资项目跟踪审计实施方案及清单复核报告制度的通知》要求编写</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50687B">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5</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447267">
            <w:pPr>
              <w:jc w:val="center"/>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119044">
            <w:pPr>
              <w:jc w:val="center"/>
              <w:rPr>
                <w:rFonts w:hint="eastAsia" w:ascii="宋体" w:hAnsi="宋体" w:eastAsia="宋体" w:cs="宋体"/>
                <w:color w:val="auto"/>
                <w:sz w:val="24"/>
                <w:szCs w:val="24"/>
                <w:highlight w:val="none"/>
              </w:rPr>
            </w:pP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789C4A">
            <w:pPr>
              <w:widowControl/>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bidi="ar"/>
              </w:rPr>
              <w:t>要素：1.</w:t>
            </w:r>
            <w:r>
              <w:rPr>
                <w:rFonts w:hint="eastAsia" w:ascii="宋体" w:hAnsi="宋体" w:eastAsia="宋体" w:cs="宋体"/>
                <w:color w:val="auto"/>
                <w:kern w:val="0"/>
                <w:sz w:val="21"/>
                <w:szCs w:val="21"/>
                <w:highlight w:val="none"/>
                <w:lang w:eastAsia="zh-CN" w:bidi="ar"/>
              </w:rPr>
              <w:t>重新计算异常</w:t>
            </w:r>
            <w:r>
              <w:rPr>
                <w:rFonts w:hint="eastAsia" w:ascii="宋体" w:hAnsi="宋体" w:eastAsia="宋体" w:cs="宋体"/>
                <w:color w:val="auto"/>
                <w:kern w:val="0"/>
                <w:sz w:val="21"/>
                <w:szCs w:val="21"/>
                <w:highlight w:val="none"/>
                <w:lang w:bidi="ar"/>
              </w:rPr>
              <w:t>工程量2.</w:t>
            </w:r>
            <w:r>
              <w:rPr>
                <w:rFonts w:hint="eastAsia" w:ascii="宋体" w:hAnsi="宋体" w:eastAsia="宋体" w:cs="宋体"/>
                <w:color w:val="auto"/>
                <w:kern w:val="0"/>
                <w:sz w:val="21"/>
                <w:szCs w:val="21"/>
                <w:highlight w:val="none"/>
                <w:lang w:eastAsia="zh-CN" w:bidi="ar"/>
              </w:rPr>
              <w:t>清单描述问题</w:t>
            </w:r>
            <w:r>
              <w:rPr>
                <w:rFonts w:hint="eastAsia" w:ascii="宋体" w:hAnsi="宋体" w:eastAsia="宋体" w:cs="宋体"/>
                <w:color w:val="auto"/>
                <w:kern w:val="0"/>
                <w:sz w:val="21"/>
                <w:szCs w:val="21"/>
                <w:highlight w:val="none"/>
                <w:lang w:bidi="ar"/>
              </w:rPr>
              <w:t>3.清单错漏项4.异常投标单价5.应对措施</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不好0分、较好</w:t>
            </w: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分、很好</w:t>
            </w:r>
            <w:r>
              <w:rPr>
                <w:rFonts w:hint="eastAsia" w:ascii="宋体" w:hAnsi="宋体" w:eastAsia="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bidi="ar"/>
              </w:rPr>
              <w:t>分</w:t>
            </w:r>
            <w:r>
              <w:rPr>
                <w:rFonts w:hint="eastAsia" w:ascii="宋体" w:hAnsi="宋体" w:eastAsia="宋体" w:cs="宋体"/>
                <w:color w:val="auto"/>
                <w:kern w:val="0"/>
                <w:sz w:val="21"/>
                <w:szCs w:val="21"/>
                <w:highlight w:val="none"/>
                <w:lang w:eastAsia="zh-CN" w:bidi="ar"/>
              </w:rPr>
              <w:t>）。于开工一个月内</w:t>
            </w:r>
            <w:r>
              <w:rPr>
                <w:rFonts w:hint="eastAsia" w:ascii="宋体" w:hAnsi="宋体" w:eastAsia="宋体" w:cs="宋体"/>
                <w:color w:val="auto"/>
                <w:kern w:val="0"/>
                <w:sz w:val="21"/>
                <w:szCs w:val="21"/>
                <w:highlight w:val="none"/>
                <w:lang w:bidi="ar"/>
              </w:rPr>
              <w:t>报送</w:t>
            </w:r>
            <w:r>
              <w:rPr>
                <w:rFonts w:hint="eastAsia" w:ascii="宋体" w:hAnsi="宋体" w:eastAsia="宋体" w:cs="宋体"/>
                <w:color w:val="auto"/>
                <w:kern w:val="0"/>
                <w:sz w:val="21"/>
                <w:szCs w:val="21"/>
                <w:highlight w:val="none"/>
                <w:lang w:eastAsia="zh-CN" w:bidi="ar"/>
              </w:rPr>
              <w:t>综合计划科和业主代表</w:t>
            </w:r>
            <w:r>
              <w:rPr>
                <w:rFonts w:hint="eastAsia" w:ascii="宋体" w:hAnsi="宋体" w:eastAsia="宋体" w:cs="宋体"/>
                <w:color w:val="auto"/>
                <w:kern w:val="0"/>
                <w:sz w:val="21"/>
                <w:szCs w:val="21"/>
                <w:highlight w:val="none"/>
                <w:lang w:bidi="ar"/>
              </w:rPr>
              <w:t>备案（</w:t>
            </w:r>
            <w:r>
              <w:rPr>
                <w:rFonts w:hint="eastAsia" w:ascii="宋体" w:hAnsi="宋体" w:eastAsia="宋体" w:cs="宋体"/>
                <w:color w:val="auto"/>
                <w:kern w:val="0"/>
                <w:sz w:val="21"/>
                <w:szCs w:val="21"/>
                <w:highlight w:val="none"/>
                <w:lang w:val="en-US" w:eastAsia="zh-CN" w:bidi="ar"/>
              </w:rPr>
              <w:t>1分</w:t>
            </w:r>
            <w:r>
              <w:rPr>
                <w:rFonts w:hint="eastAsia" w:ascii="宋体" w:hAnsi="宋体" w:eastAsia="宋体" w:cs="宋体"/>
                <w:color w:val="auto"/>
                <w:kern w:val="0"/>
                <w:sz w:val="21"/>
                <w:szCs w:val="21"/>
                <w:highlight w:val="none"/>
                <w:lang w:bidi="ar"/>
              </w:rPr>
              <w:t>）</w:t>
            </w:r>
          </w:p>
        </w:tc>
      </w:tr>
      <w:tr w14:paraId="75DA3736">
        <w:tblPrEx>
          <w:tblCellMar>
            <w:top w:w="0" w:type="dxa"/>
            <w:left w:w="0" w:type="dxa"/>
            <w:bottom w:w="0" w:type="dxa"/>
            <w:right w:w="0" w:type="dxa"/>
          </w:tblCellMar>
        </w:tblPrEx>
        <w:trPr>
          <w:trHeight w:val="219" w:hRule="atLeast"/>
          <w:jc w:val="center"/>
        </w:trPr>
        <w:tc>
          <w:tcPr>
            <w:tcW w:w="556"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09F044DE">
            <w:pPr>
              <w:jc w:val="center"/>
              <w:rPr>
                <w:rFonts w:hint="eastAsia" w:ascii="宋体" w:hAnsi="宋体" w:eastAsia="宋体" w:cs="宋体"/>
                <w:color w:val="auto"/>
                <w:sz w:val="24"/>
                <w:szCs w:val="24"/>
                <w:highlight w:val="none"/>
              </w:rPr>
            </w:pPr>
          </w:p>
        </w:tc>
        <w:tc>
          <w:tcPr>
            <w:tcW w:w="892"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03EA59A1">
            <w:pPr>
              <w:jc w:val="center"/>
              <w:rPr>
                <w:rFonts w:hint="eastAsia" w:ascii="宋体" w:hAnsi="宋体" w:eastAsia="宋体" w:cs="宋体"/>
                <w:color w:val="auto"/>
                <w:sz w:val="24"/>
                <w:szCs w:val="24"/>
                <w:highlight w:val="none"/>
              </w:rPr>
            </w:pP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88CB43">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2.施工过程及时更新清单复核情况</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BA7157">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2ADF71">
            <w:pPr>
              <w:jc w:val="center"/>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0E50AA">
            <w:pPr>
              <w:jc w:val="center"/>
              <w:rPr>
                <w:rFonts w:hint="eastAsia" w:ascii="宋体" w:hAnsi="宋体" w:eastAsia="宋体" w:cs="宋体"/>
                <w:color w:val="auto"/>
                <w:sz w:val="24"/>
                <w:szCs w:val="24"/>
                <w:highlight w:val="none"/>
              </w:rPr>
            </w:pP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7F96EC">
            <w:pPr>
              <w:jc w:val="center"/>
              <w:rPr>
                <w:rFonts w:hint="eastAsia" w:ascii="宋体" w:hAnsi="宋体" w:eastAsia="宋体" w:cs="宋体"/>
                <w:color w:val="auto"/>
                <w:sz w:val="21"/>
                <w:szCs w:val="21"/>
                <w:highlight w:val="none"/>
              </w:rPr>
            </w:pPr>
          </w:p>
        </w:tc>
      </w:tr>
      <w:tr w14:paraId="50677A88">
        <w:tblPrEx>
          <w:tblCellMar>
            <w:top w:w="0" w:type="dxa"/>
            <w:left w:w="0" w:type="dxa"/>
            <w:bottom w:w="0" w:type="dxa"/>
            <w:right w:w="0" w:type="dxa"/>
          </w:tblCellMar>
        </w:tblPrEx>
        <w:trPr>
          <w:trHeight w:val="179" w:hRule="atLeast"/>
          <w:jc w:val="center"/>
        </w:trPr>
        <w:tc>
          <w:tcPr>
            <w:tcW w:w="55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6D794C">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eastAsia="zh-CN" w:bidi="ar"/>
              </w:rPr>
              <w:t>四</w:t>
            </w:r>
          </w:p>
        </w:tc>
        <w:tc>
          <w:tcPr>
            <w:tcW w:w="89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4BED86">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造价例会</w:t>
            </w: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4AC355">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bidi="ar"/>
              </w:rPr>
              <w:t>明确项目参建各方签字权责任人</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AC9A6D">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2</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8464AB">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72737E">
            <w:pPr>
              <w:jc w:val="left"/>
              <w:rPr>
                <w:rFonts w:hint="eastAsia" w:ascii="宋体" w:hAnsi="宋体" w:eastAsia="宋体" w:cs="宋体"/>
                <w:color w:val="auto"/>
                <w:sz w:val="24"/>
                <w:szCs w:val="24"/>
                <w:highlight w:val="none"/>
              </w:rPr>
            </w:pP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74B45A">
            <w:p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需有参建各方公章、项目负责人签字及执业章</w:t>
            </w:r>
          </w:p>
        </w:tc>
      </w:tr>
      <w:tr w14:paraId="56176D20">
        <w:tblPrEx>
          <w:tblCellMar>
            <w:top w:w="0" w:type="dxa"/>
            <w:left w:w="0" w:type="dxa"/>
            <w:bottom w:w="0" w:type="dxa"/>
            <w:right w:w="0" w:type="dxa"/>
          </w:tblCellMar>
        </w:tblPrEx>
        <w:trPr>
          <w:trHeight w:val="149"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EC29DA">
            <w:pPr>
              <w:jc w:val="center"/>
              <w:rPr>
                <w:rFonts w:hint="eastAsia" w:ascii="宋体" w:hAnsi="宋体" w:eastAsia="宋体" w:cs="宋体"/>
                <w:color w:val="auto"/>
                <w:sz w:val="24"/>
                <w:szCs w:val="24"/>
                <w:highlight w:val="none"/>
              </w:rPr>
            </w:pPr>
          </w:p>
        </w:tc>
        <w:tc>
          <w:tcPr>
            <w:tcW w:w="89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1C76D3">
            <w:pPr>
              <w:jc w:val="center"/>
              <w:rPr>
                <w:rFonts w:hint="eastAsia" w:ascii="宋体" w:hAnsi="宋体" w:eastAsia="宋体" w:cs="宋体"/>
                <w:color w:val="auto"/>
                <w:sz w:val="24"/>
                <w:szCs w:val="24"/>
                <w:highlight w:val="none"/>
              </w:rPr>
            </w:pP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B7BCA3">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bidi="ar"/>
              </w:rPr>
              <w:t>有无与会各方代表签字的会议纪要</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65C684">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2</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345323">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EF8B61">
            <w:pPr>
              <w:jc w:val="left"/>
              <w:rPr>
                <w:rFonts w:hint="eastAsia" w:ascii="宋体" w:hAnsi="宋体" w:eastAsia="宋体" w:cs="宋体"/>
                <w:color w:val="auto"/>
                <w:sz w:val="24"/>
                <w:szCs w:val="24"/>
                <w:highlight w:val="none"/>
              </w:rPr>
            </w:pP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C32DE9">
            <w:pPr>
              <w:jc w:val="left"/>
              <w:rPr>
                <w:rFonts w:hint="eastAsia" w:ascii="宋体" w:hAnsi="宋体" w:eastAsia="宋体" w:cs="宋体"/>
                <w:color w:val="auto"/>
                <w:sz w:val="21"/>
                <w:szCs w:val="21"/>
                <w:highlight w:val="none"/>
              </w:rPr>
            </w:pPr>
          </w:p>
        </w:tc>
      </w:tr>
      <w:tr w14:paraId="10BD2321">
        <w:tblPrEx>
          <w:tblCellMar>
            <w:top w:w="0" w:type="dxa"/>
            <w:left w:w="0" w:type="dxa"/>
            <w:bottom w:w="0" w:type="dxa"/>
            <w:right w:w="0" w:type="dxa"/>
          </w:tblCellMar>
        </w:tblPrEx>
        <w:trPr>
          <w:trHeight w:val="90"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E0F5EB">
            <w:pPr>
              <w:jc w:val="center"/>
              <w:rPr>
                <w:rFonts w:hint="eastAsia" w:ascii="宋体" w:hAnsi="宋体" w:eastAsia="宋体" w:cs="宋体"/>
                <w:color w:val="auto"/>
                <w:sz w:val="24"/>
                <w:szCs w:val="24"/>
                <w:highlight w:val="none"/>
              </w:rPr>
            </w:pPr>
          </w:p>
        </w:tc>
        <w:tc>
          <w:tcPr>
            <w:tcW w:w="89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6913E2">
            <w:pPr>
              <w:jc w:val="center"/>
              <w:rPr>
                <w:rFonts w:hint="eastAsia" w:ascii="宋体" w:hAnsi="宋体" w:eastAsia="宋体" w:cs="宋体"/>
                <w:color w:val="auto"/>
                <w:sz w:val="24"/>
                <w:szCs w:val="24"/>
                <w:highlight w:val="none"/>
              </w:rPr>
            </w:pP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63C2A4">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bidi="ar"/>
              </w:rPr>
              <w:t>是否报送备案</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A711F0">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1</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223866">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2314DD">
            <w:pPr>
              <w:jc w:val="left"/>
              <w:rPr>
                <w:rFonts w:hint="eastAsia" w:ascii="宋体" w:hAnsi="宋体" w:eastAsia="宋体" w:cs="宋体"/>
                <w:color w:val="auto"/>
                <w:sz w:val="24"/>
                <w:szCs w:val="24"/>
                <w:highlight w:val="none"/>
              </w:rPr>
            </w:pP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983633">
            <w:pPr>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eastAsia="zh-CN" w:bidi="ar"/>
              </w:rPr>
              <w:t>于</w:t>
            </w:r>
            <w:r>
              <w:rPr>
                <w:rFonts w:hint="eastAsia" w:ascii="宋体" w:hAnsi="宋体" w:eastAsia="宋体" w:cs="宋体"/>
                <w:color w:val="auto"/>
                <w:kern w:val="0"/>
                <w:sz w:val="21"/>
                <w:szCs w:val="21"/>
                <w:highlight w:val="none"/>
                <w:lang w:bidi="ar"/>
              </w:rPr>
              <w:t>会议后3日内报送</w:t>
            </w:r>
            <w:r>
              <w:rPr>
                <w:rFonts w:hint="eastAsia" w:ascii="宋体" w:hAnsi="宋体" w:eastAsia="宋体" w:cs="宋体"/>
                <w:color w:val="auto"/>
                <w:kern w:val="0"/>
                <w:sz w:val="21"/>
                <w:szCs w:val="21"/>
                <w:highlight w:val="none"/>
                <w:lang w:eastAsia="zh-CN" w:bidi="ar"/>
              </w:rPr>
              <w:t>综合计划科和业主代表</w:t>
            </w:r>
            <w:r>
              <w:rPr>
                <w:rFonts w:hint="eastAsia" w:ascii="宋体" w:hAnsi="宋体" w:eastAsia="宋体" w:cs="宋体"/>
                <w:color w:val="auto"/>
                <w:kern w:val="0"/>
                <w:sz w:val="21"/>
                <w:szCs w:val="21"/>
                <w:highlight w:val="none"/>
                <w:lang w:bidi="ar"/>
              </w:rPr>
              <w:t>备案</w:t>
            </w:r>
          </w:p>
        </w:tc>
      </w:tr>
      <w:tr w14:paraId="43E91F31">
        <w:tblPrEx>
          <w:tblCellMar>
            <w:top w:w="0" w:type="dxa"/>
            <w:left w:w="0" w:type="dxa"/>
            <w:bottom w:w="0" w:type="dxa"/>
            <w:right w:w="0" w:type="dxa"/>
          </w:tblCellMar>
        </w:tblPrEx>
        <w:trPr>
          <w:trHeight w:val="755" w:hRule="atLeast"/>
          <w:jc w:val="center"/>
        </w:trPr>
        <w:tc>
          <w:tcPr>
            <w:tcW w:w="5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63C621">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eastAsia="zh-CN" w:bidi="ar"/>
              </w:rPr>
              <w:t>五</w:t>
            </w:r>
          </w:p>
        </w:tc>
        <w:tc>
          <w:tcPr>
            <w:tcW w:w="8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01A99C">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审计日志</w:t>
            </w: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097F71">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是否真实全面反映日常跟踪审计工作情况</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43D53D">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7</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C02950">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0CBA33">
            <w:pPr>
              <w:jc w:val="left"/>
              <w:rPr>
                <w:rFonts w:hint="eastAsia" w:ascii="宋体" w:hAnsi="宋体" w:eastAsia="宋体" w:cs="宋体"/>
                <w:color w:val="auto"/>
                <w:sz w:val="24"/>
                <w:szCs w:val="24"/>
                <w:highlight w:val="none"/>
              </w:rPr>
            </w:pP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228780">
            <w:pPr>
              <w:widowControl/>
              <w:numPr>
                <w:ilvl w:val="0"/>
                <w:numId w:val="0"/>
              </w:numPr>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eastAsia="zh-CN" w:bidi="ar"/>
              </w:rPr>
              <w:t>要素：1.当日工程进展情况2.当日</w:t>
            </w:r>
            <w:r>
              <w:rPr>
                <w:rFonts w:hint="eastAsia" w:ascii="宋体" w:hAnsi="宋体" w:eastAsia="宋体" w:cs="宋体"/>
                <w:color w:val="auto"/>
                <w:kern w:val="0"/>
                <w:sz w:val="21"/>
                <w:szCs w:val="21"/>
                <w:highlight w:val="none"/>
                <w:lang w:val="en-US" w:eastAsia="zh-CN" w:bidi="ar"/>
              </w:rPr>
              <w:t>计量</w:t>
            </w:r>
            <w:r>
              <w:rPr>
                <w:rFonts w:hint="eastAsia" w:ascii="宋体" w:hAnsi="宋体" w:eastAsia="宋体" w:cs="宋体"/>
                <w:color w:val="auto"/>
                <w:kern w:val="0"/>
                <w:sz w:val="21"/>
                <w:szCs w:val="21"/>
                <w:highlight w:val="none"/>
                <w:lang w:eastAsia="zh-CN" w:bidi="ar"/>
              </w:rPr>
              <w:t>计价事项</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eastAsia="zh-CN" w:bidi="ar"/>
              </w:rPr>
              <w:t>.当日参加会议的记录</w:t>
            </w:r>
            <w:r>
              <w:rPr>
                <w:rFonts w:hint="eastAsia" w:ascii="宋体" w:hAnsi="宋体" w:eastAsia="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eastAsia="zh-CN" w:bidi="ar"/>
              </w:rPr>
              <w:t>进度款审核情况</w:t>
            </w:r>
            <w:r>
              <w:rPr>
                <w:rFonts w:hint="eastAsia" w:ascii="宋体" w:hAnsi="宋体" w:eastAsia="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eastAsia="zh-CN" w:bidi="ar"/>
              </w:rPr>
              <w:t>.工程变更事项</w:t>
            </w:r>
            <w:r>
              <w:rPr>
                <w:rFonts w:hint="eastAsia" w:ascii="宋体" w:hAnsi="宋体" w:eastAsia="宋体" w:cs="宋体"/>
                <w:color w:val="auto"/>
                <w:kern w:val="0"/>
                <w:sz w:val="21"/>
                <w:szCs w:val="21"/>
                <w:highlight w:val="none"/>
                <w:lang w:val="en-US" w:eastAsia="zh-CN" w:bidi="ar"/>
              </w:rPr>
              <w:t>6.当日影像资料。不真实或间隔超过一周的，本项得0分</w:t>
            </w:r>
          </w:p>
        </w:tc>
      </w:tr>
      <w:tr w14:paraId="6D619552">
        <w:tblPrEx>
          <w:tblCellMar>
            <w:top w:w="0" w:type="dxa"/>
            <w:left w:w="0" w:type="dxa"/>
            <w:bottom w:w="0" w:type="dxa"/>
            <w:right w:w="0" w:type="dxa"/>
          </w:tblCellMar>
        </w:tblPrEx>
        <w:trPr>
          <w:trHeight w:val="959" w:hRule="atLeast"/>
          <w:jc w:val="center"/>
        </w:trPr>
        <w:tc>
          <w:tcPr>
            <w:tcW w:w="5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3A0636">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六</w:t>
            </w:r>
          </w:p>
        </w:tc>
        <w:tc>
          <w:tcPr>
            <w:tcW w:w="8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7BCA8D">
            <w:pPr>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审计月报</w:t>
            </w: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A1EC5F">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bidi="ar"/>
              </w:rPr>
              <w:t>按月编报并报送</w:t>
            </w:r>
            <w:r>
              <w:rPr>
                <w:rFonts w:hint="eastAsia" w:ascii="宋体" w:hAnsi="宋体" w:eastAsia="宋体" w:cs="宋体"/>
                <w:color w:val="auto"/>
                <w:kern w:val="0"/>
                <w:sz w:val="24"/>
                <w:szCs w:val="24"/>
                <w:highlight w:val="none"/>
                <w:lang w:eastAsia="zh-CN" w:bidi="ar"/>
              </w:rPr>
              <w:t>综合计划科和业主代表</w:t>
            </w:r>
            <w:r>
              <w:rPr>
                <w:rFonts w:hint="eastAsia" w:ascii="宋体" w:hAnsi="宋体" w:eastAsia="宋体" w:cs="宋体"/>
                <w:color w:val="auto"/>
                <w:kern w:val="0"/>
                <w:sz w:val="24"/>
                <w:szCs w:val="24"/>
                <w:highlight w:val="none"/>
                <w:lang w:bidi="ar"/>
              </w:rPr>
              <w:t>备案（每月5日前报送）</w:t>
            </w:r>
            <w:r>
              <w:rPr>
                <w:rFonts w:hint="eastAsia" w:ascii="宋体" w:hAnsi="宋体" w:eastAsia="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bidi="ar"/>
              </w:rPr>
              <w:t>是否真实全面反映月度主要跟踪审计工作情况</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F358D1">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8</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D6213A">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284F8E">
            <w:pPr>
              <w:jc w:val="left"/>
              <w:rPr>
                <w:rFonts w:hint="eastAsia" w:ascii="宋体" w:hAnsi="宋体" w:eastAsia="宋体" w:cs="宋体"/>
                <w:color w:val="auto"/>
                <w:sz w:val="24"/>
                <w:szCs w:val="24"/>
                <w:highlight w:val="none"/>
              </w:rPr>
            </w:pP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174659">
            <w:pPr>
              <w:widowControl/>
              <w:numPr>
                <w:ilvl w:val="0"/>
                <w:numId w:val="0"/>
              </w:numPr>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1.漏报、迟报一次扣1分，2分扣完为止；</w:t>
            </w:r>
          </w:p>
          <w:p w14:paraId="2EA5278A">
            <w:pPr>
              <w:widowControl/>
              <w:numPr>
                <w:ilvl w:val="0"/>
                <w:numId w:val="0"/>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eastAsia="zh-CN" w:bidi="ar"/>
              </w:rPr>
              <w:t>要素：1.主要工程进展情况2.主要</w:t>
            </w:r>
            <w:r>
              <w:rPr>
                <w:rFonts w:hint="eastAsia" w:ascii="宋体" w:hAnsi="宋体" w:eastAsia="宋体" w:cs="宋体"/>
                <w:color w:val="auto"/>
                <w:kern w:val="0"/>
                <w:sz w:val="21"/>
                <w:szCs w:val="21"/>
                <w:highlight w:val="none"/>
                <w:lang w:val="en-US" w:eastAsia="zh-CN" w:bidi="ar"/>
              </w:rPr>
              <w:t>计量</w:t>
            </w:r>
            <w:r>
              <w:rPr>
                <w:rFonts w:hint="eastAsia" w:ascii="宋体" w:hAnsi="宋体" w:eastAsia="宋体" w:cs="宋体"/>
                <w:color w:val="auto"/>
                <w:kern w:val="0"/>
                <w:sz w:val="21"/>
                <w:szCs w:val="21"/>
                <w:highlight w:val="none"/>
                <w:lang w:eastAsia="zh-CN" w:bidi="ar"/>
              </w:rPr>
              <w:t>计价事项</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eastAsia="zh-CN" w:bidi="ar"/>
              </w:rPr>
              <w:t>.参加会议的记录</w:t>
            </w:r>
            <w:r>
              <w:rPr>
                <w:rFonts w:hint="eastAsia" w:ascii="宋体" w:hAnsi="宋体" w:eastAsia="宋体" w:cs="宋体"/>
                <w:color w:val="auto"/>
                <w:kern w:val="0"/>
                <w:sz w:val="21"/>
                <w:szCs w:val="21"/>
                <w:highlight w:val="none"/>
                <w:lang w:val="en-US" w:eastAsia="zh-CN" w:bidi="ar"/>
              </w:rPr>
              <w:t>4.当月</w:t>
            </w:r>
            <w:r>
              <w:rPr>
                <w:rFonts w:hint="eastAsia" w:ascii="宋体" w:hAnsi="宋体" w:eastAsia="宋体" w:cs="宋体"/>
                <w:color w:val="auto"/>
                <w:kern w:val="0"/>
                <w:sz w:val="21"/>
                <w:szCs w:val="21"/>
                <w:highlight w:val="none"/>
                <w:lang w:eastAsia="zh-CN" w:bidi="ar"/>
              </w:rPr>
              <w:t>进度款审核情况</w:t>
            </w:r>
            <w:r>
              <w:rPr>
                <w:rFonts w:hint="eastAsia" w:ascii="宋体" w:hAnsi="宋体" w:eastAsia="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eastAsia="zh-CN" w:bidi="ar"/>
              </w:rPr>
              <w:t>.当月工程变更事项</w:t>
            </w:r>
            <w:r>
              <w:rPr>
                <w:rFonts w:hint="eastAsia" w:ascii="宋体" w:hAnsi="宋体" w:eastAsia="宋体" w:cs="宋体"/>
                <w:color w:val="auto"/>
                <w:kern w:val="0"/>
                <w:sz w:val="21"/>
                <w:szCs w:val="21"/>
                <w:highlight w:val="none"/>
                <w:lang w:val="en-US" w:eastAsia="zh-CN" w:bidi="ar"/>
              </w:rPr>
              <w:t>6.</w:t>
            </w:r>
            <w:r>
              <w:rPr>
                <w:rFonts w:hint="eastAsia" w:ascii="宋体" w:hAnsi="宋体" w:eastAsia="宋体" w:cs="宋体"/>
                <w:color w:val="auto"/>
                <w:kern w:val="0"/>
                <w:sz w:val="21"/>
                <w:szCs w:val="21"/>
                <w:highlight w:val="none"/>
                <w:lang w:eastAsia="zh-CN" w:bidi="ar"/>
              </w:rPr>
              <w:t>主要</w:t>
            </w:r>
            <w:r>
              <w:rPr>
                <w:rFonts w:hint="eastAsia" w:ascii="宋体" w:hAnsi="宋体" w:eastAsia="宋体" w:cs="宋体"/>
                <w:color w:val="auto"/>
                <w:kern w:val="0"/>
                <w:sz w:val="21"/>
                <w:szCs w:val="21"/>
                <w:highlight w:val="none"/>
                <w:lang w:val="en-US" w:eastAsia="zh-CN" w:bidi="ar"/>
              </w:rPr>
              <w:t>影像资料。不真实的，本项得0分</w:t>
            </w:r>
          </w:p>
        </w:tc>
      </w:tr>
      <w:tr w14:paraId="48199DEC">
        <w:tblPrEx>
          <w:tblCellMar>
            <w:top w:w="0" w:type="dxa"/>
            <w:left w:w="0" w:type="dxa"/>
            <w:bottom w:w="0" w:type="dxa"/>
            <w:right w:w="0" w:type="dxa"/>
          </w:tblCellMar>
        </w:tblPrEx>
        <w:trPr>
          <w:trHeight w:val="114" w:hRule="atLeast"/>
          <w:jc w:val="center"/>
        </w:trPr>
        <w:tc>
          <w:tcPr>
            <w:tcW w:w="55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39BE6E">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七</w:t>
            </w:r>
          </w:p>
        </w:tc>
        <w:tc>
          <w:tcPr>
            <w:tcW w:w="89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E90C85">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工程进度款审核支付</w:t>
            </w: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571CFA">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bidi="ar"/>
              </w:rPr>
              <w:t>是否根据合同约定审核工程进度款支付申请资料</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CE1698">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5</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61ED03">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81569B">
            <w:pPr>
              <w:jc w:val="left"/>
              <w:rPr>
                <w:rFonts w:hint="eastAsia" w:ascii="宋体" w:hAnsi="宋体" w:eastAsia="宋体" w:cs="宋体"/>
                <w:color w:val="auto"/>
                <w:sz w:val="24"/>
                <w:szCs w:val="24"/>
                <w:highlight w:val="none"/>
              </w:rPr>
            </w:pPr>
          </w:p>
        </w:tc>
        <w:tc>
          <w:tcPr>
            <w:tcW w:w="352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01670908">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一处不真实的，本项得</w:t>
            </w:r>
            <w:r>
              <w:rPr>
                <w:rFonts w:hint="eastAsia" w:ascii="宋体" w:hAnsi="宋体" w:eastAsia="宋体" w:cs="宋体"/>
                <w:color w:val="auto"/>
                <w:sz w:val="21"/>
                <w:szCs w:val="21"/>
                <w:highlight w:val="none"/>
                <w:lang w:val="en-US" w:eastAsia="zh-CN"/>
              </w:rPr>
              <w:t>0分</w:t>
            </w:r>
          </w:p>
        </w:tc>
      </w:tr>
      <w:tr w14:paraId="2DD048A0">
        <w:tblPrEx>
          <w:tblCellMar>
            <w:top w:w="0" w:type="dxa"/>
            <w:left w:w="0" w:type="dxa"/>
            <w:bottom w:w="0" w:type="dxa"/>
            <w:right w:w="0" w:type="dxa"/>
          </w:tblCellMar>
        </w:tblPrEx>
        <w:trPr>
          <w:trHeight w:val="90"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236CAC">
            <w:pPr>
              <w:jc w:val="center"/>
              <w:rPr>
                <w:rFonts w:hint="eastAsia" w:ascii="宋体" w:hAnsi="宋体" w:eastAsia="宋体" w:cs="宋体"/>
                <w:color w:val="auto"/>
                <w:sz w:val="24"/>
                <w:szCs w:val="24"/>
                <w:highlight w:val="none"/>
              </w:rPr>
            </w:pPr>
          </w:p>
        </w:tc>
        <w:tc>
          <w:tcPr>
            <w:tcW w:w="89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FBC62A">
            <w:pPr>
              <w:jc w:val="center"/>
              <w:rPr>
                <w:rFonts w:hint="eastAsia" w:ascii="宋体" w:hAnsi="宋体" w:eastAsia="宋体" w:cs="宋体"/>
                <w:color w:val="auto"/>
                <w:sz w:val="24"/>
                <w:szCs w:val="24"/>
                <w:highlight w:val="none"/>
              </w:rPr>
            </w:pP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0FD709">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bidi="ar"/>
              </w:rPr>
              <w:t>工程进度款支付审批意见是否由项目负责人签字盖章</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1C9248">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1127D9">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E986EE">
            <w:pPr>
              <w:jc w:val="left"/>
              <w:rPr>
                <w:rFonts w:hint="eastAsia" w:ascii="宋体" w:hAnsi="宋体" w:eastAsia="宋体" w:cs="宋体"/>
                <w:color w:val="auto"/>
                <w:sz w:val="24"/>
                <w:szCs w:val="24"/>
                <w:highlight w:val="none"/>
              </w:rPr>
            </w:pPr>
          </w:p>
        </w:tc>
        <w:tc>
          <w:tcPr>
            <w:tcW w:w="3520" w:type="dxa"/>
            <w:vMerge w:val="continue"/>
            <w:tcBorders>
              <w:left w:val="single" w:color="000000" w:sz="4" w:space="0"/>
              <w:right w:val="single" w:color="000000" w:sz="4" w:space="0"/>
            </w:tcBorders>
            <w:noWrap w:val="0"/>
            <w:tcMar>
              <w:top w:w="15" w:type="dxa"/>
              <w:left w:w="15" w:type="dxa"/>
              <w:right w:w="15" w:type="dxa"/>
            </w:tcMar>
            <w:vAlign w:val="center"/>
          </w:tcPr>
          <w:p w14:paraId="444A6865">
            <w:pPr>
              <w:jc w:val="left"/>
              <w:rPr>
                <w:rFonts w:hint="eastAsia" w:ascii="宋体" w:hAnsi="宋体" w:eastAsia="宋体" w:cs="宋体"/>
                <w:color w:val="auto"/>
                <w:sz w:val="21"/>
                <w:szCs w:val="21"/>
                <w:highlight w:val="none"/>
              </w:rPr>
            </w:pPr>
          </w:p>
        </w:tc>
      </w:tr>
      <w:tr w14:paraId="3D538311">
        <w:tblPrEx>
          <w:tblCellMar>
            <w:top w:w="0" w:type="dxa"/>
            <w:left w:w="0" w:type="dxa"/>
            <w:bottom w:w="0" w:type="dxa"/>
            <w:right w:w="0" w:type="dxa"/>
          </w:tblCellMar>
        </w:tblPrEx>
        <w:trPr>
          <w:trHeight w:val="99"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DD10F6">
            <w:pPr>
              <w:jc w:val="center"/>
              <w:rPr>
                <w:rFonts w:hint="eastAsia" w:ascii="宋体" w:hAnsi="宋体" w:eastAsia="宋体" w:cs="宋体"/>
                <w:color w:val="auto"/>
                <w:sz w:val="24"/>
                <w:szCs w:val="24"/>
                <w:highlight w:val="none"/>
              </w:rPr>
            </w:pPr>
          </w:p>
        </w:tc>
        <w:tc>
          <w:tcPr>
            <w:tcW w:w="89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458ECB">
            <w:pPr>
              <w:jc w:val="center"/>
              <w:rPr>
                <w:rFonts w:hint="eastAsia" w:ascii="宋体" w:hAnsi="宋体" w:eastAsia="宋体" w:cs="宋体"/>
                <w:color w:val="auto"/>
                <w:sz w:val="24"/>
                <w:szCs w:val="24"/>
                <w:highlight w:val="none"/>
              </w:rPr>
            </w:pP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76763B">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bidi="ar"/>
              </w:rPr>
              <w:t>是否建立相应工程计量支付管理台账</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51CAE1">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3</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7D2DCE">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3541A2">
            <w:pPr>
              <w:jc w:val="left"/>
              <w:rPr>
                <w:rFonts w:hint="eastAsia" w:ascii="宋体" w:hAnsi="宋体" w:eastAsia="宋体" w:cs="宋体"/>
                <w:color w:val="auto"/>
                <w:sz w:val="24"/>
                <w:szCs w:val="24"/>
                <w:highlight w:val="none"/>
              </w:rPr>
            </w:pPr>
          </w:p>
        </w:tc>
        <w:tc>
          <w:tcPr>
            <w:tcW w:w="352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2973E0F6">
            <w:pPr>
              <w:jc w:val="left"/>
              <w:rPr>
                <w:rFonts w:hint="eastAsia" w:ascii="宋体" w:hAnsi="宋体" w:eastAsia="宋体" w:cs="宋体"/>
                <w:color w:val="auto"/>
                <w:sz w:val="21"/>
                <w:szCs w:val="21"/>
                <w:highlight w:val="none"/>
              </w:rPr>
            </w:pPr>
          </w:p>
        </w:tc>
      </w:tr>
      <w:tr w14:paraId="2600B659">
        <w:tblPrEx>
          <w:tblCellMar>
            <w:top w:w="0" w:type="dxa"/>
            <w:left w:w="0" w:type="dxa"/>
            <w:bottom w:w="0" w:type="dxa"/>
            <w:right w:w="0" w:type="dxa"/>
          </w:tblCellMar>
        </w:tblPrEx>
        <w:trPr>
          <w:trHeight w:val="446" w:hRule="atLeast"/>
          <w:jc w:val="center"/>
        </w:trPr>
        <w:tc>
          <w:tcPr>
            <w:tcW w:w="55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DAF68E">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八</w:t>
            </w:r>
          </w:p>
        </w:tc>
        <w:tc>
          <w:tcPr>
            <w:tcW w:w="89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B49665">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工程计量及合法性</w:t>
            </w: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7A7169">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bidi="ar"/>
              </w:rPr>
              <w:t>是否及时、真实、准确计量</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B6E89A">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15</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3156AA">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04F6DC">
            <w:pPr>
              <w:jc w:val="left"/>
              <w:rPr>
                <w:rFonts w:hint="eastAsia" w:ascii="宋体" w:hAnsi="宋体" w:eastAsia="宋体" w:cs="宋体"/>
                <w:color w:val="auto"/>
                <w:sz w:val="24"/>
                <w:szCs w:val="24"/>
                <w:highlight w:val="none"/>
              </w:rPr>
            </w:pP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EDDA08">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抽查复核，一处不真实、不准确</w:t>
            </w:r>
            <w:r>
              <w:rPr>
                <w:rFonts w:hint="eastAsia" w:ascii="宋体" w:hAnsi="宋体" w:eastAsia="宋体" w:cs="宋体"/>
                <w:color w:val="auto"/>
                <w:kern w:val="0"/>
                <w:sz w:val="21"/>
                <w:szCs w:val="21"/>
                <w:highlight w:val="none"/>
                <w:lang w:eastAsia="zh-CN" w:bidi="ar"/>
              </w:rPr>
              <w:t>的</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eastAsia="zh-CN" w:bidi="ar"/>
              </w:rPr>
              <w:t>本项得</w:t>
            </w:r>
            <w:r>
              <w:rPr>
                <w:rFonts w:hint="eastAsia" w:ascii="宋体" w:hAnsi="宋体" w:eastAsia="宋体" w:cs="宋体"/>
                <w:color w:val="auto"/>
                <w:kern w:val="0"/>
                <w:sz w:val="21"/>
                <w:szCs w:val="21"/>
                <w:highlight w:val="none"/>
                <w:lang w:val="en-US" w:eastAsia="zh-CN" w:bidi="ar"/>
              </w:rPr>
              <w:t>0分；</w:t>
            </w:r>
            <w:r>
              <w:rPr>
                <w:rFonts w:hint="eastAsia" w:ascii="宋体" w:hAnsi="宋体" w:eastAsia="宋体" w:cs="宋体"/>
                <w:color w:val="auto"/>
                <w:kern w:val="0"/>
                <w:sz w:val="21"/>
                <w:szCs w:val="21"/>
                <w:highlight w:val="none"/>
                <w:lang w:bidi="ar"/>
              </w:rPr>
              <w:t>不及时计量扣</w:t>
            </w:r>
            <w:r>
              <w:rPr>
                <w:rFonts w:hint="eastAsia" w:ascii="宋体" w:hAnsi="宋体" w:eastAsia="宋体" w:cs="宋体"/>
                <w:color w:val="auto"/>
                <w:kern w:val="0"/>
                <w:sz w:val="21"/>
                <w:szCs w:val="21"/>
                <w:highlight w:val="none"/>
                <w:lang w:val="en-US" w:eastAsia="zh-CN" w:bidi="ar"/>
              </w:rPr>
              <w:t>10</w:t>
            </w:r>
            <w:r>
              <w:rPr>
                <w:rFonts w:hint="eastAsia" w:ascii="宋体" w:hAnsi="宋体" w:eastAsia="宋体" w:cs="宋体"/>
                <w:color w:val="auto"/>
                <w:kern w:val="0"/>
                <w:sz w:val="21"/>
                <w:szCs w:val="21"/>
                <w:highlight w:val="none"/>
                <w:lang w:bidi="ar"/>
              </w:rPr>
              <w:t>分，若影响计量结果</w:t>
            </w:r>
            <w:r>
              <w:rPr>
                <w:rFonts w:hint="eastAsia" w:ascii="宋体" w:hAnsi="宋体" w:eastAsia="宋体" w:cs="宋体"/>
                <w:color w:val="auto"/>
                <w:kern w:val="0"/>
                <w:sz w:val="21"/>
                <w:szCs w:val="21"/>
                <w:highlight w:val="none"/>
                <w:lang w:eastAsia="zh-CN" w:bidi="ar"/>
              </w:rPr>
              <w:t>的</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eastAsia="zh-CN" w:bidi="ar"/>
              </w:rPr>
              <w:t>本项得</w:t>
            </w:r>
            <w:r>
              <w:rPr>
                <w:rFonts w:hint="eastAsia" w:ascii="宋体" w:hAnsi="宋体" w:eastAsia="宋体" w:cs="宋体"/>
                <w:color w:val="auto"/>
                <w:kern w:val="0"/>
                <w:sz w:val="21"/>
                <w:szCs w:val="21"/>
                <w:highlight w:val="none"/>
                <w:lang w:val="en-US" w:eastAsia="zh-CN" w:bidi="ar"/>
              </w:rPr>
              <w:t>0分</w:t>
            </w:r>
          </w:p>
        </w:tc>
      </w:tr>
      <w:tr w14:paraId="3FB2B53D">
        <w:tblPrEx>
          <w:tblCellMar>
            <w:top w:w="0" w:type="dxa"/>
            <w:left w:w="0" w:type="dxa"/>
            <w:bottom w:w="0" w:type="dxa"/>
            <w:right w:w="0" w:type="dxa"/>
          </w:tblCellMar>
        </w:tblPrEx>
        <w:trPr>
          <w:trHeight w:val="5232"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2EB5F6">
            <w:pPr>
              <w:jc w:val="center"/>
              <w:rPr>
                <w:rFonts w:hint="eastAsia" w:ascii="宋体" w:hAnsi="宋体" w:eastAsia="宋体" w:cs="宋体"/>
                <w:color w:val="auto"/>
                <w:sz w:val="24"/>
                <w:szCs w:val="24"/>
                <w:highlight w:val="none"/>
              </w:rPr>
            </w:pPr>
          </w:p>
        </w:tc>
        <w:tc>
          <w:tcPr>
            <w:tcW w:w="89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88377C">
            <w:pPr>
              <w:jc w:val="center"/>
              <w:rPr>
                <w:rFonts w:hint="eastAsia" w:ascii="宋体" w:hAnsi="宋体" w:eastAsia="宋体" w:cs="宋体"/>
                <w:color w:val="auto"/>
                <w:sz w:val="24"/>
                <w:szCs w:val="24"/>
                <w:highlight w:val="none"/>
              </w:rPr>
            </w:pP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4A1B6B">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bidi="ar"/>
              </w:rPr>
              <w:t>计量记录、简图及影像资料是否齐全，计量方法是否规范</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036A93">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bidi="ar"/>
              </w:rPr>
              <w:t>1</w:t>
            </w:r>
            <w:r>
              <w:rPr>
                <w:rFonts w:hint="eastAsia" w:ascii="宋体" w:hAnsi="宋体" w:eastAsia="宋体" w:cs="宋体"/>
                <w:color w:val="auto"/>
                <w:kern w:val="0"/>
                <w:sz w:val="24"/>
                <w:szCs w:val="24"/>
                <w:highlight w:val="none"/>
                <w:lang w:val="en-US" w:eastAsia="zh-CN" w:bidi="ar"/>
              </w:rPr>
              <w:t>0</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716849">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050DBB">
            <w:pPr>
              <w:jc w:val="left"/>
              <w:rPr>
                <w:rFonts w:hint="eastAsia" w:ascii="宋体" w:hAnsi="宋体" w:eastAsia="宋体" w:cs="宋体"/>
                <w:color w:val="auto"/>
                <w:sz w:val="24"/>
                <w:szCs w:val="24"/>
                <w:highlight w:val="none"/>
              </w:rPr>
            </w:pP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A19817">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eastAsia="zh-CN" w:bidi="ar"/>
              </w:rPr>
              <w:t>计量资料中中期计量单、计量底稿、影像资料应一一对应；</w:t>
            </w: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隐蔽工程计量时应留下带有位置、桩号、计量标记等可识别的影像资料，必要的简图和计算底稿</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bidi="ar"/>
              </w:rPr>
              <w:t>.工程场地平整、绿化土方、建筑垃圾等涉及土石方工程量的计量，应附详细测量记录</w:t>
            </w:r>
            <w:r>
              <w:rPr>
                <w:rFonts w:hint="eastAsia" w:ascii="宋体" w:hAnsi="宋体" w:eastAsia="宋体" w:cs="宋体"/>
                <w:color w:val="auto"/>
                <w:kern w:val="0"/>
                <w:sz w:val="21"/>
                <w:szCs w:val="21"/>
                <w:highlight w:val="none"/>
                <w:lang w:eastAsia="zh-CN" w:bidi="ar"/>
              </w:rPr>
              <w:t>。道路桥梁类与原始地形地貌发生重大变化的土方及建筑垃圾；道路桥梁类不规则不易计量或总量超过</w:t>
            </w: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bidi="ar"/>
              </w:rPr>
              <w:t>000方</w:t>
            </w:r>
            <w:r>
              <w:rPr>
                <w:rFonts w:hint="eastAsia" w:ascii="宋体" w:hAnsi="宋体" w:eastAsia="宋体" w:cs="宋体"/>
                <w:color w:val="auto"/>
                <w:kern w:val="0"/>
                <w:sz w:val="21"/>
                <w:szCs w:val="21"/>
                <w:highlight w:val="none"/>
                <w:lang w:eastAsia="zh-CN" w:bidi="ar"/>
              </w:rPr>
              <w:t>的沟塘清淤；景观、水环境类地形复杂或地形地貌发生重大变化数量超过</w:t>
            </w:r>
            <w:r>
              <w:rPr>
                <w:rFonts w:hint="eastAsia" w:ascii="宋体" w:hAnsi="宋体" w:eastAsia="宋体" w:cs="宋体"/>
                <w:color w:val="auto"/>
                <w:kern w:val="0"/>
                <w:sz w:val="21"/>
                <w:szCs w:val="21"/>
                <w:highlight w:val="none"/>
                <w:lang w:val="en-US" w:eastAsia="zh-CN" w:bidi="ar"/>
              </w:rPr>
              <w:t>1000方的挖填土方；房建类基槽开挖前的原地貌测绘，</w:t>
            </w:r>
            <w:r>
              <w:rPr>
                <w:rFonts w:hint="eastAsia" w:ascii="宋体" w:hAnsi="宋体" w:eastAsia="宋体" w:cs="宋体"/>
                <w:color w:val="auto"/>
                <w:kern w:val="0"/>
                <w:sz w:val="21"/>
                <w:szCs w:val="21"/>
                <w:highlight w:val="none"/>
                <w:lang w:bidi="ar"/>
              </w:rPr>
              <w:t>应</w:t>
            </w:r>
            <w:r>
              <w:rPr>
                <w:rFonts w:hint="eastAsia" w:ascii="宋体" w:hAnsi="宋体" w:eastAsia="宋体" w:cs="宋体"/>
                <w:color w:val="auto"/>
                <w:kern w:val="0"/>
                <w:sz w:val="21"/>
                <w:szCs w:val="21"/>
                <w:highlight w:val="none"/>
                <w:lang w:eastAsia="zh-CN" w:bidi="ar"/>
              </w:rPr>
              <w:t>书面</w:t>
            </w:r>
            <w:r>
              <w:rPr>
                <w:rFonts w:hint="eastAsia" w:ascii="宋体" w:hAnsi="宋体" w:eastAsia="宋体" w:cs="宋体"/>
                <w:color w:val="auto"/>
                <w:kern w:val="0"/>
                <w:sz w:val="21"/>
                <w:szCs w:val="21"/>
                <w:highlight w:val="none"/>
                <w:lang w:bidi="ar"/>
              </w:rPr>
              <w:t>提请业主请测绘部门测绘</w:t>
            </w:r>
            <w:r>
              <w:rPr>
                <w:rFonts w:hint="eastAsia" w:ascii="宋体" w:hAnsi="宋体" w:eastAsia="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bidi="ar"/>
              </w:rPr>
              <w:t>.土方地形变化较大的，应保留施工前后对应的影像资料。不好0分、一般</w:t>
            </w:r>
            <w:r>
              <w:rPr>
                <w:rFonts w:hint="eastAsia" w:ascii="宋体" w:hAnsi="宋体" w:eastAsia="宋体" w:cs="宋体"/>
                <w:color w:val="auto"/>
                <w:kern w:val="0"/>
                <w:sz w:val="21"/>
                <w:szCs w:val="21"/>
                <w:highlight w:val="none"/>
                <w:lang w:val="en-US" w:eastAsia="zh-CN" w:bidi="ar"/>
              </w:rPr>
              <w:t>6</w:t>
            </w:r>
            <w:r>
              <w:rPr>
                <w:rFonts w:hint="eastAsia" w:ascii="宋体" w:hAnsi="宋体" w:eastAsia="宋体" w:cs="宋体"/>
                <w:color w:val="auto"/>
                <w:kern w:val="0"/>
                <w:sz w:val="21"/>
                <w:szCs w:val="21"/>
                <w:highlight w:val="none"/>
                <w:lang w:bidi="ar"/>
              </w:rPr>
              <w:t>分、较好8分、很好10分</w:t>
            </w:r>
          </w:p>
        </w:tc>
      </w:tr>
      <w:tr w14:paraId="7EA587E0">
        <w:tblPrEx>
          <w:tblCellMar>
            <w:top w:w="0" w:type="dxa"/>
            <w:left w:w="0" w:type="dxa"/>
            <w:bottom w:w="0" w:type="dxa"/>
            <w:right w:w="0" w:type="dxa"/>
          </w:tblCellMar>
        </w:tblPrEx>
        <w:trPr>
          <w:trHeight w:val="579" w:hRule="atLeast"/>
          <w:jc w:val="center"/>
        </w:trPr>
        <w:tc>
          <w:tcPr>
            <w:tcW w:w="55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4E0DEA">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九</w:t>
            </w:r>
          </w:p>
        </w:tc>
        <w:tc>
          <w:tcPr>
            <w:tcW w:w="89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CFBB50">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工程变更程序（包括暂定量项目）</w:t>
            </w:r>
          </w:p>
        </w:tc>
        <w:tc>
          <w:tcPr>
            <w:tcW w:w="272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36978D">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bidi="ar"/>
              </w:rPr>
              <w:t>工程变更手续是否及时、规范办理，证明资料是否齐全，否则有无书面催告</w:t>
            </w:r>
          </w:p>
        </w:tc>
        <w:tc>
          <w:tcPr>
            <w:tcW w:w="71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89BC92">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7</w:t>
            </w:r>
          </w:p>
        </w:tc>
        <w:tc>
          <w:tcPr>
            <w:tcW w:w="59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B61D46">
            <w:pPr>
              <w:jc w:val="left"/>
              <w:rPr>
                <w:rFonts w:hint="eastAsia" w:ascii="宋体" w:hAnsi="宋体" w:eastAsia="宋体" w:cs="宋体"/>
                <w:color w:val="auto"/>
                <w:sz w:val="24"/>
                <w:szCs w:val="24"/>
                <w:highlight w:val="none"/>
              </w:rPr>
            </w:pPr>
          </w:p>
        </w:tc>
        <w:tc>
          <w:tcPr>
            <w:tcW w:w="100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39A603">
            <w:pPr>
              <w:jc w:val="left"/>
              <w:rPr>
                <w:rFonts w:hint="eastAsia" w:ascii="宋体" w:hAnsi="宋体" w:eastAsia="宋体" w:cs="宋体"/>
                <w:color w:val="auto"/>
                <w:sz w:val="24"/>
                <w:szCs w:val="24"/>
                <w:highlight w:val="none"/>
              </w:rPr>
            </w:pPr>
          </w:p>
        </w:tc>
        <w:tc>
          <w:tcPr>
            <w:tcW w:w="352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617921">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不好0分、一般</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bidi="ar"/>
              </w:rPr>
              <w:t>分、较好5分、很好7分</w:t>
            </w:r>
            <w:r>
              <w:rPr>
                <w:rFonts w:hint="eastAsia" w:ascii="宋体" w:hAnsi="宋体" w:eastAsia="宋体" w:cs="宋体"/>
                <w:color w:val="auto"/>
                <w:kern w:val="0"/>
                <w:sz w:val="21"/>
                <w:szCs w:val="21"/>
                <w:highlight w:val="none"/>
                <w:lang w:val="en-US" w:eastAsia="zh-CN" w:bidi="ar"/>
              </w:rPr>
              <w:t>（本项业主代表参与打分）</w:t>
            </w:r>
          </w:p>
        </w:tc>
      </w:tr>
      <w:tr w14:paraId="46746103">
        <w:tblPrEx>
          <w:tblCellMar>
            <w:top w:w="0" w:type="dxa"/>
            <w:left w:w="0" w:type="dxa"/>
            <w:bottom w:w="0" w:type="dxa"/>
            <w:right w:w="0" w:type="dxa"/>
          </w:tblCellMar>
        </w:tblPrEx>
        <w:trPr>
          <w:trHeight w:val="312"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30F45C">
            <w:pPr>
              <w:jc w:val="center"/>
              <w:rPr>
                <w:rFonts w:hint="eastAsia" w:ascii="宋体" w:hAnsi="宋体" w:eastAsia="宋体" w:cs="宋体"/>
                <w:color w:val="auto"/>
                <w:sz w:val="24"/>
                <w:szCs w:val="24"/>
                <w:highlight w:val="none"/>
              </w:rPr>
            </w:pPr>
          </w:p>
        </w:tc>
        <w:tc>
          <w:tcPr>
            <w:tcW w:w="89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6D504D">
            <w:pPr>
              <w:jc w:val="center"/>
              <w:rPr>
                <w:rFonts w:hint="eastAsia" w:ascii="宋体" w:hAnsi="宋体" w:eastAsia="宋体" w:cs="宋体"/>
                <w:color w:val="auto"/>
                <w:sz w:val="24"/>
                <w:szCs w:val="24"/>
                <w:highlight w:val="none"/>
              </w:rPr>
            </w:pPr>
          </w:p>
        </w:tc>
        <w:tc>
          <w:tcPr>
            <w:tcW w:w="27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47A189">
            <w:pPr>
              <w:jc w:val="left"/>
              <w:rPr>
                <w:rFonts w:hint="eastAsia" w:ascii="宋体" w:hAnsi="宋体" w:eastAsia="宋体" w:cs="宋体"/>
                <w:color w:val="auto"/>
                <w:sz w:val="24"/>
                <w:szCs w:val="24"/>
                <w:highlight w:val="none"/>
              </w:rPr>
            </w:pPr>
          </w:p>
        </w:tc>
        <w:tc>
          <w:tcPr>
            <w:tcW w:w="71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954BF0">
            <w:pPr>
              <w:jc w:val="center"/>
              <w:rPr>
                <w:rFonts w:hint="eastAsia" w:ascii="宋体" w:hAnsi="宋体" w:eastAsia="宋体" w:cs="宋体"/>
                <w:color w:val="auto"/>
                <w:sz w:val="24"/>
                <w:szCs w:val="24"/>
                <w:highlight w:val="none"/>
              </w:rPr>
            </w:pPr>
          </w:p>
        </w:tc>
        <w:tc>
          <w:tcPr>
            <w:tcW w:w="59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DF3F03">
            <w:pPr>
              <w:jc w:val="left"/>
              <w:rPr>
                <w:rFonts w:hint="eastAsia" w:ascii="宋体" w:hAnsi="宋体" w:eastAsia="宋体" w:cs="宋体"/>
                <w:color w:val="auto"/>
                <w:sz w:val="24"/>
                <w:szCs w:val="24"/>
                <w:highlight w:val="none"/>
              </w:rPr>
            </w:pPr>
          </w:p>
        </w:tc>
        <w:tc>
          <w:tcPr>
            <w:tcW w:w="100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FCBDB7">
            <w:pPr>
              <w:jc w:val="left"/>
              <w:rPr>
                <w:rFonts w:hint="eastAsia" w:ascii="宋体" w:hAnsi="宋体" w:eastAsia="宋体" w:cs="宋体"/>
                <w:color w:val="auto"/>
                <w:sz w:val="24"/>
                <w:szCs w:val="24"/>
                <w:highlight w:val="none"/>
              </w:rPr>
            </w:pPr>
          </w:p>
        </w:tc>
        <w:tc>
          <w:tcPr>
            <w:tcW w:w="35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3C761E">
            <w:pPr>
              <w:jc w:val="left"/>
              <w:rPr>
                <w:rFonts w:hint="eastAsia" w:ascii="宋体" w:hAnsi="宋体" w:eastAsia="宋体" w:cs="宋体"/>
                <w:color w:val="auto"/>
                <w:sz w:val="21"/>
                <w:szCs w:val="21"/>
                <w:highlight w:val="none"/>
              </w:rPr>
            </w:pPr>
          </w:p>
        </w:tc>
      </w:tr>
      <w:tr w14:paraId="3383F845">
        <w:tblPrEx>
          <w:tblCellMar>
            <w:top w:w="0" w:type="dxa"/>
            <w:left w:w="0" w:type="dxa"/>
            <w:bottom w:w="0" w:type="dxa"/>
            <w:right w:w="0" w:type="dxa"/>
          </w:tblCellMar>
        </w:tblPrEx>
        <w:trPr>
          <w:trHeight w:val="579"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78A9D0">
            <w:pPr>
              <w:jc w:val="center"/>
              <w:rPr>
                <w:rFonts w:hint="eastAsia" w:ascii="宋体" w:hAnsi="宋体" w:eastAsia="宋体" w:cs="宋体"/>
                <w:color w:val="auto"/>
                <w:sz w:val="24"/>
                <w:szCs w:val="24"/>
                <w:highlight w:val="none"/>
              </w:rPr>
            </w:pPr>
          </w:p>
        </w:tc>
        <w:tc>
          <w:tcPr>
            <w:tcW w:w="89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3F9B4B">
            <w:pPr>
              <w:jc w:val="center"/>
              <w:rPr>
                <w:rFonts w:hint="eastAsia" w:ascii="宋体" w:hAnsi="宋体" w:eastAsia="宋体" w:cs="宋体"/>
                <w:color w:val="auto"/>
                <w:sz w:val="24"/>
                <w:szCs w:val="24"/>
                <w:highlight w:val="none"/>
              </w:rPr>
            </w:pPr>
          </w:p>
        </w:tc>
        <w:tc>
          <w:tcPr>
            <w:tcW w:w="272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76120E">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bidi="ar"/>
              </w:rPr>
              <w:t>估算造价超过</w:t>
            </w:r>
            <w:r>
              <w:rPr>
                <w:rFonts w:hint="eastAsia" w:ascii="宋体" w:hAnsi="宋体" w:eastAsia="宋体" w:cs="宋体"/>
                <w:color w:val="auto"/>
                <w:kern w:val="0"/>
                <w:sz w:val="24"/>
                <w:szCs w:val="24"/>
                <w:highlight w:val="none"/>
                <w:lang w:val="en-US" w:eastAsia="zh-CN" w:bidi="ar"/>
              </w:rPr>
              <w:t>5</w:t>
            </w:r>
            <w:r>
              <w:rPr>
                <w:rFonts w:hint="eastAsia" w:ascii="宋体" w:hAnsi="宋体" w:eastAsia="宋体" w:cs="宋体"/>
                <w:color w:val="auto"/>
                <w:kern w:val="0"/>
                <w:sz w:val="24"/>
                <w:szCs w:val="24"/>
                <w:highlight w:val="none"/>
                <w:lang w:bidi="ar"/>
              </w:rPr>
              <w:t>万元的重大事项是否上报</w:t>
            </w:r>
          </w:p>
        </w:tc>
        <w:tc>
          <w:tcPr>
            <w:tcW w:w="71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D9A9A1">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3</w:t>
            </w:r>
          </w:p>
        </w:tc>
        <w:tc>
          <w:tcPr>
            <w:tcW w:w="59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839926">
            <w:pPr>
              <w:jc w:val="left"/>
              <w:rPr>
                <w:rFonts w:hint="eastAsia" w:ascii="宋体" w:hAnsi="宋体" w:eastAsia="宋体" w:cs="宋体"/>
                <w:color w:val="auto"/>
                <w:sz w:val="24"/>
                <w:szCs w:val="24"/>
                <w:highlight w:val="none"/>
              </w:rPr>
            </w:pPr>
          </w:p>
        </w:tc>
        <w:tc>
          <w:tcPr>
            <w:tcW w:w="100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0E9811">
            <w:pPr>
              <w:jc w:val="left"/>
              <w:rPr>
                <w:rFonts w:hint="eastAsia" w:ascii="宋体" w:hAnsi="宋体" w:eastAsia="宋体" w:cs="宋体"/>
                <w:color w:val="auto"/>
                <w:sz w:val="24"/>
                <w:szCs w:val="24"/>
                <w:highlight w:val="none"/>
              </w:rPr>
            </w:pPr>
          </w:p>
        </w:tc>
        <w:tc>
          <w:tcPr>
            <w:tcW w:w="352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03FEC0">
            <w:pPr>
              <w:widowControl/>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bidi="ar"/>
              </w:rPr>
              <w:t>单个变更事项一项不符合要求</w:t>
            </w:r>
            <w:r>
              <w:rPr>
                <w:rFonts w:hint="eastAsia" w:ascii="宋体" w:hAnsi="宋体" w:eastAsia="宋体" w:cs="宋体"/>
                <w:color w:val="auto"/>
                <w:kern w:val="0"/>
                <w:sz w:val="21"/>
                <w:szCs w:val="21"/>
                <w:highlight w:val="none"/>
                <w:lang w:eastAsia="zh-CN" w:bidi="ar"/>
              </w:rPr>
              <w:t>，本项得</w:t>
            </w:r>
            <w:r>
              <w:rPr>
                <w:rFonts w:hint="eastAsia" w:ascii="宋体" w:hAnsi="宋体" w:eastAsia="宋体" w:cs="宋体"/>
                <w:color w:val="auto"/>
                <w:kern w:val="0"/>
                <w:sz w:val="21"/>
                <w:szCs w:val="21"/>
                <w:highlight w:val="none"/>
                <w:lang w:val="en-US" w:eastAsia="zh-CN" w:bidi="ar"/>
              </w:rPr>
              <w:t>0分（本项业主代表参与打分）</w:t>
            </w:r>
          </w:p>
        </w:tc>
      </w:tr>
      <w:tr w14:paraId="64ECF00A">
        <w:tblPrEx>
          <w:tblCellMar>
            <w:top w:w="0" w:type="dxa"/>
            <w:left w:w="0" w:type="dxa"/>
            <w:bottom w:w="0" w:type="dxa"/>
            <w:right w:w="0" w:type="dxa"/>
          </w:tblCellMar>
        </w:tblPrEx>
        <w:trPr>
          <w:trHeight w:val="312"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26EEA2">
            <w:pPr>
              <w:jc w:val="center"/>
              <w:rPr>
                <w:rFonts w:hint="eastAsia" w:ascii="宋体" w:hAnsi="宋体" w:eastAsia="宋体" w:cs="宋体"/>
                <w:color w:val="auto"/>
                <w:sz w:val="24"/>
                <w:szCs w:val="24"/>
                <w:highlight w:val="none"/>
              </w:rPr>
            </w:pPr>
          </w:p>
        </w:tc>
        <w:tc>
          <w:tcPr>
            <w:tcW w:w="89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D5FAD7">
            <w:pPr>
              <w:jc w:val="center"/>
              <w:rPr>
                <w:rFonts w:hint="eastAsia" w:ascii="宋体" w:hAnsi="宋体" w:eastAsia="宋体" w:cs="宋体"/>
                <w:color w:val="auto"/>
                <w:sz w:val="24"/>
                <w:szCs w:val="24"/>
                <w:highlight w:val="none"/>
              </w:rPr>
            </w:pPr>
          </w:p>
        </w:tc>
        <w:tc>
          <w:tcPr>
            <w:tcW w:w="27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4191B9">
            <w:pPr>
              <w:jc w:val="left"/>
              <w:rPr>
                <w:rFonts w:hint="eastAsia" w:ascii="宋体" w:hAnsi="宋体" w:eastAsia="宋体" w:cs="宋体"/>
                <w:color w:val="auto"/>
                <w:sz w:val="24"/>
                <w:szCs w:val="24"/>
                <w:highlight w:val="none"/>
              </w:rPr>
            </w:pPr>
          </w:p>
        </w:tc>
        <w:tc>
          <w:tcPr>
            <w:tcW w:w="71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E531BB">
            <w:pPr>
              <w:jc w:val="center"/>
              <w:rPr>
                <w:rFonts w:hint="eastAsia" w:ascii="宋体" w:hAnsi="宋体" w:eastAsia="宋体" w:cs="宋体"/>
                <w:color w:val="auto"/>
                <w:sz w:val="24"/>
                <w:szCs w:val="24"/>
                <w:highlight w:val="none"/>
              </w:rPr>
            </w:pPr>
          </w:p>
        </w:tc>
        <w:tc>
          <w:tcPr>
            <w:tcW w:w="59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092ED8">
            <w:pPr>
              <w:jc w:val="left"/>
              <w:rPr>
                <w:rFonts w:hint="eastAsia" w:ascii="宋体" w:hAnsi="宋体" w:eastAsia="宋体" w:cs="宋体"/>
                <w:color w:val="auto"/>
                <w:sz w:val="24"/>
                <w:szCs w:val="24"/>
                <w:highlight w:val="none"/>
              </w:rPr>
            </w:pPr>
          </w:p>
        </w:tc>
        <w:tc>
          <w:tcPr>
            <w:tcW w:w="100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44AD1B">
            <w:pPr>
              <w:jc w:val="left"/>
              <w:rPr>
                <w:rFonts w:hint="eastAsia" w:ascii="宋体" w:hAnsi="宋体" w:eastAsia="宋体" w:cs="宋体"/>
                <w:color w:val="auto"/>
                <w:sz w:val="24"/>
                <w:szCs w:val="24"/>
                <w:highlight w:val="none"/>
              </w:rPr>
            </w:pPr>
          </w:p>
        </w:tc>
        <w:tc>
          <w:tcPr>
            <w:tcW w:w="35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51C163">
            <w:pPr>
              <w:jc w:val="left"/>
              <w:rPr>
                <w:rFonts w:hint="eastAsia" w:ascii="宋体" w:hAnsi="宋体" w:eastAsia="宋体" w:cs="宋体"/>
                <w:color w:val="auto"/>
                <w:sz w:val="21"/>
                <w:szCs w:val="21"/>
                <w:highlight w:val="none"/>
              </w:rPr>
            </w:pPr>
          </w:p>
        </w:tc>
      </w:tr>
      <w:tr w14:paraId="3A9B7083">
        <w:tblPrEx>
          <w:tblCellMar>
            <w:top w:w="0" w:type="dxa"/>
            <w:left w:w="0" w:type="dxa"/>
            <w:bottom w:w="0" w:type="dxa"/>
            <w:right w:w="0" w:type="dxa"/>
          </w:tblCellMar>
        </w:tblPrEx>
        <w:trPr>
          <w:trHeight w:val="1068" w:hRule="atLeast"/>
          <w:jc w:val="center"/>
        </w:trPr>
        <w:tc>
          <w:tcPr>
            <w:tcW w:w="556"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50119970">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十</w:t>
            </w:r>
          </w:p>
        </w:tc>
        <w:tc>
          <w:tcPr>
            <w:tcW w:w="892"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0BC33B4B">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内部控制程序</w:t>
            </w: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093F116">
            <w:pPr>
              <w:widowControl/>
              <w:jc w:val="both"/>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bidi="ar"/>
              </w:rPr>
              <w:t>对工程项目暂定价设备和材料价格参与市场考察、独立调查或审查并提出意见</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CC66BE">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2</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C48BE5">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7F4F7A">
            <w:pPr>
              <w:jc w:val="center"/>
              <w:rPr>
                <w:rFonts w:hint="eastAsia" w:ascii="宋体" w:hAnsi="宋体" w:eastAsia="宋体" w:cs="宋体"/>
                <w:color w:val="auto"/>
                <w:sz w:val="24"/>
                <w:szCs w:val="24"/>
                <w:highlight w:val="none"/>
              </w:rPr>
            </w:pP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52B6876">
            <w:pPr>
              <w:widowControl/>
              <w:jc w:val="both"/>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bidi="ar"/>
              </w:rPr>
              <w:t>跟</w:t>
            </w:r>
            <w:r>
              <w:rPr>
                <w:rFonts w:hint="eastAsia" w:ascii="宋体" w:hAnsi="宋体" w:eastAsia="宋体" w:cs="宋体"/>
                <w:color w:val="auto"/>
                <w:kern w:val="0"/>
                <w:sz w:val="21"/>
                <w:szCs w:val="21"/>
                <w:highlight w:val="none"/>
                <w:lang w:eastAsia="zh-CN" w:bidi="ar"/>
              </w:rPr>
              <w:t>审</w:t>
            </w:r>
            <w:r>
              <w:rPr>
                <w:rFonts w:hint="eastAsia" w:ascii="宋体" w:hAnsi="宋体" w:eastAsia="宋体" w:cs="宋体"/>
                <w:color w:val="auto"/>
                <w:kern w:val="0"/>
                <w:sz w:val="21"/>
                <w:szCs w:val="21"/>
                <w:highlight w:val="none"/>
                <w:lang w:bidi="ar"/>
              </w:rPr>
              <w:t>人员对工地所需暂定价材料、设备价格要定期询价，随时</w:t>
            </w:r>
            <w:r>
              <w:rPr>
                <w:rFonts w:hint="eastAsia" w:ascii="宋体" w:hAnsi="宋体" w:eastAsia="宋体" w:cs="宋体"/>
                <w:color w:val="auto"/>
                <w:kern w:val="0"/>
                <w:sz w:val="21"/>
                <w:szCs w:val="21"/>
                <w:highlight w:val="none"/>
                <w:lang w:eastAsia="zh-CN" w:bidi="ar"/>
              </w:rPr>
              <w:t>掌握</w:t>
            </w:r>
            <w:r>
              <w:rPr>
                <w:rFonts w:hint="eastAsia" w:ascii="宋体" w:hAnsi="宋体" w:eastAsia="宋体" w:cs="宋体"/>
                <w:color w:val="auto"/>
                <w:kern w:val="0"/>
                <w:sz w:val="21"/>
                <w:szCs w:val="21"/>
                <w:highlight w:val="none"/>
                <w:lang w:bidi="ar"/>
              </w:rPr>
              <w:t>价格的变化情况，为业主提供准确的价格信息，做好询价记录备查</w:t>
            </w:r>
          </w:p>
        </w:tc>
      </w:tr>
      <w:tr w14:paraId="3FFB3BAD">
        <w:tblPrEx>
          <w:tblCellMar>
            <w:top w:w="0" w:type="dxa"/>
            <w:left w:w="0" w:type="dxa"/>
            <w:bottom w:w="0" w:type="dxa"/>
            <w:right w:w="0" w:type="dxa"/>
          </w:tblCellMar>
        </w:tblPrEx>
        <w:trPr>
          <w:trHeight w:val="1275" w:hRule="atLeast"/>
          <w:jc w:val="center"/>
        </w:trPr>
        <w:tc>
          <w:tcPr>
            <w:tcW w:w="556"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3F1BE2F9">
            <w:pPr>
              <w:jc w:val="center"/>
              <w:rPr>
                <w:rFonts w:hint="eastAsia" w:ascii="宋体" w:hAnsi="宋体" w:eastAsia="宋体" w:cs="宋体"/>
                <w:color w:val="auto"/>
                <w:sz w:val="24"/>
                <w:szCs w:val="24"/>
                <w:highlight w:val="none"/>
              </w:rPr>
            </w:pPr>
          </w:p>
        </w:tc>
        <w:tc>
          <w:tcPr>
            <w:tcW w:w="892"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2EFD071D">
            <w:pPr>
              <w:jc w:val="center"/>
              <w:rPr>
                <w:rFonts w:hint="eastAsia" w:ascii="宋体" w:hAnsi="宋体" w:eastAsia="宋体" w:cs="宋体"/>
                <w:color w:val="auto"/>
                <w:sz w:val="24"/>
                <w:szCs w:val="24"/>
                <w:highlight w:val="none"/>
              </w:rPr>
            </w:pP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1151C9">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bidi="ar"/>
              </w:rPr>
              <w:t>协助业主审核因设计变更、现场签证等发生的费用，相应调整造价控制目标，并及时向业主提供造价控制动态分析报告</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B36B9C">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3</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AFBD97">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C1F535">
            <w:pPr>
              <w:jc w:val="center"/>
              <w:rPr>
                <w:rFonts w:hint="eastAsia" w:ascii="宋体" w:hAnsi="宋体" w:eastAsia="宋体" w:cs="宋体"/>
                <w:color w:val="auto"/>
                <w:sz w:val="24"/>
                <w:szCs w:val="24"/>
                <w:highlight w:val="none"/>
              </w:rPr>
            </w:pP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5B7B56">
            <w:pPr>
              <w:widowControl/>
              <w:jc w:val="left"/>
              <w:textAlignment w:val="center"/>
              <w:rPr>
                <w:rFonts w:hint="eastAsia" w:ascii="宋体" w:hAnsi="宋体" w:eastAsia="宋体" w:cs="宋体"/>
                <w:color w:val="auto"/>
                <w:sz w:val="21"/>
                <w:szCs w:val="21"/>
                <w:highlight w:val="none"/>
              </w:rPr>
            </w:pPr>
          </w:p>
        </w:tc>
      </w:tr>
      <w:tr w14:paraId="0F53F7F4">
        <w:tblPrEx>
          <w:tblCellMar>
            <w:top w:w="0" w:type="dxa"/>
            <w:left w:w="0" w:type="dxa"/>
            <w:bottom w:w="0" w:type="dxa"/>
            <w:right w:w="0" w:type="dxa"/>
          </w:tblCellMar>
        </w:tblPrEx>
        <w:trPr>
          <w:trHeight w:val="3000" w:hRule="atLeast"/>
          <w:jc w:val="center"/>
        </w:trPr>
        <w:tc>
          <w:tcPr>
            <w:tcW w:w="556" w:type="dxa"/>
            <w:tcBorders>
              <w:top w:val="nil"/>
              <w:left w:val="single" w:color="000000" w:sz="4" w:space="0"/>
              <w:bottom w:val="nil"/>
              <w:right w:val="single" w:color="000000" w:sz="4" w:space="0"/>
            </w:tcBorders>
            <w:noWrap w:val="0"/>
            <w:tcMar>
              <w:top w:w="15" w:type="dxa"/>
              <w:left w:w="15" w:type="dxa"/>
              <w:right w:w="15" w:type="dxa"/>
            </w:tcMar>
            <w:vAlign w:val="center"/>
          </w:tcPr>
          <w:p w14:paraId="3E75D663">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eastAsia="zh-CN" w:bidi="ar"/>
              </w:rPr>
              <w:t>十一</w:t>
            </w:r>
          </w:p>
        </w:tc>
        <w:tc>
          <w:tcPr>
            <w:tcW w:w="892" w:type="dxa"/>
            <w:tcBorders>
              <w:top w:val="nil"/>
              <w:left w:val="single" w:color="000000" w:sz="4" w:space="0"/>
              <w:right w:val="single" w:color="000000" w:sz="4" w:space="0"/>
            </w:tcBorders>
            <w:noWrap w:val="0"/>
            <w:tcMar>
              <w:top w:w="15" w:type="dxa"/>
              <w:left w:w="15" w:type="dxa"/>
              <w:right w:w="15" w:type="dxa"/>
            </w:tcMar>
            <w:vAlign w:val="center"/>
          </w:tcPr>
          <w:p w14:paraId="7F117EF7">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廉洁自律</w:t>
            </w:r>
          </w:p>
        </w:tc>
        <w:tc>
          <w:tcPr>
            <w:tcW w:w="2720" w:type="dxa"/>
            <w:tcBorders>
              <w:top w:val="nil"/>
              <w:left w:val="single" w:color="000000" w:sz="4" w:space="0"/>
              <w:right w:val="single" w:color="000000" w:sz="4" w:space="0"/>
            </w:tcBorders>
            <w:noWrap w:val="0"/>
            <w:tcMar>
              <w:top w:w="15" w:type="dxa"/>
              <w:left w:w="15" w:type="dxa"/>
              <w:right w:w="15" w:type="dxa"/>
            </w:tcMar>
            <w:vAlign w:val="center"/>
          </w:tcPr>
          <w:p w14:paraId="55A7316F">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审计单位是否保持廉洁自律要求</w:t>
            </w:r>
          </w:p>
        </w:tc>
        <w:tc>
          <w:tcPr>
            <w:tcW w:w="712" w:type="dxa"/>
            <w:tcBorders>
              <w:top w:val="nil"/>
              <w:left w:val="single" w:color="000000" w:sz="4" w:space="0"/>
              <w:right w:val="single" w:color="000000" w:sz="4" w:space="0"/>
            </w:tcBorders>
            <w:noWrap w:val="0"/>
            <w:tcMar>
              <w:top w:w="15" w:type="dxa"/>
              <w:left w:w="15" w:type="dxa"/>
              <w:right w:w="15" w:type="dxa"/>
            </w:tcMar>
            <w:vAlign w:val="center"/>
          </w:tcPr>
          <w:p w14:paraId="45957C5B">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5</w:t>
            </w:r>
          </w:p>
        </w:tc>
        <w:tc>
          <w:tcPr>
            <w:tcW w:w="596" w:type="dxa"/>
            <w:tcBorders>
              <w:top w:val="nil"/>
              <w:left w:val="single" w:color="000000" w:sz="4" w:space="0"/>
              <w:right w:val="single" w:color="000000" w:sz="4" w:space="0"/>
            </w:tcBorders>
            <w:noWrap w:val="0"/>
            <w:tcMar>
              <w:top w:w="15" w:type="dxa"/>
              <w:left w:w="15" w:type="dxa"/>
              <w:right w:w="15" w:type="dxa"/>
            </w:tcMar>
            <w:vAlign w:val="center"/>
          </w:tcPr>
          <w:p w14:paraId="3C7F8DCD">
            <w:pPr>
              <w:jc w:val="left"/>
              <w:rPr>
                <w:rFonts w:hint="eastAsia" w:ascii="宋体" w:hAnsi="宋体" w:eastAsia="宋体" w:cs="宋体"/>
                <w:color w:val="auto"/>
                <w:sz w:val="24"/>
                <w:szCs w:val="24"/>
                <w:highlight w:val="none"/>
              </w:rPr>
            </w:pPr>
          </w:p>
        </w:tc>
        <w:tc>
          <w:tcPr>
            <w:tcW w:w="1002" w:type="dxa"/>
            <w:tcBorders>
              <w:top w:val="nil"/>
              <w:left w:val="single" w:color="000000" w:sz="4" w:space="0"/>
              <w:right w:val="single" w:color="000000" w:sz="4" w:space="0"/>
            </w:tcBorders>
            <w:noWrap w:val="0"/>
            <w:tcMar>
              <w:top w:w="15" w:type="dxa"/>
              <w:left w:w="15" w:type="dxa"/>
              <w:right w:w="15" w:type="dxa"/>
            </w:tcMar>
            <w:vAlign w:val="center"/>
          </w:tcPr>
          <w:p w14:paraId="1AEC871F">
            <w:pPr>
              <w:jc w:val="center"/>
              <w:rPr>
                <w:rFonts w:hint="eastAsia" w:ascii="宋体" w:hAnsi="宋体" w:eastAsia="宋体" w:cs="宋体"/>
                <w:color w:val="auto"/>
                <w:sz w:val="24"/>
                <w:szCs w:val="24"/>
                <w:highlight w:val="none"/>
              </w:rPr>
            </w:pPr>
          </w:p>
        </w:tc>
        <w:tc>
          <w:tcPr>
            <w:tcW w:w="3520" w:type="dxa"/>
            <w:tcBorders>
              <w:top w:val="nil"/>
              <w:left w:val="single" w:color="000000" w:sz="4" w:space="0"/>
              <w:right w:val="single" w:color="000000" w:sz="4" w:space="0"/>
            </w:tcBorders>
            <w:noWrap w:val="0"/>
            <w:tcMar>
              <w:top w:w="15" w:type="dxa"/>
              <w:left w:w="15" w:type="dxa"/>
              <w:right w:w="15" w:type="dxa"/>
            </w:tcMar>
            <w:vAlign w:val="center"/>
          </w:tcPr>
          <w:p w14:paraId="34DC621B">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有无由被审计单位支付或补贴住宿费、餐费；有无使用被审计单位的交通工具等办理与审计工作无关的事项；有无参加被审计单位安排的旅游、娱乐等活动；有无接受被审计单位的任何礼品；有无在被审计的单位报销任何费用；有无利用审计职权为自己和他人谋利；有无向被审计单位提出任何与审计工作无关的要求。违反审计纪律规定中任何一项的,一经查实，本项分值全部扣除</w:t>
            </w:r>
          </w:p>
        </w:tc>
      </w:tr>
      <w:tr w14:paraId="1A0091C6">
        <w:tblPrEx>
          <w:tblCellMar>
            <w:top w:w="0" w:type="dxa"/>
            <w:left w:w="0" w:type="dxa"/>
            <w:bottom w:w="0" w:type="dxa"/>
            <w:right w:w="0" w:type="dxa"/>
          </w:tblCellMar>
        </w:tblPrEx>
        <w:trPr>
          <w:trHeight w:val="90" w:hRule="atLeast"/>
          <w:jc w:val="center"/>
        </w:trPr>
        <w:tc>
          <w:tcPr>
            <w:tcW w:w="55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FE308F">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eastAsia="zh-CN" w:bidi="ar"/>
              </w:rPr>
              <w:t>十二</w:t>
            </w:r>
          </w:p>
        </w:tc>
        <w:tc>
          <w:tcPr>
            <w:tcW w:w="89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E6AC50">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附加分事项</w:t>
            </w: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C3F3DD">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1.因勘察、设计失误或不合理，可能造成损失浪费等问题，及时提出整改和加强管理的合理化建议</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1CBDB2">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5</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465B88">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3322E2D4">
            <w:pPr>
              <w:jc w:val="center"/>
              <w:rPr>
                <w:rFonts w:hint="eastAsia" w:ascii="宋体" w:hAnsi="宋体" w:eastAsia="宋体" w:cs="宋体"/>
                <w:color w:val="auto"/>
                <w:sz w:val="24"/>
                <w:szCs w:val="24"/>
                <w:highlight w:val="none"/>
              </w:rPr>
            </w:pPr>
          </w:p>
        </w:tc>
        <w:tc>
          <w:tcPr>
            <w:tcW w:w="352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4FE4AE4">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每一项加分</w:t>
            </w: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分，5分为上限</w:t>
            </w:r>
            <w:r>
              <w:rPr>
                <w:rFonts w:hint="eastAsia" w:ascii="宋体" w:hAnsi="宋体" w:eastAsia="宋体" w:cs="宋体"/>
                <w:color w:val="auto"/>
                <w:kern w:val="0"/>
                <w:sz w:val="21"/>
                <w:szCs w:val="21"/>
                <w:highlight w:val="none"/>
                <w:lang w:val="en-US" w:eastAsia="zh-CN" w:bidi="ar"/>
              </w:rPr>
              <w:t>.     确定附加分资料的认定需满足三点要求：（1）满足时效性（设计、地勘等问题的发现需在实施前，未按图施工等问题的发现需为监理未发现但跟审主动发现）；（2）提交建议或发出整改通知函等必需书面；（3）经委托人认可，工程科确认基本事实后由分管领导召集相关科室研究。</w:t>
            </w:r>
          </w:p>
        </w:tc>
      </w:tr>
      <w:tr w14:paraId="54A771F7">
        <w:tblPrEx>
          <w:tblCellMar>
            <w:top w:w="0" w:type="dxa"/>
            <w:left w:w="0" w:type="dxa"/>
            <w:bottom w:w="0" w:type="dxa"/>
            <w:right w:w="0" w:type="dxa"/>
          </w:tblCellMar>
        </w:tblPrEx>
        <w:trPr>
          <w:trHeight w:val="579"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9BACAE">
            <w:pPr>
              <w:jc w:val="center"/>
              <w:rPr>
                <w:rFonts w:hint="eastAsia" w:ascii="宋体" w:hAnsi="宋体" w:eastAsia="宋体" w:cs="宋体"/>
                <w:color w:val="auto"/>
                <w:sz w:val="24"/>
                <w:szCs w:val="24"/>
                <w:highlight w:val="none"/>
              </w:rPr>
            </w:pPr>
          </w:p>
        </w:tc>
        <w:tc>
          <w:tcPr>
            <w:tcW w:w="89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7EF1E8">
            <w:pPr>
              <w:jc w:val="center"/>
              <w:rPr>
                <w:rFonts w:hint="eastAsia" w:ascii="宋体" w:hAnsi="宋体" w:eastAsia="宋体" w:cs="宋体"/>
                <w:color w:val="auto"/>
                <w:sz w:val="24"/>
                <w:szCs w:val="24"/>
                <w:highlight w:val="none"/>
              </w:rPr>
            </w:pP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DF0E3C">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bidi="ar"/>
              </w:rPr>
              <w:t>现场发现实际施工与设计图纸不一致或与招投标清单特征描述不一致、工程质量不合格等问题并及时取证</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2E7DF4">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5</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CE7055">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339360D1">
            <w:pPr>
              <w:jc w:val="center"/>
              <w:rPr>
                <w:rFonts w:hint="eastAsia" w:ascii="宋体" w:hAnsi="宋体" w:eastAsia="宋体" w:cs="宋体"/>
                <w:color w:val="auto"/>
                <w:sz w:val="24"/>
                <w:szCs w:val="24"/>
                <w:highlight w:val="none"/>
              </w:rPr>
            </w:pPr>
          </w:p>
        </w:tc>
        <w:tc>
          <w:tcPr>
            <w:tcW w:w="352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4E3594D">
            <w:pPr>
              <w:widowControl/>
              <w:jc w:val="left"/>
              <w:textAlignment w:val="center"/>
              <w:rPr>
                <w:rFonts w:hint="eastAsia" w:ascii="宋体" w:hAnsi="宋体" w:eastAsia="宋体" w:cs="宋体"/>
                <w:color w:val="auto"/>
                <w:sz w:val="21"/>
                <w:szCs w:val="21"/>
                <w:highlight w:val="none"/>
              </w:rPr>
            </w:pPr>
          </w:p>
        </w:tc>
      </w:tr>
      <w:tr w14:paraId="30D4C4E1">
        <w:tblPrEx>
          <w:tblCellMar>
            <w:top w:w="0" w:type="dxa"/>
            <w:left w:w="0" w:type="dxa"/>
            <w:bottom w:w="0" w:type="dxa"/>
            <w:right w:w="0" w:type="dxa"/>
          </w:tblCellMar>
        </w:tblPrEx>
        <w:trPr>
          <w:trHeight w:val="431"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C4D87B">
            <w:pPr>
              <w:jc w:val="center"/>
              <w:rPr>
                <w:rFonts w:hint="eastAsia" w:ascii="宋体" w:hAnsi="宋体" w:eastAsia="宋体" w:cs="宋体"/>
                <w:color w:val="auto"/>
                <w:sz w:val="24"/>
                <w:szCs w:val="24"/>
                <w:highlight w:val="none"/>
              </w:rPr>
            </w:pPr>
          </w:p>
        </w:tc>
        <w:tc>
          <w:tcPr>
            <w:tcW w:w="89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6204D0">
            <w:pPr>
              <w:jc w:val="center"/>
              <w:rPr>
                <w:rFonts w:hint="eastAsia" w:ascii="宋体" w:hAnsi="宋体" w:eastAsia="宋体" w:cs="宋体"/>
                <w:color w:val="auto"/>
                <w:sz w:val="24"/>
                <w:szCs w:val="24"/>
                <w:highlight w:val="none"/>
              </w:rPr>
            </w:pP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C094A2">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bidi="ar"/>
              </w:rPr>
              <w:t>暂定项目招标或其他采购方式价格明显异常，及时上报</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D416DB">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5</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CD7DF9">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5D055E7A">
            <w:pPr>
              <w:jc w:val="center"/>
              <w:rPr>
                <w:rFonts w:hint="eastAsia" w:ascii="宋体" w:hAnsi="宋体" w:eastAsia="宋体" w:cs="宋体"/>
                <w:color w:val="auto"/>
                <w:sz w:val="24"/>
                <w:szCs w:val="24"/>
                <w:highlight w:val="none"/>
              </w:rPr>
            </w:pPr>
          </w:p>
        </w:tc>
        <w:tc>
          <w:tcPr>
            <w:tcW w:w="352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D4D2B2A">
            <w:pPr>
              <w:widowControl/>
              <w:jc w:val="left"/>
              <w:textAlignment w:val="center"/>
              <w:rPr>
                <w:rFonts w:hint="eastAsia" w:ascii="宋体" w:hAnsi="宋体" w:eastAsia="宋体" w:cs="宋体"/>
                <w:color w:val="auto"/>
                <w:sz w:val="21"/>
                <w:szCs w:val="21"/>
                <w:highlight w:val="none"/>
              </w:rPr>
            </w:pPr>
          </w:p>
        </w:tc>
      </w:tr>
      <w:tr w14:paraId="7A146E24">
        <w:tblPrEx>
          <w:tblCellMar>
            <w:top w:w="0" w:type="dxa"/>
            <w:left w:w="0" w:type="dxa"/>
            <w:bottom w:w="0" w:type="dxa"/>
            <w:right w:w="0" w:type="dxa"/>
          </w:tblCellMar>
        </w:tblPrEx>
        <w:trPr>
          <w:trHeight w:val="228"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D9267D">
            <w:pPr>
              <w:jc w:val="center"/>
              <w:rPr>
                <w:rFonts w:hint="eastAsia" w:ascii="宋体" w:hAnsi="宋体" w:eastAsia="宋体" w:cs="宋体"/>
                <w:color w:val="auto"/>
                <w:sz w:val="24"/>
                <w:szCs w:val="24"/>
                <w:highlight w:val="none"/>
              </w:rPr>
            </w:pPr>
          </w:p>
        </w:tc>
        <w:tc>
          <w:tcPr>
            <w:tcW w:w="89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640241">
            <w:pPr>
              <w:jc w:val="center"/>
              <w:rPr>
                <w:rFonts w:hint="eastAsia" w:ascii="宋体" w:hAnsi="宋体" w:eastAsia="宋体" w:cs="宋体"/>
                <w:color w:val="auto"/>
                <w:sz w:val="24"/>
                <w:szCs w:val="24"/>
                <w:highlight w:val="none"/>
              </w:rPr>
            </w:pPr>
          </w:p>
        </w:tc>
        <w:tc>
          <w:tcPr>
            <w:tcW w:w="272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44FD678D">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4.</w:t>
            </w:r>
            <w:r>
              <w:rPr>
                <w:rFonts w:hint="eastAsia" w:ascii="宋体" w:hAnsi="宋体" w:eastAsia="宋体" w:cs="宋体"/>
                <w:color w:val="auto"/>
                <w:kern w:val="0"/>
                <w:sz w:val="24"/>
                <w:szCs w:val="24"/>
                <w:highlight w:val="none"/>
                <w:lang w:bidi="ar"/>
              </w:rPr>
              <w:t>发现并移交经济案件线索且被立案查处</w:t>
            </w:r>
          </w:p>
        </w:tc>
        <w:tc>
          <w:tcPr>
            <w:tcW w:w="712"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67DE0AB8">
            <w:pPr>
              <w:jc w:val="center"/>
              <w:rPr>
                <w:rFonts w:hint="eastAsia" w:ascii="宋体" w:hAnsi="宋体" w:eastAsia="宋体" w:cs="宋体"/>
                <w:color w:val="auto"/>
                <w:sz w:val="24"/>
                <w:szCs w:val="24"/>
                <w:highlight w:val="none"/>
              </w:rPr>
            </w:pPr>
          </w:p>
        </w:tc>
        <w:tc>
          <w:tcPr>
            <w:tcW w:w="596"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2BFD3C9D">
            <w:pPr>
              <w:jc w:val="left"/>
              <w:rPr>
                <w:rFonts w:hint="eastAsia" w:ascii="宋体" w:hAnsi="宋体" w:eastAsia="宋体" w:cs="宋体"/>
                <w:color w:val="auto"/>
                <w:sz w:val="24"/>
                <w:szCs w:val="24"/>
                <w:highlight w:val="none"/>
              </w:rPr>
            </w:pPr>
          </w:p>
        </w:tc>
        <w:tc>
          <w:tcPr>
            <w:tcW w:w="1002" w:type="dxa"/>
            <w:tcBorders>
              <w:top w:val="nil"/>
              <w:left w:val="single" w:color="000000" w:sz="4" w:space="0"/>
              <w:bottom w:val="single" w:color="000000" w:sz="4" w:space="0"/>
              <w:right w:val="single" w:color="auto" w:sz="4" w:space="0"/>
            </w:tcBorders>
            <w:noWrap w:val="0"/>
            <w:tcMar>
              <w:top w:w="15" w:type="dxa"/>
              <w:left w:w="15" w:type="dxa"/>
              <w:right w:w="15" w:type="dxa"/>
            </w:tcMar>
            <w:vAlign w:val="center"/>
          </w:tcPr>
          <w:p w14:paraId="0E2388A8">
            <w:pPr>
              <w:jc w:val="left"/>
              <w:rPr>
                <w:rFonts w:hint="eastAsia" w:ascii="宋体" w:hAnsi="宋体" w:eastAsia="宋体" w:cs="宋体"/>
                <w:color w:val="auto"/>
                <w:sz w:val="24"/>
                <w:szCs w:val="24"/>
                <w:highlight w:val="none"/>
              </w:rPr>
            </w:pPr>
          </w:p>
        </w:tc>
        <w:tc>
          <w:tcPr>
            <w:tcW w:w="352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0F18678">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每件加5分</w:t>
            </w:r>
          </w:p>
        </w:tc>
      </w:tr>
      <w:tr w14:paraId="54A41532">
        <w:tblPrEx>
          <w:tblCellMar>
            <w:top w:w="0" w:type="dxa"/>
            <w:left w:w="0" w:type="dxa"/>
            <w:bottom w:w="0" w:type="dxa"/>
            <w:right w:w="0" w:type="dxa"/>
          </w:tblCellMar>
        </w:tblPrEx>
        <w:trPr>
          <w:trHeight w:val="445" w:hRule="atLeast"/>
          <w:jc w:val="center"/>
        </w:trPr>
        <w:tc>
          <w:tcPr>
            <w:tcW w:w="4880"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60697F">
            <w:pPr>
              <w:widowControl/>
              <w:jc w:val="right"/>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合计</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7B9202">
            <w:pPr>
              <w:jc w:val="left"/>
              <w:rPr>
                <w:rFonts w:hint="eastAsia" w:ascii="宋体" w:hAnsi="宋体" w:eastAsia="宋体" w:cs="宋体"/>
                <w:b/>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9139FB">
            <w:pPr>
              <w:jc w:val="left"/>
              <w:rPr>
                <w:rFonts w:hint="eastAsia" w:ascii="宋体" w:hAnsi="宋体" w:eastAsia="宋体" w:cs="宋体"/>
                <w:b/>
                <w:color w:val="auto"/>
                <w:sz w:val="24"/>
                <w:szCs w:val="24"/>
                <w:highlight w:val="none"/>
              </w:rPr>
            </w:pPr>
          </w:p>
        </w:tc>
        <w:tc>
          <w:tcPr>
            <w:tcW w:w="352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C81025">
            <w:pPr>
              <w:jc w:val="left"/>
              <w:rPr>
                <w:rFonts w:hint="eastAsia" w:ascii="宋体" w:hAnsi="宋体" w:eastAsia="宋体" w:cs="宋体"/>
                <w:color w:val="auto"/>
                <w:sz w:val="24"/>
                <w:szCs w:val="24"/>
                <w:highlight w:val="none"/>
              </w:rPr>
            </w:pPr>
          </w:p>
        </w:tc>
      </w:tr>
      <w:tr w14:paraId="4063C41E">
        <w:tblPrEx>
          <w:tblCellMar>
            <w:top w:w="0" w:type="dxa"/>
            <w:left w:w="0" w:type="dxa"/>
            <w:bottom w:w="0" w:type="dxa"/>
            <w:right w:w="0" w:type="dxa"/>
          </w:tblCellMar>
        </w:tblPrEx>
        <w:trPr>
          <w:trHeight w:val="1005" w:hRule="atLeast"/>
          <w:jc w:val="center"/>
        </w:trPr>
        <w:tc>
          <w:tcPr>
            <w:tcW w:w="9998"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5A32F7">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跟审</w:t>
            </w:r>
            <w:r>
              <w:rPr>
                <w:rFonts w:hint="eastAsia" w:ascii="宋体" w:hAnsi="宋体" w:eastAsia="宋体" w:cs="宋体"/>
                <w:color w:val="auto"/>
                <w:kern w:val="0"/>
                <w:sz w:val="24"/>
                <w:szCs w:val="24"/>
                <w:highlight w:val="none"/>
                <w:lang w:eastAsia="zh-CN" w:bidi="ar"/>
              </w:rPr>
              <w:t>企业</w:t>
            </w:r>
            <w:r>
              <w:rPr>
                <w:rFonts w:hint="eastAsia" w:ascii="宋体" w:hAnsi="宋体" w:eastAsia="宋体" w:cs="宋体"/>
                <w:color w:val="auto"/>
                <w:kern w:val="0"/>
                <w:sz w:val="24"/>
                <w:szCs w:val="24"/>
                <w:highlight w:val="none"/>
                <w:lang w:bidi="ar"/>
              </w:rPr>
              <w:t xml:space="preserve">签字：                   </w:t>
            </w:r>
            <w:r>
              <w:rPr>
                <w:rFonts w:hint="eastAsia" w:ascii="宋体" w:hAnsi="宋体" w:eastAsia="宋体" w:cs="宋体"/>
                <w:color w:val="auto"/>
                <w:kern w:val="0"/>
                <w:sz w:val="24"/>
                <w:szCs w:val="24"/>
                <w:highlight w:val="none"/>
                <w:lang w:eastAsia="zh-CN" w:bidi="ar"/>
              </w:rPr>
              <w:t>考核组</w:t>
            </w:r>
            <w:r>
              <w:rPr>
                <w:rFonts w:hint="eastAsia" w:ascii="宋体" w:hAnsi="宋体" w:eastAsia="宋体" w:cs="宋体"/>
                <w:color w:val="auto"/>
                <w:kern w:val="0"/>
                <w:sz w:val="24"/>
                <w:szCs w:val="24"/>
                <w:highlight w:val="none"/>
                <w:lang w:bidi="ar"/>
              </w:rPr>
              <w:t xml:space="preserve">签字 ：                  </w:t>
            </w:r>
            <w:r>
              <w:rPr>
                <w:rStyle w:val="153"/>
                <w:rFonts w:hint="eastAsia" w:ascii="宋体" w:hAnsi="宋体" w:eastAsia="宋体" w:cs="宋体"/>
                <w:color w:val="auto"/>
                <w:sz w:val="24"/>
                <w:szCs w:val="24"/>
                <w:highlight w:val="none"/>
                <w:lang w:bidi="ar"/>
              </w:rPr>
              <w:t xml:space="preserve">     </w:t>
            </w:r>
            <w:r>
              <w:rPr>
                <w:rStyle w:val="156"/>
                <w:rFonts w:hint="eastAsia" w:ascii="宋体" w:hAnsi="宋体" w:eastAsia="宋体" w:cs="宋体"/>
                <w:color w:val="auto"/>
                <w:sz w:val="24"/>
                <w:szCs w:val="24"/>
                <w:highlight w:val="none"/>
                <w:lang w:bidi="ar"/>
              </w:rPr>
              <w:t>年</w:t>
            </w:r>
            <w:r>
              <w:rPr>
                <w:rStyle w:val="153"/>
                <w:rFonts w:hint="eastAsia" w:ascii="宋体" w:hAnsi="宋体" w:eastAsia="宋体" w:cs="宋体"/>
                <w:color w:val="auto"/>
                <w:sz w:val="24"/>
                <w:szCs w:val="24"/>
                <w:highlight w:val="none"/>
                <w:lang w:bidi="ar"/>
              </w:rPr>
              <w:t xml:space="preserve"> </w:t>
            </w:r>
            <w:r>
              <w:rPr>
                <w:rStyle w:val="153"/>
                <w:rFonts w:hint="eastAsia" w:ascii="宋体" w:hAnsi="宋体" w:eastAsia="宋体" w:cs="宋体"/>
                <w:color w:val="auto"/>
                <w:sz w:val="24"/>
                <w:szCs w:val="24"/>
                <w:highlight w:val="none"/>
                <w:lang w:val="en-US" w:eastAsia="zh-CN" w:bidi="ar"/>
              </w:rPr>
              <w:t xml:space="preserve"> </w:t>
            </w:r>
            <w:r>
              <w:rPr>
                <w:rStyle w:val="153"/>
                <w:rFonts w:hint="eastAsia" w:ascii="宋体" w:hAnsi="宋体" w:eastAsia="宋体" w:cs="宋体"/>
                <w:color w:val="auto"/>
                <w:sz w:val="24"/>
                <w:szCs w:val="24"/>
                <w:highlight w:val="none"/>
                <w:lang w:bidi="ar"/>
              </w:rPr>
              <w:t xml:space="preserve">  </w:t>
            </w:r>
            <w:r>
              <w:rPr>
                <w:rStyle w:val="156"/>
                <w:rFonts w:hint="eastAsia" w:ascii="宋体" w:hAnsi="宋体" w:eastAsia="宋体" w:cs="宋体"/>
                <w:color w:val="auto"/>
                <w:sz w:val="24"/>
                <w:szCs w:val="24"/>
                <w:highlight w:val="none"/>
                <w:lang w:bidi="ar"/>
              </w:rPr>
              <w:t>月</w:t>
            </w:r>
            <w:r>
              <w:rPr>
                <w:rStyle w:val="153"/>
                <w:rFonts w:hint="eastAsia" w:ascii="宋体" w:hAnsi="宋体" w:eastAsia="宋体" w:cs="宋体"/>
                <w:color w:val="auto"/>
                <w:sz w:val="24"/>
                <w:szCs w:val="24"/>
                <w:highlight w:val="none"/>
                <w:lang w:bidi="ar"/>
              </w:rPr>
              <w:t xml:space="preserve"> </w:t>
            </w:r>
            <w:r>
              <w:rPr>
                <w:rStyle w:val="153"/>
                <w:rFonts w:hint="eastAsia" w:ascii="宋体" w:hAnsi="宋体" w:eastAsia="宋体" w:cs="宋体"/>
                <w:color w:val="auto"/>
                <w:sz w:val="24"/>
                <w:szCs w:val="24"/>
                <w:highlight w:val="none"/>
                <w:lang w:val="en-US" w:eastAsia="zh-CN" w:bidi="ar"/>
              </w:rPr>
              <w:t xml:space="preserve"> </w:t>
            </w:r>
            <w:r>
              <w:rPr>
                <w:rStyle w:val="153"/>
                <w:rFonts w:hint="eastAsia" w:ascii="宋体" w:hAnsi="宋体" w:eastAsia="宋体" w:cs="宋体"/>
                <w:color w:val="auto"/>
                <w:sz w:val="24"/>
                <w:szCs w:val="24"/>
                <w:highlight w:val="none"/>
                <w:lang w:bidi="ar"/>
              </w:rPr>
              <w:t xml:space="preserve">  </w:t>
            </w:r>
            <w:r>
              <w:rPr>
                <w:rStyle w:val="156"/>
                <w:rFonts w:hint="eastAsia" w:ascii="宋体" w:hAnsi="宋体" w:eastAsia="宋体" w:cs="宋体"/>
                <w:color w:val="auto"/>
                <w:sz w:val="24"/>
                <w:szCs w:val="24"/>
                <w:highlight w:val="none"/>
                <w:lang w:bidi="ar"/>
              </w:rPr>
              <w:t xml:space="preserve">日     </w:t>
            </w:r>
          </w:p>
        </w:tc>
      </w:tr>
    </w:tbl>
    <w:p w14:paraId="129A26E5">
      <w:pPr>
        <w:pStyle w:val="2"/>
        <w:ind w:left="0" w:leftChars="0" w:firstLine="0" w:firstLineChars="0"/>
        <w:rPr>
          <w:rFonts w:hint="eastAsia" w:ascii="宋体" w:hAnsi="宋体" w:eastAsia="宋体" w:cs="宋体"/>
          <w:color w:val="auto"/>
          <w:sz w:val="32"/>
          <w:szCs w:val="32"/>
          <w:highlight w:val="none"/>
        </w:rPr>
      </w:pPr>
    </w:p>
    <w:p w14:paraId="0E2AC145">
      <w:pPr>
        <w:pStyle w:val="2"/>
        <w:ind w:left="0" w:leftChars="0" w:firstLine="0" w:firstLineChars="0"/>
        <w:rPr>
          <w:rFonts w:hint="eastAsia" w:ascii="宋体" w:hAnsi="宋体" w:eastAsia="宋体" w:cs="宋体"/>
          <w:color w:val="auto"/>
          <w:sz w:val="32"/>
          <w:szCs w:val="32"/>
          <w:highlight w:val="none"/>
        </w:rPr>
      </w:pPr>
    </w:p>
    <w:p w14:paraId="638855D6">
      <w:pPr>
        <w:pStyle w:val="2"/>
        <w:ind w:left="0" w:leftChars="0" w:firstLine="0" w:firstLineChars="0"/>
        <w:rPr>
          <w:rFonts w:hint="eastAsia" w:ascii="宋体" w:hAnsi="宋体" w:eastAsia="宋体" w:cs="宋体"/>
          <w:color w:val="auto"/>
          <w:sz w:val="32"/>
          <w:szCs w:val="32"/>
          <w:highlight w:val="none"/>
        </w:rPr>
      </w:pPr>
    </w:p>
    <w:p w14:paraId="7F47CD82">
      <w:pPr>
        <w:pStyle w:val="2"/>
        <w:ind w:left="0" w:leftChars="0" w:firstLine="0" w:firstLineChars="0"/>
        <w:rPr>
          <w:rFonts w:hint="eastAsia" w:ascii="宋体" w:hAnsi="宋体" w:eastAsia="宋体" w:cs="宋体"/>
          <w:color w:val="auto"/>
          <w:highlight w:val="none"/>
        </w:rPr>
      </w:pPr>
      <w:r>
        <w:rPr>
          <w:rFonts w:hint="eastAsia" w:ascii="宋体" w:hAnsi="宋体" w:eastAsia="宋体" w:cs="宋体"/>
          <w:color w:val="auto"/>
          <w:sz w:val="32"/>
          <w:szCs w:val="32"/>
          <w:highlight w:val="none"/>
        </w:rPr>
        <w:t>附件</w:t>
      </w:r>
      <w:r>
        <w:rPr>
          <w:rFonts w:hint="eastAsia" w:ascii="宋体" w:hAnsi="宋体" w:eastAsia="宋体" w:cs="宋体"/>
          <w:color w:val="auto"/>
          <w:sz w:val="32"/>
          <w:szCs w:val="32"/>
          <w:highlight w:val="none"/>
          <w:lang w:val="en-US" w:eastAsia="zh-CN"/>
        </w:rPr>
        <w:t>3</w:t>
      </w:r>
      <w:r>
        <w:rPr>
          <w:rFonts w:hint="eastAsia" w:ascii="宋体" w:hAnsi="宋体" w:eastAsia="宋体" w:cs="宋体"/>
          <w:color w:val="auto"/>
          <w:sz w:val="32"/>
          <w:szCs w:val="32"/>
          <w:highlight w:val="none"/>
        </w:rPr>
        <w:t>：</w:t>
      </w:r>
    </w:p>
    <w:tbl>
      <w:tblPr>
        <w:tblStyle w:val="45"/>
        <w:tblW w:w="9998" w:type="dxa"/>
        <w:jc w:val="center"/>
        <w:tblLayout w:type="fixed"/>
        <w:tblCellMar>
          <w:top w:w="0" w:type="dxa"/>
          <w:left w:w="0" w:type="dxa"/>
          <w:bottom w:w="0" w:type="dxa"/>
          <w:right w:w="0" w:type="dxa"/>
        </w:tblCellMar>
      </w:tblPr>
      <w:tblGrid>
        <w:gridCol w:w="556"/>
        <w:gridCol w:w="1084"/>
        <w:gridCol w:w="2670"/>
        <w:gridCol w:w="570"/>
        <w:gridCol w:w="596"/>
        <w:gridCol w:w="927"/>
        <w:gridCol w:w="3595"/>
      </w:tblGrid>
      <w:tr w14:paraId="571FAAC0">
        <w:tblPrEx>
          <w:tblCellMar>
            <w:top w:w="0" w:type="dxa"/>
            <w:left w:w="0" w:type="dxa"/>
            <w:bottom w:w="0" w:type="dxa"/>
            <w:right w:w="0" w:type="dxa"/>
          </w:tblCellMar>
        </w:tblPrEx>
        <w:trPr>
          <w:trHeight w:val="435" w:hRule="atLeast"/>
          <w:jc w:val="center"/>
        </w:trPr>
        <w:tc>
          <w:tcPr>
            <w:tcW w:w="9998" w:type="dxa"/>
            <w:gridSpan w:val="7"/>
            <w:tcBorders>
              <w:top w:val="nil"/>
              <w:left w:val="nil"/>
              <w:bottom w:val="single" w:color="000000" w:sz="4" w:space="0"/>
              <w:right w:val="nil"/>
            </w:tcBorders>
            <w:noWrap w:val="0"/>
            <w:tcMar>
              <w:top w:w="15" w:type="dxa"/>
              <w:left w:w="15" w:type="dxa"/>
              <w:right w:w="15" w:type="dxa"/>
            </w:tcMar>
            <w:vAlign w:val="center"/>
          </w:tcPr>
          <w:p w14:paraId="12400A24">
            <w:pPr>
              <w:widowControl/>
              <w:jc w:val="center"/>
              <w:textAlignment w:val="center"/>
              <w:rPr>
                <w:rFonts w:hint="eastAsia" w:ascii="宋体" w:hAnsi="宋体" w:eastAsia="宋体" w:cs="宋体"/>
                <w:b/>
                <w:color w:val="auto"/>
                <w:szCs w:val="32"/>
                <w:highlight w:val="none"/>
              </w:rPr>
            </w:pPr>
            <w:r>
              <w:rPr>
                <w:rStyle w:val="155"/>
                <w:rFonts w:hint="eastAsia" w:ascii="宋体" w:hAnsi="宋体" w:eastAsia="宋体" w:cs="宋体"/>
                <w:b w:val="0"/>
                <w:color w:val="auto"/>
                <w:highlight w:val="none"/>
                <w:u w:val="single"/>
              </w:rPr>
              <w:t xml:space="preserve">   </w:t>
            </w:r>
            <w:r>
              <w:rPr>
                <w:rStyle w:val="155"/>
                <w:rFonts w:hint="eastAsia" w:ascii="宋体" w:hAnsi="宋体" w:eastAsia="宋体" w:cs="宋体"/>
                <w:b w:val="0"/>
                <w:color w:val="auto"/>
                <w:highlight w:val="none"/>
                <w:u w:val="single"/>
                <w:lang w:val="en-US" w:eastAsia="zh-CN"/>
              </w:rPr>
              <w:t xml:space="preserve">                        </w:t>
            </w:r>
            <w:r>
              <w:rPr>
                <w:rStyle w:val="155"/>
                <w:rFonts w:hint="eastAsia" w:ascii="宋体" w:hAnsi="宋体" w:eastAsia="宋体" w:cs="宋体"/>
                <w:b w:val="0"/>
                <w:color w:val="auto"/>
                <w:highlight w:val="none"/>
              </w:rPr>
              <w:t>项目结算审</w:t>
            </w:r>
            <w:r>
              <w:rPr>
                <w:rStyle w:val="155"/>
                <w:rFonts w:hint="eastAsia" w:ascii="宋体" w:hAnsi="宋体" w:eastAsia="宋体" w:cs="宋体"/>
                <w:b w:val="0"/>
                <w:color w:val="auto"/>
                <w:highlight w:val="none"/>
                <w:lang w:eastAsia="zh-CN"/>
              </w:rPr>
              <w:t>（复）</w:t>
            </w:r>
            <w:r>
              <w:rPr>
                <w:rStyle w:val="155"/>
                <w:rFonts w:hint="eastAsia" w:ascii="宋体" w:hAnsi="宋体" w:eastAsia="宋体" w:cs="宋体"/>
                <w:b w:val="0"/>
                <w:color w:val="auto"/>
                <w:highlight w:val="none"/>
              </w:rPr>
              <w:t>核</w:t>
            </w:r>
            <w:r>
              <w:rPr>
                <w:rStyle w:val="155"/>
                <w:rFonts w:hint="eastAsia" w:ascii="宋体" w:hAnsi="宋体" w:eastAsia="宋体" w:cs="宋体"/>
                <w:b w:val="0"/>
                <w:color w:val="auto"/>
                <w:highlight w:val="none"/>
                <w:lang w:eastAsia="zh-CN"/>
              </w:rPr>
              <w:t>成果质量</w:t>
            </w:r>
            <w:r>
              <w:rPr>
                <w:rStyle w:val="155"/>
                <w:rFonts w:hint="eastAsia" w:ascii="宋体" w:hAnsi="宋体" w:eastAsia="宋体" w:cs="宋体"/>
                <w:b w:val="0"/>
                <w:color w:val="auto"/>
                <w:highlight w:val="none"/>
              </w:rPr>
              <w:t>考核表</w:t>
            </w:r>
          </w:p>
        </w:tc>
      </w:tr>
      <w:tr w14:paraId="6C3617A1">
        <w:tblPrEx>
          <w:tblCellMar>
            <w:top w:w="0" w:type="dxa"/>
            <w:left w:w="0" w:type="dxa"/>
            <w:bottom w:w="0" w:type="dxa"/>
            <w:right w:w="0" w:type="dxa"/>
          </w:tblCellMar>
        </w:tblPrEx>
        <w:trPr>
          <w:trHeight w:val="90" w:hRule="atLeast"/>
          <w:jc w:val="center"/>
        </w:trPr>
        <w:tc>
          <w:tcPr>
            <w:tcW w:w="5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AF235C">
            <w:pPr>
              <w:widowControl/>
              <w:jc w:val="center"/>
              <w:textAlignment w:val="center"/>
              <w:rPr>
                <w:rFonts w:hint="eastAsia" w:ascii="宋体" w:hAnsi="宋体" w:eastAsia="宋体" w:cs="宋体"/>
                <w:b/>
                <w:color w:val="auto"/>
                <w:sz w:val="22"/>
                <w:szCs w:val="22"/>
                <w:highlight w:val="none"/>
                <w:lang w:eastAsia="zh-CN"/>
              </w:rPr>
            </w:pPr>
            <w:r>
              <w:rPr>
                <w:rFonts w:hint="eastAsia" w:ascii="宋体" w:hAnsi="宋体" w:eastAsia="宋体" w:cs="宋体"/>
                <w:b/>
                <w:color w:val="auto"/>
                <w:kern w:val="0"/>
                <w:sz w:val="22"/>
                <w:szCs w:val="22"/>
                <w:highlight w:val="none"/>
                <w:lang w:eastAsia="zh-CN"/>
              </w:rPr>
              <w:t>序号</w:t>
            </w:r>
          </w:p>
        </w:tc>
        <w:tc>
          <w:tcPr>
            <w:tcW w:w="10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54DF4A">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rPr>
              <w:t>指标</w:t>
            </w:r>
          </w:p>
        </w:tc>
        <w:tc>
          <w:tcPr>
            <w:tcW w:w="26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FE62F9">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rPr>
              <w:t>内容</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B6727D">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rPr>
              <w:t>总分</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429F8C">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rPr>
              <w:t>得分</w:t>
            </w:r>
          </w:p>
        </w:tc>
        <w:tc>
          <w:tcPr>
            <w:tcW w:w="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475BA5">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rPr>
              <w:t>打分说明</w:t>
            </w:r>
          </w:p>
        </w:tc>
        <w:tc>
          <w:tcPr>
            <w:tcW w:w="3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85172F">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rPr>
              <w:t>备注</w:t>
            </w:r>
          </w:p>
        </w:tc>
      </w:tr>
      <w:tr w14:paraId="5DF2E569">
        <w:tblPrEx>
          <w:tblCellMar>
            <w:top w:w="0" w:type="dxa"/>
            <w:left w:w="0" w:type="dxa"/>
            <w:bottom w:w="0" w:type="dxa"/>
            <w:right w:w="0" w:type="dxa"/>
          </w:tblCellMar>
        </w:tblPrEx>
        <w:trPr>
          <w:trHeight w:val="1200" w:hRule="atLeast"/>
          <w:jc w:val="center"/>
        </w:trPr>
        <w:tc>
          <w:tcPr>
            <w:tcW w:w="556"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72BAA716">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一</w:t>
            </w:r>
          </w:p>
        </w:tc>
        <w:tc>
          <w:tcPr>
            <w:tcW w:w="1084"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1835DD6B">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审核人员履职情况</w:t>
            </w:r>
          </w:p>
        </w:tc>
        <w:tc>
          <w:tcPr>
            <w:tcW w:w="26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45D2B0">
            <w:pPr>
              <w:widowControl/>
              <w:spacing w:line="400" w:lineRule="exact"/>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bidi="ar"/>
              </w:rPr>
              <w:t>人员能力是否具备胜任本项目需要</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447A8A">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CF43EE">
            <w:pPr>
              <w:jc w:val="left"/>
              <w:rPr>
                <w:rFonts w:hint="eastAsia" w:ascii="宋体" w:hAnsi="宋体" w:eastAsia="宋体" w:cs="宋体"/>
                <w:color w:val="auto"/>
                <w:sz w:val="24"/>
                <w:szCs w:val="24"/>
                <w:highlight w:val="none"/>
              </w:rPr>
            </w:pPr>
          </w:p>
        </w:tc>
        <w:tc>
          <w:tcPr>
            <w:tcW w:w="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14285A">
            <w:pPr>
              <w:jc w:val="left"/>
              <w:rPr>
                <w:rFonts w:hint="eastAsia" w:ascii="宋体" w:hAnsi="宋体" w:eastAsia="宋体" w:cs="宋体"/>
                <w:color w:val="auto"/>
                <w:sz w:val="24"/>
                <w:szCs w:val="24"/>
                <w:highlight w:val="none"/>
              </w:rPr>
            </w:pPr>
          </w:p>
        </w:tc>
        <w:tc>
          <w:tcPr>
            <w:tcW w:w="3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3C6543">
            <w:pPr>
              <w:widowControl/>
              <w:spacing w:line="40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审核负责人、现场记录人员与任命文</w:t>
            </w:r>
            <w:r>
              <w:rPr>
                <w:rFonts w:hint="eastAsia" w:ascii="宋体" w:hAnsi="宋体" w:eastAsia="宋体" w:cs="宋体"/>
                <w:color w:val="auto"/>
                <w:kern w:val="0"/>
                <w:sz w:val="21"/>
                <w:szCs w:val="21"/>
                <w:highlight w:val="none"/>
                <w:lang w:eastAsia="zh-CN"/>
              </w:rPr>
              <w:t>（投标文件）</w:t>
            </w:r>
            <w:r>
              <w:rPr>
                <w:rFonts w:hint="eastAsia" w:ascii="宋体" w:hAnsi="宋体" w:eastAsia="宋体" w:cs="宋体"/>
                <w:color w:val="auto"/>
                <w:kern w:val="0"/>
                <w:sz w:val="21"/>
                <w:szCs w:val="21"/>
                <w:highlight w:val="none"/>
              </w:rPr>
              <w:t>是否一致，</w:t>
            </w:r>
            <w:r>
              <w:rPr>
                <w:rFonts w:hint="eastAsia" w:ascii="宋体" w:hAnsi="宋体" w:eastAsia="宋体" w:cs="宋体"/>
                <w:color w:val="auto"/>
                <w:kern w:val="0"/>
                <w:sz w:val="21"/>
                <w:szCs w:val="21"/>
                <w:highlight w:val="none"/>
                <w:lang w:eastAsia="zh-CN"/>
              </w:rPr>
              <w:t>若出现</w:t>
            </w:r>
            <w:r>
              <w:rPr>
                <w:rFonts w:hint="eastAsia" w:ascii="宋体" w:hAnsi="宋体" w:eastAsia="宋体" w:cs="宋体"/>
                <w:color w:val="auto"/>
                <w:sz w:val="21"/>
                <w:szCs w:val="21"/>
                <w:highlight w:val="none"/>
              </w:rPr>
              <w:t>不一致</w:t>
            </w:r>
            <w:r>
              <w:rPr>
                <w:rFonts w:hint="eastAsia" w:ascii="宋体" w:hAnsi="宋体" w:eastAsia="宋体" w:cs="宋体"/>
                <w:color w:val="auto"/>
                <w:sz w:val="21"/>
                <w:szCs w:val="21"/>
                <w:highlight w:val="none"/>
                <w:lang w:eastAsia="zh-CN"/>
              </w:rPr>
              <w:t>或</w:t>
            </w:r>
            <w:r>
              <w:rPr>
                <w:rFonts w:hint="eastAsia" w:ascii="宋体" w:hAnsi="宋体" w:eastAsia="宋体" w:cs="宋体"/>
                <w:color w:val="auto"/>
                <w:kern w:val="0"/>
                <w:sz w:val="21"/>
                <w:szCs w:val="21"/>
                <w:highlight w:val="none"/>
              </w:rPr>
              <w:t>冒名顶替情况</w:t>
            </w:r>
            <w:r>
              <w:rPr>
                <w:rFonts w:hint="eastAsia" w:ascii="宋体" w:hAnsi="宋体" w:eastAsia="宋体" w:cs="宋体"/>
                <w:color w:val="auto"/>
                <w:sz w:val="21"/>
                <w:szCs w:val="21"/>
                <w:highlight w:val="none"/>
              </w:rPr>
              <w:t>的，本项得0分。</w:t>
            </w:r>
          </w:p>
        </w:tc>
      </w:tr>
      <w:tr w14:paraId="57C2C547">
        <w:tblPrEx>
          <w:tblCellMar>
            <w:top w:w="0" w:type="dxa"/>
            <w:left w:w="0" w:type="dxa"/>
            <w:bottom w:w="0" w:type="dxa"/>
            <w:right w:w="0" w:type="dxa"/>
          </w:tblCellMar>
        </w:tblPrEx>
        <w:trPr>
          <w:trHeight w:val="4451" w:hRule="atLeast"/>
          <w:jc w:val="center"/>
        </w:trPr>
        <w:tc>
          <w:tcPr>
            <w:tcW w:w="556" w:type="dxa"/>
            <w:vMerge w:val="continue"/>
            <w:tcBorders>
              <w:left w:val="single" w:color="000000" w:sz="4" w:space="0"/>
              <w:bottom w:val="single" w:color="auto" w:sz="4" w:space="0"/>
              <w:right w:val="single" w:color="000000" w:sz="4" w:space="0"/>
            </w:tcBorders>
            <w:noWrap w:val="0"/>
            <w:tcMar>
              <w:top w:w="15" w:type="dxa"/>
              <w:left w:w="15" w:type="dxa"/>
              <w:right w:w="15" w:type="dxa"/>
            </w:tcMar>
            <w:vAlign w:val="center"/>
          </w:tcPr>
          <w:p w14:paraId="34F6DB4A">
            <w:pPr>
              <w:widowControl/>
              <w:jc w:val="center"/>
              <w:textAlignment w:val="center"/>
              <w:rPr>
                <w:rFonts w:hint="eastAsia" w:ascii="宋体" w:hAnsi="宋体" w:eastAsia="宋体" w:cs="宋体"/>
                <w:color w:val="auto"/>
                <w:kern w:val="0"/>
                <w:sz w:val="24"/>
                <w:szCs w:val="24"/>
                <w:highlight w:val="none"/>
              </w:rPr>
            </w:pPr>
          </w:p>
        </w:tc>
        <w:tc>
          <w:tcPr>
            <w:tcW w:w="1084" w:type="dxa"/>
            <w:vMerge w:val="continue"/>
            <w:tcBorders>
              <w:left w:val="single" w:color="000000" w:sz="4" w:space="0"/>
              <w:bottom w:val="single" w:color="auto" w:sz="4" w:space="0"/>
              <w:right w:val="single" w:color="000000" w:sz="4" w:space="0"/>
            </w:tcBorders>
            <w:noWrap w:val="0"/>
            <w:tcMar>
              <w:top w:w="15" w:type="dxa"/>
              <w:left w:w="15" w:type="dxa"/>
              <w:right w:w="15" w:type="dxa"/>
            </w:tcMar>
            <w:vAlign w:val="center"/>
          </w:tcPr>
          <w:p w14:paraId="5C13A23D">
            <w:pPr>
              <w:widowControl/>
              <w:jc w:val="center"/>
              <w:textAlignment w:val="center"/>
              <w:rPr>
                <w:rFonts w:hint="eastAsia" w:ascii="宋体" w:hAnsi="宋体" w:eastAsia="宋体" w:cs="宋体"/>
                <w:color w:val="auto"/>
                <w:kern w:val="0"/>
                <w:sz w:val="24"/>
                <w:szCs w:val="24"/>
                <w:highlight w:val="none"/>
              </w:rPr>
            </w:pPr>
          </w:p>
        </w:tc>
        <w:tc>
          <w:tcPr>
            <w:tcW w:w="267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0473C692">
            <w:pPr>
              <w:widowControl/>
              <w:spacing w:line="400" w:lineRule="exact"/>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2.是否按时限完成结算</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44A00D">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7D6668">
            <w:pPr>
              <w:jc w:val="left"/>
              <w:rPr>
                <w:rFonts w:hint="eastAsia" w:ascii="宋体" w:hAnsi="宋体" w:eastAsia="宋体" w:cs="宋体"/>
                <w:color w:val="auto"/>
                <w:sz w:val="24"/>
                <w:szCs w:val="24"/>
                <w:highlight w:val="none"/>
              </w:rPr>
            </w:pPr>
          </w:p>
        </w:tc>
        <w:tc>
          <w:tcPr>
            <w:tcW w:w="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A1C55B">
            <w:pPr>
              <w:jc w:val="left"/>
              <w:rPr>
                <w:rFonts w:hint="eastAsia" w:ascii="宋体" w:hAnsi="宋体" w:eastAsia="宋体" w:cs="宋体"/>
                <w:color w:val="auto"/>
                <w:sz w:val="24"/>
                <w:szCs w:val="24"/>
                <w:highlight w:val="none"/>
              </w:rPr>
            </w:pPr>
          </w:p>
        </w:tc>
        <w:tc>
          <w:tcPr>
            <w:tcW w:w="3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DA7F50">
            <w:pPr>
              <w:widowControl/>
              <w:spacing w:line="400" w:lineRule="exact"/>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结算审核单位</w:t>
            </w:r>
            <w:r>
              <w:rPr>
                <w:rFonts w:hint="eastAsia" w:ascii="宋体" w:hAnsi="宋体" w:eastAsia="宋体" w:cs="宋体"/>
                <w:color w:val="auto"/>
                <w:sz w:val="21"/>
                <w:szCs w:val="21"/>
                <w:highlight w:val="none"/>
              </w:rPr>
              <w:t>应在</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lang w:eastAsia="zh-CN"/>
              </w:rPr>
              <w:t>5000</w:t>
            </w:r>
            <w:r>
              <w:rPr>
                <w:rFonts w:hint="eastAsia" w:ascii="宋体" w:hAnsi="宋体" w:eastAsia="宋体" w:cs="宋体"/>
                <w:color w:val="auto"/>
                <w:sz w:val="21"/>
                <w:szCs w:val="21"/>
                <w:highlight w:val="none"/>
              </w:rPr>
              <w:t>万以下）或</w:t>
            </w:r>
            <w:r>
              <w:rPr>
                <w:rFonts w:hint="eastAsia" w:ascii="宋体" w:hAnsi="宋体" w:eastAsia="宋体" w:cs="宋体"/>
                <w:color w:val="auto"/>
                <w:sz w:val="21"/>
                <w:szCs w:val="21"/>
                <w:highlight w:val="none"/>
                <w:lang w:eastAsia="zh-CN"/>
              </w:rPr>
              <w:t>10</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lang w:eastAsia="zh-CN"/>
              </w:rPr>
              <w:t>5000</w:t>
            </w:r>
            <w:r>
              <w:rPr>
                <w:rFonts w:hint="eastAsia" w:ascii="宋体" w:hAnsi="宋体" w:eastAsia="宋体" w:cs="宋体"/>
                <w:color w:val="auto"/>
                <w:sz w:val="21"/>
                <w:szCs w:val="21"/>
                <w:highlight w:val="none"/>
              </w:rPr>
              <w:t>万以上）内，对施工单位报送的项目结算资料进行完整性检查，一次性书面告知，限期补充齐全。造价在</w:t>
            </w:r>
            <w:r>
              <w:rPr>
                <w:rFonts w:hint="eastAsia" w:ascii="宋体" w:hAnsi="宋体" w:eastAsia="宋体" w:cs="宋体"/>
                <w:color w:val="auto"/>
                <w:sz w:val="21"/>
                <w:szCs w:val="21"/>
                <w:highlight w:val="none"/>
                <w:lang w:eastAsia="zh-CN"/>
              </w:rPr>
              <w:t>500</w:t>
            </w:r>
            <w:r>
              <w:rPr>
                <w:rFonts w:hint="eastAsia" w:ascii="宋体" w:hAnsi="宋体" w:eastAsia="宋体" w:cs="宋体"/>
                <w:color w:val="auto"/>
                <w:sz w:val="21"/>
                <w:szCs w:val="21"/>
                <w:highlight w:val="none"/>
              </w:rPr>
              <w:t>万元以下、</w:t>
            </w:r>
            <w:r>
              <w:rPr>
                <w:rFonts w:hint="eastAsia" w:ascii="宋体" w:hAnsi="宋体" w:eastAsia="宋体" w:cs="宋体"/>
                <w:color w:val="auto"/>
                <w:sz w:val="21"/>
                <w:szCs w:val="21"/>
                <w:highlight w:val="none"/>
                <w:lang w:eastAsia="zh-CN"/>
              </w:rPr>
              <w:t>500</w:t>
            </w:r>
            <w:r>
              <w:rPr>
                <w:rFonts w:hint="eastAsia" w:ascii="宋体" w:hAnsi="宋体" w:eastAsia="宋体" w:cs="宋体"/>
                <w:color w:val="auto"/>
                <w:sz w:val="21"/>
                <w:szCs w:val="21"/>
                <w:highlight w:val="none"/>
              </w:rPr>
              <w:t>万元-</w:t>
            </w:r>
            <w:r>
              <w:rPr>
                <w:rFonts w:hint="eastAsia" w:ascii="宋体" w:hAnsi="宋体" w:eastAsia="宋体" w:cs="宋体"/>
                <w:color w:val="auto"/>
                <w:sz w:val="21"/>
                <w:szCs w:val="21"/>
                <w:highlight w:val="none"/>
                <w:lang w:eastAsia="zh-CN"/>
              </w:rPr>
              <w:t>2000</w:t>
            </w:r>
            <w:r>
              <w:rPr>
                <w:rFonts w:hint="eastAsia" w:ascii="宋体" w:hAnsi="宋体" w:eastAsia="宋体" w:cs="宋体"/>
                <w:color w:val="auto"/>
                <w:sz w:val="21"/>
                <w:szCs w:val="21"/>
                <w:highlight w:val="none"/>
              </w:rPr>
              <w:t>万元、</w:t>
            </w:r>
            <w:r>
              <w:rPr>
                <w:rFonts w:hint="eastAsia" w:ascii="宋体" w:hAnsi="宋体" w:eastAsia="宋体" w:cs="宋体"/>
                <w:color w:val="auto"/>
                <w:sz w:val="21"/>
                <w:szCs w:val="21"/>
                <w:highlight w:val="none"/>
                <w:lang w:eastAsia="zh-CN"/>
              </w:rPr>
              <w:t>2000</w:t>
            </w:r>
            <w:r>
              <w:rPr>
                <w:rFonts w:hint="eastAsia" w:ascii="宋体" w:hAnsi="宋体" w:eastAsia="宋体" w:cs="宋体"/>
                <w:color w:val="auto"/>
                <w:sz w:val="21"/>
                <w:szCs w:val="21"/>
                <w:highlight w:val="none"/>
              </w:rPr>
              <w:t>万元-</w:t>
            </w:r>
            <w:r>
              <w:rPr>
                <w:rFonts w:hint="eastAsia" w:ascii="宋体" w:hAnsi="宋体" w:eastAsia="宋体" w:cs="宋体"/>
                <w:color w:val="auto"/>
                <w:sz w:val="21"/>
                <w:szCs w:val="21"/>
                <w:highlight w:val="none"/>
                <w:lang w:eastAsia="zh-CN"/>
              </w:rPr>
              <w:t>5000</w:t>
            </w:r>
            <w:r>
              <w:rPr>
                <w:rFonts w:hint="eastAsia" w:ascii="宋体" w:hAnsi="宋体" w:eastAsia="宋体" w:cs="宋体"/>
                <w:color w:val="auto"/>
                <w:sz w:val="21"/>
                <w:szCs w:val="21"/>
                <w:highlight w:val="none"/>
              </w:rPr>
              <w:t>万元、</w:t>
            </w:r>
            <w:r>
              <w:rPr>
                <w:rFonts w:hint="eastAsia" w:ascii="宋体" w:hAnsi="宋体" w:eastAsia="宋体" w:cs="宋体"/>
                <w:color w:val="auto"/>
                <w:sz w:val="21"/>
                <w:szCs w:val="21"/>
                <w:highlight w:val="none"/>
                <w:lang w:eastAsia="zh-CN"/>
              </w:rPr>
              <w:t>5000</w:t>
            </w:r>
            <w:r>
              <w:rPr>
                <w:rFonts w:hint="eastAsia" w:ascii="宋体" w:hAnsi="宋体" w:eastAsia="宋体" w:cs="宋体"/>
                <w:color w:val="auto"/>
                <w:sz w:val="21"/>
                <w:szCs w:val="21"/>
                <w:highlight w:val="none"/>
              </w:rPr>
              <w:t>万元以上的单项工程，应</w:t>
            </w:r>
            <w:r>
              <w:rPr>
                <w:rFonts w:hint="eastAsia" w:ascii="宋体" w:hAnsi="宋体" w:eastAsia="宋体" w:cs="宋体"/>
                <w:color w:val="auto"/>
                <w:sz w:val="21"/>
                <w:szCs w:val="21"/>
                <w:highlight w:val="none"/>
                <w:lang w:eastAsia="zh-CN"/>
              </w:rPr>
              <w:t>分别</w:t>
            </w:r>
            <w:r>
              <w:rPr>
                <w:rFonts w:hint="eastAsia" w:ascii="宋体" w:hAnsi="宋体" w:eastAsia="宋体" w:cs="宋体"/>
                <w:color w:val="auto"/>
                <w:sz w:val="21"/>
                <w:szCs w:val="21"/>
                <w:highlight w:val="none"/>
              </w:rPr>
              <w:t>在施工单位报送的项目结算资料完整</w:t>
            </w:r>
            <w:r>
              <w:rPr>
                <w:rFonts w:hint="eastAsia" w:ascii="宋体" w:hAnsi="宋体" w:eastAsia="宋体" w:cs="宋体"/>
                <w:color w:val="auto"/>
                <w:sz w:val="21"/>
                <w:szCs w:val="21"/>
                <w:highlight w:val="none"/>
                <w:lang w:eastAsia="zh-CN"/>
              </w:rPr>
              <w:t>后的20</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lang w:eastAsia="zh-CN"/>
              </w:rPr>
              <w:t>30</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lang w:eastAsia="zh-CN"/>
              </w:rPr>
              <w:t>45</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lang w:eastAsia="zh-CN"/>
              </w:rPr>
              <w:t>60</w:t>
            </w:r>
            <w:r>
              <w:rPr>
                <w:rFonts w:hint="eastAsia" w:ascii="宋体" w:hAnsi="宋体" w:eastAsia="宋体" w:cs="宋体"/>
                <w:color w:val="auto"/>
                <w:sz w:val="21"/>
                <w:szCs w:val="21"/>
                <w:highlight w:val="none"/>
              </w:rPr>
              <w:t>日内完成，并出具审核报告。</w:t>
            </w:r>
            <w:r>
              <w:rPr>
                <w:rStyle w:val="152"/>
                <w:rFonts w:hint="eastAsia" w:ascii="宋体" w:hAnsi="宋体" w:eastAsia="宋体" w:cs="宋体"/>
                <w:color w:val="auto"/>
                <w:sz w:val="21"/>
                <w:szCs w:val="21"/>
                <w:highlight w:val="none"/>
                <w:lang w:eastAsia="zh-CN" w:bidi="ar"/>
              </w:rPr>
              <w:t>每延误</w:t>
            </w:r>
            <w:r>
              <w:rPr>
                <w:rStyle w:val="152"/>
                <w:rFonts w:hint="eastAsia" w:ascii="宋体" w:hAnsi="宋体" w:eastAsia="宋体" w:cs="宋体"/>
                <w:color w:val="auto"/>
                <w:sz w:val="21"/>
                <w:szCs w:val="21"/>
                <w:highlight w:val="none"/>
                <w:lang w:val="en-US" w:eastAsia="zh-CN" w:bidi="ar"/>
              </w:rPr>
              <w:t>5</w:t>
            </w:r>
            <w:r>
              <w:rPr>
                <w:rStyle w:val="152"/>
                <w:rFonts w:hint="eastAsia" w:ascii="宋体" w:hAnsi="宋体" w:eastAsia="宋体" w:cs="宋体"/>
                <w:color w:val="auto"/>
                <w:sz w:val="21"/>
                <w:szCs w:val="21"/>
                <w:highlight w:val="none"/>
                <w:lang w:eastAsia="zh-CN" w:bidi="ar"/>
              </w:rPr>
              <w:t>天扣</w:t>
            </w:r>
            <w:r>
              <w:rPr>
                <w:rStyle w:val="152"/>
                <w:rFonts w:hint="eastAsia" w:ascii="宋体" w:hAnsi="宋体" w:eastAsia="宋体" w:cs="宋体"/>
                <w:color w:val="auto"/>
                <w:sz w:val="21"/>
                <w:szCs w:val="21"/>
                <w:highlight w:val="none"/>
                <w:lang w:val="en-US" w:eastAsia="zh-CN" w:bidi="ar"/>
              </w:rPr>
              <w:t>1分，扣完为止。（本项业主代表参与打分）</w:t>
            </w:r>
          </w:p>
        </w:tc>
      </w:tr>
      <w:tr w14:paraId="560E697E">
        <w:tblPrEx>
          <w:tblCellMar>
            <w:top w:w="0" w:type="dxa"/>
            <w:left w:w="0" w:type="dxa"/>
            <w:bottom w:w="0" w:type="dxa"/>
            <w:right w:w="0" w:type="dxa"/>
          </w:tblCellMar>
        </w:tblPrEx>
        <w:trPr>
          <w:trHeight w:val="90" w:hRule="atLeast"/>
          <w:jc w:val="center"/>
        </w:trPr>
        <w:tc>
          <w:tcPr>
            <w:tcW w:w="55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C2DC1FA">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eastAsia="zh-CN"/>
              </w:rPr>
              <w:t>二</w:t>
            </w:r>
          </w:p>
        </w:tc>
        <w:tc>
          <w:tcPr>
            <w:tcW w:w="1084"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8AE4490">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eastAsia="zh-CN"/>
              </w:rPr>
              <w:t>结算</w:t>
            </w:r>
            <w:r>
              <w:rPr>
                <w:rFonts w:hint="eastAsia" w:ascii="宋体" w:hAnsi="宋体" w:eastAsia="宋体" w:cs="宋体"/>
                <w:color w:val="auto"/>
                <w:kern w:val="0"/>
                <w:sz w:val="24"/>
                <w:szCs w:val="24"/>
                <w:highlight w:val="none"/>
              </w:rPr>
              <w:t>资料完整性</w:t>
            </w:r>
          </w:p>
        </w:tc>
        <w:tc>
          <w:tcPr>
            <w:tcW w:w="26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A3F8F4E">
            <w:pPr>
              <w:widowControl/>
              <w:spacing w:line="400" w:lineRule="exact"/>
              <w:jc w:val="both"/>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资料是否齐全</w:t>
            </w:r>
          </w:p>
        </w:tc>
        <w:tc>
          <w:tcPr>
            <w:tcW w:w="57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70183E66">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rPr>
              <w:t>10</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17B1CB">
            <w:pPr>
              <w:jc w:val="center"/>
              <w:rPr>
                <w:rFonts w:hint="eastAsia" w:ascii="宋体" w:hAnsi="宋体" w:eastAsia="宋体" w:cs="宋体"/>
                <w:color w:val="auto"/>
                <w:sz w:val="24"/>
                <w:szCs w:val="24"/>
                <w:highlight w:val="none"/>
              </w:rPr>
            </w:pPr>
          </w:p>
        </w:tc>
        <w:tc>
          <w:tcPr>
            <w:tcW w:w="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0EBD23">
            <w:pPr>
              <w:jc w:val="center"/>
              <w:rPr>
                <w:rFonts w:hint="eastAsia" w:ascii="宋体" w:hAnsi="宋体" w:eastAsia="宋体" w:cs="宋体"/>
                <w:color w:val="auto"/>
                <w:sz w:val="24"/>
                <w:szCs w:val="24"/>
                <w:highlight w:val="none"/>
              </w:rPr>
            </w:pPr>
          </w:p>
        </w:tc>
        <w:tc>
          <w:tcPr>
            <w:tcW w:w="3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F1B2C1">
            <w:pPr>
              <w:widowControl/>
              <w:spacing w:line="40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招标文件</w:t>
            </w:r>
            <w:r>
              <w:rPr>
                <w:rFonts w:hint="eastAsia" w:ascii="宋体" w:hAnsi="宋体" w:eastAsia="宋体" w:cs="宋体"/>
                <w:color w:val="auto"/>
                <w:sz w:val="21"/>
                <w:szCs w:val="21"/>
                <w:highlight w:val="none"/>
                <w:lang w:eastAsia="zh-CN"/>
              </w:rPr>
              <w:t>、工程量清单及</w:t>
            </w:r>
            <w:r>
              <w:rPr>
                <w:rFonts w:hint="eastAsia" w:ascii="宋体" w:hAnsi="宋体" w:eastAsia="宋体" w:cs="宋体"/>
                <w:color w:val="auto"/>
                <w:sz w:val="21"/>
                <w:szCs w:val="21"/>
                <w:highlight w:val="none"/>
              </w:rPr>
              <w:t>最高投标限价、投标文件、施工合同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工程计量单、第三方测量报告</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现场计录单、影像资料、变更申请表、会议纪要、工期延期审批报告、竣工图纸、竣工验收报告、竣工结算报告书、项目移交资料等资料是否齐全。每少一</w:t>
            </w:r>
            <w:r>
              <w:rPr>
                <w:rFonts w:hint="eastAsia" w:ascii="宋体" w:hAnsi="宋体" w:eastAsia="宋体" w:cs="宋体"/>
                <w:color w:val="auto"/>
                <w:sz w:val="21"/>
                <w:szCs w:val="21"/>
                <w:highlight w:val="none"/>
                <w:lang w:eastAsia="zh-CN"/>
              </w:rPr>
              <w:t>项</w:t>
            </w:r>
            <w:r>
              <w:rPr>
                <w:rFonts w:hint="eastAsia" w:ascii="宋体" w:hAnsi="宋体" w:eastAsia="宋体" w:cs="宋体"/>
                <w:color w:val="auto"/>
                <w:sz w:val="21"/>
                <w:szCs w:val="21"/>
                <w:highlight w:val="none"/>
              </w:rPr>
              <w:t>资料扣1分，扣完为止</w:t>
            </w:r>
            <w:r>
              <w:rPr>
                <w:rFonts w:hint="eastAsia" w:ascii="宋体" w:hAnsi="宋体" w:eastAsia="宋体" w:cs="宋体"/>
                <w:color w:val="auto"/>
                <w:sz w:val="21"/>
                <w:szCs w:val="21"/>
                <w:highlight w:val="none"/>
                <w:lang w:eastAsia="zh-CN"/>
              </w:rPr>
              <w:t>，资料不齐全的酌情扣分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（本项第三方复审单位未尽检查提醒义务的予以扣分）</w:t>
            </w:r>
          </w:p>
        </w:tc>
      </w:tr>
      <w:tr w14:paraId="380276B7">
        <w:tblPrEx>
          <w:tblCellMar>
            <w:top w:w="0" w:type="dxa"/>
            <w:left w:w="0" w:type="dxa"/>
            <w:bottom w:w="0" w:type="dxa"/>
            <w:right w:w="0" w:type="dxa"/>
          </w:tblCellMar>
        </w:tblPrEx>
        <w:trPr>
          <w:trHeight w:val="3175" w:hRule="atLeast"/>
          <w:jc w:val="center"/>
        </w:trPr>
        <w:tc>
          <w:tcPr>
            <w:tcW w:w="556" w:type="dxa"/>
            <w:vMerge w:val="continue"/>
            <w:tcBorders>
              <w:top w:val="single" w:color="auto"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5439447F">
            <w:pPr>
              <w:jc w:val="center"/>
              <w:rPr>
                <w:rFonts w:hint="eastAsia" w:ascii="宋体" w:hAnsi="宋体" w:eastAsia="宋体" w:cs="宋体"/>
                <w:color w:val="auto"/>
                <w:sz w:val="24"/>
                <w:szCs w:val="24"/>
                <w:highlight w:val="none"/>
              </w:rPr>
            </w:pPr>
          </w:p>
        </w:tc>
        <w:tc>
          <w:tcPr>
            <w:tcW w:w="1084" w:type="dxa"/>
            <w:vMerge w:val="continue"/>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C82D3B">
            <w:pPr>
              <w:jc w:val="center"/>
              <w:rPr>
                <w:rFonts w:hint="eastAsia" w:ascii="宋体" w:hAnsi="宋体" w:eastAsia="宋体" w:cs="宋体"/>
                <w:color w:val="auto"/>
                <w:sz w:val="24"/>
                <w:szCs w:val="24"/>
                <w:highlight w:val="none"/>
              </w:rPr>
            </w:pPr>
          </w:p>
        </w:tc>
        <w:tc>
          <w:tcPr>
            <w:tcW w:w="267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3D0CD0">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结算</w:t>
            </w:r>
            <w:r>
              <w:rPr>
                <w:rFonts w:hint="eastAsia" w:ascii="宋体" w:hAnsi="宋体" w:eastAsia="宋体" w:cs="宋体"/>
                <w:color w:val="auto"/>
                <w:sz w:val="24"/>
                <w:szCs w:val="24"/>
                <w:highlight w:val="none"/>
              </w:rPr>
              <w:t xml:space="preserve">资料是否装订整齐 </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9A0A3B">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E7A78D">
            <w:pPr>
              <w:jc w:val="center"/>
              <w:rPr>
                <w:rFonts w:hint="eastAsia" w:ascii="宋体" w:hAnsi="宋体" w:eastAsia="宋体" w:cs="宋体"/>
                <w:color w:val="auto"/>
                <w:sz w:val="24"/>
                <w:szCs w:val="24"/>
                <w:highlight w:val="none"/>
              </w:rPr>
            </w:pPr>
          </w:p>
        </w:tc>
        <w:tc>
          <w:tcPr>
            <w:tcW w:w="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1FD7A2">
            <w:pPr>
              <w:jc w:val="center"/>
              <w:rPr>
                <w:rFonts w:hint="eastAsia" w:ascii="宋体" w:hAnsi="宋体" w:eastAsia="宋体" w:cs="宋体"/>
                <w:color w:val="auto"/>
                <w:sz w:val="24"/>
                <w:szCs w:val="24"/>
                <w:highlight w:val="none"/>
              </w:rPr>
            </w:pPr>
          </w:p>
        </w:tc>
        <w:tc>
          <w:tcPr>
            <w:tcW w:w="3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1B4969">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计量资料有目录、编码，</w:t>
            </w:r>
            <w:r>
              <w:rPr>
                <w:rFonts w:hint="eastAsia" w:ascii="宋体" w:hAnsi="宋体" w:eastAsia="宋体" w:cs="宋体"/>
                <w:color w:val="auto"/>
                <w:sz w:val="21"/>
                <w:szCs w:val="21"/>
                <w:highlight w:val="none"/>
              </w:rPr>
              <w:t>工程计量单、现场记录单、影像</w:t>
            </w:r>
            <w:r>
              <w:rPr>
                <w:rFonts w:hint="eastAsia" w:ascii="宋体" w:hAnsi="宋体" w:eastAsia="宋体" w:cs="宋体"/>
                <w:color w:val="auto"/>
                <w:sz w:val="21"/>
                <w:szCs w:val="21"/>
                <w:highlight w:val="none"/>
                <w:lang w:eastAsia="zh-CN"/>
              </w:rPr>
              <w:t>资料需一一对应，变更资料中</w:t>
            </w:r>
            <w:r>
              <w:rPr>
                <w:rFonts w:hint="eastAsia" w:ascii="宋体" w:hAnsi="宋体" w:eastAsia="宋体" w:cs="宋体"/>
                <w:color w:val="auto"/>
                <w:sz w:val="21"/>
                <w:szCs w:val="21"/>
                <w:highlight w:val="none"/>
              </w:rPr>
              <w:t>变更申请表、会议纪要、联系单、计量单、现场记录、影像资料</w:t>
            </w:r>
            <w:r>
              <w:rPr>
                <w:rFonts w:hint="eastAsia" w:ascii="宋体" w:hAnsi="宋体" w:eastAsia="宋体" w:cs="宋体"/>
                <w:color w:val="auto"/>
                <w:sz w:val="21"/>
                <w:szCs w:val="21"/>
                <w:highlight w:val="none"/>
                <w:lang w:eastAsia="zh-CN"/>
              </w:rPr>
              <w:t>需一一对应，</w:t>
            </w:r>
            <w:r>
              <w:rPr>
                <w:rFonts w:hint="eastAsia" w:ascii="宋体" w:hAnsi="宋体" w:eastAsia="宋体" w:cs="宋体"/>
                <w:color w:val="auto"/>
                <w:sz w:val="21"/>
                <w:szCs w:val="21"/>
                <w:highlight w:val="none"/>
              </w:rPr>
              <w:t>根据资料装订情况，差</w:t>
            </w:r>
            <w:r>
              <w:rPr>
                <w:rFonts w:hint="eastAsia" w:ascii="宋体" w:hAnsi="宋体" w:eastAsia="宋体" w:cs="宋体"/>
                <w:color w:val="auto"/>
                <w:kern w:val="0"/>
                <w:sz w:val="21"/>
                <w:szCs w:val="21"/>
                <w:highlight w:val="none"/>
              </w:rPr>
              <w:t>0分、一般</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分、较好</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分，很好</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分</w:t>
            </w:r>
            <w:r>
              <w:rPr>
                <w:rFonts w:hint="eastAsia" w:ascii="宋体" w:hAnsi="宋体" w:eastAsia="宋体" w:cs="宋体"/>
                <w:color w:val="auto"/>
                <w:sz w:val="21"/>
                <w:szCs w:val="21"/>
                <w:highlight w:val="none"/>
                <w:lang w:eastAsia="zh-CN"/>
              </w:rPr>
              <w:t>（本项第三方复审单位未尽检查提醒义务的予以扣分）</w:t>
            </w:r>
          </w:p>
        </w:tc>
      </w:tr>
      <w:tr w14:paraId="7EB0DCFC">
        <w:tblPrEx>
          <w:tblCellMar>
            <w:top w:w="0" w:type="dxa"/>
            <w:left w:w="0" w:type="dxa"/>
            <w:bottom w:w="0" w:type="dxa"/>
            <w:right w:w="0" w:type="dxa"/>
          </w:tblCellMar>
        </w:tblPrEx>
        <w:trPr>
          <w:trHeight w:val="1202" w:hRule="atLeast"/>
          <w:jc w:val="center"/>
        </w:trPr>
        <w:tc>
          <w:tcPr>
            <w:tcW w:w="556"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63370E29">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eastAsia="zh-CN"/>
              </w:rPr>
              <w:t>三</w:t>
            </w:r>
          </w:p>
        </w:tc>
        <w:tc>
          <w:tcPr>
            <w:tcW w:w="1084"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05F927CD">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工程计量</w:t>
            </w:r>
          </w:p>
        </w:tc>
        <w:tc>
          <w:tcPr>
            <w:tcW w:w="26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603EA9">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1.签字盖章是否齐全</w:t>
            </w:r>
            <w:r>
              <w:rPr>
                <w:rFonts w:hint="eastAsia" w:ascii="宋体" w:hAnsi="宋体" w:eastAsia="宋体" w:cs="宋体"/>
                <w:color w:val="auto"/>
                <w:sz w:val="24"/>
                <w:szCs w:val="24"/>
                <w:highlight w:val="none"/>
              </w:rPr>
              <w:t xml:space="preserve"> </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753865">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01848F">
            <w:pPr>
              <w:jc w:val="left"/>
              <w:rPr>
                <w:rFonts w:hint="eastAsia" w:ascii="宋体" w:hAnsi="宋体" w:eastAsia="宋体" w:cs="宋体"/>
                <w:color w:val="auto"/>
                <w:sz w:val="24"/>
                <w:szCs w:val="24"/>
                <w:highlight w:val="none"/>
              </w:rPr>
            </w:pPr>
          </w:p>
        </w:tc>
        <w:tc>
          <w:tcPr>
            <w:tcW w:w="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5A9B6B">
            <w:pPr>
              <w:jc w:val="left"/>
              <w:rPr>
                <w:rFonts w:hint="eastAsia" w:ascii="宋体" w:hAnsi="宋体" w:eastAsia="宋体" w:cs="宋体"/>
                <w:color w:val="auto"/>
                <w:sz w:val="24"/>
                <w:szCs w:val="24"/>
                <w:highlight w:val="none"/>
              </w:rPr>
            </w:pPr>
          </w:p>
        </w:tc>
        <w:tc>
          <w:tcPr>
            <w:tcW w:w="3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8A6D10">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缺少签字盖章的，每</w:t>
            </w:r>
            <w:r>
              <w:rPr>
                <w:rFonts w:hint="eastAsia" w:ascii="宋体" w:hAnsi="宋体" w:eastAsia="宋体" w:cs="宋体"/>
                <w:color w:val="auto"/>
                <w:sz w:val="21"/>
                <w:szCs w:val="21"/>
                <w:highlight w:val="none"/>
                <w:lang w:eastAsia="zh-CN"/>
              </w:rPr>
              <w:t>处</w:t>
            </w:r>
            <w:r>
              <w:rPr>
                <w:rFonts w:hint="eastAsia" w:ascii="宋体" w:hAnsi="宋体" w:eastAsia="宋体" w:cs="宋体"/>
                <w:color w:val="auto"/>
                <w:sz w:val="21"/>
                <w:szCs w:val="21"/>
                <w:highlight w:val="none"/>
              </w:rPr>
              <w:t>扣1分，扣完为止。</w:t>
            </w:r>
            <w:r>
              <w:rPr>
                <w:rFonts w:hint="eastAsia" w:ascii="宋体" w:hAnsi="宋体" w:eastAsia="宋体" w:cs="宋体"/>
                <w:color w:val="auto"/>
                <w:sz w:val="21"/>
                <w:szCs w:val="21"/>
                <w:highlight w:val="none"/>
                <w:lang w:eastAsia="zh-CN"/>
              </w:rPr>
              <w:t>（本项第三方复审单位未尽检查提醒义务的予以扣分）</w:t>
            </w:r>
          </w:p>
        </w:tc>
      </w:tr>
      <w:tr w14:paraId="7986DE96">
        <w:tblPrEx>
          <w:tblCellMar>
            <w:top w:w="0" w:type="dxa"/>
            <w:left w:w="0" w:type="dxa"/>
            <w:bottom w:w="0" w:type="dxa"/>
            <w:right w:w="0" w:type="dxa"/>
          </w:tblCellMar>
        </w:tblPrEx>
        <w:trPr>
          <w:trHeight w:val="1616" w:hRule="atLeast"/>
          <w:jc w:val="center"/>
        </w:trPr>
        <w:tc>
          <w:tcPr>
            <w:tcW w:w="556" w:type="dxa"/>
            <w:vMerge w:val="continue"/>
            <w:tcBorders>
              <w:left w:val="single" w:color="000000" w:sz="4" w:space="0"/>
              <w:right w:val="single" w:color="000000" w:sz="4" w:space="0"/>
            </w:tcBorders>
            <w:noWrap w:val="0"/>
            <w:tcMar>
              <w:top w:w="15" w:type="dxa"/>
              <w:left w:w="15" w:type="dxa"/>
              <w:right w:w="15" w:type="dxa"/>
            </w:tcMar>
            <w:vAlign w:val="center"/>
          </w:tcPr>
          <w:p w14:paraId="64B093AA">
            <w:pPr>
              <w:jc w:val="center"/>
              <w:rPr>
                <w:rFonts w:hint="eastAsia" w:ascii="宋体" w:hAnsi="宋体" w:eastAsia="宋体" w:cs="宋体"/>
                <w:color w:val="auto"/>
                <w:sz w:val="24"/>
                <w:szCs w:val="24"/>
                <w:highlight w:val="none"/>
              </w:rPr>
            </w:pPr>
          </w:p>
        </w:tc>
        <w:tc>
          <w:tcPr>
            <w:tcW w:w="1084" w:type="dxa"/>
            <w:vMerge w:val="continue"/>
            <w:tcBorders>
              <w:left w:val="single" w:color="000000" w:sz="4" w:space="0"/>
              <w:right w:val="single" w:color="000000" w:sz="4" w:space="0"/>
            </w:tcBorders>
            <w:noWrap w:val="0"/>
            <w:tcMar>
              <w:top w:w="15" w:type="dxa"/>
              <w:left w:w="15" w:type="dxa"/>
              <w:right w:w="15" w:type="dxa"/>
            </w:tcMar>
            <w:vAlign w:val="center"/>
          </w:tcPr>
          <w:p w14:paraId="41DD4C33">
            <w:pPr>
              <w:jc w:val="center"/>
              <w:rPr>
                <w:rFonts w:hint="eastAsia" w:ascii="宋体" w:hAnsi="宋体" w:eastAsia="宋体" w:cs="宋体"/>
                <w:color w:val="auto"/>
                <w:sz w:val="24"/>
                <w:szCs w:val="24"/>
                <w:highlight w:val="none"/>
              </w:rPr>
            </w:pPr>
          </w:p>
        </w:tc>
        <w:tc>
          <w:tcPr>
            <w:tcW w:w="26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33E848">
            <w:pPr>
              <w:widowControl/>
              <w:spacing w:line="400" w:lineRule="exact"/>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sz w:val="24"/>
                <w:szCs w:val="24"/>
                <w:highlight w:val="none"/>
              </w:rPr>
              <w:t xml:space="preserve"> 合同内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合同外工程量是否计量</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B34BAA">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8BCABD">
            <w:pPr>
              <w:jc w:val="left"/>
              <w:rPr>
                <w:rFonts w:hint="eastAsia" w:ascii="宋体" w:hAnsi="宋体" w:eastAsia="宋体" w:cs="宋体"/>
                <w:color w:val="auto"/>
                <w:sz w:val="24"/>
                <w:szCs w:val="24"/>
                <w:highlight w:val="none"/>
              </w:rPr>
            </w:pPr>
          </w:p>
        </w:tc>
        <w:tc>
          <w:tcPr>
            <w:tcW w:w="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2917FE">
            <w:pPr>
              <w:jc w:val="left"/>
              <w:rPr>
                <w:rFonts w:hint="eastAsia" w:ascii="宋体" w:hAnsi="宋体" w:eastAsia="宋体" w:cs="宋体"/>
                <w:color w:val="auto"/>
                <w:sz w:val="24"/>
                <w:szCs w:val="24"/>
                <w:highlight w:val="none"/>
              </w:rPr>
            </w:pPr>
          </w:p>
        </w:tc>
        <w:tc>
          <w:tcPr>
            <w:tcW w:w="3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50CC8B">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结算审核报告中的分项工程，若存在无计量情况，每个扣1分，扣完为止。</w:t>
            </w:r>
            <w:r>
              <w:rPr>
                <w:rFonts w:hint="eastAsia" w:ascii="宋体" w:hAnsi="宋体" w:eastAsia="宋体" w:cs="宋体"/>
                <w:color w:val="auto"/>
                <w:sz w:val="21"/>
                <w:szCs w:val="21"/>
                <w:highlight w:val="none"/>
                <w:lang w:eastAsia="zh-CN"/>
              </w:rPr>
              <w:t>（本项第三方复审单位未尽检查提醒义务的予以扣分）</w:t>
            </w:r>
          </w:p>
        </w:tc>
      </w:tr>
      <w:tr w14:paraId="50FA1B53">
        <w:tblPrEx>
          <w:tblCellMar>
            <w:top w:w="0" w:type="dxa"/>
            <w:left w:w="0" w:type="dxa"/>
            <w:bottom w:w="0" w:type="dxa"/>
            <w:right w:w="0" w:type="dxa"/>
          </w:tblCellMar>
        </w:tblPrEx>
        <w:trPr>
          <w:trHeight w:val="1356" w:hRule="atLeast"/>
          <w:jc w:val="center"/>
        </w:trPr>
        <w:tc>
          <w:tcPr>
            <w:tcW w:w="556" w:type="dxa"/>
            <w:vMerge w:val="continue"/>
            <w:tcBorders>
              <w:left w:val="single" w:color="000000" w:sz="4" w:space="0"/>
              <w:right w:val="single" w:color="000000" w:sz="4" w:space="0"/>
            </w:tcBorders>
            <w:noWrap w:val="0"/>
            <w:tcMar>
              <w:top w:w="15" w:type="dxa"/>
              <w:left w:w="15" w:type="dxa"/>
              <w:right w:w="15" w:type="dxa"/>
            </w:tcMar>
            <w:vAlign w:val="center"/>
          </w:tcPr>
          <w:p w14:paraId="5552C9D4">
            <w:pPr>
              <w:jc w:val="center"/>
              <w:rPr>
                <w:rFonts w:hint="eastAsia" w:ascii="宋体" w:hAnsi="宋体" w:eastAsia="宋体" w:cs="宋体"/>
                <w:color w:val="auto"/>
                <w:sz w:val="24"/>
                <w:szCs w:val="24"/>
                <w:highlight w:val="none"/>
              </w:rPr>
            </w:pPr>
          </w:p>
        </w:tc>
        <w:tc>
          <w:tcPr>
            <w:tcW w:w="1084" w:type="dxa"/>
            <w:vMerge w:val="continue"/>
            <w:tcBorders>
              <w:left w:val="single" w:color="000000" w:sz="4" w:space="0"/>
              <w:right w:val="single" w:color="000000" w:sz="4" w:space="0"/>
            </w:tcBorders>
            <w:noWrap w:val="0"/>
            <w:tcMar>
              <w:top w:w="15" w:type="dxa"/>
              <w:left w:w="15" w:type="dxa"/>
              <w:right w:w="15" w:type="dxa"/>
            </w:tcMar>
            <w:vAlign w:val="center"/>
          </w:tcPr>
          <w:p w14:paraId="366E6CAF">
            <w:pPr>
              <w:jc w:val="center"/>
              <w:rPr>
                <w:rFonts w:hint="eastAsia" w:ascii="宋体" w:hAnsi="宋体" w:eastAsia="宋体" w:cs="宋体"/>
                <w:color w:val="auto"/>
                <w:sz w:val="24"/>
                <w:szCs w:val="24"/>
                <w:highlight w:val="none"/>
              </w:rPr>
            </w:pPr>
          </w:p>
        </w:tc>
        <w:tc>
          <w:tcPr>
            <w:tcW w:w="26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B0DD69">
            <w:pPr>
              <w:widowControl/>
              <w:spacing w:line="400" w:lineRule="exact"/>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、计量</w:t>
            </w:r>
            <w:r>
              <w:rPr>
                <w:rFonts w:hint="eastAsia" w:ascii="宋体" w:hAnsi="宋体" w:eastAsia="宋体" w:cs="宋体"/>
                <w:color w:val="auto"/>
                <w:kern w:val="0"/>
                <w:sz w:val="24"/>
                <w:szCs w:val="24"/>
                <w:highlight w:val="none"/>
                <w:lang w:eastAsia="zh-CN"/>
              </w:rPr>
              <w:t>单格式、内容</w:t>
            </w:r>
            <w:r>
              <w:rPr>
                <w:rFonts w:hint="eastAsia" w:ascii="宋体" w:hAnsi="宋体" w:eastAsia="宋体" w:cs="宋体"/>
                <w:color w:val="auto"/>
                <w:kern w:val="0"/>
                <w:sz w:val="24"/>
                <w:szCs w:val="24"/>
                <w:highlight w:val="none"/>
              </w:rPr>
              <w:t>是否规范</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65220C">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07DA67">
            <w:pPr>
              <w:jc w:val="left"/>
              <w:rPr>
                <w:rFonts w:hint="eastAsia" w:ascii="宋体" w:hAnsi="宋体" w:eastAsia="宋体" w:cs="宋体"/>
                <w:color w:val="auto"/>
                <w:sz w:val="24"/>
                <w:szCs w:val="24"/>
                <w:highlight w:val="none"/>
              </w:rPr>
            </w:pPr>
          </w:p>
        </w:tc>
        <w:tc>
          <w:tcPr>
            <w:tcW w:w="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6D8F39">
            <w:pPr>
              <w:jc w:val="left"/>
              <w:rPr>
                <w:rFonts w:hint="eastAsia" w:ascii="宋体" w:hAnsi="宋体" w:eastAsia="宋体" w:cs="宋体"/>
                <w:color w:val="auto"/>
                <w:sz w:val="24"/>
                <w:szCs w:val="24"/>
                <w:highlight w:val="none"/>
              </w:rPr>
            </w:pPr>
          </w:p>
        </w:tc>
        <w:tc>
          <w:tcPr>
            <w:tcW w:w="3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4D7DB6">
            <w:pPr>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eastAsia="zh-CN"/>
              </w:rPr>
              <w:t>计量单需按我处格式执行，</w:t>
            </w:r>
            <w:r>
              <w:rPr>
                <w:rFonts w:hint="eastAsia" w:ascii="宋体" w:hAnsi="宋体" w:eastAsia="宋体" w:cs="宋体"/>
                <w:color w:val="auto"/>
                <w:kern w:val="0"/>
                <w:sz w:val="21"/>
                <w:szCs w:val="21"/>
                <w:highlight w:val="none"/>
              </w:rPr>
              <w:t>如存在应请第三方测量的项目，而由现场四方计量情况的</w:t>
            </w:r>
            <w:r>
              <w:rPr>
                <w:rFonts w:hint="eastAsia" w:ascii="宋体" w:hAnsi="宋体" w:eastAsia="宋体" w:cs="宋体"/>
                <w:color w:val="auto"/>
                <w:sz w:val="21"/>
                <w:szCs w:val="21"/>
                <w:highlight w:val="none"/>
              </w:rPr>
              <w:t>，每起扣1分，扣完为止。</w:t>
            </w:r>
            <w:r>
              <w:rPr>
                <w:rFonts w:hint="eastAsia" w:ascii="宋体" w:hAnsi="宋体" w:eastAsia="宋体" w:cs="宋体"/>
                <w:color w:val="auto"/>
                <w:sz w:val="21"/>
                <w:szCs w:val="21"/>
                <w:highlight w:val="none"/>
                <w:lang w:eastAsia="zh-CN"/>
              </w:rPr>
              <w:t>（本项第三方复审单位未尽检查提醒义务的予以扣分）</w:t>
            </w:r>
          </w:p>
        </w:tc>
      </w:tr>
      <w:tr w14:paraId="53684242">
        <w:tblPrEx>
          <w:tblCellMar>
            <w:top w:w="0" w:type="dxa"/>
            <w:left w:w="0" w:type="dxa"/>
            <w:bottom w:w="0" w:type="dxa"/>
            <w:right w:w="0" w:type="dxa"/>
          </w:tblCellMar>
        </w:tblPrEx>
        <w:trPr>
          <w:trHeight w:val="1664" w:hRule="atLeast"/>
          <w:jc w:val="center"/>
        </w:trPr>
        <w:tc>
          <w:tcPr>
            <w:tcW w:w="556"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6C991713">
            <w:pPr>
              <w:widowControl/>
              <w:jc w:val="center"/>
              <w:textAlignment w:val="center"/>
              <w:rPr>
                <w:rFonts w:hint="eastAsia" w:ascii="宋体" w:hAnsi="宋体" w:eastAsia="宋体" w:cs="宋体"/>
                <w:color w:val="auto"/>
                <w:sz w:val="24"/>
                <w:szCs w:val="24"/>
                <w:highlight w:val="none"/>
              </w:rPr>
            </w:pPr>
          </w:p>
        </w:tc>
        <w:tc>
          <w:tcPr>
            <w:tcW w:w="1084"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3A0E2F23">
            <w:pPr>
              <w:widowControl/>
              <w:jc w:val="center"/>
              <w:textAlignment w:val="center"/>
              <w:rPr>
                <w:rFonts w:hint="eastAsia" w:ascii="宋体" w:hAnsi="宋体" w:eastAsia="宋体" w:cs="宋体"/>
                <w:color w:val="auto"/>
                <w:sz w:val="24"/>
                <w:szCs w:val="24"/>
                <w:highlight w:val="none"/>
              </w:rPr>
            </w:pPr>
          </w:p>
        </w:tc>
        <w:tc>
          <w:tcPr>
            <w:tcW w:w="26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9F3E96">
            <w:pPr>
              <w:widowControl/>
              <w:spacing w:line="400" w:lineRule="exact"/>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根据我处工程变更</w:t>
            </w:r>
            <w:r>
              <w:rPr>
                <w:rFonts w:hint="eastAsia" w:ascii="宋体" w:hAnsi="宋体" w:eastAsia="宋体" w:cs="宋体"/>
                <w:color w:val="auto"/>
                <w:kern w:val="0"/>
                <w:sz w:val="24"/>
                <w:szCs w:val="24"/>
                <w:highlight w:val="none"/>
                <w:lang w:eastAsia="zh-CN"/>
              </w:rPr>
              <w:t>相关</w:t>
            </w:r>
            <w:r>
              <w:rPr>
                <w:rFonts w:hint="eastAsia" w:ascii="宋体" w:hAnsi="宋体" w:eastAsia="宋体" w:cs="宋体"/>
                <w:color w:val="auto"/>
                <w:kern w:val="0"/>
                <w:sz w:val="24"/>
                <w:szCs w:val="24"/>
                <w:highlight w:val="none"/>
              </w:rPr>
              <w:t>管理办法，工程变更审批手续是否及时、齐全、规范</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B52407">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6C473E">
            <w:pPr>
              <w:jc w:val="left"/>
              <w:rPr>
                <w:rFonts w:hint="eastAsia" w:ascii="宋体" w:hAnsi="宋体" w:eastAsia="宋体" w:cs="宋体"/>
                <w:color w:val="auto"/>
                <w:sz w:val="24"/>
                <w:szCs w:val="24"/>
                <w:highlight w:val="none"/>
              </w:rPr>
            </w:pPr>
          </w:p>
        </w:tc>
        <w:tc>
          <w:tcPr>
            <w:tcW w:w="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FBDA40">
            <w:pPr>
              <w:jc w:val="left"/>
              <w:rPr>
                <w:rFonts w:hint="eastAsia" w:ascii="宋体" w:hAnsi="宋体" w:eastAsia="宋体" w:cs="宋体"/>
                <w:color w:val="auto"/>
                <w:sz w:val="24"/>
                <w:szCs w:val="24"/>
                <w:highlight w:val="none"/>
              </w:rPr>
            </w:pPr>
          </w:p>
        </w:tc>
        <w:tc>
          <w:tcPr>
            <w:tcW w:w="3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99AE20">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因审核人员原因，造成工程变更审批手续不及时、齐全、规范的，</w:t>
            </w:r>
            <w:r>
              <w:rPr>
                <w:rFonts w:hint="eastAsia" w:ascii="宋体" w:hAnsi="宋体" w:eastAsia="宋体" w:cs="宋体"/>
                <w:color w:val="auto"/>
                <w:sz w:val="21"/>
                <w:szCs w:val="21"/>
                <w:highlight w:val="none"/>
                <w:lang w:eastAsia="zh-CN"/>
              </w:rPr>
              <w:t>每项</w:t>
            </w:r>
            <w:r>
              <w:rPr>
                <w:rFonts w:hint="eastAsia" w:ascii="宋体" w:hAnsi="宋体" w:eastAsia="宋体" w:cs="宋体"/>
                <w:color w:val="auto"/>
                <w:sz w:val="21"/>
                <w:szCs w:val="21"/>
                <w:highlight w:val="none"/>
              </w:rPr>
              <w:t>扣1分，扣完为止。</w:t>
            </w:r>
            <w:r>
              <w:rPr>
                <w:rFonts w:hint="eastAsia" w:ascii="宋体" w:hAnsi="宋体" w:eastAsia="宋体" w:cs="宋体"/>
                <w:color w:val="auto"/>
                <w:sz w:val="21"/>
                <w:szCs w:val="21"/>
                <w:highlight w:val="none"/>
                <w:lang w:eastAsia="zh-CN"/>
              </w:rPr>
              <w:t>（本项业主代表参与打分，第三方复审单位未尽检查提醒义务的予以扣分）</w:t>
            </w:r>
          </w:p>
        </w:tc>
      </w:tr>
      <w:tr w14:paraId="6CA09907">
        <w:tblPrEx>
          <w:tblCellMar>
            <w:top w:w="0" w:type="dxa"/>
            <w:left w:w="0" w:type="dxa"/>
            <w:bottom w:w="0" w:type="dxa"/>
            <w:right w:w="0" w:type="dxa"/>
          </w:tblCellMar>
        </w:tblPrEx>
        <w:trPr>
          <w:trHeight w:val="2705" w:hRule="atLeast"/>
          <w:jc w:val="center"/>
        </w:trPr>
        <w:tc>
          <w:tcPr>
            <w:tcW w:w="5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B75A25">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四</w:t>
            </w:r>
          </w:p>
        </w:tc>
        <w:tc>
          <w:tcPr>
            <w:tcW w:w="10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0F34B3">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rPr>
              <w:t>廉洁自律</w:t>
            </w:r>
          </w:p>
        </w:tc>
        <w:tc>
          <w:tcPr>
            <w:tcW w:w="26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60946C">
            <w:pPr>
              <w:widowControl/>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rPr>
              <w:t>审计单位是否保持廉洁自律要求</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B0B03C">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10</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1B6398">
            <w:pPr>
              <w:jc w:val="left"/>
              <w:rPr>
                <w:rFonts w:hint="eastAsia" w:ascii="宋体" w:hAnsi="宋体" w:eastAsia="宋体" w:cs="宋体"/>
                <w:color w:val="auto"/>
                <w:kern w:val="2"/>
                <w:sz w:val="24"/>
                <w:szCs w:val="24"/>
                <w:highlight w:val="none"/>
                <w:lang w:val="en-US" w:eastAsia="zh-CN" w:bidi="ar-SA"/>
              </w:rPr>
            </w:pPr>
          </w:p>
        </w:tc>
        <w:tc>
          <w:tcPr>
            <w:tcW w:w="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6A77F1">
            <w:pPr>
              <w:jc w:val="center"/>
              <w:rPr>
                <w:rFonts w:hint="eastAsia" w:ascii="宋体" w:hAnsi="宋体" w:eastAsia="宋体" w:cs="宋体"/>
                <w:color w:val="auto"/>
                <w:kern w:val="2"/>
                <w:sz w:val="24"/>
                <w:szCs w:val="24"/>
                <w:highlight w:val="none"/>
                <w:lang w:val="en-US" w:eastAsia="zh-CN" w:bidi="ar-SA"/>
              </w:rPr>
            </w:pPr>
          </w:p>
        </w:tc>
        <w:tc>
          <w:tcPr>
            <w:tcW w:w="3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CA30D9">
            <w:pPr>
              <w:widowControl/>
              <w:spacing w:line="300" w:lineRule="exact"/>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rPr>
              <w:t>有无由被审计单位支付或补贴住宿费、餐费；有无使用被审计单位的交通工具等办理与审计工作无关的事项；有无参加被审计单位安排的旅游、娱乐等活动；有无接受被审计单位的任何礼品；有无在被审计的单位报销任何费用；有无利用审计职权为自己和他人谋利；有无向被审计单位提出任何与审计工作无关的要求。违反审计纪律规定中任何一项的,一经查实，本项分值全部扣除.（本项党办参与打分）</w:t>
            </w:r>
          </w:p>
        </w:tc>
      </w:tr>
      <w:tr w14:paraId="2EEE1436">
        <w:tblPrEx>
          <w:tblCellMar>
            <w:top w:w="0" w:type="dxa"/>
            <w:left w:w="0" w:type="dxa"/>
            <w:bottom w:w="0" w:type="dxa"/>
            <w:right w:w="0" w:type="dxa"/>
          </w:tblCellMar>
        </w:tblPrEx>
        <w:trPr>
          <w:trHeight w:val="2593" w:hRule="atLeast"/>
          <w:jc w:val="center"/>
        </w:trPr>
        <w:tc>
          <w:tcPr>
            <w:tcW w:w="5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A19873">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五</w:t>
            </w:r>
          </w:p>
        </w:tc>
        <w:tc>
          <w:tcPr>
            <w:tcW w:w="10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E8F477">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竣工结算审核的误差</w:t>
            </w:r>
          </w:p>
        </w:tc>
        <w:tc>
          <w:tcPr>
            <w:tcW w:w="26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92EE87">
            <w:pPr>
              <w:widowControl/>
              <w:spacing w:line="400" w:lineRule="exact"/>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根据我处竣工结算审核流程，经第三方、计划科、审价中心复审后，对竣工结算审核报告的误差率进行打分</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A8160D">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0</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CE1033">
            <w:pPr>
              <w:jc w:val="left"/>
              <w:rPr>
                <w:rFonts w:hint="eastAsia" w:ascii="宋体" w:hAnsi="宋体" w:eastAsia="宋体" w:cs="宋体"/>
                <w:color w:val="auto"/>
                <w:kern w:val="2"/>
                <w:sz w:val="24"/>
                <w:szCs w:val="24"/>
                <w:highlight w:val="none"/>
                <w:lang w:val="en-US" w:eastAsia="zh-CN" w:bidi="ar-SA"/>
              </w:rPr>
            </w:pPr>
          </w:p>
        </w:tc>
        <w:tc>
          <w:tcPr>
            <w:tcW w:w="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BC937D">
            <w:pPr>
              <w:jc w:val="left"/>
              <w:rPr>
                <w:rFonts w:hint="eastAsia" w:ascii="宋体" w:hAnsi="宋体" w:eastAsia="宋体" w:cs="宋体"/>
                <w:color w:val="auto"/>
                <w:kern w:val="2"/>
                <w:sz w:val="24"/>
                <w:szCs w:val="24"/>
                <w:highlight w:val="none"/>
                <w:lang w:val="en-US" w:eastAsia="zh-CN" w:bidi="ar-SA"/>
              </w:rPr>
            </w:pPr>
          </w:p>
        </w:tc>
        <w:tc>
          <w:tcPr>
            <w:tcW w:w="3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8BFAB1">
            <w:pPr>
              <w:widowControl/>
              <w:spacing w:line="40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误差率1%</w:t>
            </w:r>
            <w:r>
              <w:rPr>
                <w:rFonts w:hint="eastAsia" w:ascii="宋体" w:hAnsi="宋体" w:eastAsia="宋体" w:cs="宋体"/>
                <w:color w:val="auto"/>
                <w:sz w:val="21"/>
                <w:szCs w:val="21"/>
                <w:highlight w:val="none"/>
                <w:lang w:eastAsia="zh-CN"/>
              </w:rPr>
              <w:t>（含）</w:t>
            </w:r>
            <w:r>
              <w:rPr>
                <w:rFonts w:hint="eastAsia" w:ascii="宋体" w:hAnsi="宋体" w:eastAsia="宋体" w:cs="宋体"/>
                <w:color w:val="auto"/>
                <w:sz w:val="21"/>
                <w:szCs w:val="21"/>
                <w:highlight w:val="none"/>
              </w:rPr>
              <w:t>-2%的，扣5分；</w:t>
            </w:r>
          </w:p>
          <w:p w14:paraId="64B91A7E">
            <w:pPr>
              <w:widowControl/>
              <w:spacing w:line="40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（含）</w:t>
            </w:r>
            <w:r>
              <w:rPr>
                <w:rFonts w:hint="eastAsia" w:ascii="宋体" w:hAnsi="宋体" w:eastAsia="宋体" w:cs="宋体"/>
                <w:color w:val="auto"/>
                <w:sz w:val="21"/>
                <w:szCs w:val="21"/>
                <w:highlight w:val="none"/>
              </w:rPr>
              <w:t>-2.5%的，扣</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0分；</w:t>
            </w:r>
          </w:p>
          <w:p w14:paraId="61FB8ADA">
            <w:pPr>
              <w:widowControl/>
              <w:spacing w:line="40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w:t>
            </w:r>
            <w:r>
              <w:rPr>
                <w:rFonts w:hint="eastAsia" w:ascii="宋体" w:hAnsi="宋体" w:eastAsia="宋体" w:cs="宋体"/>
                <w:color w:val="auto"/>
                <w:sz w:val="21"/>
                <w:szCs w:val="21"/>
                <w:highlight w:val="none"/>
                <w:lang w:eastAsia="zh-CN"/>
              </w:rPr>
              <w:t>（含）</w:t>
            </w:r>
            <w:r>
              <w:rPr>
                <w:rFonts w:hint="eastAsia" w:ascii="宋体" w:hAnsi="宋体" w:eastAsia="宋体" w:cs="宋体"/>
                <w:color w:val="auto"/>
                <w:sz w:val="21"/>
                <w:szCs w:val="21"/>
                <w:highlight w:val="none"/>
              </w:rPr>
              <w:t>-3%的，扣</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5分；</w:t>
            </w:r>
          </w:p>
          <w:p w14:paraId="1852A67C">
            <w:pPr>
              <w:widowControl/>
              <w:spacing w:line="40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（含）</w:t>
            </w:r>
            <w:r>
              <w:rPr>
                <w:rFonts w:hint="eastAsia" w:ascii="宋体" w:hAnsi="宋体" w:eastAsia="宋体" w:cs="宋体"/>
                <w:color w:val="auto"/>
                <w:sz w:val="21"/>
                <w:szCs w:val="21"/>
                <w:highlight w:val="none"/>
              </w:rPr>
              <w:t>-3.5%的，扣</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0分；</w:t>
            </w:r>
          </w:p>
          <w:p w14:paraId="1D848C0D">
            <w:pPr>
              <w:widowControl/>
              <w:spacing w:line="400" w:lineRule="exact"/>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3.5%</w:t>
            </w:r>
            <w:r>
              <w:rPr>
                <w:rFonts w:hint="eastAsia" w:ascii="宋体" w:hAnsi="宋体" w:eastAsia="宋体" w:cs="宋体"/>
                <w:color w:val="auto"/>
                <w:sz w:val="21"/>
                <w:szCs w:val="21"/>
                <w:highlight w:val="none"/>
                <w:lang w:eastAsia="zh-CN"/>
              </w:rPr>
              <w:t>（含）</w:t>
            </w:r>
            <w:r>
              <w:rPr>
                <w:rFonts w:hint="eastAsia" w:ascii="宋体" w:hAnsi="宋体" w:eastAsia="宋体" w:cs="宋体"/>
                <w:color w:val="auto"/>
                <w:sz w:val="21"/>
                <w:szCs w:val="21"/>
                <w:highlight w:val="none"/>
              </w:rPr>
              <w:t>-4%的，扣</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5分</w:t>
            </w:r>
            <w:r>
              <w:rPr>
                <w:rFonts w:hint="eastAsia" w:ascii="宋体" w:hAnsi="宋体" w:eastAsia="宋体" w:cs="宋体"/>
                <w:color w:val="auto"/>
                <w:sz w:val="21"/>
                <w:szCs w:val="21"/>
                <w:highlight w:val="none"/>
                <w:lang w:eastAsia="zh-CN"/>
              </w:rPr>
              <w:t>；</w:t>
            </w:r>
          </w:p>
          <w:p w14:paraId="20131F96">
            <w:pPr>
              <w:widowControl/>
              <w:spacing w:line="400" w:lineRule="exact"/>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（含）</w:t>
            </w:r>
            <w:r>
              <w:rPr>
                <w:rFonts w:hint="eastAsia" w:ascii="宋体" w:hAnsi="宋体" w:eastAsia="宋体" w:cs="宋体"/>
                <w:color w:val="auto"/>
                <w:sz w:val="21"/>
                <w:szCs w:val="21"/>
                <w:highlight w:val="none"/>
              </w:rPr>
              <w:t>以上的，扣</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0分。</w:t>
            </w:r>
          </w:p>
        </w:tc>
      </w:tr>
      <w:tr w14:paraId="608AF683">
        <w:tblPrEx>
          <w:tblCellMar>
            <w:top w:w="0" w:type="dxa"/>
            <w:left w:w="0" w:type="dxa"/>
            <w:bottom w:w="0" w:type="dxa"/>
            <w:right w:w="0" w:type="dxa"/>
          </w:tblCellMar>
        </w:tblPrEx>
        <w:trPr>
          <w:trHeight w:val="558" w:hRule="atLeast"/>
          <w:jc w:val="center"/>
        </w:trPr>
        <w:tc>
          <w:tcPr>
            <w:tcW w:w="4880"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8A96E7">
            <w:pPr>
              <w:widowControl/>
              <w:jc w:val="right"/>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rPr>
              <w:t>合计</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B9742B">
            <w:pPr>
              <w:jc w:val="left"/>
              <w:rPr>
                <w:rFonts w:hint="eastAsia" w:ascii="宋体" w:hAnsi="宋体" w:eastAsia="宋体" w:cs="宋体"/>
                <w:b/>
                <w:color w:val="auto"/>
                <w:sz w:val="24"/>
                <w:szCs w:val="24"/>
                <w:highlight w:val="none"/>
              </w:rPr>
            </w:pPr>
          </w:p>
        </w:tc>
        <w:tc>
          <w:tcPr>
            <w:tcW w:w="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B5322F">
            <w:pPr>
              <w:jc w:val="left"/>
              <w:rPr>
                <w:rFonts w:hint="eastAsia" w:ascii="宋体" w:hAnsi="宋体" w:eastAsia="宋体" w:cs="宋体"/>
                <w:b/>
                <w:color w:val="auto"/>
                <w:sz w:val="24"/>
                <w:szCs w:val="24"/>
                <w:highlight w:val="none"/>
              </w:rPr>
            </w:pPr>
          </w:p>
        </w:tc>
        <w:tc>
          <w:tcPr>
            <w:tcW w:w="3595"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198FF1">
            <w:pPr>
              <w:jc w:val="left"/>
              <w:rPr>
                <w:rFonts w:hint="eastAsia" w:ascii="宋体" w:hAnsi="宋体" w:eastAsia="宋体" w:cs="宋体"/>
                <w:color w:val="auto"/>
                <w:sz w:val="21"/>
                <w:szCs w:val="21"/>
                <w:highlight w:val="none"/>
              </w:rPr>
            </w:pPr>
          </w:p>
        </w:tc>
      </w:tr>
      <w:tr w14:paraId="5937D088">
        <w:tblPrEx>
          <w:tblCellMar>
            <w:top w:w="0" w:type="dxa"/>
            <w:left w:w="0" w:type="dxa"/>
            <w:bottom w:w="0" w:type="dxa"/>
            <w:right w:w="0" w:type="dxa"/>
          </w:tblCellMar>
        </w:tblPrEx>
        <w:trPr>
          <w:trHeight w:val="1429" w:hRule="atLeast"/>
          <w:jc w:val="center"/>
        </w:trPr>
        <w:tc>
          <w:tcPr>
            <w:tcW w:w="9998"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711FD0">
            <w:pPr>
              <w:widowControl/>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 xml:space="preserve">企业签字：                   考核组签字 ：                  </w:t>
            </w:r>
            <w:r>
              <w:rPr>
                <w:rFonts w:hint="eastAsia" w:ascii="宋体" w:hAnsi="宋体" w:eastAsia="宋体" w:cs="宋体"/>
                <w:color w:val="auto"/>
                <w:kern w:val="0"/>
                <w:sz w:val="24"/>
                <w:szCs w:val="24"/>
                <w:highlight w:val="none"/>
                <w:lang w:val="en-US" w:eastAsia="zh-CN"/>
              </w:rPr>
              <w:t xml:space="preserve">       </w:t>
            </w:r>
          </w:p>
          <w:p w14:paraId="54CA4D58">
            <w:pPr>
              <w:widowControl/>
              <w:ind w:firstLine="8160" w:firstLineChars="340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 xml:space="preserve">  </w:t>
            </w:r>
            <w:r>
              <w:rPr>
                <w:rStyle w:val="156"/>
                <w:rFonts w:hint="eastAsia" w:ascii="宋体" w:hAnsi="宋体" w:eastAsia="宋体" w:cs="宋体"/>
                <w:color w:val="auto"/>
                <w:sz w:val="24"/>
                <w:szCs w:val="24"/>
                <w:highlight w:val="none"/>
              </w:rPr>
              <w:t>年</w:t>
            </w:r>
            <w:r>
              <w:rPr>
                <w:rStyle w:val="156"/>
                <w:rFonts w:hint="eastAsia" w:ascii="宋体" w:hAnsi="宋体" w:eastAsia="宋体" w:cs="宋体"/>
                <w:color w:val="auto"/>
                <w:sz w:val="24"/>
                <w:szCs w:val="24"/>
                <w:highlight w:val="none"/>
                <w:lang w:val="en-US" w:eastAsia="zh-CN"/>
              </w:rPr>
              <w:t xml:space="preserve">  </w:t>
            </w:r>
            <w:r>
              <w:rPr>
                <w:rStyle w:val="156"/>
                <w:rFonts w:hint="eastAsia" w:ascii="宋体" w:hAnsi="宋体" w:eastAsia="宋体" w:cs="宋体"/>
                <w:color w:val="auto"/>
                <w:sz w:val="24"/>
                <w:szCs w:val="24"/>
                <w:highlight w:val="none"/>
              </w:rPr>
              <w:t>月</w:t>
            </w:r>
            <w:r>
              <w:rPr>
                <w:rStyle w:val="156"/>
                <w:rFonts w:hint="eastAsia" w:ascii="宋体" w:hAnsi="宋体" w:eastAsia="宋体" w:cs="宋体"/>
                <w:color w:val="auto"/>
                <w:sz w:val="24"/>
                <w:szCs w:val="24"/>
                <w:highlight w:val="none"/>
                <w:lang w:val="en-US" w:eastAsia="zh-CN"/>
              </w:rPr>
              <w:t xml:space="preserve">  </w:t>
            </w:r>
            <w:r>
              <w:rPr>
                <w:rStyle w:val="156"/>
                <w:rFonts w:hint="eastAsia" w:ascii="宋体" w:hAnsi="宋体" w:eastAsia="宋体" w:cs="宋体"/>
                <w:color w:val="auto"/>
                <w:sz w:val="24"/>
                <w:szCs w:val="24"/>
                <w:highlight w:val="none"/>
              </w:rPr>
              <w:t>日</w:t>
            </w:r>
          </w:p>
        </w:tc>
      </w:tr>
    </w:tbl>
    <w:p w14:paraId="2158A4B5">
      <w:pPr>
        <w:pStyle w:val="28"/>
        <w:ind w:left="0" w:leftChars="0" w:firstLine="0" w:firstLineChars="0"/>
        <w:rPr>
          <w:rFonts w:hint="eastAsia" w:ascii="宋体" w:hAnsi="宋体" w:eastAsia="宋体" w:cs="宋体"/>
          <w:color w:val="auto"/>
          <w:sz w:val="32"/>
          <w:szCs w:val="32"/>
          <w:highlight w:val="none"/>
          <w:lang w:val="en-US" w:eastAsia="zh-CN"/>
        </w:rPr>
      </w:pPr>
    </w:p>
    <w:p w14:paraId="30A0BDF8">
      <w:pPr>
        <w:spacing w:before="156" w:beforeLines="50" w:after="156" w:afterLines="50" w:line="312" w:lineRule="auto"/>
        <w:jc w:val="center"/>
        <w:rPr>
          <w:rFonts w:hint="eastAsia" w:ascii="宋体" w:hAnsi="宋体" w:eastAsia="宋体" w:cs="宋体"/>
          <w:b/>
          <w:color w:val="auto"/>
          <w:sz w:val="32"/>
          <w:szCs w:val="32"/>
          <w:highlight w:val="none"/>
        </w:rPr>
      </w:pPr>
    </w:p>
    <w:p w14:paraId="167AEBA4">
      <w:pPr>
        <w:rPr>
          <w:rFonts w:hint="eastAsia" w:ascii="宋体" w:hAnsi="宋体" w:eastAsia="宋体" w:cs="宋体"/>
          <w:color w:val="auto"/>
          <w:highlight w:val="none"/>
        </w:rPr>
      </w:pPr>
    </w:p>
    <w:p w14:paraId="24A277F9">
      <w:pPr>
        <w:pStyle w:val="28"/>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宋体" w:hAnsi="宋体" w:eastAsia="宋体" w:cs="宋体"/>
          <w:color w:val="auto"/>
          <w:sz w:val="24"/>
          <w:szCs w:val="24"/>
          <w:highlight w:val="none"/>
          <w:lang w:val="en-US" w:eastAsia="zh-CN"/>
        </w:rPr>
        <w:sectPr>
          <w:footerReference r:id="rId10" w:type="default"/>
          <w:pgSz w:w="11906" w:h="16838"/>
          <w:pgMar w:top="1417" w:right="1417" w:bottom="1134" w:left="1417" w:header="680" w:footer="680" w:gutter="0"/>
          <w:pgBorders w:offsetFrom="page">
            <w:top w:val="none" w:sz="0" w:space="0"/>
            <w:left w:val="none" w:sz="0" w:space="0"/>
            <w:bottom w:val="none" w:sz="0" w:space="0"/>
            <w:right w:val="none" w:sz="0" w:space="0"/>
          </w:pgBorders>
          <w:pgNumType w:fmt="decimal"/>
          <w:cols w:space="0" w:num="1"/>
          <w:rtlGutter w:val="0"/>
          <w:docGrid w:type="lines" w:linePitch="318" w:charSpace="0"/>
        </w:sectPr>
      </w:pPr>
    </w:p>
    <w:p w14:paraId="6A88782D">
      <w:pPr>
        <w:keepNext w:val="0"/>
        <w:keepLines w:val="0"/>
        <w:pageBreakBefore/>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工程建设约谈管理规定</w:t>
      </w:r>
    </w:p>
    <w:p w14:paraId="7766AB67">
      <w:pPr>
        <w:keepNext w:val="0"/>
        <w:keepLines w:val="0"/>
        <w:pageBreakBefore w:val="0"/>
        <w:kinsoku/>
        <w:wordWrap/>
        <w:overflowPunct/>
        <w:topLinePunct w:val="0"/>
        <w:autoSpaceDE/>
        <w:autoSpaceDN/>
        <w:bidi w:val="0"/>
        <w:adjustRightInd/>
        <w:snapToGrid/>
        <w:spacing w:line="288" w:lineRule="auto"/>
        <w:ind w:firstLine="413" w:firstLineChars="196"/>
        <w:jc w:val="left"/>
        <w:textAlignment w:val="auto"/>
        <w:outlineLvl w:val="9"/>
        <w:rPr>
          <w:rFonts w:hint="eastAsia" w:ascii="宋体" w:hAnsi="宋体" w:eastAsia="宋体" w:cs="宋体"/>
          <w:b/>
          <w:color w:val="auto"/>
          <w:sz w:val="21"/>
          <w:szCs w:val="21"/>
          <w:highlight w:val="none"/>
        </w:rPr>
      </w:pPr>
    </w:p>
    <w:p w14:paraId="27905D28">
      <w:pPr>
        <w:keepNext w:val="0"/>
        <w:keepLines w:val="0"/>
        <w:pageBreakBefore w:val="0"/>
        <w:kinsoku/>
        <w:wordWrap/>
        <w:overflowPunct/>
        <w:topLinePunct w:val="0"/>
        <w:autoSpaceDE/>
        <w:autoSpaceDN/>
        <w:bidi w:val="0"/>
        <w:adjustRightInd/>
        <w:snapToGrid/>
        <w:spacing w:line="288" w:lineRule="auto"/>
        <w:ind w:firstLine="413" w:firstLineChars="196"/>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第一条</w:t>
      </w:r>
      <w:r>
        <w:rPr>
          <w:rFonts w:hint="eastAsia" w:ascii="宋体" w:hAnsi="宋体" w:eastAsia="宋体" w:cs="宋体"/>
          <w:b/>
          <w:bCs/>
          <w:color w:val="auto"/>
          <w:sz w:val="21"/>
          <w:szCs w:val="21"/>
          <w:highlight w:val="none"/>
        </w:rPr>
        <w:t xml:space="preserve"> </w:t>
      </w:r>
      <w:r>
        <w:rPr>
          <w:rFonts w:hint="eastAsia" w:ascii="宋体" w:hAnsi="宋体" w:eastAsia="宋体" w:cs="宋体"/>
          <w:color w:val="auto"/>
          <w:sz w:val="21"/>
          <w:szCs w:val="21"/>
          <w:highlight w:val="none"/>
        </w:rPr>
        <w:t>为进一步规范工程建设管理约谈行为，加强</w:t>
      </w:r>
      <w:r>
        <w:rPr>
          <w:rFonts w:hint="eastAsia" w:ascii="宋体" w:hAnsi="宋体" w:eastAsia="宋体" w:cs="宋体"/>
          <w:color w:val="auto"/>
          <w:sz w:val="21"/>
          <w:szCs w:val="21"/>
          <w:highlight w:val="none"/>
          <w:lang w:eastAsia="zh-CN"/>
        </w:rPr>
        <w:t>各参建</w:t>
      </w:r>
      <w:r>
        <w:rPr>
          <w:rFonts w:hint="eastAsia" w:ascii="宋体" w:hAnsi="宋体" w:eastAsia="宋体" w:cs="宋体"/>
          <w:color w:val="auto"/>
          <w:sz w:val="21"/>
          <w:szCs w:val="21"/>
          <w:highlight w:val="none"/>
        </w:rPr>
        <w:t>单位履约意识，保障项目建设，制定本规定。</w:t>
      </w:r>
    </w:p>
    <w:p w14:paraId="11BA04A7">
      <w:pPr>
        <w:keepNext w:val="0"/>
        <w:keepLines w:val="0"/>
        <w:pageBreakBefore w:val="0"/>
        <w:kinsoku/>
        <w:wordWrap/>
        <w:overflowPunct/>
        <w:topLinePunct w:val="0"/>
        <w:autoSpaceDE/>
        <w:autoSpaceDN/>
        <w:bidi w:val="0"/>
        <w:adjustRightInd/>
        <w:snapToGrid/>
        <w:spacing w:line="288" w:lineRule="auto"/>
        <w:ind w:firstLine="413" w:firstLineChars="196"/>
        <w:textAlignment w:val="auto"/>
        <w:outlineLvl w:val="9"/>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第二条</w:t>
      </w:r>
      <w:r>
        <w:rPr>
          <w:rFonts w:hint="eastAsia" w:ascii="宋体" w:hAnsi="宋体" w:eastAsia="宋体" w:cs="宋体"/>
          <w:b/>
          <w:bCs/>
          <w:color w:val="auto"/>
          <w:sz w:val="21"/>
          <w:szCs w:val="21"/>
          <w:highlight w:val="none"/>
        </w:rPr>
        <w:t xml:space="preserve"> </w:t>
      </w:r>
      <w:r>
        <w:rPr>
          <w:rFonts w:hint="eastAsia" w:ascii="宋体" w:hAnsi="宋体" w:eastAsia="宋体" w:cs="宋体"/>
          <w:color w:val="auto"/>
          <w:sz w:val="21"/>
          <w:szCs w:val="21"/>
          <w:highlight w:val="none"/>
        </w:rPr>
        <w:t>约谈分为中标人约谈和履约约谈。</w:t>
      </w:r>
    </w:p>
    <w:p w14:paraId="05FB427B">
      <w:pPr>
        <w:keepNext w:val="0"/>
        <w:keepLines w:val="0"/>
        <w:pageBreakBefore w:val="0"/>
        <w:kinsoku/>
        <w:wordWrap/>
        <w:overflowPunct/>
        <w:topLinePunct w:val="0"/>
        <w:autoSpaceDE/>
        <w:autoSpaceDN/>
        <w:bidi w:val="0"/>
        <w:adjustRightInd/>
        <w:snapToGrid/>
        <w:spacing w:line="288" w:lineRule="auto"/>
        <w:ind w:firstLine="422"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 xml:space="preserve">第三条 </w:t>
      </w:r>
      <w:r>
        <w:rPr>
          <w:rFonts w:hint="eastAsia" w:ascii="宋体" w:hAnsi="宋体" w:eastAsia="宋体" w:cs="宋体"/>
          <w:color w:val="auto"/>
          <w:sz w:val="21"/>
          <w:szCs w:val="21"/>
          <w:highlight w:val="none"/>
        </w:rPr>
        <w:t>中标人约谈是指中标通知书发出后，项目开工前，处相关科室对中标人进行的约谈。履约约谈是指项目管理过程中</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处相关科室对中标人进行的约谈。中标人包括勘察、设计、施工、监理</w:t>
      </w:r>
      <w:r>
        <w:rPr>
          <w:rFonts w:hint="eastAsia" w:ascii="宋体" w:hAnsi="宋体" w:eastAsia="宋体" w:cs="宋体"/>
          <w:color w:val="auto"/>
          <w:sz w:val="21"/>
          <w:szCs w:val="21"/>
          <w:highlight w:val="none"/>
          <w:lang w:eastAsia="zh-CN"/>
        </w:rPr>
        <w:t>、跟踪审计</w:t>
      </w:r>
      <w:r>
        <w:rPr>
          <w:rFonts w:hint="eastAsia" w:ascii="宋体" w:hAnsi="宋体" w:eastAsia="宋体" w:cs="宋体"/>
          <w:color w:val="auto"/>
          <w:sz w:val="21"/>
          <w:szCs w:val="21"/>
          <w:highlight w:val="none"/>
        </w:rPr>
        <w:t>及重要设备（材料）供货商等相关单位</w:t>
      </w:r>
      <w:r>
        <w:rPr>
          <w:rFonts w:hint="eastAsia" w:ascii="宋体" w:hAnsi="宋体" w:eastAsia="宋体" w:cs="宋体"/>
          <w:color w:val="auto"/>
          <w:sz w:val="21"/>
          <w:szCs w:val="21"/>
          <w:highlight w:val="none"/>
          <w:lang w:eastAsia="zh-CN"/>
        </w:rPr>
        <w:t>（以下简称“被约谈单位”）</w:t>
      </w:r>
      <w:r>
        <w:rPr>
          <w:rFonts w:hint="eastAsia" w:ascii="宋体" w:hAnsi="宋体" w:eastAsia="宋体" w:cs="宋体"/>
          <w:color w:val="auto"/>
          <w:sz w:val="21"/>
          <w:szCs w:val="21"/>
          <w:highlight w:val="none"/>
        </w:rPr>
        <w:t xml:space="preserve">。 </w:t>
      </w:r>
    </w:p>
    <w:p w14:paraId="5F70878A">
      <w:pPr>
        <w:pStyle w:val="18"/>
        <w:keepNext w:val="0"/>
        <w:keepLines w:val="0"/>
        <w:pageBreakBefore w:val="0"/>
        <w:kinsoku/>
        <w:wordWrap/>
        <w:overflowPunct/>
        <w:topLinePunct w:val="0"/>
        <w:autoSpaceDE/>
        <w:autoSpaceDN/>
        <w:bidi w:val="0"/>
        <w:adjustRightInd/>
        <w:snapToGrid/>
        <w:spacing w:line="288" w:lineRule="auto"/>
        <w:ind w:firstLine="422"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第四条</w:t>
      </w:r>
      <w:r>
        <w:rPr>
          <w:rFonts w:hint="eastAsia" w:ascii="宋体" w:hAnsi="宋体" w:eastAsia="宋体" w:cs="宋体"/>
          <w:bCs/>
          <w:color w:val="auto"/>
          <w:sz w:val="21"/>
          <w:szCs w:val="21"/>
          <w:highlight w:val="none"/>
        </w:rPr>
        <w:t xml:space="preserve"> </w:t>
      </w:r>
      <w:r>
        <w:rPr>
          <w:rFonts w:hint="eastAsia" w:ascii="宋体" w:hAnsi="宋体" w:eastAsia="宋体" w:cs="宋体"/>
          <w:color w:val="auto"/>
          <w:sz w:val="21"/>
          <w:szCs w:val="21"/>
          <w:highlight w:val="none"/>
        </w:rPr>
        <w:t>中标人约谈由综合计划科牵头，</w:t>
      </w:r>
      <w:r>
        <w:rPr>
          <w:rFonts w:hint="eastAsia" w:ascii="宋体" w:hAnsi="宋体" w:eastAsia="宋体" w:cs="宋体"/>
          <w:color w:val="auto"/>
          <w:sz w:val="21"/>
          <w:szCs w:val="21"/>
          <w:highlight w:val="none"/>
          <w:lang w:eastAsia="zh-CN"/>
        </w:rPr>
        <w:t>项目</w:t>
      </w:r>
      <w:r>
        <w:rPr>
          <w:rFonts w:hint="eastAsia" w:ascii="宋体" w:hAnsi="宋体" w:eastAsia="宋体" w:cs="宋体"/>
          <w:color w:val="auto"/>
          <w:sz w:val="21"/>
          <w:szCs w:val="21"/>
          <w:highlight w:val="none"/>
        </w:rPr>
        <w:t>分管领导、工程</w:t>
      </w:r>
      <w:r>
        <w:rPr>
          <w:rFonts w:hint="eastAsia" w:ascii="宋体" w:hAnsi="宋体" w:eastAsia="宋体" w:cs="宋体"/>
          <w:color w:val="auto"/>
          <w:sz w:val="21"/>
          <w:szCs w:val="21"/>
          <w:highlight w:val="none"/>
          <w:lang w:eastAsia="zh-CN"/>
        </w:rPr>
        <w:t>建设</w:t>
      </w:r>
      <w:r>
        <w:rPr>
          <w:rFonts w:hint="eastAsia" w:ascii="宋体" w:hAnsi="宋体" w:eastAsia="宋体" w:cs="宋体"/>
          <w:color w:val="auto"/>
          <w:sz w:val="21"/>
          <w:szCs w:val="21"/>
          <w:highlight w:val="none"/>
        </w:rPr>
        <w:t>科、监管科、协调科、财务科、党办等相关科室参加，</w:t>
      </w:r>
      <w:r>
        <w:rPr>
          <w:rFonts w:hint="eastAsia" w:ascii="宋体" w:hAnsi="宋体" w:eastAsia="宋体" w:cs="宋体"/>
          <w:color w:val="auto"/>
          <w:sz w:val="21"/>
          <w:szCs w:val="21"/>
          <w:highlight w:val="none"/>
          <w:lang w:eastAsia="zh-CN"/>
        </w:rPr>
        <w:t>特殊</w:t>
      </w:r>
      <w:r>
        <w:rPr>
          <w:rFonts w:hint="eastAsia" w:ascii="宋体" w:hAnsi="宋体" w:eastAsia="宋体" w:cs="宋体"/>
          <w:color w:val="auto"/>
          <w:sz w:val="21"/>
          <w:szCs w:val="21"/>
          <w:highlight w:val="none"/>
        </w:rPr>
        <w:t>项目邀请纪检组参加</w:t>
      </w:r>
      <w:r>
        <w:rPr>
          <w:rStyle w:val="58"/>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履约约谈由处职能科室牵头，在项目管理过程中</w:t>
      </w:r>
      <w:r>
        <w:rPr>
          <w:rFonts w:hint="eastAsia" w:ascii="宋体" w:hAnsi="宋体" w:eastAsia="宋体" w:cs="宋体"/>
          <w:bCs/>
          <w:color w:val="auto"/>
          <w:sz w:val="21"/>
          <w:szCs w:val="21"/>
          <w:highlight w:val="none"/>
        </w:rPr>
        <w:t>对承包人（</w:t>
      </w:r>
      <w:r>
        <w:rPr>
          <w:rFonts w:hint="eastAsia" w:ascii="宋体" w:hAnsi="宋体" w:eastAsia="宋体" w:cs="宋体"/>
          <w:bCs/>
          <w:color w:val="auto"/>
          <w:sz w:val="21"/>
          <w:szCs w:val="21"/>
          <w:highlight w:val="none"/>
          <w:lang w:eastAsia="zh-CN"/>
        </w:rPr>
        <w:t>受</w:t>
      </w:r>
      <w:r>
        <w:rPr>
          <w:rFonts w:hint="eastAsia" w:ascii="宋体" w:hAnsi="宋体" w:eastAsia="宋体" w:cs="宋体"/>
          <w:bCs/>
          <w:color w:val="auto"/>
          <w:sz w:val="21"/>
          <w:szCs w:val="21"/>
          <w:highlight w:val="none"/>
        </w:rPr>
        <w:t>托人）进行的</w:t>
      </w:r>
      <w:r>
        <w:rPr>
          <w:rFonts w:hint="eastAsia" w:ascii="宋体" w:hAnsi="宋体" w:eastAsia="宋体" w:cs="宋体"/>
          <w:color w:val="auto"/>
          <w:sz w:val="21"/>
          <w:szCs w:val="21"/>
          <w:highlight w:val="none"/>
        </w:rPr>
        <w:t>提醒、警告等形式</w:t>
      </w:r>
      <w:r>
        <w:rPr>
          <w:rFonts w:hint="eastAsia" w:ascii="宋体" w:hAnsi="宋体" w:eastAsia="宋体" w:cs="宋体"/>
          <w:color w:val="auto"/>
          <w:sz w:val="21"/>
          <w:szCs w:val="21"/>
          <w:highlight w:val="none"/>
          <w:lang w:eastAsia="zh-CN"/>
        </w:rPr>
        <w:t>的约谈</w:t>
      </w:r>
      <w:r>
        <w:rPr>
          <w:rFonts w:hint="eastAsia" w:ascii="宋体" w:hAnsi="宋体" w:eastAsia="宋体" w:cs="宋体"/>
          <w:color w:val="auto"/>
          <w:sz w:val="21"/>
          <w:szCs w:val="21"/>
          <w:highlight w:val="none"/>
        </w:rPr>
        <w:t>。</w:t>
      </w:r>
    </w:p>
    <w:p w14:paraId="6FCE4B24">
      <w:pPr>
        <w:pStyle w:val="18"/>
        <w:keepNext w:val="0"/>
        <w:keepLines w:val="0"/>
        <w:pageBreakBefore w:val="0"/>
        <w:kinsoku/>
        <w:wordWrap/>
        <w:overflowPunct/>
        <w:topLinePunct w:val="0"/>
        <w:autoSpaceDE/>
        <w:autoSpaceDN/>
        <w:bidi w:val="0"/>
        <w:adjustRightInd/>
        <w:snapToGrid/>
        <w:spacing w:line="288" w:lineRule="auto"/>
        <w:ind w:firstLine="422"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第五条</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lang w:val="en-US" w:eastAsia="zh-CN"/>
        </w:rPr>
        <w:t>被</w:t>
      </w:r>
      <w:r>
        <w:rPr>
          <w:rFonts w:hint="eastAsia" w:ascii="宋体" w:hAnsi="宋体" w:eastAsia="宋体" w:cs="宋体"/>
          <w:color w:val="auto"/>
          <w:sz w:val="21"/>
          <w:szCs w:val="21"/>
          <w:highlight w:val="none"/>
          <w:lang w:eastAsia="zh-CN"/>
        </w:rPr>
        <w:t>约谈单位需</w:t>
      </w:r>
      <w:r>
        <w:rPr>
          <w:rFonts w:hint="eastAsia" w:ascii="宋体" w:hAnsi="宋体" w:eastAsia="宋体" w:cs="宋体"/>
          <w:color w:val="auto"/>
          <w:sz w:val="21"/>
          <w:szCs w:val="21"/>
          <w:highlight w:val="none"/>
        </w:rPr>
        <w:t>法定代表人或</w:t>
      </w:r>
      <w:r>
        <w:rPr>
          <w:rFonts w:hint="eastAsia" w:ascii="宋体" w:hAnsi="宋体" w:eastAsia="宋体" w:cs="宋体"/>
          <w:color w:val="auto"/>
          <w:sz w:val="21"/>
          <w:szCs w:val="21"/>
          <w:highlight w:val="none"/>
          <w:lang w:eastAsia="zh-CN"/>
        </w:rPr>
        <w:t>企业</w:t>
      </w:r>
      <w:r>
        <w:rPr>
          <w:rFonts w:hint="eastAsia" w:ascii="宋体" w:hAnsi="宋体" w:eastAsia="宋体" w:cs="宋体"/>
          <w:color w:val="auto"/>
          <w:sz w:val="21"/>
          <w:szCs w:val="21"/>
          <w:highlight w:val="none"/>
        </w:rPr>
        <w:t>负责人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项目负责人</w:t>
      </w:r>
      <w:r>
        <w:rPr>
          <w:rFonts w:hint="eastAsia" w:ascii="宋体" w:hAnsi="宋体" w:eastAsia="宋体" w:cs="宋体"/>
          <w:color w:val="auto"/>
          <w:sz w:val="21"/>
          <w:szCs w:val="21"/>
          <w:highlight w:val="none"/>
          <w:lang w:eastAsia="zh-CN"/>
        </w:rPr>
        <w:t>和</w:t>
      </w:r>
      <w:r>
        <w:rPr>
          <w:rFonts w:hint="eastAsia" w:ascii="宋体" w:hAnsi="宋体" w:eastAsia="宋体" w:cs="宋体"/>
          <w:color w:val="auto"/>
          <w:sz w:val="21"/>
          <w:szCs w:val="21"/>
          <w:highlight w:val="none"/>
        </w:rPr>
        <w:t>项目技术负责人等携带有效</w:t>
      </w:r>
      <w:r>
        <w:rPr>
          <w:rFonts w:hint="eastAsia" w:ascii="宋体" w:hAnsi="宋体" w:eastAsia="宋体" w:cs="宋体"/>
          <w:color w:val="auto"/>
          <w:sz w:val="21"/>
          <w:szCs w:val="21"/>
          <w:highlight w:val="none"/>
          <w:lang w:eastAsia="zh-CN"/>
        </w:rPr>
        <w:t>身份</w:t>
      </w:r>
      <w:r>
        <w:rPr>
          <w:rFonts w:hint="eastAsia" w:ascii="宋体" w:hAnsi="宋体" w:eastAsia="宋体" w:cs="宋体"/>
          <w:color w:val="auto"/>
          <w:sz w:val="21"/>
          <w:szCs w:val="21"/>
          <w:highlight w:val="none"/>
        </w:rPr>
        <w:t>证件参加约谈，</w:t>
      </w:r>
      <w:r>
        <w:rPr>
          <w:rFonts w:hint="eastAsia" w:ascii="宋体" w:hAnsi="宋体" w:eastAsia="宋体" w:cs="宋体"/>
          <w:color w:val="auto"/>
          <w:sz w:val="21"/>
          <w:szCs w:val="21"/>
          <w:highlight w:val="none"/>
          <w:lang w:eastAsia="zh-CN"/>
        </w:rPr>
        <w:t>企业</w:t>
      </w:r>
      <w:r>
        <w:rPr>
          <w:rFonts w:hint="eastAsia" w:ascii="宋体" w:hAnsi="宋体" w:eastAsia="宋体" w:cs="宋体"/>
          <w:color w:val="auto"/>
          <w:sz w:val="21"/>
          <w:szCs w:val="21"/>
          <w:highlight w:val="none"/>
        </w:rPr>
        <w:t>负责人</w:t>
      </w:r>
      <w:r>
        <w:rPr>
          <w:rFonts w:hint="eastAsia" w:ascii="宋体" w:hAnsi="宋体" w:eastAsia="宋体" w:cs="宋体"/>
          <w:color w:val="auto"/>
          <w:sz w:val="21"/>
          <w:szCs w:val="21"/>
          <w:highlight w:val="none"/>
          <w:lang w:eastAsia="zh-CN"/>
        </w:rPr>
        <w:t>还</w:t>
      </w:r>
      <w:r>
        <w:rPr>
          <w:rFonts w:hint="eastAsia" w:ascii="宋体" w:hAnsi="宋体" w:eastAsia="宋体" w:cs="宋体"/>
          <w:color w:val="auto"/>
          <w:sz w:val="21"/>
          <w:szCs w:val="21"/>
          <w:highlight w:val="none"/>
        </w:rPr>
        <w:t>需携带公司授权委托书</w:t>
      </w:r>
      <w:r>
        <w:rPr>
          <w:rFonts w:hint="eastAsia" w:ascii="宋体" w:hAnsi="宋体" w:eastAsia="宋体" w:cs="宋体"/>
          <w:color w:val="auto"/>
          <w:sz w:val="21"/>
          <w:szCs w:val="21"/>
          <w:highlight w:val="none"/>
          <w:lang w:eastAsia="zh-CN"/>
        </w:rPr>
        <w:t>和职务证明</w:t>
      </w:r>
      <w:r>
        <w:rPr>
          <w:rFonts w:hint="eastAsia" w:ascii="宋体" w:hAnsi="宋体" w:eastAsia="宋体" w:cs="宋体"/>
          <w:color w:val="auto"/>
          <w:sz w:val="21"/>
          <w:szCs w:val="21"/>
          <w:highlight w:val="none"/>
        </w:rPr>
        <w:t>文件。</w:t>
      </w:r>
    </w:p>
    <w:p w14:paraId="0F93C434">
      <w:pPr>
        <w:pStyle w:val="18"/>
        <w:keepNext w:val="0"/>
        <w:keepLines w:val="0"/>
        <w:pageBreakBefore w:val="0"/>
        <w:kinsoku/>
        <w:wordWrap/>
        <w:overflowPunct/>
        <w:topLinePunct w:val="0"/>
        <w:autoSpaceDE/>
        <w:autoSpaceDN/>
        <w:bidi w:val="0"/>
        <w:adjustRightInd/>
        <w:snapToGrid/>
        <w:spacing w:line="288" w:lineRule="auto"/>
        <w:ind w:firstLine="422" w:firstLineChars="200"/>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b/>
          <w:color w:val="auto"/>
          <w:sz w:val="21"/>
          <w:szCs w:val="21"/>
          <w:highlight w:val="none"/>
        </w:rPr>
        <w:t>第</w:t>
      </w:r>
      <w:r>
        <w:rPr>
          <w:rFonts w:hint="eastAsia" w:ascii="宋体" w:hAnsi="宋体" w:eastAsia="宋体" w:cs="宋体"/>
          <w:b/>
          <w:color w:val="auto"/>
          <w:sz w:val="21"/>
          <w:szCs w:val="21"/>
          <w:highlight w:val="none"/>
          <w:lang w:eastAsia="zh-CN"/>
        </w:rPr>
        <w:t>六</w:t>
      </w:r>
      <w:r>
        <w:rPr>
          <w:rFonts w:hint="eastAsia" w:ascii="宋体" w:hAnsi="宋体" w:eastAsia="宋体" w:cs="宋体"/>
          <w:b/>
          <w:color w:val="auto"/>
          <w:sz w:val="21"/>
          <w:szCs w:val="21"/>
          <w:highlight w:val="none"/>
        </w:rPr>
        <w:t xml:space="preserve">条 </w:t>
      </w:r>
      <w:r>
        <w:rPr>
          <w:rFonts w:hint="eastAsia" w:ascii="宋体" w:hAnsi="宋体" w:eastAsia="宋体" w:cs="宋体"/>
          <w:color w:val="auto"/>
          <w:sz w:val="21"/>
          <w:szCs w:val="21"/>
          <w:highlight w:val="none"/>
        </w:rPr>
        <w:t>履约约谈</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情形</w:t>
      </w:r>
      <w:r>
        <w:rPr>
          <w:rFonts w:hint="eastAsia" w:ascii="宋体" w:hAnsi="宋体" w:eastAsia="宋体" w:cs="宋体"/>
          <w:color w:val="auto"/>
          <w:sz w:val="21"/>
          <w:szCs w:val="21"/>
          <w:highlight w:val="none"/>
          <w:lang w:eastAsia="zh-CN"/>
        </w:rPr>
        <w:t>：</w:t>
      </w:r>
    </w:p>
    <w:p w14:paraId="667E7980">
      <w:pPr>
        <w:pStyle w:val="18"/>
        <w:keepNext w:val="0"/>
        <w:keepLines w:val="0"/>
        <w:pageBreakBefore w:val="0"/>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（一）人员</w:t>
      </w:r>
      <w:r>
        <w:rPr>
          <w:rFonts w:hint="eastAsia" w:ascii="宋体" w:hAnsi="宋体" w:eastAsia="宋体" w:cs="宋体"/>
          <w:color w:val="auto"/>
          <w:sz w:val="21"/>
          <w:szCs w:val="21"/>
          <w:highlight w:val="none"/>
        </w:rPr>
        <w:t>到岗、履责</w:t>
      </w:r>
      <w:r>
        <w:rPr>
          <w:rFonts w:hint="eastAsia" w:ascii="宋体" w:hAnsi="宋体" w:eastAsia="宋体" w:cs="宋体"/>
          <w:bCs/>
          <w:color w:val="auto"/>
          <w:sz w:val="21"/>
          <w:szCs w:val="21"/>
          <w:highlight w:val="none"/>
        </w:rPr>
        <w:t>不符合要求的；</w:t>
      </w:r>
    </w:p>
    <w:p w14:paraId="57871364">
      <w:pPr>
        <w:keepNext w:val="0"/>
        <w:keepLines w:val="0"/>
        <w:pageBreakBefore w:val="0"/>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（二）不配合办理项目建设手续的；</w:t>
      </w:r>
    </w:p>
    <w:p w14:paraId="095441F5">
      <w:pPr>
        <w:pStyle w:val="18"/>
        <w:keepNext w:val="0"/>
        <w:keepLines w:val="0"/>
        <w:pageBreakBefore w:val="0"/>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（三）出现质量安全隐患整改</w:t>
      </w:r>
      <w:r>
        <w:rPr>
          <w:rFonts w:hint="eastAsia" w:ascii="宋体" w:hAnsi="宋体" w:eastAsia="宋体" w:cs="宋体"/>
          <w:color w:val="auto"/>
          <w:sz w:val="21"/>
          <w:szCs w:val="21"/>
          <w:highlight w:val="none"/>
        </w:rPr>
        <w:t>不及时、不到位的</w:t>
      </w:r>
      <w:r>
        <w:rPr>
          <w:rFonts w:hint="eastAsia" w:ascii="宋体" w:hAnsi="宋体" w:eastAsia="宋体" w:cs="宋体"/>
          <w:bCs/>
          <w:color w:val="auto"/>
          <w:sz w:val="21"/>
          <w:szCs w:val="21"/>
          <w:highlight w:val="none"/>
        </w:rPr>
        <w:t>；</w:t>
      </w:r>
    </w:p>
    <w:p w14:paraId="6C8230F7">
      <w:pPr>
        <w:pStyle w:val="18"/>
        <w:keepNext w:val="0"/>
        <w:keepLines w:val="0"/>
        <w:pageBreakBefore w:val="0"/>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（四）施工现场不服从调度或工程进度</w:t>
      </w:r>
      <w:r>
        <w:rPr>
          <w:rFonts w:hint="eastAsia" w:ascii="宋体" w:hAnsi="宋体" w:eastAsia="宋体" w:cs="宋体"/>
          <w:color w:val="auto"/>
          <w:sz w:val="21"/>
          <w:szCs w:val="21"/>
          <w:highlight w:val="none"/>
        </w:rPr>
        <w:t>滞后</w:t>
      </w:r>
      <w:r>
        <w:rPr>
          <w:rFonts w:hint="eastAsia" w:ascii="宋体" w:hAnsi="宋体" w:eastAsia="宋体" w:cs="宋体"/>
          <w:bCs/>
          <w:color w:val="auto"/>
          <w:sz w:val="21"/>
          <w:szCs w:val="21"/>
          <w:highlight w:val="none"/>
        </w:rPr>
        <w:t>，严重影响工期的；</w:t>
      </w:r>
    </w:p>
    <w:p w14:paraId="3C76AFD0">
      <w:pPr>
        <w:keepNext w:val="0"/>
        <w:keepLines w:val="0"/>
        <w:pageBreakBefore w:val="0"/>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（五）出现质量安全事故的；</w:t>
      </w:r>
    </w:p>
    <w:p w14:paraId="6966865A">
      <w:pPr>
        <w:keepNext w:val="0"/>
        <w:keepLines w:val="0"/>
        <w:pageBreakBefore w:val="0"/>
        <w:widowControl/>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（六）拖欠农民工工资或因工资、材料款</w:t>
      </w:r>
      <w:r>
        <w:rPr>
          <w:rFonts w:hint="eastAsia" w:ascii="宋体" w:hAnsi="宋体" w:eastAsia="宋体" w:cs="宋体"/>
          <w:color w:val="auto"/>
          <w:sz w:val="21"/>
          <w:szCs w:val="21"/>
          <w:highlight w:val="none"/>
        </w:rPr>
        <w:t>原因</w:t>
      </w:r>
      <w:r>
        <w:rPr>
          <w:rFonts w:hint="eastAsia" w:ascii="宋体" w:hAnsi="宋体" w:eastAsia="宋体" w:cs="宋体"/>
          <w:bCs/>
          <w:color w:val="auto"/>
          <w:sz w:val="21"/>
          <w:szCs w:val="21"/>
          <w:highlight w:val="none"/>
        </w:rPr>
        <w:t>等造成一定影响的</w:t>
      </w:r>
      <w:r>
        <w:rPr>
          <w:rFonts w:hint="eastAsia" w:ascii="宋体" w:hAnsi="宋体" w:eastAsia="宋体" w:cs="宋体"/>
          <w:bCs/>
          <w:color w:val="auto"/>
          <w:sz w:val="21"/>
          <w:szCs w:val="21"/>
          <w:highlight w:val="none"/>
          <w:lang w:eastAsia="zh-CN"/>
        </w:rPr>
        <w:t>或</w:t>
      </w:r>
      <w:r>
        <w:rPr>
          <w:rFonts w:hint="eastAsia" w:ascii="宋体" w:hAnsi="宋体" w:eastAsia="宋体" w:cs="宋体"/>
          <w:bCs/>
          <w:color w:val="auto"/>
          <w:sz w:val="21"/>
          <w:szCs w:val="21"/>
          <w:highlight w:val="none"/>
        </w:rPr>
        <w:t>出现群访事件处理不及时的；</w:t>
      </w:r>
    </w:p>
    <w:p w14:paraId="2F1EA6D6">
      <w:pPr>
        <w:pStyle w:val="2"/>
        <w:keepNext w:val="0"/>
        <w:keepLines w:val="0"/>
        <w:pageBreakBefore w:val="0"/>
        <w:kinsoku/>
        <w:wordWrap/>
        <w:overflowPunct/>
        <w:topLinePunct w:val="0"/>
        <w:autoSpaceDE/>
        <w:autoSpaceDN/>
        <w:bidi w:val="0"/>
        <w:adjustRightInd/>
        <w:snapToGrid/>
        <w:spacing w:line="288" w:lineRule="auto"/>
        <w:ind w:left="0" w:leftChars="0" w:firstLine="64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（七）工程竣工半年(含)以上经多次催促未完成竣工结算的；</w:t>
      </w:r>
    </w:p>
    <w:p w14:paraId="7AC50F1D">
      <w:pPr>
        <w:keepNext w:val="0"/>
        <w:keepLines w:val="0"/>
        <w:pageBreakBefore w:val="0"/>
        <w:widowControl/>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（八）未按合同期限按时移交的；</w:t>
      </w:r>
    </w:p>
    <w:p w14:paraId="358521D0">
      <w:pPr>
        <w:pStyle w:val="2"/>
        <w:keepNext w:val="0"/>
        <w:keepLines w:val="0"/>
        <w:pageBreakBefore w:val="0"/>
        <w:kinsoku/>
        <w:wordWrap/>
        <w:overflowPunct/>
        <w:topLinePunct w:val="0"/>
        <w:autoSpaceDE/>
        <w:autoSpaceDN/>
        <w:bidi w:val="0"/>
        <w:adjustRightInd/>
        <w:snapToGrid/>
        <w:spacing w:line="288" w:lineRule="auto"/>
        <w:ind w:left="0" w:leftChars="0" w:firstLine="64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（九）不按规定提供工程资料造成不能归档的或归档不及时的；</w:t>
      </w:r>
    </w:p>
    <w:p w14:paraId="7B75D8F3">
      <w:pPr>
        <w:keepNext w:val="0"/>
        <w:keepLines w:val="0"/>
        <w:pageBreakBefore w:val="0"/>
        <w:widowControl/>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（十）其他情形。</w:t>
      </w:r>
    </w:p>
    <w:p w14:paraId="679463FE">
      <w:pPr>
        <w:keepNext w:val="0"/>
        <w:keepLines w:val="0"/>
        <w:pageBreakBefore w:val="0"/>
        <w:kinsoku/>
        <w:wordWrap/>
        <w:overflowPunct/>
        <w:topLinePunct w:val="0"/>
        <w:autoSpaceDE/>
        <w:autoSpaceDN/>
        <w:bidi w:val="0"/>
        <w:adjustRightInd/>
        <w:snapToGrid/>
        <w:spacing w:line="288" w:lineRule="auto"/>
        <w:ind w:firstLine="422"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
          <w:color w:val="auto"/>
          <w:sz w:val="21"/>
          <w:szCs w:val="21"/>
          <w:highlight w:val="none"/>
        </w:rPr>
        <w:t>第</w:t>
      </w:r>
      <w:r>
        <w:rPr>
          <w:rFonts w:hint="eastAsia" w:ascii="宋体" w:hAnsi="宋体" w:eastAsia="宋体" w:cs="宋体"/>
          <w:b/>
          <w:color w:val="auto"/>
          <w:sz w:val="21"/>
          <w:szCs w:val="21"/>
          <w:highlight w:val="none"/>
          <w:lang w:eastAsia="zh-CN"/>
        </w:rPr>
        <w:t>七</w:t>
      </w:r>
      <w:r>
        <w:rPr>
          <w:rFonts w:hint="eastAsia" w:ascii="宋体" w:hAnsi="宋体" w:eastAsia="宋体" w:cs="宋体"/>
          <w:b/>
          <w:color w:val="auto"/>
          <w:sz w:val="21"/>
          <w:szCs w:val="21"/>
          <w:highlight w:val="none"/>
        </w:rPr>
        <w:t xml:space="preserve">条 </w:t>
      </w:r>
      <w:r>
        <w:rPr>
          <w:rFonts w:hint="eastAsia" w:ascii="宋体" w:hAnsi="宋体" w:eastAsia="宋体" w:cs="宋体"/>
          <w:bCs/>
          <w:color w:val="auto"/>
          <w:sz w:val="21"/>
          <w:szCs w:val="21"/>
          <w:highlight w:val="none"/>
        </w:rPr>
        <w:t>罚则</w:t>
      </w:r>
    </w:p>
    <w:p w14:paraId="540206E2">
      <w:pPr>
        <w:pStyle w:val="18"/>
        <w:keepNext w:val="0"/>
        <w:keepLines w:val="0"/>
        <w:pageBreakBefore w:val="0"/>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w:t>
      </w:r>
      <w:r>
        <w:rPr>
          <w:rFonts w:hint="eastAsia" w:ascii="宋体" w:hAnsi="宋体" w:eastAsia="宋体" w:cs="宋体"/>
          <w:bCs/>
          <w:color w:val="auto"/>
          <w:sz w:val="21"/>
          <w:szCs w:val="21"/>
          <w:highlight w:val="none"/>
        </w:rPr>
        <w:t>未经批准</w:t>
      </w:r>
      <w:r>
        <w:rPr>
          <w:rFonts w:hint="eastAsia" w:ascii="宋体" w:hAnsi="宋体" w:eastAsia="宋体" w:cs="宋体"/>
          <w:bCs/>
          <w:color w:val="auto"/>
          <w:sz w:val="21"/>
          <w:szCs w:val="21"/>
          <w:highlight w:val="none"/>
          <w:lang w:eastAsia="zh-CN"/>
        </w:rPr>
        <w:t>不</w:t>
      </w:r>
      <w:r>
        <w:rPr>
          <w:rFonts w:hint="eastAsia" w:ascii="宋体" w:hAnsi="宋体" w:eastAsia="宋体" w:cs="宋体"/>
          <w:bCs/>
          <w:color w:val="auto"/>
          <w:sz w:val="21"/>
          <w:szCs w:val="21"/>
          <w:highlight w:val="none"/>
        </w:rPr>
        <w:t>按规定参加中标约谈的，取消中标资格，</w:t>
      </w:r>
      <w:r>
        <w:rPr>
          <w:rFonts w:hint="eastAsia" w:ascii="宋体" w:hAnsi="宋体" w:eastAsia="宋体" w:cs="宋体"/>
          <w:color w:val="auto"/>
          <w:sz w:val="21"/>
          <w:szCs w:val="21"/>
          <w:highlight w:val="none"/>
        </w:rPr>
        <w:t>投标保证金</w:t>
      </w:r>
      <w:r>
        <w:rPr>
          <w:rFonts w:hint="eastAsia" w:ascii="宋体" w:hAnsi="宋体" w:eastAsia="宋体" w:cs="宋体"/>
          <w:color w:val="auto"/>
          <w:sz w:val="21"/>
          <w:szCs w:val="21"/>
          <w:highlight w:val="none"/>
          <w:lang w:eastAsia="zh-CN"/>
        </w:rPr>
        <w:t>不予退还</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情节严重的，提请建设、招标等行政主管部门依法查处。</w:t>
      </w:r>
    </w:p>
    <w:p w14:paraId="048619D5">
      <w:pPr>
        <w:keepNext w:val="0"/>
        <w:keepLines w:val="0"/>
        <w:pageBreakBefore w:val="0"/>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（二）未经批准</w:t>
      </w:r>
      <w:r>
        <w:rPr>
          <w:rFonts w:hint="eastAsia" w:ascii="宋体" w:hAnsi="宋体" w:eastAsia="宋体" w:cs="宋体"/>
          <w:color w:val="auto"/>
          <w:sz w:val="21"/>
          <w:szCs w:val="21"/>
          <w:highlight w:val="none"/>
          <w:lang w:eastAsia="zh-CN"/>
        </w:rPr>
        <w:t>不</w:t>
      </w:r>
      <w:r>
        <w:rPr>
          <w:rFonts w:hint="eastAsia" w:ascii="宋体" w:hAnsi="宋体" w:eastAsia="宋体" w:cs="宋体"/>
          <w:color w:val="auto"/>
          <w:sz w:val="21"/>
          <w:szCs w:val="21"/>
          <w:highlight w:val="none"/>
        </w:rPr>
        <w:t>按规定参加履约约谈</w:t>
      </w:r>
      <w:r>
        <w:rPr>
          <w:rFonts w:hint="eastAsia" w:ascii="宋体" w:hAnsi="宋体" w:eastAsia="宋体" w:cs="宋体"/>
          <w:bCs/>
          <w:color w:val="auto"/>
          <w:sz w:val="21"/>
          <w:szCs w:val="21"/>
          <w:highlight w:val="none"/>
        </w:rPr>
        <w:t>的或</w:t>
      </w:r>
      <w:r>
        <w:rPr>
          <w:rFonts w:hint="eastAsia" w:ascii="宋体" w:hAnsi="宋体" w:eastAsia="宋体" w:cs="宋体"/>
          <w:color w:val="auto"/>
          <w:sz w:val="21"/>
          <w:szCs w:val="21"/>
          <w:highlight w:val="none"/>
        </w:rPr>
        <w:t>约谈后未按要求整改的</w:t>
      </w:r>
      <w:r>
        <w:rPr>
          <w:rFonts w:hint="eastAsia" w:ascii="宋体" w:hAnsi="宋体" w:eastAsia="宋体" w:cs="宋体"/>
          <w:color w:val="auto"/>
          <w:sz w:val="21"/>
          <w:szCs w:val="21"/>
          <w:highlight w:val="none"/>
          <w:lang w:eastAsia="zh-CN"/>
        </w:rPr>
        <w:t>或</w:t>
      </w:r>
      <w:r>
        <w:rPr>
          <w:rFonts w:hint="eastAsia" w:ascii="宋体" w:hAnsi="宋体" w:eastAsia="宋体" w:cs="宋体"/>
          <w:color w:val="auto"/>
          <w:sz w:val="21"/>
          <w:szCs w:val="21"/>
          <w:highlight w:val="none"/>
        </w:rPr>
        <w:t>限期内整改</w:t>
      </w:r>
      <w:r>
        <w:rPr>
          <w:rFonts w:hint="eastAsia" w:ascii="宋体" w:hAnsi="宋体" w:eastAsia="宋体" w:cs="宋体"/>
          <w:color w:val="auto"/>
          <w:sz w:val="21"/>
          <w:szCs w:val="21"/>
          <w:highlight w:val="none"/>
          <w:lang w:eastAsia="zh-CN"/>
        </w:rPr>
        <w:t>不到位</w:t>
      </w:r>
      <w:r>
        <w:rPr>
          <w:rFonts w:hint="eastAsia" w:ascii="宋体" w:hAnsi="宋体" w:eastAsia="宋体" w:cs="宋体"/>
          <w:color w:val="auto"/>
          <w:sz w:val="21"/>
          <w:szCs w:val="21"/>
          <w:highlight w:val="none"/>
        </w:rPr>
        <w:t>的，情节严重的，提请建设、招标等行政主管部门依法查处。</w:t>
      </w:r>
    </w:p>
    <w:p w14:paraId="622EA70E">
      <w:pPr>
        <w:keepNext w:val="0"/>
        <w:keepLines w:val="0"/>
        <w:pageBreakBefore w:val="0"/>
        <w:kinsoku/>
        <w:wordWrap/>
        <w:overflowPunct/>
        <w:topLinePunct w:val="0"/>
        <w:autoSpaceDE/>
        <w:autoSpaceDN/>
        <w:bidi w:val="0"/>
        <w:adjustRightInd/>
        <w:snapToGrid/>
        <w:spacing w:line="288" w:lineRule="auto"/>
        <w:ind w:firstLine="422"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val="0"/>
          <w:color w:val="auto"/>
          <w:sz w:val="21"/>
          <w:szCs w:val="21"/>
          <w:highlight w:val="none"/>
        </w:rPr>
        <w:t>第</w:t>
      </w:r>
      <w:r>
        <w:rPr>
          <w:rFonts w:hint="eastAsia" w:ascii="宋体" w:hAnsi="宋体" w:eastAsia="宋体" w:cs="宋体"/>
          <w:b/>
          <w:bCs w:val="0"/>
          <w:color w:val="auto"/>
          <w:sz w:val="21"/>
          <w:szCs w:val="21"/>
          <w:highlight w:val="none"/>
          <w:lang w:eastAsia="zh-CN"/>
        </w:rPr>
        <w:t>八</w:t>
      </w:r>
      <w:r>
        <w:rPr>
          <w:rFonts w:hint="eastAsia" w:ascii="宋体" w:hAnsi="宋体" w:eastAsia="宋体" w:cs="宋体"/>
          <w:b/>
          <w:bCs w:val="0"/>
          <w:color w:val="auto"/>
          <w:sz w:val="21"/>
          <w:szCs w:val="21"/>
          <w:highlight w:val="none"/>
        </w:rPr>
        <w:t>条</w:t>
      </w:r>
      <w:r>
        <w:rPr>
          <w:rFonts w:hint="eastAsia" w:ascii="宋体" w:hAnsi="宋体" w:eastAsia="宋体" w:cs="宋体"/>
          <w:b/>
          <w:bCs/>
          <w:color w:val="auto"/>
          <w:sz w:val="21"/>
          <w:szCs w:val="21"/>
          <w:highlight w:val="none"/>
        </w:rPr>
        <w:t xml:space="preserve"> </w:t>
      </w:r>
      <w:r>
        <w:rPr>
          <w:rFonts w:hint="eastAsia" w:ascii="宋体" w:hAnsi="宋体" w:eastAsia="宋体" w:cs="宋体"/>
          <w:color w:val="auto"/>
          <w:sz w:val="21"/>
          <w:szCs w:val="21"/>
          <w:highlight w:val="none"/>
        </w:rPr>
        <w:t>本规定自发布之日起施行</w:t>
      </w:r>
      <w:r>
        <w:rPr>
          <w:rFonts w:hint="eastAsia" w:ascii="宋体" w:hAnsi="宋体" w:eastAsia="宋体" w:cs="宋体"/>
          <w:color w:val="auto"/>
          <w:sz w:val="21"/>
          <w:szCs w:val="21"/>
          <w:highlight w:val="none"/>
          <w:lang w:eastAsia="zh-CN"/>
        </w:rPr>
        <w:t>，处属各中心参照执行</w:t>
      </w:r>
      <w:r>
        <w:rPr>
          <w:rFonts w:hint="eastAsia" w:ascii="宋体" w:hAnsi="宋体" w:eastAsia="宋体" w:cs="宋体"/>
          <w:color w:val="auto"/>
          <w:sz w:val="21"/>
          <w:szCs w:val="21"/>
          <w:highlight w:val="none"/>
        </w:rPr>
        <w:t>。</w:t>
      </w:r>
    </w:p>
    <w:p w14:paraId="2A5D12A8">
      <w:pPr>
        <w:pStyle w:val="28"/>
        <w:keepNext w:val="0"/>
        <w:keepLines w:val="0"/>
        <w:pageBreakBefore w:val="0"/>
        <w:kinsoku/>
        <w:wordWrap/>
        <w:overflowPunct/>
        <w:topLinePunct w:val="0"/>
        <w:autoSpaceDE/>
        <w:autoSpaceDN/>
        <w:bidi w:val="0"/>
        <w:adjustRightInd/>
        <w:snapToGrid/>
        <w:spacing w:line="288"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附件：到岗履责承诺书</w:t>
      </w:r>
    </w:p>
    <w:p w14:paraId="2114E40B">
      <w:pPr>
        <w:keepNext w:val="0"/>
        <w:keepLines w:val="0"/>
        <w:pageBreakBefore/>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4"/>
          <w:szCs w:val="24"/>
          <w:highlight w:val="none"/>
        </w:rPr>
      </w:pPr>
      <w:r>
        <w:rPr>
          <w:rFonts w:hint="eastAsia" w:ascii="宋体" w:hAnsi="宋体" w:eastAsia="宋体" w:cs="宋体"/>
          <w:b/>
          <w:bCs w:val="0"/>
          <w:color w:val="auto"/>
          <w:sz w:val="24"/>
          <w:szCs w:val="24"/>
          <w:highlight w:val="none"/>
        </w:rPr>
        <w:t>到岗履责承诺书</w:t>
      </w:r>
    </w:p>
    <w:p w14:paraId="4B3B6941">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p>
    <w:p w14:paraId="465A1363">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本人被任命为</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工程</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岗位职务，本人保证能到岗到位，履行岗位管理职责，并做如下郑重承诺：</w:t>
      </w:r>
    </w:p>
    <w:p w14:paraId="2C492056">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一、按本项目招标文件及滁州市相关文件等要求，若不能按要求到岗，同意接受处罚；</w:t>
      </w:r>
    </w:p>
    <w:p w14:paraId="7D49E88B">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二、本人按招、投标文件的承诺等，履行相关法律、法规、规范和合同约定的义务；否则，按有关法律、法规和重点</w:t>
      </w:r>
      <w:r>
        <w:rPr>
          <w:rFonts w:hint="eastAsia" w:ascii="宋体" w:hAnsi="宋体" w:eastAsia="宋体" w:cs="宋体"/>
          <w:color w:val="auto"/>
          <w:sz w:val="24"/>
          <w:szCs w:val="24"/>
          <w:highlight w:val="none"/>
          <w:lang w:eastAsia="zh-CN"/>
        </w:rPr>
        <w:t>处</w:t>
      </w:r>
      <w:r>
        <w:rPr>
          <w:rFonts w:hint="eastAsia" w:ascii="宋体" w:hAnsi="宋体" w:eastAsia="宋体" w:cs="宋体"/>
          <w:color w:val="auto"/>
          <w:sz w:val="24"/>
          <w:szCs w:val="24"/>
          <w:highlight w:val="none"/>
        </w:rPr>
        <w:t>有关文件进行处罚。</w:t>
      </w:r>
    </w:p>
    <w:p w14:paraId="53510BF2">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三、本人同意把岗位证书交重点</w:t>
      </w:r>
      <w:r>
        <w:rPr>
          <w:rFonts w:hint="eastAsia" w:ascii="宋体" w:hAnsi="宋体" w:eastAsia="宋体" w:cs="宋体"/>
          <w:color w:val="auto"/>
          <w:sz w:val="24"/>
          <w:szCs w:val="24"/>
          <w:highlight w:val="none"/>
          <w:lang w:eastAsia="zh-CN"/>
        </w:rPr>
        <w:t>处</w:t>
      </w:r>
      <w:r>
        <w:rPr>
          <w:rFonts w:hint="eastAsia" w:ascii="宋体" w:hAnsi="宋体" w:eastAsia="宋体" w:cs="宋体"/>
          <w:color w:val="auto"/>
          <w:sz w:val="24"/>
          <w:szCs w:val="24"/>
          <w:highlight w:val="none"/>
        </w:rPr>
        <w:t>保管，直至工程竣工验收。若在工程施工管理过程中存在违法违规行为，愿意把自己岗位证书交相关管理部门注销。</w:t>
      </w:r>
    </w:p>
    <w:p w14:paraId="648E7599">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四、施工单位建造师、项目技术负责人、“五大员”等承诺常驻现场；监理单位总监、总监代表、专业监理、监理员、见证取样员等承诺常驻现场。</w:t>
      </w:r>
    </w:p>
    <w:p w14:paraId="6D054340">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五、项目部、监理部组成人员承诺一周内到岗，否则同意取消中标资格。</w:t>
      </w:r>
    </w:p>
    <w:p w14:paraId="30AE09E3">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六、项目部人员考勤由总监理工程师负责，业主代表每周进行随机考勤抽查，如考勤抽查记录与监理考勤记录不符，情况核实后，将对监理单位进行严厉处罚。</w:t>
      </w:r>
    </w:p>
    <w:p w14:paraId="0598EA3E">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p>
    <w:p w14:paraId="3B6F561C">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承诺人：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承诺人所在单位：</w:t>
      </w:r>
    </w:p>
    <w:p w14:paraId="04E65246">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                             年   月   日</w:t>
      </w:r>
    </w:p>
    <w:p w14:paraId="28349321">
      <w:pPr>
        <w:pStyle w:val="20"/>
        <w:jc w:val="left"/>
        <w:rPr>
          <w:rFonts w:hint="eastAsia" w:ascii="宋体" w:hAnsi="宋体" w:eastAsia="宋体" w:cs="宋体"/>
          <w:color w:val="auto"/>
          <w:kern w:val="0"/>
          <w:sz w:val="24"/>
          <w:szCs w:val="24"/>
          <w:highlight w:val="none"/>
        </w:rPr>
      </w:pPr>
    </w:p>
    <w:p w14:paraId="2D9AB935">
      <w:pPr>
        <w:pStyle w:val="20"/>
        <w:jc w:val="left"/>
        <w:rPr>
          <w:rFonts w:hint="eastAsia" w:ascii="宋体" w:hAnsi="宋体" w:eastAsia="宋体" w:cs="宋体"/>
          <w:color w:val="auto"/>
          <w:kern w:val="0"/>
          <w:sz w:val="24"/>
          <w:szCs w:val="24"/>
          <w:highlight w:val="none"/>
        </w:rPr>
      </w:pPr>
    </w:p>
    <w:p w14:paraId="21A15060">
      <w:pPr>
        <w:pStyle w:val="20"/>
        <w:jc w:val="left"/>
        <w:rPr>
          <w:rFonts w:hint="eastAsia" w:ascii="宋体" w:hAnsi="宋体" w:eastAsia="宋体" w:cs="宋体"/>
          <w:color w:val="auto"/>
          <w:kern w:val="0"/>
          <w:sz w:val="24"/>
          <w:szCs w:val="24"/>
          <w:highlight w:val="none"/>
        </w:rPr>
      </w:pPr>
    </w:p>
    <w:bookmarkEnd w:id="70"/>
    <w:sectPr>
      <w:footerReference r:id="rId11" w:type="default"/>
      <w:pgSz w:w="11906" w:h="16838"/>
      <w:pgMar w:top="935" w:right="1106" w:bottom="936" w:left="1259" w:header="680" w:footer="680" w:gutter="0"/>
      <w:pgNumType w:fmt="decimal"/>
      <w:cols w:space="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B0500000000000000"/>
    <w:charset w:val="86"/>
    <w:family w:val="modern"/>
    <w:pitch w:val="default"/>
    <w:sig w:usb0="00000000" w:usb1="00000000" w:usb2="00000016" w:usb3="00000000" w:csb0="602E0107"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imes">
    <w:altName w:val="Times New Roman"/>
    <w:panose1 w:val="02020603060405020304"/>
    <w:charset w:val="00"/>
    <w:family w:val="roman"/>
    <w:pitch w:val="default"/>
    <w:sig w:usb0="00000000" w:usb1="00000000" w:usb2="00000000" w:usb3="00000000" w:csb0="00000093"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幼圆">
    <w:altName w:val="宋体"/>
    <w:panose1 w:val="02010509060101010101"/>
    <w:charset w:val="86"/>
    <w:family w:val="modern"/>
    <w:pitch w:val="default"/>
    <w:sig w:usb0="00000000" w:usb1="00000000" w:usb2="00000000" w:usb3="00000000" w:csb0="00040000" w:csb1="00000000"/>
  </w:font>
  <w:font w:name="宋体-18030">
    <w:altName w:val="宋体"/>
    <w:panose1 w:val="02010609060101010101"/>
    <w:charset w:val="86"/>
    <w:family w:val="modern"/>
    <w:pitch w:val="default"/>
    <w:sig w:usb0="00000000" w:usb1="00000000" w:usb2="000A005E"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方正小标宋简体">
    <w:altName w:val="黑体"/>
    <w:panose1 w:val="03000509000000000000"/>
    <w:charset w:val="86"/>
    <w:family w:val="auto"/>
    <w:pitch w:val="default"/>
    <w:sig w:usb0="00000000" w:usb1="00000000" w:usb2="00000000" w:usb3="00000000" w:csb0="00040000" w:csb1="00000000"/>
  </w:font>
  <w:font w:name="Kingsoft UE">
    <w:altName w:val="Segoe Print"/>
    <w:panose1 w:val="00000000000000000000"/>
    <w:charset w:val="00"/>
    <w:family w:val="auto"/>
    <w:pitch w:val="default"/>
    <w:sig w:usb0="00000000" w:usb1="00000000" w:usb2="00000000" w:usb3="00000000" w:csb0="00000000" w:csb1="00000000"/>
  </w:font>
  <w:font w:name="ModIcon">
    <w:altName w:val="Segoe Print"/>
    <w:panose1 w:val="00000000000000000000"/>
    <w:charset w:val="00"/>
    <w:family w:val="auto"/>
    <w:pitch w:val="default"/>
    <w:sig w:usb0="00000000" w:usb1="00000000" w:usb2="00000000" w:usb3="00000000" w:csb0="00000000" w:csb1="00000000"/>
  </w:font>
  <w:font w:name="ActionIcon">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C5762">
    <w:pPr>
      <w:pStyle w:val="30"/>
      <w:rPr>
        <w:rStyle w:val="49"/>
      </w:rPr>
    </w:pPr>
  </w:p>
  <w:p w14:paraId="27617CD2">
    <w:pPr>
      <w:pStyle w:val="30"/>
      <w:ind w:right="360"/>
      <w:rPr>
        <w:kern w:val="0"/>
      </w:rPr>
    </w:pPr>
    <w:r>
      <mc:AlternateContent>
        <mc:Choice Requires="wps">
          <w:drawing>
            <wp:anchor distT="0" distB="0" distL="114300" distR="114300" simplePos="0" relativeHeight="251659264" behindDoc="0" locked="0" layoutInCell="1" allowOverlap="1">
              <wp:simplePos x="0" y="0"/>
              <wp:positionH relativeFrom="margin">
                <wp:posOffset>2400300</wp:posOffset>
              </wp:positionH>
              <wp:positionV relativeFrom="paragraph">
                <wp:posOffset>172720</wp:posOffset>
              </wp:positionV>
              <wp:extent cx="1285875" cy="198120"/>
              <wp:effectExtent l="0" t="0" r="0" b="0"/>
              <wp:wrapNone/>
              <wp:docPr id="2" name="文本框2"/>
              <wp:cNvGraphicFramePr/>
              <a:graphic xmlns:a="http://schemas.openxmlformats.org/drawingml/2006/main">
                <a:graphicData uri="http://schemas.microsoft.com/office/word/2010/wordprocessingShape">
                  <wps:wsp>
                    <wps:cNvSpPr/>
                    <wps:spPr>
                      <a:xfrm>
                        <a:off x="0" y="0"/>
                        <a:ext cx="1285875" cy="198120"/>
                      </a:xfrm>
                      <a:prstGeom prst="rect">
                        <a:avLst/>
                      </a:prstGeom>
                      <a:noFill/>
                      <a:ln>
                        <a:noFill/>
                      </a:ln>
                      <a:effectLst/>
                    </wps:spPr>
                    <wps:txbx>
                      <w:txbxContent>
                        <w:p w14:paraId="2B8F2946"/>
                      </w:txbxContent>
                    </wps:txbx>
                    <wps:bodyPr lIns="0" tIns="0" rIns="0" bIns="0" upright="1"/>
                  </wps:wsp>
                </a:graphicData>
              </a:graphic>
            </wp:anchor>
          </w:drawing>
        </mc:Choice>
        <mc:Fallback>
          <w:pict>
            <v:rect id="文本框2" o:spid="_x0000_s1026" o:spt="1" style="position:absolute;left:0pt;margin-left:189pt;margin-top:13.6pt;height:15.6pt;width:101.25pt;mso-position-horizontal-relative:margin;z-index:251659264;mso-width-relative:page;mso-height-relative:page;" filled="f" stroked="f" coordsize="21600,21600" o:gfxdata="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ksdxLaAAAACQEAAA8AAAAAAAAAAQAgAAAAIgAAAGRycy9kb3ducmV2LnhtbFBLAQIU&#10;ABQAAAAIAIdO4kBcxk6auAEAAHUDAAAOAAAAAAAAAAEAIAAAACkBAABkcnMvZTJvRG9jLnhtbFBL&#10;BQYAAAAABgAGAFkBAABTBQAAAAA=&#10;">
              <v:fill on="f" focussize="0,0"/>
              <v:stroke on="f"/>
              <v:imagedata o:title=""/>
              <o:lock v:ext="edit" aspectratio="f"/>
              <v:textbox inset="0mm,0mm,0mm,0mm">
                <w:txbxContent>
                  <w:p w14:paraId="2B8F2946"/>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C60B7">
    <w:pPr>
      <w:pStyle w:val="30"/>
      <w:tabs>
        <w:tab w:val="center" w:pos="7483"/>
        <w:tab w:val="clear" w:pos="4153"/>
      </w:tabs>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EE9D1">
    <w:pPr>
      <w:pStyle w:val="30"/>
      <w:rPr>
        <w:rStyle w:val="49"/>
      </w:rPr>
    </w:pPr>
  </w:p>
  <w:p w14:paraId="24D89652">
    <w:pPr>
      <w:pStyle w:val="30"/>
      <w:ind w:right="360"/>
      <w:rPr>
        <w:kern w:val="0"/>
      </w:rPr>
    </w:pPr>
    <w:r>
      <mc:AlternateContent>
        <mc:Choice Requires="wps">
          <w:drawing>
            <wp:anchor distT="0" distB="0" distL="114300" distR="114300" simplePos="0" relativeHeight="251660288" behindDoc="0" locked="0" layoutInCell="1" allowOverlap="1">
              <wp:simplePos x="0" y="0"/>
              <wp:positionH relativeFrom="margin">
                <wp:posOffset>2400300</wp:posOffset>
              </wp:positionH>
              <wp:positionV relativeFrom="paragraph">
                <wp:posOffset>172720</wp:posOffset>
              </wp:positionV>
              <wp:extent cx="1285875" cy="198120"/>
              <wp:effectExtent l="0" t="0" r="0" b="0"/>
              <wp:wrapNone/>
              <wp:docPr id="5" name="文本框2"/>
              <wp:cNvGraphicFramePr/>
              <a:graphic xmlns:a="http://schemas.openxmlformats.org/drawingml/2006/main">
                <a:graphicData uri="http://schemas.microsoft.com/office/word/2010/wordprocessingShape">
                  <wps:wsp>
                    <wps:cNvSpPr/>
                    <wps:spPr>
                      <a:xfrm>
                        <a:off x="0" y="0"/>
                        <a:ext cx="1285875" cy="198120"/>
                      </a:xfrm>
                      <a:prstGeom prst="rect">
                        <a:avLst/>
                      </a:prstGeom>
                      <a:noFill/>
                      <a:ln>
                        <a:noFill/>
                      </a:ln>
                      <a:effectLst/>
                    </wps:spPr>
                    <wps:txbx>
                      <w:txbxContent>
                        <w:p w14:paraId="113FE5FF"/>
                      </w:txbxContent>
                    </wps:txbx>
                    <wps:bodyPr lIns="0" tIns="0" rIns="0" bIns="0" upright="1"/>
                  </wps:wsp>
                </a:graphicData>
              </a:graphic>
            </wp:anchor>
          </w:drawing>
        </mc:Choice>
        <mc:Fallback>
          <w:pict>
            <v:rect id="文本框2" o:spid="_x0000_s1026" o:spt="1" style="position:absolute;left:0pt;margin-left:189pt;margin-top:13.6pt;height:15.6pt;width:101.25pt;mso-position-horizontal-relative:margin;z-index:251660288;mso-width-relative:page;mso-height-relative:page;" filled="f" stroked="f" coordsize="21600,21600" o:gfxdata="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ksdxLaAAAACQEAAA8AAAAAAAAAAQAgAAAAIgAAAGRycy9kb3ducmV2LnhtbFBLAQIU&#10;ABQAAAAIAIdO4kAQQliKuAEAAHUDAAAOAAAAAAAAAAEAIAAAACkBAABkcnMvZTJvRG9jLnhtbFBL&#10;BQYAAAAABgAGAFkBAABTBQAAAAA=&#10;">
              <v:fill on="f" focussize="0,0"/>
              <v:stroke on="f"/>
              <v:imagedata o:title=""/>
              <o:lock v:ext="edit" aspectratio="f"/>
              <v:textbox inset="0mm,0mm,0mm,0mm">
                <w:txbxContent>
                  <w:p w14:paraId="113FE5FF"/>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F5F65">
    <w:pPr>
      <w:pStyle w:val="30"/>
      <w:tabs>
        <w:tab w:val="center" w:pos="7483"/>
        <w:tab w:val="clear" w:pos="4153"/>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12467DE">
                          <w:pPr>
                            <w:pStyle w:val="30"/>
                          </w:pPr>
                          <w:r>
                            <w:fldChar w:fldCharType="begin"/>
                          </w:r>
                          <w:r>
                            <w:instrText xml:space="preserve"> PAGE  \* MERGEFORMAT </w:instrText>
                          </w:r>
                          <w:r>
                            <w:fldChar w:fldCharType="separate"/>
                          </w:r>
                          <w:r>
                            <w:t></w:t>
                          </w:r>
                          <w:r>
                            <w:fldChar w:fldCharType="end"/>
                          </w:r>
                        </w:p>
                      </w:txbxContent>
                    </wps:txbx>
                    <wps:bodyPr wrap="none" lIns="0" tIns="0" rIns="0" bIns="0" upright="1">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YmK+1NABAACqAwAADgAAAAAAAAABACAAAAAeAQAAZHJz&#10;L2Uyb0RvYy54bWxQSwUGAAAAAAYABgBZAQAAYAUAAAAA&#10;">
              <v:fill on="f" focussize="0,0"/>
              <v:stroke on="f"/>
              <v:imagedata o:title=""/>
              <o:lock v:ext="edit" aspectratio="f"/>
              <v:textbox inset="0mm,0mm,0mm,0mm" style="mso-fit-shape-to-text:t;">
                <w:txbxContent>
                  <w:p w14:paraId="612467DE">
                    <w:pPr>
                      <w:pStyle w:val="30"/>
                    </w:pPr>
                    <w:r>
                      <w:fldChar w:fldCharType="begin"/>
                    </w:r>
                    <w:r>
                      <w:instrText xml:space="preserve"> PAGE  \* MERGEFORMAT </w:instrText>
                    </w:r>
                    <w:r>
                      <w:fldChar w:fldCharType="separate"/>
                    </w:r>
                    <w:r>
                      <w:t></w:t>
                    </w:r>
                    <w:r>
                      <w:fldChar w:fldCharType="end"/>
                    </w:r>
                  </w:p>
                </w:txbxContent>
              </v:textbox>
            </v:shape>
          </w:pict>
        </mc:Fallback>
      </mc:AlternateContent>
    </w:r>
    <w: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D2BC3">
    <w:pPr>
      <w:pStyle w:val="30"/>
      <w:ind w:right="360" w:firstLine="36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40B7DA">
                          <w:pPr>
                            <w:pStyle w:val="3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F40B7DA">
                    <w:pPr>
                      <w:pStyle w:val="3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FFBC60">
    <w:pPr>
      <w:pStyle w:val="3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28671A">
                          <w:pPr>
                            <w:pStyle w:val="30"/>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828671A">
                    <w:pPr>
                      <w:pStyle w:val="30"/>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62396">
    <w:pPr>
      <w:pStyle w:val="30"/>
      <w:rPr>
        <w:rStyle w:val="49"/>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475FB2">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D475FB2">
                    <w:pPr>
                      <w:pStyle w:val="30"/>
                    </w:pPr>
                    <w:r>
                      <w:fldChar w:fldCharType="begin"/>
                    </w:r>
                    <w:r>
                      <w:instrText xml:space="preserve"> PAGE  \* MERGEFORMAT </w:instrText>
                    </w:r>
                    <w:r>
                      <w:fldChar w:fldCharType="separate"/>
                    </w:r>
                    <w:r>
                      <w:t>1</w:t>
                    </w:r>
                    <w:r>
                      <w:fldChar w:fldCharType="end"/>
                    </w:r>
                  </w:p>
                </w:txbxContent>
              </v:textbox>
            </v:shape>
          </w:pict>
        </mc:Fallback>
      </mc:AlternateContent>
    </w:r>
  </w:p>
  <w:p w14:paraId="157870D5">
    <w:pPr>
      <w:pStyle w:val="30"/>
      <w:ind w:right="360"/>
      <w:rPr>
        <w:kern w:val="0"/>
      </w:rPr>
    </w:pPr>
    <w:r>
      <mc:AlternateContent>
        <mc:Choice Requires="wps">
          <w:drawing>
            <wp:anchor distT="0" distB="0" distL="114300" distR="114300" simplePos="0" relativeHeight="251661312" behindDoc="0" locked="0" layoutInCell="1" allowOverlap="1">
              <wp:simplePos x="0" y="0"/>
              <wp:positionH relativeFrom="margin">
                <wp:posOffset>2400300</wp:posOffset>
              </wp:positionH>
              <wp:positionV relativeFrom="paragraph">
                <wp:posOffset>172720</wp:posOffset>
              </wp:positionV>
              <wp:extent cx="1285875" cy="198120"/>
              <wp:effectExtent l="0" t="0" r="0" b="0"/>
              <wp:wrapNone/>
              <wp:docPr id="8" name="文本框2"/>
              <wp:cNvGraphicFramePr/>
              <a:graphic xmlns:a="http://schemas.openxmlformats.org/drawingml/2006/main">
                <a:graphicData uri="http://schemas.microsoft.com/office/word/2010/wordprocessingShape">
                  <wps:wsp>
                    <wps:cNvSpPr/>
                    <wps:spPr>
                      <a:xfrm>
                        <a:off x="0" y="0"/>
                        <a:ext cx="1285875" cy="198120"/>
                      </a:xfrm>
                      <a:prstGeom prst="rect">
                        <a:avLst/>
                      </a:prstGeom>
                      <a:noFill/>
                      <a:ln>
                        <a:noFill/>
                      </a:ln>
                      <a:effectLst/>
                    </wps:spPr>
                    <wps:txbx>
                      <w:txbxContent>
                        <w:p w14:paraId="4D5C9321"/>
                      </w:txbxContent>
                    </wps:txbx>
                    <wps:bodyPr lIns="0" tIns="0" rIns="0" bIns="0" upright="1"/>
                  </wps:wsp>
                </a:graphicData>
              </a:graphic>
            </wp:anchor>
          </w:drawing>
        </mc:Choice>
        <mc:Fallback>
          <w:pict>
            <v:rect id="文本框2" o:spid="_x0000_s1026" o:spt="1" style="position:absolute;left:0pt;margin-left:189pt;margin-top:13.6pt;height:15.6pt;width:101.25pt;mso-position-horizontal-relative:margin;z-index:251661312;mso-width-relative:page;mso-height-relative:page;" filled="f" stroked="f" coordsize="21600,21600" o:gfxdata="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ksdxLaAAAACQEAAA8AAAAAAAAAAQAgAAAAIgAAAGRycy9kb3ducmV2LnhtbFBLAQIU&#10;ABQAAAAIAIdO4kAipzAruAEAAHUDAAAOAAAAAAAAAAEAIAAAACkBAABkcnMvZTJvRG9jLnhtbFBL&#10;BQYAAAAABgAGAFkBAABTBQAAAAA=&#10;">
              <v:fill on="f" focussize="0,0"/>
              <v:stroke on="f"/>
              <v:imagedata o:title=""/>
              <o:lock v:ext="edit" aspectratio="f"/>
              <v:textbox inset="0mm,0mm,0mm,0mm">
                <w:txbxContent>
                  <w:p w14:paraId="4D5C9321"/>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E2992">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4FC55">
    <w:pPr>
      <w:pStyle w:val="3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2BC5AA"/>
    <w:multiLevelType w:val="singleLevel"/>
    <w:tmpl w:val="872BC5AA"/>
    <w:lvl w:ilvl="0" w:tentative="0">
      <w:start w:val="2"/>
      <w:numFmt w:val="decimal"/>
      <w:lvlText w:val="%1."/>
      <w:lvlJc w:val="left"/>
      <w:pPr>
        <w:tabs>
          <w:tab w:val="left" w:pos="312"/>
        </w:tabs>
      </w:pPr>
    </w:lvl>
  </w:abstractNum>
  <w:abstractNum w:abstractNumId="1">
    <w:nsid w:val="E7258976"/>
    <w:multiLevelType w:val="singleLevel"/>
    <w:tmpl w:val="E7258976"/>
    <w:lvl w:ilvl="0" w:tentative="0">
      <w:start w:val="1"/>
      <w:numFmt w:val="chineseCounting"/>
      <w:suff w:val="space"/>
      <w:lvlText w:val="（%1）"/>
      <w:lvlJc w:val="left"/>
      <w:pPr>
        <w:ind w:left="-10"/>
      </w:pPr>
      <w:rPr>
        <w:rFonts w:hint="eastAsia" w:ascii="仿宋_GB2312" w:hAnsi="仿宋_GB2312" w:eastAsia="仿宋_GB2312" w:cs="仿宋_GB2312"/>
        <w:sz w:val="32"/>
        <w:szCs w:val="32"/>
      </w:rPr>
    </w:lvl>
  </w:abstractNum>
  <w:abstractNum w:abstractNumId="2">
    <w:nsid w:val="056297AE"/>
    <w:multiLevelType w:val="singleLevel"/>
    <w:tmpl w:val="056297AE"/>
    <w:lvl w:ilvl="0" w:tentative="0">
      <w:start w:val="3"/>
      <w:numFmt w:val="chineseCounting"/>
      <w:suff w:val="space"/>
      <w:lvlText w:val="(%1)"/>
      <w:lvlJc w:val="left"/>
      <w:rPr>
        <w:rFonts w:hint="eastAsia"/>
      </w:rPr>
    </w:lvl>
  </w:abstractNum>
  <w:abstractNum w:abstractNumId="3">
    <w:nsid w:val="1EF8CB6E"/>
    <w:multiLevelType w:val="singleLevel"/>
    <w:tmpl w:val="1EF8CB6E"/>
    <w:lvl w:ilvl="0" w:tentative="0">
      <w:start w:val="1"/>
      <w:numFmt w:val="upperLetter"/>
      <w:suff w:val="nothing"/>
      <w:lvlText w:val="%1、"/>
      <w:lvlJc w:val="left"/>
    </w:lvl>
  </w:abstractNum>
  <w:abstractNum w:abstractNumId="4">
    <w:nsid w:val="434FCDAE"/>
    <w:multiLevelType w:val="singleLevel"/>
    <w:tmpl w:val="434FCDAE"/>
    <w:lvl w:ilvl="0" w:tentative="0">
      <w:start w:val="1"/>
      <w:numFmt w:val="chineseCounting"/>
      <w:suff w:val="space"/>
      <w:lvlText w:val="（%1）"/>
      <w:lvlJc w:val="left"/>
      <w:rPr>
        <w:rFonts w:hint="eastAsia"/>
      </w:rPr>
    </w:lvl>
  </w:abstractNum>
  <w:abstractNum w:abstractNumId="5">
    <w:nsid w:val="4AEE3BEB"/>
    <w:multiLevelType w:val="singleLevel"/>
    <w:tmpl w:val="4AEE3BEB"/>
    <w:lvl w:ilvl="0" w:tentative="0">
      <w:start w:val="2"/>
      <w:numFmt w:val="chineseCounting"/>
      <w:suff w:val="space"/>
      <w:lvlText w:val="（%1）"/>
      <w:lvlJc w:val="left"/>
      <w:rPr>
        <w:rFonts w:hint="eastAsia"/>
      </w:rPr>
    </w:lvl>
  </w:abstractNum>
  <w:num w:numId="1">
    <w:abstractNumId w:val="3"/>
  </w:num>
  <w:num w:numId="2">
    <w:abstractNumId w:val="2"/>
  </w:num>
  <w:num w:numId="3">
    <w:abstractNumId w:val="5"/>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oNotHyphenateCaps/>
  <w:drawingGridVerticalSpacing w:val="159"/>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5MDNjMmIyODczM2YwMGZkZTNjYWY1NjIxZTY5YjcifQ=="/>
  </w:docVars>
  <w:rsids>
    <w:rsidRoot w:val="00277DEA"/>
    <w:rsid w:val="000407AC"/>
    <w:rsid w:val="00040A78"/>
    <w:rsid w:val="00057816"/>
    <w:rsid w:val="000E13AD"/>
    <w:rsid w:val="00131FFF"/>
    <w:rsid w:val="00135312"/>
    <w:rsid w:val="00144E2C"/>
    <w:rsid w:val="001643AB"/>
    <w:rsid w:val="0016450D"/>
    <w:rsid w:val="001A591F"/>
    <w:rsid w:val="001C6848"/>
    <w:rsid w:val="001D4B0B"/>
    <w:rsid w:val="001F10F0"/>
    <w:rsid w:val="00217AF2"/>
    <w:rsid w:val="00217EB9"/>
    <w:rsid w:val="00217FF1"/>
    <w:rsid w:val="0023383D"/>
    <w:rsid w:val="00252D6D"/>
    <w:rsid w:val="00253B24"/>
    <w:rsid w:val="00270071"/>
    <w:rsid w:val="002740D6"/>
    <w:rsid w:val="00274549"/>
    <w:rsid w:val="00277DEA"/>
    <w:rsid w:val="002A2969"/>
    <w:rsid w:val="002C40D1"/>
    <w:rsid w:val="002E76AA"/>
    <w:rsid w:val="002F38FE"/>
    <w:rsid w:val="00313EF1"/>
    <w:rsid w:val="00332C02"/>
    <w:rsid w:val="00336837"/>
    <w:rsid w:val="00370095"/>
    <w:rsid w:val="0037519A"/>
    <w:rsid w:val="003776B6"/>
    <w:rsid w:val="003A3D22"/>
    <w:rsid w:val="003C11CB"/>
    <w:rsid w:val="003D00F9"/>
    <w:rsid w:val="003E18D3"/>
    <w:rsid w:val="003E616C"/>
    <w:rsid w:val="004108BC"/>
    <w:rsid w:val="00410ABB"/>
    <w:rsid w:val="00411EFB"/>
    <w:rsid w:val="00430081"/>
    <w:rsid w:val="0045352B"/>
    <w:rsid w:val="004806E1"/>
    <w:rsid w:val="004943F2"/>
    <w:rsid w:val="004D7A32"/>
    <w:rsid w:val="004F10A4"/>
    <w:rsid w:val="004F5FF3"/>
    <w:rsid w:val="00523372"/>
    <w:rsid w:val="00544FBB"/>
    <w:rsid w:val="00555AF7"/>
    <w:rsid w:val="00587AEB"/>
    <w:rsid w:val="005D26BD"/>
    <w:rsid w:val="005F02AC"/>
    <w:rsid w:val="005F4D1F"/>
    <w:rsid w:val="006008C2"/>
    <w:rsid w:val="00600A1A"/>
    <w:rsid w:val="00613B3B"/>
    <w:rsid w:val="00635236"/>
    <w:rsid w:val="00640C59"/>
    <w:rsid w:val="006412B4"/>
    <w:rsid w:val="00643128"/>
    <w:rsid w:val="006B2CC6"/>
    <w:rsid w:val="006E2124"/>
    <w:rsid w:val="006E24A2"/>
    <w:rsid w:val="006F1EB8"/>
    <w:rsid w:val="00762DC1"/>
    <w:rsid w:val="007701C5"/>
    <w:rsid w:val="0077045D"/>
    <w:rsid w:val="007E581B"/>
    <w:rsid w:val="008052CD"/>
    <w:rsid w:val="008057AF"/>
    <w:rsid w:val="00806B50"/>
    <w:rsid w:val="00806DEB"/>
    <w:rsid w:val="008706BB"/>
    <w:rsid w:val="008801B2"/>
    <w:rsid w:val="008B45BE"/>
    <w:rsid w:val="008B6AF2"/>
    <w:rsid w:val="008C044F"/>
    <w:rsid w:val="008C7B90"/>
    <w:rsid w:val="008E0BFB"/>
    <w:rsid w:val="008F24D9"/>
    <w:rsid w:val="009148C9"/>
    <w:rsid w:val="00916805"/>
    <w:rsid w:val="0093540E"/>
    <w:rsid w:val="009430F7"/>
    <w:rsid w:val="009548E3"/>
    <w:rsid w:val="009D69A7"/>
    <w:rsid w:val="009E2CB7"/>
    <w:rsid w:val="009F052A"/>
    <w:rsid w:val="009F2331"/>
    <w:rsid w:val="00A109CD"/>
    <w:rsid w:val="00A364A9"/>
    <w:rsid w:val="00A74A67"/>
    <w:rsid w:val="00A92252"/>
    <w:rsid w:val="00A95FC8"/>
    <w:rsid w:val="00AA6310"/>
    <w:rsid w:val="00B21B8E"/>
    <w:rsid w:val="00B3371B"/>
    <w:rsid w:val="00B5033A"/>
    <w:rsid w:val="00B86725"/>
    <w:rsid w:val="00BB5EA4"/>
    <w:rsid w:val="00BC093E"/>
    <w:rsid w:val="00C04D5A"/>
    <w:rsid w:val="00C522F7"/>
    <w:rsid w:val="00C56491"/>
    <w:rsid w:val="00C77D9B"/>
    <w:rsid w:val="00C959B4"/>
    <w:rsid w:val="00CA283F"/>
    <w:rsid w:val="00CB14DC"/>
    <w:rsid w:val="00CC06A5"/>
    <w:rsid w:val="00CD2E86"/>
    <w:rsid w:val="00CD6B6D"/>
    <w:rsid w:val="00CF2E1F"/>
    <w:rsid w:val="00CF524A"/>
    <w:rsid w:val="00CF5B3F"/>
    <w:rsid w:val="00D05A15"/>
    <w:rsid w:val="00D07052"/>
    <w:rsid w:val="00D2599B"/>
    <w:rsid w:val="00D27C1C"/>
    <w:rsid w:val="00D32138"/>
    <w:rsid w:val="00D50ADE"/>
    <w:rsid w:val="00D50E64"/>
    <w:rsid w:val="00D67520"/>
    <w:rsid w:val="00D74DB0"/>
    <w:rsid w:val="00D75D04"/>
    <w:rsid w:val="00D862EF"/>
    <w:rsid w:val="00DD408F"/>
    <w:rsid w:val="00DE23F0"/>
    <w:rsid w:val="00E13C49"/>
    <w:rsid w:val="00E3458D"/>
    <w:rsid w:val="00EB6A15"/>
    <w:rsid w:val="00EC6F26"/>
    <w:rsid w:val="00EC6F84"/>
    <w:rsid w:val="00EC7414"/>
    <w:rsid w:val="00EE5A0A"/>
    <w:rsid w:val="00EE7AEC"/>
    <w:rsid w:val="00F10FD4"/>
    <w:rsid w:val="00F12999"/>
    <w:rsid w:val="00F16AA1"/>
    <w:rsid w:val="00F407A6"/>
    <w:rsid w:val="00F738CB"/>
    <w:rsid w:val="00F82A9A"/>
    <w:rsid w:val="00F83340"/>
    <w:rsid w:val="00FB2776"/>
    <w:rsid w:val="00FD0DE5"/>
    <w:rsid w:val="00FE4E55"/>
    <w:rsid w:val="00FF64C5"/>
    <w:rsid w:val="010C450B"/>
    <w:rsid w:val="023C4E17"/>
    <w:rsid w:val="02860CE1"/>
    <w:rsid w:val="028D0613"/>
    <w:rsid w:val="02A06DF6"/>
    <w:rsid w:val="02AD40CA"/>
    <w:rsid w:val="03311B51"/>
    <w:rsid w:val="035607B0"/>
    <w:rsid w:val="035A0B08"/>
    <w:rsid w:val="03BE185C"/>
    <w:rsid w:val="03DD3435"/>
    <w:rsid w:val="04880F3B"/>
    <w:rsid w:val="04BB1052"/>
    <w:rsid w:val="058F191A"/>
    <w:rsid w:val="064047AA"/>
    <w:rsid w:val="07023E8A"/>
    <w:rsid w:val="073060B3"/>
    <w:rsid w:val="073F34F8"/>
    <w:rsid w:val="08891FDF"/>
    <w:rsid w:val="08EE1782"/>
    <w:rsid w:val="090B57DF"/>
    <w:rsid w:val="094625ED"/>
    <w:rsid w:val="098C0FAE"/>
    <w:rsid w:val="09FF00B9"/>
    <w:rsid w:val="0A1370D9"/>
    <w:rsid w:val="0A426CE3"/>
    <w:rsid w:val="0A783487"/>
    <w:rsid w:val="0A920A74"/>
    <w:rsid w:val="0B1A05CF"/>
    <w:rsid w:val="0B3B4932"/>
    <w:rsid w:val="0B8A5AE2"/>
    <w:rsid w:val="0BB27EF8"/>
    <w:rsid w:val="0C30371E"/>
    <w:rsid w:val="0C47209B"/>
    <w:rsid w:val="0CDE4AF1"/>
    <w:rsid w:val="0CEC2F96"/>
    <w:rsid w:val="0D2F7233"/>
    <w:rsid w:val="0DB0649C"/>
    <w:rsid w:val="0E2234E7"/>
    <w:rsid w:val="0E832759"/>
    <w:rsid w:val="0ECF7747"/>
    <w:rsid w:val="0F9D46EF"/>
    <w:rsid w:val="0F9E1822"/>
    <w:rsid w:val="124026B6"/>
    <w:rsid w:val="12C329EB"/>
    <w:rsid w:val="137A735A"/>
    <w:rsid w:val="13B24508"/>
    <w:rsid w:val="13E54BBD"/>
    <w:rsid w:val="152F63E2"/>
    <w:rsid w:val="158272E5"/>
    <w:rsid w:val="15D60886"/>
    <w:rsid w:val="16A220B2"/>
    <w:rsid w:val="16AB249D"/>
    <w:rsid w:val="16E538DC"/>
    <w:rsid w:val="17153410"/>
    <w:rsid w:val="18B826B7"/>
    <w:rsid w:val="19475149"/>
    <w:rsid w:val="1A1E40F3"/>
    <w:rsid w:val="1AF847D0"/>
    <w:rsid w:val="1C136BB6"/>
    <w:rsid w:val="1C4B5EA8"/>
    <w:rsid w:val="1E1554ED"/>
    <w:rsid w:val="1E66223E"/>
    <w:rsid w:val="207B6E01"/>
    <w:rsid w:val="211B1C44"/>
    <w:rsid w:val="21F200C1"/>
    <w:rsid w:val="224A075F"/>
    <w:rsid w:val="22E66E8E"/>
    <w:rsid w:val="23816BA4"/>
    <w:rsid w:val="23B802A0"/>
    <w:rsid w:val="25E4098B"/>
    <w:rsid w:val="26252182"/>
    <w:rsid w:val="265122FF"/>
    <w:rsid w:val="265E174C"/>
    <w:rsid w:val="2686038F"/>
    <w:rsid w:val="26EF5515"/>
    <w:rsid w:val="27BB2FEB"/>
    <w:rsid w:val="28C72B2B"/>
    <w:rsid w:val="29E75E0C"/>
    <w:rsid w:val="29F23E8A"/>
    <w:rsid w:val="2A241E9E"/>
    <w:rsid w:val="2B367DA6"/>
    <w:rsid w:val="2C7D3C0D"/>
    <w:rsid w:val="2C874AAF"/>
    <w:rsid w:val="2C8E66A6"/>
    <w:rsid w:val="2CAF5168"/>
    <w:rsid w:val="2CBB47F9"/>
    <w:rsid w:val="2D4A1910"/>
    <w:rsid w:val="2DFF7667"/>
    <w:rsid w:val="2EF1616F"/>
    <w:rsid w:val="2EFD1D1D"/>
    <w:rsid w:val="2F3A186E"/>
    <w:rsid w:val="2FE563D7"/>
    <w:rsid w:val="31FB42D0"/>
    <w:rsid w:val="32852601"/>
    <w:rsid w:val="32D3700E"/>
    <w:rsid w:val="32F07192"/>
    <w:rsid w:val="332433C5"/>
    <w:rsid w:val="3376156C"/>
    <w:rsid w:val="33DB598F"/>
    <w:rsid w:val="348E387D"/>
    <w:rsid w:val="356D0CEC"/>
    <w:rsid w:val="35A46FAE"/>
    <w:rsid w:val="37026723"/>
    <w:rsid w:val="37526B7E"/>
    <w:rsid w:val="385F78F9"/>
    <w:rsid w:val="398960D8"/>
    <w:rsid w:val="39E8421F"/>
    <w:rsid w:val="3A066436"/>
    <w:rsid w:val="3A2516BB"/>
    <w:rsid w:val="3B3C635C"/>
    <w:rsid w:val="3CCB04A6"/>
    <w:rsid w:val="3CD37326"/>
    <w:rsid w:val="3E7850FA"/>
    <w:rsid w:val="3EED354E"/>
    <w:rsid w:val="3F1410DB"/>
    <w:rsid w:val="3F173AB4"/>
    <w:rsid w:val="3F7A539C"/>
    <w:rsid w:val="3F7F07F1"/>
    <w:rsid w:val="3FB112F9"/>
    <w:rsid w:val="3FB5783A"/>
    <w:rsid w:val="408338D7"/>
    <w:rsid w:val="41510996"/>
    <w:rsid w:val="42147451"/>
    <w:rsid w:val="43727992"/>
    <w:rsid w:val="43881670"/>
    <w:rsid w:val="43E82525"/>
    <w:rsid w:val="44592EA6"/>
    <w:rsid w:val="44A8055A"/>
    <w:rsid w:val="44F7334E"/>
    <w:rsid w:val="45AF30FD"/>
    <w:rsid w:val="46420BB9"/>
    <w:rsid w:val="465B3014"/>
    <w:rsid w:val="472F5293"/>
    <w:rsid w:val="473A07C7"/>
    <w:rsid w:val="47DB0FE0"/>
    <w:rsid w:val="47EB386F"/>
    <w:rsid w:val="485A4022"/>
    <w:rsid w:val="48986B3F"/>
    <w:rsid w:val="491212BA"/>
    <w:rsid w:val="494476DB"/>
    <w:rsid w:val="49B66251"/>
    <w:rsid w:val="4A125037"/>
    <w:rsid w:val="4AB455FC"/>
    <w:rsid w:val="4B4C6831"/>
    <w:rsid w:val="4BB93099"/>
    <w:rsid w:val="4CA21C4A"/>
    <w:rsid w:val="4E0D50F2"/>
    <w:rsid w:val="4E87606B"/>
    <w:rsid w:val="4ED1777D"/>
    <w:rsid w:val="4F443F90"/>
    <w:rsid w:val="4F627A2B"/>
    <w:rsid w:val="4F8A1859"/>
    <w:rsid w:val="4FCD4721"/>
    <w:rsid w:val="502D24E4"/>
    <w:rsid w:val="504773D5"/>
    <w:rsid w:val="50EC70D4"/>
    <w:rsid w:val="511E5BAD"/>
    <w:rsid w:val="513918A9"/>
    <w:rsid w:val="517F3DD4"/>
    <w:rsid w:val="51BC2AE8"/>
    <w:rsid w:val="52244348"/>
    <w:rsid w:val="52CE5689"/>
    <w:rsid w:val="558A3D0F"/>
    <w:rsid w:val="559A68B9"/>
    <w:rsid w:val="569E5C28"/>
    <w:rsid w:val="56B17EF3"/>
    <w:rsid w:val="57313D11"/>
    <w:rsid w:val="578D69F6"/>
    <w:rsid w:val="58311B26"/>
    <w:rsid w:val="59254E33"/>
    <w:rsid w:val="597E4543"/>
    <w:rsid w:val="599A4762"/>
    <w:rsid w:val="59B94A33"/>
    <w:rsid w:val="59C42C57"/>
    <w:rsid w:val="5AD10688"/>
    <w:rsid w:val="5AFB2C32"/>
    <w:rsid w:val="5B2F036B"/>
    <w:rsid w:val="5B5877E2"/>
    <w:rsid w:val="5BA9771F"/>
    <w:rsid w:val="5BAC7A1D"/>
    <w:rsid w:val="5BAE0EF6"/>
    <w:rsid w:val="5BDD1CA9"/>
    <w:rsid w:val="5BE3458F"/>
    <w:rsid w:val="5DC22821"/>
    <w:rsid w:val="5DD0286D"/>
    <w:rsid w:val="5E923D48"/>
    <w:rsid w:val="5EEA0F2A"/>
    <w:rsid w:val="5F9D1CA2"/>
    <w:rsid w:val="5FD300DB"/>
    <w:rsid w:val="5FE25B93"/>
    <w:rsid w:val="603F3AE9"/>
    <w:rsid w:val="608C59E7"/>
    <w:rsid w:val="61051B53"/>
    <w:rsid w:val="61095D5D"/>
    <w:rsid w:val="61284751"/>
    <w:rsid w:val="629F458E"/>
    <w:rsid w:val="638B599F"/>
    <w:rsid w:val="64F222D0"/>
    <w:rsid w:val="655541D3"/>
    <w:rsid w:val="65594766"/>
    <w:rsid w:val="65AE22F3"/>
    <w:rsid w:val="65C12033"/>
    <w:rsid w:val="66465782"/>
    <w:rsid w:val="66AF6E4C"/>
    <w:rsid w:val="670A4733"/>
    <w:rsid w:val="67DE5EA5"/>
    <w:rsid w:val="68E615DD"/>
    <w:rsid w:val="6907286A"/>
    <w:rsid w:val="6908397B"/>
    <w:rsid w:val="6A16299D"/>
    <w:rsid w:val="6CC00CAD"/>
    <w:rsid w:val="6D0B604A"/>
    <w:rsid w:val="6DAC05BE"/>
    <w:rsid w:val="6E2337BB"/>
    <w:rsid w:val="6E802F39"/>
    <w:rsid w:val="6F5F3A74"/>
    <w:rsid w:val="6F8373FF"/>
    <w:rsid w:val="6FDE7145"/>
    <w:rsid w:val="701268B7"/>
    <w:rsid w:val="7025059A"/>
    <w:rsid w:val="708446DD"/>
    <w:rsid w:val="713E6246"/>
    <w:rsid w:val="725809D6"/>
    <w:rsid w:val="73840989"/>
    <w:rsid w:val="73875405"/>
    <w:rsid w:val="73B74532"/>
    <w:rsid w:val="74425F26"/>
    <w:rsid w:val="74CC7CBB"/>
    <w:rsid w:val="75847F67"/>
    <w:rsid w:val="76D62696"/>
    <w:rsid w:val="774E2667"/>
    <w:rsid w:val="77910BE3"/>
    <w:rsid w:val="77B265EF"/>
    <w:rsid w:val="78270463"/>
    <w:rsid w:val="78EA3B59"/>
    <w:rsid w:val="7B2726C7"/>
    <w:rsid w:val="7B360113"/>
    <w:rsid w:val="7C016BE2"/>
    <w:rsid w:val="7C8660BD"/>
    <w:rsid w:val="7C934347"/>
    <w:rsid w:val="7CA05978"/>
    <w:rsid w:val="7DE12E77"/>
    <w:rsid w:val="7F09259F"/>
    <w:rsid w:val="7F2050E8"/>
    <w:rsid w:val="7F894C06"/>
    <w:rsid w:val="7FB34D81"/>
    <w:rsid w:val="7FBC5227"/>
    <w:rsid w:val="7FEE047D"/>
    <w:rsid w:val="CF67815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qFormat="1" w:unhideWhenUsed="0" w:uiPriority="99" w:name="index 4"/>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qFormat="1" w:unhideWhenUsed="0"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qFormat="1" w:unhideWhenUsed="0" w:uiPriority="99" w:name="table of figures"/>
    <w:lsdException w:uiPriority="99" w:name="envelope address" w:locked="1"/>
    <w:lsdException w:qFormat="1" w:unhideWhenUsed="0" w:uiPriority="99" w:semiHidden="0" w:name="envelope return"/>
    <w:lsdException w:qFormat="1" w:unhideWhenUsed="0" w:uiPriority="99" w:name="footnote reference"/>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uiPriority="99" w:name="Body Text First Indent" w:locked="1"/>
    <w:lsdException w:qFormat="1" w:unhideWhenUsed="0" w:uiPriority="99" w:semiHidden="0" w:name="Body Text First Indent 2"/>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qFormat="1" w:unhideWhenUsed="0" w:uiPriority="99" w:semiHidden="0" w:name="HTML Acronym"/>
    <w:lsdException w:uiPriority="99" w:name="HTML Address" w:locked="1"/>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ocked="1"/>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6">
    <w:name w:val="heading 1"/>
    <w:basedOn w:val="1"/>
    <w:next w:val="1"/>
    <w:link w:val="64"/>
    <w:qFormat/>
    <w:uiPriority w:val="99"/>
    <w:pPr>
      <w:keepNext/>
      <w:keepLines/>
      <w:spacing w:before="340" w:after="330" w:line="360" w:lineRule="auto"/>
      <w:jc w:val="center"/>
      <w:outlineLvl w:val="0"/>
    </w:pPr>
    <w:rPr>
      <w:rFonts w:eastAsia="仿宋"/>
      <w:b/>
      <w:bCs/>
      <w:kern w:val="44"/>
      <w:sz w:val="30"/>
      <w:szCs w:val="44"/>
    </w:rPr>
  </w:style>
  <w:style w:type="paragraph" w:styleId="7">
    <w:name w:val="heading 2"/>
    <w:basedOn w:val="1"/>
    <w:next w:val="1"/>
    <w:link w:val="65"/>
    <w:qFormat/>
    <w:uiPriority w:val="99"/>
    <w:pPr>
      <w:keepNext/>
      <w:keepLines/>
      <w:spacing w:before="260" w:after="260" w:line="416" w:lineRule="auto"/>
      <w:outlineLvl w:val="1"/>
    </w:pPr>
    <w:rPr>
      <w:rFonts w:ascii="Arial" w:hAnsi="Arial" w:eastAsia="黑体" w:cs="Arial"/>
      <w:b/>
      <w:bCs/>
      <w:sz w:val="32"/>
      <w:szCs w:val="32"/>
    </w:rPr>
  </w:style>
  <w:style w:type="paragraph" w:styleId="8">
    <w:name w:val="heading 3"/>
    <w:basedOn w:val="1"/>
    <w:next w:val="1"/>
    <w:link w:val="66"/>
    <w:qFormat/>
    <w:uiPriority w:val="99"/>
    <w:pPr>
      <w:keepNext/>
      <w:keepLines/>
      <w:spacing w:before="260" w:after="260" w:line="416" w:lineRule="auto"/>
      <w:outlineLvl w:val="2"/>
    </w:pPr>
    <w:rPr>
      <w:b/>
      <w:bCs/>
      <w:sz w:val="32"/>
      <w:szCs w:val="32"/>
    </w:rPr>
  </w:style>
  <w:style w:type="paragraph" w:styleId="9">
    <w:name w:val="heading 4"/>
    <w:basedOn w:val="1"/>
    <w:next w:val="1"/>
    <w:link w:val="67"/>
    <w:qFormat/>
    <w:uiPriority w:val="99"/>
    <w:pPr>
      <w:keepNext/>
      <w:keepLines/>
      <w:spacing w:before="280" w:after="290" w:line="372" w:lineRule="auto"/>
      <w:outlineLvl w:val="3"/>
    </w:pPr>
    <w:rPr>
      <w:rFonts w:ascii="Cambria" w:hAnsi="Cambria" w:cs="Cambria"/>
      <w:b/>
      <w:bCs/>
      <w:sz w:val="28"/>
      <w:szCs w:val="28"/>
    </w:rPr>
  </w:style>
  <w:style w:type="paragraph" w:styleId="10">
    <w:name w:val="heading 5"/>
    <w:basedOn w:val="1"/>
    <w:next w:val="1"/>
    <w:link w:val="68"/>
    <w:qFormat/>
    <w:uiPriority w:val="99"/>
    <w:pPr>
      <w:keepNext/>
      <w:keepLines/>
      <w:spacing w:before="280" w:after="290" w:line="372" w:lineRule="auto"/>
      <w:outlineLvl w:val="4"/>
    </w:pPr>
    <w:rPr>
      <w:rFonts w:ascii="Calibri" w:hAnsi="Calibri" w:cs="Calibri"/>
      <w:b/>
      <w:bCs/>
      <w:sz w:val="28"/>
      <w:szCs w:val="28"/>
    </w:rPr>
  </w:style>
  <w:style w:type="paragraph" w:styleId="11">
    <w:name w:val="heading 6"/>
    <w:basedOn w:val="1"/>
    <w:next w:val="1"/>
    <w:link w:val="69"/>
    <w:qFormat/>
    <w:uiPriority w:val="99"/>
    <w:pPr>
      <w:keepNext/>
      <w:keepLines/>
      <w:spacing w:before="240" w:after="64" w:line="317" w:lineRule="auto"/>
      <w:outlineLvl w:val="5"/>
    </w:pPr>
    <w:rPr>
      <w:rFonts w:ascii="Cambria" w:hAnsi="Cambria" w:cs="Cambria"/>
      <w:b/>
      <w:bCs/>
      <w:sz w:val="24"/>
      <w:szCs w:val="24"/>
    </w:rPr>
  </w:style>
  <w:style w:type="paragraph" w:styleId="12">
    <w:name w:val="heading 7"/>
    <w:basedOn w:val="1"/>
    <w:next w:val="1"/>
    <w:link w:val="70"/>
    <w:qFormat/>
    <w:uiPriority w:val="99"/>
    <w:pPr>
      <w:keepNext/>
      <w:keepLines/>
      <w:spacing w:before="240" w:after="64" w:line="317" w:lineRule="auto"/>
      <w:outlineLvl w:val="6"/>
    </w:pPr>
    <w:rPr>
      <w:rFonts w:ascii="Calibri" w:hAnsi="Calibri" w:cs="Calibri"/>
      <w:b/>
      <w:bCs/>
      <w:sz w:val="24"/>
      <w:szCs w:val="24"/>
    </w:rPr>
  </w:style>
  <w:style w:type="paragraph" w:styleId="13">
    <w:name w:val="heading 8"/>
    <w:basedOn w:val="1"/>
    <w:next w:val="1"/>
    <w:link w:val="71"/>
    <w:qFormat/>
    <w:uiPriority w:val="99"/>
    <w:pPr>
      <w:keepNext/>
      <w:keepLines/>
      <w:spacing w:before="240" w:after="64" w:line="317" w:lineRule="auto"/>
      <w:outlineLvl w:val="7"/>
    </w:pPr>
    <w:rPr>
      <w:rFonts w:ascii="Cambria" w:hAnsi="Cambria" w:cs="Cambria"/>
      <w:sz w:val="24"/>
      <w:szCs w:val="24"/>
    </w:rPr>
  </w:style>
  <w:style w:type="paragraph" w:styleId="14">
    <w:name w:val="heading 9"/>
    <w:basedOn w:val="1"/>
    <w:next w:val="1"/>
    <w:link w:val="72"/>
    <w:qFormat/>
    <w:uiPriority w:val="99"/>
    <w:pPr>
      <w:keepNext/>
      <w:keepLines/>
      <w:spacing w:before="240" w:after="64" w:line="317" w:lineRule="auto"/>
      <w:outlineLvl w:val="8"/>
    </w:pPr>
    <w:rPr>
      <w:rFonts w:ascii="Cambria" w:hAnsi="Cambria" w:cs="Cambria"/>
    </w:rPr>
  </w:style>
  <w:style w:type="character" w:default="1" w:styleId="47">
    <w:name w:val="Default Paragraph Font"/>
    <w:semiHidden/>
    <w:qFormat/>
    <w:uiPriority w:val="99"/>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link w:val="90"/>
    <w:qFormat/>
    <w:uiPriority w:val="99"/>
    <w:pPr>
      <w:ind w:firstLine="420" w:firstLineChars="200"/>
    </w:pPr>
  </w:style>
  <w:style w:type="paragraph" w:styleId="3">
    <w:name w:val="Body Text Indent"/>
    <w:basedOn w:val="1"/>
    <w:next w:val="4"/>
    <w:link w:val="77"/>
    <w:qFormat/>
    <w:uiPriority w:val="99"/>
    <w:pPr>
      <w:spacing w:line="500" w:lineRule="exact"/>
      <w:ind w:firstLine="538"/>
    </w:pPr>
    <w:rPr>
      <w:sz w:val="28"/>
      <w:szCs w:val="28"/>
    </w:rPr>
  </w:style>
  <w:style w:type="paragraph" w:styleId="4">
    <w:name w:val="envelope return"/>
    <w:basedOn w:val="1"/>
    <w:next w:val="5"/>
    <w:qFormat/>
    <w:uiPriority w:val="99"/>
    <w:pPr>
      <w:snapToGrid w:val="0"/>
    </w:pPr>
    <w:rPr>
      <w:rFonts w:ascii="Arial" w:hAnsi="Arial"/>
    </w:rPr>
  </w:style>
  <w:style w:type="paragraph" w:styleId="5">
    <w:name w:val="toc 7"/>
    <w:basedOn w:val="1"/>
    <w:next w:val="1"/>
    <w:semiHidden/>
    <w:qFormat/>
    <w:uiPriority w:val="99"/>
    <w:pPr>
      <w:ind w:left="2520" w:leftChars="1200"/>
    </w:pPr>
    <w:rPr>
      <w:rFonts w:ascii="Calibri" w:hAnsi="Calibri" w:cs="Calibri"/>
    </w:rPr>
  </w:style>
  <w:style w:type="paragraph" w:styleId="15">
    <w:name w:val="Normal Indent"/>
    <w:basedOn w:val="1"/>
    <w:qFormat/>
    <w:uiPriority w:val="99"/>
    <w:pPr>
      <w:adjustRightInd w:val="0"/>
      <w:spacing w:line="360" w:lineRule="atLeast"/>
      <w:ind w:firstLine="482"/>
      <w:textAlignment w:val="baseline"/>
    </w:pPr>
    <w:rPr>
      <w:kern w:val="0"/>
      <w:sz w:val="24"/>
      <w:szCs w:val="24"/>
    </w:rPr>
  </w:style>
  <w:style w:type="paragraph" w:styleId="16">
    <w:name w:val="caption"/>
    <w:basedOn w:val="1"/>
    <w:next w:val="1"/>
    <w:qFormat/>
    <w:uiPriority w:val="99"/>
    <w:rPr>
      <w:rFonts w:ascii="Cambria" w:hAnsi="Cambria" w:eastAsia="黑体" w:cs="Cambria"/>
      <w:sz w:val="20"/>
      <w:szCs w:val="20"/>
    </w:rPr>
  </w:style>
  <w:style w:type="paragraph" w:styleId="17">
    <w:name w:val="Document Map"/>
    <w:basedOn w:val="1"/>
    <w:link w:val="73"/>
    <w:semiHidden/>
    <w:qFormat/>
    <w:uiPriority w:val="99"/>
    <w:pPr>
      <w:shd w:val="clear" w:color="auto" w:fill="000080"/>
    </w:pPr>
    <w:rPr>
      <w:kern w:val="0"/>
      <w:sz w:val="20"/>
      <w:szCs w:val="20"/>
      <w:shd w:val="clear" w:color="auto" w:fill="000080"/>
    </w:rPr>
  </w:style>
  <w:style w:type="paragraph" w:styleId="18">
    <w:name w:val="annotation text"/>
    <w:basedOn w:val="1"/>
    <w:link w:val="74"/>
    <w:semiHidden/>
    <w:qFormat/>
    <w:uiPriority w:val="99"/>
    <w:pPr>
      <w:jc w:val="left"/>
    </w:pPr>
  </w:style>
  <w:style w:type="paragraph" w:styleId="19">
    <w:name w:val="Body Text 3"/>
    <w:basedOn w:val="1"/>
    <w:link w:val="75"/>
    <w:qFormat/>
    <w:uiPriority w:val="99"/>
    <w:rPr>
      <w:rFonts w:ascii="宋体" w:cs="宋体"/>
      <w:sz w:val="24"/>
      <w:szCs w:val="24"/>
    </w:rPr>
  </w:style>
  <w:style w:type="paragraph" w:styleId="20">
    <w:name w:val="Body Text"/>
    <w:basedOn w:val="1"/>
    <w:link w:val="76"/>
    <w:qFormat/>
    <w:uiPriority w:val="99"/>
    <w:pPr>
      <w:jc w:val="center"/>
    </w:pPr>
    <w:rPr>
      <w:b/>
      <w:bCs/>
      <w:sz w:val="44"/>
      <w:szCs w:val="44"/>
    </w:rPr>
  </w:style>
  <w:style w:type="paragraph" w:styleId="21">
    <w:name w:val="Block Text"/>
    <w:basedOn w:val="1"/>
    <w:qFormat/>
    <w:uiPriority w:val="99"/>
    <w:pPr>
      <w:spacing w:line="400" w:lineRule="exact"/>
      <w:ind w:left="-359" w:leftChars="-171" w:right="31" w:rightChars="15" w:firstLine="980" w:firstLineChars="350"/>
    </w:pPr>
    <w:rPr>
      <w:rFonts w:ascii="宋体" w:hAnsi="宋体" w:cs="宋体"/>
      <w:sz w:val="28"/>
      <w:szCs w:val="28"/>
    </w:rPr>
  </w:style>
  <w:style w:type="paragraph" w:styleId="22">
    <w:name w:val="index 4"/>
    <w:basedOn w:val="1"/>
    <w:next w:val="1"/>
    <w:semiHidden/>
    <w:qFormat/>
    <w:uiPriority w:val="99"/>
    <w:pPr>
      <w:ind w:left="600" w:leftChars="600"/>
    </w:pPr>
  </w:style>
  <w:style w:type="paragraph" w:styleId="23">
    <w:name w:val="toc 5"/>
    <w:basedOn w:val="1"/>
    <w:next w:val="1"/>
    <w:semiHidden/>
    <w:qFormat/>
    <w:uiPriority w:val="99"/>
    <w:pPr>
      <w:tabs>
        <w:tab w:val="right" w:leader="dot" w:pos="8296"/>
      </w:tabs>
      <w:ind w:left="1050" w:leftChars="500"/>
    </w:pPr>
    <w:rPr>
      <w:rFonts w:ascii="Calibri" w:hAnsi="Calibri" w:cs="Calibri"/>
    </w:rPr>
  </w:style>
  <w:style w:type="paragraph" w:styleId="24">
    <w:name w:val="toc 3"/>
    <w:basedOn w:val="1"/>
    <w:next w:val="1"/>
    <w:semiHidden/>
    <w:qFormat/>
    <w:uiPriority w:val="99"/>
    <w:pPr>
      <w:ind w:left="840" w:leftChars="400"/>
    </w:pPr>
    <w:rPr>
      <w:rFonts w:ascii="Calibri" w:hAnsi="Calibri" w:cs="Calibri"/>
    </w:rPr>
  </w:style>
  <w:style w:type="paragraph" w:styleId="25">
    <w:name w:val="Plain Text"/>
    <w:basedOn w:val="1"/>
    <w:next w:val="1"/>
    <w:link w:val="78"/>
    <w:qFormat/>
    <w:uiPriority w:val="99"/>
    <w:rPr>
      <w:rFonts w:ascii="宋体" w:hAnsi="Courier New" w:cs="宋体"/>
    </w:rPr>
  </w:style>
  <w:style w:type="paragraph" w:styleId="26">
    <w:name w:val="toc 8"/>
    <w:basedOn w:val="1"/>
    <w:next w:val="1"/>
    <w:semiHidden/>
    <w:qFormat/>
    <w:uiPriority w:val="99"/>
    <w:pPr>
      <w:ind w:left="2940" w:leftChars="1400"/>
    </w:pPr>
    <w:rPr>
      <w:rFonts w:ascii="Calibri" w:hAnsi="Calibri" w:cs="Calibri"/>
    </w:rPr>
  </w:style>
  <w:style w:type="paragraph" w:styleId="27">
    <w:name w:val="Date"/>
    <w:basedOn w:val="1"/>
    <w:next w:val="1"/>
    <w:link w:val="79"/>
    <w:qFormat/>
    <w:uiPriority w:val="99"/>
    <w:rPr>
      <w:rFonts w:ascii="仿宋_GB2312" w:eastAsia="仿宋_GB2312" w:cs="仿宋_GB2312"/>
      <w:sz w:val="30"/>
      <w:szCs w:val="30"/>
    </w:rPr>
  </w:style>
  <w:style w:type="paragraph" w:styleId="28">
    <w:name w:val="Body Text Indent 2"/>
    <w:basedOn w:val="1"/>
    <w:link w:val="80"/>
    <w:qFormat/>
    <w:uiPriority w:val="99"/>
    <w:pPr>
      <w:spacing w:line="360" w:lineRule="exact"/>
      <w:ind w:firstLine="600" w:firstLineChars="250"/>
      <w:jc w:val="left"/>
    </w:pPr>
    <w:rPr>
      <w:sz w:val="24"/>
      <w:szCs w:val="24"/>
    </w:rPr>
  </w:style>
  <w:style w:type="paragraph" w:styleId="29">
    <w:name w:val="Balloon Text"/>
    <w:basedOn w:val="1"/>
    <w:link w:val="81"/>
    <w:semiHidden/>
    <w:qFormat/>
    <w:uiPriority w:val="99"/>
    <w:rPr>
      <w:sz w:val="18"/>
      <w:szCs w:val="18"/>
    </w:rPr>
  </w:style>
  <w:style w:type="paragraph" w:styleId="30">
    <w:name w:val="footer"/>
    <w:basedOn w:val="1"/>
    <w:link w:val="82"/>
    <w:qFormat/>
    <w:uiPriority w:val="99"/>
    <w:pPr>
      <w:tabs>
        <w:tab w:val="center" w:pos="4153"/>
        <w:tab w:val="right" w:pos="8306"/>
      </w:tabs>
      <w:snapToGrid w:val="0"/>
      <w:jc w:val="left"/>
    </w:pPr>
    <w:rPr>
      <w:sz w:val="18"/>
      <w:szCs w:val="18"/>
    </w:rPr>
  </w:style>
  <w:style w:type="paragraph" w:styleId="31">
    <w:name w:val="header"/>
    <w:basedOn w:val="1"/>
    <w:link w:val="83"/>
    <w:qFormat/>
    <w:uiPriority w:val="99"/>
    <w:pPr>
      <w:pBdr>
        <w:bottom w:val="single" w:color="auto" w:sz="6" w:space="1"/>
      </w:pBdr>
      <w:tabs>
        <w:tab w:val="center" w:pos="4153"/>
        <w:tab w:val="right" w:pos="8306"/>
      </w:tabs>
      <w:snapToGrid w:val="0"/>
      <w:jc w:val="center"/>
    </w:pPr>
    <w:rPr>
      <w:sz w:val="18"/>
      <w:szCs w:val="18"/>
    </w:rPr>
  </w:style>
  <w:style w:type="paragraph" w:styleId="32">
    <w:name w:val="toc 1"/>
    <w:basedOn w:val="1"/>
    <w:next w:val="1"/>
    <w:semiHidden/>
    <w:qFormat/>
    <w:uiPriority w:val="99"/>
    <w:pPr>
      <w:tabs>
        <w:tab w:val="right" w:leader="dot" w:pos="8296"/>
      </w:tabs>
    </w:pPr>
    <w:rPr>
      <w:rFonts w:ascii="宋体" w:eastAsia="楷体_GB2312" w:cs="宋体"/>
      <w:b/>
      <w:bCs/>
      <w:kern w:val="0"/>
      <w:sz w:val="28"/>
      <w:szCs w:val="28"/>
    </w:rPr>
  </w:style>
  <w:style w:type="paragraph" w:styleId="33">
    <w:name w:val="toc 4"/>
    <w:basedOn w:val="1"/>
    <w:next w:val="1"/>
    <w:semiHidden/>
    <w:qFormat/>
    <w:uiPriority w:val="99"/>
    <w:pPr>
      <w:tabs>
        <w:tab w:val="left" w:pos="1890"/>
        <w:tab w:val="right" w:leader="dot" w:pos="8296"/>
      </w:tabs>
      <w:ind w:left="630" w:leftChars="300"/>
    </w:pPr>
    <w:rPr>
      <w:rFonts w:ascii="Calibri" w:hAnsi="Calibri" w:cs="Calibri"/>
    </w:rPr>
  </w:style>
  <w:style w:type="paragraph" w:styleId="34">
    <w:name w:val="Subtitle"/>
    <w:basedOn w:val="1"/>
    <w:next w:val="1"/>
    <w:link w:val="84"/>
    <w:qFormat/>
    <w:uiPriority w:val="99"/>
    <w:pPr>
      <w:spacing w:before="240" w:after="60" w:line="312" w:lineRule="auto"/>
      <w:jc w:val="center"/>
      <w:outlineLvl w:val="1"/>
    </w:pPr>
    <w:rPr>
      <w:rFonts w:ascii="Cambria" w:hAnsi="Cambria" w:cs="Cambria"/>
      <w:b/>
      <w:bCs/>
      <w:kern w:val="28"/>
      <w:sz w:val="32"/>
      <w:szCs w:val="32"/>
    </w:rPr>
  </w:style>
  <w:style w:type="paragraph" w:styleId="35">
    <w:name w:val="footnote text"/>
    <w:basedOn w:val="1"/>
    <w:link w:val="85"/>
    <w:semiHidden/>
    <w:qFormat/>
    <w:uiPriority w:val="99"/>
    <w:rPr>
      <w:sz w:val="20"/>
      <w:szCs w:val="20"/>
    </w:rPr>
  </w:style>
  <w:style w:type="paragraph" w:styleId="36">
    <w:name w:val="toc 6"/>
    <w:basedOn w:val="1"/>
    <w:next w:val="1"/>
    <w:semiHidden/>
    <w:qFormat/>
    <w:uiPriority w:val="99"/>
    <w:pPr>
      <w:ind w:left="2100" w:leftChars="1000"/>
    </w:pPr>
    <w:rPr>
      <w:rFonts w:ascii="Calibri" w:hAnsi="Calibri" w:cs="Calibri"/>
    </w:rPr>
  </w:style>
  <w:style w:type="paragraph" w:styleId="37">
    <w:name w:val="Body Text Indent 3"/>
    <w:basedOn w:val="1"/>
    <w:link w:val="86"/>
    <w:qFormat/>
    <w:uiPriority w:val="99"/>
    <w:pPr>
      <w:spacing w:after="120"/>
      <w:ind w:left="420" w:leftChars="200"/>
    </w:pPr>
    <w:rPr>
      <w:sz w:val="16"/>
      <w:szCs w:val="16"/>
    </w:rPr>
  </w:style>
  <w:style w:type="paragraph" w:styleId="38">
    <w:name w:val="table of figures"/>
    <w:basedOn w:val="1"/>
    <w:next w:val="1"/>
    <w:semiHidden/>
    <w:qFormat/>
    <w:uiPriority w:val="99"/>
    <w:pPr>
      <w:ind w:left="200" w:leftChars="200" w:hanging="200" w:hangingChars="200"/>
    </w:pPr>
  </w:style>
  <w:style w:type="paragraph" w:styleId="39">
    <w:name w:val="toc 2"/>
    <w:basedOn w:val="1"/>
    <w:next w:val="1"/>
    <w:semiHidden/>
    <w:qFormat/>
    <w:uiPriority w:val="99"/>
    <w:pPr>
      <w:ind w:left="420" w:leftChars="200"/>
    </w:pPr>
    <w:rPr>
      <w:rFonts w:ascii="宋体" w:cs="宋体"/>
      <w:b/>
      <w:bCs/>
      <w:sz w:val="28"/>
      <w:szCs w:val="28"/>
    </w:rPr>
  </w:style>
  <w:style w:type="paragraph" w:styleId="40">
    <w:name w:val="toc 9"/>
    <w:basedOn w:val="1"/>
    <w:next w:val="1"/>
    <w:semiHidden/>
    <w:qFormat/>
    <w:uiPriority w:val="99"/>
    <w:pPr>
      <w:ind w:left="3360" w:leftChars="1600"/>
    </w:pPr>
    <w:rPr>
      <w:rFonts w:ascii="Calibri" w:hAnsi="Calibri" w:cs="Calibri"/>
    </w:rPr>
  </w:style>
  <w:style w:type="paragraph" w:styleId="41">
    <w:name w:val="Body Text 2"/>
    <w:basedOn w:val="1"/>
    <w:link w:val="87"/>
    <w:qFormat/>
    <w:uiPriority w:val="99"/>
    <w:pPr>
      <w:spacing w:line="440" w:lineRule="exact"/>
    </w:pPr>
    <w:rPr>
      <w:sz w:val="28"/>
      <w:szCs w:val="28"/>
    </w:rPr>
  </w:style>
  <w:style w:type="paragraph" w:styleId="42">
    <w:name w:val="Normal (Web)"/>
    <w:basedOn w:val="1"/>
    <w:qFormat/>
    <w:uiPriority w:val="99"/>
    <w:pPr>
      <w:widowControl/>
      <w:spacing w:before="100" w:beforeAutospacing="1" w:after="100" w:afterAutospacing="1" w:line="320" w:lineRule="atLeast"/>
      <w:jc w:val="left"/>
    </w:pPr>
    <w:rPr>
      <w:rFonts w:ascii="宋体" w:hAnsi="宋体" w:cs="宋体"/>
      <w:kern w:val="0"/>
      <w:sz w:val="18"/>
      <w:szCs w:val="18"/>
    </w:rPr>
  </w:style>
  <w:style w:type="paragraph" w:styleId="43">
    <w:name w:val="Title"/>
    <w:basedOn w:val="1"/>
    <w:next w:val="1"/>
    <w:link w:val="88"/>
    <w:qFormat/>
    <w:uiPriority w:val="99"/>
    <w:pPr>
      <w:spacing w:before="240" w:after="60"/>
      <w:jc w:val="center"/>
      <w:outlineLvl w:val="0"/>
    </w:pPr>
    <w:rPr>
      <w:rFonts w:ascii="Cambria" w:hAnsi="Cambria" w:cs="Cambria"/>
      <w:b/>
      <w:bCs/>
      <w:sz w:val="32"/>
      <w:szCs w:val="32"/>
    </w:rPr>
  </w:style>
  <w:style w:type="paragraph" w:styleId="44">
    <w:name w:val="annotation subject"/>
    <w:basedOn w:val="18"/>
    <w:next w:val="18"/>
    <w:link w:val="89"/>
    <w:semiHidden/>
    <w:qFormat/>
    <w:uiPriority w:val="99"/>
    <w:rPr>
      <w:rFonts w:ascii="宋体" w:cs="宋体"/>
      <w:b/>
      <w:bCs/>
      <w:kern w:val="0"/>
      <w:sz w:val="28"/>
      <w:szCs w:val="28"/>
    </w:rPr>
  </w:style>
  <w:style w:type="table" w:styleId="46">
    <w:name w:val="Table Grid"/>
    <w:basedOn w:val="45"/>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Strong"/>
    <w:basedOn w:val="47"/>
    <w:qFormat/>
    <w:uiPriority w:val="99"/>
    <w:rPr>
      <w:rFonts w:cs="Times New Roman"/>
      <w:b/>
      <w:bCs/>
    </w:rPr>
  </w:style>
  <w:style w:type="character" w:styleId="49">
    <w:name w:val="page number"/>
    <w:basedOn w:val="47"/>
    <w:qFormat/>
    <w:uiPriority w:val="99"/>
    <w:rPr>
      <w:rFonts w:cs="Times New Roman"/>
    </w:rPr>
  </w:style>
  <w:style w:type="character" w:styleId="50">
    <w:name w:val="FollowedHyperlink"/>
    <w:basedOn w:val="47"/>
    <w:qFormat/>
    <w:uiPriority w:val="99"/>
    <w:rPr>
      <w:rFonts w:cs="Times New Roman"/>
      <w:color w:val="333333"/>
      <w:u w:val="none"/>
    </w:rPr>
  </w:style>
  <w:style w:type="character" w:styleId="51">
    <w:name w:val="Emphasis"/>
    <w:basedOn w:val="47"/>
    <w:qFormat/>
    <w:uiPriority w:val="99"/>
    <w:rPr>
      <w:rFonts w:cs="Times New Roman"/>
      <w:color w:val="auto"/>
    </w:rPr>
  </w:style>
  <w:style w:type="character" w:styleId="52">
    <w:name w:val="HTML Definition"/>
    <w:basedOn w:val="47"/>
    <w:qFormat/>
    <w:uiPriority w:val="99"/>
    <w:rPr>
      <w:rFonts w:cs="Times New Roman"/>
    </w:rPr>
  </w:style>
  <w:style w:type="character" w:styleId="53">
    <w:name w:val="HTML Typewriter"/>
    <w:basedOn w:val="47"/>
    <w:qFormat/>
    <w:uiPriority w:val="99"/>
    <w:rPr>
      <w:rFonts w:ascii="monospace" w:hAnsi="monospace" w:cs="monospace"/>
      <w:sz w:val="20"/>
    </w:rPr>
  </w:style>
  <w:style w:type="character" w:styleId="54">
    <w:name w:val="HTML Acronym"/>
    <w:basedOn w:val="47"/>
    <w:qFormat/>
    <w:uiPriority w:val="99"/>
    <w:rPr>
      <w:rFonts w:cs="Times New Roman"/>
    </w:rPr>
  </w:style>
  <w:style w:type="character" w:styleId="55">
    <w:name w:val="HTML Variable"/>
    <w:basedOn w:val="47"/>
    <w:qFormat/>
    <w:uiPriority w:val="99"/>
    <w:rPr>
      <w:rFonts w:cs="Times New Roman"/>
    </w:rPr>
  </w:style>
  <w:style w:type="character" w:styleId="56">
    <w:name w:val="Hyperlink"/>
    <w:basedOn w:val="47"/>
    <w:qFormat/>
    <w:uiPriority w:val="99"/>
    <w:rPr>
      <w:rFonts w:cs="Times New Roman"/>
      <w:color w:val="333333"/>
      <w:u w:val="none"/>
    </w:rPr>
  </w:style>
  <w:style w:type="character" w:styleId="57">
    <w:name w:val="HTML Code"/>
    <w:basedOn w:val="47"/>
    <w:qFormat/>
    <w:uiPriority w:val="99"/>
    <w:rPr>
      <w:rFonts w:ascii="monospace" w:hAnsi="monospace" w:cs="monospace"/>
      <w:sz w:val="20"/>
    </w:rPr>
  </w:style>
  <w:style w:type="character" w:styleId="58">
    <w:name w:val="annotation reference"/>
    <w:basedOn w:val="47"/>
    <w:semiHidden/>
    <w:qFormat/>
    <w:uiPriority w:val="99"/>
    <w:rPr>
      <w:rFonts w:cs="Times New Roman"/>
      <w:sz w:val="21"/>
      <w:szCs w:val="21"/>
    </w:rPr>
  </w:style>
  <w:style w:type="character" w:styleId="59">
    <w:name w:val="HTML Cite"/>
    <w:basedOn w:val="47"/>
    <w:qFormat/>
    <w:uiPriority w:val="99"/>
    <w:rPr>
      <w:rFonts w:cs="Times New Roman"/>
    </w:rPr>
  </w:style>
  <w:style w:type="character" w:styleId="60">
    <w:name w:val="footnote reference"/>
    <w:basedOn w:val="47"/>
    <w:semiHidden/>
    <w:qFormat/>
    <w:uiPriority w:val="99"/>
    <w:rPr>
      <w:rFonts w:cs="Times New Roman"/>
      <w:vertAlign w:val="superscript"/>
    </w:rPr>
  </w:style>
  <w:style w:type="character" w:styleId="61">
    <w:name w:val="HTML Keyboard"/>
    <w:basedOn w:val="47"/>
    <w:qFormat/>
    <w:uiPriority w:val="99"/>
    <w:rPr>
      <w:rFonts w:ascii="monospace" w:hAnsi="monospace" w:cs="monospace"/>
      <w:sz w:val="20"/>
    </w:rPr>
  </w:style>
  <w:style w:type="character" w:styleId="62">
    <w:name w:val="HTML Sample"/>
    <w:basedOn w:val="47"/>
    <w:qFormat/>
    <w:uiPriority w:val="99"/>
    <w:rPr>
      <w:rFonts w:ascii="monospace" w:hAnsi="monospace" w:cs="monospace"/>
    </w:rPr>
  </w:style>
  <w:style w:type="paragraph" w:customStyle="1" w:styleId="63">
    <w:name w:val="l正文"/>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character" w:customStyle="1" w:styleId="64">
    <w:name w:val="Heading 1 Char"/>
    <w:basedOn w:val="47"/>
    <w:link w:val="6"/>
    <w:qFormat/>
    <w:locked/>
    <w:uiPriority w:val="99"/>
    <w:rPr>
      <w:rFonts w:ascii="Times New Roman" w:hAnsi="Times New Roman" w:eastAsia="仿宋" w:cs="Times New Roman"/>
      <w:b/>
      <w:bCs/>
      <w:kern w:val="44"/>
      <w:sz w:val="44"/>
      <w:szCs w:val="44"/>
      <w:lang w:val="en-US" w:eastAsia="zh-CN"/>
    </w:rPr>
  </w:style>
  <w:style w:type="character" w:customStyle="1" w:styleId="65">
    <w:name w:val="Heading 2 Char"/>
    <w:basedOn w:val="47"/>
    <w:link w:val="7"/>
    <w:qFormat/>
    <w:locked/>
    <w:uiPriority w:val="99"/>
    <w:rPr>
      <w:rFonts w:ascii="Arial" w:hAnsi="Arial" w:eastAsia="黑体" w:cs="Arial"/>
      <w:b/>
      <w:bCs/>
      <w:kern w:val="2"/>
      <w:sz w:val="32"/>
      <w:szCs w:val="32"/>
      <w:lang w:val="en-US" w:eastAsia="zh-CN"/>
    </w:rPr>
  </w:style>
  <w:style w:type="character" w:customStyle="1" w:styleId="66">
    <w:name w:val="Heading 3 Char"/>
    <w:basedOn w:val="47"/>
    <w:link w:val="8"/>
    <w:qFormat/>
    <w:locked/>
    <w:uiPriority w:val="99"/>
    <w:rPr>
      <w:rFonts w:eastAsia="宋体" w:cs="Times New Roman"/>
      <w:b/>
      <w:bCs/>
      <w:kern w:val="2"/>
      <w:sz w:val="32"/>
      <w:szCs w:val="32"/>
      <w:lang w:val="en-US" w:eastAsia="zh-CN"/>
    </w:rPr>
  </w:style>
  <w:style w:type="character" w:customStyle="1" w:styleId="67">
    <w:name w:val="Heading 4 Char"/>
    <w:basedOn w:val="47"/>
    <w:link w:val="9"/>
    <w:qFormat/>
    <w:locked/>
    <w:uiPriority w:val="99"/>
    <w:rPr>
      <w:rFonts w:ascii="Cambria" w:hAnsi="Cambria" w:eastAsia="宋体" w:cs="Cambria"/>
      <w:b/>
      <w:bCs/>
      <w:kern w:val="2"/>
      <w:sz w:val="28"/>
      <w:szCs w:val="28"/>
      <w:lang w:val="en-US" w:eastAsia="zh-CN"/>
    </w:rPr>
  </w:style>
  <w:style w:type="character" w:customStyle="1" w:styleId="68">
    <w:name w:val="Heading 5 Char"/>
    <w:basedOn w:val="47"/>
    <w:link w:val="10"/>
    <w:qFormat/>
    <w:locked/>
    <w:uiPriority w:val="99"/>
    <w:rPr>
      <w:rFonts w:ascii="Calibri" w:hAnsi="Calibri" w:eastAsia="宋体" w:cs="Calibri"/>
      <w:b/>
      <w:bCs/>
      <w:kern w:val="2"/>
      <w:sz w:val="28"/>
      <w:szCs w:val="28"/>
      <w:lang w:val="en-US" w:eastAsia="zh-CN"/>
    </w:rPr>
  </w:style>
  <w:style w:type="character" w:customStyle="1" w:styleId="69">
    <w:name w:val="Heading 6 Char"/>
    <w:basedOn w:val="47"/>
    <w:link w:val="11"/>
    <w:qFormat/>
    <w:locked/>
    <w:uiPriority w:val="99"/>
    <w:rPr>
      <w:rFonts w:ascii="Cambria" w:hAnsi="Cambria" w:eastAsia="宋体" w:cs="Cambria"/>
      <w:b/>
      <w:bCs/>
      <w:kern w:val="2"/>
      <w:sz w:val="24"/>
      <w:szCs w:val="24"/>
      <w:lang w:val="en-US" w:eastAsia="zh-CN"/>
    </w:rPr>
  </w:style>
  <w:style w:type="character" w:customStyle="1" w:styleId="70">
    <w:name w:val="Heading 7 Char"/>
    <w:basedOn w:val="47"/>
    <w:link w:val="12"/>
    <w:qFormat/>
    <w:locked/>
    <w:uiPriority w:val="99"/>
    <w:rPr>
      <w:rFonts w:ascii="Calibri" w:hAnsi="Calibri" w:eastAsia="宋体" w:cs="Calibri"/>
      <w:b/>
      <w:bCs/>
      <w:kern w:val="2"/>
      <w:sz w:val="24"/>
      <w:szCs w:val="24"/>
      <w:lang w:val="en-US" w:eastAsia="zh-CN"/>
    </w:rPr>
  </w:style>
  <w:style w:type="character" w:customStyle="1" w:styleId="71">
    <w:name w:val="Heading 8 Char"/>
    <w:basedOn w:val="47"/>
    <w:link w:val="13"/>
    <w:qFormat/>
    <w:locked/>
    <w:uiPriority w:val="99"/>
    <w:rPr>
      <w:rFonts w:ascii="Cambria" w:hAnsi="Cambria" w:eastAsia="宋体" w:cs="Cambria"/>
      <w:kern w:val="2"/>
      <w:sz w:val="24"/>
      <w:szCs w:val="24"/>
      <w:lang w:val="en-US" w:eastAsia="zh-CN"/>
    </w:rPr>
  </w:style>
  <w:style w:type="character" w:customStyle="1" w:styleId="72">
    <w:name w:val="Heading 9 Char"/>
    <w:basedOn w:val="47"/>
    <w:link w:val="14"/>
    <w:qFormat/>
    <w:locked/>
    <w:uiPriority w:val="99"/>
    <w:rPr>
      <w:rFonts w:ascii="Cambria" w:hAnsi="Cambria" w:eastAsia="宋体" w:cs="Cambria"/>
      <w:kern w:val="2"/>
      <w:sz w:val="21"/>
      <w:szCs w:val="21"/>
      <w:lang w:val="en-US" w:eastAsia="zh-CN"/>
    </w:rPr>
  </w:style>
  <w:style w:type="character" w:customStyle="1" w:styleId="73">
    <w:name w:val="Document Map Char"/>
    <w:basedOn w:val="47"/>
    <w:link w:val="17"/>
    <w:qFormat/>
    <w:locked/>
    <w:uiPriority w:val="99"/>
    <w:rPr>
      <w:rFonts w:cs="Times New Roman"/>
      <w:sz w:val="24"/>
      <w:szCs w:val="24"/>
      <w:shd w:val="clear" w:color="auto" w:fill="000080"/>
    </w:rPr>
  </w:style>
  <w:style w:type="character" w:customStyle="1" w:styleId="74">
    <w:name w:val="Comment Text Char"/>
    <w:basedOn w:val="47"/>
    <w:link w:val="18"/>
    <w:qFormat/>
    <w:locked/>
    <w:uiPriority w:val="99"/>
    <w:rPr>
      <w:rFonts w:cs="Times New Roman"/>
      <w:kern w:val="2"/>
      <w:sz w:val="22"/>
      <w:szCs w:val="22"/>
    </w:rPr>
  </w:style>
  <w:style w:type="character" w:customStyle="1" w:styleId="75">
    <w:name w:val="Body Text 3 Char"/>
    <w:basedOn w:val="47"/>
    <w:link w:val="19"/>
    <w:semiHidden/>
    <w:qFormat/>
    <w:locked/>
    <w:uiPriority w:val="99"/>
    <w:rPr>
      <w:rFonts w:cs="Times New Roman"/>
      <w:sz w:val="16"/>
      <w:szCs w:val="16"/>
    </w:rPr>
  </w:style>
  <w:style w:type="character" w:customStyle="1" w:styleId="76">
    <w:name w:val="Body Text Char"/>
    <w:basedOn w:val="47"/>
    <w:link w:val="20"/>
    <w:qFormat/>
    <w:locked/>
    <w:uiPriority w:val="99"/>
    <w:rPr>
      <w:rFonts w:eastAsia="宋体" w:cs="Times New Roman"/>
      <w:b/>
      <w:bCs/>
      <w:kern w:val="2"/>
      <w:sz w:val="44"/>
      <w:szCs w:val="44"/>
      <w:lang w:val="en-US" w:eastAsia="zh-CN"/>
    </w:rPr>
  </w:style>
  <w:style w:type="character" w:customStyle="1" w:styleId="77">
    <w:name w:val="Body Text Indent Char"/>
    <w:basedOn w:val="47"/>
    <w:link w:val="3"/>
    <w:semiHidden/>
    <w:qFormat/>
    <w:locked/>
    <w:uiPriority w:val="99"/>
    <w:rPr>
      <w:rFonts w:cs="Times New Roman"/>
      <w:sz w:val="21"/>
      <w:szCs w:val="21"/>
    </w:rPr>
  </w:style>
  <w:style w:type="character" w:customStyle="1" w:styleId="78">
    <w:name w:val="Plain Text Char"/>
    <w:basedOn w:val="47"/>
    <w:link w:val="25"/>
    <w:semiHidden/>
    <w:qFormat/>
    <w:locked/>
    <w:uiPriority w:val="99"/>
    <w:rPr>
      <w:rFonts w:ascii="宋体" w:hAnsi="Courier New" w:cs="Courier New"/>
      <w:sz w:val="21"/>
      <w:szCs w:val="21"/>
    </w:rPr>
  </w:style>
  <w:style w:type="character" w:customStyle="1" w:styleId="79">
    <w:name w:val="Date Char"/>
    <w:basedOn w:val="47"/>
    <w:link w:val="27"/>
    <w:qFormat/>
    <w:locked/>
    <w:uiPriority w:val="99"/>
    <w:rPr>
      <w:rFonts w:ascii="仿宋_GB2312" w:eastAsia="仿宋_GB2312" w:cs="仿宋_GB2312"/>
      <w:kern w:val="2"/>
      <w:sz w:val="30"/>
      <w:szCs w:val="30"/>
      <w:lang w:val="en-US" w:eastAsia="zh-CN"/>
    </w:rPr>
  </w:style>
  <w:style w:type="character" w:customStyle="1" w:styleId="80">
    <w:name w:val="Body Text Indent 2 Char"/>
    <w:basedOn w:val="47"/>
    <w:link w:val="28"/>
    <w:semiHidden/>
    <w:qFormat/>
    <w:locked/>
    <w:uiPriority w:val="99"/>
    <w:rPr>
      <w:rFonts w:cs="Times New Roman"/>
      <w:sz w:val="21"/>
      <w:szCs w:val="21"/>
    </w:rPr>
  </w:style>
  <w:style w:type="character" w:customStyle="1" w:styleId="81">
    <w:name w:val="Balloon Text Char"/>
    <w:basedOn w:val="47"/>
    <w:link w:val="29"/>
    <w:semiHidden/>
    <w:qFormat/>
    <w:locked/>
    <w:uiPriority w:val="99"/>
    <w:rPr>
      <w:rFonts w:cs="Times New Roman"/>
      <w:sz w:val="2"/>
    </w:rPr>
  </w:style>
  <w:style w:type="character" w:customStyle="1" w:styleId="82">
    <w:name w:val="Footer Char"/>
    <w:basedOn w:val="47"/>
    <w:link w:val="30"/>
    <w:qFormat/>
    <w:locked/>
    <w:uiPriority w:val="99"/>
    <w:rPr>
      <w:rFonts w:eastAsia="宋体" w:cs="Times New Roman"/>
      <w:kern w:val="2"/>
      <w:sz w:val="18"/>
      <w:szCs w:val="18"/>
      <w:lang w:val="en-US" w:eastAsia="zh-CN"/>
    </w:rPr>
  </w:style>
  <w:style w:type="character" w:customStyle="1" w:styleId="83">
    <w:name w:val="Header Char"/>
    <w:basedOn w:val="47"/>
    <w:link w:val="31"/>
    <w:qFormat/>
    <w:locked/>
    <w:uiPriority w:val="99"/>
    <w:rPr>
      <w:rFonts w:eastAsia="宋体" w:cs="Times New Roman"/>
      <w:kern w:val="2"/>
      <w:sz w:val="18"/>
      <w:szCs w:val="18"/>
      <w:lang w:val="en-US" w:eastAsia="zh-CN"/>
    </w:rPr>
  </w:style>
  <w:style w:type="character" w:customStyle="1" w:styleId="84">
    <w:name w:val="Subtitle Char"/>
    <w:basedOn w:val="47"/>
    <w:link w:val="34"/>
    <w:qFormat/>
    <w:locked/>
    <w:uiPriority w:val="99"/>
    <w:rPr>
      <w:rFonts w:ascii="Cambria" w:hAnsi="Cambria" w:cs="Cambria"/>
      <w:b/>
      <w:bCs/>
      <w:kern w:val="28"/>
      <w:sz w:val="32"/>
      <w:szCs w:val="32"/>
    </w:rPr>
  </w:style>
  <w:style w:type="character" w:customStyle="1" w:styleId="85">
    <w:name w:val="Footnote Text Char"/>
    <w:basedOn w:val="47"/>
    <w:link w:val="35"/>
    <w:semiHidden/>
    <w:qFormat/>
    <w:locked/>
    <w:uiPriority w:val="99"/>
    <w:rPr>
      <w:rFonts w:cs="Times New Roman"/>
      <w:sz w:val="18"/>
      <w:szCs w:val="18"/>
    </w:rPr>
  </w:style>
  <w:style w:type="character" w:customStyle="1" w:styleId="86">
    <w:name w:val="Body Text Indent 3 Char"/>
    <w:basedOn w:val="47"/>
    <w:link w:val="37"/>
    <w:semiHidden/>
    <w:qFormat/>
    <w:locked/>
    <w:uiPriority w:val="99"/>
    <w:rPr>
      <w:rFonts w:cs="Times New Roman"/>
      <w:sz w:val="16"/>
      <w:szCs w:val="16"/>
    </w:rPr>
  </w:style>
  <w:style w:type="character" w:customStyle="1" w:styleId="87">
    <w:name w:val="Body Text 2 Char"/>
    <w:basedOn w:val="47"/>
    <w:link w:val="41"/>
    <w:semiHidden/>
    <w:qFormat/>
    <w:locked/>
    <w:uiPriority w:val="99"/>
    <w:rPr>
      <w:rFonts w:cs="Times New Roman"/>
      <w:sz w:val="21"/>
      <w:szCs w:val="21"/>
    </w:rPr>
  </w:style>
  <w:style w:type="character" w:customStyle="1" w:styleId="88">
    <w:name w:val="Title Char"/>
    <w:basedOn w:val="47"/>
    <w:link w:val="43"/>
    <w:qFormat/>
    <w:locked/>
    <w:uiPriority w:val="99"/>
    <w:rPr>
      <w:rFonts w:ascii="Cambria" w:hAnsi="Cambria" w:cs="Cambria"/>
      <w:b/>
      <w:bCs/>
      <w:kern w:val="2"/>
      <w:sz w:val="32"/>
      <w:szCs w:val="32"/>
    </w:rPr>
  </w:style>
  <w:style w:type="character" w:customStyle="1" w:styleId="89">
    <w:name w:val="Comment Subject Char"/>
    <w:basedOn w:val="74"/>
    <w:link w:val="44"/>
    <w:qFormat/>
    <w:locked/>
    <w:uiPriority w:val="99"/>
    <w:rPr>
      <w:rFonts w:ascii="宋体" w:cs="宋体"/>
      <w:b/>
      <w:bCs/>
      <w:sz w:val="28"/>
      <w:szCs w:val="28"/>
    </w:rPr>
  </w:style>
  <w:style w:type="character" w:customStyle="1" w:styleId="90">
    <w:name w:val="Body Text First Indent 2 Char"/>
    <w:basedOn w:val="77"/>
    <w:link w:val="2"/>
    <w:semiHidden/>
    <w:qFormat/>
    <w:locked/>
    <w:uiPriority w:val="99"/>
  </w:style>
  <w:style w:type="character" w:customStyle="1" w:styleId="91">
    <w:name w:val="批注文字 Char Char"/>
    <w:qFormat/>
    <w:uiPriority w:val="99"/>
    <w:rPr>
      <w:rFonts w:ascii="宋体" w:hAnsi="Times New Roman" w:eastAsia="宋体"/>
      <w:sz w:val="20"/>
    </w:rPr>
  </w:style>
  <w:style w:type="character" w:customStyle="1" w:styleId="92">
    <w:name w:val="标题 1 Char Char"/>
    <w:qFormat/>
    <w:locked/>
    <w:uiPriority w:val="99"/>
    <w:rPr>
      <w:rFonts w:eastAsia="宋体"/>
      <w:b/>
      <w:kern w:val="44"/>
      <w:sz w:val="44"/>
      <w:lang w:val="en-US" w:eastAsia="zh-CN"/>
    </w:rPr>
  </w:style>
  <w:style w:type="character" w:customStyle="1" w:styleId="93">
    <w:name w:val="Char Char"/>
    <w:qFormat/>
    <w:uiPriority w:val="99"/>
    <w:rPr>
      <w:rFonts w:ascii="Arial" w:hAnsi="Arial" w:eastAsia="黑体"/>
      <w:b/>
      <w:kern w:val="2"/>
      <w:sz w:val="32"/>
      <w:lang w:val="en-US" w:eastAsia="zh-CN"/>
    </w:rPr>
  </w:style>
  <w:style w:type="character" w:customStyle="1" w:styleId="94">
    <w:name w:val="明显参考1"/>
    <w:qFormat/>
    <w:uiPriority w:val="99"/>
    <w:rPr>
      <w:b/>
      <w:smallCaps/>
      <w:color w:val="auto"/>
      <w:spacing w:val="5"/>
      <w:u w:val="single"/>
    </w:rPr>
  </w:style>
  <w:style w:type="character" w:customStyle="1" w:styleId="95">
    <w:name w:val="明显强调1"/>
    <w:qFormat/>
    <w:uiPriority w:val="99"/>
    <w:rPr>
      <w:b/>
      <w:i/>
      <w:color w:val="4F81BD"/>
    </w:rPr>
  </w:style>
  <w:style w:type="character" w:customStyle="1" w:styleId="96">
    <w:name w:val="文档结构图 Char1"/>
    <w:qFormat/>
    <w:uiPriority w:val="99"/>
    <w:rPr>
      <w:rFonts w:ascii="宋体"/>
      <w:kern w:val="2"/>
      <w:sz w:val="18"/>
    </w:rPr>
  </w:style>
  <w:style w:type="character" w:customStyle="1" w:styleId="97">
    <w:name w:val="日期 Char"/>
    <w:qFormat/>
    <w:uiPriority w:val="99"/>
    <w:rPr>
      <w:rFonts w:ascii="仿宋_GB2312" w:eastAsia="仿宋_GB2312"/>
      <w:kern w:val="2"/>
      <w:sz w:val="30"/>
      <w:lang w:val="en-US" w:eastAsia="zh-CN"/>
    </w:rPr>
  </w:style>
  <w:style w:type="character" w:customStyle="1" w:styleId="98">
    <w:name w:val="textcontents"/>
    <w:qFormat/>
    <w:uiPriority w:val="99"/>
  </w:style>
  <w:style w:type="character" w:customStyle="1" w:styleId="99">
    <w:name w:val="引用 Char"/>
    <w:link w:val="100"/>
    <w:qFormat/>
    <w:locked/>
    <w:uiPriority w:val="99"/>
    <w:rPr>
      <w:i/>
      <w:color w:val="000000"/>
      <w:kern w:val="2"/>
      <w:sz w:val="22"/>
    </w:rPr>
  </w:style>
  <w:style w:type="paragraph" w:customStyle="1" w:styleId="100">
    <w:name w:val="引用1"/>
    <w:basedOn w:val="1"/>
    <w:next w:val="1"/>
    <w:link w:val="99"/>
    <w:qFormat/>
    <w:uiPriority w:val="99"/>
    <w:rPr>
      <w:i/>
      <w:color w:val="000000"/>
      <w:sz w:val="22"/>
      <w:szCs w:val="20"/>
    </w:rPr>
  </w:style>
  <w:style w:type="character" w:customStyle="1" w:styleId="101">
    <w:name w:val="日期 Char1"/>
    <w:qFormat/>
    <w:uiPriority w:val="99"/>
    <w:rPr>
      <w:kern w:val="2"/>
      <w:sz w:val="22"/>
    </w:rPr>
  </w:style>
  <w:style w:type="character" w:customStyle="1" w:styleId="102">
    <w:name w:val="不明显参考1"/>
    <w:qFormat/>
    <w:uiPriority w:val="99"/>
    <w:rPr>
      <w:smallCaps/>
      <w:color w:val="auto"/>
      <w:u w:val="single"/>
    </w:rPr>
  </w:style>
  <w:style w:type="character" w:customStyle="1" w:styleId="103">
    <w:name w:val="批注框文本 Char1"/>
    <w:qFormat/>
    <w:uiPriority w:val="99"/>
    <w:rPr>
      <w:kern w:val="2"/>
      <w:sz w:val="18"/>
    </w:rPr>
  </w:style>
  <w:style w:type="character" w:customStyle="1" w:styleId="104">
    <w:name w:val="不明显强调1"/>
    <w:qFormat/>
    <w:uiPriority w:val="99"/>
    <w:rPr>
      <w:i/>
      <w:color w:val="808080"/>
    </w:rPr>
  </w:style>
  <w:style w:type="character" w:customStyle="1" w:styleId="105">
    <w:name w:val="标题4 Char Char"/>
    <w:link w:val="106"/>
    <w:qFormat/>
    <w:locked/>
    <w:uiPriority w:val="99"/>
    <w:rPr>
      <w:rFonts w:ascii="Arial" w:hAnsi="Arial"/>
      <w:b/>
      <w:sz w:val="32"/>
    </w:rPr>
  </w:style>
  <w:style w:type="paragraph" w:customStyle="1" w:styleId="106">
    <w:name w:val="标题4"/>
    <w:basedOn w:val="7"/>
    <w:next w:val="22"/>
    <w:link w:val="105"/>
    <w:qFormat/>
    <w:uiPriority w:val="99"/>
    <w:pPr>
      <w:spacing w:line="413" w:lineRule="auto"/>
    </w:pPr>
    <w:rPr>
      <w:rFonts w:eastAsia="宋体" w:cs="Times New Roman"/>
      <w:bCs w:val="0"/>
      <w:kern w:val="0"/>
      <w:szCs w:val="20"/>
    </w:rPr>
  </w:style>
  <w:style w:type="character" w:customStyle="1" w:styleId="107">
    <w:name w:val="书籍标题1"/>
    <w:qFormat/>
    <w:uiPriority w:val="99"/>
    <w:rPr>
      <w:b/>
      <w:smallCaps/>
      <w:spacing w:val="5"/>
    </w:rPr>
  </w:style>
  <w:style w:type="character" w:customStyle="1" w:styleId="108">
    <w:name w:val="bigfont"/>
    <w:basedOn w:val="47"/>
    <w:qFormat/>
    <w:uiPriority w:val="99"/>
    <w:rPr>
      <w:rFonts w:cs="Times New Roman"/>
    </w:rPr>
  </w:style>
  <w:style w:type="character" w:customStyle="1" w:styleId="109">
    <w:name w:val="news_title1"/>
    <w:qFormat/>
    <w:uiPriority w:val="99"/>
    <w:rPr>
      <w:rFonts w:ascii="宋体" w:hAnsi="宋体" w:eastAsia="宋体"/>
      <w:b/>
      <w:color w:val="000000"/>
      <w:sz w:val="36"/>
      <w:u w:val="none"/>
    </w:rPr>
  </w:style>
  <w:style w:type="character" w:customStyle="1" w:styleId="110">
    <w:name w:val="标题5 Char Char"/>
    <w:link w:val="111"/>
    <w:qFormat/>
    <w:locked/>
    <w:uiPriority w:val="99"/>
    <w:rPr>
      <w:rFonts w:ascii="Arial" w:hAnsi="Arial"/>
      <w:b/>
      <w:sz w:val="32"/>
    </w:rPr>
  </w:style>
  <w:style w:type="paragraph" w:customStyle="1" w:styleId="111">
    <w:name w:val="标题5"/>
    <w:basedOn w:val="8"/>
    <w:link w:val="110"/>
    <w:qFormat/>
    <w:uiPriority w:val="99"/>
    <w:pPr>
      <w:spacing w:line="413" w:lineRule="auto"/>
    </w:pPr>
    <w:rPr>
      <w:rFonts w:ascii="Arial" w:hAnsi="Arial"/>
      <w:bCs w:val="0"/>
      <w:kern w:val="0"/>
      <w:szCs w:val="20"/>
    </w:rPr>
  </w:style>
  <w:style w:type="character" w:customStyle="1" w:styleId="112">
    <w:name w:val="font161"/>
    <w:qFormat/>
    <w:uiPriority w:val="99"/>
    <w:rPr>
      <w:b/>
      <w:sz w:val="32"/>
    </w:rPr>
  </w:style>
  <w:style w:type="character" w:customStyle="1" w:styleId="113">
    <w:name w:val="标题 2 Char Char"/>
    <w:qFormat/>
    <w:locked/>
    <w:uiPriority w:val="99"/>
    <w:rPr>
      <w:rFonts w:ascii="Arial" w:hAnsi="Arial" w:eastAsia="黑体"/>
      <w:b/>
      <w:kern w:val="2"/>
      <w:sz w:val="32"/>
      <w:lang w:val="en-US" w:eastAsia="zh-CN"/>
    </w:rPr>
  </w:style>
  <w:style w:type="character" w:customStyle="1" w:styleId="114">
    <w:name w:val="Char Char1"/>
    <w:qFormat/>
    <w:uiPriority w:val="99"/>
    <w:rPr>
      <w:rFonts w:ascii="宋体" w:hAnsi="Times New Roman"/>
      <w:sz w:val="28"/>
    </w:rPr>
  </w:style>
  <w:style w:type="character" w:customStyle="1" w:styleId="115">
    <w:name w:val="明显引用 Char"/>
    <w:link w:val="116"/>
    <w:qFormat/>
    <w:locked/>
    <w:uiPriority w:val="99"/>
    <w:rPr>
      <w:b/>
      <w:i/>
      <w:color w:val="4F81BD"/>
      <w:kern w:val="2"/>
      <w:sz w:val="22"/>
    </w:rPr>
  </w:style>
  <w:style w:type="paragraph" w:customStyle="1" w:styleId="116">
    <w:name w:val="明显引用1"/>
    <w:basedOn w:val="1"/>
    <w:next w:val="1"/>
    <w:link w:val="115"/>
    <w:qFormat/>
    <w:uiPriority w:val="99"/>
    <w:pPr>
      <w:pBdr>
        <w:bottom w:val="single" w:color="4F81BD" w:sz="4" w:space="4"/>
      </w:pBdr>
      <w:spacing w:before="200" w:after="280"/>
      <w:ind w:left="936" w:right="936"/>
    </w:pPr>
    <w:rPr>
      <w:b/>
      <w:i/>
      <w:color w:val="4F81BD"/>
      <w:sz w:val="22"/>
      <w:szCs w:val="20"/>
    </w:rPr>
  </w:style>
  <w:style w:type="character" w:customStyle="1" w:styleId="117">
    <w:name w:val="批注主题 Char1"/>
    <w:qFormat/>
    <w:uiPriority w:val="99"/>
    <w:rPr>
      <w:b/>
      <w:kern w:val="2"/>
      <w:sz w:val="22"/>
    </w:rPr>
  </w:style>
  <w:style w:type="character" w:customStyle="1" w:styleId="118">
    <w:name w:val="正文文本 Char1"/>
    <w:qFormat/>
    <w:uiPriority w:val="99"/>
    <w:rPr>
      <w:kern w:val="2"/>
      <w:sz w:val="22"/>
    </w:rPr>
  </w:style>
  <w:style w:type="paragraph" w:customStyle="1" w:styleId="119">
    <w:name w:val="默认段落字体 Para Char Char Char Char"/>
    <w:basedOn w:val="1"/>
    <w:qFormat/>
    <w:uiPriority w:val="99"/>
  </w:style>
  <w:style w:type="paragraph" w:customStyle="1" w:styleId="120">
    <w:name w:val="Char Char Char Char Char Char Char Char Char Char Char Char Char"/>
    <w:basedOn w:val="1"/>
    <w:qFormat/>
    <w:uiPriority w:val="99"/>
  </w:style>
  <w:style w:type="paragraph" w:customStyle="1" w:styleId="121">
    <w:name w:val="样式 标题 3 + (中文) 黑体 小四 非加粗 段前: 7.8 磅 段后: 0 磅 行距: 固定值 20 磅"/>
    <w:basedOn w:val="8"/>
    <w:qFormat/>
    <w:uiPriority w:val="99"/>
    <w:pPr>
      <w:spacing w:before="0" w:after="0" w:line="400" w:lineRule="exact"/>
    </w:pPr>
    <w:rPr>
      <w:rFonts w:eastAsia="黑体"/>
      <w:b w:val="0"/>
      <w:bCs w:val="0"/>
      <w:sz w:val="24"/>
      <w:szCs w:val="24"/>
    </w:rPr>
  </w:style>
  <w:style w:type="paragraph" w:customStyle="1" w:styleId="122">
    <w:name w:val="表格文字"/>
    <w:basedOn w:val="1"/>
    <w:qFormat/>
    <w:uiPriority w:val="99"/>
    <w:pPr>
      <w:adjustRightInd w:val="0"/>
      <w:spacing w:line="420" w:lineRule="atLeast"/>
      <w:jc w:val="left"/>
      <w:textAlignment w:val="baseline"/>
    </w:pPr>
    <w:rPr>
      <w:kern w:val="0"/>
    </w:rPr>
  </w:style>
  <w:style w:type="paragraph" w:customStyle="1" w:styleId="123">
    <w:name w:val="修订1"/>
    <w:qFormat/>
    <w:uiPriority w:val="99"/>
    <w:rPr>
      <w:rFonts w:ascii="Times New Roman" w:hAnsi="Times New Roman" w:eastAsia="宋体" w:cs="Times New Roman"/>
      <w:kern w:val="2"/>
      <w:sz w:val="21"/>
      <w:szCs w:val="21"/>
      <w:lang w:val="en-US" w:eastAsia="zh-CN" w:bidi="ar-SA"/>
    </w:rPr>
  </w:style>
  <w:style w:type="paragraph" w:customStyle="1" w:styleId="124">
    <w:name w:val="Char"/>
    <w:basedOn w:val="1"/>
    <w:next w:val="1"/>
    <w:qFormat/>
    <w:uiPriority w:val="99"/>
    <w:pPr>
      <w:widowControl/>
      <w:spacing w:line="360" w:lineRule="auto"/>
      <w:jc w:val="left"/>
    </w:pPr>
    <w:rPr>
      <w:kern w:val="0"/>
      <w:lang w:eastAsia="en-US"/>
    </w:rPr>
  </w:style>
  <w:style w:type="paragraph" w:customStyle="1" w:styleId="125">
    <w:name w:val="样式2"/>
    <w:basedOn w:val="8"/>
    <w:qFormat/>
    <w:uiPriority w:val="99"/>
    <w:pPr>
      <w:spacing w:line="413" w:lineRule="auto"/>
    </w:pPr>
  </w:style>
  <w:style w:type="paragraph" w:customStyle="1" w:styleId="126">
    <w:name w:val="6'"/>
    <w:basedOn w:val="1"/>
    <w:qFormat/>
    <w:uiPriority w:val="99"/>
    <w:pPr>
      <w:autoSpaceDE w:val="0"/>
      <w:autoSpaceDN w:val="0"/>
      <w:adjustRightInd w:val="0"/>
      <w:snapToGrid w:val="0"/>
      <w:spacing w:line="320" w:lineRule="exact"/>
      <w:jc w:val="center"/>
      <w:textAlignment w:val="baseline"/>
    </w:pPr>
    <w:rPr>
      <w:spacing w:val="20"/>
      <w:kern w:val="28"/>
    </w:rPr>
  </w:style>
  <w:style w:type="paragraph" w:customStyle="1" w:styleId="127">
    <w:name w:val="表格"/>
    <w:basedOn w:val="1"/>
    <w:qFormat/>
    <w:uiPriority w:val="99"/>
    <w:pPr>
      <w:jc w:val="center"/>
      <w:textAlignment w:val="center"/>
    </w:pPr>
    <w:rPr>
      <w:rFonts w:ascii="华文细黑" w:hAnsi="华文细黑" w:cs="华文细黑"/>
      <w:kern w:val="0"/>
    </w:rPr>
  </w:style>
  <w:style w:type="paragraph" w:customStyle="1" w:styleId="128">
    <w:name w:val="Blockquote"/>
    <w:basedOn w:val="1"/>
    <w:qFormat/>
    <w:uiPriority w:val="99"/>
    <w:pPr>
      <w:autoSpaceDE w:val="0"/>
      <w:autoSpaceDN w:val="0"/>
      <w:adjustRightInd w:val="0"/>
      <w:spacing w:before="100" w:after="100"/>
      <w:ind w:left="360" w:right="360"/>
      <w:jc w:val="left"/>
    </w:pPr>
    <w:rPr>
      <w:kern w:val="0"/>
      <w:sz w:val="24"/>
      <w:szCs w:val="24"/>
    </w:rPr>
  </w:style>
  <w:style w:type="paragraph" w:customStyle="1" w:styleId="129">
    <w:name w:val="1"/>
    <w:basedOn w:val="1"/>
    <w:next w:val="1"/>
    <w:qFormat/>
    <w:uiPriority w:val="99"/>
  </w:style>
  <w:style w:type="paragraph" w:customStyle="1" w:styleId="130">
    <w:name w:val="样式1"/>
    <w:basedOn w:val="8"/>
    <w:qFormat/>
    <w:uiPriority w:val="99"/>
    <w:pPr>
      <w:spacing w:line="413" w:lineRule="auto"/>
    </w:pPr>
  </w:style>
  <w:style w:type="paragraph" w:customStyle="1" w:styleId="131">
    <w:name w:val="flNote"/>
    <w:basedOn w:val="1"/>
    <w:qFormat/>
    <w:uiPriority w:val="99"/>
    <w:pPr>
      <w:adjustRightInd w:val="0"/>
      <w:spacing w:before="320" w:after="160" w:line="360" w:lineRule="atLeast"/>
      <w:jc w:val="center"/>
      <w:textAlignment w:val="baseline"/>
    </w:pPr>
    <w:rPr>
      <w:rFonts w:ascii="Arial" w:eastAsia="黑体" w:cs="Arial"/>
      <w:kern w:val="0"/>
      <w:sz w:val="30"/>
      <w:szCs w:val="30"/>
    </w:rPr>
  </w:style>
  <w:style w:type="paragraph" w:customStyle="1" w:styleId="132">
    <w:name w:val="无间隔1"/>
    <w:qFormat/>
    <w:uiPriority w:val="99"/>
    <w:pPr>
      <w:widowControl w:val="0"/>
      <w:jc w:val="both"/>
    </w:pPr>
    <w:rPr>
      <w:rFonts w:ascii="Calibri" w:hAnsi="Calibri" w:eastAsia="宋体" w:cs="Calibri"/>
      <w:kern w:val="2"/>
      <w:sz w:val="21"/>
      <w:szCs w:val="21"/>
      <w:lang w:val="en-US" w:eastAsia="zh-CN" w:bidi="ar-SA"/>
    </w:rPr>
  </w:style>
  <w:style w:type="paragraph" w:customStyle="1" w:styleId="133">
    <w:name w:val="样式4"/>
    <w:basedOn w:val="8"/>
    <w:qFormat/>
    <w:uiPriority w:val="99"/>
    <w:pPr>
      <w:spacing w:line="413" w:lineRule="auto"/>
    </w:pPr>
  </w:style>
  <w:style w:type="paragraph" w:customStyle="1" w:styleId="134">
    <w:name w:val="TOC 标题1"/>
    <w:basedOn w:val="6"/>
    <w:next w:val="1"/>
    <w:qFormat/>
    <w:uiPriority w:val="99"/>
    <w:pPr>
      <w:spacing w:line="576" w:lineRule="auto"/>
      <w:outlineLvl w:val="9"/>
    </w:pPr>
    <w:rPr>
      <w:rFonts w:ascii="Calibri" w:hAnsi="Calibri" w:cs="Calibri"/>
    </w:rPr>
  </w:style>
  <w:style w:type="paragraph" w:customStyle="1" w:styleId="135">
    <w:name w:val="样式 标题 1 + 黑体 三号 非加粗 居中 段前: 6 磅 段后: 6 磅 行距: 固定值 20 磅"/>
    <w:basedOn w:val="6"/>
    <w:qFormat/>
    <w:uiPriority w:val="99"/>
    <w:pPr>
      <w:spacing w:before="120" w:after="120" w:line="400" w:lineRule="exact"/>
    </w:pPr>
    <w:rPr>
      <w:rFonts w:ascii="黑体" w:hAnsi="黑体" w:eastAsia="黑体" w:cs="黑体"/>
      <w:b w:val="0"/>
      <w:bCs w:val="0"/>
      <w:sz w:val="32"/>
      <w:szCs w:val="32"/>
    </w:rPr>
  </w:style>
  <w:style w:type="paragraph" w:customStyle="1" w:styleId="136">
    <w:name w:val="样式 标题 2 + Times New Roman 四号 非加粗 段前: 5 磅 段后: 0 磅 行距: 固定值 20..."/>
    <w:basedOn w:val="7"/>
    <w:qFormat/>
    <w:uiPriority w:val="99"/>
    <w:pPr>
      <w:spacing w:before="100" w:after="0" w:line="400" w:lineRule="exact"/>
    </w:pPr>
    <w:rPr>
      <w:rFonts w:ascii="Times New Roman" w:hAnsi="Times New Roman" w:cs="Times New Roman"/>
      <w:b w:val="0"/>
      <w:bCs w:val="0"/>
      <w:kern w:val="0"/>
      <w:sz w:val="28"/>
      <w:szCs w:val="28"/>
    </w:rPr>
  </w:style>
  <w:style w:type="paragraph" w:customStyle="1" w:styleId="137">
    <w:name w:val="Char Char Char Char Char Char Char Char Char Char Char Char Char1"/>
    <w:basedOn w:val="17"/>
    <w:qFormat/>
    <w:uiPriority w:val="99"/>
    <w:rPr>
      <w:rFonts w:ascii="Tahoma" w:hAnsi="Tahoma" w:cs="Tahoma"/>
      <w:sz w:val="24"/>
      <w:szCs w:val="24"/>
      <w:shd w:val="clear" w:color="auto" w:fill="auto"/>
    </w:rPr>
  </w:style>
  <w:style w:type="paragraph" w:customStyle="1" w:styleId="138">
    <w:name w:val="列出段落1"/>
    <w:basedOn w:val="1"/>
    <w:qFormat/>
    <w:uiPriority w:val="99"/>
    <w:pPr>
      <w:ind w:firstLine="420" w:firstLineChars="200"/>
    </w:pPr>
    <w:rPr>
      <w:rFonts w:ascii="Calibri" w:hAnsi="Calibri" w:cs="Calibri"/>
    </w:rPr>
  </w:style>
  <w:style w:type="paragraph" w:customStyle="1" w:styleId="139">
    <w:name w:val="Char1"/>
    <w:basedOn w:val="1"/>
    <w:qFormat/>
    <w:uiPriority w:val="99"/>
    <w:rPr>
      <w:rFonts w:ascii="Tahoma" w:hAnsi="Tahoma" w:cs="Tahoma"/>
      <w:sz w:val="24"/>
      <w:szCs w:val="24"/>
    </w:rPr>
  </w:style>
  <w:style w:type="paragraph" w:customStyle="1" w:styleId="140">
    <w:name w:val="空半行"/>
    <w:basedOn w:val="1"/>
    <w:qFormat/>
    <w:uiPriority w:val="99"/>
    <w:pPr>
      <w:adjustRightInd w:val="0"/>
      <w:spacing w:line="120" w:lineRule="exact"/>
      <w:textAlignment w:val="baseline"/>
    </w:pPr>
    <w:rPr>
      <w:rFonts w:eastAsia="仿宋_GB2312"/>
      <w:color w:val="FFFFFF"/>
      <w:kern w:val="0"/>
      <w:sz w:val="30"/>
      <w:szCs w:val="30"/>
    </w:rPr>
  </w:style>
  <w:style w:type="paragraph" w:customStyle="1" w:styleId="141">
    <w:name w:val="样式3"/>
    <w:basedOn w:val="8"/>
    <w:qFormat/>
    <w:uiPriority w:val="99"/>
    <w:pPr>
      <w:spacing w:line="413" w:lineRule="auto"/>
    </w:pPr>
  </w:style>
  <w:style w:type="paragraph" w:customStyle="1" w:styleId="142">
    <w:name w:val="正文1"/>
    <w:qFormat/>
    <w:uiPriority w:val="99"/>
    <w:pPr>
      <w:widowControl w:val="0"/>
      <w:adjustRightInd w:val="0"/>
      <w:spacing w:line="312" w:lineRule="atLeast"/>
      <w:jc w:val="both"/>
      <w:textAlignment w:val="baseline"/>
    </w:pPr>
    <w:rPr>
      <w:rFonts w:ascii="宋体" w:hAnsi="Times New Roman" w:eastAsia="宋体" w:cs="宋体"/>
      <w:kern w:val="0"/>
      <w:sz w:val="24"/>
      <w:szCs w:val="24"/>
      <w:lang w:val="en-US" w:eastAsia="zh-CN" w:bidi="ar-SA"/>
    </w:rPr>
  </w:style>
  <w:style w:type="paragraph" w:customStyle="1" w:styleId="143">
    <w:name w:val="列出段落2"/>
    <w:basedOn w:val="1"/>
    <w:qFormat/>
    <w:uiPriority w:val="99"/>
    <w:pPr>
      <w:ind w:firstLine="200" w:firstLineChars="200"/>
    </w:pPr>
  </w:style>
  <w:style w:type="paragraph" w:customStyle="1" w:styleId="144">
    <w:name w:val="p0"/>
    <w:basedOn w:val="1"/>
    <w:qFormat/>
    <w:uiPriority w:val="99"/>
    <w:pPr>
      <w:widowControl/>
    </w:pPr>
    <w:rPr>
      <w:kern w:val="0"/>
    </w:rPr>
  </w:style>
  <w:style w:type="paragraph" w:customStyle="1" w:styleId="145">
    <w:name w:val="节标题"/>
    <w:basedOn w:val="1"/>
    <w:next w:val="1"/>
    <w:qFormat/>
    <w:uiPriority w:val="99"/>
    <w:pPr>
      <w:widowControl/>
      <w:spacing w:line="289" w:lineRule="atLeast"/>
      <w:jc w:val="center"/>
      <w:textAlignment w:val="baseline"/>
    </w:pPr>
    <w:rPr>
      <w:color w:val="000000"/>
      <w:kern w:val="0"/>
      <w:sz w:val="28"/>
      <w:szCs w:val="20"/>
    </w:rPr>
  </w:style>
  <w:style w:type="paragraph" w:customStyle="1" w:styleId="146">
    <w:name w:val="WPSOffice手动目录 1"/>
    <w:qFormat/>
    <w:uiPriority w:val="99"/>
    <w:rPr>
      <w:rFonts w:ascii="Times New Roman" w:hAnsi="Times New Roman" w:eastAsia="宋体" w:cs="Times New Roman"/>
      <w:kern w:val="0"/>
      <w:sz w:val="20"/>
      <w:szCs w:val="20"/>
      <w:lang w:val="en-US" w:eastAsia="zh-CN" w:bidi="ar-SA"/>
    </w:rPr>
  </w:style>
  <w:style w:type="paragraph" w:customStyle="1" w:styleId="147">
    <w:name w:val="WPSOffice手动目录 2"/>
    <w:qFormat/>
    <w:uiPriority w:val="99"/>
    <w:pPr>
      <w:ind w:left="200" w:leftChars="200"/>
    </w:pPr>
    <w:rPr>
      <w:rFonts w:ascii="Times New Roman" w:hAnsi="Times New Roman" w:eastAsia="宋体" w:cs="Times New Roman"/>
      <w:kern w:val="0"/>
      <w:sz w:val="20"/>
      <w:szCs w:val="20"/>
      <w:lang w:val="en-US" w:eastAsia="zh-CN" w:bidi="ar-SA"/>
    </w:rPr>
  </w:style>
  <w:style w:type="paragraph" w:customStyle="1" w:styleId="148">
    <w:name w:val="WPSOffice手动目录 3"/>
    <w:qFormat/>
    <w:uiPriority w:val="99"/>
    <w:pPr>
      <w:ind w:left="400" w:leftChars="400"/>
    </w:pPr>
    <w:rPr>
      <w:rFonts w:ascii="Times New Roman" w:hAnsi="Times New Roman" w:eastAsia="宋体" w:cs="Times New Roman"/>
      <w:kern w:val="0"/>
      <w:sz w:val="20"/>
      <w:szCs w:val="20"/>
      <w:lang w:val="en-US" w:eastAsia="zh-CN" w:bidi="ar-SA"/>
    </w:rPr>
  </w:style>
  <w:style w:type="character" w:customStyle="1" w:styleId="149">
    <w:name w:val="font12"/>
    <w:basedOn w:val="47"/>
    <w:qFormat/>
    <w:uiPriority w:val="0"/>
    <w:rPr>
      <w:rFonts w:hint="eastAsia" w:ascii="仿宋" w:hAnsi="仿宋" w:eastAsia="仿宋" w:cs="仿宋"/>
      <w:b/>
      <w:color w:val="000000"/>
      <w:sz w:val="32"/>
      <w:szCs w:val="32"/>
      <w:u w:val="none"/>
    </w:rPr>
  </w:style>
  <w:style w:type="paragraph" w:customStyle="1" w:styleId="150">
    <w:name w:val="Char1 Char Char Char"/>
    <w:basedOn w:val="1"/>
    <w:qFormat/>
    <w:uiPriority w:val="0"/>
    <w:pPr>
      <w:widowControl/>
      <w:spacing w:after="160" w:line="240" w:lineRule="exact"/>
      <w:jc w:val="left"/>
    </w:pPr>
    <w:rPr>
      <w:rFonts w:ascii="Verdana" w:hAnsi="Verdana"/>
      <w:kern w:val="0"/>
      <w:sz w:val="30"/>
      <w:szCs w:val="30"/>
      <w:lang w:eastAsia="en-US"/>
    </w:rPr>
  </w:style>
  <w:style w:type="character" w:customStyle="1" w:styleId="151">
    <w:name w:val="font101"/>
    <w:basedOn w:val="47"/>
    <w:qFormat/>
    <w:uiPriority w:val="0"/>
    <w:rPr>
      <w:rFonts w:hint="default" w:ascii="Times New Roman" w:hAnsi="Times New Roman" w:cs="Times New Roman"/>
      <w:color w:val="000000"/>
      <w:sz w:val="24"/>
      <w:szCs w:val="24"/>
      <w:u w:val="none"/>
    </w:rPr>
  </w:style>
  <w:style w:type="character" w:customStyle="1" w:styleId="152">
    <w:name w:val="font111"/>
    <w:basedOn w:val="47"/>
    <w:qFormat/>
    <w:uiPriority w:val="0"/>
    <w:rPr>
      <w:rFonts w:ascii="仿宋_GB2312" w:eastAsia="仿宋_GB2312" w:cs="仿宋_GB2312"/>
      <w:color w:val="000000"/>
      <w:sz w:val="24"/>
      <w:szCs w:val="24"/>
      <w:u w:val="none"/>
    </w:rPr>
  </w:style>
  <w:style w:type="character" w:customStyle="1" w:styleId="153">
    <w:name w:val="font91"/>
    <w:basedOn w:val="47"/>
    <w:qFormat/>
    <w:uiPriority w:val="0"/>
    <w:rPr>
      <w:rFonts w:hint="eastAsia" w:ascii="仿宋" w:hAnsi="仿宋" w:eastAsia="仿宋" w:cs="仿宋"/>
      <w:color w:val="000000"/>
      <w:sz w:val="24"/>
      <w:szCs w:val="24"/>
      <w:u w:val="single"/>
    </w:rPr>
  </w:style>
  <w:style w:type="character" w:customStyle="1" w:styleId="154">
    <w:name w:val="font81"/>
    <w:basedOn w:val="47"/>
    <w:qFormat/>
    <w:uiPriority w:val="0"/>
    <w:rPr>
      <w:rFonts w:hint="eastAsia" w:ascii="仿宋" w:hAnsi="仿宋" w:eastAsia="仿宋" w:cs="仿宋"/>
      <w:color w:val="000000"/>
      <w:sz w:val="24"/>
      <w:szCs w:val="24"/>
      <w:u w:val="none"/>
    </w:rPr>
  </w:style>
  <w:style w:type="character" w:customStyle="1" w:styleId="155">
    <w:name w:val="font61"/>
    <w:basedOn w:val="47"/>
    <w:qFormat/>
    <w:uiPriority w:val="0"/>
    <w:rPr>
      <w:rFonts w:hint="eastAsia" w:ascii="仿宋" w:hAnsi="仿宋" w:eastAsia="仿宋" w:cs="仿宋"/>
      <w:b/>
      <w:color w:val="000000"/>
      <w:sz w:val="32"/>
      <w:szCs w:val="32"/>
      <w:u w:val="none"/>
    </w:rPr>
  </w:style>
  <w:style w:type="character" w:customStyle="1" w:styleId="156">
    <w:name w:val="font21"/>
    <w:basedOn w:val="47"/>
    <w:qFormat/>
    <w:uiPriority w:val="0"/>
    <w:rPr>
      <w:rFonts w:hint="eastAsia" w:ascii="仿宋" w:hAnsi="仿宋" w:eastAsia="仿宋" w:cs="仿宋"/>
      <w:color w:val="000000"/>
      <w:sz w:val="24"/>
      <w:szCs w:val="24"/>
      <w:u w:val="none"/>
    </w:rPr>
  </w:style>
  <w:style w:type="paragraph" w:customStyle="1" w:styleId="157">
    <w:name w:val="纯文本1"/>
    <w:basedOn w:val="1"/>
    <w:qFormat/>
    <w:uiPriority w:val="0"/>
    <w:rPr>
      <w:rFonts w:ascii="宋体"/>
      <w:color w:val="000000"/>
    </w:rPr>
  </w:style>
  <w:style w:type="character" w:customStyle="1" w:styleId="158">
    <w:name w:val="time"/>
    <w:basedOn w:val="47"/>
    <w:qFormat/>
    <w:uiPriority w:val="0"/>
  </w:style>
  <w:style w:type="character" w:customStyle="1" w:styleId="159">
    <w:name w:val="status"/>
    <w:basedOn w:val="47"/>
    <w:qFormat/>
    <w:uiPriority w:val="0"/>
    <w:rPr>
      <w:color w:val="0776DD"/>
    </w:rPr>
  </w:style>
  <w:style w:type="character" w:customStyle="1" w:styleId="160">
    <w:name w:val="room"/>
    <w:basedOn w:val="47"/>
    <w:qFormat/>
    <w:uiPriority w:val="0"/>
  </w:style>
  <w:style w:type="character" w:customStyle="1" w:styleId="161">
    <w:name w:val="timeaxis"/>
    <w:basedOn w:val="47"/>
    <w:qFormat/>
    <w:uiPriority w:val="0"/>
  </w:style>
  <w:style w:type="character" w:customStyle="1" w:styleId="162">
    <w:name w:val="first-child"/>
    <w:basedOn w:val="47"/>
    <w:qFormat/>
    <w:uiPriority w:val="0"/>
  </w:style>
  <w:style w:type="character" w:customStyle="1" w:styleId="163">
    <w:name w:val="layui-layer-tabnow"/>
    <w:basedOn w:val="47"/>
    <w:qFormat/>
    <w:uiPriority w:val="0"/>
    <w:rPr>
      <w:bdr w:val="single" w:color="CCCCCC" w:sz="6" w:space="0"/>
      <w:shd w:val="clear" w:fill="FFFFFF"/>
    </w:rPr>
  </w:style>
  <w:style w:type="character" w:customStyle="1" w:styleId="164">
    <w:name w:val="hover"/>
    <w:basedOn w:val="47"/>
    <w:qFormat/>
    <w:uiPriority w:val="0"/>
    <w:rPr>
      <w:color w:val="2590EB"/>
    </w:rPr>
  </w:style>
  <w:style w:type="character" w:customStyle="1" w:styleId="165">
    <w:name w:val="hover1"/>
    <w:basedOn w:val="47"/>
    <w:qFormat/>
    <w:uiPriority w:val="0"/>
    <w:rPr>
      <w:color w:val="2590EB"/>
      <w:shd w:val="clear" w:fill="E9F4FD"/>
    </w:rPr>
  </w:style>
  <w:style w:type="character" w:customStyle="1" w:styleId="166">
    <w:name w:val="hover2"/>
    <w:basedOn w:val="47"/>
    <w:qFormat/>
    <w:uiPriority w:val="0"/>
    <w:rPr>
      <w:color w:val="2590EB"/>
    </w:rPr>
  </w:style>
  <w:style w:type="character" w:customStyle="1" w:styleId="167">
    <w:name w:val="hover3"/>
    <w:basedOn w:val="47"/>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微软中国</Company>
  <Pages>56</Pages>
  <Words>17494</Words>
  <Characters>19169</Characters>
  <Lines>0</Lines>
  <Paragraphs>0</Paragraphs>
  <TotalTime>10</TotalTime>
  <ScaleCrop>false</ScaleCrop>
  <LinksUpToDate>false</LinksUpToDate>
  <CharactersWithSpaces>19877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2017-05-18T16:09:00Z</dcterms:created>
  <dc:creator>微软用户</dc:creator>
  <cp:lastModifiedBy>代理</cp:lastModifiedBy>
  <cp:lastPrinted>2024-12-19T02:48:00Z</cp:lastPrinted>
  <dcterms:modified xsi:type="dcterms:W3CDTF">2025-09-29T05:52:41Z</dcterms:modified>
  <dc:title>创业园小区9#楼工程施工</dc:title>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6B7D68725A2E4F0DBBF9D7044A6E9917_13</vt:lpwstr>
  </property>
  <property fmtid="{D5CDD505-2E9C-101B-9397-08002B2CF9AE}" pid="4" name="KSOTemplateDocerSaveRecord">
    <vt:lpwstr>eyJoZGlkIjoiOTc5MDNjMmIyODczM2YwMGZkZTNjYWY1NjIxZTY5YjciLCJ1c2VySWQiOiI1MDM3MjkwOTMifQ==</vt:lpwstr>
  </property>
</Properties>
</file>