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461631222"/>
      <w:bookmarkStart w:id="1" w:name="_Toc296602400"/>
      <w:bookmarkStart w:id="2" w:name="_Toc324404811"/>
      <w:bookmarkStart w:id="3" w:name="_Toc15058843"/>
      <w:bookmarkStart w:id="4" w:name="_Toc246996898"/>
      <w:bookmarkStart w:id="5" w:name="_Toc506107265"/>
      <w:bookmarkStart w:id="6" w:name="_Toc247085669"/>
      <w:bookmarkStart w:id="7" w:name="OLE_LINK3"/>
      <w:bookmarkStart w:id="8" w:name="OLE_LINK4"/>
      <w:bookmarkStart w:id="9" w:name="OLE_LINK5"/>
      <w:bookmarkStart w:id="10" w:name="OLE_LINK2"/>
      <w:bookmarkStart w:id="11" w:name="OLE_LINK1"/>
    </w:p>
    <w:p w14:paraId="03BEA7F1">
      <w:pPr>
        <w:pStyle w:val="2"/>
        <w:ind w:firstLine="420"/>
        <w:rPr>
          <w:highlight w:val="none"/>
        </w:rPr>
      </w:pPr>
    </w:p>
    <w:p w14:paraId="183E3389">
      <w:pPr>
        <w:pStyle w:val="2"/>
        <w:ind w:left="0" w:leftChars="0" w:firstLine="0" w:firstLineChars="0"/>
        <w:jc w:val="center"/>
        <w:rPr>
          <w:color w:val="auto"/>
          <w:sz w:val="22"/>
          <w:szCs w:val="21"/>
          <w:highlight w:val="none"/>
        </w:rPr>
      </w:pPr>
      <w:r>
        <w:rPr>
          <w:rFonts w:hint="eastAsia" w:hAnsi="宋体" w:cs="宋体"/>
          <w:b/>
          <w:color w:val="auto"/>
          <w:kern w:val="0"/>
          <w:sz w:val="44"/>
          <w:szCs w:val="44"/>
          <w:highlight w:val="none"/>
          <w:lang w:eastAsia="zh-CN"/>
        </w:rPr>
        <w:t>2025年度滁城充电基础设施项目（第三批次）施工</w:t>
      </w:r>
    </w:p>
    <w:p w14:paraId="1C9996FB">
      <w:pPr>
        <w:jc w:val="center"/>
        <w:rPr>
          <w:rFonts w:ascii="宋体" w:hAnsi="宋体"/>
          <w:color w:val="auto"/>
          <w:sz w:val="96"/>
          <w:szCs w:val="96"/>
          <w:highlight w:val="none"/>
        </w:rPr>
      </w:pPr>
    </w:p>
    <w:p w14:paraId="2A2621CC">
      <w:pPr>
        <w:pStyle w:val="2"/>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2"/>
        <w:rPr>
          <w:color w:val="auto"/>
          <w:highlight w:val="none"/>
        </w:rPr>
      </w:pPr>
    </w:p>
    <w:p w14:paraId="691FE4D6">
      <w:pPr>
        <w:rPr>
          <w:color w:val="auto"/>
          <w:highlight w:val="none"/>
        </w:rPr>
      </w:pPr>
    </w:p>
    <w:p w14:paraId="7E411827">
      <w:pPr>
        <w:pStyle w:val="2"/>
        <w:rPr>
          <w:color w:val="auto"/>
          <w:highlight w:val="none"/>
        </w:rPr>
      </w:pPr>
    </w:p>
    <w:p w14:paraId="6CF62471">
      <w:pPr>
        <w:rPr>
          <w:color w:val="auto"/>
          <w:highlight w:val="none"/>
        </w:rPr>
      </w:pPr>
    </w:p>
    <w:p w14:paraId="276FE2C2">
      <w:pPr>
        <w:pStyle w:val="2"/>
        <w:rPr>
          <w:color w:val="auto"/>
          <w:highlight w:val="none"/>
        </w:rPr>
      </w:pPr>
    </w:p>
    <w:p w14:paraId="3BD0CE75">
      <w:pPr>
        <w:rPr>
          <w:color w:val="auto"/>
          <w:highlight w:val="none"/>
        </w:rPr>
      </w:pPr>
    </w:p>
    <w:p w14:paraId="31EEA548">
      <w:pPr>
        <w:pStyle w:val="2"/>
      </w:pPr>
    </w:p>
    <w:p w14:paraId="6EBADFFD"/>
    <w:p w14:paraId="57C971B3">
      <w:pPr>
        <w:pStyle w:val="2"/>
      </w:pPr>
    </w:p>
    <w:p w14:paraId="00CEC72B"/>
    <w:p w14:paraId="0FB3EFCA">
      <w:pPr>
        <w:pStyle w:val="2"/>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滁州工投新能源开发有限公司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7</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44974479"/>
      <w:bookmarkStart w:id="13" w:name="_Toc152042287"/>
      <w:bookmarkStart w:id="14" w:name="_Toc179632527"/>
      <w:bookmarkStart w:id="15" w:name="_Toc152045511"/>
    </w:p>
    <w:p w14:paraId="3C53E9AE">
      <w:pPr>
        <w:pStyle w:val="31"/>
        <w:tabs>
          <w:tab w:val="right" w:leader="dot" w:pos="10120"/>
        </w:tabs>
        <w:rPr>
          <w:rFonts w:ascii="Calibri" w:hAnsi="Calibri"/>
          <w:b w:val="0"/>
          <w:bCs w:val="0"/>
          <w:caps w:val="0"/>
          <w:color w:val="000000"/>
          <w:sz w:val="32"/>
          <w:szCs w:val="22"/>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"_Toc95223332"</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第一章</w:t>
      </w:r>
      <w:r>
        <w:rPr>
          <w:rStyle w:val="58"/>
          <w:color w:val="000000"/>
          <w:sz w:val="28"/>
        </w:rPr>
        <w:t xml:space="preserve"> </w:t>
      </w:r>
      <w:r>
        <w:rPr>
          <w:rStyle w:val="58"/>
          <w:rFonts w:hint="eastAsia"/>
          <w:color w:val="000000"/>
          <w:sz w:val="28"/>
        </w:rPr>
        <w:t>招标公告</w:t>
      </w:r>
      <w:r>
        <w:rPr>
          <w:color w:val="000000"/>
          <w:sz w:val="28"/>
        </w:rPr>
        <w:tab/>
      </w:r>
      <w:r>
        <w:rPr>
          <w:rFonts w:hint="eastAsia"/>
          <w:color w:val="000000"/>
          <w:sz w:val="28"/>
          <w:lang w:val="en-US" w:eastAsia="zh-CN"/>
        </w:rPr>
        <w:t>1</w:t>
      </w:r>
      <w:r>
        <w:rPr>
          <w:rStyle w:val="58"/>
          <w:color w:val="000000"/>
          <w:sz w:val="28"/>
        </w:rPr>
        <w:fldChar w:fldCharType="end"/>
      </w:r>
    </w:p>
    <w:p w14:paraId="0460FC51">
      <w:pPr>
        <w:pStyle w:val="31"/>
        <w:tabs>
          <w:tab w:val="right" w:leader="dot" w:pos="10120"/>
        </w:tabs>
        <w:rPr>
          <w:rFonts w:ascii="Calibri" w:hAnsi="Calibri"/>
          <w:b w:val="0"/>
          <w:bCs w:val="0"/>
          <w:caps w:val="0"/>
          <w:color w:val="000000"/>
          <w:sz w:val="32"/>
          <w:szCs w:val="22"/>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"_Toc95223333"</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第二章</w:t>
      </w:r>
      <w:r>
        <w:rPr>
          <w:rStyle w:val="58"/>
          <w:color w:val="000000"/>
          <w:sz w:val="28"/>
        </w:rPr>
        <w:t xml:space="preserve"> </w:t>
      </w:r>
      <w:r>
        <w:rPr>
          <w:rStyle w:val="58"/>
          <w:rFonts w:hint="eastAsia"/>
          <w:color w:val="000000"/>
          <w:sz w:val="28"/>
        </w:rPr>
        <w:t>投标人须知</w:t>
      </w:r>
      <w:r>
        <w:rPr>
          <w:color w:val="000000"/>
          <w:sz w:val="28"/>
        </w:rPr>
        <w:tab/>
      </w:r>
      <w:r>
        <w:rPr>
          <w:rFonts w:hint="eastAsia"/>
          <w:color w:val="000000"/>
          <w:sz w:val="28"/>
          <w:lang w:val="en-US" w:eastAsia="zh-CN"/>
        </w:rPr>
        <w:t>4</w:t>
      </w:r>
      <w:r>
        <w:rPr>
          <w:rStyle w:val="58"/>
          <w:color w:val="000000"/>
          <w:sz w:val="28"/>
        </w:rPr>
        <w:fldChar w:fldCharType="end"/>
      </w:r>
    </w:p>
    <w:p w14:paraId="4117FED1">
      <w:pPr>
        <w:pStyle w:val="31"/>
        <w:tabs>
          <w:tab w:val="right" w:leader="dot" w:pos="10120"/>
        </w:tabs>
        <w:rPr>
          <w:rFonts w:hint="default"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"_Toc95223391"</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第三章</w:t>
      </w:r>
      <w:r>
        <w:rPr>
          <w:rStyle w:val="58"/>
          <w:color w:val="000000"/>
          <w:sz w:val="28"/>
        </w:rPr>
        <w:t xml:space="preserve"> </w:t>
      </w:r>
      <w:r>
        <w:rPr>
          <w:rStyle w:val="58"/>
          <w:rFonts w:hint="eastAsia"/>
          <w:color w:val="000000"/>
          <w:sz w:val="28"/>
        </w:rPr>
        <w:t>资格审查办法</w:t>
      </w:r>
      <w:r>
        <w:rPr>
          <w:color w:val="000000"/>
          <w:sz w:val="28"/>
        </w:rPr>
        <w:tab/>
      </w:r>
      <w:r>
        <w:rPr>
          <w:rStyle w:val="58"/>
          <w:color w:val="000000"/>
          <w:sz w:val="28"/>
        </w:rPr>
        <w:fldChar w:fldCharType="end"/>
      </w:r>
      <w:r>
        <w:rPr>
          <w:rStyle w:val="58"/>
          <w:rFonts w:hint="eastAsia"/>
          <w:color w:val="000000"/>
          <w:sz w:val="28"/>
          <w:lang w:val="en-US" w:eastAsia="zh-CN"/>
        </w:rPr>
        <w:t>16</w:t>
      </w:r>
    </w:p>
    <w:p w14:paraId="278F67BB">
      <w:pPr>
        <w:pStyle w:val="31"/>
        <w:tabs>
          <w:tab w:val="right" w:leader="dot" w:pos="1012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"_Toc95223398"</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第四章</w:t>
      </w:r>
      <w:r>
        <w:rPr>
          <w:rStyle w:val="58"/>
          <w:color w:val="000000"/>
          <w:sz w:val="28"/>
        </w:rPr>
        <w:t xml:space="preserve"> </w:t>
      </w:r>
      <w:r>
        <w:rPr>
          <w:rStyle w:val="58"/>
          <w:rFonts w:hint="eastAsia"/>
          <w:color w:val="000000"/>
          <w:sz w:val="28"/>
        </w:rPr>
        <w:t>评标办法（合理价格竞争法）</w:t>
      </w:r>
      <w:bookmarkStart w:id="16" w:name="_Hlt95225442"/>
      <w:r>
        <w:rPr>
          <w:color w:val="000000"/>
          <w:sz w:val="28"/>
        </w:rPr>
        <w:tab/>
      </w:r>
      <w:bookmarkEnd w:id="16"/>
      <w:r>
        <w:rPr>
          <w:rFonts w:hint="eastAsia"/>
          <w:color w:val="000000"/>
          <w:sz w:val="28"/>
          <w:lang w:val="en-US" w:eastAsia="zh-CN"/>
        </w:rPr>
        <w:t>1</w:t>
      </w:r>
      <w:r>
        <w:rPr>
          <w:rStyle w:val="58"/>
          <w:color w:val="000000"/>
          <w:sz w:val="28"/>
        </w:rPr>
        <w:fldChar w:fldCharType="end"/>
      </w:r>
      <w:r>
        <w:rPr>
          <w:rStyle w:val="58"/>
          <w:rFonts w:hint="eastAsia"/>
          <w:color w:val="000000"/>
          <w:sz w:val="28"/>
          <w:lang w:val="en-US" w:eastAsia="zh-CN"/>
        </w:rPr>
        <w:t>8</w:t>
      </w:r>
    </w:p>
    <w:p w14:paraId="50BF535A">
      <w:pPr>
        <w:pStyle w:val="31"/>
        <w:tabs>
          <w:tab w:val="right" w:leader="dot" w:pos="1012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"_Toc95223458"</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第五章</w:t>
      </w:r>
      <w:r>
        <w:rPr>
          <w:rStyle w:val="58"/>
          <w:color w:val="000000"/>
          <w:sz w:val="28"/>
        </w:rPr>
        <w:t xml:space="preserve"> </w:t>
      </w:r>
      <w:r>
        <w:rPr>
          <w:rStyle w:val="58"/>
          <w:rFonts w:hint="eastAsia"/>
          <w:color w:val="000000"/>
          <w:sz w:val="28"/>
        </w:rPr>
        <w:t>合同条款及格式</w:t>
      </w:r>
      <w:r>
        <w:rPr>
          <w:color w:val="000000"/>
          <w:sz w:val="28"/>
        </w:rPr>
        <w:tab/>
      </w:r>
      <w:r>
        <w:rPr>
          <w:rFonts w:hint="eastAsia"/>
          <w:color w:val="000000"/>
          <w:sz w:val="28"/>
          <w:lang w:val="en-US" w:eastAsia="zh-CN"/>
        </w:rPr>
        <w:t>2</w:t>
      </w:r>
      <w:r>
        <w:rPr>
          <w:rStyle w:val="58"/>
          <w:color w:val="000000"/>
          <w:sz w:val="28"/>
        </w:rPr>
        <w:fldChar w:fldCharType="end"/>
      </w:r>
      <w:r>
        <w:rPr>
          <w:rStyle w:val="58"/>
          <w:rFonts w:hint="eastAsia"/>
          <w:color w:val="000000"/>
          <w:sz w:val="28"/>
          <w:lang w:val="en-US" w:eastAsia="zh-CN"/>
        </w:rPr>
        <w:t>5</w:t>
      </w:r>
    </w:p>
    <w:p w14:paraId="2E624EDC">
      <w:pPr>
        <w:pStyle w:val="31"/>
        <w:tabs>
          <w:tab w:val="right" w:leader="dot" w:pos="1012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"_Toc95223515"</w:instrText>
      </w:r>
      <w:r>
        <w:rPr>
          <w:rStyle w:val="58"/>
          <w:color w:val="000000"/>
          <w:sz w:val="28"/>
        </w:rPr>
        <w:instrText xml:space="preserve"> </w:instrText>
      </w:r>
      <w:r>
        <w:rPr>
          <w:rStyle w:val="58"/>
          <w:color w:val="000000"/>
          <w:sz w:val="28"/>
        </w:rPr>
        <w:fldChar w:fldCharType="separate"/>
      </w:r>
      <w:r>
        <w:rPr>
          <w:rStyle w:val="58"/>
          <w:rFonts w:hint="eastAsia" w:ascii="宋体" w:hAnsi="宋体" w:cs="宋体"/>
          <w:color w:val="000000"/>
          <w:kern w:val="44"/>
          <w:sz w:val="28"/>
        </w:rPr>
        <w:t>第六章 工程量清单</w:t>
      </w:r>
      <w:r>
        <w:rPr>
          <w:color w:val="000000"/>
          <w:sz w:val="28"/>
        </w:rPr>
        <w:tab/>
      </w:r>
      <w:r>
        <w:rPr>
          <w:rFonts w:hint="eastAsia"/>
          <w:color w:val="000000"/>
          <w:sz w:val="28"/>
          <w:lang w:val="en-US" w:eastAsia="zh-CN"/>
        </w:rPr>
        <w:t>5</w:t>
      </w:r>
      <w:r>
        <w:rPr>
          <w:rStyle w:val="58"/>
          <w:color w:val="000000"/>
          <w:sz w:val="28"/>
        </w:rPr>
        <w:fldChar w:fldCharType="end"/>
      </w:r>
      <w:r>
        <w:rPr>
          <w:rStyle w:val="58"/>
          <w:rFonts w:hint="eastAsia"/>
          <w:color w:val="000000"/>
          <w:sz w:val="28"/>
          <w:lang w:val="en-US" w:eastAsia="zh-CN"/>
        </w:rPr>
        <w:t>6</w:t>
      </w:r>
    </w:p>
    <w:p w14:paraId="3DCF61C3">
      <w:pPr>
        <w:pStyle w:val="31"/>
        <w:tabs>
          <w:tab w:val="right" w:leader="dot" w:pos="1012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"_Toc95223522"</w:instrText>
      </w:r>
      <w:r>
        <w:rPr>
          <w:rStyle w:val="58"/>
          <w:color w:val="000000"/>
          <w:sz w:val="28"/>
        </w:rPr>
        <w:instrText xml:space="preserve"> </w:instrText>
      </w:r>
      <w:r>
        <w:rPr>
          <w:rStyle w:val="58"/>
          <w:color w:val="000000"/>
          <w:sz w:val="28"/>
        </w:rPr>
        <w:fldChar w:fldCharType="separate"/>
      </w:r>
      <w:r>
        <w:rPr>
          <w:rStyle w:val="58"/>
          <w:rFonts w:hint="eastAsia" w:ascii="宋体" w:hAnsi="宋体" w:cs="宋体"/>
          <w:color w:val="000000"/>
          <w:kern w:val="44"/>
          <w:sz w:val="28"/>
        </w:rPr>
        <w:t>第七章</w:t>
      </w:r>
      <w:r>
        <w:rPr>
          <w:rStyle w:val="58"/>
          <w:rFonts w:ascii="宋体" w:hAnsi="宋体" w:cs="宋体"/>
          <w:color w:val="000000"/>
          <w:kern w:val="44"/>
          <w:sz w:val="28"/>
        </w:rPr>
        <w:t xml:space="preserve"> </w:t>
      </w:r>
      <w:r>
        <w:rPr>
          <w:rStyle w:val="58"/>
          <w:rFonts w:hint="eastAsia" w:ascii="宋体" w:hAnsi="宋体" w:cs="宋体"/>
          <w:color w:val="000000"/>
          <w:kern w:val="44"/>
          <w:sz w:val="28"/>
        </w:rPr>
        <w:t>图</w:t>
      </w:r>
      <w:r>
        <w:rPr>
          <w:rStyle w:val="58"/>
          <w:rFonts w:ascii="宋体" w:hAnsi="宋体" w:cs="宋体"/>
          <w:color w:val="000000"/>
          <w:kern w:val="44"/>
          <w:sz w:val="28"/>
        </w:rPr>
        <w:t xml:space="preserve">  </w:t>
      </w:r>
      <w:r>
        <w:rPr>
          <w:rStyle w:val="58"/>
          <w:rFonts w:hint="eastAsia" w:ascii="宋体" w:hAnsi="宋体" w:cs="宋体"/>
          <w:color w:val="000000"/>
          <w:kern w:val="44"/>
          <w:sz w:val="28"/>
        </w:rPr>
        <w:t>纸</w:t>
      </w:r>
      <w:r>
        <w:rPr>
          <w:color w:val="000000"/>
          <w:sz w:val="28"/>
        </w:rPr>
        <w:tab/>
      </w:r>
      <w:r>
        <w:rPr>
          <w:rFonts w:hint="eastAsia"/>
          <w:color w:val="000000"/>
          <w:sz w:val="28"/>
          <w:lang w:val="en-US" w:eastAsia="zh-CN"/>
        </w:rPr>
        <w:t>5</w:t>
      </w:r>
      <w:r>
        <w:rPr>
          <w:rStyle w:val="58"/>
          <w:color w:val="000000"/>
          <w:sz w:val="28"/>
        </w:rPr>
        <w:fldChar w:fldCharType="end"/>
      </w:r>
      <w:r>
        <w:rPr>
          <w:rStyle w:val="58"/>
          <w:rFonts w:hint="eastAsia"/>
          <w:color w:val="000000"/>
          <w:sz w:val="28"/>
          <w:lang w:val="en-US" w:eastAsia="zh-CN"/>
        </w:rPr>
        <w:t>6</w:t>
      </w:r>
    </w:p>
    <w:p w14:paraId="3AB8456F">
      <w:pPr>
        <w:pStyle w:val="31"/>
        <w:tabs>
          <w:tab w:val="right" w:leader="dot" w:pos="1012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"_Toc95223525"</w:instrText>
      </w:r>
      <w:r>
        <w:rPr>
          <w:rStyle w:val="58"/>
          <w:color w:val="000000"/>
          <w:sz w:val="28"/>
        </w:rPr>
        <w:instrText xml:space="preserve"> </w:instrText>
      </w:r>
      <w:r>
        <w:rPr>
          <w:rStyle w:val="58"/>
          <w:color w:val="000000"/>
          <w:sz w:val="28"/>
        </w:rPr>
        <w:fldChar w:fldCharType="separate"/>
      </w:r>
      <w:r>
        <w:rPr>
          <w:rStyle w:val="58"/>
          <w:rFonts w:hint="eastAsia" w:ascii="宋体" w:hAnsi="宋体" w:cs="宋体"/>
          <w:color w:val="000000"/>
          <w:kern w:val="44"/>
          <w:sz w:val="28"/>
        </w:rPr>
        <w:t>第八章 技术标准和要求</w:t>
      </w:r>
      <w:r>
        <w:rPr>
          <w:color w:val="000000"/>
          <w:sz w:val="28"/>
        </w:rPr>
        <w:tab/>
      </w:r>
      <w:r>
        <w:rPr>
          <w:rFonts w:hint="eastAsia"/>
          <w:color w:val="000000"/>
          <w:sz w:val="28"/>
          <w:lang w:val="en-US" w:eastAsia="zh-CN"/>
        </w:rPr>
        <w:t>5</w:t>
      </w:r>
      <w:r>
        <w:rPr>
          <w:rStyle w:val="58"/>
          <w:color w:val="000000"/>
          <w:sz w:val="28"/>
        </w:rPr>
        <w:fldChar w:fldCharType="end"/>
      </w:r>
      <w:r>
        <w:rPr>
          <w:rStyle w:val="58"/>
          <w:rFonts w:hint="eastAsia"/>
          <w:color w:val="000000"/>
          <w:sz w:val="28"/>
          <w:lang w:val="en-US" w:eastAsia="zh-CN"/>
        </w:rPr>
        <w:t>6</w:t>
      </w:r>
    </w:p>
    <w:p w14:paraId="7B73DFB9">
      <w:pPr>
        <w:pStyle w:val="31"/>
        <w:tabs>
          <w:tab w:val="right" w:leader="dot" w:pos="1012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"_Toc95223531"</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第九章 投标文件格式</w:t>
      </w:r>
      <w:r>
        <w:rPr>
          <w:color w:val="000000"/>
          <w:sz w:val="28"/>
        </w:rPr>
        <w:tab/>
      </w:r>
      <w:r>
        <w:rPr>
          <w:rFonts w:hint="eastAsia"/>
          <w:color w:val="000000"/>
          <w:sz w:val="28"/>
          <w:lang w:val="en-US" w:eastAsia="zh-CN"/>
        </w:rPr>
        <w:t>5</w:t>
      </w:r>
      <w:r>
        <w:rPr>
          <w:rStyle w:val="58"/>
          <w:color w:val="000000"/>
          <w:sz w:val="28"/>
        </w:rPr>
        <w:fldChar w:fldCharType="end"/>
      </w:r>
      <w:r>
        <w:rPr>
          <w:rStyle w:val="58"/>
          <w:rFonts w:hint="eastAsia"/>
          <w:color w:val="000000"/>
          <w:sz w:val="28"/>
          <w:lang w:val="en-US" w:eastAsia="zh-CN"/>
        </w:rPr>
        <w:t>7</w:t>
      </w:r>
    </w:p>
    <w:p w14:paraId="63D8DA84">
      <w:pPr>
        <w:pStyle w:val="31"/>
        <w:tabs>
          <w:tab w:val="right" w:leader="dot" w:pos="10120"/>
        </w:tabs>
        <w:rPr>
          <w:rFonts w:hint="eastAsia" w:ascii="Calibri" w:hAnsi="Calibri" w:eastAsia="宋体"/>
          <w:b w:val="0"/>
          <w:bCs w:val="0"/>
          <w:caps w:val="0"/>
          <w:color w:val="000000"/>
          <w:sz w:val="32"/>
          <w:szCs w:val="22"/>
          <w:lang w:val="en-US" w:eastAsia="zh-CN"/>
        </w:rPr>
      </w:pPr>
      <w:r>
        <w:rPr>
          <w:rStyle w:val="58"/>
          <w:b w:val="0"/>
          <w:bCs w:val="0"/>
          <w:color w:val="000000"/>
          <w:sz w:val="28"/>
        </w:rPr>
        <w:fldChar w:fldCharType="begin"/>
      </w:r>
      <w:r>
        <w:rPr>
          <w:rStyle w:val="58"/>
          <w:b w:val="0"/>
          <w:bCs w:val="0"/>
          <w:color w:val="000000"/>
          <w:sz w:val="28"/>
        </w:rPr>
        <w:instrText xml:space="preserve"> </w:instrText>
      </w:r>
      <w:r>
        <w:rPr>
          <w:b w:val="0"/>
          <w:bCs w:val="0"/>
          <w:color w:val="000000"/>
          <w:sz w:val="28"/>
        </w:rPr>
        <w:instrText xml:space="preserve">HYPERLINK \l "_Toc95223547"</w:instrText>
      </w:r>
      <w:r>
        <w:rPr>
          <w:rStyle w:val="58"/>
          <w:b w:val="0"/>
          <w:bCs w:val="0"/>
          <w:color w:val="000000"/>
          <w:sz w:val="28"/>
        </w:rPr>
        <w:instrText xml:space="preserve"> </w:instrText>
      </w:r>
      <w:r>
        <w:rPr>
          <w:rStyle w:val="58"/>
          <w:b w:val="0"/>
          <w:bCs w:val="0"/>
          <w:color w:val="000000"/>
          <w:sz w:val="28"/>
        </w:rPr>
        <w:fldChar w:fldCharType="separate"/>
      </w:r>
      <w:r>
        <w:rPr>
          <w:rStyle w:val="58"/>
          <w:rFonts w:hint="eastAsia" w:eastAsia="黑体"/>
          <w:b w:val="0"/>
          <w:bCs w:val="0"/>
          <w:color w:val="000000"/>
          <w:sz w:val="28"/>
        </w:rPr>
        <w:t>第十章</w:t>
      </w:r>
      <w:r>
        <w:rPr>
          <w:rStyle w:val="58"/>
          <w:rFonts w:eastAsia="黑体"/>
          <w:b w:val="0"/>
          <w:bCs w:val="0"/>
          <w:color w:val="000000"/>
          <w:sz w:val="28"/>
        </w:rPr>
        <w:t xml:space="preserve"> </w:t>
      </w:r>
      <w:r>
        <w:rPr>
          <w:rStyle w:val="58"/>
          <w:rFonts w:hint="eastAsia" w:eastAsia="黑体"/>
          <w:b w:val="0"/>
          <w:bCs w:val="0"/>
          <w:color w:val="000000"/>
          <w:sz w:val="28"/>
        </w:rPr>
        <w:t xml:space="preserve"> 招标人、招标代理机构对本招标文件的确认</w:t>
      </w:r>
      <w:bookmarkStart w:id="17" w:name="_Hlt95223551"/>
      <w:bookmarkStart w:id="18" w:name="_Hlt95223550"/>
      <w:r>
        <w:rPr>
          <w:b w:val="0"/>
          <w:bCs w:val="0"/>
          <w:color w:val="000000"/>
          <w:sz w:val="28"/>
        </w:rPr>
        <w:tab/>
      </w:r>
      <w:bookmarkEnd w:id="17"/>
      <w:bookmarkEnd w:id="18"/>
      <w:r>
        <w:rPr>
          <w:rFonts w:hint="eastAsia"/>
          <w:b w:val="0"/>
          <w:bCs w:val="0"/>
          <w:color w:val="000000"/>
          <w:sz w:val="28"/>
          <w:lang w:val="en-US" w:eastAsia="zh-CN"/>
        </w:rPr>
        <w:t>6</w:t>
      </w:r>
      <w:r>
        <w:rPr>
          <w:rStyle w:val="58"/>
          <w:b w:val="0"/>
          <w:bCs w:val="0"/>
          <w:color w:val="000000"/>
          <w:sz w:val="28"/>
        </w:rPr>
        <w:fldChar w:fldCharType="end"/>
      </w:r>
      <w:r>
        <w:rPr>
          <w:rStyle w:val="58"/>
          <w:rFonts w:hint="eastAsia"/>
          <w:b w:val="0"/>
          <w:bCs w:val="0"/>
          <w:color w:val="000000"/>
          <w:sz w:val="28"/>
          <w:lang w:val="en-US" w:eastAsia="zh-CN"/>
        </w:rPr>
        <w:t>6</w:t>
      </w:r>
    </w:p>
    <w:p w14:paraId="328C7EE3">
      <w:pPr>
        <w:pStyle w:val="31"/>
        <w:tabs>
          <w:tab w:val="right" w:leader="dot" w:pos="1012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"_Toc95223548"</w:instrText>
      </w:r>
      <w:r>
        <w:rPr>
          <w:rStyle w:val="58"/>
          <w:color w:val="000000"/>
          <w:sz w:val="28"/>
        </w:rPr>
        <w:instrText xml:space="preserve"> </w:instrText>
      </w:r>
      <w:r>
        <w:rPr>
          <w:rStyle w:val="58"/>
          <w:color w:val="000000"/>
          <w:sz w:val="28"/>
        </w:rPr>
        <w:fldChar w:fldCharType="separate"/>
      </w:r>
      <w:r>
        <w:rPr>
          <w:rStyle w:val="58"/>
          <w:rFonts w:hint="eastAsia" w:ascii="黑体" w:hAnsi="黑体" w:eastAsia="黑体"/>
          <w:color w:val="000000"/>
          <w:sz w:val="28"/>
        </w:rPr>
        <w:t>附件</w:t>
      </w:r>
      <w:r>
        <w:rPr>
          <w:rStyle w:val="58"/>
          <w:rFonts w:ascii="黑体" w:hAnsi="黑体" w:eastAsia="黑体"/>
          <w:color w:val="000000"/>
          <w:sz w:val="28"/>
        </w:rPr>
        <w:t xml:space="preserve">1 </w:t>
      </w:r>
      <w:r>
        <w:rPr>
          <w:rStyle w:val="58"/>
          <w:rFonts w:hint="eastAsia" w:ascii="黑体" w:hAnsi="黑体" w:eastAsia="黑体"/>
          <w:color w:val="000000"/>
          <w:sz w:val="28"/>
        </w:rPr>
        <w:t>关于联合惩戒失信行为加强信用查询管理的通知</w:t>
      </w:r>
      <w:r>
        <w:rPr>
          <w:color w:val="000000"/>
          <w:sz w:val="28"/>
        </w:rPr>
        <w:tab/>
      </w:r>
      <w:r>
        <w:rPr>
          <w:rFonts w:hint="eastAsia"/>
          <w:color w:val="000000"/>
          <w:sz w:val="28"/>
          <w:lang w:val="en-US" w:eastAsia="zh-CN"/>
        </w:rPr>
        <w:t>6</w:t>
      </w:r>
      <w:r>
        <w:rPr>
          <w:rStyle w:val="58"/>
          <w:color w:val="000000"/>
          <w:sz w:val="28"/>
        </w:rPr>
        <w:fldChar w:fldCharType="end"/>
      </w:r>
      <w:r>
        <w:rPr>
          <w:rStyle w:val="58"/>
          <w:rFonts w:hint="eastAsia"/>
          <w:color w:val="000000"/>
          <w:sz w:val="28"/>
          <w:lang w:val="en-US" w:eastAsia="zh-CN"/>
        </w:rPr>
        <w:t>7</w:t>
      </w:r>
    </w:p>
    <w:p w14:paraId="13C7F18B">
      <w:pPr>
        <w:pStyle w:val="31"/>
        <w:tabs>
          <w:tab w:val="right" w:leader="dot" w:pos="10120"/>
        </w:tabs>
        <w:rPr>
          <w:rStyle w:val="58"/>
          <w:rFonts w:hint="eastAsia"/>
          <w:color w:val="000000"/>
          <w:sz w:val="28"/>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"_Toc95223549"</w:instrText>
      </w:r>
      <w:r>
        <w:rPr>
          <w:rStyle w:val="58"/>
          <w:color w:val="000000"/>
          <w:sz w:val="28"/>
        </w:rPr>
        <w:instrText xml:space="preserve"> </w:instrText>
      </w:r>
      <w:r>
        <w:rPr>
          <w:rStyle w:val="58"/>
          <w:color w:val="000000"/>
          <w:sz w:val="28"/>
        </w:rPr>
        <w:fldChar w:fldCharType="separate"/>
      </w:r>
      <w:r>
        <w:rPr>
          <w:rStyle w:val="58"/>
          <w:rFonts w:hint="eastAsia" w:ascii="黑体" w:hAnsi="黑体" w:eastAsia="黑体"/>
          <w:color w:val="000000"/>
          <w:sz w:val="28"/>
        </w:rPr>
        <w:t>附件</w:t>
      </w:r>
      <w:r>
        <w:rPr>
          <w:rStyle w:val="58"/>
          <w:rFonts w:ascii="黑体" w:hAnsi="黑体" w:eastAsia="黑体"/>
          <w:color w:val="000000"/>
          <w:sz w:val="28"/>
        </w:rPr>
        <w:t xml:space="preserve">2 </w:t>
      </w:r>
      <w:r>
        <w:rPr>
          <w:rStyle w:val="58"/>
          <w:rFonts w:hint="eastAsia" w:ascii="黑体" w:hAnsi="黑体" w:eastAsia="黑体"/>
          <w:color w:val="000000"/>
          <w:sz w:val="28"/>
        </w:rPr>
        <w:t>“信用中国”查询的严重失信行为类别及判定依据</w:t>
      </w:r>
      <w:r>
        <w:rPr>
          <w:color w:val="000000"/>
          <w:sz w:val="28"/>
        </w:rPr>
        <w:tab/>
      </w:r>
      <w:r>
        <w:rPr>
          <w:color w:val="000000"/>
          <w:sz w:val="28"/>
        </w:rPr>
        <w:fldChar w:fldCharType="begin"/>
      </w:r>
      <w:r>
        <w:rPr>
          <w:color w:val="000000"/>
          <w:sz w:val="28"/>
        </w:rPr>
        <w:instrText xml:space="preserve"> PAGEREF _Toc95223549 \h </w:instrText>
      </w:r>
      <w:r>
        <w:rPr>
          <w:color w:val="000000"/>
          <w:sz w:val="28"/>
        </w:rPr>
        <w:fldChar w:fldCharType="separate"/>
      </w:r>
      <w:r>
        <w:rPr>
          <w:color w:val="000000"/>
          <w:sz w:val="28"/>
        </w:rPr>
        <w:t>71</w:t>
      </w:r>
      <w:r>
        <w:rPr>
          <w:color w:val="000000"/>
          <w:sz w:val="28"/>
        </w:rPr>
        <w:fldChar w:fldCharType="end"/>
      </w:r>
      <w:r>
        <w:rPr>
          <w:rStyle w:val="58"/>
          <w:color w:val="000000"/>
          <w:sz w:val="28"/>
        </w:rPr>
        <w:fldChar w:fldCharType="end"/>
      </w:r>
    </w:p>
    <w:p w14:paraId="5052B2D4">
      <w:pPr>
        <w:pStyle w:val="2"/>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rFonts w:hint="eastAsia" w:eastAsia="宋体" w:cs="Times New Roman"/>
          <w:bCs/>
          <w:szCs w:val="32"/>
          <w:highlight w:val="none"/>
        </w:rPr>
      </w:pPr>
      <w:bookmarkStart w:id="19" w:name="_Toc78803320"/>
      <w:bookmarkStart w:id="20" w:name="_Toc35424883"/>
      <w:bookmarkStart w:id="21" w:name="_Toc324404813"/>
      <w:bookmarkStart w:id="22" w:name="_Toc15058844"/>
      <w:bookmarkStart w:id="23" w:name="_Toc247085687"/>
      <w:bookmarkStart w:id="24" w:name="_Toc144974495"/>
      <w:bookmarkStart w:id="25" w:name="_Toc179632544"/>
      <w:bookmarkStart w:id="26" w:name="_Toc152045527"/>
      <w:bookmarkStart w:id="27" w:name="_Toc35425050"/>
      <w:bookmarkStart w:id="28" w:name="_Toc506107267"/>
      <w:bookmarkStart w:id="29" w:name="_Toc246996173"/>
      <w:bookmarkStart w:id="30" w:name="_Toc246996916"/>
      <w:bookmarkStart w:id="31" w:name="_Toc152042303"/>
      <w:r>
        <w:rPr>
          <w:rFonts w:hint="eastAsia" w:eastAsia="宋体" w:cs="Times New Roman"/>
          <w:bCs/>
          <w:szCs w:val="32"/>
          <w:highlight w:val="none"/>
          <w:lang w:val="en-US" w:eastAsia="zh-CN"/>
        </w:rPr>
        <w:t xml:space="preserve">第一章 </w:t>
      </w:r>
      <w:r>
        <w:rPr>
          <w:rFonts w:hint="eastAsia" w:eastAsia="宋体" w:cs="Times New Roman"/>
          <w:bCs/>
          <w:szCs w:val="32"/>
          <w:highlight w:val="none"/>
        </w:rPr>
        <w:t>招标公告</w:t>
      </w:r>
      <w:bookmarkEnd w:id="19"/>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bookmarkStart w:id="1004" w:name="_GoBack"/>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1"/>
                <w:sz w:val="21"/>
                <w:szCs w:val="21"/>
                <w:highlight w:val="none"/>
              </w:rPr>
            </w:pPr>
            <w:r>
              <w:rPr>
                <w:rFonts w:hint="eastAsia" w:ascii="宋体" w:hAnsi="宋体" w:cs="宋体"/>
                <w:bCs/>
                <w:color w:val="auto"/>
                <w:kern w:val="1"/>
                <w:sz w:val="21"/>
                <w:szCs w:val="21"/>
                <w:highlight w:val="none"/>
                <w:lang w:eastAsia="zh-CN"/>
              </w:rPr>
              <w:t>2025年度滁城充电基础设施项目（第三批次）施工</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滁州工投新能源开发有限公司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滁州工投新能源开发有限公司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合理价格竞争法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2025年度滁城充电基础设施项目（第三批次）施工</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滁州市内，招标人指定地点</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56AC02AD">
            <w:pPr>
              <w:pStyle w:val="2"/>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jc w:val="left"/>
              <w:textAlignment w:val="auto"/>
              <w:rPr>
                <w:rFonts w:hint="eastAsia" w:ascii="宋体" w:hAnsi="宋体" w:eastAsia="宋体" w:cs="宋体"/>
                <w:szCs w:val="21"/>
                <w:highlight w:val="none"/>
                <w:lang w:val="en-US" w:eastAsia="zh-CN"/>
              </w:rPr>
            </w:pPr>
            <w:r>
              <w:rPr>
                <w:rFonts w:hint="eastAsia"/>
                <w:b w:val="0"/>
                <w:bCs w:val="0"/>
                <w:color w:val="auto"/>
                <w:szCs w:val="21"/>
                <w:highlight w:val="none"/>
                <w:lang w:val="en-US" w:eastAsia="zh-CN"/>
              </w:rPr>
              <w:t>滁州充电滁阳园、南浦园、文华园等三处停车场电动汽车充电站配电及充电桩工程所涉及的安装及土建工程</w:t>
            </w:r>
            <w:r>
              <w:rPr>
                <w:rFonts w:hint="eastAsia" w:ascii="宋体" w:hAnsi="宋体" w:cs="宋体"/>
                <w:color w:val="auto"/>
                <w:szCs w:val="21"/>
                <w:highlight w:val="none"/>
              </w:rPr>
              <w:t>，</w:t>
            </w:r>
            <w:r>
              <w:rPr>
                <w:rFonts w:hint="eastAsia" w:hAnsi="宋体" w:cs="宋体"/>
                <w:color w:val="auto"/>
                <w:szCs w:val="21"/>
                <w:highlight w:val="none"/>
                <w:lang w:val="en-US" w:eastAsia="zh-CN"/>
              </w:rPr>
              <w:t>具</w:t>
            </w:r>
            <w:r>
              <w:rPr>
                <w:rFonts w:hint="eastAsia" w:ascii="宋体" w:hAnsi="宋体" w:cs="宋体"/>
                <w:color w:val="auto"/>
                <w:szCs w:val="21"/>
                <w:highlight w:val="none"/>
                <w:lang w:val="en-US" w:eastAsia="zh-CN"/>
              </w:rPr>
              <w:t>体详见施工图纸和工程量清单内容</w:t>
            </w:r>
            <w:r>
              <w:rPr>
                <w:rFonts w:hint="eastAsia" w:ascii="宋体" w:hAnsi="宋体" w:cs="宋体"/>
                <w:color w:val="auto"/>
                <w:szCs w:val="21"/>
                <w:highlight w:val="none"/>
              </w:rPr>
              <w:t>。</w:t>
            </w:r>
          </w:p>
        </w:tc>
      </w:tr>
      <w:tr w14:paraId="5DC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23046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合同估算价</w:t>
            </w:r>
          </w:p>
        </w:tc>
        <w:tc>
          <w:tcPr>
            <w:tcW w:w="7997" w:type="dxa"/>
            <w:noWrap w:val="0"/>
            <w:vAlign w:val="center"/>
          </w:tcPr>
          <w:p w14:paraId="2618AED0">
            <w:pPr>
              <w:pStyle w:val="2"/>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cs="Times New Roman"/>
                <w:b w:val="0"/>
                <w:bCs w:val="0"/>
                <w:color w:val="auto"/>
                <w:szCs w:val="21"/>
                <w:highlight w:val="none"/>
                <w:lang w:val="en-US" w:eastAsia="zh-CN"/>
              </w:rPr>
              <w:t>253726.40元</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不高于30个日历天</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2"/>
              <w:keepNext w:val="0"/>
              <w:keepLines w:val="0"/>
              <w:pageBreakBefore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本工程施工图纸和工程量清单中的所有内容</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工程施工</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8EAA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301F20A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投标人同时满足下列要求：</w:t>
            </w:r>
          </w:p>
          <w:p w14:paraId="7C6A9A3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①具备电力工程施工总承包叁级（或以上）资质，并具有有效的安全生产许可证；</w:t>
            </w:r>
          </w:p>
          <w:p w14:paraId="19D789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②具备电力主管部门颁发的承装、承修、承试五级（或以上）电力设施许可证。</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4140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cs="宋体"/>
                <w:bCs/>
                <w:snapToGrid w:val="0"/>
                <w:color w:val="auto"/>
                <w:kern w:val="0"/>
                <w:sz w:val="21"/>
                <w:szCs w:val="21"/>
                <w:highlight w:val="none"/>
                <w:lang w:val="en-US" w:eastAsia="zh-CN"/>
              </w:rPr>
              <w:t>经理</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51B3EE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lang w:val="en-US" w:eastAsia="zh-CN"/>
              </w:rPr>
              <w:t>拟派的项目经理</w:t>
            </w:r>
            <w:r>
              <w:rPr>
                <w:rFonts w:hint="eastAsia" w:ascii="宋体" w:hAnsi="宋体" w:eastAsia="宋体" w:cs="Times New Roman"/>
                <w:color w:val="auto"/>
                <w:szCs w:val="21"/>
                <w:highlight w:val="none"/>
                <w:lang w:val="en-US" w:eastAsia="zh-CN"/>
              </w:rPr>
              <w:t>具</w:t>
            </w:r>
            <w:r>
              <w:rPr>
                <w:rFonts w:hint="eastAsia" w:ascii="宋体" w:hAnsi="宋体"/>
                <w:color w:val="auto"/>
                <w:szCs w:val="21"/>
                <w:highlight w:val="none"/>
                <w:lang w:val="en-US" w:eastAsia="zh-CN"/>
              </w:rPr>
              <w:t>备注册在投标单位的机电工程专业贰级（或以上）注册建造师资格。</w:t>
            </w:r>
          </w:p>
        </w:tc>
      </w:tr>
      <w:tr w14:paraId="5D76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1FF232E">
            <w:pPr>
              <w:widowControl/>
              <w:spacing w:line="560" w:lineRule="exact"/>
              <w:jc w:val="center"/>
              <w:rPr>
                <w:rFonts w:hint="eastAsia" w:ascii="宋体" w:hAnsi="宋体" w:eastAsia="宋体" w:cs="宋体"/>
                <w:bCs/>
                <w:snapToGrid w:val="0"/>
                <w:color w:val="auto"/>
                <w:kern w:val="0"/>
                <w:sz w:val="21"/>
                <w:szCs w:val="21"/>
                <w:highlight w:val="none"/>
              </w:rPr>
            </w:pPr>
            <w:r>
              <w:rPr>
                <w:rFonts w:hint="eastAsia" w:ascii="宋体" w:hAnsi="宋体" w:cs="宋体"/>
                <w:color w:val="000000"/>
                <w:kern w:val="0"/>
                <w:szCs w:val="21"/>
              </w:rPr>
              <w:t>信誉要求</w:t>
            </w:r>
          </w:p>
        </w:tc>
        <w:tc>
          <w:tcPr>
            <w:tcW w:w="7997" w:type="dxa"/>
            <w:noWrap w:val="0"/>
            <w:vAlign w:val="center"/>
          </w:tcPr>
          <w:p w14:paraId="17E249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1、投标人存在以下情形之一的，不得被确定为中标人：</w:t>
            </w:r>
          </w:p>
          <w:p w14:paraId="1E4DF8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r>
              <w:rPr>
                <w:rFonts w:hint="eastAsia" w:ascii="宋体" w:hAnsi="宋体" w:cs="宋体"/>
                <w:color w:val="auto"/>
                <w:sz w:val="21"/>
                <w:szCs w:val="21"/>
                <w:highlight w:val="none"/>
                <w:lang w:val="en-US" w:eastAsia="zh-CN"/>
              </w:rPr>
              <w:t>；</w:t>
            </w:r>
          </w:p>
          <w:p w14:paraId="4EE22F7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0E6CFD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7FA0F6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20745C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6FB5FA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272B53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76EAB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30A7F0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631C70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83F88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2、投标人所属分公司、办事处等分支机构存在第1条信誉要求①-⑩项情形之一的，    </w:t>
            </w:r>
            <w:r>
              <w:rPr>
                <w:rFonts w:hint="eastAsia" w:ascii="宋体" w:hAnsi="宋体" w:cs="宋体"/>
                <w:color w:val="auto"/>
                <w:sz w:val="21"/>
                <w:szCs w:val="21"/>
                <w:highlight w:val="none"/>
                <w:lang w:val="en-US" w:eastAsia="zh-CN"/>
              </w:rPr>
              <w:t>不接</w:t>
            </w:r>
            <w:r>
              <w:rPr>
                <w:rFonts w:hint="eastAsia" w:ascii="宋体" w:hAnsi="宋体" w:eastAsia="宋体" w:cs="宋体"/>
                <w:color w:val="auto"/>
                <w:sz w:val="21"/>
                <w:szCs w:val="21"/>
                <w:highlight w:val="none"/>
                <w:lang w:val="en-US" w:eastAsia="zh-CN"/>
              </w:rPr>
              <w:t>受其被确定为中标人。</w:t>
            </w:r>
          </w:p>
          <w:p w14:paraId="35AD1C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42097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本次招标不接受联合体投标。</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7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8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4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rPr>
              <w:t>获取方式</w:t>
            </w:r>
          </w:p>
        </w:tc>
        <w:tc>
          <w:tcPr>
            <w:tcW w:w="7997" w:type="dxa"/>
            <w:noWrap w:val="0"/>
            <w:vAlign w:val="center"/>
          </w:tcPr>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lang w:val="en-US" w:eastAsia="zh-CN"/>
              </w:rPr>
              <w:t>请于公告发布之日起从</w:t>
            </w:r>
            <w:r>
              <w:rPr>
                <w:rFonts w:hint="eastAsia" w:ascii="宋体" w:hAnsi="宋体" w:cs="宋体"/>
                <w:color w:val="auto"/>
                <w:szCs w:val="21"/>
                <w:lang w:eastAsia="zh-CN"/>
              </w:rPr>
              <w:t>滁州市扬子工业投资集团有限公司官网（https://czyzgtjt.com/）、</w:t>
            </w:r>
            <w:r>
              <w:rPr>
                <w:rFonts w:hint="eastAsia" w:ascii="Times New Roman" w:hAnsi="Times New Roman" w:eastAsia="宋体" w:cs="Times New Roman"/>
                <w:lang w:val="en-US" w:eastAsia="zh-CN"/>
              </w:rPr>
              <w:t>滁州市城投工程咨询管理有限公司</w:t>
            </w:r>
            <w:r>
              <w:rPr>
                <w:rFonts w:hint="eastAsia" w:cs="Times New Roman"/>
                <w:lang w:val="en-US" w:eastAsia="zh-CN"/>
              </w:rPr>
              <w:t>网站</w:t>
            </w:r>
            <w:r>
              <w:rPr>
                <w:rFonts w:hint="eastAsia" w:ascii="Times New Roman" w:hAnsi="Times New Roman" w:eastAsia="宋体" w:cs="Times New Roman"/>
                <w:lang w:val="en-US" w:eastAsia="zh-CN"/>
              </w:rPr>
              <w:t>（https://www.czctgczx.com/）下载</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 xml:space="preserve">15 </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投标文件递交的方式</w:t>
            </w:r>
          </w:p>
        </w:tc>
        <w:tc>
          <w:tcPr>
            <w:tcW w:w="7997" w:type="dxa"/>
            <w:noWrap w:val="0"/>
            <w:vAlign w:val="center"/>
          </w:tcPr>
          <w:p w14:paraId="61B61A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宋体" w:hAnsi="宋体" w:eastAsia="宋体" w:cs="宋体"/>
                <w:color w:val="auto"/>
                <w:szCs w:val="21"/>
                <w:highlight w:val="none"/>
                <w:lang w:val="en-US" w:eastAsia="zh-CN"/>
              </w:rPr>
              <w:t>①投标人须在投标文件截止时间前将投标文件以电子邮件的方式一次性发送至滁州市城投工程咨询管理有限公司邮箱（czsctgc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②在投标截止时间后30分钟内，将投标文件密码通过邮箱发送至滁州市城投工程咨询管理有限公司邮箱（czsctgczx@163.com），未在规定时间内发送密码或发送的密码无法正确打开投标文件的，投标文件将被拒绝。</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2025年</w:t>
            </w:r>
            <w:r>
              <w:rPr>
                <w:rFonts w:hint="eastAsia" w:ascii="宋体" w:hAnsi="宋体" w:cs="宋体"/>
                <w:lang w:val="en-US" w:eastAsia="zh-CN"/>
              </w:rPr>
              <w:t>8</w:t>
            </w:r>
            <w:r>
              <w:rPr>
                <w:rFonts w:hint="eastAsia" w:ascii="宋体" w:hAnsi="宋体" w:eastAsia="宋体" w:cs="宋体"/>
                <w:lang w:val="en-US" w:eastAsia="zh-CN"/>
              </w:rPr>
              <w:t>月</w:t>
            </w:r>
            <w:r>
              <w:rPr>
                <w:rFonts w:hint="eastAsia" w:ascii="宋体" w:hAnsi="宋体" w:cs="宋体"/>
                <w:lang w:val="en-US" w:eastAsia="zh-CN"/>
              </w:rPr>
              <w:t>4</w:t>
            </w:r>
            <w:r>
              <w:rPr>
                <w:rFonts w:hint="eastAsia" w:ascii="宋体" w:hAnsi="宋体" w:eastAsia="宋体" w:cs="宋体"/>
                <w:lang w:val="en-US" w:eastAsia="zh-CN"/>
              </w:rPr>
              <w:t>日15时00分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开标地点</w:t>
            </w:r>
          </w:p>
        </w:tc>
        <w:tc>
          <w:tcPr>
            <w:tcW w:w="7997" w:type="dxa"/>
            <w:noWrap w:val="0"/>
            <w:vAlign w:val="center"/>
          </w:tcPr>
          <w:p w14:paraId="5E8A35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滁州市城投工程咨询管理有限公司六楼603会议室（滁州市龙蟠大道109号房产商务大厦）</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招标文件</w:t>
            </w:r>
            <w:r>
              <w:rPr>
                <w:rFonts w:hint="eastAsia" w:ascii="宋体" w:hAnsi="宋体" w:cs="宋体"/>
                <w:color w:val="auto"/>
                <w:sz w:val="21"/>
                <w:szCs w:val="21"/>
                <w:highlight w:val="none"/>
                <w:lang w:val="en-US" w:eastAsia="zh-CN"/>
              </w:rPr>
              <w:t>售价</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lang w:eastAsia="zh-CN"/>
              </w:rPr>
              <w:t>滁州市扬子工业投资集团有限公司官网（https://czyzgtjt.com/）、</w:t>
            </w:r>
            <w:r>
              <w:rPr>
                <w:rFonts w:hint="eastAsia" w:ascii="Times New Roman" w:hAnsi="Times New Roman" w:eastAsia="宋体" w:cs="Times New Roman"/>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滁州工投新能源开发有限公司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滁州市醉翁路与中都大道交叉口西南侧城投大厦</w:t>
            </w:r>
            <w:r>
              <w:rPr>
                <w:rFonts w:hint="eastAsia" w:ascii="宋体" w:hAnsi="宋体" w:eastAsia="宋体" w:cs="宋体"/>
                <w:color w:val="auto"/>
                <w:kern w:val="0"/>
                <w:sz w:val="21"/>
                <w:szCs w:val="21"/>
                <w:highlight w:val="none"/>
                <w:lang w:val="en-US" w:eastAsia="zh-CN"/>
              </w:rPr>
              <w:t>13楼</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李工</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0550-3018358、19355082836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r w14:paraId="6A8C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E12FD7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bCs/>
                <w:color w:val="auto"/>
                <w:spacing w:val="-6"/>
                <w:sz w:val="21"/>
                <w:szCs w:val="21"/>
                <w:highlight w:val="none"/>
                <w:lang w:val="en-US" w:eastAsia="zh-CN"/>
              </w:rPr>
            </w:pPr>
            <w:r>
              <w:rPr>
                <w:rFonts w:hint="eastAsia" w:ascii="宋体" w:hAnsi="宋体" w:cs="宋体"/>
                <w:bCs/>
                <w:color w:val="auto"/>
                <w:spacing w:val="-6"/>
                <w:sz w:val="21"/>
                <w:szCs w:val="21"/>
                <w:highlight w:val="none"/>
                <w:lang w:val="en-US" w:eastAsia="zh-CN"/>
              </w:rPr>
              <w:t>监督电话</w:t>
            </w:r>
          </w:p>
        </w:tc>
        <w:tc>
          <w:tcPr>
            <w:tcW w:w="7997" w:type="dxa"/>
            <w:noWrap w:val="0"/>
            <w:vAlign w:val="center"/>
          </w:tcPr>
          <w:p w14:paraId="03BDE3C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0550-3017855</w:t>
            </w:r>
          </w:p>
        </w:tc>
      </w:tr>
      <w:bookmarkEnd w:id="1004"/>
    </w:tbl>
    <w:p w14:paraId="2FE0DF3B">
      <w:pPr>
        <w:jc w:val="left"/>
        <w:rPr>
          <w:highlight w:val="none"/>
        </w:rPr>
      </w:pPr>
    </w:p>
    <w:p w14:paraId="32A53F0D">
      <w:pPr>
        <w:pStyle w:val="44"/>
        <w:spacing w:beforeLines="50" w:afterLines="50" w:line="440" w:lineRule="exact"/>
        <w:rPr>
          <w:bCs/>
          <w:szCs w:val="32"/>
          <w:highlight w:val="none"/>
        </w:rPr>
      </w:pPr>
      <w:bookmarkStart w:id="32" w:name="_Toc78803321"/>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二</w:t>
      </w:r>
      <w:r>
        <w:rPr>
          <w:rFonts w:hint="eastAsia"/>
          <w:bCs/>
          <w:szCs w:val="32"/>
          <w:highlight w:val="none"/>
        </w:rPr>
        <w:t>章  投标人须知</w:t>
      </w:r>
      <w:bookmarkEnd w:id="20"/>
      <w:bookmarkEnd w:id="21"/>
      <w:bookmarkEnd w:id="22"/>
      <w:bookmarkEnd w:id="23"/>
      <w:bookmarkEnd w:id="24"/>
      <w:bookmarkEnd w:id="25"/>
      <w:bookmarkEnd w:id="26"/>
      <w:bookmarkEnd w:id="27"/>
      <w:bookmarkEnd w:id="28"/>
      <w:bookmarkEnd w:id="29"/>
      <w:bookmarkEnd w:id="30"/>
      <w:bookmarkEnd w:id="31"/>
      <w:bookmarkEnd w:id="32"/>
    </w:p>
    <w:p w14:paraId="594BBBF6">
      <w:pPr>
        <w:spacing w:beforeLines="50" w:afterLines="50" w:line="440" w:lineRule="exact"/>
        <w:jc w:val="center"/>
        <w:rPr>
          <w:b/>
          <w:bCs/>
          <w:sz w:val="28"/>
          <w:szCs w:val="28"/>
          <w:highlight w:val="none"/>
        </w:rPr>
      </w:pPr>
      <w:bookmarkStart w:id="33" w:name="_Toc15058845"/>
      <w:bookmarkStart w:id="34" w:name="_Toc247085688"/>
      <w:bookmarkStart w:id="35" w:name="_Toc506107268"/>
      <w:bookmarkStart w:id="36" w:name="_Toc246996174"/>
      <w:bookmarkStart w:id="37" w:name="_Toc35424884"/>
      <w:bookmarkStart w:id="38" w:name="_Toc246996917"/>
      <w:bookmarkStart w:id="39" w:name="_Toc152045528"/>
      <w:bookmarkStart w:id="40" w:name="_Toc144974496"/>
      <w:bookmarkStart w:id="41" w:name="_Toc324404814"/>
      <w:bookmarkStart w:id="42" w:name="_Toc35425051"/>
      <w:bookmarkStart w:id="43" w:name="_Toc179632545"/>
      <w:bookmarkStart w:id="44" w:name="_Toc152042304"/>
      <w:r>
        <w:rPr>
          <w:rFonts w:hint="eastAsia"/>
          <w:b/>
          <w:bCs/>
          <w:sz w:val="28"/>
          <w:szCs w:val="28"/>
          <w:highlight w:val="none"/>
        </w:rPr>
        <w:t>投标人须知前附表</w:t>
      </w:r>
      <w:bookmarkEnd w:id="33"/>
      <w:bookmarkEnd w:id="34"/>
      <w:bookmarkEnd w:id="35"/>
      <w:bookmarkEnd w:id="36"/>
      <w:bookmarkEnd w:id="37"/>
      <w:bookmarkEnd w:id="38"/>
      <w:bookmarkEnd w:id="39"/>
      <w:bookmarkEnd w:id="40"/>
      <w:bookmarkEnd w:id="41"/>
      <w:bookmarkEnd w:id="42"/>
      <w:bookmarkEnd w:id="43"/>
      <w:bookmarkEnd w:id="44"/>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380" w:lineRule="exact"/>
              <w:jc w:val="center"/>
              <w:textAlignment w:val="auto"/>
              <w:rPr>
                <w:rFonts w:ascii="宋体" w:hAnsi="宋体" w:cs="宋体"/>
                <w:b/>
                <w:szCs w:val="21"/>
                <w:highlight w:val="none"/>
              </w:rPr>
            </w:pPr>
            <w:bookmarkStart w:id="45" w:name="_Toc152045529"/>
            <w:bookmarkStart w:id="46" w:name="_Toc247085689"/>
            <w:bookmarkStart w:id="47" w:name="_Toc144974497"/>
            <w:bookmarkStart w:id="48" w:name="_Toc246996175"/>
            <w:bookmarkStart w:id="49" w:name="_Toc152042305"/>
            <w:bookmarkStart w:id="50" w:name="_Toc179632546"/>
            <w:bookmarkStart w:id="51" w:name="_Toc246996918"/>
            <w:bookmarkStart w:id="52" w:name="_Toc506107269"/>
            <w:bookmarkStart w:id="53" w:name="_Toc324404815"/>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380" w:lineRule="exact"/>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380" w:lineRule="exact"/>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380" w:lineRule="exact"/>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380" w:lineRule="exact"/>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380" w:lineRule="exact"/>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380" w:lineRule="exact"/>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380" w:lineRule="exact"/>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380" w:lineRule="exact"/>
              <w:textAlignment w:val="auto"/>
              <w:rPr>
                <w:rFonts w:ascii="宋体" w:hAnsi="宋体" w:cs="宋体"/>
                <w:szCs w:val="21"/>
                <w:highlight w:val="none"/>
              </w:rPr>
            </w:pPr>
            <w:r>
              <w:rPr>
                <w:rFonts w:hint="eastAsia"/>
                <w:color w:val="000000"/>
                <w:szCs w:val="21"/>
                <w:highlight w:val="none"/>
              </w:rPr>
              <w:t>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380" w:lineRule="exact"/>
              <w:textAlignment w:val="auto"/>
              <w:rPr>
                <w:rFonts w:ascii="宋体" w:hAnsi="宋体" w:cs="宋体"/>
                <w:highlight w:val="none"/>
              </w:rPr>
            </w:pPr>
            <w:r>
              <w:rPr>
                <w:rFonts w:hint="eastAsia" w:ascii="宋体" w:hAnsi="宋体" w:cs="宋体"/>
                <w:color w:val="auto"/>
                <w:sz w:val="21"/>
                <w:szCs w:val="21"/>
                <w:highlight w:val="none"/>
              </w:rPr>
              <w:t>见招标公告</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计划工期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12C09492">
            <w:pPr>
              <w:keepNext w:val="0"/>
              <w:keepLines w:val="0"/>
              <w:pageBreakBefore w:val="0"/>
              <w:kinsoku/>
              <w:wordWrap/>
              <w:overflowPunct/>
              <w:autoSpaceDE/>
              <w:autoSpaceDN/>
              <w:bidi w:val="0"/>
              <w:adjustRightInd w:val="0"/>
              <w:snapToGrid w:val="0"/>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计划工</w:t>
            </w:r>
            <w:r>
              <w:rPr>
                <w:rFonts w:hint="eastAsia" w:ascii="宋体" w:hAnsi="宋体" w:eastAsia="宋体" w:cs="宋体"/>
                <w:b/>
                <w:color w:val="auto"/>
                <w:sz w:val="21"/>
                <w:szCs w:val="21"/>
                <w:highlight w:val="none"/>
                <w:lang w:eastAsia="zh-CN"/>
              </w:rPr>
              <w:t>期：</w:t>
            </w:r>
            <w:r>
              <w:rPr>
                <w:rFonts w:hint="eastAsia" w:ascii="宋体" w:hAnsi="宋体" w:eastAsia="宋体" w:cs="宋体"/>
                <w:b/>
                <w:color w:val="auto"/>
                <w:sz w:val="21"/>
                <w:szCs w:val="21"/>
                <w:highlight w:val="none"/>
                <w:lang w:val="en-US" w:eastAsia="zh-CN"/>
              </w:rPr>
              <w:t>不高于</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lang w:val="en-US" w:eastAsia="zh-CN"/>
              </w:rPr>
              <w:t xml:space="preserve">0  </w:t>
            </w:r>
            <w:r>
              <w:rPr>
                <w:rFonts w:hint="eastAsia" w:ascii="宋体" w:hAnsi="宋体" w:eastAsia="宋体" w:cs="宋体"/>
                <w:b/>
                <w:color w:val="auto"/>
                <w:sz w:val="21"/>
                <w:szCs w:val="21"/>
                <w:highlight w:val="none"/>
                <w:lang w:val="en-US" w:eastAsia="zh-CN"/>
              </w:rPr>
              <w:t>个日历天</w:t>
            </w:r>
            <w:r>
              <w:rPr>
                <w:rFonts w:hint="eastAsia" w:ascii="宋体" w:hAnsi="宋体" w:eastAsia="宋体" w:cs="宋体"/>
                <w:b/>
                <w:color w:val="auto"/>
                <w:sz w:val="21"/>
                <w:szCs w:val="21"/>
                <w:highlight w:val="none"/>
                <w:lang w:eastAsia="zh-CN"/>
              </w:rPr>
              <w:t>。</w:t>
            </w:r>
          </w:p>
          <w:p w14:paraId="385FC43D">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计划开工日期：双方签订合同时明确</w:t>
            </w:r>
            <w:r>
              <w:rPr>
                <w:rFonts w:hint="eastAsia" w:ascii="宋体" w:hAnsi="宋体" w:cs="宋体"/>
                <w:color w:val="auto"/>
                <w:sz w:val="21"/>
                <w:szCs w:val="21"/>
                <w:highlight w:val="none"/>
                <w:lang w:val="en-US" w:eastAsia="zh-CN"/>
              </w:rPr>
              <w:t xml:space="preserve"> </w:t>
            </w:r>
          </w:p>
          <w:p w14:paraId="3594D4AC">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计划竣工日期：双方签订合同时明确</w:t>
            </w:r>
          </w:p>
          <w:p w14:paraId="7365FC3B">
            <w:pPr>
              <w:keepNext w:val="0"/>
              <w:keepLines w:val="0"/>
              <w:pageBreakBefore w:val="0"/>
              <w:kinsoku/>
              <w:wordWrap/>
              <w:overflowPunct/>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工期每延误一天，处以</w:t>
            </w:r>
            <w:r>
              <w:rPr>
                <w:rFonts w:hint="eastAsia" w:ascii="宋体" w:hAnsi="宋体" w:cs="宋体"/>
                <w:color w:val="auto"/>
                <w:sz w:val="21"/>
                <w:szCs w:val="21"/>
                <w:highlight w:val="none"/>
                <w:u w:val="single"/>
                <w:lang w:val="en-US" w:eastAsia="zh-CN"/>
              </w:rPr>
              <w:t xml:space="preserve"> 1000 </w:t>
            </w:r>
            <w:r>
              <w:rPr>
                <w:rFonts w:hint="eastAsia" w:ascii="宋体" w:hAnsi="宋体" w:cs="宋体"/>
                <w:color w:val="auto"/>
                <w:sz w:val="21"/>
                <w:szCs w:val="21"/>
                <w:highlight w:val="none"/>
              </w:rPr>
              <w:t xml:space="preserve">元违约金，工期提前不奖励。 </w:t>
            </w:r>
            <w:r>
              <w:rPr>
                <w:rFonts w:hint="eastAsia" w:ascii="Times New Roman" w:hAnsi="Times New Roman" w:eastAsia="宋体" w:cs="Times New Roman"/>
                <w:color w:val="auto"/>
                <w:highlight w:val="none"/>
                <w:lang w:val="en-US" w:eastAsia="zh-CN"/>
              </w:rPr>
              <w:t xml:space="preserve">  </w:t>
            </w:r>
            <w:r>
              <w:rPr>
                <w:rFonts w:hint="eastAsia" w:ascii="宋体" w:hAnsi="宋体" w:eastAsia="宋体" w:cs="宋体"/>
                <w:color w:val="auto"/>
                <w:sz w:val="21"/>
                <w:szCs w:val="21"/>
                <w:highlight w:val="none"/>
              </w:rPr>
              <w:t xml:space="preserve">       </w:t>
            </w:r>
          </w:p>
        </w:tc>
      </w:tr>
      <w:tr w14:paraId="4024D16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380" w:lineRule="exact"/>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380" w:lineRule="exact"/>
              <w:textAlignment w:val="auto"/>
              <w:rPr>
                <w:rFonts w:ascii="宋体" w:hAnsi="宋体" w:cs="宋体"/>
                <w:szCs w:val="21"/>
                <w:highlight w:val="none"/>
              </w:rPr>
            </w:pPr>
            <w:r>
              <w:rPr>
                <w:rFonts w:hint="eastAsia" w:ascii="宋体" w:hAnsi="宋体" w:cs="宋体"/>
                <w:kern w:val="0"/>
                <w:szCs w:val="21"/>
              </w:rPr>
              <w:t>必须达到国家工程施工质量验收</w:t>
            </w:r>
            <w:r>
              <w:rPr>
                <w:rFonts w:hint="eastAsia" w:ascii="宋体" w:hAnsi="宋体" w:cs="宋体"/>
                <w:kern w:val="0"/>
                <w:szCs w:val="21"/>
                <w:u w:val="single"/>
              </w:rPr>
              <w:t xml:space="preserve"> 合格 </w:t>
            </w:r>
            <w:r>
              <w:rPr>
                <w:rFonts w:hint="eastAsia" w:ascii="宋体" w:hAnsi="宋体" w:cs="宋体"/>
                <w:kern w:val="0"/>
                <w:szCs w:val="21"/>
              </w:rPr>
              <w:t>标准</w:t>
            </w:r>
            <w:r>
              <w:rPr>
                <w:rFonts w:hint="eastAsia" w:ascii="宋体" w:hAnsi="宋体" w:cs="宋体"/>
                <w:szCs w:val="21"/>
              </w:rPr>
              <w:t xml:space="preserve">。 </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2"/>
              <w:keepNext w:val="0"/>
              <w:keepLines w:val="0"/>
              <w:pageBreakBefore w:val="0"/>
              <w:kinsoku/>
              <w:wordWrap/>
              <w:overflowPunct/>
              <w:autoSpaceDN/>
              <w:bidi w:val="0"/>
              <w:spacing w:line="380" w:lineRule="exact"/>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380" w:lineRule="exact"/>
              <w:textAlignment w:val="auto"/>
              <w:rPr>
                <w:rFonts w:ascii="宋体" w:hAnsi="宋体" w:cs="宋体"/>
                <w:kern w:val="0"/>
                <w:szCs w:val="21"/>
                <w:highlight w:val="none"/>
              </w:rPr>
            </w:pPr>
            <w:r>
              <w:rPr>
                <w:rFonts w:hint="eastAsia" w:ascii="宋体" w:hAnsi="宋体" w:cs="宋体"/>
                <w:kern w:val="0"/>
                <w:szCs w:val="21"/>
                <w:highlight w:val="none"/>
              </w:rPr>
              <w:t>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38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38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38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38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380" w:lineRule="exact"/>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如投标人对招标文件有疑问，请于</w:t>
            </w:r>
            <w:r>
              <w:rPr>
                <w:rFonts w:hint="eastAsia" w:ascii="宋体" w:hAnsi="宋体" w:eastAsia="宋体" w:cs="宋体"/>
                <w:b w:val="0"/>
                <w:bCs w:val="0"/>
                <w:highlight w:val="none"/>
                <w:lang w:val="en-US"/>
              </w:rPr>
              <w:t>202</w:t>
            </w:r>
            <w:r>
              <w:rPr>
                <w:rFonts w:hint="eastAsia" w:ascii="宋体" w:hAnsi="宋体" w:eastAsia="宋体" w:cs="宋体"/>
                <w:b w:val="0"/>
                <w:bCs w:val="0"/>
                <w:highlight w:val="none"/>
                <w:lang w:val="en-US" w:eastAsia="zh-CN"/>
              </w:rPr>
              <w:t>5</w:t>
            </w:r>
            <w:r>
              <w:rPr>
                <w:rFonts w:hint="eastAsia" w:ascii="宋体" w:hAnsi="宋体" w:eastAsia="宋体" w:cs="宋体"/>
                <w:b w:val="0"/>
                <w:bCs w:val="0"/>
                <w:highlight w:val="none"/>
              </w:rPr>
              <w:t>年</w:t>
            </w:r>
            <w:r>
              <w:rPr>
                <w:rFonts w:hint="eastAsia" w:ascii="宋体" w:hAnsi="宋体" w:cs="宋体"/>
                <w:b w:val="0"/>
                <w:bCs w:val="0"/>
                <w:highlight w:val="none"/>
                <w:lang w:val="en-US" w:eastAsia="zh-CN"/>
              </w:rPr>
              <w:t>7</w:t>
            </w:r>
            <w:r>
              <w:rPr>
                <w:rFonts w:hint="eastAsia" w:ascii="宋体" w:hAnsi="宋体" w:eastAsia="宋体" w:cs="宋体"/>
                <w:b w:val="0"/>
                <w:bCs w:val="0"/>
                <w:highlight w:val="none"/>
              </w:rPr>
              <w:t>月</w:t>
            </w:r>
            <w:r>
              <w:rPr>
                <w:rFonts w:hint="eastAsia" w:ascii="宋体" w:hAnsi="宋体" w:cs="宋体"/>
                <w:b w:val="0"/>
                <w:bCs w:val="0"/>
                <w:highlight w:val="none"/>
                <w:lang w:val="en-US" w:eastAsia="zh-CN"/>
              </w:rPr>
              <w:t xml:space="preserve">24 </w:t>
            </w:r>
            <w:r>
              <w:rPr>
                <w:rFonts w:hint="eastAsia" w:ascii="宋体" w:hAnsi="宋体" w:eastAsia="宋体" w:cs="宋体"/>
                <w:b w:val="0"/>
                <w:bCs w:val="0"/>
                <w:highlight w:val="none"/>
              </w:rPr>
              <w:t>日</w:t>
            </w:r>
            <w:r>
              <w:rPr>
                <w:rFonts w:hint="eastAsia" w:ascii="宋体" w:hAnsi="宋体" w:eastAsia="宋体" w:cs="宋体"/>
                <w:b w:val="0"/>
                <w:bCs w:val="0"/>
                <w:highlight w:val="none"/>
                <w:lang w:val="en-US" w:eastAsia="zh-CN"/>
              </w:rPr>
              <w:t>12</w:t>
            </w:r>
            <w:r>
              <w:rPr>
                <w:rFonts w:hint="eastAsia" w:ascii="宋体" w:hAnsi="宋体" w:eastAsia="宋体" w:cs="宋体"/>
                <w:b w:val="0"/>
                <w:bCs w:val="0"/>
                <w:highlight w:val="none"/>
              </w:rPr>
              <w:t>时前将疑问内容以书面的形式加盖投标单位公章，发送至滁州市城投工程咨询管理有限公司邮箱（</w:t>
            </w:r>
            <w:r>
              <w:rPr>
                <w:rFonts w:hint="eastAsia" w:ascii="宋体" w:hAnsi="宋体" w:eastAsia="宋体" w:cs="宋体"/>
                <w:b w:val="0"/>
                <w:bCs w:val="0"/>
                <w:highlight w:val="none"/>
                <w:lang w:val="en-US"/>
              </w:rPr>
              <w:t>czsct</w:t>
            </w:r>
            <w:r>
              <w:rPr>
                <w:rFonts w:hint="eastAsia" w:ascii="宋体" w:hAnsi="宋体" w:eastAsia="宋体" w:cs="宋体"/>
                <w:b w:val="0"/>
                <w:bCs w:val="0"/>
                <w:highlight w:val="none"/>
                <w:lang w:val="en-US" w:eastAsia="zh-CN"/>
              </w:rPr>
              <w:t>gc</w:t>
            </w:r>
            <w:r>
              <w:rPr>
                <w:rFonts w:hint="eastAsia" w:ascii="宋体" w:hAnsi="宋体" w:eastAsia="宋体" w:cs="宋体"/>
                <w:b w:val="0"/>
                <w:bCs w:val="0"/>
                <w:highlight w:val="none"/>
                <w:lang w:val="en-US"/>
              </w:rPr>
              <w:t>zx@163.com</w:t>
            </w:r>
            <w:r>
              <w:rPr>
                <w:rFonts w:hint="eastAsia" w:ascii="宋体" w:hAnsi="宋体" w:eastAsia="宋体" w:cs="宋体"/>
                <w:b w:val="0"/>
                <w:bCs w:val="0"/>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pStyle w:val="24"/>
              <w:keepNext w:val="0"/>
              <w:keepLines w:val="0"/>
              <w:pageBreakBefore w:val="0"/>
              <w:kinsoku/>
              <w:wordWrap/>
              <w:overflowPunct/>
              <w:autoSpaceDN/>
              <w:bidi w:val="0"/>
              <w:spacing w:line="380" w:lineRule="exac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招标人将在2025年</w:t>
            </w:r>
            <w:r>
              <w:rPr>
                <w:rFonts w:hint="eastAsia" w:ascii="宋体" w:hAnsi="宋体" w:cs="宋体"/>
                <w:b w:val="0"/>
                <w:bCs w:val="0"/>
                <w:highlight w:val="none"/>
                <w:lang w:val="en-US" w:eastAsia="zh-CN"/>
              </w:rPr>
              <w:t>7</w:t>
            </w:r>
            <w:r>
              <w:rPr>
                <w:rFonts w:hint="eastAsia" w:ascii="宋体" w:hAnsi="宋体" w:eastAsia="宋体" w:cs="宋体"/>
                <w:b w:val="0"/>
                <w:bCs w:val="0"/>
                <w:highlight w:val="none"/>
                <w:lang w:val="en-US" w:eastAsia="zh-CN"/>
              </w:rPr>
              <w:t>月</w:t>
            </w:r>
            <w:r>
              <w:rPr>
                <w:rFonts w:hint="eastAsia" w:ascii="宋体" w:hAnsi="宋体" w:cs="宋体"/>
                <w:b w:val="0"/>
                <w:bCs w:val="0"/>
                <w:highlight w:val="none"/>
                <w:lang w:val="en-US" w:eastAsia="zh-CN"/>
              </w:rPr>
              <w:t>25</w:t>
            </w:r>
            <w:r>
              <w:rPr>
                <w:rFonts w:hint="eastAsia" w:ascii="宋体" w:hAnsi="宋体" w:eastAsia="宋体" w:cs="宋体"/>
                <w:b w:val="0"/>
                <w:bCs w:val="0"/>
                <w:highlight w:val="none"/>
                <w:lang w:val="en-US" w:eastAsia="zh-CN"/>
              </w:rPr>
              <w:t>日17时后以澄清公告形式在</w:t>
            </w:r>
            <w:r>
              <w:rPr>
                <w:rFonts w:hint="eastAsia" w:ascii="宋体" w:hAnsi="宋体" w:cs="宋体"/>
                <w:color w:val="auto"/>
                <w:szCs w:val="21"/>
                <w:lang w:eastAsia="zh-CN"/>
              </w:rPr>
              <w:t>滁州市扬子工业投资集团有限公司官网（https://czyzgtjt.com/）、</w:t>
            </w:r>
            <w:r>
              <w:rPr>
                <w:rFonts w:hint="eastAsia" w:ascii="宋体" w:hAnsi="宋体" w:eastAsia="宋体" w:cs="宋体"/>
                <w:b w:val="0"/>
                <w:bCs w:val="0"/>
                <w:highlight w:val="none"/>
                <w:lang w:val="en-US" w:eastAsia="zh-CN"/>
              </w:rPr>
              <w:t>滁州市城投工程咨询管理有限公司网站（https://www.czctgczx.com/）发布，但不指明澄清问题的来源。</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380" w:lineRule="exact"/>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380" w:lineRule="exact"/>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380" w:lineRule="exact"/>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最高投标限价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7FFE1B90">
            <w:pPr>
              <w:keepNext w:val="0"/>
              <w:keepLines w:val="0"/>
              <w:pageBreakBefore w:val="0"/>
              <w:kinsoku/>
              <w:wordWrap/>
              <w:overflowPunct/>
              <w:autoSpaceDE/>
              <w:autoSpaceDN/>
              <w:bidi w:val="0"/>
              <w:adjustRightInd w:val="0"/>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有</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公布的最高投标限价：</w:t>
            </w:r>
            <w:r>
              <w:rPr>
                <w:rFonts w:hint="eastAsia" w:ascii="宋体" w:hAnsi="宋体" w:cs="宋体"/>
                <w:color w:val="auto"/>
                <w:szCs w:val="21"/>
                <w:highlight w:val="none"/>
                <w:u w:val="single"/>
                <w:lang w:val="en-US" w:eastAsia="zh-CN"/>
              </w:rPr>
              <w:t>253726.40元</w:t>
            </w:r>
            <w:r>
              <w:rPr>
                <w:rFonts w:hint="eastAsia" w:ascii="宋体" w:hAnsi="宋体" w:eastAsia="宋体" w:cs="宋体"/>
                <w:color w:val="auto"/>
                <w:sz w:val="21"/>
                <w:szCs w:val="21"/>
                <w:highlight w:val="none"/>
              </w:rPr>
              <w:t>。</w:t>
            </w:r>
          </w:p>
          <w:p w14:paraId="373D9980">
            <w:pPr>
              <w:keepNext w:val="0"/>
              <w:keepLines w:val="0"/>
              <w:pageBreakBefore w:val="0"/>
              <w:kinsoku/>
              <w:wordWrap/>
              <w:overflowPunct/>
              <w:autoSpaceDE/>
              <w:autoSpaceDN/>
              <w:bidi w:val="0"/>
              <w:adjustRightInd w:val="0"/>
              <w:snapToGrid w:val="0"/>
              <w:spacing w:line="380" w:lineRule="exact"/>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应当</w:t>
            </w:r>
            <w:r>
              <w:rPr>
                <w:rFonts w:hint="eastAsia" w:ascii="宋体" w:hAnsi="宋体" w:eastAsia="宋体" w:cs="宋体"/>
                <w:b/>
                <w:bCs/>
                <w:color w:val="auto"/>
                <w:sz w:val="21"/>
                <w:szCs w:val="21"/>
                <w:highlight w:val="none"/>
                <w:u w:val="single"/>
              </w:rPr>
              <w:t>包括总价、各单位工程的分部分项工程费、措施项目费、其他项目费、不可竞争性费用和税金。</w:t>
            </w:r>
          </w:p>
          <w:p w14:paraId="1B2000CD">
            <w:pPr>
              <w:keepNext w:val="0"/>
              <w:keepLines w:val="0"/>
              <w:pageBreakBefore w:val="0"/>
              <w:kinsoku/>
              <w:wordWrap/>
              <w:overflowPunct/>
              <w:autoSpaceDE/>
              <w:autoSpaceDN/>
              <w:bidi w:val="0"/>
              <w:adjustRightInd w:val="0"/>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发布时间：</w:t>
            </w:r>
            <w:r>
              <w:rPr>
                <w:rFonts w:hint="eastAsia" w:ascii="宋体" w:hAnsi="宋体" w:cs="宋体"/>
                <w:color w:val="auto"/>
                <w:sz w:val="21"/>
                <w:szCs w:val="21"/>
                <w:highlight w:val="none"/>
                <w:u w:val="single"/>
                <w:lang w:val="en-US" w:eastAsia="zh-CN"/>
              </w:rPr>
              <w:t>2025年7月15日</w:t>
            </w:r>
            <w:r>
              <w:rPr>
                <w:rFonts w:hint="eastAsia" w:ascii="宋体" w:hAnsi="宋体" w:eastAsia="宋体" w:cs="宋体"/>
                <w:color w:val="auto"/>
                <w:sz w:val="21"/>
                <w:szCs w:val="21"/>
                <w:highlight w:val="none"/>
              </w:rPr>
              <w:t>。</w:t>
            </w:r>
          </w:p>
          <w:p w14:paraId="62B51156">
            <w:pPr>
              <w:keepNext w:val="0"/>
              <w:keepLines w:val="0"/>
              <w:pageBreakBefore w:val="0"/>
              <w:widowControl/>
              <w:kinsoku/>
              <w:wordWrap w:val="0"/>
              <w:overflowPunct/>
              <w:topLinePunct w:val="0"/>
              <w:autoSpaceDE/>
              <w:autoSpaceDN/>
              <w:bidi w:val="0"/>
              <w:adjustRightInd/>
              <w:snapToGrid/>
              <w:spacing w:line="380" w:lineRule="exact"/>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bCs/>
                <w:color w:val="auto"/>
                <w:sz w:val="21"/>
                <w:szCs w:val="21"/>
                <w:highlight w:val="none"/>
              </w:rPr>
              <w:t>发布媒介：</w:t>
            </w:r>
            <w:r>
              <w:rPr>
                <w:rFonts w:hint="eastAsia" w:ascii="宋体" w:hAnsi="宋体" w:cs="宋体"/>
                <w:color w:val="auto"/>
                <w:szCs w:val="21"/>
                <w:lang w:eastAsia="zh-CN"/>
              </w:rPr>
              <w:t>滁州市扬子工业投资集团有限公司官网（https://czyzgtjt.com/）、</w:t>
            </w:r>
            <w:r>
              <w:rPr>
                <w:rFonts w:hint="eastAsia" w:ascii="Times New Roman" w:hAnsi="Times New Roman" w:eastAsia="宋体" w:cs="Times New Roman"/>
                <w:lang w:val="en-US" w:eastAsia="zh-CN"/>
              </w:rPr>
              <w:t>滁州市城投工程咨询管理有限公司（https://www.czctgczx.com/）</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380" w:lineRule="exact"/>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380" w:lineRule="exact"/>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380" w:lineRule="exact"/>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22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59E67BFB">
            <w:pPr>
              <w:pStyle w:val="2"/>
              <w:keepNext w:val="0"/>
              <w:keepLines w:val="0"/>
              <w:pageBreakBefore w:val="0"/>
              <w:kinsoku/>
              <w:wordWrap/>
              <w:overflowPunct/>
              <w:autoSpaceDN/>
              <w:bidi w:val="0"/>
              <w:spacing w:line="380" w:lineRule="exact"/>
              <w:ind w:left="0" w:leftChars="0" w:firstLine="0" w:firstLineChars="0"/>
              <w:textAlignment w:val="auto"/>
              <w:rPr>
                <w:highlight w:val="none"/>
              </w:rPr>
            </w:pPr>
            <w:r>
              <w:rPr>
                <w:rFonts w:hint="eastAsia" w:hAnsi="宋体" w:cs="宋体"/>
                <w:color w:val="auto"/>
                <w:szCs w:val="21"/>
                <w:highlight w:val="none"/>
                <w:lang w:val="en-US" w:eastAsia="zh-CN"/>
              </w:rPr>
              <w:t>加密</w:t>
            </w:r>
            <w:r>
              <w:rPr>
                <w:rFonts w:hint="eastAsia" w:ascii="宋体" w:hAnsi="宋体" w:eastAsia="宋体" w:cs="宋体"/>
                <w:color w:val="auto"/>
                <w:szCs w:val="21"/>
                <w:highlight w:val="none"/>
              </w:rPr>
              <w:t>PDF电子版投标文件一份，</w:t>
            </w:r>
            <w:r>
              <w:rPr>
                <w:rFonts w:hint="eastAsia" w:ascii="宋体" w:hAnsi="宋体" w:eastAsia="宋体" w:cs="宋体"/>
                <w:b/>
                <w:bCs/>
                <w:color w:val="auto"/>
                <w:kern w:val="0"/>
                <w:szCs w:val="21"/>
                <w:highlight w:val="none"/>
                <w:u w:val="single"/>
              </w:rPr>
              <w:t>（投标人中标后须递交与网上电子投标文件完全一致的纸质版投标文件，并按要求加盖单位章；</w:t>
            </w:r>
            <w:r>
              <w:rPr>
                <w:rFonts w:hint="eastAsia" w:ascii="宋体" w:hAnsi="宋体" w:cs="宋体"/>
                <w:b/>
                <w:bCs/>
                <w:color w:val="auto"/>
                <w:kern w:val="0"/>
                <w:szCs w:val="21"/>
                <w:highlight w:val="none"/>
                <w:u w:val="single"/>
              </w:rPr>
              <w:t>份数：正本1份，副本2份；中标单位领取中标通知书时，一并递交给代理机构）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38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cs="宋体"/>
                <w:szCs w:val="21"/>
                <w:highlight w:val="none"/>
                <w:lang w:val="en-US" w:eastAsia="zh-CN"/>
              </w:rPr>
              <w:t>4</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8E2D2E2">
            <w:pPr>
              <w:keepNext w:val="0"/>
              <w:keepLines w:val="0"/>
              <w:pageBreakBefore w:val="0"/>
              <w:kinsoku/>
              <w:wordWrap/>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见招标公告信息</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27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380" w:lineRule="exact"/>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380" w:lineRule="exact"/>
              <w:jc w:val="center"/>
              <w:textAlignment w:val="auto"/>
              <w:rPr>
                <w:rFonts w:ascii="宋体" w:hAnsi="宋体" w:cs="宋体"/>
                <w:b/>
                <w:bCs/>
                <w:szCs w:val="21"/>
                <w:highlight w:val="none"/>
              </w:rPr>
            </w:pPr>
            <w:r>
              <w:rPr>
                <w:rFonts w:hint="eastAsia" w:ascii="宋体" w:hAnsi="宋体" w:cs="宋体"/>
                <w:szCs w:val="21"/>
                <w:highlight w:val="none"/>
              </w:rPr>
              <w:t>28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38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29</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380" w:lineRule="exact"/>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38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380" w:lineRule="exact"/>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38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38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7A14FB2">
            <w:pPr>
              <w:keepNext w:val="0"/>
              <w:keepLines w:val="0"/>
              <w:pageBreakBefore w:val="0"/>
              <w:kinsoku/>
              <w:wordWrap/>
              <w:overflowPunct/>
              <w:autoSpaceDE/>
              <w:autoSpaceDN/>
              <w:bidi w:val="0"/>
              <w:spacing w:line="38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64302322">
            <w:pPr>
              <w:keepNext w:val="0"/>
              <w:keepLines w:val="0"/>
              <w:pageBreakBefore w:val="0"/>
              <w:kinsoku/>
              <w:wordWrap/>
              <w:overflowPunct/>
              <w:autoSpaceDE/>
              <w:autoSpaceDN/>
              <w:bidi w:val="0"/>
              <w:spacing w:line="380" w:lineRule="exac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eastAsia="宋体" w:cs="宋体"/>
                <w:bCs/>
                <w:color w:val="auto"/>
                <w:szCs w:val="21"/>
                <w:highlight w:val="none"/>
              </w:rPr>
              <w:t>中标合同金额×2%</w:t>
            </w:r>
          </w:p>
          <w:p w14:paraId="4F22EBF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420B8239">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7A8F1231">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6A6E6589">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履约保证金退还时限：履约保证金在工程竣工验收合格后一个月内无息退还。</w:t>
            </w:r>
          </w:p>
          <w:p w14:paraId="1944A55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5A2E52CB">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0404B97A">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75072C65">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4FBB05F3">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3E915FC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38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left"/>
              <w:textAlignment w:val="auto"/>
              <w:rPr>
                <w:rFonts w:ascii="宋体" w:hAnsi="宋体" w:cs="宋体"/>
                <w:color w:val="auto"/>
                <w:szCs w:val="21"/>
                <w:highlight w:val="none"/>
              </w:rPr>
            </w:pPr>
            <w:r>
              <w:rPr>
                <w:rFonts w:hint="eastAsia" w:ascii="宋体" w:hAnsi="宋体" w:eastAsia="宋体" w:cs="宋体"/>
                <w:color w:val="auto"/>
                <w:szCs w:val="21"/>
                <w:highlight w:val="none"/>
                <w:lang w:val="en-US" w:eastAsia="zh-CN"/>
              </w:rPr>
              <w:t>工程竣工验收合格并经审计结算后支付审计结算价款的98%，剩余2%作为工程质量保证金。工程质量保证金在工程缺陷责任期（缺陷责任期两年，从验收合格之日起计算）满后一个月内付清。（采用工程质量保证担保、工程质量保险等其他保证方式的，发包人不再预留质量保证金。）</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380" w:lineRule="exact"/>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kern w:val="0"/>
                <w:szCs w:val="21"/>
                <w:highlight w:val="none"/>
              </w:rPr>
            </w:pPr>
            <w:r>
              <w:rPr>
                <w:rFonts w:hint="eastAsia" w:ascii="宋体" w:hAnsi="宋体" w:cs="宋体"/>
                <w:kern w:val="0"/>
                <w:szCs w:val="21"/>
                <w:highlight w:val="none"/>
              </w:rPr>
              <w:t>代理服务具体金额：</w:t>
            </w:r>
            <w:r>
              <w:rPr>
                <w:rFonts w:hint="eastAsia" w:ascii="宋体" w:hAnsi="宋体" w:cs="宋体"/>
                <w:kern w:val="0"/>
                <w:szCs w:val="21"/>
                <w:highlight w:val="none"/>
                <w:lang w:val="en-US" w:eastAsia="zh-CN"/>
              </w:rPr>
              <w:t>3000</w:t>
            </w:r>
            <w:r>
              <w:rPr>
                <w:rFonts w:hint="eastAsia" w:ascii="宋体" w:hAnsi="宋体" w:cs="宋体"/>
                <w:kern w:val="0"/>
                <w:szCs w:val="21"/>
                <w:highlight w:val="none"/>
              </w:rPr>
              <w:t>元</w:t>
            </w:r>
            <w:r>
              <w:rPr>
                <w:rFonts w:hint="eastAsia" w:ascii="宋体" w:hAnsi="宋体" w:cs="宋体"/>
                <w:bCs/>
                <w:kern w:val="0"/>
                <w:highlight w:val="none"/>
              </w:rPr>
              <w:t>。</w:t>
            </w:r>
          </w:p>
          <w:p w14:paraId="7550C2A5">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Cs w:val="21"/>
                <w:highlight w:val="none"/>
              </w:rPr>
            </w:pPr>
            <w:r>
              <w:rPr>
                <w:rFonts w:hint="eastAsia" w:ascii="宋体" w:hAnsi="宋体" w:cs="宋体"/>
                <w:kern w:val="0"/>
                <w:szCs w:val="21"/>
                <w:highlight w:val="none"/>
              </w:rPr>
              <w:t>代理服务费支付主体</w:t>
            </w:r>
            <w:r>
              <w:rPr>
                <w:rFonts w:hint="eastAsia" w:ascii="宋体" w:hAnsi="宋体" w:cs="宋体"/>
                <w:szCs w:val="21"/>
                <w:highlight w:val="none"/>
              </w:rPr>
              <w:t>：</w:t>
            </w:r>
            <w:r>
              <w:rPr>
                <w:rFonts w:hint="eastAsia" w:ascii="宋体" w:hAnsi="宋体" w:cs="宋体"/>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380" w:lineRule="exact"/>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38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0376B137">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440C74B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0243679">
            <w:pPr>
              <w:keepNext w:val="0"/>
              <w:keepLines w:val="0"/>
              <w:pageBreakBefore w:val="0"/>
              <w:kinsoku/>
              <w:overflowPunct/>
              <w:autoSpaceDN/>
              <w:bidi w:val="0"/>
              <w:spacing w:line="380" w:lineRule="exact"/>
              <w:jc w:val="center"/>
              <w:textAlignment w:val="auto"/>
              <w:rPr>
                <w:rFonts w:hint="eastAsia" w:ascii="宋体" w:hAnsi="宋体" w:eastAsia="宋体" w:cs="宋体"/>
                <w:szCs w:val="21"/>
                <w:highlight w:val="none"/>
              </w:rPr>
            </w:pPr>
            <w:r>
              <w:rPr>
                <w:rFonts w:hint="eastAsia" w:ascii="宋体" w:hAnsi="宋体" w:cs="宋体"/>
                <w:szCs w:val="21"/>
              </w:rPr>
              <w:t>知识产权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680D75CB">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构成本招标文件各个组成部分的文件，未经招标人书面同意，投标人不得擅自复印和用于非本招标项目所需的其他目的。投标人投标的所有投标文件、设计成果、图纸等资料和所有权、知识产权将归属于招标人，且不得索回。招标人有权全部或者部分使用未中标人投标文件中的技术成果或技术方案等，并不需征得未中标人的书面同意，且不需要支付任何使用费用。</w:t>
            </w:r>
          </w:p>
          <w:p w14:paraId="4BC902D5">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知识产权的范围及归属：所有投标人的投标文件、设计成果、图纸等资料均应为原创，不得包含侵犯第三方知识产权的行为。否则造成相关责任及索赔由投标人自行承担。</w:t>
            </w:r>
          </w:p>
        </w:tc>
      </w:tr>
      <w:tr w14:paraId="11A41849">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493A0F8">
            <w:pPr>
              <w:keepNext w:val="0"/>
              <w:keepLines w:val="0"/>
              <w:pageBreakBefore w:val="0"/>
              <w:kinsoku/>
              <w:overflowPunct/>
              <w:autoSpaceDN/>
              <w:bidi w:val="0"/>
              <w:spacing w:line="380" w:lineRule="exact"/>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szCs w:val="21"/>
              </w:rPr>
              <w:t>保密要求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0F778757">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招标人提供的相关资料只供本次活动使用，各投标人应承担保密义务，不得擅自拷贝和传播。</w:t>
            </w:r>
          </w:p>
        </w:tc>
      </w:tr>
      <w:tr w14:paraId="1C557C55">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F0E4209">
            <w:pPr>
              <w:keepNext w:val="0"/>
              <w:keepLines w:val="0"/>
              <w:pageBreakBefore w:val="0"/>
              <w:kinsoku/>
              <w:overflowPunct/>
              <w:autoSpaceDN/>
              <w:bidi w:val="0"/>
              <w:spacing w:line="3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Cs w:val="21"/>
                <w:lang w:val="en-US" w:eastAsia="zh-CN"/>
              </w:rPr>
              <w:t>特别说明</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F70949">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1、本项目审计基本费由发包人承担，工程造价审减率超过</w:t>
            </w:r>
            <w:r>
              <w:rPr>
                <w:rFonts w:hint="eastAsia" w:ascii="宋体" w:hAnsi="宋体" w:cs="宋体"/>
                <w:kern w:val="0"/>
                <w:szCs w:val="21"/>
                <w:highlight w:val="none"/>
                <w:lang w:val="en-US" w:eastAsia="zh-CN"/>
              </w:rPr>
              <w:t>7</w:t>
            </w:r>
            <w:r>
              <w:rPr>
                <w:rFonts w:hint="eastAsia" w:ascii="宋体" w:hAnsi="宋体" w:eastAsia="宋体" w:cs="宋体"/>
                <w:kern w:val="0"/>
                <w:szCs w:val="21"/>
                <w:highlight w:val="none"/>
                <w:lang w:val="en-US" w:eastAsia="zh-CN"/>
              </w:rPr>
              <w:t>%的，其超过部分审计服务费用由施工单位承担。</w:t>
            </w:r>
          </w:p>
          <w:p w14:paraId="61CD8768">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kern w:val="0"/>
                <w:szCs w:val="21"/>
                <w:highlight w:val="none"/>
                <w:lang w:val="zh-CN" w:eastAsia="zh-CN"/>
              </w:rPr>
            </w:pPr>
            <w:r>
              <w:rPr>
                <w:rFonts w:hint="eastAsia" w:ascii="宋体" w:hAnsi="宋体" w:eastAsia="宋体" w:cs="宋体"/>
                <w:kern w:val="0"/>
                <w:szCs w:val="21"/>
                <w:highlight w:val="none"/>
                <w:lang w:val="en-US" w:eastAsia="zh-CN"/>
              </w:rPr>
              <w:t>2、承包人在项目交付前应做到工完场清，本项目须做到精保洁交付，否则发包人有权追究承包人1万元违约责任。</w:t>
            </w:r>
          </w:p>
        </w:tc>
      </w:tr>
    </w:tbl>
    <w:p w14:paraId="735D540F">
      <w:pPr>
        <w:rPr>
          <w:rFonts w:hint="eastAsia" w:ascii="宋体" w:hAnsi="宋体" w:eastAsia="宋体" w:cs="宋体"/>
          <w:sz w:val="24"/>
          <w:szCs w:val="24"/>
          <w:highlight w:val="none"/>
        </w:rPr>
      </w:pPr>
      <w:bookmarkStart w:id="54" w:name="_Toc5813"/>
      <w:bookmarkStart w:id="55" w:name="_Toc35425053"/>
      <w:bookmarkStart w:id="56" w:name="_Toc15058846"/>
      <w:bookmarkStart w:id="57" w:name="_Toc35424887"/>
      <w:bookmarkStart w:id="58" w:name="_Toc78803322"/>
      <w:r>
        <w:rPr>
          <w:rFonts w:hint="eastAsia" w:ascii="宋体" w:hAnsi="宋体" w:eastAsia="宋体" w:cs="宋体"/>
          <w:sz w:val="24"/>
          <w:szCs w:val="24"/>
          <w:highlight w:val="none"/>
        </w:rPr>
        <w:br w:type="page"/>
      </w:r>
    </w:p>
    <w:p w14:paraId="6585086A">
      <w:pPr>
        <w:pStyle w:val="7"/>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AE7C8E8">
      <w:pPr>
        <w:pStyle w:val="7"/>
        <w:ind w:firstLine="422" w:firstLineChars="200"/>
        <w:rPr>
          <w:rFonts w:ascii="宋体" w:hAnsi="宋体" w:eastAsia="宋体" w:cs="宋体"/>
          <w:kern w:val="44"/>
          <w:highlight w:val="none"/>
        </w:rPr>
      </w:pPr>
      <w:bookmarkStart w:id="59" w:name="_Toc15058847"/>
      <w:bookmarkStart w:id="60" w:name="_Toc152042306"/>
      <w:bookmarkStart w:id="61" w:name="_Toc144974498"/>
      <w:bookmarkStart w:id="62" w:name="_Toc247085690"/>
      <w:bookmarkStart w:id="63" w:name="_Toc152045530"/>
      <w:bookmarkStart w:id="64" w:name="_Toc506107270"/>
      <w:bookmarkStart w:id="65" w:name="_Toc324404816"/>
      <w:bookmarkStart w:id="66" w:name="_Toc179632547"/>
      <w:bookmarkStart w:id="67" w:name="_Toc78803323"/>
      <w:bookmarkStart w:id="68" w:name="_Toc246996919"/>
      <w:bookmarkStart w:id="69" w:name="_Toc4678"/>
      <w:bookmarkStart w:id="70" w:name="_Toc35424888"/>
      <w:bookmarkStart w:id="71" w:name="_Toc35425054"/>
      <w:bookmarkStart w:id="72" w:name="_Toc296602421"/>
      <w:bookmarkStart w:id="73" w:name="_Toc246996176"/>
      <w:r>
        <w:rPr>
          <w:rFonts w:hint="eastAsia" w:ascii="宋体" w:hAnsi="宋体" w:eastAsia="宋体" w:cs="宋体"/>
          <w:kern w:val="44"/>
          <w:highlight w:val="none"/>
        </w:rPr>
        <w:t>1.1 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1.1.1根据《中华人民共和国招标投标法》《中华人民共和国招标投标法实施条例》等有关法律、法规和规章的规定，本招标项目已具备招标条件，现对本项目施工监理进行招标。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7"/>
        <w:ind w:firstLine="422" w:firstLineChars="200"/>
        <w:rPr>
          <w:rFonts w:ascii="宋体" w:hAnsi="宋体" w:eastAsia="宋体" w:cs="宋体"/>
          <w:highlight w:val="none"/>
        </w:rPr>
      </w:pPr>
      <w:bookmarkStart w:id="74" w:name="_Toc246996177"/>
      <w:bookmarkStart w:id="75" w:name="_Toc296602422"/>
      <w:bookmarkStart w:id="76" w:name="_Toc152042307"/>
      <w:bookmarkStart w:id="77" w:name="_Toc152045531"/>
      <w:bookmarkStart w:id="78" w:name="_Toc7142"/>
      <w:bookmarkStart w:id="79" w:name="_Toc247085691"/>
      <w:bookmarkStart w:id="80" w:name="_Toc506107271"/>
      <w:bookmarkStart w:id="81" w:name="_Toc179632548"/>
      <w:bookmarkStart w:id="82" w:name="_Toc246996920"/>
      <w:bookmarkStart w:id="83" w:name="_Toc78803324"/>
      <w:bookmarkStart w:id="84" w:name="_Toc35424889"/>
      <w:bookmarkStart w:id="85" w:name="_Toc144974499"/>
      <w:bookmarkStart w:id="86" w:name="_Toc35425055"/>
      <w:bookmarkStart w:id="87" w:name="_Toc15058848"/>
      <w:bookmarkStart w:id="88" w:name="_Toc324404817"/>
      <w:r>
        <w:rPr>
          <w:rFonts w:hint="eastAsia" w:ascii="宋体" w:hAnsi="宋体" w:eastAsia="宋体" w:cs="宋体"/>
          <w:highlight w:val="none"/>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7"/>
        <w:ind w:firstLine="422" w:firstLineChars="200"/>
        <w:rPr>
          <w:rFonts w:ascii="宋体" w:hAnsi="宋体" w:eastAsia="宋体" w:cs="宋体"/>
          <w:highlight w:val="none"/>
        </w:rPr>
      </w:pPr>
      <w:bookmarkStart w:id="89" w:name="_Toc152045532"/>
      <w:bookmarkStart w:id="90" w:name="_Toc246996921"/>
      <w:bookmarkStart w:id="91" w:name="_Toc506107272"/>
      <w:bookmarkStart w:id="92" w:name="_Toc144974500"/>
      <w:bookmarkStart w:id="93" w:name="_Toc152042308"/>
      <w:bookmarkStart w:id="94" w:name="_Toc247085692"/>
      <w:bookmarkStart w:id="95" w:name="_Toc78803325"/>
      <w:bookmarkStart w:id="96" w:name="_Toc15058849"/>
      <w:bookmarkStart w:id="97" w:name="_Toc179632549"/>
      <w:bookmarkStart w:id="98" w:name="_Toc296602423"/>
      <w:bookmarkStart w:id="99" w:name="_Toc246996178"/>
      <w:bookmarkStart w:id="100" w:name="_Toc35424890"/>
      <w:bookmarkStart w:id="101" w:name="_Toc324404818"/>
      <w:bookmarkStart w:id="102" w:name="_Toc6330"/>
      <w:bookmarkStart w:id="103" w:name="_Toc35425056"/>
      <w:r>
        <w:rPr>
          <w:rFonts w:hint="eastAsia" w:ascii="宋体" w:hAnsi="宋体" w:eastAsia="宋体" w:cs="宋体"/>
          <w:highlight w:val="none"/>
        </w:rPr>
        <w:t>1.3 招标范围、计划工期、质量要求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本招标项目的监理服务期限：见投标人须知前附表。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7"/>
        <w:ind w:firstLine="422" w:firstLineChars="200"/>
        <w:rPr>
          <w:rFonts w:ascii="宋体" w:hAnsi="宋体" w:eastAsia="宋体" w:cs="宋体"/>
          <w:highlight w:val="none"/>
        </w:rPr>
      </w:pPr>
      <w:bookmarkStart w:id="104" w:name="_Toc506107273"/>
      <w:bookmarkStart w:id="105" w:name="_Toc35425057"/>
      <w:bookmarkStart w:id="106" w:name="_Toc324404819"/>
      <w:bookmarkStart w:id="107" w:name="_Toc296602424"/>
      <w:bookmarkStart w:id="108" w:name="_Toc246996179"/>
      <w:bookmarkStart w:id="109" w:name="_Toc35424891"/>
      <w:bookmarkStart w:id="110" w:name="_Toc246996922"/>
      <w:bookmarkStart w:id="111" w:name="_Toc26897"/>
      <w:bookmarkStart w:id="112" w:name="_Toc15058850"/>
      <w:bookmarkStart w:id="113" w:name="_Toc144974502"/>
      <w:bookmarkStart w:id="114" w:name="_Toc247085693"/>
      <w:bookmarkStart w:id="115" w:name="_Toc152045534"/>
      <w:bookmarkStart w:id="116" w:name="_Toc179632551"/>
      <w:bookmarkStart w:id="117" w:name="_Toc152042310"/>
      <w:bookmarkStart w:id="118" w:name="_Toc78803326"/>
      <w:r>
        <w:rPr>
          <w:rFonts w:hint="eastAsia" w:ascii="宋体" w:hAnsi="宋体" w:eastAsia="宋体" w:cs="宋体"/>
          <w:highlight w:val="none"/>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3C4A8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1.4.1 投标人应具备承担本项目</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的资质条件、能力和信誉。</w:t>
      </w:r>
    </w:p>
    <w:p w14:paraId="42CF740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（1）资质条件：见投标人须知前附表；</w:t>
      </w:r>
    </w:p>
    <w:p w14:paraId="213F575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（2）项目负责人资格：见投标人须知前附表；</w:t>
      </w:r>
    </w:p>
    <w:p w14:paraId="77975E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（3）信誉要求：见投标人须知前附表；</w:t>
      </w:r>
    </w:p>
    <w:p w14:paraId="1C33B20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）其他要求：见投标人须知前附表。</w:t>
      </w:r>
    </w:p>
    <w:p w14:paraId="66002C8A">
      <w:pPr>
        <w:spacing w:line="440" w:lineRule="exact"/>
        <w:ind w:firstLine="420" w:firstLineChars="200"/>
        <w:jc w:val="left"/>
        <w:rPr>
          <w:rFonts w:hint="eastAsia" w:ascii="宋体" w:hAnsi="宋体" w:eastAsia="宋体" w:cs="宋体"/>
          <w:szCs w:val="21"/>
          <w:highlight w:val="none"/>
        </w:rPr>
      </w:pPr>
      <w:bookmarkStart w:id="119" w:name="_Toc152045535"/>
      <w:bookmarkStart w:id="120" w:name="_Toc246996923"/>
      <w:bookmarkStart w:id="121" w:name="_Toc324404820"/>
      <w:bookmarkStart w:id="122" w:name="_Toc247085694"/>
      <w:bookmarkStart w:id="123" w:name="_Toc15058851"/>
      <w:bookmarkStart w:id="124" w:name="_Toc10179"/>
      <w:bookmarkStart w:id="125" w:name="_Toc78803327"/>
      <w:bookmarkStart w:id="126" w:name="_Toc246996180"/>
      <w:bookmarkStart w:id="127" w:name="_Toc35425058"/>
      <w:bookmarkStart w:id="128" w:name="_Toc144974503"/>
      <w:bookmarkStart w:id="129" w:name="_Toc506107274"/>
      <w:bookmarkStart w:id="130" w:name="_Toc296602425"/>
      <w:bookmarkStart w:id="131" w:name="_Toc35424892"/>
      <w:bookmarkStart w:id="132" w:name="_Toc179632552"/>
      <w:bookmarkStart w:id="133" w:name="_Toc152042311"/>
      <w:r>
        <w:rPr>
          <w:rFonts w:hint="eastAsia" w:ascii="宋体" w:hAnsi="宋体" w:eastAsia="宋体" w:cs="宋体"/>
          <w:szCs w:val="21"/>
          <w:highlight w:val="none"/>
        </w:rPr>
        <w:t>1.4.3投标人（包括联合体各成员）不得与本标段相关单位存在下列关联关系：</w:t>
      </w:r>
    </w:p>
    <w:p w14:paraId="5DE8D0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（1）为招标人不具有独立法人资格的附属机构（单位）；</w:t>
      </w:r>
    </w:p>
    <w:p w14:paraId="09E6B8F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（2）与招标人存在利害关系且可能影响招标公正性；</w:t>
      </w:r>
    </w:p>
    <w:p w14:paraId="0505EF5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（3）与本标段的其他投标人同为一个单位负责人；</w:t>
      </w:r>
    </w:p>
    <w:p w14:paraId="36333F8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（4）与本标段的其他投标人存在控股、管理关系；</w:t>
      </w:r>
    </w:p>
    <w:p w14:paraId="4D18F6F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（5）为本标段前期准备提供设计或咨询服务的法人或其任何附属机构（单位）(本</w:t>
      </w:r>
      <w:r>
        <w:rPr>
          <w:rFonts w:hint="eastAsia" w:ascii="宋体" w:hAnsi="宋体" w:cs="宋体"/>
          <w:szCs w:val="21"/>
          <w:highlight w:val="none"/>
          <w:lang w:val="en-US" w:eastAsia="zh-CN"/>
        </w:rPr>
        <w:t>项目</w:t>
      </w:r>
      <w:r>
        <w:rPr>
          <w:rFonts w:hint="eastAsia" w:ascii="宋体" w:hAnsi="宋体" w:eastAsia="宋体" w:cs="宋体"/>
          <w:szCs w:val="21"/>
          <w:highlight w:val="none"/>
        </w:rPr>
        <w:t>不采用)；</w:t>
      </w:r>
    </w:p>
    <w:p w14:paraId="73E2482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（6）为本标段的监理人；</w:t>
      </w:r>
    </w:p>
    <w:p w14:paraId="43DEC31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（7）为本标段的代建人；</w:t>
      </w:r>
    </w:p>
    <w:p w14:paraId="5653615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（8）为本标段的招标代理机构；</w:t>
      </w:r>
    </w:p>
    <w:p w14:paraId="3407078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（9）与本标段的监理人或代建人或招标代理机构同为一个法定代表人；</w:t>
      </w:r>
    </w:p>
    <w:p w14:paraId="5B21E9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（10）与本标段的监理人或代建人或招标代理机构存在控股或参股关系；</w:t>
      </w:r>
    </w:p>
    <w:p w14:paraId="552CFA5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（11）法律法规或投标人须知前附表规定的其他情形。</w:t>
      </w:r>
    </w:p>
    <w:p w14:paraId="4D283291">
      <w:pPr>
        <w:pStyle w:val="7"/>
        <w:ind w:firstLine="422" w:firstLineChars="200"/>
        <w:rPr>
          <w:rFonts w:ascii="宋体" w:hAnsi="宋体" w:eastAsia="宋体" w:cs="宋体"/>
          <w:highlight w:val="none"/>
        </w:rPr>
      </w:pPr>
      <w:r>
        <w:rPr>
          <w:rFonts w:hint="eastAsia" w:ascii="宋体" w:hAnsi="宋体" w:eastAsia="宋体" w:cs="宋体"/>
          <w:highlight w:val="none"/>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7"/>
        <w:ind w:firstLine="422" w:firstLineChars="200"/>
        <w:rPr>
          <w:rFonts w:ascii="宋体" w:hAnsi="宋体" w:eastAsia="宋体" w:cs="宋体"/>
          <w:highlight w:val="none"/>
        </w:rPr>
      </w:pPr>
      <w:bookmarkStart w:id="134" w:name="_Toc246996181"/>
      <w:bookmarkStart w:id="135" w:name="_Toc246996924"/>
      <w:bookmarkStart w:id="136" w:name="_Toc247085695"/>
      <w:bookmarkStart w:id="137" w:name="_Toc144974504"/>
      <w:bookmarkStart w:id="138" w:name="_Toc324404821"/>
      <w:bookmarkStart w:id="139" w:name="_Toc35424893"/>
      <w:bookmarkStart w:id="140" w:name="_Toc179632553"/>
      <w:bookmarkStart w:id="141" w:name="_Toc4092"/>
      <w:bookmarkStart w:id="142" w:name="_Toc152045536"/>
      <w:bookmarkStart w:id="143" w:name="_Toc78803328"/>
      <w:bookmarkStart w:id="144" w:name="_Toc15058852"/>
      <w:bookmarkStart w:id="145" w:name="_Toc35425059"/>
      <w:bookmarkStart w:id="146" w:name="_Toc152042312"/>
      <w:bookmarkStart w:id="147" w:name="_Toc506107275"/>
      <w:bookmarkStart w:id="148" w:name="_Toc296602426"/>
      <w:r>
        <w:rPr>
          <w:rFonts w:hint="eastAsia" w:ascii="宋体" w:hAnsi="宋体" w:eastAsia="宋体" w:cs="宋体"/>
          <w:highlight w:val="none"/>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7"/>
        <w:ind w:firstLine="422" w:firstLineChars="200"/>
        <w:rPr>
          <w:rFonts w:ascii="宋体" w:hAnsi="宋体" w:eastAsia="宋体" w:cs="宋体"/>
          <w:highlight w:val="none"/>
        </w:rPr>
      </w:pPr>
      <w:bookmarkStart w:id="149" w:name="_Toc144974505"/>
      <w:bookmarkStart w:id="150" w:name="_Toc152042313"/>
      <w:bookmarkStart w:id="151" w:name="_Toc78803329"/>
      <w:bookmarkStart w:id="152" w:name="_Toc296602427"/>
      <w:bookmarkStart w:id="153" w:name="_Toc247085696"/>
      <w:bookmarkStart w:id="154" w:name="_Toc246996182"/>
      <w:bookmarkStart w:id="155" w:name="_Toc246996925"/>
      <w:bookmarkStart w:id="156" w:name="_Toc324404822"/>
      <w:bookmarkStart w:id="157" w:name="_Toc506107276"/>
      <w:bookmarkStart w:id="158" w:name="_Toc179632554"/>
      <w:bookmarkStart w:id="159" w:name="_Toc152045537"/>
      <w:bookmarkStart w:id="160" w:name="_Toc35424894"/>
      <w:bookmarkStart w:id="161" w:name="_Toc15058853"/>
      <w:bookmarkStart w:id="162" w:name="_Toc4119"/>
      <w:bookmarkStart w:id="163" w:name="_Toc35425060"/>
      <w:r>
        <w:rPr>
          <w:rFonts w:hint="eastAsia" w:ascii="宋体" w:hAnsi="宋体" w:eastAsia="宋体" w:cs="宋体"/>
          <w:highlight w:val="none"/>
        </w:rPr>
        <w:t>1.7 语言</w:t>
      </w:r>
      <w:bookmarkEnd w:id="149"/>
      <w:r>
        <w:rPr>
          <w:rFonts w:hint="eastAsia" w:ascii="宋体" w:hAnsi="宋体" w:eastAsia="宋体" w:cs="宋体"/>
          <w:highlight w:val="none"/>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3039B6C">
      <w:pPr>
        <w:spacing w:line="440" w:lineRule="exact"/>
        <w:ind w:firstLine="420" w:firstLineChars="200"/>
        <w:jc w:val="left"/>
        <w:rPr>
          <w:rFonts w:ascii="宋体" w:hAnsi="宋体" w:cs="宋体"/>
          <w:szCs w:val="21"/>
          <w:highlight w:val="none"/>
        </w:rPr>
      </w:pPr>
      <w:bookmarkStart w:id="164" w:name="_Toc246996183"/>
      <w:bookmarkStart w:id="165" w:name="_Toc144974506"/>
      <w:bookmarkStart w:id="166" w:name="_Toc247085697"/>
      <w:bookmarkStart w:id="167" w:name="_Toc179632555"/>
      <w:bookmarkStart w:id="168" w:name="_Toc152042314"/>
      <w:bookmarkStart w:id="169" w:name="_Toc246996926"/>
      <w:bookmarkStart w:id="170" w:name="_Toc152045538"/>
      <w:r>
        <w:rPr>
          <w:rFonts w:hint="eastAsia" w:ascii="宋体" w:hAnsi="宋体" w:cs="宋体"/>
          <w:szCs w:val="21"/>
          <w:highlight w:val="none"/>
        </w:rPr>
        <w:t>招标投标文件使用的语言文字为中文。专用术语使用外文的，应附有中文注释。</w:t>
      </w:r>
    </w:p>
    <w:p w14:paraId="07887133">
      <w:pPr>
        <w:pStyle w:val="7"/>
        <w:ind w:firstLine="422" w:firstLineChars="200"/>
        <w:rPr>
          <w:rFonts w:ascii="宋体" w:hAnsi="宋体" w:eastAsia="宋体" w:cs="宋体"/>
          <w:highlight w:val="none"/>
        </w:rPr>
      </w:pPr>
      <w:bookmarkStart w:id="171" w:name="_Toc78803330"/>
      <w:bookmarkStart w:id="172" w:name="_Toc324404823"/>
      <w:bookmarkStart w:id="173" w:name="_Toc35424895"/>
      <w:bookmarkStart w:id="174" w:name="_Toc296602428"/>
      <w:bookmarkStart w:id="175" w:name="_Toc13408"/>
      <w:bookmarkStart w:id="176" w:name="_Toc15058854"/>
      <w:bookmarkStart w:id="177" w:name="_Toc35425061"/>
      <w:bookmarkStart w:id="178" w:name="_Toc506107277"/>
      <w:r>
        <w:rPr>
          <w:rFonts w:hint="eastAsia" w:ascii="宋体" w:hAnsi="宋体" w:eastAsia="宋体" w:cs="宋体"/>
          <w:highlight w:val="none"/>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7"/>
        <w:ind w:firstLine="422" w:firstLineChars="200"/>
        <w:rPr>
          <w:rFonts w:ascii="宋体" w:hAnsi="宋体" w:eastAsia="宋体" w:cs="宋体"/>
          <w:highlight w:val="none"/>
        </w:rPr>
      </w:pPr>
      <w:bookmarkStart w:id="179" w:name="_Toc11493"/>
      <w:bookmarkStart w:id="180" w:name="_Toc506107278"/>
      <w:bookmarkStart w:id="181" w:name="_Toc247527563"/>
      <w:bookmarkStart w:id="182" w:name="_Toc324404824"/>
      <w:bookmarkStart w:id="183" w:name="_Toc152045539"/>
      <w:bookmarkStart w:id="184" w:name="_Toc247513962"/>
      <w:bookmarkStart w:id="185" w:name="_Toc35424896"/>
      <w:bookmarkStart w:id="186" w:name="_Toc144974507"/>
      <w:bookmarkStart w:id="187" w:name="_Toc296602429"/>
      <w:bookmarkStart w:id="188" w:name="_Toc152042315"/>
      <w:bookmarkStart w:id="189" w:name="_Toc247592876"/>
      <w:bookmarkStart w:id="190" w:name="_Toc35425062"/>
      <w:bookmarkStart w:id="191" w:name="_Toc15058855"/>
      <w:bookmarkStart w:id="192" w:name="_Toc78803331"/>
      <w:r>
        <w:rPr>
          <w:rFonts w:hint="eastAsia" w:ascii="宋体" w:hAnsi="宋体" w:eastAsia="宋体" w:cs="宋体"/>
          <w:highlight w:val="none"/>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AA9B494">
      <w:pPr>
        <w:spacing w:line="440" w:lineRule="exact"/>
        <w:ind w:firstLine="420" w:firstLineChars="200"/>
        <w:jc w:val="left"/>
        <w:rPr>
          <w:rFonts w:hint="eastAsia" w:ascii="宋体" w:hAnsi="宋体" w:eastAsia="宋体" w:cs="宋体"/>
          <w:szCs w:val="21"/>
          <w:highlight w:val="none"/>
        </w:rPr>
      </w:pPr>
      <w:bookmarkStart w:id="193" w:name="_Toc35425063"/>
      <w:bookmarkStart w:id="194" w:name="_Toc152042316"/>
      <w:bookmarkStart w:id="195" w:name="_Toc15058856"/>
      <w:bookmarkStart w:id="196" w:name="_Toc324404825"/>
      <w:bookmarkStart w:id="197" w:name="_Toc78803332"/>
      <w:bookmarkStart w:id="198" w:name="_Toc506107279"/>
      <w:bookmarkStart w:id="199" w:name="_Toc247513963"/>
      <w:bookmarkStart w:id="200" w:name="_Toc247592877"/>
      <w:bookmarkStart w:id="201" w:name="_Toc22954"/>
      <w:bookmarkStart w:id="202" w:name="_Toc144974508"/>
      <w:bookmarkStart w:id="203" w:name="_Toc152045540"/>
      <w:bookmarkStart w:id="204" w:name="_Toc35424897"/>
      <w:bookmarkStart w:id="205" w:name="_Toc247527564"/>
      <w:bookmarkStart w:id="206" w:name="_Toc296602430"/>
      <w:r>
        <w:rPr>
          <w:rFonts w:hint="eastAsia" w:ascii="宋体" w:hAnsi="宋体" w:eastAsia="宋体" w:cs="宋体"/>
          <w:szCs w:val="21"/>
          <w:highlight w:val="none"/>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1D494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1.9.2 投标人踏勘现场发生的费用自理。</w:t>
      </w:r>
    </w:p>
    <w:p w14:paraId="4EA3604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1.9.3 除招标人的原因外，投标人自行负责在踏勘现场中所发生的人员伤亡和财产损失。</w:t>
      </w:r>
    </w:p>
    <w:p w14:paraId="50FCC1C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1.9.4 招标人在踏勘现场中介绍的工程场地和相关的周边环境情况，供投标人在编制投标文件时参考，招标人不对投标人据此作出的判断和决策负责。</w:t>
      </w:r>
    </w:p>
    <w:p w14:paraId="024D6A4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179FDA06">
      <w:pPr>
        <w:pStyle w:val="7"/>
        <w:ind w:firstLine="422" w:firstLineChars="200"/>
        <w:rPr>
          <w:rFonts w:ascii="宋体" w:hAnsi="宋体" w:eastAsia="宋体" w:cs="宋体"/>
          <w:highlight w:val="none"/>
        </w:rPr>
      </w:pPr>
      <w:r>
        <w:rPr>
          <w:rFonts w:hint="eastAsia" w:ascii="宋体" w:hAnsi="宋体" w:eastAsia="宋体" w:cs="宋体"/>
          <w:highlight w:val="none"/>
        </w:rPr>
        <w:t>1.10 投标预备会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9781F3B">
      <w:pPr>
        <w:spacing w:line="440" w:lineRule="exact"/>
        <w:ind w:firstLine="420" w:firstLineChars="200"/>
        <w:jc w:val="left"/>
        <w:rPr>
          <w:rFonts w:hint="eastAsia" w:ascii="宋体" w:hAnsi="宋体" w:eastAsia="宋体" w:cs="宋体"/>
          <w:szCs w:val="21"/>
          <w:highlight w:val="none"/>
        </w:rPr>
      </w:pPr>
      <w:bookmarkStart w:id="207" w:name="_Toc83301699"/>
      <w:bookmarkStart w:id="208" w:name="_Toc60061444"/>
      <w:bookmarkStart w:id="209" w:name="_Toc95223347"/>
      <w:bookmarkStart w:id="210" w:name="_Toc324404826"/>
      <w:bookmarkStart w:id="211" w:name="_Toc15058857"/>
      <w:bookmarkStart w:id="212" w:name="_Toc296602431"/>
      <w:bookmarkStart w:id="213" w:name="_Toc78803333"/>
      <w:bookmarkStart w:id="214" w:name="_Toc32016"/>
      <w:bookmarkStart w:id="215" w:name="_Toc506107280"/>
      <w:bookmarkStart w:id="216" w:name="_Toc35425064"/>
      <w:bookmarkStart w:id="217" w:name="_Toc35424898"/>
      <w:r>
        <w:rPr>
          <w:rFonts w:hint="eastAsia" w:ascii="宋体" w:hAnsi="宋体" w:eastAsia="宋体" w:cs="宋体"/>
          <w:szCs w:val="21"/>
          <w:highlight w:val="none"/>
        </w:rPr>
        <w:t>1.10.1投标人须知前附表规定召开投标预备会的，招标人按投标人须知前附表规定的时间和地点召开投标预备会，澄清投标人提出的问题。</w:t>
      </w:r>
    </w:p>
    <w:p w14:paraId="68E1CBD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1.10.2投标人应在投标人须知前附表规定的时间前，将提出的问题送达招标人，以便招标人澄清。</w:t>
      </w:r>
    </w:p>
    <w:p w14:paraId="77334C7F">
      <w:pPr>
        <w:pStyle w:val="7"/>
        <w:ind w:firstLine="422" w:firstLineChars="200"/>
        <w:rPr>
          <w:rFonts w:hint="eastAsia" w:ascii="宋体" w:hAnsi="宋体" w:eastAsia="宋体" w:cs="宋体"/>
          <w:highlight w:val="none"/>
        </w:rPr>
      </w:pPr>
      <w:r>
        <w:rPr>
          <w:rFonts w:hint="eastAsia" w:ascii="宋体" w:hAnsi="宋体" w:eastAsia="宋体" w:cs="宋体"/>
          <w:highlight w:val="none"/>
        </w:rPr>
        <w:t>1.11 分包</w:t>
      </w:r>
      <w:bookmarkEnd w:id="207"/>
      <w:bookmarkEnd w:id="208"/>
      <w:bookmarkEnd w:id="209"/>
    </w:p>
    <w:p w14:paraId="4C37D79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1.11.1投标人拟在中标后将中标项目的部分非主体、非关键性工作进行分包的，应符合以下规定：</w:t>
      </w:r>
    </w:p>
    <w:p w14:paraId="656917F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（1）分包内容要求：招标人允许分包或不允许分包的专业工程（如有）应在投标人须知前附表中载明；</w:t>
      </w:r>
    </w:p>
    <w:p w14:paraId="5CB3AEC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（2）接受分包的第三人资格要求：分包人的资格能力应与其分包工程的标准和规模相适应，且具备投标人须知前附表中规定的资格条件；</w:t>
      </w:r>
    </w:p>
    <w:p w14:paraId="4C9BC4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（3）其他要求：投标人如有分包计划，应按第九章“投标文件格式”的要求填写“拟分包项目情况表”，明确拟分包的工程及规模，且投标人中标后的分包应满足合同条款的相关要求。</w:t>
      </w:r>
    </w:p>
    <w:p w14:paraId="2570024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1.11.2中标人不得向他人转让中标项目，接受分包的人不得再次分包。中标人应就分包项目向招标人负责，接受分包的人就分包项目承担连带责任</w:t>
      </w:r>
      <w:r>
        <w:rPr>
          <w:rFonts w:hint="eastAsia" w:ascii="宋体" w:hAnsi="宋体" w:eastAsia="宋体" w:cs="宋体"/>
          <w:szCs w:val="21"/>
          <w:highlight w:val="none"/>
          <w:lang w:eastAsia="zh-CN"/>
        </w:rPr>
        <w:t>。</w:t>
      </w:r>
    </w:p>
    <w:p w14:paraId="01FA1CA0">
      <w:pPr>
        <w:pStyle w:val="7"/>
        <w:ind w:firstLine="422" w:firstLineChars="200"/>
        <w:rPr>
          <w:rFonts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2</w:t>
      </w:r>
      <w:r>
        <w:rPr>
          <w:rFonts w:hint="eastAsia" w:ascii="宋体" w:hAnsi="宋体" w:eastAsia="宋体" w:cs="宋体"/>
          <w:highlight w:val="none"/>
        </w:rPr>
        <w:t xml:space="preserve"> 偏离</w:t>
      </w:r>
      <w:bookmarkEnd w:id="210"/>
      <w:bookmarkEnd w:id="211"/>
      <w:bookmarkEnd w:id="212"/>
      <w:bookmarkEnd w:id="213"/>
      <w:bookmarkEnd w:id="214"/>
      <w:bookmarkEnd w:id="215"/>
      <w:bookmarkEnd w:id="216"/>
      <w:bookmarkEnd w:id="217"/>
    </w:p>
    <w:p w14:paraId="6C0210C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1.12.1投标文件偏离招标文件某些要求，视为投标文件存在偏差。偏差包括重大偏差和细微偏差。</w:t>
      </w:r>
    </w:p>
    <w:p w14:paraId="37CEA0B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1.12.2投标文件应对招标文件的实质性要求和条件作出满足性或更有利于招标人的响应，否则，视为投标文件存在重大偏差，投标人的投标将被否决。</w:t>
      </w:r>
    </w:p>
    <w:p w14:paraId="29D3BBD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投标文件存在第四章“评标办法”中所列任一无效投标情形的，均属于存在重大偏差。</w:t>
      </w:r>
    </w:p>
    <w:p w14:paraId="5FF54E7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1.12.3投标文件中的下列偏差为细微偏差：</w:t>
      </w:r>
    </w:p>
    <w:p w14:paraId="369FF2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E80F0C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（2）投标文件个别文字有遗漏错误等不影响投标文件实质性内容的偏差。</w:t>
      </w:r>
    </w:p>
    <w:p w14:paraId="5169B9E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1.12.4评标委员会对投标文件中的细微偏差按如下规定处理：</w:t>
      </w:r>
    </w:p>
    <w:p w14:paraId="291A7C9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项（1）目所述的细微偏差，按照第四章“评标办法”的规定予以修正并要求投标人进行澄清；</w:t>
      </w:r>
    </w:p>
    <w:p w14:paraId="2BAB6D7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项（2）目所述的细微偏差，可要求投标人对细微偏差进行澄清。</w:t>
      </w:r>
    </w:p>
    <w:p w14:paraId="258F395D">
      <w:pPr>
        <w:pStyle w:val="7"/>
        <w:spacing w:beforeLines="50" w:afterLines="50"/>
        <w:ind w:firstLine="482" w:firstLineChars="200"/>
        <w:rPr>
          <w:rFonts w:ascii="宋体" w:hAnsi="宋体" w:eastAsia="宋体" w:cs="宋体"/>
          <w:sz w:val="24"/>
          <w:szCs w:val="24"/>
          <w:highlight w:val="none"/>
        </w:rPr>
      </w:pPr>
      <w:bookmarkStart w:id="218" w:name="_Toc78803334"/>
      <w:bookmarkStart w:id="219" w:name="_Toc152045542"/>
      <w:bookmarkStart w:id="220" w:name="_Toc15058858"/>
      <w:bookmarkStart w:id="221" w:name="_Toc247085701"/>
      <w:bookmarkStart w:id="222" w:name="_Toc179632560"/>
      <w:bookmarkStart w:id="223" w:name="_Toc246996187"/>
      <w:bookmarkStart w:id="224" w:name="_Toc324404827"/>
      <w:bookmarkStart w:id="225" w:name="_Toc506107281"/>
      <w:bookmarkStart w:id="226" w:name="_Toc246996930"/>
      <w:bookmarkStart w:id="227" w:name="_Toc35425065"/>
      <w:bookmarkStart w:id="228" w:name="_Toc144974510"/>
      <w:bookmarkStart w:id="229" w:name="_Toc4012"/>
      <w:bookmarkStart w:id="230" w:name="_Toc35424899"/>
      <w:bookmarkStart w:id="231" w:name="_Toc152042318"/>
      <w:r>
        <w:rPr>
          <w:rFonts w:hint="eastAsia" w:ascii="宋体" w:hAnsi="宋体" w:eastAsia="宋体" w:cs="宋体"/>
          <w:sz w:val="24"/>
          <w:szCs w:val="24"/>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9A892E">
      <w:pPr>
        <w:pStyle w:val="7"/>
        <w:ind w:firstLine="422" w:firstLineChars="200"/>
        <w:rPr>
          <w:rFonts w:ascii="宋体" w:hAnsi="宋体" w:eastAsia="宋体" w:cs="宋体"/>
          <w:highlight w:val="none"/>
        </w:rPr>
      </w:pPr>
      <w:bookmarkStart w:id="232" w:name="_Toc78803335"/>
      <w:bookmarkStart w:id="233" w:name="_Toc13213"/>
      <w:bookmarkStart w:id="234" w:name="_Toc506107282"/>
      <w:bookmarkStart w:id="235" w:name="_Toc35425066"/>
      <w:bookmarkStart w:id="236" w:name="_Toc15058859"/>
      <w:bookmarkStart w:id="237" w:name="_Toc152042319"/>
      <w:bookmarkStart w:id="238" w:name="_Toc324404828"/>
      <w:bookmarkStart w:id="239" w:name="_Toc35424900"/>
      <w:bookmarkStart w:id="240" w:name="_Toc296602433"/>
      <w:bookmarkStart w:id="241" w:name="_Toc179632561"/>
      <w:bookmarkStart w:id="242" w:name="_Toc246996188"/>
      <w:bookmarkStart w:id="243" w:name="_Toc144974511"/>
      <w:bookmarkStart w:id="244" w:name="_Toc152045543"/>
      <w:bookmarkStart w:id="245" w:name="_Toc247085702"/>
      <w:bookmarkStart w:id="246" w:name="_Toc246996931"/>
      <w:r>
        <w:rPr>
          <w:rFonts w:hint="eastAsia" w:ascii="宋体" w:hAnsi="宋体" w:eastAsia="宋体" w:cs="宋体"/>
          <w:highlight w:val="none"/>
        </w:rPr>
        <w:t>2.1 招标文件的组成</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（1）招标公告；</w:t>
      </w:r>
    </w:p>
    <w:p w14:paraId="309C9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（2）投标人须知；</w:t>
      </w:r>
    </w:p>
    <w:p w14:paraId="794E1BC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（3）资格审查办法</w:t>
      </w:r>
    </w:p>
    <w:p w14:paraId="0F96BD3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（4）评标办法；</w:t>
      </w:r>
    </w:p>
    <w:p w14:paraId="21E08D6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（5）工程量清单</w:t>
      </w:r>
      <w:r>
        <w:rPr>
          <w:rFonts w:hint="eastAsia" w:ascii="宋体" w:hAnsi="宋体" w:eastAsia="宋体" w:cs="宋体"/>
          <w:szCs w:val="21"/>
          <w:highlight w:val="none"/>
          <w:lang w:eastAsia="zh-CN"/>
        </w:rPr>
        <w:t>；</w:t>
      </w:r>
    </w:p>
    <w:p w14:paraId="6614663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图纸</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）合同条款及格式；</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）投标文件格式；</w:t>
      </w:r>
    </w:p>
    <w:p w14:paraId="58EF797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）投标人须知前附表规定的其他材料。</w:t>
      </w:r>
    </w:p>
    <w:p w14:paraId="4A2A592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07992AB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2.1.3当招标文件、招标文件的澄清或修改等在同一内容的表述上不一致时，以最后发出的文件为准。</w:t>
      </w:r>
    </w:p>
    <w:p w14:paraId="3B513EA0">
      <w:pPr>
        <w:pStyle w:val="7"/>
        <w:ind w:firstLine="422" w:firstLineChars="200"/>
        <w:rPr>
          <w:rFonts w:hint="eastAsia" w:ascii="宋体" w:hAnsi="宋体" w:eastAsia="宋体" w:cs="宋体"/>
          <w:highlight w:val="none"/>
        </w:rPr>
      </w:pPr>
      <w:bookmarkStart w:id="247" w:name="_Toc247085703"/>
      <w:bookmarkStart w:id="248" w:name="_Toc144974512"/>
      <w:bookmarkStart w:id="249" w:name="_Toc296602434"/>
      <w:bookmarkStart w:id="250" w:name="_Toc152042320"/>
      <w:bookmarkStart w:id="251" w:name="_Toc78803336"/>
      <w:bookmarkStart w:id="252" w:name="_Toc246996189"/>
      <w:bookmarkStart w:id="253" w:name="_Toc179632562"/>
      <w:bookmarkStart w:id="254" w:name="_Toc35425067"/>
      <w:bookmarkStart w:id="255" w:name="_Toc35424901"/>
      <w:bookmarkStart w:id="256" w:name="_Toc152045544"/>
      <w:bookmarkStart w:id="257" w:name="_Toc506107283"/>
      <w:bookmarkStart w:id="258" w:name="_Toc32239"/>
      <w:bookmarkStart w:id="259" w:name="_Toc324404829"/>
      <w:bookmarkStart w:id="260" w:name="_Toc15058860"/>
      <w:bookmarkStart w:id="261" w:name="_Toc246996932"/>
      <w:r>
        <w:rPr>
          <w:rFonts w:hint="eastAsia" w:ascii="宋体" w:hAnsi="宋体" w:eastAsia="宋体" w:cs="宋体"/>
          <w:highlight w:val="none"/>
        </w:rPr>
        <w:t xml:space="preserve">2.2 </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highlight w:val="none"/>
        </w:rPr>
        <w:t>招标文件的异议</w:t>
      </w:r>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投标人应仔细阅读和检查招标文件的全部内容。如有疑问，应在投标人须知前附表规定的时间</w:t>
      </w:r>
      <w:r>
        <w:rPr>
          <w:rFonts w:hint="eastAsia" w:ascii="宋体" w:hAnsi="宋体" w:cs="宋体"/>
          <w:szCs w:val="21"/>
          <w:highlight w:val="none"/>
          <w:lang w:val="en-US" w:eastAsia="zh-CN"/>
        </w:rPr>
        <w:t>和方式</w:t>
      </w:r>
      <w:r>
        <w:rPr>
          <w:rFonts w:hint="eastAsia" w:ascii="宋体" w:hAnsi="宋体" w:eastAsia="宋体" w:cs="宋体"/>
          <w:color w:val="auto"/>
          <w:szCs w:val="21"/>
          <w:highlight w:val="none"/>
          <w:lang w:val="en-US" w:eastAsia="zh-CN"/>
        </w:rPr>
        <w:t>提出</w:t>
      </w:r>
      <w:r>
        <w:rPr>
          <w:rFonts w:hint="eastAsia" w:ascii="宋体" w:hAnsi="宋体" w:cs="宋体"/>
          <w:szCs w:val="21"/>
          <w:highlight w:val="none"/>
        </w:rPr>
        <w:t>。</w:t>
      </w:r>
    </w:p>
    <w:p w14:paraId="5EC8A5BB">
      <w:pPr>
        <w:pStyle w:val="7"/>
        <w:ind w:firstLine="422" w:firstLineChars="200"/>
        <w:rPr>
          <w:rFonts w:hint="eastAsia" w:ascii="宋体" w:hAnsi="宋体" w:eastAsia="宋体" w:cs="宋体"/>
          <w:highlight w:val="none"/>
          <w:lang w:eastAsia="zh-CN"/>
        </w:rPr>
      </w:pPr>
      <w:bookmarkStart w:id="262" w:name="_Toc152045545"/>
      <w:bookmarkStart w:id="263" w:name="_Toc24633"/>
      <w:bookmarkStart w:id="264" w:name="_Toc246996190"/>
      <w:bookmarkStart w:id="265" w:name="_Toc246996933"/>
      <w:bookmarkStart w:id="266" w:name="_Toc78803337"/>
      <w:bookmarkStart w:id="267" w:name="_Toc506107284"/>
      <w:bookmarkStart w:id="268" w:name="_Toc324404830"/>
      <w:bookmarkStart w:id="269" w:name="_Toc35425068"/>
      <w:bookmarkStart w:id="270" w:name="_Toc247085704"/>
      <w:bookmarkStart w:id="271" w:name="_Toc179632563"/>
      <w:bookmarkStart w:id="272" w:name="_Toc144974513"/>
      <w:bookmarkStart w:id="273" w:name="_Toc296602435"/>
      <w:bookmarkStart w:id="274" w:name="_Toc35424902"/>
      <w:bookmarkStart w:id="275" w:name="_Toc15058861"/>
      <w:bookmarkStart w:id="276" w:name="_Toc152042321"/>
      <w:r>
        <w:rPr>
          <w:rFonts w:hint="eastAsia" w:ascii="宋体" w:hAnsi="宋体" w:eastAsia="宋体" w:cs="宋体"/>
          <w:highlight w:val="none"/>
        </w:rPr>
        <w:t>2.3 招标文件的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highlight w:val="none"/>
          <w:lang w:val="en-US" w:eastAsia="zh-CN"/>
        </w:rPr>
        <w:t>澄清</w:t>
      </w:r>
    </w:p>
    <w:p w14:paraId="47D94C5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bookmarkStart w:id="277" w:name="_Toc78803338"/>
      <w:bookmarkStart w:id="278" w:name="_Toc35424903"/>
      <w:bookmarkStart w:id="279" w:name="_Toc2696"/>
      <w:bookmarkStart w:id="280" w:name="_Toc35425069"/>
      <w:bookmarkStart w:id="281" w:name="_Toc324404831"/>
      <w:bookmarkStart w:id="282" w:name="_Toc15058862"/>
      <w:r>
        <w:rPr>
          <w:rFonts w:hint="eastAsia" w:ascii="宋体" w:hAnsi="宋体" w:eastAsia="宋体" w:cs="宋体"/>
          <w:szCs w:val="21"/>
          <w:highlight w:val="none"/>
        </w:rPr>
        <w:t>招标文件的澄清将在</w:t>
      </w:r>
      <w:r>
        <w:rPr>
          <w:rFonts w:hint="eastAsia" w:ascii="宋体" w:hAnsi="宋体" w:cs="宋体"/>
          <w:color w:val="auto"/>
          <w:szCs w:val="21"/>
          <w:lang w:eastAsia="zh-CN"/>
        </w:rPr>
        <w:t>滁州市扬子工业投资集团有限公司官网（https://czyzgtjt.com/）、</w:t>
      </w:r>
      <w:r>
        <w:rPr>
          <w:rFonts w:hint="eastAsia" w:ascii="宋体" w:hAnsi="宋体" w:eastAsia="宋体" w:cs="宋体"/>
          <w:szCs w:val="21"/>
          <w:highlight w:val="none"/>
          <w:lang w:val="en-US" w:eastAsia="zh-CN"/>
        </w:rPr>
        <w:t>滁州市城投工程咨询管理有限公司网站</w:t>
      </w:r>
      <w:r>
        <w:rPr>
          <w:rFonts w:hint="eastAsia" w:ascii="宋体" w:hAnsi="宋体" w:eastAsia="宋体" w:cs="宋体"/>
          <w:szCs w:val="21"/>
          <w:highlight w:val="none"/>
        </w:rPr>
        <w:t>（https://www.czctgczx.com/）发布，但不指明澄清问题的来源。</w:t>
      </w:r>
    </w:p>
    <w:bookmarkEnd w:id="277"/>
    <w:bookmarkEnd w:id="278"/>
    <w:bookmarkEnd w:id="279"/>
    <w:bookmarkEnd w:id="280"/>
    <w:bookmarkEnd w:id="281"/>
    <w:bookmarkEnd w:id="282"/>
    <w:p w14:paraId="5681C7DF">
      <w:pPr>
        <w:pStyle w:val="7"/>
        <w:spacing w:beforeLines="50" w:afterLines="50"/>
        <w:ind w:firstLine="482" w:firstLineChars="200"/>
        <w:rPr>
          <w:rFonts w:ascii="宋体" w:hAnsi="宋体" w:eastAsia="宋体" w:cs="宋体"/>
          <w:sz w:val="24"/>
          <w:szCs w:val="24"/>
          <w:highlight w:val="none"/>
        </w:rPr>
      </w:pPr>
      <w:bookmarkStart w:id="283" w:name="_Toc246996191"/>
      <w:bookmarkStart w:id="284" w:name="_Toc35424904"/>
      <w:bookmarkStart w:id="285" w:name="_Toc6464"/>
      <w:bookmarkStart w:id="286" w:name="_Toc247085705"/>
      <w:bookmarkStart w:id="287" w:name="_Toc246996934"/>
      <w:bookmarkStart w:id="288" w:name="_Toc78803339"/>
      <w:bookmarkStart w:id="289" w:name="_Toc15058863"/>
      <w:bookmarkStart w:id="290" w:name="_Toc144974514"/>
      <w:bookmarkStart w:id="291" w:name="_Toc152042322"/>
      <w:bookmarkStart w:id="292" w:name="_Toc152045546"/>
      <w:bookmarkStart w:id="293" w:name="_Toc179632564"/>
      <w:bookmarkStart w:id="294" w:name="_Toc35425070"/>
      <w:bookmarkStart w:id="295" w:name="_Toc324404832"/>
      <w:bookmarkStart w:id="296" w:name="_Toc506107285"/>
      <w:r>
        <w:rPr>
          <w:rFonts w:hint="eastAsia" w:ascii="宋体" w:hAnsi="宋体" w:eastAsia="宋体" w:cs="宋体"/>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218225A2">
      <w:pPr>
        <w:pStyle w:val="7"/>
        <w:ind w:firstLine="422" w:firstLineChars="200"/>
        <w:rPr>
          <w:rFonts w:ascii="宋体" w:hAnsi="宋体" w:eastAsia="宋体" w:cs="宋体"/>
          <w:highlight w:val="none"/>
        </w:rPr>
      </w:pPr>
      <w:bookmarkStart w:id="297" w:name="_Toc78803340"/>
      <w:bookmarkStart w:id="298" w:name="_Toc15058864"/>
      <w:bookmarkStart w:id="299" w:name="_Toc152045547"/>
      <w:bookmarkStart w:id="300" w:name="_Toc506107286"/>
      <w:bookmarkStart w:id="301" w:name="_Toc152042323"/>
      <w:bookmarkStart w:id="302" w:name="_Toc246996192"/>
      <w:bookmarkStart w:id="303" w:name="_Toc247085706"/>
      <w:bookmarkStart w:id="304" w:name="_Toc144974515"/>
      <w:bookmarkStart w:id="305" w:name="_Toc179632565"/>
      <w:bookmarkStart w:id="306" w:name="_Toc246996935"/>
      <w:bookmarkStart w:id="307" w:name="_Toc35425071"/>
      <w:bookmarkStart w:id="308" w:name="_Toc157"/>
      <w:bookmarkStart w:id="309" w:name="_Toc35424905"/>
      <w:bookmarkStart w:id="310" w:name="_Toc296602437"/>
      <w:bookmarkStart w:id="311" w:name="_Toc324404833"/>
      <w:r>
        <w:rPr>
          <w:rFonts w:hint="eastAsia" w:ascii="宋体" w:hAnsi="宋体" w:eastAsia="宋体" w:cs="宋体"/>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871D10E">
      <w:pPr>
        <w:spacing w:line="440" w:lineRule="exact"/>
        <w:ind w:firstLine="420" w:firstLineChars="200"/>
        <w:jc w:val="left"/>
        <w:rPr>
          <w:rFonts w:ascii="宋体" w:hAnsi="宋体" w:cs="宋体"/>
          <w:szCs w:val="21"/>
          <w:highlight w:val="none"/>
        </w:rPr>
      </w:pPr>
      <w:r>
        <w:rPr>
          <w:rFonts w:hint="eastAsia" w:ascii="宋体" w:hAnsi="宋体" w:eastAsia="宋体" w:cs="宋体"/>
          <w:bCs/>
          <w:color w:val="000000"/>
          <w:kern w:val="0"/>
          <w:sz w:val="21"/>
          <w:szCs w:val="21"/>
          <w:highlight w:val="none"/>
          <w:u w:color="000000"/>
          <w:lang w:val="en-US" w:eastAsia="zh-CN" w:bidi="ar"/>
        </w:rPr>
        <w:t>投标文件</w:t>
      </w:r>
      <w:r>
        <w:rPr>
          <w:rFonts w:hint="default" w:ascii="宋体" w:hAnsi="宋体" w:eastAsia="宋体" w:cs="宋体"/>
          <w:bCs/>
          <w:color w:val="000000"/>
          <w:kern w:val="0"/>
          <w:sz w:val="21"/>
          <w:szCs w:val="21"/>
          <w:highlight w:val="none"/>
          <w:u w:color="000000"/>
          <w:lang w:val="en-US" w:eastAsia="zh-CN" w:bidi="ar"/>
        </w:rPr>
        <w:t>须</w:t>
      </w:r>
      <w:r>
        <w:rPr>
          <w:rFonts w:hint="eastAsia" w:ascii="宋体" w:hAnsi="宋体" w:eastAsia="宋体" w:cs="宋体"/>
          <w:bCs/>
          <w:color w:val="000000"/>
          <w:kern w:val="0"/>
          <w:sz w:val="21"/>
          <w:szCs w:val="21"/>
          <w:highlight w:val="none"/>
          <w:u w:color="000000"/>
          <w:lang w:val="en-US" w:eastAsia="zh-CN" w:bidi="ar"/>
        </w:rPr>
        <w:t>签字盖章完毕后扫描成一个连续性的整体PDF格式文件</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九</w:t>
      </w:r>
      <w:r>
        <w:rPr>
          <w:rFonts w:hint="eastAsia" w:ascii="宋体" w:hAnsi="宋体" w:cs="宋体"/>
          <w:szCs w:val="21"/>
          <w:highlight w:val="none"/>
        </w:rPr>
        <w:t>章“投标文件格式”。</w:t>
      </w:r>
    </w:p>
    <w:p w14:paraId="68B92645">
      <w:pPr>
        <w:pStyle w:val="7"/>
        <w:ind w:firstLine="422" w:firstLineChars="200"/>
        <w:rPr>
          <w:rFonts w:ascii="宋体" w:hAnsi="宋体" w:eastAsia="宋体" w:cs="宋体"/>
          <w:highlight w:val="none"/>
        </w:rPr>
      </w:pPr>
      <w:bookmarkStart w:id="312" w:name="_Toc246996936"/>
      <w:bookmarkStart w:id="313" w:name="_Toc506107287"/>
      <w:bookmarkStart w:id="314" w:name="_Toc152045548"/>
      <w:bookmarkStart w:id="315" w:name="_Toc35424906"/>
      <w:bookmarkStart w:id="316" w:name="_Toc15058865"/>
      <w:bookmarkStart w:id="317" w:name="_Toc246996193"/>
      <w:bookmarkStart w:id="318" w:name="_Toc324404834"/>
      <w:bookmarkStart w:id="319" w:name="_Toc152042324"/>
      <w:bookmarkStart w:id="320" w:name="_Toc35425072"/>
      <w:bookmarkStart w:id="321" w:name="_Toc247085707"/>
      <w:bookmarkStart w:id="322" w:name="_Toc179632566"/>
      <w:bookmarkStart w:id="323" w:name="_Toc78803341"/>
      <w:bookmarkStart w:id="324" w:name="_Toc6829"/>
      <w:bookmarkStart w:id="325" w:name="_Toc296602438"/>
      <w:bookmarkStart w:id="326" w:name="_Toc144974516"/>
      <w:r>
        <w:rPr>
          <w:rFonts w:hint="eastAsia" w:ascii="宋体" w:hAnsi="宋体" w:eastAsia="宋体" w:cs="宋体"/>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05FA1B6">
      <w:pPr>
        <w:spacing w:line="440" w:lineRule="exact"/>
        <w:ind w:firstLine="420" w:firstLineChars="200"/>
        <w:jc w:val="left"/>
        <w:rPr>
          <w:rFonts w:hint="eastAsia" w:ascii="宋体" w:hAnsi="宋体" w:eastAsia="宋体" w:cs="宋体"/>
          <w:szCs w:val="21"/>
          <w:highlight w:val="none"/>
          <w:lang w:eastAsia="zh-CN"/>
        </w:rPr>
      </w:pPr>
      <w:bookmarkStart w:id="327" w:name="_Toc78803342"/>
      <w:bookmarkStart w:id="328" w:name="_Toc152045549"/>
      <w:bookmarkStart w:id="329" w:name="_Toc144974517"/>
      <w:bookmarkStart w:id="330" w:name="_Toc324404835"/>
      <w:bookmarkStart w:id="331" w:name="_Toc35425073"/>
      <w:bookmarkStart w:id="332" w:name="_Toc152042325"/>
      <w:bookmarkStart w:id="333" w:name="_Toc35424907"/>
      <w:bookmarkStart w:id="334" w:name="_Toc296602439"/>
      <w:bookmarkStart w:id="335" w:name="_Toc506107288"/>
      <w:bookmarkStart w:id="336" w:name="_Toc246996194"/>
      <w:bookmarkStart w:id="337" w:name="_Toc31735"/>
      <w:bookmarkStart w:id="338" w:name="_Toc179632567"/>
      <w:bookmarkStart w:id="339" w:name="_Toc246996937"/>
      <w:bookmarkStart w:id="340" w:name="_Toc247085708"/>
      <w:bookmarkStart w:id="341" w:name="_Toc15058866"/>
      <w:r>
        <w:rPr>
          <w:rFonts w:hint="eastAsia" w:ascii="宋体" w:hAnsi="宋体" w:eastAsia="宋体" w:cs="宋体"/>
          <w:szCs w:val="21"/>
          <w:highlight w:val="none"/>
          <w:lang w:eastAsia="zh-CN"/>
        </w:rPr>
        <w:t>3.2.1投标报价应包括国家规定的增值税税金，除投标人须知前附表另有规定外，增值税税金按一般计税方法计算。投标人应按第</w:t>
      </w:r>
      <w:r>
        <w:rPr>
          <w:rFonts w:hint="eastAsia" w:ascii="宋体" w:hAnsi="宋体" w:eastAsia="宋体" w:cs="宋体"/>
          <w:szCs w:val="21"/>
          <w:highlight w:val="none"/>
          <w:lang w:val="en-US" w:eastAsia="zh-CN"/>
        </w:rPr>
        <w:t>九</w:t>
      </w:r>
      <w:r>
        <w:rPr>
          <w:rFonts w:hint="eastAsia" w:ascii="宋体" w:hAnsi="宋体" w:eastAsia="宋体" w:cs="宋体"/>
          <w:szCs w:val="21"/>
          <w:highlight w:val="none"/>
          <w:lang w:eastAsia="zh-CN"/>
        </w:rPr>
        <w:t>章“投标文件格式”的要求在投标函中进行报价并填写工程量清单相应表格。</w:t>
      </w:r>
    </w:p>
    <w:p w14:paraId="1192EB75">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3.2.2投标人应充分了解本项目的总体情况以及影响投标报价的其他要素。</w:t>
      </w:r>
    </w:p>
    <w:p w14:paraId="68694043">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3.2.3投标人在投标截止时间前修改投标函中的投标报价总额，应同时修改“已标价工程量清单”中的相应报价，投标报价总额为各分项金额之和。此修改须符合本章第4.4款的有关要求。</w:t>
      </w:r>
    </w:p>
    <w:p w14:paraId="037A7F9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3.2.4招标人设有最高投标限价的，投标人的投标报价不得超过最高投标限价，最高投标限价在投标人须知前附表中载明。</w:t>
      </w:r>
    </w:p>
    <w:p w14:paraId="7C1D3D58">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3.2.5 投标报价的其他要求见投标人须知前附表。</w:t>
      </w:r>
    </w:p>
    <w:p w14:paraId="454C15E1">
      <w:pPr>
        <w:pStyle w:val="7"/>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7"/>
        <w:ind w:firstLine="422" w:firstLineChars="200"/>
        <w:rPr>
          <w:rFonts w:hint="eastAsia" w:ascii="宋体" w:hAnsi="宋体" w:eastAsia="宋体" w:cs="宋体"/>
          <w:highlight w:val="none"/>
        </w:rPr>
      </w:pPr>
      <w:bookmarkStart w:id="342" w:name="_Toc246996195"/>
      <w:bookmarkStart w:id="343" w:name="_Toc35425074"/>
      <w:bookmarkStart w:id="344" w:name="_Toc152045550"/>
      <w:bookmarkStart w:id="345" w:name="_Toc144974518"/>
      <w:bookmarkStart w:id="346" w:name="_Toc506107289"/>
      <w:bookmarkStart w:id="347" w:name="_Toc35424908"/>
      <w:bookmarkStart w:id="348" w:name="_Toc296602440"/>
      <w:bookmarkStart w:id="349" w:name="_Toc246996938"/>
      <w:bookmarkStart w:id="350" w:name="_Toc152042326"/>
      <w:bookmarkStart w:id="351" w:name="_Toc10714"/>
      <w:bookmarkStart w:id="352" w:name="_Toc247085709"/>
      <w:bookmarkStart w:id="353" w:name="_Toc324404836"/>
      <w:bookmarkStart w:id="354" w:name="_Toc179632568"/>
      <w:bookmarkStart w:id="355" w:name="_Toc78803343"/>
      <w:bookmarkStart w:id="356" w:name="_Toc15058867"/>
      <w:r>
        <w:rPr>
          <w:rFonts w:hint="eastAsia" w:ascii="宋体" w:hAnsi="宋体" w:eastAsia="宋体" w:cs="宋体"/>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7"/>
        <w:ind w:firstLine="422" w:firstLineChars="200"/>
        <w:rPr>
          <w:rFonts w:ascii="宋体" w:hAnsi="宋体" w:eastAsia="宋体" w:cs="宋体"/>
          <w:highlight w:val="none"/>
        </w:rPr>
      </w:pPr>
      <w:bookmarkStart w:id="357" w:name="_Toc35425075"/>
      <w:bookmarkStart w:id="358" w:name="_Toc506107290"/>
      <w:bookmarkStart w:id="359" w:name="_Toc19037"/>
      <w:bookmarkStart w:id="360" w:name="_Toc296602442"/>
      <w:bookmarkStart w:id="361" w:name="_Toc78803344"/>
      <w:bookmarkStart w:id="362" w:name="_Toc35424909"/>
      <w:bookmarkStart w:id="363" w:name="_Toc15058868"/>
      <w:bookmarkStart w:id="364" w:name="_Toc324404837"/>
      <w:bookmarkStart w:id="365" w:name="_Toc179632571"/>
      <w:bookmarkStart w:id="366" w:name="_Toc246996940"/>
      <w:bookmarkStart w:id="367" w:name="_Toc247085711"/>
      <w:bookmarkStart w:id="368" w:name="_Toc246996197"/>
      <w:bookmarkStart w:id="369" w:name="_Toc152042329"/>
      <w:bookmarkStart w:id="370" w:name="_Toc152045553"/>
      <w:bookmarkStart w:id="371" w:name="_Toc144974521"/>
      <w:r>
        <w:rPr>
          <w:rFonts w:hint="eastAsia" w:ascii="宋体" w:hAnsi="宋体" w:eastAsia="宋体" w:cs="宋体"/>
          <w:highlight w:val="none"/>
        </w:rPr>
        <w:t>3.5投标文件的编制</w:t>
      </w:r>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p w14:paraId="5BD1A4A0">
      <w:pPr>
        <w:spacing w:line="440" w:lineRule="exact"/>
        <w:ind w:firstLine="420" w:firstLineChars="200"/>
        <w:jc w:val="left"/>
        <w:rPr>
          <w:rFonts w:hint="eastAsia" w:ascii="宋体" w:hAnsi="宋体" w:eastAsia="宋体" w:cs="宋体"/>
          <w:szCs w:val="21"/>
          <w:highlight w:val="none"/>
          <w:lang w:val="en-US" w:eastAsia="zh-CN"/>
        </w:rPr>
      </w:pPr>
      <w:bookmarkStart w:id="372" w:name="_Toc152045555"/>
      <w:bookmarkStart w:id="373" w:name="_Toc246996199"/>
      <w:bookmarkStart w:id="374" w:name="_Toc324404838"/>
      <w:bookmarkStart w:id="375" w:name="_Toc179632573"/>
      <w:bookmarkStart w:id="376" w:name="_Toc246996942"/>
      <w:bookmarkStart w:id="377" w:name="_Toc247085713"/>
      <w:bookmarkStart w:id="378" w:name="_Toc144974523"/>
      <w:bookmarkStart w:id="379" w:name="_Toc152042331"/>
      <w:r>
        <w:rPr>
          <w:rFonts w:hint="eastAsia" w:ascii="宋体" w:hAnsi="宋体" w:eastAsia="宋体" w:cs="宋体"/>
          <w:szCs w:val="21"/>
          <w:highlight w:val="none"/>
          <w:lang w:val="en-US" w:eastAsia="zh-CN"/>
        </w:rPr>
        <w:t>3.5.1投标文件应按第九章“投标文件格式”进行编写，如有必要，可以增加附页，作为投标文件的组成部分。其中，投标函在满足招标文件实质性要求的基础上，可以提出比招标文件要求更有利于招标人的承诺。</w:t>
      </w:r>
    </w:p>
    <w:p w14:paraId="14F1B8C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3.5.2本次投标不需要提供纸质投标文件，投标人应按照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en-US" w:eastAsia="zh-CN"/>
        </w:rPr>
        <w:t>的要求制作、签章、上传加密的电子投标文件。</w:t>
      </w:r>
    </w:p>
    <w:p w14:paraId="3C40A9D2">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3.5.3 投标文件应当对招标文件有关工期、投标有效期、质量要求、技术标准和要求、招标范围等实质性内容作出响应。</w:t>
      </w:r>
    </w:p>
    <w:p w14:paraId="5D83FF6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3.5.4 投标人须知前附表规定接受联合体投标的，资格审查资料应包括联合体各方相关情况 。</w:t>
      </w:r>
    </w:p>
    <w:p w14:paraId="6A9887E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3.5.5招标人有权核查投标人在投标文件中提供的资料，若发现投标人以他人名义投标或者以其他方式弄虚作假骗取中标的，中标无效；如果签订合同后发现中标人提供了虚假材料，招标人有权解除合同。</w:t>
      </w:r>
    </w:p>
    <w:p w14:paraId="093D5520">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3.5.6投标文件的制作应满足以下规定：</w:t>
      </w:r>
    </w:p>
    <w:p w14:paraId="0727C6AC">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招标文件中“签章”是指签字或盖章。在第九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30ECB0A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（3）投标文件制作完成后，投标人应对投标文件进行文件加密，形成加密的投标文件。</w:t>
      </w:r>
    </w:p>
    <w:p w14:paraId="318FCD4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3.5.7 因投标人自身原因而导致</w:t>
      </w:r>
      <w:r>
        <w:rPr>
          <w:rFonts w:hint="eastAsia" w:ascii="宋体" w:hAnsi="宋体" w:cs="宋体"/>
          <w:szCs w:val="21"/>
          <w:highlight w:val="none"/>
          <w:lang w:val="en-US" w:eastAsia="zh-CN"/>
        </w:rPr>
        <w:t>邮箱无法显示其</w:t>
      </w:r>
      <w:r>
        <w:rPr>
          <w:rFonts w:hint="eastAsia" w:ascii="宋体" w:hAnsi="宋体" w:eastAsia="宋体" w:cs="宋体"/>
          <w:szCs w:val="21"/>
          <w:highlight w:val="none"/>
          <w:lang w:val="en-US" w:eastAsia="zh-CN"/>
        </w:rPr>
        <w:t>投标文件</w:t>
      </w:r>
      <w:r>
        <w:rPr>
          <w:rFonts w:hint="eastAsia" w:ascii="宋体" w:hAnsi="宋体" w:cs="宋体"/>
          <w:szCs w:val="21"/>
          <w:highlight w:val="none"/>
          <w:lang w:val="en-US" w:eastAsia="zh-CN"/>
        </w:rPr>
        <w:t>或无法打开投标文件的</w:t>
      </w:r>
      <w:r>
        <w:rPr>
          <w:rFonts w:hint="eastAsia" w:ascii="宋体" w:hAnsi="宋体" w:eastAsia="宋体" w:cs="宋体"/>
          <w:szCs w:val="21"/>
          <w:highlight w:val="none"/>
          <w:lang w:val="en-US" w:eastAsia="zh-CN"/>
        </w:rPr>
        <w:t>，该投标视为无效投标，投标人自行承担由此导致的全部责任。</w:t>
      </w:r>
    </w:p>
    <w:p w14:paraId="18B9F40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3.5.8 投标人中标后须递交与</w:t>
      </w:r>
      <w:r>
        <w:rPr>
          <w:rFonts w:hint="eastAsia" w:ascii="宋体" w:hAnsi="宋体" w:cs="宋体"/>
          <w:szCs w:val="21"/>
          <w:highlight w:val="none"/>
          <w:lang w:val="en-US" w:eastAsia="zh-CN"/>
        </w:rPr>
        <w:t>邮箱递交电子</w:t>
      </w:r>
      <w:r>
        <w:rPr>
          <w:rFonts w:hint="eastAsia" w:ascii="宋体" w:hAnsi="宋体" w:eastAsia="宋体" w:cs="宋体"/>
          <w:szCs w:val="21"/>
          <w:highlight w:val="none"/>
          <w:lang w:val="en-US" w:eastAsia="zh-CN"/>
        </w:rPr>
        <w:t>投标文件完全一致的纸质版投标文件，在领取中标通知书时，一并递交给招标代理机构。</w:t>
      </w:r>
    </w:p>
    <w:p w14:paraId="6D17F42F">
      <w:pPr>
        <w:pStyle w:val="7"/>
        <w:ind w:firstLine="422" w:firstLineChars="200"/>
        <w:rPr>
          <w:rFonts w:hint="eastAsia" w:ascii="宋体" w:hAnsi="宋体" w:eastAsia="宋体" w:cs="宋体"/>
          <w:highlight w:val="none"/>
        </w:rPr>
      </w:pPr>
      <w:r>
        <w:rPr>
          <w:rFonts w:hint="eastAsia" w:ascii="宋体" w:hAnsi="宋体" w:eastAsia="宋体" w:cs="宋体"/>
          <w:highlight w:val="none"/>
        </w:rPr>
        <w:t>3.6 备选投标方案</w:t>
      </w:r>
    </w:p>
    <w:p w14:paraId="1CD0EBA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3.6.1 除投标人须知前附表规定允许外，投标人不得递交备选投标方案，否则其投标将被否决。</w:t>
      </w:r>
    </w:p>
    <w:p w14:paraId="2E592F8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186786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3.6.3 投标人提供两个或两个以上投标报价，或在投标文件中提供一个报价，但同时提供两个或两个以上施工组织设计的，视为提供备选方案。</w:t>
      </w:r>
    </w:p>
    <w:p w14:paraId="66C99F80">
      <w:pPr>
        <w:pStyle w:val="7"/>
        <w:spacing w:beforeLines="50" w:afterLines="50"/>
        <w:ind w:firstLine="482" w:firstLineChars="200"/>
        <w:rPr>
          <w:rFonts w:hint="eastAsia" w:ascii="宋体" w:hAnsi="宋体" w:eastAsia="宋体" w:cs="宋体"/>
          <w:sz w:val="24"/>
          <w:szCs w:val="24"/>
          <w:highlight w:val="none"/>
        </w:rPr>
      </w:pPr>
      <w:bookmarkStart w:id="380" w:name="_Toc506107291"/>
      <w:bookmarkStart w:id="381" w:name="_Toc19455"/>
      <w:bookmarkStart w:id="382" w:name="_Toc35425076"/>
      <w:bookmarkStart w:id="383" w:name="_Toc15058869"/>
      <w:bookmarkStart w:id="384" w:name="_Toc78803345"/>
      <w:bookmarkStart w:id="385" w:name="_Toc35424910"/>
      <w:r>
        <w:rPr>
          <w:rFonts w:hint="eastAsia" w:ascii="宋体" w:hAnsi="宋体" w:eastAsia="宋体" w:cs="宋体"/>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1B25E57">
      <w:pPr>
        <w:pStyle w:val="7"/>
        <w:ind w:firstLine="422" w:firstLineChars="200"/>
        <w:rPr>
          <w:rFonts w:hint="default" w:ascii="宋体" w:hAnsi="宋体" w:eastAsia="宋体" w:cs="宋体"/>
          <w:highlight w:val="none"/>
          <w:lang w:val="en-US" w:eastAsia="zh-CN"/>
        </w:rPr>
      </w:pPr>
      <w:bookmarkStart w:id="386" w:name="_Toc60061459"/>
      <w:bookmarkStart w:id="387" w:name="_Toc506107292"/>
      <w:bookmarkStart w:id="388" w:name="_Toc246996943"/>
      <w:bookmarkStart w:id="389" w:name="_Toc296602444"/>
      <w:bookmarkStart w:id="390" w:name="_Toc324404839"/>
      <w:bookmarkStart w:id="391" w:name="_Toc83301714"/>
      <w:bookmarkStart w:id="392" w:name="_Toc179632574"/>
      <w:bookmarkStart w:id="393" w:name="_Toc95223362"/>
      <w:bookmarkStart w:id="394" w:name="_Toc15058871"/>
      <w:bookmarkStart w:id="395" w:name="_Toc246996200"/>
      <w:bookmarkStart w:id="396" w:name="_Toc247085714"/>
      <w:bookmarkStart w:id="397" w:name="_Toc152042332"/>
      <w:bookmarkStart w:id="398" w:name="_Toc152045556"/>
      <w:bookmarkStart w:id="399" w:name="_Toc144974524"/>
      <w:bookmarkStart w:id="400" w:name="_Toc95223361"/>
      <w:bookmarkStart w:id="401" w:name="_Toc60061458"/>
      <w:bookmarkStart w:id="402" w:name="_Toc83301713"/>
      <w:bookmarkStart w:id="403" w:name="_Toc15058870"/>
      <w:bookmarkStart w:id="404" w:name="_Toc35425077"/>
      <w:bookmarkStart w:id="405" w:name="_Toc35424911"/>
      <w:bookmarkStart w:id="406" w:name="_Toc78803346"/>
      <w:bookmarkStart w:id="407" w:name="_Toc14473"/>
      <w:r>
        <w:rPr>
          <w:rFonts w:hint="eastAsia" w:ascii="宋体" w:hAnsi="宋体" w:eastAsia="宋体" w:cs="宋体"/>
          <w:highlight w:val="none"/>
        </w:rPr>
        <w:t>4.</w:t>
      </w:r>
      <w:r>
        <w:rPr>
          <w:rFonts w:hint="eastAsia" w:ascii="宋体" w:hAnsi="宋体" w:eastAsia="宋体" w:cs="宋体"/>
          <w:highlight w:val="none"/>
          <w:lang w:val="en-US" w:eastAsia="zh-CN"/>
        </w:rPr>
        <w:t>1</w:t>
      </w:r>
      <w:r>
        <w:rPr>
          <w:rFonts w:hint="eastAsia" w:ascii="宋体" w:hAnsi="宋体" w:eastAsia="宋体" w:cs="宋体"/>
          <w:highlight w:val="none"/>
        </w:rPr>
        <w:t>投标文件的</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highlight w:val="none"/>
          <w:lang w:val="en-US" w:eastAsia="zh-CN"/>
        </w:rPr>
        <w:t>份数和签署</w:t>
      </w:r>
    </w:p>
    <w:p w14:paraId="16C68AF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4.1.1投标文件份数：一份电子文件。投标人中标后须递交与网上电子投标文件完全一致的纸质版投标文件，并按要求加盖公章；份数：正本1份，副本2份；中标单位领取中标通知书时，一并递交给招标代理机构。</w:t>
      </w:r>
    </w:p>
    <w:p w14:paraId="1E083E1E">
      <w:pPr>
        <w:pStyle w:val="7"/>
        <w:ind w:firstLine="422"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4.1.2按格式文件要求签字或盖章，否则经评委会一致认定且经过招标人同意后, 按照无效投标处理。</w:t>
      </w:r>
    </w:p>
    <w:p w14:paraId="3E108AB6">
      <w:pPr>
        <w:pStyle w:val="7"/>
        <w:ind w:firstLine="422" w:firstLineChars="200"/>
        <w:rPr>
          <w:rFonts w:hint="eastAsia" w:ascii="宋体" w:hAnsi="宋体" w:eastAsia="宋体" w:cs="宋体"/>
          <w:highlight w:val="none"/>
          <w:lang w:eastAsia="zh-CN"/>
        </w:rPr>
      </w:pPr>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投标文件</w:t>
      </w:r>
      <w:bookmarkEnd w:id="400"/>
      <w:bookmarkEnd w:id="401"/>
      <w:bookmarkEnd w:id="402"/>
      <w:r>
        <w:rPr>
          <w:rFonts w:hint="eastAsia" w:ascii="宋体" w:hAnsi="宋体" w:eastAsia="宋体" w:cs="宋体"/>
          <w:highlight w:val="none"/>
          <w:lang w:val="en-US" w:eastAsia="zh-CN"/>
        </w:rPr>
        <w:t>提交</w:t>
      </w:r>
    </w:p>
    <w:p w14:paraId="51ECDED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4.2.1 ①投标人须在投标文件截止时间前将投标文件以电子邮件的方式一次性发送至滁州市城投工程咨询管理有限公司邮箱（czsct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"mailto:2、在递交截止时间后30分钟内，将解压密码通过邮箱发送至代理机构邮箱（czsctgczx@163.com）"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②在投标截止时间后30分钟内，将投标文件密码通过邮箱发送至滁州市城投工程咨询管理有限公司邮箱（czsct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，未在规定时间内发送密码或发送的密码无法正确打开投标文件的，投标文件将被拒绝。</w:t>
      </w:r>
      <w:bookmarkStart w:id="408" w:name="_Toc296602445"/>
      <w:bookmarkStart w:id="409" w:name="_Toc83301715"/>
      <w:bookmarkStart w:id="410" w:name="_Toc506107293"/>
      <w:bookmarkStart w:id="411" w:name="_Toc246996944"/>
      <w:bookmarkStart w:id="412" w:name="_Toc60061460"/>
      <w:bookmarkStart w:id="413" w:name="_Toc95223363"/>
      <w:bookmarkStart w:id="414" w:name="_Toc179632575"/>
      <w:bookmarkStart w:id="415" w:name="_Toc15058872"/>
      <w:bookmarkStart w:id="416" w:name="_Toc144974525"/>
      <w:bookmarkStart w:id="417" w:name="_Toc247085715"/>
      <w:bookmarkStart w:id="418" w:name="_Toc246996201"/>
      <w:bookmarkStart w:id="419" w:name="_Toc152042333"/>
      <w:bookmarkStart w:id="420" w:name="_Toc324404840"/>
      <w:bookmarkStart w:id="421" w:name="_Toc152045557"/>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10EA5B88">
      <w:pPr>
        <w:pStyle w:val="7"/>
        <w:ind w:firstLine="422" w:firstLineChars="200"/>
        <w:rPr>
          <w:rFonts w:hint="eastAsia" w:ascii="宋体" w:hAnsi="宋体" w:eastAsia="宋体" w:cs="宋体"/>
          <w:highlight w:val="none"/>
        </w:rPr>
      </w:pPr>
      <w:bookmarkStart w:id="422" w:name="_Toc60061461"/>
      <w:bookmarkStart w:id="423" w:name="_Toc83301716"/>
      <w:bookmarkStart w:id="424" w:name="_Toc95223364"/>
      <w:r>
        <w:rPr>
          <w:rFonts w:hint="eastAsia" w:ascii="宋体" w:hAnsi="宋体" w:eastAsia="宋体" w:cs="宋体"/>
          <w:highlight w:val="none"/>
        </w:rPr>
        <w:t>4.</w:t>
      </w:r>
      <w:r>
        <w:rPr>
          <w:rFonts w:hint="eastAsia" w:ascii="宋体" w:hAnsi="宋体" w:eastAsia="宋体" w:cs="宋体"/>
          <w:highlight w:val="none"/>
          <w:lang w:val="en-US" w:eastAsia="zh-CN"/>
        </w:rPr>
        <w:t>3</w:t>
      </w:r>
      <w:r>
        <w:rPr>
          <w:rFonts w:hint="eastAsia" w:ascii="宋体" w:hAnsi="宋体" w:eastAsia="宋体" w:cs="宋体"/>
          <w:highlight w:val="none"/>
        </w:rPr>
        <w:t xml:space="preserve"> 投标文件的修改与撤回</w:t>
      </w:r>
      <w:bookmarkEnd w:id="422"/>
      <w:bookmarkEnd w:id="423"/>
      <w:bookmarkEnd w:id="424"/>
    </w:p>
    <w:p w14:paraId="64F9784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.1</w:t>
      </w:r>
      <w:r>
        <w:rPr>
          <w:rFonts w:hint="eastAsia" w:ascii="宋体" w:hAnsi="宋体" w:eastAsia="宋体" w:cs="宋体"/>
          <w:color w:val="auto"/>
          <w:kern w:val="0"/>
          <w:szCs w:val="21"/>
          <w:highlight w:val="none"/>
          <w:u w:color="000000"/>
          <w:lang w:bidi="ar"/>
        </w:rPr>
        <w:t>在第一章“招标公告”规定的投标截止时间前，投标人可以自行从网上撤回已递交的投标文件，并可修改后重新发送，开标时以投标截止时间前投标人最后送达的投标文件为准。</w:t>
      </w:r>
    </w:p>
    <w:bookmarkEnd w:id="403"/>
    <w:bookmarkEnd w:id="404"/>
    <w:bookmarkEnd w:id="405"/>
    <w:bookmarkEnd w:id="406"/>
    <w:bookmarkEnd w:id="407"/>
    <w:p w14:paraId="7AF40F87">
      <w:pPr>
        <w:pStyle w:val="7"/>
        <w:spacing w:beforeLines="50" w:afterLines="50"/>
        <w:ind w:firstLine="482" w:firstLineChars="200"/>
        <w:rPr>
          <w:rFonts w:ascii="宋体" w:hAnsi="宋体" w:eastAsia="宋体" w:cs="宋体"/>
          <w:sz w:val="24"/>
          <w:szCs w:val="24"/>
          <w:highlight w:val="none"/>
        </w:rPr>
      </w:pPr>
      <w:bookmarkStart w:id="425" w:name="_Toc35425081"/>
      <w:bookmarkStart w:id="426" w:name="_Toc144974527"/>
      <w:bookmarkStart w:id="427" w:name="_Toc152042335"/>
      <w:bookmarkStart w:id="428" w:name="_Toc247085717"/>
      <w:bookmarkStart w:id="429" w:name="_Toc179632577"/>
      <w:bookmarkStart w:id="430" w:name="_Toc29639"/>
      <w:bookmarkStart w:id="431" w:name="_Toc15058874"/>
      <w:bookmarkStart w:id="432" w:name="_Toc506107295"/>
      <w:bookmarkStart w:id="433" w:name="_Toc78803348"/>
      <w:bookmarkStart w:id="434" w:name="_Toc152045559"/>
      <w:bookmarkStart w:id="435" w:name="_Toc35424915"/>
      <w:bookmarkStart w:id="436" w:name="_Toc246996203"/>
      <w:bookmarkStart w:id="437" w:name="_Toc324404842"/>
      <w:bookmarkStart w:id="438" w:name="_Toc246996946"/>
      <w:r>
        <w:rPr>
          <w:rFonts w:hint="eastAsia" w:ascii="宋体" w:hAnsi="宋体" w:eastAsia="宋体" w:cs="宋体"/>
          <w:sz w:val="24"/>
          <w:szCs w:val="24"/>
          <w:highlight w:val="none"/>
        </w:rPr>
        <w:t>5. 开标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4DFC292">
      <w:pPr>
        <w:pStyle w:val="7"/>
        <w:ind w:firstLine="422" w:firstLineChars="200"/>
        <w:rPr>
          <w:rFonts w:ascii="宋体" w:hAnsi="宋体" w:eastAsia="宋体" w:cs="宋体"/>
          <w:highlight w:val="none"/>
        </w:rPr>
      </w:pPr>
      <w:bookmarkStart w:id="439" w:name="_Toc246996204"/>
      <w:bookmarkStart w:id="440" w:name="_Toc152045560"/>
      <w:bookmarkStart w:id="441" w:name="_Toc144974528"/>
      <w:bookmarkStart w:id="442" w:name="_Toc247085718"/>
      <w:bookmarkStart w:id="443" w:name="_Toc506107296"/>
      <w:bookmarkStart w:id="444" w:name="_Toc179632578"/>
      <w:bookmarkStart w:id="445" w:name="_Toc35425082"/>
      <w:bookmarkStart w:id="446" w:name="_Toc246996947"/>
      <w:bookmarkStart w:id="447" w:name="_Toc35424916"/>
      <w:bookmarkStart w:id="448" w:name="_Toc152042336"/>
      <w:bookmarkStart w:id="449" w:name="_Toc78803349"/>
      <w:bookmarkStart w:id="450" w:name="_Toc15058875"/>
      <w:bookmarkStart w:id="451" w:name="_Toc324404843"/>
      <w:bookmarkStart w:id="452" w:name="_Toc13691"/>
      <w:bookmarkStart w:id="453" w:name="_Toc296602448"/>
      <w:r>
        <w:rPr>
          <w:rFonts w:hint="eastAsia" w:ascii="宋体" w:hAnsi="宋体" w:eastAsia="宋体" w:cs="宋体"/>
          <w:highlight w:val="none"/>
        </w:rPr>
        <w:t>5.1 开标时间和地点</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EA480E2">
      <w:pPr>
        <w:adjustRightInd w:val="0"/>
        <w:snapToGrid w:val="0"/>
        <w:spacing w:line="560" w:lineRule="exact"/>
        <w:ind w:firstLine="420" w:firstLineChars="200"/>
        <w:rPr>
          <w:rFonts w:hint="eastAsia" w:ascii="宋体" w:hAnsi="宋体" w:cs="宋体"/>
          <w:color w:val="000000"/>
          <w:szCs w:val="21"/>
        </w:rPr>
      </w:pPr>
      <w:bookmarkStart w:id="454" w:name="_Toc296602449"/>
      <w:bookmarkStart w:id="455" w:name="_Toc15058876"/>
      <w:bookmarkStart w:id="456" w:name="_Toc35424917"/>
      <w:bookmarkStart w:id="457" w:name="_Toc152042337"/>
      <w:bookmarkStart w:id="458" w:name="_Toc246996205"/>
      <w:bookmarkStart w:id="459" w:name="_Toc78803350"/>
      <w:bookmarkStart w:id="460" w:name="_Toc32451"/>
      <w:bookmarkStart w:id="461" w:name="_Toc144974529"/>
      <w:bookmarkStart w:id="462" w:name="_Toc247085719"/>
      <w:bookmarkStart w:id="463" w:name="_Toc152045561"/>
      <w:bookmarkStart w:id="464" w:name="_Toc246996948"/>
      <w:bookmarkStart w:id="465" w:name="_Toc179632579"/>
      <w:bookmarkStart w:id="466" w:name="_Toc324404844"/>
      <w:bookmarkStart w:id="467" w:name="_Toc35425083"/>
      <w:bookmarkStart w:id="468" w:name="_Toc506107297"/>
      <w:r>
        <w:rPr>
          <w:rFonts w:hint="eastAsia" w:ascii="宋体" w:hAnsi="宋体" w:cs="宋体"/>
          <w:color w:val="000000"/>
          <w:szCs w:val="21"/>
        </w:rPr>
        <w:t>招标人在第一章“招标公告”规定的投标截止时间前（开标时间）和地点</w:t>
      </w:r>
      <w:r>
        <w:rPr>
          <w:color w:val="000000"/>
        </w:rPr>
        <w:t>公开开标</w:t>
      </w:r>
      <w:r>
        <w:rPr>
          <w:rFonts w:hint="eastAsia" w:ascii="宋体" w:hAnsi="宋体" w:cs="宋体"/>
          <w:color w:val="000000"/>
          <w:szCs w:val="21"/>
        </w:rPr>
        <w:t>。</w:t>
      </w:r>
    </w:p>
    <w:p w14:paraId="72027328">
      <w:pPr>
        <w:pStyle w:val="7"/>
        <w:ind w:firstLine="422" w:firstLineChars="200"/>
        <w:rPr>
          <w:rFonts w:ascii="宋体" w:hAnsi="宋体" w:eastAsia="宋体" w:cs="宋体"/>
          <w:highlight w:val="none"/>
        </w:rPr>
      </w:pPr>
      <w:r>
        <w:rPr>
          <w:rFonts w:hint="eastAsia" w:ascii="宋体" w:hAnsi="宋体" w:eastAsia="宋体" w:cs="宋体"/>
          <w:highlight w:val="none"/>
        </w:rPr>
        <w:t>5.2 开标程序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D8350BA">
      <w:pPr>
        <w:adjustRightInd w:val="0"/>
        <w:snapToGrid w:val="0"/>
        <w:spacing w:line="560" w:lineRule="exact"/>
        <w:ind w:firstLine="420" w:firstLineChars="200"/>
        <w:rPr>
          <w:rFonts w:hint="eastAsia" w:ascii="宋体" w:hAnsi="宋体" w:eastAsia="宋体" w:cs="宋体"/>
          <w:color w:val="000000"/>
          <w:szCs w:val="21"/>
        </w:rPr>
      </w:pPr>
      <w:bookmarkStart w:id="469" w:name="_Toc246996949"/>
      <w:bookmarkStart w:id="470" w:name="_Toc15058884"/>
      <w:bookmarkStart w:id="471" w:name="_Toc324404846"/>
      <w:bookmarkStart w:id="472" w:name="_Toc152045562"/>
      <w:bookmarkStart w:id="473" w:name="_Toc144974530"/>
      <w:bookmarkStart w:id="474" w:name="_Toc35424919"/>
      <w:bookmarkStart w:id="475" w:name="_Toc247085720"/>
      <w:bookmarkStart w:id="476" w:name="_Toc246996206"/>
      <w:bookmarkStart w:id="477" w:name="_Toc78803352"/>
      <w:bookmarkStart w:id="478" w:name="_Toc20689"/>
      <w:bookmarkStart w:id="479" w:name="_Toc152042338"/>
      <w:bookmarkStart w:id="480" w:name="_Toc506107299"/>
      <w:bookmarkStart w:id="481" w:name="_Toc35425085"/>
      <w:bookmarkStart w:id="482" w:name="_Toc179632580"/>
      <w:r>
        <w:rPr>
          <w:rFonts w:hint="eastAsia" w:ascii="宋体" w:hAnsi="宋体" w:eastAsia="宋体" w:cs="宋体"/>
          <w:color w:val="000000"/>
          <w:szCs w:val="21"/>
        </w:rPr>
        <w:t>开标会议由 滁州市城投工程咨询管理有限公司 主持。</w:t>
      </w:r>
    </w:p>
    <w:p w14:paraId="2EF675CC">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（1）宣布开标纪律；</w:t>
      </w:r>
    </w:p>
    <w:p w14:paraId="32DC1B8B">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（2）宣布采购人、代理机构主持人、见证人等有关人员姓名；</w:t>
      </w:r>
    </w:p>
    <w:p w14:paraId="5A0E5700">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（3）公布投标人投标报价、服务期及其他内容，并记录在案；</w:t>
      </w:r>
    </w:p>
    <w:p w14:paraId="39C2D4A9">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（4）开标结束。</w:t>
      </w:r>
    </w:p>
    <w:p w14:paraId="0FABB25E">
      <w:pPr>
        <w:pStyle w:val="7"/>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6. 评标</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D7B4E38">
      <w:pPr>
        <w:pStyle w:val="7"/>
        <w:ind w:firstLine="422" w:firstLineChars="200"/>
        <w:rPr>
          <w:rFonts w:hint="eastAsia" w:ascii="宋体" w:hAnsi="宋体" w:eastAsia="宋体" w:cs="宋体"/>
          <w:highlight w:val="none"/>
        </w:rPr>
      </w:pPr>
      <w:bookmarkStart w:id="483" w:name="_Toc83301722"/>
      <w:bookmarkStart w:id="484" w:name="_Toc246996950"/>
      <w:bookmarkStart w:id="485" w:name="_Toc15058885"/>
      <w:bookmarkStart w:id="486" w:name="_Toc506107300"/>
      <w:bookmarkStart w:id="487" w:name="_Toc95223370"/>
      <w:bookmarkStart w:id="488" w:name="_Toc296602452"/>
      <w:bookmarkStart w:id="489" w:name="_Toc60061467"/>
      <w:bookmarkStart w:id="490" w:name="_Toc179632581"/>
      <w:bookmarkStart w:id="491" w:name="_Toc144974531"/>
      <w:bookmarkStart w:id="492" w:name="_Toc152045563"/>
      <w:bookmarkStart w:id="493" w:name="_Toc152042339"/>
      <w:bookmarkStart w:id="494" w:name="_Toc324404847"/>
      <w:bookmarkStart w:id="495" w:name="_Toc246996207"/>
      <w:bookmarkStart w:id="496" w:name="_Toc247085721"/>
      <w:bookmarkStart w:id="497" w:name="_Toc78803354"/>
      <w:bookmarkStart w:id="498" w:name="_Toc12948"/>
      <w:bookmarkStart w:id="499" w:name="_Toc246996951"/>
      <w:bookmarkStart w:id="500" w:name="_Toc152045564"/>
      <w:bookmarkStart w:id="501" w:name="_Toc506107301"/>
      <w:bookmarkStart w:id="502" w:name="_Toc15058886"/>
      <w:bookmarkStart w:id="503" w:name="_Toc324404848"/>
      <w:bookmarkStart w:id="504" w:name="_Toc35425087"/>
      <w:bookmarkStart w:id="505" w:name="_Toc152042340"/>
      <w:bookmarkStart w:id="506" w:name="_Toc296602453"/>
      <w:bookmarkStart w:id="507" w:name="_Toc179632582"/>
      <w:bookmarkStart w:id="508" w:name="_Toc246996208"/>
      <w:bookmarkStart w:id="509" w:name="_Toc144974532"/>
      <w:bookmarkStart w:id="510" w:name="_Toc35424921"/>
      <w:bookmarkStart w:id="511" w:name="_Toc247085722"/>
      <w:r>
        <w:rPr>
          <w:rFonts w:hint="eastAsia" w:ascii="宋体" w:hAnsi="宋体" w:eastAsia="宋体" w:cs="宋体"/>
          <w:highlight w:val="none"/>
        </w:rPr>
        <w:t>6.1 评标委员会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E04D39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9F69B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6.1.2 评标委员会成员有下列情形之一的，应当回避：</w:t>
      </w:r>
    </w:p>
    <w:p w14:paraId="73C97D4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（1）项目主管部门或行政监督管理部门的工作人员； </w:t>
      </w:r>
    </w:p>
    <w:p w14:paraId="2C74894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（2）与竞争主体主要负责人或者授权参与交易的代理人有近亲属关系的人员； </w:t>
      </w:r>
    </w:p>
    <w:p w14:paraId="2117A8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（3）竞争主体的工作人员或者退休人员； </w:t>
      </w:r>
    </w:p>
    <w:p w14:paraId="33843A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（4）竞争主体的上级主管、控股或者被控股单位等相关利害关系的人员，或任职单位与竞争主体单位为同一法定代表人的。 </w:t>
      </w:r>
    </w:p>
    <w:p w14:paraId="0C395A6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（5）存在其他法定回避情形的</w:t>
      </w:r>
    </w:p>
    <w:p w14:paraId="175B40D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项目实施主体及其子公司、下属单位、上级主管部门或者控股公司的工作人员或者退休人员不得以专家身份参与本单位或者代理项目的评标评审。 </w:t>
      </w:r>
    </w:p>
    <w:p w14:paraId="3E7C33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评标委员会或评审机构成员有前两款规定情形的，应当主动提出回避；已经进入的应当更换，被更换的成员评标评审意见无效。</w:t>
      </w:r>
    </w:p>
    <w:p w14:paraId="0DC1ABC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2C15BB0C">
      <w:pPr>
        <w:pStyle w:val="7"/>
        <w:ind w:firstLine="422" w:firstLineChars="200"/>
        <w:rPr>
          <w:rFonts w:ascii="宋体" w:hAnsi="宋体" w:eastAsia="宋体" w:cs="宋体"/>
          <w:highlight w:val="none"/>
        </w:rPr>
      </w:pPr>
      <w:r>
        <w:rPr>
          <w:rFonts w:hint="eastAsia" w:ascii="宋体" w:hAnsi="宋体" w:eastAsia="宋体" w:cs="宋体"/>
          <w:highlight w:val="none"/>
        </w:rPr>
        <w:t>6.2 评标原则</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7"/>
        <w:ind w:firstLine="422" w:firstLineChars="200"/>
        <w:rPr>
          <w:rFonts w:ascii="宋体" w:hAnsi="宋体" w:eastAsia="宋体" w:cs="宋体"/>
          <w:highlight w:val="none"/>
        </w:rPr>
      </w:pPr>
      <w:bookmarkStart w:id="512" w:name="_Toc247085723"/>
      <w:bookmarkStart w:id="513" w:name="_Toc15058887"/>
      <w:bookmarkStart w:id="514" w:name="_Toc35425088"/>
      <w:bookmarkStart w:id="515" w:name="_Toc78803355"/>
      <w:bookmarkStart w:id="516" w:name="_Toc152045565"/>
      <w:bookmarkStart w:id="517" w:name="_Toc179632583"/>
      <w:bookmarkStart w:id="518" w:name="_Toc152042341"/>
      <w:bookmarkStart w:id="519" w:name="_Toc144974533"/>
      <w:bookmarkStart w:id="520" w:name="_Toc14892"/>
      <w:bookmarkStart w:id="521" w:name="_Toc246996952"/>
      <w:bookmarkStart w:id="522" w:name="_Toc35424922"/>
      <w:bookmarkStart w:id="523" w:name="_Toc324404849"/>
      <w:bookmarkStart w:id="524" w:name="_Toc506107302"/>
      <w:bookmarkStart w:id="525" w:name="_Toc246996209"/>
      <w:bookmarkStart w:id="526" w:name="_Toc296602454"/>
      <w:r>
        <w:rPr>
          <w:rFonts w:hint="eastAsia" w:ascii="宋体" w:hAnsi="宋体" w:eastAsia="宋体" w:cs="宋体"/>
          <w:highlight w:val="none"/>
        </w:rPr>
        <w:t>6.3 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929DC3A">
      <w:pPr>
        <w:spacing w:line="440" w:lineRule="exact"/>
        <w:ind w:firstLine="420" w:firstLineChars="200"/>
        <w:jc w:val="left"/>
        <w:rPr>
          <w:rFonts w:ascii="宋体" w:hAnsi="宋体" w:cs="宋体"/>
          <w:szCs w:val="21"/>
          <w:highlight w:val="none"/>
        </w:rPr>
      </w:pPr>
      <w:bookmarkStart w:id="527" w:name="_Toc152045566"/>
      <w:bookmarkStart w:id="528" w:name="_Toc144974534"/>
      <w:bookmarkStart w:id="529" w:name="_Toc247085724"/>
      <w:bookmarkStart w:id="530" w:name="_Toc179632584"/>
      <w:bookmarkStart w:id="531" w:name="_Toc152042342"/>
      <w:bookmarkStart w:id="532" w:name="_Toc246996953"/>
      <w:bookmarkStart w:id="533" w:name="_Toc246996210"/>
      <w:bookmarkStart w:id="534" w:name="_Toc324404850"/>
      <w:r>
        <w:rPr>
          <w:rFonts w:hint="eastAsia" w:ascii="宋体" w:hAnsi="宋体" w:cs="宋体"/>
          <w:szCs w:val="21"/>
          <w:highlight w:val="none"/>
        </w:rPr>
        <w:t>6.3.1评标委员会按照第</w:t>
      </w:r>
      <w:r>
        <w:rPr>
          <w:rFonts w:hint="eastAsia" w:ascii="宋体" w:hAnsi="宋体" w:cs="宋体"/>
          <w:szCs w:val="21"/>
          <w:highlight w:val="none"/>
          <w:lang w:val="en-US" w:eastAsia="zh-CN"/>
        </w:rPr>
        <w:t>四</w:t>
      </w:r>
      <w:r>
        <w:rPr>
          <w:rFonts w:hint="eastAsia" w:ascii="宋体" w:hAnsi="宋体" w:cs="宋体"/>
          <w:szCs w:val="21"/>
          <w:highlight w:val="none"/>
        </w:rPr>
        <w:t>章“评标办法”规定的方法、评审因素、标准和程序对投标文件进行评审。第</w:t>
      </w:r>
      <w:r>
        <w:rPr>
          <w:rFonts w:hint="eastAsia" w:ascii="宋体" w:hAnsi="宋体" w:cs="宋体"/>
          <w:szCs w:val="21"/>
          <w:highlight w:val="none"/>
          <w:lang w:val="en-US" w:eastAsia="zh-CN"/>
        </w:rPr>
        <w:t>四</w:t>
      </w:r>
      <w:r>
        <w:rPr>
          <w:rFonts w:hint="eastAsia" w:ascii="宋体" w:hAnsi="宋体" w:cs="宋体"/>
          <w:szCs w:val="21"/>
          <w:highlight w:val="none"/>
        </w:rPr>
        <w:t>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7"/>
        <w:spacing w:beforeLines="50" w:afterLines="50"/>
        <w:ind w:firstLine="482" w:firstLineChars="200"/>
        <w:rPr>
          <w:rFonts w:ascii="宋体" w:hAnsi="宋体" w:eastAsia="宋体" w:cs="宋体"/>
          <w:sz w:val="24"/>
          <w:szCs w:val="24"/>
          <w:highlight w:val="none"/>
        </w:rPr>
      </w:pPr>
      <w:bookmarkStart w:id="535" w:name="_Toc35425089"/>
      <w:bookmarkStart w:id="536" w:name="_Toc15058888"/>
      <w:bookmarkStart w:id="537" w:name="_Toc506107303"/>
      <w:bookmarkStart w:id="538" w:name="_Toc26182"/>
      <w:bookmarkStart w:id="539" w:name="_Toc78803356"/>
      <w:bookmarkStart w:id="540" w:name="_Toc35424923"/>
      <w:r>
        <w:rPr>
          <w:rFonts w:hint="eastAsia" w:ascii="宋体" w:hAnsi="宋体" w:eastAsia="宋体" w:cs="宋体"/>
          <w:sz w:val="24"/>
          <w:szCs w:val="24"/>
          <w:highlight w:val="none"/>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70C7520">
      <w:pPr>
        <w:pStyle w:val="7"/>
        <w:ind w:firstLine="422" w:firstLineChars="200"/>
        <w:rPr>
          <w:rFonts w:hint="eastAsia" w:ascii="宋体" w:hAnsi="宋体" w:eastAsia="宋体" w:cs="宋体"/>
          <w:highlight w:val="none"/>
        </w:rPr>
      </w:pPr>
      <w:bookmarkStart w:id="541" w:name="_Toc15058890"/>
      <w:bookmarkStart w:id="542" w:name="_Toc506107305"/>
      <w:bookmarkStart w:id="543" w:name="_Toc83301726"/>
      <w:bookmarkStart w:id="544" w:name="_Toc95223374"/>
      <w:bookmarkStart w:id="545" w:name="_Toc60061472"/>
      <w:bookmarkStart w:id="546" w:name="_Toc324404852"/>
      <w:bookmarkStart w:id="547" w:name="_Toc296602457"/>
      <w:bookmarkStart w:id="548" w:name="_Toc27040"/>
      <w:bookmarkStart w:id="549" w:name="_Toc35425092"/>
      <w:bookmarkStart w:id="550" w:name="_Toc8261"/>
      <w:bookmarkStart w:id="551" w:name="_Toc78803359"/>
      <w:bookmarkStart w:id="552" w:name="_Toc35424926"/>
      <w:bookmarkStart w:id="553" w:name="_Toc296602458"/>
      <w:bookmarkStart w:id="554" w:name="_Toc35425093"/>
      <w:bookmarkStart w:id="555" w:name="_Toc506107306"/>
      <w:bookmarkStart w:id="556" w:name="_Toc152045568"/>
      <w:bookmarkStart w:id="557" w:name="_Toc246996212"/>
      <w:bookmarkStart w:id="558" w:name="_Toc15058891"/>
      <w:bookmarkStart w:id="559" w:name="_Toc247085726"/>
      <w:bookmarkStart w:id="560" w:name="_Toc144974536"/>
      <w:bookmarkStart w:id="561" w:name="_Toc246996955"/>
      <w:bookmarkStart w:id="562" w:name="_Toc324404853"/>
      <w:bookmarkStart w:id="563" w:name="_Toc35424927"/>
      <w:bookmarkStart w:id="564" w:name="_Toc179632586"/>
      <w:bookmarkStart w:id="565" w:name="_Toc14692"/>
      <w:bookmarkStart w:id="566" w:name="_Toc152042344"/>
      <w:r>
        <w:rPr>
          <w:rFonts w:hint="eastAsia" w:ascii="宋体" w:hAnsi="宋体" w:eastAsia="宋体" w:cs="宋体"/>
          <w:highlight w:val="none"/>
        </w:rPr>
        <w:t>7.1 中标候选人公示</w:t>
      </w:r>
      <w:bookmarkEnd w:id="541"/>
      <w:bookmarkEnd w:id="542"/>
      <w:bookmarkEnd w:id="543"/>
      <w:bookmarkEnd w:id="544"/>
      <w:bookmarkEnd w:id="545"/>
      <w:bookmarkEnd w:id="546"/>
      <w:bookmarkEnd w:id="547"/>
    </w:p>
    <w:p w14:paraId="3D3C9E8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招标人在收到评标报告之日起3日内，按照投标人须知前附表规定的公示媒介和期限依法公示。中标候选人公示期不得少于3日。</w:t>
      </w:r>
    </w:p>
    <w:p w14:paraId="02BCD838">
      <w:pPr>
        <w:pStyle w:val="7"/>
        <w:ind w:firstLine="422" w:firstLineChars="200"/>
        <w:rPr>
          <w:rFonts w:hint="eastAsia" w:ascii="宋体" w:hAnsi="宋体" w:eastAsia="宋体" w:cs="宋体"/>
          <w:highlight w:val="none"/>
        </w:rPr>
      </w:pPr>
      <w:r>
        <w:rPr>
          <w:rFonts w:hint="eastAsia" w:ascii="宋体" w:hAnsi="宋体" w:eastAsia="宋体" w:cs="宋体"/>
          <w:highlight w:val="none"/>
        </w:rPr>
        <w:t>7.2 评标结果异议</w:t>
      </w:r>
    </w:p>
    <w:p w14:paraId="6D874A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投标人或其他利害关系人对评标结果有异议的，应在中标候选人公示期内提出。招标人将在收到异议之日起3日内作出答复；作出答复前，将暂停招标投标活动。</w:t>
      </w:r>
    </w:p>
    <w:p w14:paraId="1D0EB461">
      <w:pPr>
        <w:pStyle w:val="7"/>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bookmarkEnd w:id="548"/>
      <w:bookmarkEnd w:id="549"/>
      <w:bookmarkEnd w:id="550"/>
      <w:bookmarkEnd w:id="551"/>
      <w:bookmarkEnd w:id="552"/>
      <w:r>
        <w:rPr>
          <w:rFonts w:hint="eastAsia" w:ascii="宋体" w:hAnsi="宋体" w:eastAsia="宋体" w:cs="宋体"/>
          <w:highlight w:val="none"/>
        </w:rPr>
        <w:t>定标</w:t>
      </w:r>
    </w:p>
    <w:p w14:paraId="337C0E9C">
      <w:pPr>
        <w:spacing w:line="440" w:lineRule="exact"/>
        <w:ind w:firstLine="420" w:firstLineChars="200"/>
        <w:jc w:val="left"/>
        <w:rPr>
          <w:rFonts w:hint="eastAsia" w:ascii="宋体" w:hAnsi="宋体" w:eastAsia="宋体" w:cs="宋体"/>
          <w:szCs w:val="21"/>
          <w:highlight w:val="none"/>
        </w:rPr>
      </w:pPr>
      <w:bookmarkStart w:id="567" w:name="_Toc78803360"/>
      <w:bookmarkStart w:id="568" w:name="_Toc4204"/>
      <w:r>
        <w:rPr>
          <w:rFonts w:hint="eastAsia" w:ascii="宋体" w:hAnsi="宋体" w:eastAsia="宋体" w:cs="宋体"/>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5B9A367">
      <w:pPr>
        <w:pStyle w:val="7"/>
        <w:ind w:firstLine="422" w:firstLineChars="200"/>
        <w:rPr>
          <w:rFonts w:hint="eastAsia" w:ascii="宋体" w:hAnsi="宋体" w:eastAsia="宋体" w:cs="宋体"/>
          <w:highlight w:val="none"/>
        </w:rPr>
      </w:pPr>
      <w:bookmarkStart w:id="569" w:name="_Toc95223376"/>
      <w:bookmarkStart w:id="570" w:name="_Toc83301728"/>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69"/>
      <w:bookmarkEnd w:id="570"/>
    </w:p>
    <w:p w14:paraId="768E4E4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在本招标文件规定的投标有效期内，招标人向中标人发出中标通知书，同时将中标结果通知未中标的投标人。</w:t>
      </w:r>
    </w:p>
    <w:p w14:paraId="045D8AA7">
      <w:pPr>
        <w:pStyle w:val="7"/>
        <w:ind w:firstLine="422" w:firstLineChars="200"/>
        <w:rPr>
          <w:rFonts w:hint="eastAsia" w:ascii="宋体" w:hAnsi="宋体" w:eastAsia="宋体" w:cs="宋体"/>
          <w:highlight w:val="none"/>
        </w:rPr>
      </w:pPr>
      <w:bookmarkStart w:id="571" w:name="_Toc95223377"/>
      <w:r>
        <w:rPr>
          <w:rFonts w:hint="eastAsia" w:ascii="宋体" w:hAnsi="宋体" w:eastAsia="宋体" w:cs="宋体"/>
          <w:highlight w:val="none"/>
        </w:rPr>
        <w:t>7.</w:t>
      </w:r>
      <w:r>
        <w:rPr>
          <w:rFonts w:hint="eastAsia" w:ascii="宋体" w:hAnsi="宋体" w:eastAsia="宋体" w:cs="宋体"/>
          <w:highlight w:val="none"/>
          <w:lang w:val="en-US" w:eastAsia="zh-CN"/>
        </w:rPr>
        <w:t xml:space="preserve">5 </w:t>
      </w:r>
      <w:r>
        <w:rPr>
          <w:rFonts w:hint="eastAsia" w:ascii="宋体" w:hAnsi="宋体" w:eastAsia="宋体" w:cs="宋体"/>
          <w:highlight w:val="none"/>
        </w:rPr>
        <w:t>中标结果公示</w:t>
      </w:r>
      <w:bookmarkEnd w:id="571"/>
    </w:p>
    <w:p w14:paraId="0718115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招标人在确定中标人之日起3日内，按照投标人须知前附表规定的公示媒介和期限公示中标结果。</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76BD1912">
      <w:pPr>
        <w:pStyle w:val="7"/>
        <w:ind w:firstLine="422" w:firstLineChars="200"/>
        <w:rPr>
          <w:rFonts w:ascii="宋体" w:hAnsi="宋体" w:eastAsia="宋体" w:cs="宋体"/>
          <w:highlight w:val="none"/>
        </w:rPr>
      </w:pPr>
      <w:bookmarkStart w:id="572" w:name="_Toc324404854"/>
      <w:bookmarkStart w:id="573" w:name="_Toc179632587"/>
      <w:bookmarkStart w:id="574" w:name="_Toc247085727"/>
      <w:bookmarkStart w:id="575" w:name="_Toc15058892"/>
      <w:bookmarkStart w:id="576" w:name="_Toc35424929"/>
      <w:bookmarkStart w:id="577" w:name="_Toc152045569"/>
      <w:bookmarkStart w:id="578" w:name="_Toc25501"/>
      <w:bookmarkStart w:id="579" w:name="_Toc506107307"/>
      <w:bookmarkStart w:id="580" w:name="_Toc144974537"/>
      <w:bookmarkStart w:id="581" w:name="_Toc35425095"/>
      <w:bookmarkStart w:id="582" w:name="_Toc246996213"/>
      <w:bookmarkStart w:id="583" w:name="_Toc296602459"/>
      <w:bookmarkStart w:id="584" w:name="_Toc246996956"/>
      <w:bookmarkStart w:id="585" w:name="_Toc78803362"/>
      <w:bookmarkStart w:id="586" w:name="_Toc152042345"/>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12A633E">
      <w:pPr>
        <w:spacing w:line="440" w:lineRule="exact"/>
        <w:ind w:firstLine="420" w:firstLineChars="200"/>
        <w:jc w:val="left"/>
        <w:rPr>
          <w:rFonts w:hint="eastAsia" w:ascii="宋体" w:hAnsi="宋体" w:eastAsia="宋体" w:cs="宋体"/>
          <w:szCs w:val="21"/>
          <w:highlight w:val="none"/>
        </w:rPr>
      </w:pPr>
      <w:bookmarkStart w:id="587" w:name="_Toc152042346"/>
      <w:bookmarkStart w:id="588" w:name="_Toc246996957"/>
      <w:bookmarkStart w:id="589" w:name="_Toc11010"/>
      <w:bookmarkStart w:id="590" w:name="_Toc246996214"/>
      <w:bookmarkStart w:id="591" w:name="_Toc78803363"/>
      <w:bookmarkStart w:id="592" w:name="_Toc35424930"/>
      <w:bookmarkStart w:id="593" w:name="_Toc15058893"/>
      <w:bookmarkStart w:id="594" w:name="_Toc35425096"/>
      <w:bookmarkStart w:id="595" w:name="_Toc144974538"/>
      <w:bookmarkStart w:id="596" w:name="_Toc152045570"/>
      <w:bookmarkStart w:id="597" w:name="_Toc296602460"/>
      <w:bookmarkStart w:id="598" w:name="_Toc324404855"/>
      <w:bookmarkStart w:id="599" w:name="_Toc179632588"/>
      <w:bookmarkStart w:id="600" w:name="_Toc506107308"/>
      <w:bookmarkStart w:id="601" w:name="_Toc247085728"/>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14:paraId="7C6B336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 中标人不能按本章第7.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.1项要求提交履约担保的，视为放弃中标，其投标保证金不予退还，给招标人造成的损失超过投标保证金数额的，中标人还应当对超过部分予以赔偿。</w:t>
      </w:r>
    </w:p>
    <w:p w14:paraId="3B4E380F">
      <w:pPr>
        <w:pStyle w:val="7"/>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7</w:t>
      </w:r>
      <w:r>
        <w:rPr>
          <w:rFonts w:hint="eastAsia" w:ascii="宋体" w:hAnsi="宋体" w:eastAsia="宋体" w:cs="宋体"/>
          <w:highlight w:val="none"/>
        </w:rPr>
        <w:t xml:space="preserve"> 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2DE0C53">
      <w:pPr>
        <w:wordWrap w:val="0"/>
        <w:spacing w:line="440" w:lineRule="exact"/>
        <w:ind w:firstLine="420" w:firstLineChars="200"/>
        <w:jc w:val="left"/>
        <w:rPr>
          <w:rFonts w:hint="eastAsia" w:ascii="宋体" w:hAnsi="宋体" w:eastAsia="宋体" w:cs="宋体"/>
          <w:bCs/>
          <w:szCs w:val="21"/>
          <w:highlight w:val="none"/>
        </w:rPr>
      </w:pPr>
      <w:bookmarkStart w:id="602" w:name="_Toc324404856"/>
      <w:bookmarkStart w:id="603" w:name="_Toc15058894"/>
      <w:bookmarkStart w:id="604" w:name="_Toc506107309"/>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.1本招标工程的施工合同将授予按本须知第7.</w:t>
      </w: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rPr>
        <w:t xml:space="preserve">条规定所确定的中标人。 </w:t>
      </w:r>
    </w:p>
    <w:p w14:paraId="01C1DF4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给招标人造成的损失的，中标人应当予以赔偿。</w:t>
      </w:r>
    </w:p>
    <w:p w14:paraId="01E0BEC3">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.3发出中标通知书后，招标单位无正当理由拒签合同的，给中标人造成损失的，还应当赔偿损失。</w:t>
      </w:r>
    </w:p>
    <w:p w14:paraId="15321B34">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4除法定情形外，建设工程合同履行期间项目经理（建造师）不得更换。项目经理（建造师）确需变更的，应根据招标文件要求，变更后的项目经理（建造师）不低于投标文件中拟派项目经理（建造师）的资格条件。</w:t>
      </w:r>
    </w:p>
    <w:bookmarkEnd w:id="602"/>
    <w:bookmarkEnd w:id="603"/>
    <w:bookmarkEnd w:id="604"/>
    <w:p w14:paraId="57E42931">
      <w:pPr>
        <w:pStyle w:val="7"/>
        <w:spacing w:beforeLines="50" w:afterLines="50"/>
        <w:ind w:firstLine="422" w:firstLineChars="200"/>
        <w:rPr>
          <w:rFonts w:hint="eastAsia" w:ascii="宋体" w:hAnsi="宋体" w:eastAsia="宋体" w:cs="宋体"/>
          <w:highlight w:val="none"/>
        </w:rPr>
      </w:pPr>
      <w:bookmarkStart w:id="605" w:name="_Toc152045571"/>
      <w:bookmarkStart w:id="606" w:name="_Toc95223381"/>
      <w:bookmarkStart w:id="607" w:name="_Toc83301732"/>
      <w:bookmarkStart w:id="608" w:name="_Toc60061478"/>
      <w:bookmarkStart w:id="609" w:name="_Toc144974539"/>
      <w:bookmarkStart w:id="610" w:name="_Toc152042347"/>
      <w:bookmarkStart w:id="611" w:name="_Toc179632589"/>
      <w:bookmarkStart w:id="612" w:name="_Toc35424931"/>
      <w:bookmarkStart w:id="613" w:name="_Toc78803367"/>
      <w:bookmarkStart w:id="614" w:name="_Toc25375"/>
      <w:bookmarkStart w:id="615" w:name="_Toc26974"/>
      <w:bookmarkStart w:id="616" w:name="_Toc31686"/>
      <w:bookmarkStart w:id="617" w:name="_Toc35425097"/>
      <w:bookmarkStart w:id="618" w:name="_Toc324404864"/>
      <w:bookmarkStart w:id="619" w:name="_Toc506107317"/>
      <w:bookmarkStart w:id="620" w:name="_Toc35425105"/>
      <w:bookmarkStart w:id="621" w:name="_Toc35424939"/>
      <w:bookmarkStart w:id="622" w:name="_Toc15058902"/>
      <w:bookmarkStart w:id="623" w:name="_Toc296602475"/>
      <w:r>
        <w:rPr>
          <w:rFonts w:hint="eastAsia" w:ascii="宋体" w:hAnsi="宋体" w:eastAsia="宋体" w:cs="宋体"/>
          <w:highlight w:val="none"/>
        </w:rPr>
        <w:t>8. 重新招标和不再招标</w:t>
      </w:r>
      <w:bookmarkEnd w:id="605"/>
      <w:bookmarkEnd w:id="606"/>
      <w:bookmarkEnd w:id="607"/>
      <w:bookmarkEnd w:id="608"/>
      <w:bookmarkEnd w:id="609"/>
      <w:bookmarkEnd w:id="610"/>
      <w:bookmarkEnd w:id="611"/>
    </w:p>
    <w:p w14:paraId="774B94FD">
      <w:pPr>
        <w:pStyle w:val="7"/>
        <w:ind w:firstLine="422" w:firstLineChars="200"/>
        <w:rPr>
          <w:rFonts w:hint="eastAsia" w:ascii="宋体" w:hAnsi="宋体" w:eastAsia="宋体" w:cs="宋体"/>
          <w:highlight w:val="none"/>
        </w:rPr>
      </w:pPr>
      <w:bookmarkStart w:id="624" w:name="_Toc83301733"/>
      <w:bookmarkStart w:id="625" w:name="_Toc152045572"/>
      <w:bookmarkStart w:id="626" w:name="_Toc95223382"/>
      <w:bookmarkStart w:id="627" w:name="_Toc60061479"/>
      <w:bookmarkStart w:id="628" w:name="_Toc179632590"/>
      <w:bookmarkStart w:id="629" w:name="_Toc152042348"/>
      <w:bookmarkStart w:id="630" w:name="_Toc144974540"/>
      <w:r>
        <w:rPr>
          <w:rFonts w:hint="eastAsia" w:ascii="宋体" w:hAnsi="宋体" w:eastAsia="宋体" w:cs="宋体"/>
          <w:highlight w:val="none"/>
        </w:rPr>
        <w:t>8.1 重新招标</w:t>
      </w:r>
      <w:bookmarkEnd w:id="624"/>
      <w:bookmarkEnd w:id="625"/>
      <w:bookmarkEnd w:id="626"/>
      <w:bookmarkEnd w:id="627"/>
      <w:bookmarkEnd w:id="628"/>
      <w:bookmarkEnd w:id="629"/>
      <w:bookmarkEnd w:id="630"/>
    </w:p>
    <w:p w14:paraId="243115F1">
      <w:pPr>
        <w:adjustRightInd w:val="0"/>
        <w:snapToGrid w:val="0"/>
        <w:spacing w:line="600" w:lineRule="exact"/>
        <w:ind w:firstLine="359" w:firstLineChars="171"/>
        <w:rPr>
          <w:rFonts w:hint="eastAsia" w:ascii="宋体" w:hAnsi="宋体" w:cs="宋体"/>
          <w:color w:val="000000"/>
        </w:rPr>
      </w:pPr>
      <w:r>
        <w:rPr>
          <w:rFonts w:hint="eastAsia" w:ascii="宋体" w:hAnsi="宋体" w:cs="宋体"/>
          <w:color w:val="000000"/>
        </w:rPr>
        <w:t>依法必须招标的项目有下列情形之一的，招标人将重新招标：</w:t>
      </w:r>
    </w:p>
    <w:p w14:paraId="71A327E5">
      <w:pPr>
        <w:adjustRightInd w:val="0"/>
        <w:snapToGrid w:val="0"/>
        <w:spacing w:line="600" w:lineRule="exact"/>
        <w:ind w:firstLine="359" w:firstLineChars="171"/>
        <w:rPr>
          <w:rFonts w:hint="eastAsia" w:ascii="宋体" w:hAnsi="宋体" w:cs="宋体"/>
          <w:color w:val="000000"/>
        </w:rPr>
      </w:pPr>
      <w:r>
        <w:rPr>
          <w:rFonts w:hint="eastAsia" w:ascii="宋体" w:hAnsi="宋体" w:cs="宋体"/>
          <w:color w:val="000000"/>
        </w:rPr>
        <w:t>（1）投标截止时间止，投标人少于3个的；</w:t>
      </w:r>
    </w:p>
    <w:p w14:paraId="53761C98">
      <w:pPr>
        <w:adjustRightInd w:val="0"/>
        <w:snapToGrid w:val="0"/>
        <w:spacing w:line="600" w:lineRule="exact"/>
        <w:ind w:firstLine="359" w:firstLineChars="171"/>
        <w:rPr>
          <w:rFonts w:hint="eastAsia" w:ascii="宋体" w:hAnsi="宋体" w:cs="宋体"/>
          <w:color w:val="000000"/>
        </w:rPr>
      </w:pPr>
      <w:r>
        <w:rPr>
          <w:rFonts w:hint="eastAsia" w:ascii="宋体" w:hAnsi="宋体" w:cs="宋体"/>
          <w:color w:val="000000"/>
        </w:rPr>
        <w:t>（2）经评标委员会评审后否决所有投标的；</w:t>
      </w:r>
    </w:p>
    <w:p w14:paraId="3412299B">
      <w:pPr>
        <w:adjustRightInd w:val="0"/>
        <w:snapToGrid w:val="0"/>
        <w:spacing w:line="600" w:lineRule="exact"/>
        <w:ind w:firstLine="359" w:firstLineChars="171"/>
        <w:rPr>
          <w:rFonts w:hint="eastAsia" w:ascii="宋体" w:hAnsi="宋体" w:cs="宋体"/>
          <w:bCs/>
          <w:snapToGrid w:val="0"/>
          <w:color w:val="000000"/>
          <w:kern w:val="0"/>
          <w:szCs w:val="21"/>
        </w:rPr>
      </w:pPr>
      <w:r>
        <w:rPr>
          <w:rFonts w:hint="eastAsia" w:ascii="宋体" w:hAnsi="宋体" w:cs="宋体"/>
          <w:bCs/>
          <w:snapToGrid w:val="0"/>
          <w:color w:val="000000"/>
          <w:kern w:val="0"/>
          <w:szCs w:val="21"/>
        </w:rPr>
        <w:t>（3）中标候选人均未与招标人签订合同的；</w:t>
      </w:r>
    </w:p>
    <w:p w14:paraId="4115D547">
      <w:pPr>
        <w:adjustRightInd w:val="0"/>
        <w:snapToGrid w:val="0"/>
        <w:spacing w:line="600" w:lineRule="exact"/>
        <w:ind w:firstLine="359" w:firstLineChars="171"/>
        <w:rPr>
          <w:rFonts w:hint="eastAsia" w:ascii="宋体" w:hAnsi="宋体" w:cs="宋体"/>
          <w:bCs/>
          <w:snapToGrid w:val="0"/>
          <w:color w:val="000000"/>
          <w:kern w:val="0"/>
          <w:szCs w:val="21"/>
        </w:rPr>
      </w:pPr>
      <w:r>
        <w:rPr>
          <w:rFonts w:hint="eastAsia" w:ascii="宋体" w:hAnsi="宋体" w:cs="宋体"/>
          <w:bCs/>
          <w:snapToGrid w:val="0"/>
          <w:color w:val="000000"/>
          <w:kern w:val="0"/>
          <w:szCs w:val="21"/>
        </w:rPr>
        <w:t>（4）法律、法规规定的其他情形。</w:t>
      </w:r>
    </w:p>
    <w:p w14:paraId="077F17AF">
      <w:pPr>
        <w:pStyle w:val="7"/>
        <w:ind w:firstLine="422" w:firstLineChars="200"/>
        <w:rPr>
          <w:rFonts w:hint="eastAsia" w:ascii="宋体" w:hAnsi="宋体" w:eastAsia="宋体" w:cs="宋体"/>
          <w:highlight w:val="none"/>
        </w:rPr>
      </w:pPr>
      <w:bookmarkStart w:id="631" w:name="_Toc83301734"/>
      <w:bookmarkStart w:id="632" w:name="_Toc60061480"/>
      <w:bookmarkStart w:id="633" w:name="_Toc179632591"/>
      <w:bookmarkStart w:id="634" w:name="_Toc144974541"/>
      <w:bookmarkStart w:id="635" w:name="_Toc152045573"/>
      <w:bookmarkStart w:id="636" w:name="_Toc152042349"/>
      <w:bookmarkStart w:id="637" w:name="_Toc95223383"/>
      <w:r>
        <w:rPr>
          <w:rFonts w:hint="eastAsia" w:ascii="宋体" w:hAnsi="宋体" w:eastAsia="宋体" w:cs="宋体"/>
          <w:highlight w:val="none"/>
        </w:rPr>
        <w:t>8.2 不再招标</w:t>
      </w:r>
      <w:bookmarkEnd w:id="631"/>
      <w:bookmarkEnd w:id="632"/>
      <w:bookmarkEnd w:id="633"/>
      <w:bookmarkEnd w:id="634"/>
      <w:bookmarkEnd w:id="635"/>
      <w:bookmarkEnd w:id="636"/>
      <w:bookmarkEnd w:id="637"/>
    </w:p>
    <w:p w14:paraId="79E8730A">
      <w:pPr>
        <w:adjustRightInd w:val="0"/>
        <w:snapToGrid w:val="0"/>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重新招标后投标人仍少于3个或者所有投标被否决的，属于必须审批或核准的工程建设项目，经原审批或核准部门批准后不再进行招标。</w:t>
      </w:r>
    </w:p>
    <w:p w14:paraId="31B2E77F">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612"/>
      <w:bookmarkEnd w:id="613"/>
      <w:bookmarkEnd w:id="614"/>
      <w:bookmarkEnd w:id="615"/>
      <w:bookmarkEnd w:id="616"/>
      <w:bookmarkEnd w:id="617"/>
    </w:p>
    <w:p w14:paraId="49CA1A8F">
      <w:pPr>
        <w:pStyle w:val="7"/>
        <w:ind w:firstLine="422" w:firstLineChars="200"/>
        <w:rPr>
          <w:rFonts w:ascii="宋体" w:hAnsi="宋体" w:eastAsia="宋体" w:cs="宋体"/>
          <w:highlight w:val="none"/>
        </w:rPr>
      </w:pPr>
      <w:bookmarkStart w:id="638" w:name="_Toc152045575"/>
      <w:bookmarkStart w:id="639" w:name="_Toc35425098"/>
      <w:bookmarkStart w:id="640" w:name="_Toc35424932"/>
      <w:bookmarkStart w:id="641" w:name="_Toc247085733"/>
      <w:bookmarkStart w:id="642" w:name="_Toc15058895"/>
      <w:bookmarkStart w:id="643" w:name="_Toc15607"/>
      <w:bookmarkStart w:id="644" w:name="_Toc152042351"/>
      <w:bookmarkStart w:id="645" w:name="_Toc324404857"/>
      <w:bookmarkStart w:id="646" w:name="_Toc246996962"/>
      <w:bookmarkStart w:id="647" w:name="_Toc296590983"/>
      <w:bookmarkStart w:id="648" w:name="_Toc506107310"/>
      <w:bookmarkStart w:id="649" w:name="_Toc246996219"/>
      <w:bookmarkStart w:id="650" w:name="_Toc179632593"/>
      <w:bookmarkStart w:id="651" w:name="_Toc144974543"/>
      <w:bookmarkStart w:id="652" w:name="_Toc296602462"/>
      <w:bookmarkStart w:id="653" w:name="_Toc78803368"/>
      <w:bookmarkStart w:id="654" w:name="_Toc2855"/>
      <w:r>
        <w:rPr>
          <w:rFonts w:hint="eastAsia" w:ascii="宋体" w:hAnsi="宋体" w:eastAsia="宋体" w:cs="宋体"/>
          <w:highlight w:val="none"/>
        </w:rPr>
        <w:t>9.1 对招标人的纪律要求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w:t>
      </w:r>
      <w:r>
        <w:rPr>
          <w:rFonts w:hint="eastAsia" w:ascii="宋体" w:hAnsi="宋体" w:cs="宋体"/>
          <w:szCs w:val="21"/>
          <w:highlight w:val="none"/>
          <w:lang w:val="en-US" w:eastAsia="zh-CN"/>
        </w:rPr>
        <w:t>露</w:t>
      </w:r>
      <w:r>
        <w:rPr>
          <w:rFonts w:hint="eastAsia" w:ascii="宋体" w:hAnsi="宋体" w:cs="宋体"/>
          <w:szCs w:val="21"/>
          <w:highlight w:val="none"/>
        </w:rPr>
        <w:t>招标投标活动中应当保密的情况和资料，不得与投标人串通损害国家利益、社会公共利益或者他人合法权益。</w:t>
      </w:r>
    </w:p>
    <w:p w14:paraId="6BA9BC3B">
      <w:pPr>
        <w:pStyle w:val="7"/>
        <w:ind w:firstLine="422" w:firstLineChars="200"/>
        <w:rPr>
          <w:rFonts w:ascii="宋体" w:hAnsi="宋体" w:eastAsia="宋体" w:cs="宋体"/>
          <w:highlight w:val="none"/>
        </w:rPr>
      </w:pPr>
      <w:bookmarkStart w:id="655" w:name="_Toc179632594"/>
      <w:bookmarkStart w:id="656" w:name="_Toc246996220"/>
      <w:bookmarkStart w:id="657" w:name="_Toc35424933"/>
      <w:bookmarkStart w:id="658" w:name="_Toc78803369"/>
      <w:bookmarkStart w:id="659" w:name="_Toc506107311"/>
      <w:bookmarkStart w:id="660" w:name="_Toc247085734"/>
      <w:bookmarkStart w:id="661" w:name="_Toc324404858"/>
      <w:bookmarkStart w:id="662" w:name="_Toc144974544"/>
      <w:bookmarkStart w:id="663" w:name="_Toc246996963"/>
      <w:bookmarkStart w:id="664" w:name="_Toc19779"/>
      <w:bookmarkStart w:id="665" w:name="_Toc32177"/>
      <w:bookmarkStart w:id="666" w:name="_Toc35425099"/>
      <w:bookmarkStart w:id="667" w:name="_Toc152042352"/>
      <w:bookmarkStart w:id="668" w:name="_Toc296602463"/>
      <w:bookmarkStart w:id="669" w:name="_Toc15058896"/>
      <w:bookmarkStart w:id="670" w:name="_Toc152045576"/>
      <w:r>
        <w:rPr>
          <w:rFonts w:hint="eastAsia" w:ascii="宋体" w:hAnsi="宋体" w:eastAsia="宋体" w:cs="宋体"/>
          <w:highlight w:val="none"/>
        </w:rPr>
        <w:t>9.2 对投标人的纪律要求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7"/>
        <w:ind w:firstLine="422" w:firstLineChars="200"/>
        <w:rPr>
          <w:rFonts w:ascii="宋体" w:hAnsi="宋体" w:eastAsia="宋体" w:cs="宋体"/>
          <w:highlight w:val="none"/>
        </w:rPr>
      </w:pPr>
      <w:bookmarkStart w:id="671" w:name="_Toc152045577"/>
      <w:bookmarkStart w:id="672" w:name="_Toc12564"/>
      <w:bookmarkStart w:id="673" w:name="_Toc78803370"/>
      <w:bookmarkStart w:id="674" w:name="_Toc35425100"/>
      <w:bookmarkStart w:id="675" w:name="_Toc296602464"/>
      <w:bookmarkStart w:id="676" w:name="_Toc247085735"/>
      <w:bookmarkStart w:id="677" w:name="_Toc179632595"/>
      <w:bookmarkStart w:id="678" w:name="_Toc152042353"/>
      <w:bookmarkStart w:id="679" w:name="_Toc246996964"/>
      <w:bookmarkStart w:id="680" w:name="_Toc144974545"/>
      <w:bookmarkStart w:id="681" w:name="_Toc15058897"/>
      <w:bookmarkStart w:id="682" w:name="_Toc324404859"/>
      <w:bookmarkStart w:id="683" w:name="_Toc506107312"/>
      <w:bookmarkStart w:id="684" w:name="_Toc246996221"/>
      <w:bookmarkStart w:id="685" w:name="_Toc35424934"/>
      <w:bookmarkStart w:id="686" w:name="_Toc13043"/>
      <w:r>
        <w:rPr>
          <w:rFonts w:hint="eastAsia" w:ascii="宋体" w:hAnsi="宋体" w:eastAsia="宋体" w:cs="宋体"/>
          <w:highlight w:val="none"/>
        </w:rPr>
        <w:t>9.3 对评标委员会成员的纪律要求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w:t>
      </w:r>
      <w:r>
        <w:rPr>
          <w:rFonts w:hint="eastAsia" w:ascii="宋体" w:hAnsi="宋体" w:cs="宋体"/>
          <w:szCs w:val="21"/>
          <w:highlight w:val="none"/>
          <w:lang w:eastAsia="zh-CN"/>
        </w:rPr>
        <w:t>透露</w:t>
      </w:r>
      <w:r>
        <w:rPr>
          <w:rFonts w:hint="eastAsia" w:ascii="宋体" w:hAnsi="宋体" w:cs="宋体"/>
          <w:szCs w:val="21"/>
          <w:highlight w:val="none"/>
        </w:rPr>
        <w:t>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7"/>
        <w:ind w:firstLine="422" w:firstLineChars="200"/>
        <w:rPr>
          <w:rFonts w:ascii="宋体" w:hAnsi="宋体" w:eastAsia="宋体" w:cs="宋体"/>
          <w:highlight w:val="none"/>
        </w:rPr>
      </w:pPr>
      <w:bookmarkStart w:id="687" w:name="_Toc35425101"/>
      <w:bookmarkStart w:id="688" w:name="_Toc296602465"/>
      <w:bookmarkStart w:id="689" w:name="_Toc179632596"/>
      <w:bookmarkStart w:id="690" w:name="_Toc246996965"/>
      <w:bookmarkStart w:id="691" w:name="_Toc506107313"/>
      <w:bookmarkStart w:id="692" w:name="_Toc32214"/>
      <w:bookmarkStart w:id="693" w:name="_Toc35424935"/>
      <w:bookmarkStart w:id="694" w:name="_Toc324404860"/>
      <w:bookmarkStart w:id="695" w:name="_Toc152042354"/>
      <w:bookmarkStart w:id="696" w:name="_Toc15058898"/>
      <w:bookmarkStart w:id="697" w:name="_Toc18329"/>
      <w:bookmarkStart w:id="698" w:name="_Toc247085736"/>
      <w:bookmarkStart w:id="699" w:name="_Toc152045578"/>
      <w:bookmarkStart w:id="700" w:name="_Toc78803371"/>
      <w:bookmarkStart w:id="701" w:name="_Toc246996222"/>
      <w:bookmarkStart w:id="702" w:name="_Toc144974546"/>
      <w:r>
        <w:rPr>
          <w:rFonts w:hint="eastAsia" w:ascii="宋体" w:hAnsi="宋体" w:eastAsia="宋体" w:cs="宋体"/>
          <w:highlight w:val="none"/>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66BE765">
      <w:pPr>
        <w:spacing w:line="440" w:lineRule="exact"/>
        <w:ind w:firstLine="420" w:firstLineChars="200"/>
        <w:jc w:val="left"/>
        <w:rPr>
          <w:rFonts w:ascii="宋体" w:hAnsi="宋体" w:cs="宋体"/>
          <w:szCs w:val="21"/>
          <w:highlight w:val="none"/>
        </w:rPr>
      </w:pPr>
      <w:bookmarkStart w:id="703" w:name="_Toc152042355"/>
      <w:r>
        <w:rPr>
          <w:rFonts w:hint="eastAsia" w:ascii="宋体" w:hAnsi="宋体" w:cs="宋体"/>
          <w:szCs w:val="21"/>
          <w:highlight w:val="none"/>
        </w:rPr>
        <w:t>与评标活动有关的工作人员不得收受他人的财物或者其他好处，不得向他人</w:t>
      </w:r>
      <w:r>
        <w:rPr>
          <w:rFonts w:hint="eastAsia" w:ascii="宋体" w:hAnsi="宋体" w:cs="宋体"/>
          <w:szCs w:val="21"/>
          <w:highlight w:val="none"/>
          <w:lang w:eastAsia="zh-CN"/>
        </w:rPr>
        <w:t>透露</w:t>
      </w:r>
      <w:r>
        <w:rPr>
          <w:rFonts w:hint="eastAsia" w:ascii="宋体" w:hAnsi="宋体" w:cs="宋体"/>
          <w:szCs w:val="21"/>
          <w:highlight w:val="none"/>
        </w:rPr>
        <w:t>对投标文件的评审和比较、中标候选人的推荐情况以及评标有关的其他情况。在评标活动中，与评标活动有关的工作人员不得擅离职守，影响评标程序正常进行。</w:t>
      </w:r>
      <w:bookmarkEnd w:id="703"/>
    </w:p>
    <w:p w14:paraId="6EC5285F">
      <w:pPr>
        <w:pStyle w:val="7"/>
        <w:ind w:firstLine="422" w:firstLineChars="200"/>
        <w:rPr>
          <w:rFonts w:ascii="宋体" w:hAnsi="宋体" w:eastAsia="宋体" w:cs="宋体"/>
          <w:highlight w:val="none"/>
        </w:rPr>
      </w:pPr>
      <w:bookmarkStart w:id="704" w:name="_Toc152042356"/>
      <w:bookmarkStart w:id="705" w:name="_Toc296602466"/>
      <w:bookmarkStart w:id="706" w:name="_Toc23607"/>
      <w:bookmarkStart w:id="707" w:name="_Toc35424936"/>
      <w:bookmarkStart w:id="708" w:name="_Toc152045579"/>
      <w:bookmarkStart w:id="709" w:name="_Toc78803372"/>
      <w:bookmarkStart w:id="710" w:name="_Toc15058899"/>
      <w:bookmarkStart w:id="711" w:name="_Toc324404861"/>
      <w:bookmarkStart w:id="712" w:name="_Toc179632597"/>
      <w:bookmarkStart w:id="713" w:name="_Toc246996223"/>
      <w:bookmarkStart w:id="714" w:name="_Toc2811"/>
      <w:bookmarkStart w:id="715" w:name="_Toc35425102"/>
      <w:bookmarkStart w:id="716" w:name="_Toc506107314"/>
      <w:bookmarkStart w:id="717" w:name="_Toc247085737"/>
      <w:bookmarkStart w:id="718" w:name="_Toc246996966"/>
      <w:r>
        <w:rPr>
          <w:rFonts w:hint="eastAsia" w:ascii="宋体" w:hAnsi="宋体" w:eastAsia="宋体" w:cs="宋体"/>
          <w:highlight w:val="none"/>
        </w:rPr>
        <w:t>9.5 投诉</w:t>
      </w:r>
      <w:bookmarkEnd w:id="702"/>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8A92B0B">
      <w:pPr>
        <w:spacing w:line="440" w:lineRule="exact"/>
        <w:ind w:firstLine="420" w:firstLineChars="200"/>
        <w:jc w:val="left"/>
        <w:rPr>
          <w:rFonts w:hint="eastAsia" w:ascii="宋体" w:hAnsi="宋体" w:eastAsia="宋体" w:cs="宋体"/>
          <w:szCs w:val="21"/>
          <w:highlight w:val="none"/>
        </w:rPr>
      </w:pPr>
      <w:bookmarkStart w:id="719" w:name="_Toc15058900"/>
      <w:bookmarkStart w:id="720" w:name="_Toc246996224"/>
      <w:bookmarkStart w:id="721" w:name="_Toc78803373"/>
      <w:bookmarkStart w:id="722" w:name="_Toc20669"/>
      <w:bookmarkStart w:id="723" w:name="_Toc506107315"/>
      <w:bookmarkStart w:id="724" w:name="_Toc16463"/>
      <w:bookmarkStart w:id="725" w:name="_Toc35425103"/>
      <w:bookmarkStart w:id="726" w:name="_Toc152042357"/>
      <w:bookmarkStart w:id="727" w:name="_Toc179632598"/>
      <w:bookmarkStart w:id="728" w:name="_Toc247085738"/>
      <w:bookmarkStart w:id="729" w:name="_Toc31643"/>
      <w:bookmarkStart w:id="730" w:name="_Toc324404862"/>
      <w:bookmarkStart w:id="731" w:name="_Toc246996967"/>
      <w:bookmarkStart w:id="732" w:name="_Toc144974547"/>
      <w:bookmarkStart w:id="733" w:name="_Toc152045580"/>
      <w:bookmarkStart w:id="734" w:name="_Toc35424937"/>
      <w:r>
        <w:rPr>
          <w:rFonts w:hint="eastAsia" w:ascii="宋体" w:hAnsi="宋体" w:eastAsia="宋体" w:cs="宋体"/>
          <w:szCs w:val="21"/>
          <w:highlight w:val="none"/>
        </w:rPr>
        <w:t>9.5.1投标人或者其他利害关系人认为招标投标活动违反法律、法规和规章规定的，有权向相关行政监督部门投诉。投诉应当有明确的请求和必要的证明材料。</w:t>
      </w:r>
    </w:p>
    <w:p w14:paraId="64A3032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9.5.2投标人和其他利害关系人对招标文件、开标和评标结果事项投诉的，应当按照投标人须知的规定先向招标人提出异议。异议答复期间不计算在第9.5.1项规定的期限内。</w:t>
      </w:r>
    </w:p>
    <w:p w14:paraId="39FC7842">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10.需要补充的其他内容</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10702A">
      <w:pPr>
        <w:spacing w:line="440" w:lineRule="exact"/>
        <w:ind w:firstLine="420" w:firstLineChars="200"/>
        <w:jc w:val="left"/>
        <w:rPr>
          <w:rFonts w:ascii="宋体" w:hAnsi="宋体" w:cs="宋体"/>
          <w:szCs w:val="21"/>
          <w:highlight w:val="none"/>
        </w:rPr>
      </w:pPr>
      <w:bookmarkStart w:id="735" w:name="_Toc15058901"/>
      <w:r>
        <w:rPr>
          <w:rFonts w:hint="eastAsia" w:ascii="宋体" w:hAnsi="宋体" w:cs="宋体"/>
          <w:szCs w:val="21"/>
          <w:highlight w:val="none"/>
        </w:rPr>
        <w:t>需要补充的其他内容：见投标人须知前附表。</w:t>
      </w:r>
      <w:bookmarkEnd w:id="735"/>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36" w:name="_Toc78803375"/>
      <w:r>
        <w:rPr>
          <w:rFonts w:hint="eastAsia" w:ascii="宋体"/>
          <w:b/>
          <w:sz w:val="32"/>
          <w:szCs w:val="32"/>
          <w:highlight w:val="none"/>
        </w:rPr>
        <w:t>第</w:t>
      </w:r>
      <w:r>
        <w:rPr>
          <w:rFonts w:hint="eastAsia" w:ascii="宋体"/>
          <w:b/>
          <w:sz w:val="32"/>
          <w:szCs w:val="32"/>
          <w:highlight w:val="none"/>
          <w:lang w:val="en-US" w:eastAsia="zh-CN"/>
        </w:rPr>
        <w:t>三</w:t>
      </w:r>
      <w:r>
        <w:rPr>
          <w:rFonts w:hint="eastAsia" w:ascii="宋体"/>
          <w:b/>
          <w:sz w:val="32"/>
          <w:szCs w:val="32"/>
          <w:highlight w:val="none"/>
        </w:rPr>
        <w:t>章  资格审查</w:t>
      </w:r>
      <w:bookmarkEnd w:id="618"/>
      <w:r>
        <w:rPr>
          <w:rFonts w:hint="eastAsia" w:ascii="宋体"/>
          <w:b/>
          <w:sz w:val="32"/>
          <w:szCs w:val="32"/>
          <w:highlight w:val="none"/>
        </w:rPr>
        <w:t>办法</w:t>
      </w:r>
      <w:bookmarkEnd w:id="619"/>
      <w:bookmarkEnd w:id="620"/>
      <w:bookmarkEnd w:id="621"/>
      <w:bookmarkEnd w:id="622"/>
      <w:bookmarkEnd w:id="736"/>
    </w:p>
    <w:p w14:paraId="510BB1C6">
      <w:pPr>
        <w:spacing w:beforeLines="50" w:afterLines="50" w:line="440" w:lineRule="exact"/>
        <w:jc w:val="center"/>
        <w:rPr>
          <w:rFonts w:ascii="宋体" w:hAnsi="宋体" w:cs="宋体"/>
          <w:b/>
          <w:bCs/>
          <w:sz w:val="28"/>
          <w:szCs w:val="22"/>
          <w:highlight w:val="none"/>
        </w:rPr>
      </w:pPr>
      <w:bookmarkStart w:id="737" w:name="_Toc35424940"/>
      <w:bookmarkStart w:id="738" w:name="_Toc35425106"/>
      <w:bookmarkStart w:id="739" w:name="_Toc324404865"/>
      <w:bookmarkStart w:id="740" w:name="_Toc506107318"/>
      <w:bookmarkStart w:id="741" w:name="_Toc15058903"/>
      <w:r>
        <w:rPr>
          <w:rFonts w:hint="eastAsia" w:ascii="宋体" w:hAnsi="宋体" w:cs="宋体"/>
          <w:b/>
          <w:bCs/>
          <w:sz w:val="28"/>
          <w:szCs w:val="22"/>
          <w:highlight w:val="none"/>
        </w:rPr>
        <w:t>资格审查办法前附表</w:t>
      </w:r>
      <w:bookmarkEnd w:id="737"/>
      <w:bookmarkEnd w:id="738"/>
      <w:bookmarkEnd w:id="739"/>
      <w:bookmarkEnd w:id="740"/>
      <w:bookmarkEnd w:id="741"/>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hint="eastAsia" w:ascii="宋体" w:hAnsi="宋体" w:eastAsia="宋体" w:cs="宋体"/>
                <w:szCs w:val="21"/>
                <w:highlight w:val="none"/>
                <w:lang w:val="en-US" w:eastAsia="zh-CN"/>
              </w:rPr>
            </w:pPr>
            <w:r>
              <w:rPr>
                <w:rFonts w:hint="eastAsia" w:ascii="宋体" w:hAnsi="宋体" w:cs="宋体"/>
                <w:szCs w:val="21"/>
                <w:highlight w:val="none"/>
              </w:rPr>
              <w:t>企业资质证书</w:t>
            </w:r>
            <w:r>
              <w:rPr>
                <w:rFonts w:hint="eastAsia" w:ascii="宋体" w:hAnsi="宋体" w:cs="宋体"/>
                <w:szCs w:val="21"/>
                <w:highlight w:val="none"/>
                <w:lang w:val="en-US" w:eastAsia="zh-CN"/>
              </w:rPr>
              <w:t>及</w:t>
            </w:r>
            <w:r>
              <w:rPr>
                <w:rFonts w:hint="eastAsia" w:ascii="宋体" w:hAnsi="宋体" w:cs="宋体"/>
                <w:color w:val="000000"/>
                <w:szCs w:val="21"/>
              </w:rPr>
              <w:t>企业安全生产许可证</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cs="宋体"/>
                <w:color w:val="000000"/>
                <w:szCs w:val="21"/>
              </w:rPr>
              <w:t>项目经理（建造师）有效身份证、注册证书以及安全生产考核合格证书（B证）</w:t>
            </w:r>
          </w:p>
        </w:tc>
        <w:tc>
          <w:tcPr>
            <w:tcW w:w="1860" w:type="dxa"/>
            <w:vMerge w:val="continue"/>
            <w:noWrap/>
            <w:vAlign w:val="center"/>
          </w:tcPr>
          <w:p w14:paraId="2BFDCB77">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ascii="宋体" w:hAnsi="宋体" w:cs="宋体"/>
                <w:highlight w:val="none"/>
              </w:rPr>
            </w:pPr>
            <w:r>
              <w:rPr>
                <w:rFonts w:hint="eastAsia" w:ascii="宋体" w:hAnsi="宋体" w:cs="宋体"/>
                <w:color w:val="000000"/>
                <w:szCs w:val="21"/>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05DBF2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标人拟委任项目经理为注册建造师（含一级、二级）的，须提供在电子证书使用有效期内的纸质版电子证书。一级建造师打印电子证书后，应在个人签名处手写本人签名，未手写签名或与签名图像笔迹不一致的，该电子证书无效。</w:t>
      </w:r>
    </w:p>
    <w:p w14:paraId="316820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pPr>
      <w:r>
        <w:rPr>
          <w:rFonts w:hint="eastAsia" w:ascii="宋体" w:hAnsi="宋体" w:eastAsia="宋体" w:cs="宋体"/>
          <w:b/>
          <w:bCs/>
          <w:szCs w:val="21"/>
          <w:highlight w:val="none"/>
        </w:rPr>
        <w:t>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p>
    <w:p w14:paraId="4A8A3FCB">
      <w:pPr>
        <w:pStyle w:val="7"/>
        <w:spacing w:beforeLines="50" w:afterLines="50"/>
        <w:ind w:firstLine="422" w:firstLineChars="200"/>
        <w:rPr>
          <w:rFonts w:ascii="宋体" w:hAnsi="宋体" w:eastAsia="宋体" w:cs="宋体"/>
          <w:highlight w:val="none"/>
        </w:rPr>
      </w:pPr>
      <w:bookmarkStart w:id="742" w:name="_Toc324404866"/>
      <w:bookmarkStart w:id="743" w:name="_Toc506107319"/>
      <w:bookmarkStart w:id="744" w:name="_Toc27127"/>
      <w:bookmarkStart w:id="745" w:name="_Toc35424941"/>
      <w:bookmarkStart w:id="746" w:name="_Toc15058904"/>
      <w:bookmarkStart w:id="747" w:name="_Toc35425107"/>
      <w:bookmarkStart w:id="748" w:name="_Toc78803376"/>
      <w:r>
        <w:rPr>
          <w:rFonts w:hint="eastAsia" w:ascii="宋体" w:hAnsi="宋体" w:eastAsia="宋体" w:cs="宋体"/>
          <w:highlight w:val="none"/>
        </w:rPr>
        <w:t>1.审查资料</w:t>
      </w:r>
      <w:bookmarkEnd w:id="742"/>
      <w:bookmarkEnd w:id="743"/>
      <w:bookmarkEnd w:id="744"/>
      <w:bookmarkEnd w:id="745"/>
      <w:bookmarkEnd w:id="746"/>
      <w:bookmarkEnd w:id="747"/>
      <w:bookmarkEnd w:id="748"/>
    </w:p>
    <w:p w14:paraId="2DC377C4">
      <w:pPr>
        <w:spacing w:line="440" w:lineRule="exact"/>
        <w:ind w:firstLine="420" w:firstLineChars="200"/>
        <w:jc w:val="left"/>
        <w:rPr>
          <w:rFonts w:hint="eastAsia" w:ascii="宋体" w:hAnsi="宋体" w:cs="宋体"/>
          <w:szCs w:val="21"/>
          <w:highlight w:val="none"/>
        </w:rPr>
      </w:pPr>
      <w:bookmarkStart w:id="749" w:name="_Toc15058905"/>
      <w:bookmarkStart w:id="750" w:name="_Toc324404867"/>
      <w:r>
        <w:rPr>
          <w:rFonts w:hint="eastAsia" w:ascii="宋体" w:hAnsi="宋体" w:cs="宋体"/>
          <w:szCs w:val="21"/>
          <w:highlight w:val="none"/>
        </w:rPr>
        <w:t>（1）法定代表人身份证明文件和本人有效身份证(或法定代表人授权委托书和委托代理人有效身份证)；</w:t>
      </w:r>
    </w:p>
    <w:p w14:paraId="3F0E71B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12618AF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45677E5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r>
        <w:rPr>
          <w:rFonts w:hint="eastAsia" w:ascii="宋体" w:hAnsi="宋体" w:cs="宋体"/>
          <w:szCs w:val="21"/>
          <w:highlight w:val="none"/>
          <w:lang w:val="en-US" w:eastAsia="zh-CN"/>
        </w:rPr>
        <w:t>及</w:t>
      </w:r>
      <w:r>
        <w:rPr>
          <w:rFonts w:hint="eastAsia" w:ascii="宋体" w:hAnsi="宋体" w:cs="宋体"/>
          <w:color w:val="000000"/>
          <w:szCs w:val="21"/>
        </w:rPr>
        <w:t>企业安全生产许可证</w:t>
      </w:r>
      <w:r>
        <w:rPr>
          <w:rFonts w:hint="eastAsia" w:ascii="宋体" w:hAnsi="宋体" w:cs="宋体"/>
          <w:szCs w:val="21"/>
          <w:highlight w:val="none"/>
        </w:rPr>
        <w:t>；</w:t>
      </w:r>
    </w:p>
    <w:p w14:paraId="0ED50D4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rPr>
        <w:t>项目经理（建造师）有效身份证、注册证书以及安全生产考核合格证书（B证）</w:t>
      </w:r>
      <w:r>
        <w:rPr>
          <w:rFonts w:hint="eastAsia" w:ascii="宋体" w:hAnsi="宋体" w:cs="宋体"/>
          <w:szCs w:val="21"/>
          <w:highlight w:val="none"/>
        </w:rPr>
        <w:t>；</w:t>
      </w:r>
    </w:p>
    <w:p w14:paraId="57EC5BE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lang w:eastAsia="zh-CN"/>
        </w:rPr>
        <w:t>。</w:t>
      </w:r>
    </w:p>
    <w:bookmarkEnd w:id="749"/>
    <w:p w14:paraId="5990719C">
      <w:pPr>
        <w:pStyle w:val="7"/>
        <w:spacing w:beforeLines="50" w:afterLines="50"/>
        <w:ind w:firstLine="422" w:firstLineChars="200"/>
        <w:rPr>
          <w:rFonts w:ascii="宋体" w:hAnsi="宋体" w:eastAsia="宋体" w:cs="宋体"/>
          <w:highlight w:val="none"/>
        </w:rPr>
      </w:pPr>
      <w:bookmarkStart w:id="751" w:name="_Toc15058909"/>
      <w:bookmarkStart w:id="752" w:name="_Toc35424942"/>
      <w:bookmarkStart w:id="753" w:name="_Toc78803377"/>
      <w:bookmarkStart w:id="754" w:name="_Toc35425108"/>
      <w:bookmarkStart w:id="755" w:name="_Toc12549"/>
      <w:bookmarkStart w:id="756" w:name="_Toc506107320"/>
      <w:r>
        <w:rPr>
          <w:rFonts w:hint="eastAsia" w:ascii="宋体" w:hAnsi="宋体" w:eastAsia="宋体" w:cs="宋体"/>
          <w:highlight w:val="none"/>
        </w:rPr>
        <w:t>2.审查办法</w:t>
      </w:r>
      <w:bookmarkEnd w:id="750"/>
      <w:bookmarkEnd w:id="751"/>
      <w:bookmarkEnd w:id="752"/>
      <w:bookmarkEnd w:id="753"/>
      <w:bookmarkEnd w:id="754"/>
      <w:bookmarkEnd w:id="755"/>
      <w:bookmarkEnd w:id="756"/>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7"/>
        <w:spacing w:beforeLines="50" w:afterLines="50"/>
        <w:ind w:firstLine="422" w:firstLineChars="200"/>
        <w:rPr>
          <w:rFonts w:ascii="宋体" w:hAnsi="宋体" w:eastAsia="宋体" w:cs="宋体"/>
          <w:highlight w:val="none"/>
        </w:rPr>
      </w:pPr>
      <w:bookmarkStart w:id="757" w:name="_Toc15058910"/>
      <w:bookmarkStart w:id="758" w:name="_Toc35425109"/>
      <w:bookmarkStart w:id="759" w:name="_Toc78803378"/>
      <w:bookmarkStart w:id="760" w:name="_Toc324404868"/>
      <w:bookmarkStart w:id="761" w:name="_Toc506107321"/>
      <w:bookmarkStart w:id="762" w:name="_Toc15626"/>
      <w:bookmarkStart w:id="763" w:name="_Toc35424943"/>
      <w:r>
        <w:rPr>
          <w:rFonts w:hint="eastAsia" w:ascii="宋体" w:hAnsi="宋体" w:eastAsia="宋体" w:cs="宋体"/>
          <w:highlight w:val="none"/>
        </w:rPr>
        <w:t>3.资格审查委员会和审查标准</w:t>
      </w:r>
      <w:bookmarkEnd w:id="757"/>
      <w:bookmarkEnd w:id="758"/>
      <w:bookmarkEnd w:id="759"/>
      <w:bookmarkEnd w:id="760"/>
      <w:bookmarkEnd w:id="761"/>
      <w:bookmarkEnd w:id="762"/>
      <w:bookmarkEnd w:id="763"/>
    </w:p>
    <w:p w14:paraId="48F20776">
      <w:pPr>
        <w:spacing w:line="440" w:lineRule="exact"/>
        <w:ind w:firstLine="420" w:firstLineChars="200"/>
        <w:jc w:val="left"/>
        <w:rPr>
          <w:rFonts w:hint="eastAsia" w:ascii="宋体" w:hAnsi="宋体" w:eastAsia="宋体" w:cs="宋体"/>
          <w:szCs w:val="21"/>
          <w:highlight w:val="none"/>
        </w:rPr>
      </w:pPr>
      <w:bookmarkStart w:id="764" w:name="_Toc324404869"/>
      <w:bookmarkStart w:id="765" w:name="_Toc15058911"/>
      <w:bookmarkStart w:id="766" w:name="_Toc78803379"/>
      <w:bookmarkStart w:id="767" w:name="_Toc10330"/>
      <w:bookmarkStart w:id="768" w:name="_Toc506107322"/>
      <w:bookmarkStart w:id="769" w:name="_Toc35425110"/>
      <w:bookmarkStart w:id="770" w:name="_Toc35424944"/>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73C4AAA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（1）未发送标书或电子标书经审查不合格；</w:t>
      </w:r>
    </w:p>
    <w:p w14:paraId="4B1B7620">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（2）电子标书无法打开</w:t>
      </w:r>
      <w:r>
        <w:rPr>
          <w:rFonts w:hint="eastAsia" w:ascii="宋体" w:hAnsi="宋体" w:eastAsia="宋体" w:cs="宋体"/>
          <w:szCs w:val="21"/>
          <w:highlight w:val="none"/>
          <w:lang w:eastAsia="zh-CN"/>
        </w:rPr>
        <w:t>；</w:t>
      </w:r>
    </w:p>
    <w:p w14:paraId="5792117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）法律、法规规定的其他情形</w:t>
      </w:r>
      <w:r>
        <w:rPr>
          <w:rFonts w:hint="eastAsia" w:ascii="宋体" w:hAnsi="宋体" w:eastAsia="宋体" w:cs="宋体"/>
          <w:szCs w:val="21"/>
          <w:highlight w:val="none"/>
        </w:rPr>
        <w:t>。</w:t>
      </w:r>
    </w:p>
    <w:p w14:paraId="439F3B10">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64"/>
      <w:bookmarkEnd w:id="765"/>
      <w:bookmarkEnd w:id="766"/>
      <w:bookmarkEnd w:id="767"/>
      <w:bookmarkEnd w:id="768"/>
      <w:bookmarkEnd w:id="769"/>
      <w:bookmarkEnd w:id="770"/>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71" w:name="_Toc506107323"/>
    </w:p>
    <w:p w14:paraId="500CB5F4">
      <w:pPr>
        <w:pStyle w:val="6"/>
        <w:spacing w:beforeLines="50" w:afterLines="50"/>
        <w:rPr>
          <w:highlight w:val="none"/>
        </w:rPr>
      </w:pPr>
      <w:bookmarkStart w:id="772" w:name="_Toc35425111"/>
      <w:bookmarkStart w:id="773" w:name="_Toc35424945"/>
      <w:bookmarkStart w:id="774" w:name="_Toc15058912"/>
      <w:r>
        <w:rPr>
          <w:rFonts w:hint="eastAsia"/>
          <w:highlight w:val="none"/>
        </w:rPr>
        <w:br w:type="page"/>
      </w:r>
      <w:bookmarkStart w:id="775" w:name="_Toc78803380"/>
      <w:r>
        <w:rPr>
          <w:rFonts w:hint="eastAsia" w:ascii="Arial" w:hAnsi="Arial"/>
          <w:kern w:val="0"/>
          <w:sz w:val="32"/>
          <w:szCs w:val="32"/>
          <w:highlight w:val="none"/>
        </w:rPr>
        <w:t>第</w:t>
      </w:r>
      <w:r>
        <w:rPr>
          <w:rFonts w:hint="eastAsia" w:ascii="Arial" w:hAnsi="Arial"/>
          <w:kern w:val="0"/>
          <w:sz w:val="32"/>
          <w:szCs w:val="32"/>
          <w:highlight w:val="none"/>
          <w:lang w:val="en-US" w:eastAsia="zh-CN"/>
        </w:rPr>
        <w:t>四</w:t>
      </w:r>
      <w:r>
        <w:rPr>
          <w:rFonts w:hint="eastAsia" w:ascii="Arial" w:hAnsi="Arial"/>
          <w:kern w:val="0"/>
          <w:sz w:val="32"/>
          <w:szCs w:val="32"/>
          <w:highlight w:val="none"/>
        </w:rPr>
        <w:t>章 评标办法</w:t>
      </w:r>
      <w:bookmarkEnd w:id="623"/>
      <w:bookmarkEnd w:id="771"/>
      <w:bookmarkEnd w:id="772"/>
      <w:bookmarkEnd w:id="773"/>
      <w:bookmarkEnd w:id="774"/>
      <w:bookmarkEnd w:id="775"/>
    </w:p>
    <w:p w14:paraId="0B4C7729">
      <w:pPr>
        <w:pStyle w:val="2"/>
        <w:adjustRightInd w:val="0"/>
        <w:snapToGrid w:val="0"/>
        <w:spacing w:after="0" w:afterLines="0" w:line="560" w:lineRule="exact"/>
        <w:ind w:left="0" w:leftChars="0" w:firstLine="0" w:firstLineChars="0"/>
        <w:jc w:val="center"/>
        <w:rPr>
          <w:rFonts w:hint="eastAsia" w:ascii="Times New Roman" w:hAnsi="Times New Roman" w:eastAsia="宋体" w:cs="Times New Roman"/>
          <w:color w:val="000000"/>
          <w:sz w:val="25"/>
          <w:szCs w:val="24"/>
        </w:rPr>
      </w:pPr>
      <w:r>
        <w:rPr>
          <w:rFonts w:hint="eastAsia" w:ascii="Times New Roman" w:hAnsi="Times New Roman" w:eastAsia="宋体" w:cs="Times New Roman"/>
          <w:color w:val="000000"/>
          <w:sz w:val="25"/>
          <w:szCs w:val="24"/>
        </w:rPr>
        <w:t>商务标评审</w:t>
      </w:r>
    </w:p>
    <w:tbl>
      <w:tblPr>
        <w:tblStyle w:val="47"/>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80"/>
        <w:gridCol w:w="726"/>
        <w:gridCol w:w="2132"/>
        <w:gridCol w:w="5526"/>
      </w:tblGrid>
      <w:tr w14:paraId="7B94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0" w:type="dxa"/>
            <w:gridSpan w:val="2"/>
            <w:noWrap w:val="0"/>
            <w:vAlign w:val="center"/>
          </w:tcPr>
          <w:p w14:paraId="143D8C4E">
            <w:pPr>
              <w:adjustRightInd w:val="0"/>
              <w:snapToGrid w:val="0"/>
              <w:spacing w:line="560" w:lineRule="exact"/>
              <w:jc w:val="center"/>
              <w:rPr>
                <w:rFonts w:hint="eastAsia" w:ascii="宋体" w:hAnsi="宋体" w:cs="宋体"/>
                <w:color w:val="000000"/>
                <w:szCs w:val="21"/>
              </w:rPr>
            </w:pPr>
            <w:bookmarkStart w:id="776" w:name="_Toc152042366"/>
            <w:bookmarkStart w:id="777" w:name="_Toc506107324"/>
            <w:bookmarkStart w:id="778" w:name="_Toc144974556"/>
            <w:bookmarkStart w:id="779" w:name="_Toc15058913"/>
            <w:bookmarkStart w:id="780" w:name="_Toc35424947"/>
            <w:bookmarkStart w:id="781" w:name="_Toc246996975"/>
            <w:bookmarkStart w:id="782" w:name="_Toc324404872"/>
            <w:bookmarkStart w:id="783" w:name="_Toc246996232"/>
            <w:bookmarkStart w:id="784" w:name="_Toc247085747"/>
            <w:bookmarkStart w:id="785" w:name="_Toc6491"/>
            <w:bookmarkStart w:id="786" w:name="_Toc35425113"/>
            <w:bookmarkStart w:id="787" w:name="_Toc152045589"/>
            <w:bookmarkStart w:id="788" w:name="_Toc179632607"/>
            <w:bookmarkStart w:id="789" w:name="_Toc78803381"/>
            <w:r>
              <w:rPr>
                <w:rFonts w:hint="eastAsia" w:ascii="宋体" w:hAnsi="宋体" w:cs="宋体"/>
                <w:color w:val="000000"/>
                <w:szCs w:val="21"/>
              </w:rPr>
              <w:t>条款号</w:t>
            </w:r>
          </w:p>
        </w:tc>
        <w:tc>
          <w:tcPr>
            <w:tcW w:w="2858" w:type="dxa"/>
            <w:gridSpan w:val="2"/>
            <w:noWrap w:val="0"/>
            <w:vAlign w:val="center"/>
          </w:tcPr>
          <w:p w14:paraId="333E1D52">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评审因素</w:t>
            </w:r>
          </w:p>
        </w:tc>
        <w:tc>
          <w:tcPr>
            <w:tcW w:w="5526" w:type="dxa"/>
            <w:noWrap w:val="0"/>
            <w:vAlign w:val="center"/>
          </w:tcPr>
          <w:p w14:paraId="7FEED237">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评审标准</w:t>
            </w:r>
          </w:p>
        </w:tc>
      </w:tr>
      <w:tr w14:paraId="3305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0" w:type="dxa"/>
            <w:vMerge w:val="restart"/>
            <w:noWrap w:val="0"/>
            <w:vAlign w:val="center"/>
          </w:tcPr>
          <w:p w14:paraId="2ED09A3D">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lang w:val="en-US" w:eastAsia="zh-CN"/>
              </w:rPr>
              <w:t>1</w:t>
            </w:r>
            <w:r>
              <w:rPr>
                <w:rFonts w:hint="eastAsia" w:ascii="宋体" w:hAnsi="宋体" w:cs="宋体"/>
                <w:color w:val="000000"/>
                <w:szCs w:val="21"/>
              </w:rPr>
              <w:t>.1</w:t>
            </w:r>
          </w:p>
        </w:tc>
        <w:tc>
          <w:tcPr>
            <w:tcW w:w="780" w:type="dxa"/>
            <w:vMerge w:val="restart"/>
            <w:noWrap w:val="0"/>
            <w:vAlign w:val="center"/>
          </w:tcPr>
          <w:p w14:paraId="60C7E2F2">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形式评审标准</w:t>
            </w:r>
          </w:p>
        </w:tc>
        <w:tc>
          <w:tcPr>
            <w:tcW w:w="2858" w:type="dxa"/>
            <w:gridSpan w:val="2"/>
            <w:noWrap w:val="0"/>
            <w:vAlign w:val="center"/>
          </w:tcPr>
          <w:p w14:paraId="017775B0">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投标函签字盖章</w:t>
            </w:r>
          </w:p>
        </w:tc>
        <w:tc>
          <w:tcPr>
            <w:tcW w:w="5526" w:type="dxa"/>
            <w:noWrap w:val="0"/>
            <w:vAlign w:val="center"/>
          </w:tcPr>
          <w:p w14:paraId="3F81F23C">
            <w:pPr>
              <w:adjustRightInd w:val="0"/>
              <w:snapToGrid w:val="0"/>
              <w:spacing w:line="560" w:lineRule="exact"/>
              <w:jc w:val="left"/>
              <w:rPr>
                <w:rFonts w:hint="eastAsia" w:ascii="宋体" w:hAnsi="宋体" w:cs="宋体"/>
                <w:color w:val="000000"/>
                <w:szCs w:val="21"/>
              </w:rPr>
            </w:pPr>
            <w:r>
              <w:rPr>
                <w:rFonts w:hint="eastAsia" w:ascii="宋体" w:hAnsi="宋体" w:cs="宋体"/>
                <w:color w:val="000000"/>
                <w:szCs w:val="21"/>
              </w:rPr>
              <w:t>有投标人及其法定代表人签章。</w:t>
            </w:r>
          </w:p>
        </w:tc>
      </w:tr>
      <w:tr w14:paraId="6B0B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3700C00D">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065B03CB">
            <w:pPr>
              <w:widowControl/>
              <w:adjustRightInd w:val="0"/>
              <w:snapToGrid w:val="0"/>
              <w:spacing w:line="560" w:lineRule="exact"/>
              <w:jc w:val="left"/>
              <w:rPr>
                <w:rFonts w:hint="eastAsia" w:ascii="宋体" w:hAnsi="宋体" w:cs="宋体"/>
                <w:color w:val="000000"/>
                <w:szCs w:val="21"/>
              </w:rPr>
            </w:pPr>
          </w:p>
        </w:tc>
        <w:tc>
          <w:tcPr>
            <w:tcW w:w="2858" w:type="dxa"/>
            <w:gridSpan w:val="2"/>
            <w:noWrap w:val="0"/>
            <w:vAlign w:val="center"/>
          </w:tcPr>
          <w:p w14:paraId="241FD3CA">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投标文件格式</w:t>
            </w:r>
          </w:p>
        </w:tc>
        <w:tc>
          <w:tcPr>
            <w:tcW w:w="5526" w:type="dxa"/>
            <w:noWrap w:val="0"/>
            <w:vAlign w:val="center"/>
          </w:tcPr>
          <w:p w14:paraId="01312F3B">
            <w:pPr>
              <w:adjustRightInd w:val="0"/>
              <w:snapToGrid w:val="0"/>
              <w:spacing w:line="560" w:lineRule="exact"/>
              <w:jc w:val="left"/>
              <w:rPr>
                <w:rFonts w:hint="eastAsia" w:ascii="宋体" w:hAnsi="宋体" w:cs="宋体"/>
                <w:color w:val="000000"/>
                <w:szCs w:val="21"/>
              </w:rPr>
            </w:pPr>
            <w:r>
              <w:rPr>
                <w:rFonts w:hint="eastAsia" w:ascii="宋体" w:hAnsi="宋体" w:cs="宋体"/>
                <w:color w:val="000000"/>
                <w:szCs w:val="21"/>
              </w:rPr>
              <w:t>符合第九章“投标文件格式”的要求。</w:t>
            </w:r>
          </w:p>
        </w:tc>
      </w:tr>
      <w:tr w14:paraId="15BC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2C5FBDDE">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329A8809">
            <w:pPr>
              <w:widowControl/>
              <w:adjustRightInd w:val="0"/>
              <w:snapToGrid w:val="0"/>
              <w:spacing w:line="560" w:lineRule="exact"/>
              <w:jc w:val="left"/>
              <w:rPr>
                <w:rFonts w:hint="eastAsia" w:ascii="宋体" w:hAnsi="宋体" w:cs="宋体"/>
                <w:color w:val="000000"/>
                <w:szCs w:val="21"/>
              </w:rPr>
            </w:pPr>
          </w:p>
        </w:tc>
        <w:tc>
          <w:tcPr>
            <w:tcW w:w="2858" w:type="dxa"/>
            <w:gridSpan w:val="2"/>
            <w:noWrap w:val="0"/>
            <w:vAlign w:val="center"/>
          </w:tcPr>
          <w:p w14:paraId="4DF4A6F3">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商务标签字盖章</w:t>
            </w:r>
          </w:p>
        </w:tc>
        <w:tc>
          <w:tcPr>
            <w:tcW w:w="5526" w:type="dxa"/>
            <w:noWrap w:val="0"/>
            <w:vAlign w:val="center"/>
          </w:tcPr>
          <w:p w14:paraId="1C8555C3">
            <w:pPr>
              <w:adjustRightInd w:val="0"/>
              <w:snapToGrid w:val="0"/>
              <w:spacing w:line="560" w:lineRule="exact"/>
              <w:jc w:val="left"/>
              <w:rPr>
                <w:rFonts w:hint="eastAsia" w:ascii="宋体" w:hAnsi="宋体" w:cs="宋体"/>
                <w:color w:val="000000"/>
                <w:szCs w:val="21"/>
              </w:rPr>
            </w:pPr>
            <w:r>
              <w:rPr>
                <w:rFonts w:hint="eastAsia" w:ascii="宋体" w:hAnsi="宋体" w:cs="宋体"/>
                <w:color w:val="000000"/>
                <w:szCs w:val="21"/>
              </w:rPr>
              <w:t>按投标文件格式要求签章。</w:t>
            </w:r>
          </w:p>
        </w:tc>
      </w:tr>
      <w:tr w14:paraId="50CC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0" w:type="dxa"/>
            <w:vMerge w:val="continue"/>
            <w:noWrap w:val="0"/>
            <w:vAlign w:val="center"/>
          </w:tcPr>
          <w:p w14:paraId="6BBFE91B">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189EADC7">
            <w:pPr>
              <w:widowControl/>
              <w:adjustRightInd w:val="0"/>
              <w:snapToGrid w:val="0"/>
              <w:spacing w:line="560" w:lineRule="exact"/>
              <w:jc w:val="left"/>
              <w:rPr>
                <w:rFonts w:hint="eastAsia" w:ascii="宋体" w:hAnsi="宋体" w:cs="宋体"/>
                <w:color w:val="000000"/>
                <w:szCs w:val="21"/>
              </w:rPr>
            </w:pPr>
          </w:p>
        </w:tc>
        <w:tc>
          <w:tcPr>
            <w:tcW w:w="2858" w:type="dxa"/>
            <w:gridSpan w:val="2"/>
            <w:noWrap w:val="0"/>
            <w:vAlign w:val="center"/>
          </w:tcPr>
          <w:p w14:paraId="5F468EB6">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报价唯一</w:t>
            </w:r>
          </w:p>
        </w:tc>
        <w:tc>
          <w:tcPr>
            <w:tcW w:w="5526" w:type="dxa"/>
            <w:noWrap w:val="0"/>
            <w:vAlign w:val="center"/>
          </w:tcPr>
          <w:p w14:paraId="08DAAE97">
            <w:pPr>
              <w:adjustRightInd w:val="0"/>
              <w:snapToGrid w:val="0"/>
              <w:spacing w:line="560" w:lineRule="exact"/>
              <w:jc w:val="left"/>
              <w:rPr>
                <w:rFonts w:hint="eastAsia" w:ascii="宋体" w:hAnsi="宋体" w:cs="宋体"/>
                <w:color w:val="000000"/>
                <w:szCs w:val="21"/>
              </w:rPr>
            </w:pPr>
            <w:r>
              <w:rPr>
                <w:rFonts w:hint="eastAsia" w:ascii="宋体" w:hAnsi="宋体" w:cs="宋体"/>
                <w:color w:val="000000"/>
                <w:szCs w:val="21"/>
              </w:rPr>
              <w:t>只能有一个报价。</w:t>
            </w:r>
          </w:p>
        </w:tc>
      </w:tr>
      <w:tr w14:paraId="74F2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0" w:type="dxa"/>
            <w:vMerge w:val="restart"/>
            <w:noWrap w:val="0"/>
            <w:vAlign w:val="center"/>
          </w:tcPr>
          <w:p w14:paraId="59F3DEE5">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lang w:val="en-US" w:eastAsia="zh-CN"/>
              </w:rPr>
              <w:t>1</w:t>
            </w:r>
            <w:r>
              <w:rPr>
                <w:rFonts w:hint="eastAsia" w:ascii="宋体" w:hAnsi="宋体" w:cs="宋体"/>
                <w:color w:val="000000"/>
                <w:szCs w:val="21"/>
              </w:rPr>
              <w:t>.2</w:t>
            </w:r>
          </w:p>
        </w:tc>
        <w:tc>
          <w:tcPr>
            <w:tcW w:w="780" w:type="dxa"/>
            <w:vMerge w:val="restart"/>
            <w:noWrap w:val="0"/>
            <w:vAlign w:val="center"/>
          </w:tcPr>
          <w:p w14:paraId="1D89A365">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响应性评审标准</w:t>
            </w:r>
          </w:p>
          <w:p w14:paraId="1C9DD95C">
            <w:pPr>
              <w:adjustRightInd w:val="0"/>
              <w:snapToGrid w:val="0"/>
              <w:spacing w:line="560" w:lineRule="exact"/>
              <w:jc w:val="center"/>
              <w:rPr>
                <w:rFonts w:hint="eastAsia" w:ascii="宋体" w:hAnsi="宋体" w:cs="宋体"/>
                <w:color w:val="000000"/>
                <w:szCs w:val="21"/>
              </w:rPr>
            </w:pPr>
          </w:p>
        </w:tc>
        <w:tc>
          <w:tcPr>
            <w:tcW w:w="2858" w:type="dxa"/>
            <w:gridSpan w:val="2"/>
            <w:noWrap w:val="0"/>
            <w:vAlign w:val="center"/>
          </w:tcPr>
          <w:p w14:paraId="11A690D3">
            <w:pPr>
              <w:adjustRightInd w:val="0"/>
              <w:snapToGrid w:val="0"/>
              <w:spacing w:line="560" w:lineRule="exact"/>
              <w:jc w:val="left"/>
              <w:rPr>
                <w:rFonts w:hint="eastAsia" w:ascii="宋体" w:hAnsi="宋体" w:cs="宋体"/>
                <w:color w:val="000000"/>
                <w:szCs w:val="21"/>
              </w:rPr>
            </w:pPr>
            <w:r>
              <w:rPr>
                <w:rFonts w:hint="eastAsia" w:ascii="宋体" w:hAnsi="宋体" w:cs="宋体"/>
                <w:color w:val="000000"/>
                <w:szCs w:val="21"/>
              </w:rPr>
              <w:t>工期</w:t>
            </w:r>
          </w:p>
        </w:tc>
        <w:tc>
          <w:tcPr>
            <w:tcW w:w="5526" w:type="dxa"/>
            <w:noWrap w:val="0"/>
            <w:vAlign w:val="center"/>
          </w:tcPr>
          <w:p w14:paraId="45957E2D">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符合投标须知前附表规定。</w:t>
            </w:r>
          </w:p>
        </w:tc>
      </w:tr>
      <w:tr w14:paraId="7E4E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913C3E4">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1E28DC8E">
            <w:pPr>
              <w:widowControl/>
              <w:adjustRightInd w:val="0"/>
              <w:snapToGrid w:val="0"/>
              <w:spacing w:line="560" w:lineRule="exact"/>
              <w:jc w:val="left"/>
              <w:rPr>
                <w:rFonts w:hint="eastAsia" w:ascii="宋体" w:hAnsi="宋体" w:cs="宋体"/>
                <w:color w:val="000000"/>
                <w:szCs w:val="21"/>
              </w:rPr>
            </w:pPr>
          </w:p>
        </w:tc>
        <w:tc>
          <w:tcPr>
            <w:tcW w:w="2858" w:type="dxa"/>
            <w:gridSpan w:val="2"/>
            <w:noWrap w:val="0"/>
            <w:vAlign w:val="center"/>
          </w:tcPr>
          <w:p w14:paraId="2072AC6F">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工程质量</w:t>
            </w:r>
          </w:p>
        </w:tc>
        <w:tc>
          <w:tcPr>
            <w:tcW w:w="5526" w:type="dxa"/>
            <w:noWrap w:val="0"/>
            <w:vAlign w:val="center"/>
          </w:tcPr>
          <w:p w14:paraId="249DF313">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符合投标须知前附表规定。</w:t>
            </w:r>
          </w:p>
        </w:tc>
      </w:tr>
      <w:tr w14:paraId="4025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6F9F4B0">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5B7E47B5">
            <w:pPr>
              <w:widowControl/>
              <w:adjustRightInd w:val="0"/>
              <w:snapToGrid w:val="0"/>
              <w:spacing w:line="560" w:lineRule="exact"/>
              <w:jc w:val="left"/>
              <w:rPr>
                <w:rFonts w:hint="eastAsia" w:ascii="宋体" w:hAnsi="宋体" w:cs="宋体"/>
                <w:color w:val="000000"/>
                <w:szCs w:val="21"/>
              </w:rPr>
            </w:pPr>
          </w:p>
        </w:tc>
        <w:tc>
          <w:tcPr>
            <w:tcW w:w="2858" w:type="dxa"/>
            <w:gridSpan w:val="2"/>
            <w:noWrap w:val="0"/>
            <w:vAlign w:val="center"/>
          </w:tcPr>
          <w:p w14:paraId="01A8BD8F">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投标有效期</w:t>
            </w:r>
          </w:p>
        </w:tc>
        <w:tc>
          <w:tcPr>
            <w:tcW w:w="5526" w:type="dxa"/>
            <w:noWrap w:val="0"/>
            <w:vAlign w:val="center"/>
          </w:tcPr>
          <w:p w14:paraId="74AE9B67">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符合投标须知前附表规定。</w:t>
            </w:r>
          </w:p>
        </w:tc>
      </w:tr>
      <w:tr w14:paraId="791B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80" w:type="dxa"/>
            <w:vMerge w:val="continue"/>
            <w:noWrap w:val="0"/>
            <w:vAlign w:val="center"/>
          </w:tcPr>
          <w:p w14:paraId="06476577">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77B19A98">
            <w:pPr>
              <w:widowControl/>
              <w:adjustRightInd w:val="0"/>
              <w:snapToGrid w:val="0"/>
              <w:spacing w:line="560" w:lineRule="exact"/>
              <w:jc w:val="left"/>
              <w:rPr>
                <w:rFonts w:hint="eastAsia" w:ascii="宋体" w:hAnsi="宋体" w:cs="宋体"/>
                <w:color w:val="000000"/>
                <w:szCs w:val="21"/>
              </w:rPr>
            </w:pPr>
          </w:p>
        </w:tc>
        <w:tc>
          <w:tcPr>
            <w:tcW w:w="2858" w:type="dxa"/>
            <w:gridSpan w:val="2"/>
            <w:noWrap w:val="0"/>
            <w:vAlign w:val="center"/>
          </w:tcPr>
          <w:p w14:paraId="07F08AC4">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已标价工程量清单</w:t>
            </w:r>
          </w:p>
        </w:tc>
        <w:tc>
          <w:tcPr>
            <w:tcW w:w="5526" w:type="dxa"/>
            <w:noWrap w:val="0"/>
            <w:vAlign w:val="center"/>
          </w:tcPr>
          <w:p w14:paraId="5A9D37A3">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与招标人发布的招标工程量清单（含需评审材料清单）排序一致。</w:t>
            </w:r>
          </w:p>
        </w:tc>
      </w:tr>
      <w:tr w14:paraId="1357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591FD257">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777044C5">
            <w:pPr>
              <w:widowControl/>
              <w:adjustRightInd w:val="0"/>
              <w:snapToGrid w:val="0"/>
              <w:spacing w:line="560" w:lineRule="exact"/>
              <w:jc w:val="left"/>
              <w:rPr>
                <w:rFonts w:hint="eastAsia" w:ascii="宋体" w:hAnsi="宋体" w:cs="宋体"/>
                <w:color w:val="000000"/>
                <w:szCs w:val="21"/>
              </w:rPr>
            </w:pPr>
          </w:p>
        </w:tc>
        <w:tc>
          <w:tcPr>
            <w:tcW w:w="2858" w:type="dxa"/>
            <w:gridSpan w:val="2"/>
            <w:noWrap w:val="0"/>
            <w:vAlign w:val="center"/>
          </w:tcPr>
          <w:p w14:paraId="05FAB150">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投标总价评审</w:t>
            </w:r>
          </w:p>
        </w:tc>
        <w:tc>
          <w:tcPr>
            <w:tcW w:w="5526" w:type="dxa"/>
            <w:noWrap w:val="0"/>
            <w:vAlign w:val="center"/>
          </w:tcPr>
          <w:p w14:paraId="2D6FC50A">
            <w:pPr>
              <w:adjustRightInd w:val="0"/>
              <w:snapToGrid w:val="0"/>
              <w:spacing w:line="560" w:lineRule="exact"/>
              <w:rPr>
                <w:rFonts w:hint="eastAsia" w:ascii="宋体" w:hAnsi="宋体" w:cs="宋体"/>
                <w:color w:val="000000"/>
                <w:spacing w:val="-6"/>
                <w:szCs w:val="21"/>
              </w:rPr>
            </w:pPr>
            <w:r>
              <w:rPr>
                <w:rFonts w:hint="eastAsia" w:ascii="宋体" w:hAnsi="宋体" w:cs="宋体"/>
                <w:color w:val="000000"/>
                <w:spacing w:val="-6"/>
                <w:szCs w:val="21"/>
              </w:rPr>
              <w:t>不得高于最高投标限价，也不得低于工程成本价。</w:t>
            </w:r>
          </w:p>
        </w:tc>
      </w:tr>
      <w:tr w14:paraId="3984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79ABFBDD">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68A09FDB">
            <w:pPr>
              <w:widowControl/>
              <w:adjustRightInd w:val="0"/>
              <w:snapToGrid w:val="0"/>
              <w:spacing w:line="560" w:lineRule="exact"/>
              <w:jc w:val="left"/>
              <w:rPr>
                <w:rFonts w:hint="eastAsia" w:ascii="宋体" w:hAnsi="宋体" w:cs="宋体"/>
                <w:color w:val="000000"/>
                <w:szCs w:val="21"/>
              </w:rPr>
            </w:pPr>
          </w:p>
        </w:tc>
        <w:tc>
          <w:tcPr>
            <w:tcW w:w="2858" w:type="dxa"/>
            <w:gridSpan w:val="2"/>
            <w:noWrap w:val="0"/>
            <w:vAlign w:val="center"/>
          </w:tcPr>
          <w:p w14:paraId="794CFD2A">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暂列金额、专业工程暂估价、分部分项工程材料及设备暂估价</w:t>
            </w:r>
          </w:p>
        </w:tc>
        <w:tc>
          <w:tcPr>
            <w:tcW w:w="5526" w:type="dxa"/>
            <w:noWrap w:val="0"/>
            <w:vAlign w:val="center"/>
          </w:tcPr>
          <w:p w14:paraId="758224C5">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与招标人发布的招标工程量清单一致。</w:t>
            </w:r>
          </w:p>
        </w:tc>
      </w:tr>
      <w:tr w14:paraId="63E2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0" w:type="dxa"/>
            <w:vMerge w:val="restart"/>
            <w:noWrap w:val="0"/>
            <w:vAlign w:val="center"/>
          </w:tcPr>
          <w:p w14:paraId="73EFED65">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lang w:val="en-US" w:eastAsia="zh-CN"/>
              </w:rPr>
              <w:t>1</w:t>
            </w:r>
            <w:r>
              <w:rPr>
                <w:rFonts w:hint="eastAsia" w:ascii="宋体" w:hAnsi="宋体" w:cs="宋体"/>
                <w:color w:val="000000"/>
                <w:szCs w:val="21"/>
              </w:rPr>
              <w:t>.3</w:t>
            </w:r>
          </w:p>
        </w:tc>
        <w:tc>
          <w:tcPr>
            <w:tcW w:w="780" w:type="dxa"/>
            <w:vMerge w:val="restart"/>
            <w:noWrap w:val="0"/>
            <w:vAlign w:val="center"/>
          </w:tcPr>
          <w:p w14:paraId="7D8BD968">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详细评审标准</w:t>
            </w:r>
          </w:p>
          <w:p w14:paraId="58DF61B8">
            <w:pPr>
              <w:adjustRightInd w:val="0"/>
              <w:snapToGrid w:val="0"/>
              <w:spacing w:line="560" w:lineRule="exact"/>
              <w:jc w:val="center"/>
              <w:rPr>
                <w:rFonts w:hint="eastAsia" w:ascii="宋体" w:hAnsi="宋体" w:cs="宋体"/>
                <w:color w:val="000000"/>
                <w:szCs w:val="21"/>
              </w:rPr>
            </w:pPr>
          </w:p>
        </w:tc>
        <w:tc>
          <w:tcPr>
            <w:tcW w:w="726" w:type="dxa"/>
            <w:vMerge w:val="restart"/>
            <w:noWrap w:val="0"/>
            <w:vAlign w:val="center"/>
          </w:tcPr>
          <w:p w14:paraId="2DF5E7EB">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工程成本评审</w:t>
            </w:r>
          </w:p>
        </w:tc>
        <w:tc>
          <w:tcPr>
            <w:tcW w:w="7658" w:type="dxa"/>
            <w:gridSpan w:val="2"/>
            <w:noWrap w:val="0"/>
            <w:vAlign w:val="center"/>
          </w:tcPr>
          <w:p w14:paraId="32DD8D41">
            <w:pPr>
              <w:adjustRightInd w:val="0"/>
              <w:snapToGrid w:val="0"/>
              <w:spacing w:line="560" w:lineRule="exact"/>
              <w:rPr>
                <w:rFonts w:hint="eastAsia" w:ascii="宋体" w:hAnsi="宋体" w:cs="宋体"/>
                <w:color w:val="000000"/>
                <w:spacing w:val="-6"/>
                <w:szCs w:val="21"/>
              </w:rPr>
            </w:pPr>
            <w:r>
              <w:rPr>
                <w:rFonts w:hint="eastAsia" w:ascii="宋体" w:hAnsi="宋体" w:cs="宋体"/>
                <w:color w:val="000000"/>
                <w:spacing w:val="-6"/>
                <w:szCs w:val="21"/>
              </w:rPr>
              <w:t>投标报价出现下列情形之一的，由评标委员会重点评审后界定其报价是否低于工程成本：</w:t>
            </w:r>
          </w:p>
        </w:tc>
      </w:tr>
      <w:tr w14:paraId="54FF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0" w:type="dxa"/>
            <w:vMerge w:val="continue"/>
            <w:noWrap w:val="0"/>
            <w:vAlign w:val="center"/>
          </w:tcPr>
          <w:p w14:paraId="51566DF5">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01F3AA38">
            <w:pPr>
              <w:widowControl/>
              <w:adjustRightInd w:val="0"/>
              <w:snapToGrid w:val="0"/>
              <w:spacing w:line="560" w:lineRule="exact"/>
              <w:jc w:val="left"/>
              <w:rPr>
                <w:rFonts w:hint="eastAsia" w:ascii="宋体" w:hAnsi="宋体" w:cs="宋体"/>
                <w:color w:val="000000"/>
                <w:szCs w:val="21"/>
              </w:rPr>
            </w:pPr>
          </w:p>
        </w:tc>
        <w:tc>
          <w:tcPr>
            <w:tcW w:w="726" w:type="dxa"/>
            <w:vMerge w:val="continue"/>
            <w:noWrap w:val="0"/>
            <w:vAlign w:val="center"/>
          </w:tcPr>
          <w:p w14:paraId="19D79C0D">
            <w:pPr>
              <w:adjustRightInd w:val="0"/>
              <w:snapToGrid w:val="0"/>
              <w:spacing w:line="560" w:lineRule="exact"/>
              <w:rPr>
                <w:rFonts w:hint="eastAsia" w:ascii="宋体" w:hAnsi="宋体" w:cs="宋体"/>
                <w:color w:val="000000"/>
                <w:szCs w:val="21"/>
              </w:rPr>
            </w:pPr>
          </w:p>
        </w:tc>
        <w:tc>
          <w:tcPr>
            <w:tcW w:w="2132" w:type="dxa"/>
            <w:noWrap w:val="0"/>
            <w:vAlign w:val="center"/>
          </w:tcPr>
          <w:p w14:paraId="5AC781F5">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投标报价</w:t>
            </w:r>
          </w:p>
        </w:tc>
        <w:tc>
          <w:tcPr>
            <w:tcW w:w="5526" w:type="dxa"/>
            <w:noWrap w:val="0"/>
            <w:vAlign w:val="center"/>
          </w:tcPr>
          <w:p w14:paraId="420023CD">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投标报价低于本项目通过资信评审且商务标初步评审合格的有效投标报价平均值</w:t>
            </w:r>
            <w:r>
              <w:rPr>
                <w:rFonts w:hint="eastAsia" w:ascii="宋体" w:hAnsi="宋体" w:cs="宋体"/>
                <w:color w:val="000000"/>
                <w:szCs w:val="21"/>
                <w:highlight w:val="none"/>
              </w:rPr>
              <w:t>10%以上【有效投标报价平均值*（1-10%）】。</w:t>
            </w:r>
          </w:p>
        </w:tc>
      </w:tr>
      <w:tr w14:paraId="6276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0" w:type="dxa"/>
            <w:vMerge w:val="continue"/>
            <w:noWrap w:val="0"/>
            <w:vAlign w:val="center"/>
          </w:tcPr>
          <w:p w14:paraId="71C10CE6">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1B3CE21E">
            <w:pPr>
              <w:widowControl/>
              <w:adjustRightInd w:val="0"/>
              <w:snapToGrid w:val="0"/>
              <w:spacing w:line="560" w:lineRule="exact"/>
              <w:jc w:val="left"/>
              <w:rPr>
                <w:rFonts w:hint="eastAsia" w:ascii="宋体" w:hAnsi="宋体" w:cs="宋体"/>
                <w:color w:val="000000"/>
                <w:szCs w:val="21"/>
              </w:rPr>
            </w:pPr>
          </w:p>
        </w:tc>
        <w:tc>
          <w:tcPr>
            <w:tcW w:w="726" w:type="dxa"/>
            <w:vMerge w:val="continue"/>
            <w:noWrap w:val="0"/>
            <w:vAlign w:val="center"/>
          </w:tcPr>
          <w:p w14:paraId="76003544">
            <w:pPr>
              <w:adjustRightInd w:val="0"/>
              <w:snapToGrid w:val="0"/>
              <w:spacing w:line="560" w:lineRule="exact"/>
              <w:rPr>
                <w:rFonts w:hint="eastAsia" w:ascii="宋体" w:hAnsi="宋体" w:cs="宋体"/>
                <w:color w:val="000000"/>
                <w:szCs w:val="21"/>
              </w:rPr>
            </w:pPr>
          </w:p>
        </w:tc>
        <w:tc>
          <w:tcPr>
            <w:tcW w:w="2132" w:type="dxa"/>
            <w:noWrap w:val="0"/>
            <w:vAlign w:val="center"/>
          </w:tcPr>
          <w:p w14:paraId="2EB8AAFF">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报价内容完整性</w:t>
            </w:r>
          </w:p>
        </w:tc>
        <w:tc>
          <w:tcPr>
            <w:tcW w:w="5526" w:type="dxa"/>
            <w:noWrap w:val="0"/>
            <w:vAlign w:val="center"/>
          </w:tcPr>
          <w:p w14:paraId="3929F4E0">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因投标人原因造成投标报价清单缺漏，缺漏项总额（多算或多报总额不得抵消缺漏项目总额）累计占本项目通过资信、技术评审且商务标初步评审合格</w:t>
            </w:r>
            <w:r>
              <w:rPr>
                <w:rFonts w:hint="eastAsia" w:ascii="宋体" w:hAnsi="宋体" w:cs="宋体"/>
                <w:color w:val="000000"/>
                <w:spacing w:val="-6"/>
                <w:szCs w:val="21"/>
              </w:rPr>
              <w:t>有效投标总报价平均值5%以上。</w:t>
            </w:r>
          </w:p>
        </w:tc>
      </w:tr>
      <w:tr w14:paraId="16FD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0" w:type="dxa"/>
            <w:vMerge w:val="continue"/>
            <w:noWrap w:val="0"/>
            <w:vAlign w:val="center"/>
          </w:tcPr>
          <w:p w14:paraId="3A000D0E">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0A1E4DE7">
            <w:pPr>
              <w:widowControl/>
              <w:adjustRightInd w:val="0"/>
              <w:snapToGrid w:val="0"/>
              <w:spacing w:line="560" w:lineRule="exact"/>
              <w:jc w:val="left"/>
              <w:rPr>
                <w:rFonts w:hint="eastAsia" w:ascii="宋体" w:hAnsi="宋体" w:cs="宋体"/>
                <w:color w:val="000000"/>
                <w:szCs w:val="21"/>
              </w:rPr>
            </w:pPr>
          </w:p>
        </w:tc>
        <w:tc>
          <w:tcPr>
            <w:tcW w:w="726" w:type="dxa"/>
            <w:vMerge w:val="continue"/>
            <w:noWrap w:val="0"/>
            <w:vAlign w:val="center"/>
          </w:tcPr>
          <w:p w14:paraId="731DAB72">
            <w:pPr>
              <w:adjustRightInd w:val="0"/>
              <w:snapToGrid w:val="0"/>
              <w:spacing w:line="560" w:lineRule="exact"/>
              <w:rPr>
                <w:rFonts w:hint="eastAsia" w:ascii="宋体" w:hAnsi="宋体" w:cs="宋体"/>
                <w:color w:val="000000"/>
                <w:szCs w:val="21"/>
              </w:rPr>
            </w:pPr>
          </w:p>
        </w:tc>
        <w:tc>
          <w:tcPr>
            <w:tcW w:w="2132" w:type="dxa"/>
            <w:noWrap w:val="0"/>
            <w:vAlign w:val="center"/>
          </w:tcPr>
          <w:p w14:paraId="619F9A52">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人工工日单价</w:t>
            </w:r>
          </w:p>
        </w:tc>
        <w:tc>
          <w:tcPr>
            <w:tcW w:w="5526" w:type="dxa"/>
            <w:noWrap w:val="0"/>
            <w:vAlign w:val="center"/>
          </w:tcPr>
          <w:p w14:paraId="683A246D">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不得低于招标人发布的最高投标限价中的人工工日单价。</w:t>
            </w:r>
          </w:p>
        </w:tc>
      </w:tr>
      <w:tr w14:paraId="4C15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0" w:type="dxa"/>
            <w:vMerge w:val="continue"/>
            <w:noWrap w:val="0"/>
            <w:vAlign w:val="center"/>
          </w:tcPr>
          <w:p w14:paraId="04E70ACA">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65EBCBB5">
            <w:pPr>
              <w:widowControl/>
              <w:adjustRightInd w:val="0"/>
              <w:snapToGrid w:val="0"/>
              <w:spacing w:line="560" w:lineRule="exact"/>
              <w:jc w:val="left"/>
              <w:rPr>
                <w:rFonts w:hint="eastAsia" w:ascii="宋体" w:hAnsi="宋体" w:cs="宋体"/>
                <w:color w:val="000000"/>
                <w:szCs w:val="21"/>
              </w:rPr>
            </w:pPr>
          </w:p>
        </w:tc>
        <w:tc>
          <w:tcPr>
            <w:tcW w:w="726" w:type="dxa"/>
            <w:vMerge w:val="continue"/>
            <w:noWrap w:val="0"/>
            <w:vAlign w:val="center"/>
          </w:tcPr>
          <w:p w14:paraId="1D147603">
            <w:pPr>
              <w:adjustRightInd w:val="0"/>
              <w:snapToGrid w:val="0"/>
              <w:spacing w:line="560" w:lineRule="exact"/>
              <w:rPr>
                <w:rFonts w:hint="eastAsia" w:ascii="宋体" w:hAnsi="宋体" w:cs="宋体"/>
                <w:color w:val="000000"/>
                <w:szCs w:val="21"/>
              </w:rPr>
            </w:pPr>
          </w:p>
        </w:tc>
        <w:tc>
          <w:tcPr>
            <w:tcW w:w="2132" w:type="dxa"/>
            <w:noWrap w:val="0"/>
            <w:vAlign w:val="center"/>
          </w:tcPr>
          <w:p w14:paraId="6A47ABF1">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需评审材料数量</w:t>
            </w:r>
          </w:p>
        </w:tc>
        <w:tc>
          <w:tcPr>
            <w:tcW w:w="5526" w:type="dxa"/>
            <w:noWrap w:val="0"/>
            <w:vAlign w:val="center"/>
          </w:tcPr>
          <w:p w14:paraId="31DFAFEF">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需评审的主要材料消耗量低于最高投标限价相应材料数量的5%以上，且低于本项目通过资信、技术评审且商务标初步评审合格有效投标报价相应材料消耗量平均值的3%以上。</w:t>
            </w:r>
          </w:p>
        </w:tc>
      </w:tr>
      <w:tr w14:paraId="2CB2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80" w:type="dxa"/>
            <w:vMerge w:val="continue"/>
            <w:noWrap w:val="0"/>
            <w:vAlign w:val="center"/>
          </w:tcPr>
          <w:p w14:paraId="30BA451C">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51C93CCD">
            <w:pPr>
              <w:widowControl/>
              <w:adjustRightInd w:val="0"/>
              <w:snapToGrid w:val="0"/>
              <w:spacing w:line="560" w:lineRule="exact"/>
              <w:jc w:val="left"/>
              <w:rPr>
                <w:rFonts w:hint="eastAsia" w:ascii="宋体" w:hAnsi="宋体" w:cs="宋体"/>
                <w:color w:val="000000"/>
                <w:szCs w:val="21"/>
              </w:rPr>
            </w:pPr>
          </w:p>
        </w:tc>
        <w:tc>
          <w:tcPr>
            <w:tcW w:w="726" w:type="dxa"/>
            <w:vMerge w:val="continue"/>
            <w:noWrap w:val="0"/>
            <w:vAlign w:val="center"/>
          </w:tcPr>
          <w:p w14:paraId="0063FD85">
            <w:pPr>
              <w:adjustRightInd w:val="0"/>
              <w:snapToGrid w:val="0"/>
              <w:spacing w:line="560" w:lineRule="exact"/>
              <w:rPr>
                <w:rFonts w:hint="eastAsia" w:ascii="宋体" w:hAnsi="宋体" w:cs="宋体"/>
                <w:color w:val="000000"/>
                <w:szCs w:val="21"/>
              </w:rPr>
            </w:pPr>
          </w:p>
        </w:tc>
        <w:tc>
          <w:tcPr>
            <w:tcW w:w="2132" w:type="dxa"/>
            <w:noWrap w:val="0"/>
            <w:vAlign w:val="center"/>
          </w:tcPr>
          <w:p w14:paraId="6A09C48E">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施工机具使用费</w:t>
            </w:r>
          </w:p>
        </w:tc>
        <w:tc>
          <w:tcPr>
            <w:tcW w:w="5526" w:type="dxa"/>
            <w:noWrap w:val="0"/>
            <w:vAlign w:val="center"/>
          </w:tcPr>
          <w:p w14:paraId="51313799">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施工机具使用费低于本项目通过资信、技术评审且商务标初步评审合格有效投标报价施工机具使用费平均值的10%以上。</w:t>
            </w:r>
          </w:p>
        </w:tc>
      </w:tr>
      <w:tr w14:paraId="5FF1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49A1683D">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0B1E25CF">
            <w:pPr>
              <w:widowControl/>
              <w:adjustRightInd w:val="0"/>
              <w:snapToGrid w:val="0"/>
              <w:spacing w:line="560" w:lineRule="exact"/>
              <w:jc w:val="left"/>
              <w:rPr>
                <w:rFonts w:hint="eastAsia" w:ascii="宋体" w:hAnsi="宋体" w:cs="宋体"/>
                <w:color w:val="000000"/>
                <w:szCs w:val="21"/>
              </w:rPr>
            </w:pPr>
          </w:p>
        </w:tc>
        <w:tc>
          <w:tcPr>
            <w:tcW w:w="726" w:type="dxa"/>
            <w:vMerge w:val="continue"/>
            <w:noWrap w:val="0"/>
            <w:vAlign w:val="center"/>
          </w:tcPr>
          <w:p w14:paraId="6B38FF5F">
            <w:pPr>
              <w:adjustRightInd w:val="0"/>
              <w:snapToGrid w:val="0"/>
              <w:spacing w:line="560" w:lineRule="exact"/>
              <w:rPr>
                <w:rFonts w:hint="eastAsia" w:ascii="宋体" w:hAnsi="宋体" w:cs="宋体"/>
                <w:color w:val="000000"/>
                <w:szCs w:val="21"/>
              </w:rPr>
            </w:pPr>
          </w:p>
        </w:tc>
        <w:tc>
          <w:tcPr>
            <w:tcW w:w="2132" w:type="dxa"/>
            <w:noWrap w:val="0"/>
            <w:vAlign w:val="center"/>
          </w:tcPr>
          <w:p w14:paraId="66DDDDDE">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管理费和利润费率</w:t>
            </w:r>
          </w:p>
        </w:tc>
        <w:tc>
          <w:tcPr>
            <w:tcW w:w="5526" w:type="dxa"/>
            <w:noWrap w:val="0"/>
            <w:vAlign w:val="center"/>
          </w:tcPr>
          <w:p w14:paraId="509628F3">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管理费、利润投标费率低于0%。</w:t>
            </w:r>
          </w:p>
        </w:tc>
      </w:tr>
      <w:tr w14:paraId="7033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0" w:type="dxa"/>
            <w:vMerge w:val="continue"/>
            <w:noWrap w:val="0"/>
            <w:vAlign w:val="center"/>
          </w:tcPr>
          <w:p w14:paraId="41990130">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432BA945">
            <w:pPr>
              <w:widowControl/>
              <w:adjustRightInd w:val="0"/>
              <w:snapToGrid w:val="0"/>
              <w:spacing w:line="560" w:lineRule="exact"/>
              <w:jc w:val="left"/>
              <w:rPr>
                <w:rFonts w:hint="eastAsia" w:ascii="宋体" w:hAnsi="宋体" w:cs="宋体"/>
                <w:color w:val="000000"/>
                <w:szCs w:val="21"/>
              </w:rPr>
            </w:pPr>
          </w:p>
        </w:tc>
        <w:tc>
          <w:tcPr>
            <w:tcW w:w="726" w:type="dxa"/>
            <w:vMerge w:val="restart"/>
            <w:noWrap w:val="0"/>
            <w:vAlign w:val="center"/>
          </w:tcPr>
          <w:p w14:paraId="2B24A4EC">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无效报价</w:t>
            </w:r>
          </w:p>
        </w:tc>
        <w:tc>
          <w:tcPr>
            <w:tcW w:w="2132" w:type="dxa"/>
            <w:noWrap w:val="0"/>
            <w:vAlign w:val="center"/>
          </w:tcPr>
          <w:p w14:paraId="363CA32C">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暂估价材料、设备</w:t>
            </w:r>
          </w:p>
        </w:tc>
        <w:tc>
          <w:tcPr>
            <w:tcW w:w="5526" w:type="dxa"/>
            <w:noWrap w:val="0"/>
            <w:vAlign w:val="center"/>
          </w:tcPr>
          <w:p w14:paraId="25E3D995">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材料、设备暂估价未按要求计入分部分项工程费。</w:t>
            </w:r>
          </w:p>
        </w:tc>
      </w:tr>
      <w:tr w14:paraId="5EAF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07CBC926">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62AF491C">
            <w:pPr>
              <w:widowControl/>
              <w:adjustRightInd w:val="0"/>
              <w:snapToGrid w:val="0"/>
              <w:spacing w:line="560" w:lineRule="exact"/>
              <w:jc w:val="left"/>
              <w:rPr>
                <w:rFonts w:hint="eastAsia" w:ascii="宋体" w:hAnsi="宋体" w:cs="宋体"/>
                <w:color w:val="000000"/>
                <w:szCs w:val="21"/>
              </w:rPr>
            </w:pPr>
          </w:p>
        </w:tc>
        <w:tc>
          <w:tcPr>
            <w:tcW w:w="726" w:type="dxa"/>
            <w:vMerge w:val="continue"/>
            <w:noWrap w:val="0"/>
            <w:vAlign w:val="center"/>
          </w:tcPr>
          <w:p w14:paraId="541E5D99">
            <w:pPr>
              <w:adjustRightInd w:val="0"/>
              <w:snapToGrid w:val="0"/>
              <w:spacing w:line="560" w:lineRule="exact"/>
              <w:rPr>
                <w:rFonts w:hint="eastAsia" w:ascii="宋体" w:hAnsi="宋体" w:cs="宋体"/>
                <w:color w:val="000000"/>
                <w:szCs w:val="21"/>
              </w:rPr>
            </w:pPr>
          </w:p>
        </w:tc>
        <w:tc>
          <w:tcPr>
            <w:tcW w:w="2132" w:type="dxa"/>
            <w:noWrap w:val="0"/>
            <w:vAlign w:val="center"/>
          </w:tcPr>
          <w:p w14:paraId="2B98A86E">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不可竞争项目费费率</w:t>
            </w:r>
          </w:p>
        </w:tc>
        <w:tc>
          <w:tcPr>
            <w:tcW w:w="5526" w:type="dxa"/>
            <w:noWrap w:val="0"/>
            <w:vAlign w:val="center"/>
          </w:tcPr>
          <w:p w14:paraId="135D3123">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低于建标〔2021〕42号文规定的费率。</w:t>
            </w:r>
          </w:p>
        </w:tc>
      </w:tr>
      <w:tr w14:paraId="6B98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1EBE9E12">
            <w:pPr>
              <w:widowControl/>
              <w:adjustRightInd w:val="0"/>
              <w:snapToGrid w:val="0"/>
              <w:spacing w:line="560" w:lineRule="exact"/>
              <w:jc w:val="left"/>
              <w:rPr>
                <w:rFonts w:hint="eastAsia" w:ascii="宋体" w:hAnsi="宋体" w:cs="宋体"/>
                <w:color w:val="000000"/>
                <w:szCs w:val="21"/>
              </w:rPr>
            </w:pPr>
          </w:p>
        </w:tc>
        <w:tc>
          <w:tcPr>
            <w:tcW w:w="780" w:type="dxa"/>
            <w:vMerge w:val="continue"/>
            <w:noWrap w:val="0"/>
            <w:vAlign w:val="center"/>
          </w:tcPr>
          <w:p w14:paraId="34C068CC">
            <w:pPr>
              <w:widowControl/>
              <w:adjustRightInd w:val="0"/>
              <w:snapToGrid w:val="0"/>
              <w:spacing w:line="560" w:lineRule="exact"/>
              <w:jc w:val="left"/>
              <w:rPr>
                <w:rFonts w:hint="eastAsia" w:ascii="宋体" w:hAnsi="宋体" w:cs="宋体"/>
                <w:color w:val="000000"/>
                <w:szCs w:val="21"/>
              </w:rPr>
            </w:pPr>
          </w:p>
        </w:tc>
        <w:tc>
          <w:tcPr>
            <w:tcW w:w="726" w:type="dxa"/>
            <w:vMerge w:val="continue"/>
            <w:noWrap w:val="0"/>
            <w:vAlign w:val="center"/>
          </w:tcPr>
          <w:p w14:paraId="5268274B">
            <w:pPr>
              <w:adjustRightInd w:val="0"/>
              <w:snapToGrid w:val="0"/>
              <w:spacing w:line="560" w:lineRule="exact"/>
              <w:rPr>
                <w:rFonts w:hint="eastAsia" w:ascii="宋体" w:hAnsi="宋体" w:cs="宋体"/>
                <w:color w:val="000000"/>
                <w:szCs w:val="21"/>
              </w:rPr>
            </w:pPr>
          </w:p>
        </w:tc>
        <w:tc>
          <w:tcPr>
            <w:tcW w:w="2132" w:type="dxa"/>
            <w:noWrap w:val="0"/>
            <w:vAlign w:val="center"/>
          </w:tcPr>
          <w:p w14:paraId="23D0979A">
            <w:pPr>
              <w:adjustRightInd w:val="0"/>
              <w:snapToGrid w:val="0"/>
              <w:spacing w:line="560" w:lineRule="exact"/>
              <w:jc w:val="center"/>
              <w:rPr>
                <w:rFonts w:hint="eastAsia" w:ascii="宋体" w:hAnsi="宋体" w:cs="宋体"/>
                <w:color w:val="000000"/>
                <w:szCs w:val="21"/>
              </w:rPr>
            </w:pPr>
            <w:r>
              <w:rPr>
                <w:rFonts w:hint="eastAsia" w:ascii="宋体" w:hAnsi="宋体" w:cs="宋体"/>
                <w:color w:val="000000"/>
                <w:szCs w:val="21"/>
              </w:rPr>
              <w:t>税率</w:t>
            </w:r>
          </w:p>
        </w:tc>
        <w:tc>
          <w:tcPr>
            <w:tcW w:w="5526" w:type="dxa"/>
            <w:noWrap w:val="0"/>
            <w:vAlign w:val="center"/>
          </w:tcPr>
          <w:p w14:paraId="2A51043A">
            <w:pPr>
              <w:adjustRightInd w:val="0"/>
              <w:snapToGrid w:val="0"/>
              <w:spacing w:line="560" w:lineRule="exact"/>
              <w:rPr>
                <w:rFonts w:hint="eastAsia" w:ascii="宋体" w:hAnsi="宋体" w:cs="宋体"/>
                <w:color w:val="000000"/>
                <w:szCs w:val="21"/>
              </w:rPr>
            </w:pPr>
            <w:r>
              <w:rPr>
                <w:rFonts w:hint="eastAsia" w:ascii="宋体" w:hAnsi="宋体"/>
                <w:color w:val="000000"/>
                <w:szCs w:val="21"/>
              </w:rPr>
              <w:t>低于《关于调整我省现行建设工程计价依据增值税税率的通知》（皖造价〔2019〕7号）规定的费率。</w:t>
            </w:r>
          </w:p>
        </w:tc>
      </w:tr>
    </w:tbl>
    <w:p w14:paraId="4EB39FDF">
      <w:pPr>
        <w:adjustRightInd w:val="0"/>
        <w:snapToGrid w:val="0"/>
        <w:spacing w:line="560" w:lineRule="exact"/>
        <w:ind w:firstLine="422" w:firstLineChars="200"/>
        <w:rPr>
          <w:rFonts w:hint="eastAsia" w:ascii="黑体" w:hAnsi="黑体" w:eastAsia="黑体" w:cs="黑体"/>
          <w:b/>
          <w:color w:val="000000"/>
          <w:szCs w:val="21"/>
        </w:rPr>
      </w:pPr>
      <w:r>
        <w:rPr>
          <w:rFonts w:hint="eastAsia" w:ascii="黑体" w:hAnsi="黑体" w:eastAsia="黑体" w:cs="黑体"/>
          <w:b/>
          <w:color w:val="000000"/>
          <w:szCs w:val="21"/>
        </w:rPr>
        <w:t>商务标评审表注：</w:t>
      </w:r>
    </w:p>
    <w:p w14:paraId="17712525">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1、本表所称投标报价是指按招标文件规定修正后的投标总报价（多算投标报价、多报费用不扣减）</w:t>
      </w:r>
      <w:r>
        <w:rPr>
          <w:rFonts w:hint="eastAsia" w:ascii="宋体" w:hAnsi="宋体" w:cs="宋体"/>
          <w:color w:val="000000"/>
          <w:szCs w:val="21"/>
        </w:rPr>
        <w:t>，报价以元为单位，保留两位小数，小数点后第三位四舍五入。</w:t>
      </w:r>
    </w:p>
    <w:p w14:paraId="46A304D5">
      <w:pPr>
        <w:adjustRightInd w:val="0"/>
        <w:snapToGrid w:val="0"/>
        <w:spacing w:line="560" w:lineRule="exact"/>
        <w:ind w:firstLine="420" w:firstLineChars="200"/>
        <w:rPr>
          <w:rFonts w:hint="eastAsia" w:ascii="宋体" w:hAnsi="宋体"/>
          <w:color w:val="000000"/>
        </w:rPr>
      </w:pPr>
      <w:r>
        <w:rPr>
          <w:rFonts w:hint="eastAsia" w:ascii="宋体" w:hAnsi="宋体"/>
          <w:color w:val="000000"/>
        </w:rPr>
        <w:t>2、缺漏项金额是指投标人漏计招标人发布的清单项目，按最高投标限价对应清单综合单价计算缺漏金额。</w:t>
      </w:r>
    </w:p>
    <w:p w14:paraId="679090DE">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3、本表所述累计投标报价缺漏错总额占原投标报价格5%以下者，视为投标人主动让利或包含在其他项目中，不修正总价，工程结算时亦不予调整。</w:t>
      </w:r>
    </w:p>
    <w:p w14:paraId="42C505FC">
      <w:pPr>
        <w:widowControl/>
        <w:adjustRightInd w:val="0"/>
        <w:snapToGrid w:val="0"/>
        <w:spacing w:line="560" w:lineRule="exact"/>
        <w:ind w:firstLine="420" w:firstLineChars="200"/>
        <w:jc w:val="left"/>
        <w:rPr>
          <w:rFonts w:hint="eastAsia" w:ascii="宋体" w:hAnsi="宋体" w:cs="宋体"/>
          <w:color w:val="000000"/>
          <w:szCs w:val="21"/>
        </w:rPr>
      </w:pPr>
      <w:r>
        <w:rPr>
          <w:rFonts w:hint="eastAsia" w:ascii="宋体" w:hAnsi="宋体"/>
          <w:color w:val="000000"/>
          <w:szCs w:val="21"/>
          <w:lang w:val="en-US" w:eastAsia="zh-CN"/>
        </w:rPr>
        <w:t>4、</w:t>
      </w:r>
      <w:r>
        <w:rPr>
          <w:rFonts w:hint="eastAsia" w:ascii="宋体" w:hAnsi="宋体" w:cs="宋体"/>
          <w:color w:val="000000"/>
          <w:szCs w:val="21"/>
        </w:rPr>
        <w:t>投标人的注册建造师必须满足相应建筑业企业资质标准要求，评标委员会在评审时，将对此进行评审。投标人应在商务标文件中提供全国建筑市场监管公共服务平台(四库一平台)企业注册人员网页截图，未提供相关截图，按无效标处理。</w:t>
      </w:r>
    </w:p>
    <w:p w14:paraId="59E5148A">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1.评标方法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4E1FC433">
      <w:pPr>
        <w:widowControl/>
        <w:adjustRightInd w:val="0"/>
        <w:snapToGrid w:val="0"/>
        <w:spacing w:line="560" w:lineRule="exact"/>
        <w:ind w:firstLine="422" w:firstLineChars="200"/>
        <w:jc w:val="left"/>
        <w:rPr>
          <w:rFonts w:hint="eastAsia" w:ascii="宋体" w:hAnsi="宋体" w:cs="宋体"/>
          <w:b/>
          <w:color w:val="000000"/>
          <w:szCs w:val="21"/>
        </w:rPr>
      </w:pPr>
      <w:bookmarkStart w:id="790" w:name="_Toc35425114"/>
      <w:bookmarkStart w:id="791" w:name="_Toc324404873"/>
      <w:bookmarkStart w:id="792" w:name="_Toc506107325"/>
      <w:bookmarkStart w:id="793" w:name="_Toc15058914"/>
      <w:bookmarkStart w:id="794" w:name="_Toc78803382"/>
      <w:bookmarkStart w:id="795" w:name="_Toc11945"/>
      <w:bookmarkStart w:id="796" w:name="_Toc35424948"/>
      <w:bookmarkStart w:id="797" w:name="_Toc152045590"/>
      <w:bookmarkStart w:id="798" w:name="_Toc144974557"/>
      <w:bookmarkStart w:id="799" w:name="_Toc247085748"/>
      <w:bookmarkStart w:id="800" w:name="_Toc296602478"/>
      <w:bookmarkStart w:id="801" w:name="_Toc246996233"/>
      <w:bookmarkStart w:id="802" w:name="_Toc179632608"/>
      <w:bookmarkStart w:id="803" w:name="_Toc246996976"/>
      <w:bookmarkStart w:id="804" w:name="_Toc152042367"/>
      <w:r>
        <w:rPr>
          <w:rFonts w:hint="eastAsia" w:ascii="宋体" w:hAnsi="宋体" w:cs="宋体"/>
          <w:b/>
          <w:color w:val="000000"/>
          <w:szCs w:val="21"/>
        </w:rPr>
        <w:t>本次评标采用合理价格竞争法。评标委员会对满足招标文件实质性要求的投标文件，最终按投标报价最低原则，推荐有效投标报价最低的为第一中标候选人，次低的为第二中标候选人，以此类推，推荐中标候选人</w:t>
      </w:r>
      <w:r>
        <w:rPr>
          <w:rFonts w:hint="eastAsia" w:ascii="宋体" w:hAnsi="宋体" w:cs="宋体"/>
          <w:b/>
          <w:color w:val="000000"/>
          <w:szCs w:val="21"/>
          <w:lang w:val="en-US" w:eastAsia="zh-CN"/>
        </w:rPr>
        <w:t>2</w:t>
      </w:r>
      <w:r>
        <w:rPr>
          <w:rFonts w:hint="eastAsia" w:ascii="宋体" w:hAnsi="宋体" w:cs="宋体"/>
          <w:b/>
          <w:color w:val="000000"/>
          <w:szCs w:val="21"/>
        </w:rPr>
        <w:t>名，并标明排序，但投标报价低于其成本的除外。投标报价最低的有效投标人有两名或两名以上相同时，由评标委员会主任委员或招标人抽签确定第一中标候选人。</w:t>
      </w:r>
    </w:p>
    <w:p w14:paraId="2DAB305A">
      <w:pPr>
        <w:adjustRightInd w:val="0"/>
        <w:snapToGrid w:val="0"/>
        <w:spacing w:line="5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1）根据评标委员会评审初步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41EB1A3A">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（2）评标委员会登录安徽省住建厅网址http://dohurd.ah.gov.cn/site/tpl/9311或全国建筑市场监管公共服务平台 ( 四库-平台)https://jzsc.mohurd.gov.cn/home 进行实时查询，并结合《住房城乡建设部关于进一步加强建设工程企业资质审批管理工作的通知》（建市规〔2023〕3 号）、《住房和城乡建设部办公厅关于建设工程企业资质有关事项的通知》（建办市函〔2022〕361 号）和安徽省住建厅《关于建设工程企业资质有关事宜的通知》（建市函〔2022〕748 号），对中标候选人的关系企业履约能力的建造师数量进行评审：</w:t>
      </w:r>
    </w:p>
    <w:p w14:paraId="385D7827">
      <w:pPr>
        <w:widowControl/>
        <w:adjustRightInd w:val="0"/>
        <w:snapToGrid w:val="0"/>
        <w:spacing w:line="560" w:lineRule="exact"/>
        <w:ind w:firstLine="420" w:firstLineChars="200"/>
        <w:jc w:val="left"/>
        <w:rPr>
          <w:rFonts w:ascii="宋体" w:hAnsi="宋体" w:cs="宋体"/>
          <w:color w:val="auto"/>
          <w:szCs w:val="21"/>
          <w:highlight w:val="none"/>
        </w:rPr>
      </w:pPr>
      <w:r>
        <w:rPr>
          <w:rFonts w:hint="eastAsia" w:ascii="仿宋_GB2312" w:hAnsi="宋体" w:eastAsia="仿宋_GB2312" w:cs="宋体"/>
          <w:color w:val="auto"/>
          <w:szCs w:val="21"/>
          <w:highlight w:val="none"/>
        </w:rPr>
        <w:t>①</w:t>
      </w:r>
      <w:r>
        <w:rPr>
          <w:rFonts w:hint="eastAsia" w:ascii="宋体" w:hAnsi="宋体" w:eastAsia="宋体" w:cs="宋体"/>
          <w:color w:val="auto"/>
          <w:szCs w:val="21"/>
          <w:highlight w:val="none"/>
        </w:rPr>
        <w:t>电力工程施工总承包</w:t>
      </w:r>
      <w:r>
        <w:rPr>
          <w:rFonts w:hint="eastAsia" w:ascii="宋体" w:hAnsi="宋体" w:cs="宋体"/>
          <w:color w:val="auto"/>
          <w:szCs w:val="21"/>
          <w:highlight w:val="none"/>
        </w:rPr>
        <w:t>特级资质企业：注册一级建造师 50人以上。</w:t>
      </w:r>
    </w:p>
    <w:p w14:paraId="7BA92AD1">
      <w:pPr>
        <w:widowControl/>
        <w:adjustRightInd w:val="0"/>
        <w:snapToGrid w:val="0"/>
        <w:spacing w:line="560" w:lineRule="exact"/>
        <w:ind w:firstLine="420" w:firstLineChars="200"/>
        <w:jc w:val="left"/>
        <w:rPr>
          <w:rFonts w:ascii="宋体" w:hAnsi="宋体" w:cs="宋体"/>
          <w:color w:val="auto"/>
          <w:szCs w:val="21"/>
          <w:highlight w:val="none"/>
        </w:rPr>
      </w:pPr>
      <w:r>
        <w:rPr>
          <w:rFonts w:hint="eastAsia" w:ascii="仿宋_GB2312" w:hAnsi="宋体" w:eastAsia="仿宋_GB2312" w:cs="宋体"/>
          <w:color w:val="auto"/>
          <w:szCs w:val="21"/>
          <w:highlight w:val="none"/>
        </w:rPr>
        <w:t>②</w:t>
      </w:r>
      <w:r>
        <w:rPr>
          <w:rFonts w:hint="eastAsia" w:ascii="宋体" w:hAnsi="宋体" w:eastAsia="宋体" w:cs="宋体"/>
          <w:color w:val="auto"/>
          <w:szCs w:val="21"/>
          <w:highlight w:val="none"/>
        </w:rPr>
        <w:t>电力工程施工总承包</w:t>
      </w:r>
      <w:r>
        <w:rPr>
          <w:rFonts w:hint="eastAsia" w:ascii="宋体" w:hAnsi="宋体" w:cs="宋体"/>
          <w:color w:val="auto"/>
          <w:szCs w:val="21"/>
          <w:highlight w:val="none"/>
        </w:rPr>
        <w:t>壹级资质企业：</w:t>
      </w:r>
      <w:r>
        <w:rPr>
          <w:rFonts w:hint="eastAsia" w:ascii="宋体" w:hAnsi="宋体" w:eastAsia="宋体" w:cs="宋体"/>
          <w:color w:val="auto"/>
          <w:szCs w:val="21"/>
          <w:highlight w:val="none"/>
          <w:lang w:val="en-US" w:eastAsia="zh-CN"/>
        </w:rPr>
        <w:t>机电工程专业一级注册建造师不少于1</w:t>
      </w:r>
      <w:r>
        <w:rPr>
          <w:rFonts w:hint="eastAsia" w:ascii="宋体" w:hAnsi="宋体" w:eastAsia="宋体" w:cs="宋体"/>
          <w:color w:val="auto"/>
          <w:szCs w:val="21"/>
          <w:highlight w:val="none"/>
        </w:rPr>
        <w:t>5人</w:t>
      </w:r>
      <w:r>
        <w:rPr>
          <w:rFonts w:hint="eastAsia" w:ascii="宋体" w:hAnsi="宋体" w:cs="宋体"/>
          <w:color w:val="auto"/>
          <w:szCs w:val="21"/>
          <w:highlight w:val="none"/>
        </w:rPr>
        <w:t>。</w:t>
      </w:r>
    </w:p>
    <w:p w14:paraId="1C68D453">
      <w:pPr>
        <w:widowControl/>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仿宋_GB2312" w:hAnsi="宋体" w:eastAsia="仿宋_GB2312" w:cs="宋体"/>
          <w:color w:val="auto"/>
          <w:szCs w:val="21"/>
          <w:highlight w:val="none"/>
        </w:rPr>
        <w:t>③</w:t>
      </w:r>
      <w:r>
        <w:rPr>
          <w:rFonts w:hint="eastAsia" w:ascii="宋体" w:hAnsi="宋体" w:eastAsia="宋体" w:cs="宋体"/>
          <w:color w:val="auto"/>
          <w:szCs w:val="21"/>
          <w:highlight w:val="none"/>
        </w:rPr>
        <w:t>电力工程施工总承包</w:t>
      </w:r>
      <w:r>
        <w:rPr>
          <w:rFonts w:hint="eastAsia" w:ascii="宋体" w:hAnsi="宋体" w:cs="宋体"/>
          <w:color w:val="auto"/>
          <w:szCs w:val="21"/>
          <w:highlight w:val="none"/>
        </w:rPr>
        <w:t>贰级、叁级资质企业：</w:t>
      </w:r>
      <w:r>
        <w:rPr>
          <w:rFonts w:hint="eastAsia" w:ascii="宋体" w:hAnsi="宋体" w:eastAsia="宋体" w:cs="宋体"/>
          <w:color w:val="auto"/>
          <w:szCs w:val="21"/>
          <w:highlight w:val="none"/>
          <w:lang w:val="en-US" w:eastAsia="zh-CN"/>
        </w:rPr>
        <w:t>机电工程专业注册建造师不少于</w:t>
      </w:r>
      <w:r>
        <w:rPr>
          <w:rFonts w:hint="eastAsia" w:ascii="宋体" w:hAnsi="宋体" w:eastAsia="宋体" w:cs="宋体"/>
          <w:color w:val="auto"/>
          <w:szCs w:val="21"/>
          <w:highlight w:val="none"/>
        </w:rPr>
        <w:t>5人</w:t>
      </w:r>
      <w:r>
        <w:rPr>
          <w:rFonts w:hint="eastAsia" w:ascii="宋体" w:hAnsi="宋体" w:cs="宋体"/>
          <w:color w:val="auto"/>
          <w:szCs w:val="21"/>
          <w:highlight w:val="none"/>
        </w:rPr>
        <w:t>。</w:t>
      </w:r>
    </w:p>
    <w:p w14:paraId="05EA6838">
      <w:pPr>
        <w:pStyle w:val="7"/>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中标候选人的注册建造师不满足上述要求的，评标委员会对该投标不予认可。中标候选人依次替补，评标委员会再次对替补单位进行核查。</w:t>
      </w:r>
    </w:p>
    <w:p w14:paraId="3F12DD3B">
      <w:pPr>
        <w:pStyle w:val="7"/>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2.评标委员会的职责</w:t>
      </w:r>
      <w:bookmarkEnd w:id="790"/>
      <w:bookmarkEnd w:id="791"/>
      <w:bookmarkEnd w:id="792"/>
      <w:bookmarkEnd w:id="793"/>
      <w:bookmarkEnd w:id="794"/>
      <w:bookmarkEnd w:id="795"/>
      <w:bookmarkEnd w:id="796"/>
    </w:p>
    <w:p w14:paraId="2366AE8E">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bookmarkStart w:id="805" w:name="_Toc78803384"/>
      <w:bookmarkStart w:id="806" w:name="_Toc35424949"/>
      <w:bookmarkStart w:id="807" w:name="_Toc35425115"/>
      <w:bookmarkStart w:id="808" w:name="_Toc506107326"/>
      <w:bookmarkStart w:id="809" w:name="_Toc324404874"/>
      <w:bookmarkStart w:id="810" w:name="_Toc15058915"/>
      <w:bookmarkStart w:id="811" w:name="_Toc17377"/>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20F0DC">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2EE942C7">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3.评标程序</w:t>
      </w:r>
      <w:bookmarkEnd w:id="805"/>
      <w:bookmarkEnd w:id="806"/>
      <w:bookmarkEnd w:id="807"/>
      <w:bookmarkEnd w:id="808"/>
      <w:bookmarkEnd w:id="809"/>
      <w:bookmarkEnd w:id="810"/>
      <w:bookmarkEnd w:id="811"/>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评标先做准备工作，先进行资信评审，然后进行商务标评审。</w:t>
      </w:r>
    </w:p>
    <w:p w14:paraId="6E980930">
      <w:pPr>
        <w:pStyle w:val="7"/>
        <w:ind w:firstLine="422" w:firstLineChars="200"/>
        <w:rPr>
          <w:rFonts w:ascii="宋体" w:hAnsi="宋体" w:eastAsia="宋体" w:cs="宋体"/>
          <w:highlight w:val="none"/>
        </w:rPr>
      </w:pPr>
      <w:bookmarkStart w:id="812" w:name="_Toc15058916"/>
      <w:bookmarkStart w:id="813" w:name="_Toc78803385"/>
      <w:bookmarkStart w:id="814" w:name="_Toc27389"/>
      <w:bookmarkStart w:id="815" w:name="_Toc35425116"/>
      <w:bookmarkStart w:id="816" w:name="_Toc35424950"/>
      <w:r>
        <w:rPr>
          <w:rFonts w:hint="eastAsia" w:ascii="宋体" w:hAnsi="宋体" w:eastAsia="宋体" w:cs="宋体"/>
          <w:highlight w:val="none"/>
        </w:rPr>
        <w:t>3.1评标准备工作</w:t>
      </w:r>
      <w:bookmarkEnd w:id="812"/>
      <w:bookmarkEnd w:id="813"/>
      <w:bookmarkEnd w:id="814"/>
      <w:bookmarkEnd w:id="815"/>
      <w:bookmarkEnd w:id="816"/>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6912EA5D">
      <w:pPr>
        <w:pStyle w:val="7"/>
        <w:ind w:firstLine="422" w:firstLineChars="200"/>
        <w:rPr>
          <w:rFonts w:ascii="宋体" w:hAnsi="宋体" w:eastAsia="宋体" w:cs="宋体"/>
          <w:highlight w:val="none"/>
        </w:rPr>
      </w:pPr>
      <w:bookmarkStart w:id="817" w:name="_Toc15058918"/>
      <w:bookmarkStart w:id="818" w:name="_Toc17468"/>
      <w:bookmarkStart w:id="819" w:name="_Toc35425118"/>
      <w:bookmarkStart w:id="820" w:name="_Toc78803387"/>
      <w:bookmarkStart w:id="821" w:name="_Toc11990"/>
      <w:bookmarkStart w:id="822" w:name="_Toc35424952"/>
      <w:bookmarkStart w:id="823" w:name="_Toc35425120"/>
      <w:bookmarkStart w:id="824" w:name="_Toc35424954"/>
      <w:bookmarkStart w:id="825" w:name="_Toc324404875"/>
      <w:bookmarkStart w:id="826" w:name="_Toc15058919"/>
      <w:bookmarkStart w:id="827" w:name="_Toc506107327"/>
      <w:bookmarkStart w:id="828" w:name="_Toc12200"/>
      <w:r>
        <w:rPr>
          <w:rFonts w:hint="eastAsia" w:ascii="宋体" w:hAnsi="宋体" w:eastAsia="宋体" w:cs="宋体"/>
          <w:highlight w:val="none"/>
        </w:rPr>
        <w:t>3.</w:t>
      </w:r>
      <w:r>
        <w:rPr>
          <w:rFonts w:hint="eastAsia" w:ascii="宋体" w:hAnsi="宋体" w:eastAsia="宋体" w:cs="宋体"/>
          <w:highlight w:val="none"/>
          <w:lang w:val="en-US" w:eastAsia="zh-CN"/>
        </w:rPr>
        <w:t>2</w:t>
      </w:r>
      <w:r>
        <w:rPr>
          <w:rFonts w:hint="eastAsia" w:ascii="宋体" w:hAnsi="宋体" w:eastAsia="宋体" w:cs="宋体"/>
          <w:highlight w:val="none"/>
        </w:rPr>
        <w:t>商务标评审</w:t>
      </w:r>
      <w:bookmarkEnd w:id="817"/>
      <w:bookmarkEnd w:id="818"/>
      <w:bookmarkEnd w:id="819"/>
      <w:bookmarkEnd w:id="820"/>
      <w:bookmarkEnd w:id="821"/>
      <w:bookmarkEnd w:id="822"/>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29" w:name="_Toc78803388"/>
      <w:bookmarkStart w:id="830" w:name="_Toc35425119"/>
      <w:bookmarkStart w:id="831" w:name="_Toc18087"/>
      <w:bookmarkStart w:id="832" w:name="_Toc26895"/>
      <w:bookmarkStart w:id="833" w:name="_Toc35424953"/>
      <w:r>
        <w:rPr>
          <w:rStyle w:val="197"/>
          <w:rFonts w:hint="eastAsia" w:ascii="宋体" w:hAnsi="宋体" w:eastAsia="宋体" w:cs="宋体"/>
          <w:highlight w:val="none"/>
        </w:rPr>
        <w:t>3.</w:t>
      </w:r>
      <w:r>
        <w:rPr>
          <w:rStyle w:val="197"/>
          <w:rFonts w:hint="eastAsia" w:ascii="宋体" w:hAnsi="宋体" w:cs="宋体"/>
          <w:highlight w:val="none"/>
          <w:lang w:val="en-US"/>
        </w:rPr>
        <w:t>3</w:t>
      </w:r>
      <w:r>
        <w:rPr>
          <w:rStyle w:val="197"/>
          <w:rFonts w:hint="eastAsia" w:ascii="宋体" w:hAnsi="宋体" w:eastAsia="宋体" w:cs="宋体"/>
          <w:highlight w:val="none"/>
        </w:rPr>
        <w:t>推荐中标候选人</w:t>
      </w:r>
      <w:bookmarkEnd w:id="829"/>
      <w:bookmarkEnd w:id="830"/>
      <w:bookmarkEnd w:id="831"/>
      <w:bookmarkEnd w:id="832"/>
      <w:bookmarkEnd w:id="833"/>
      <w:r>
        <w:rPr>
          <w:rFonts w:hint="eastAsia" w:ascii="宋体" w:hAnsi="宋体" w:cs="宋体"/>
          <w:b/>
          <w:bCs/>
          <w:highlight w:val="none"/>
        </w:rPr>
        <w:t>：</w:t>
      </w:r>
      <w:r>
        <w:rPr>
          <w:rFonts w:hint="eastAsia" w:ascii="宋体" w:hAnsi="宋体" w:cs="宋体"/>
          <w:highlight w:val="none"/>
        </w:rPr>
        <w:t>资信评审、商务标</w:t>
      </w:r>
      <w:r>
        <w:rPr>
          <w:rFonts w:hint="eastAsia" w:ascii="宋体" w:hAnsi="宋体" w:cs="宋体"/>
          <w:color w:val="auto"/>
          <w:highlight w:val="none"/>
        </w:rPr>
        <w:t>评审后，推荐</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7"/>
        <w:spacing w:beforeLines="50" w:afterLines="50"/>
        <w:ind w:firstLine="422" w:firstLineChars="200"/>
        <w:rPr>
          <w:rFonts w:ascii="宋体" w:hAnsi="宋体" w:eastAsia="宋体" w:cs="宋体"/>
          <w:highlight w:val="none"/>
        </w:rPr>
      </w:pPr>
      <w:bookmarkStart w:id="834" w:name="_Toc78803389"/>
      <w:r>
        <w:rPr>
          <w:rFonts w:hint="eastAsia" w:ascii="宋体" w:hAnsi="宋体" w:eastAsia="宋体" w:cs="宋体"/>
          <w:highlight w:val="none"/>
        </w:rPr>
        <w:t>4.评审内容</w:t>
      </w:r>
      <w:bookmarkEnd w:id="823"/>
      <w:bookmarkEnd w:id="824"/>
      <w:bookmarkEnd w:id="825"/>
      <w:bookmarkEnd w:id="826"/>
      <w:bookmarkEnd w:id="827"/>
      <w:bookmarkEnd w:id="828"/>
      <w:bookmarkEnd w:id="834"/>
    </w:p>
    <w:p w14:paraId="0F1392E9">
      <w:pPr>
        <w:pStyle w:val="7"/>
        <w:ind w:firstLine="422" w:firstLineChars="200"/>
        <w:rPr>
          <w:rFonts w:ascii="宋体" w:hAnsi="宋体" w:eastAsia="宋体" w:cs="宋体"/>
          <w:highlight w:val="none"/>
        </w:rPr>
      </w:pPr>
      <w:bookmarkStart w:id="835" w:name="_Toc78803390"/>
      <w:bookmarkStart w:id="836" w:name="_Toc9630"/>
      <w:r>
        <w:rPr>
          <w:rFonts w:hint="eastAsia" w:ascii="宋体" w:hAnsi="宋体" w:eastAsia="宋体" w:cs="宋体"/>
          <w:highlight w:val="none"/>
        </w:rPr>
        <w:t>4.1</w:t>
      </w:r>
      <w:bookmarkEnd w:id="835"/>
      <w:bookmarkEnd w:id="836"/>
      <w:bookmarkStart w:id="837" w:name="_Toc35425122"/>
      <w:bookmarkStart w:id="838" w:name="_Toc15058921"/>
      <w:bookmarkStart w:id="839" w:name="_Toc78803391"/>
      <w:bookmarkStart w:id="840" w:name="_Toc35424956"/>
      <w:bookmarkStart w:id="841" w:name="_Toc3531"/>
      <w:bookmarkStart w:id="842" w:name="_Toc324404876"/>
      <w:r>
        <w:rPr>
          <w:rFonts w:hint="eastAsia" w:ascii="宋体" w:hAnsi="宋体" w:eastAsia="宋体" w:cs="宋体"/>
          <w:highlight w:val="none"/>
        </w:rPr>
        <w:t>商务标评审</w:t>
      </w:r>
      <w:bookmarkEnd w:id="837"/>
      <w:bookmarkEnd w:id="838"/>
      <w:bookmarkEnd w:id="839"/>
      <w:bookmarkEnd w:id="840"/>
      <w:bookmarkEnd w:id="841"/>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407A1839">
      <w:pPr>
        <w:adjustRightInd w:val="0"/>
        <w:snapToGrid w:val="0"/>
        <w:spacing w:line="560" w:lineRule="exact"/>
        <w:ind w:firstLine="420" w:firstLineChars="200"/>
        <w:rPr>
          <w:rFonts w:hint="eastAsia" w:ascii="宋体" w:hAnsi="宋体" w:cs="宋体"/>
          <w:color w:val="000000"/>
          <w:szCs w:val="21"/>
        </w:rPr>
      </w:pPr>
      <w:bookmarkStart w:id="843" w:name="_Toc35425123"/>
      <w:bookmarkStart w:id="844" w:name="_Toc13125"/>
      <w:bookmarkStart w:id="845" w:name="_Toc506107328"/>
      <w:bookmarkStart w:id="846" w:name="_Toc15058922"/>
      <w:bookmarkStart w:id="847" w:name="_Toc35424957"/>
      <w:bookmarkStart w:id="848" w:name="_Toc78803392"/>
      <w:r>
        <w:rPr>
          <w:rFonts w:hint="eastAsia" w:ascii="宋体" w:hAnsi="宋体" w:cs="宋体"/>
          <w:color w:val="000000"/>
          <w:szCs w:val="21"/>
        </w:rPr>
        <w:t>4.2.3详细评审标准：见商务标评审表。</w:t>
      </w:r>
    </w:p>
    <w:p w14:paraId="645BFB2B">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4.2.3.1投标报价清标：</w:t>
      </w:r>
    </w:p>
    <w:p w14:paraId="002069EB">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（1）清标是指通过对需要评审的工程量清单投标报价采用核对、比较、筛选等方法，对基础性数据进行分析和整理。其目的是找出投标文件中可能存在疑义或者显著异常的数据，为评审中的质疑工作提供基础。</w:t>
      </w:r>
    </w:p>
    <w:p w14:paraId="2E19869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2</w:t>
      </w:r>
      <w:r>
        <w:rPr>
          <w:rFonts w:hint="eastAsia" w:ascii="宋体" w:hAnsi="宋体" w:eastAsia="宋体" w:cs="宋体"/>
          <w:highlight w:val="none"/>
        </w:rPr>
        <w:t>）清标的内容和步骤：</w:t>
      </w:r>
    </w:p>
    <w:p w14:paraId="09FBA44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① 投标文件在符合性、响应性等方面存在的偏差。</w:t>
      </w:r>
    </w:p>
    <w:p w14:paraId="7F03203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② 投标文件存在的算术计算错误和修正结果。</w:t>
      </w:r>
    </w:p>
    <w:p w14:paraId="1B413537">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③ 在列出的所有偏差中，属于重大偏差的情形和相关依据；在列出的所有偏差中、属于细微偏差的情形。</w:t>
      </w:r>
    </w:p>
    <w:p w14:paraId="3A2D7DA7">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④ 列出投标价格过高或过低等的清单项目的序号、项目编码、项目名称、项目特征、与招标文件规定的标准之间存在的偏差幅度和产生原因的摘录。</w:t>
      </w:r>
    </w:p>
    <w:p w14:paraId="5D98495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4.2.4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14:paraId="3588E1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（1）投标文件中的大写金额与小写金额不一致的，以大写金额为准。</w:t>
      </w:r>
    </w:p>
    <w:p w14:paraId="4858329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（2）总价金额与依据单价计算出的结果不一致的，以单价金额为准修正总价，但单价金额小数点有明显错误的除外。</w:t>
      </w:r>
    </w:p>
    <w:p w14:paraId="6972802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（3）工程量清单报价表中综合单价与工程量清单项目价格分析表相对应综合单价不一致时，以工程量清单项目价格分析表中标出的综合单价为准。</w:t>
      </w:r>
    </w:p>
    <w:p w14:paraId="6644199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D8AA3CD">
      <w:pPr>
        <w:pStyle w:val="7"/>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5.无效投标条款</w:t>
      </w:r>
      <w:bookmarkEnd w:id="842"/>
      <w:bookmarkEnd w:id="843"/>
      <w:bookmarkEnd w:id="844"/>
      <w:bookmarkEnd w:id="845"/>
      <w:bookmarkEnd w:id="846"/>
      <w:bookmarkEnd w:id="847"/>
      <w:bookmarkEnd w:id="848"/>
    </w:p>
    <w:p w14:paraId="3E3E65E8">
      <w:pPr>
        <w:spacing w:line="440" w:lineRule="exact"/>
        <w:ind w:firstLine="420" w:firstLineChars="200"/>
        <w:jc w:val="left"/>
        <w:rPr>
          <w:rFonts w:hint="eastAsia" w:ascii="宋体" w:hAnsi="宋体" w:eastAsia="宋体" w:cs="宋体"/>
          <w:highlight w:val="none"/>
        </w:rPr>
      </w:pPr>
      <w:bookmarkStart w:id="849" w:name="_Toc35424958"/>
      <w:bookmarkStart w:id="850" w:name="_Toc324404877"/>
      <w:bookmarkStart w:id="851" w:name="_Toc27846"/>
      <w:bookmarkStart w:id="852" w:name="_Toc35425124"/>
      <w:bookmarkStart w:id="853" w:name="_Toc15058923"/>
      <w:bookmarkStart w:id="854" w:name="_Toc78803393"/>
      <w:bookmarkStart w:id="855" w:name="_Toc506107329"/>
      <w:r>
        <w:rPr>
          <w:rFonts w:hint="eastAsia" w:ascii="宋体" w:hAnsi="宋体" w:eastAsia="宋体" w:cs="宋体"/>
          <w:highlight w:val="none"/>
        </w:rPr>
        <w:t>5.1投标人存在下列情形的招标人将拒收投标文件：</w:t>
      </w:r>
    </w:p>
    <w:p w14:paraId="465E634E">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（1）未在投标截止时间前通过电子邮箱递交有效电子投标文件的，投标将被拒绝。</w:t>
      </w:r>
    </w:p>
    <w:p w14:paraId="1B53F403">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（2）在提交投标文件截止时间后送达的投标文件将被拒绝，投标文件送达时间以滁州市城投工程咨询管理有限公司邮箱显示的邮件送达时间为准。</w:t>
      </w:r>
    </w:p>
    <w:p w14:paraId="61E1FF6B">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（3）未在规定时间内发送密码或发送的密码无法正确打开投标文件的，投标文件将被拒绝。</w:t>
      </w:r>
    </w:p>
    <w:p w14:paraId="19B7136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5.2投标人有下列情形的，经评审后其投标作无效投标处理：</w:t>
      </w:r>
    </w:p>
    <w:p w14:paraId="14839BB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w:t>
      </w:r>
      <w:r>
        <w:rPr>
          <w:rFonts w:hint="eastAsia" w:ascii="宋体" w:hAnsi="宋体" w:eastAsia="宋体" w:cs="宋体"/>
          <w:highlight w:val="none"/>
          <w:lang w:val="en-US" w:eastAsia="zh-CN"/>
        </w:rPr>
        <w:t>1</w:t>
      </w:r>
      <w:r>
        <w:rPr>
          <w:rFonts w:hint="eastAsia" w:ascii="宋体" w:hAnsi="宋体" w:eastAsia="宋体" w:cs="宋体"/>
          <w:highlight w:val="none"/>
        </w:rPr>
        <w:t>商务标评审</w:t>
      </w:r>
    </w:p>
    <w:p w14:paraId="2A080AD7">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(1)评标委员会依据《商务标评审表》进行形式性评审和响应性评审。有一项不符合评审标准的，做无效投标处理；</w:t>
      </w:r>
    </w:p>
    <w:p w14:paraId="5769FB6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（2）商务标详细评审标准中有任何一项不能通过评审的，作无效投标处理。</w:t>
      </w:r>
    </w:p>
    <w:p w14:paraId="11B68C2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5.3其他无效投标情况：</w:t>
      </w:r>
    </w:p>
    <w:p w14:paraId="5D50145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14A4A8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（2）按第四章“评标方法”第4.2.4项修正错误的原则及方法调整或修正投标文件的投标报价，调整或修正的价格经投标人书面确认后具有约束力。投标人不接受修正价格的，其投标将被拒绝。</w:t>
      </w:r>
    </w:p>
    <w:p w14:paraId="7C1D2B2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（3）第二章“投标人须知”第1.4.3项规定的任何一种情形的。</w:t>
      </w:r>
    </w:p>
    <w:p w14:paraId="48DD650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（4）投标人有串通投标、视为串通投标、弄虚作假、行贿等违法行为。</w:t>
      </w:r>
    </w:p>
    <w:p w14:paraId="7AE90BB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（5）投标文件没有对招标文件的实质性要求和条件作出响应。</w:t>
      </w:r>
    </w:p>
    <w:p w14:paraId="08A9016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（6）未按规定的格式填写导致实质性内容不全以及实质上不响应，或者关键字迹模糊、无法辨认。</w:t>
      </w:r>
    </w:p>
    <w:p w14:paraId="00808C1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（7）同一投标人提交两个以上不同的投标文件或者投标报价，但招标文件规定提交备选投标的除外。</w:t>
      </w:r>
    </w:p>
    <w:p w14:paraId="253382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（8）投标文件中存在招标人不能接受的其他实质性条件。</w:t>
      </w:r>
    </w:p>
    <w:p w14:paraId="524D53D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（9）投标文件中填报的拟任项目经理（建造师）与资格审查通过的项目经理（建造师）前后不一致的。</w:t>
      </w:r>
    </w:p>
    <w:p w14:paraId="3D744B3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（10）投标人拒不按照要求对投标文件进行澄清、说明、补正的，或评标委员会根据招标文件的规定对招标文件的计算错误进行修正后，投标人不接受修正的投标报价的。</w:t>
      </w:r>
    </w:p>
    <w:p w14:paraId="512E080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）投标人单方面出现其他投标人材料。</w:t>
      </w:r>
    </w:p>
    <w:p w14:paraId="47D8332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）投标人联系人或联系电话相同的。</w:t>
      </w:r>
    </w:p>
    <w:p w14:paraId="14639CA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13</w:t>
      </w:r>
      <w:r>
        <w:rPr>
          <w:rFonts w:hint="eastAsia" w:ascii="宋体" w:hAnsi="宋体" w:eastAsia="宋体" w:cs="宋体"/>
          <w:highlight w:val="none"/>
        </w:rPr>
        <w:t>）法律、法规规定的其他情形。</w:t>
      </w:r>
    </w:p>
    <w:p w14:paraId="5A018EF6">
      <w:pPr>
        <w:pStyle w:val="7"/>
        <w:spacing w:beforeLines="50" w:afterLines="50"/>
        <w:ind w:firstLine="422" w:firstLineChars="200"/>
        <w:rPr>
          <w:rFonts w:hint="eastAsia" w:ascii="宋体" w:hAnsi="宋体" w:eastAsia="宋体" w:cs="宋体"/>
          <w:highlight w:val="none"/>
        </w:rPr>
      </w:pPr>
      <w:bookmarkStart w:id="856" w:name="_Toc95223409"/>
      <w:r>
        <w:rPr>
          <w:rFonts w:hint="eastAsia" w:ascii="宋体" w:hAnsi="宋体" w:eastAsia="宋体" w:cs="宋体"/>
          <w:highlight w:val="none"/>
        </w:rPr>
        <w:t>6.投标文件的澄清和补正</w:t>
      </w:r>
      <w:bookmarkEnd w:id="856"/>
    </w:p>
    <w:p w14:paraId="4C9D732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6.1在评标过程中，评标委员会可以书面形式要求投标</w:t>
      </w:r>
      <w:bookmarkStart w:id="857" w:name="_Toc60061506"/>
      <w:r>
        <w:rPr>
          <w:rFonts w:hint="eastAsia" w:ascii="宋体" w:hAnsi="宋体" w:eastAsia="宋体" w:cs="宋体"/>
          <w:highlight w:val="none"/>
        </w:rPr>
        <w:t>人对所提交的投标文件中含</w:t>
      </w:r>
      <w:bookmarkEnd w:id="857"/>
      <w:r>
        <w:rPr>
          <w:rFonts w:hint="eastAsia" w:ascii="宋体" w:hAnsi="宋体" w:eastAsia="宋体" w:cs="宋体"/>
          <w:highlight w:val="none"/>
        </w:rPr>
        <w:t>义不明确、对同类问题表述不一致或者有明显文字和计算错误的内容进行书面澄清或说明，或者对细微偏差进行补正。评标委员会不接受投标人主动提出的澄清、说明或补正。</w:t>
      </w:r>
    </w:p>
    <w:p w14:paraId="4AF5F2B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6.2澄清、说明和补正不得改变投标文件的实质性内容（算术性错误修正的除外）。投标人的书面澄清、说明和补正属于投标文件的组成部分。</w:t>
      </w:r>
    </w:p>
    <w:p w14:paraId="5067B07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6.3评标委员会对投标人提交的澄清、说明和补正有疑问的，可以要求投标人进一步澄清、说明或补正、直至满足评标委员会的要求。</w:t>
      </w:r>
    </w:p>
    <w:p w14:paraId="42BDF8A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按照投标文件规定进行澄清、补正后的投标报价经投标人的法定代表人或其委托代理人确认后即为该投标人的最终投标报价。投标人一旦中标，此报价即为中标价。</w:t>
      </w:r>
    </w:p>
    <w:bookmarkEnd w:id="797"/>
    <w:bookmarkEnd w:id="798"/>
    <w:bookmarkEnd w:id="799"/>
    <w:bookmarkEnd w:id="800"/>
    <w:bookmarkEnd w:id="801"/>
    <w:bookmarkEnd w:id="802"/>
    <w:bookmarkEnd w:id="803"/>
    <w:bookmarkEnd w:id="804"/>
    <w:bookmarkEnd w:id="849"/>
    <w:bookmarkEnd w:id="850"/>
    <w:bookmarkEnd w:id="851"/>
    <w:bookmarkEnd w:id="852"/>
    <w:bookmarkEnd w:id="853"/>
    <w:bookmarkEnd w:id="854"/>
    <w:bookmarkEnd w:id="855"/>
    <w:p w14:paraId="7BC20C8A">
      <w:pPr>
        <w:pStyle w:val="7"/>
        <w:spacing w:beforeLines="50" w:afterLines="50"/>
        <w:ind w:firstLine="422" w:firstLineChars="200"/>
        <w:rPr>
          <w:rFonts w:hint="eastAsia" w:ascii="宋体" w:hAnsi="宋体" w:eastAsia="宋体" w:cs="宋体"/>
          <w:highlight w:val="none"/>
        </w:rPr>
      </w:pPr>
      <w:bookmarkStart w:id="858" w:name="_Toc95223410"/>
      <w:bookmarkStart w:id="859" w:name="_Toc15058927"/>
      <w:bookmarkStart w:id="860" w:name="_Toc35425128"/>
      <w:bookmarkStart w:id="861" w:name="_Toc506107333"/>
      <w:bookmarkStart w:id="862" w:name="_Toc35424962"/>
      <w:bookmarkStart w:id="863" w:name="_Toc152042546"/>
      <w:bookmarkStart w:id="864" w:name="_Toc144974826"/>
      <w:bookmarkStart w:id="865" w:name="_Toc152045767"/>
      <w:bookmarkStart w:id="866" w:name="_Toc179632785"/>
      <w:r>
        <w:rPr>
          <w:rFonts w:hint="eastAsia" w:ascii="宋体" w:hAnsi="宋体" w:eastAsia="宋体" w:cs="宋体"/>
          <w:highlight w:val="none"/>
        </w:rPr>
        <w:t>7.评分标准</w:t>
      </w:r>
      <w:bookmarkEnd w:id="858"/>
    </w:p>
    <w:p w14:paraId="1CE63C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7.1商务标评分标准：见商务标评审表。</w:t>
      </w:r>
    </w:p>
    <w:p w14:paraId="1ED9F886">
      <w:pPr>
        <w:pStyle w:val="7"/>
        <w:spacing w:beforeLines="50" w:afterLines="50"/>
        <w:ind w:firstLine="422" w:firstLineChars="200"/>
        <w:rPr>
          <w:rFonts w:hint="eastAsia" w:ascii="宋体" w:hAnsi="宋体" w:eastAsia="宋体" w:cs="宋体"/>
          <w:highlight w:val="none"/>
        </w:rPr>
      </w:pPr>
      <w:bookmarkStart w:id="867" w:name="_Toc95223411"/>
      <w:r>
        <w:rPr>
          <w:rFonts w:hint="eastAsia" w:ascii="宋体" w:hAnsi="宋体" w:eastAsia="宋体" w:cs="宋体"/>
          <w:highlight w:val="none"/>
        </w:rPr>
        <w:t>8.评审结果</w:t>
      </w:r>
      <w:bookmarkEnd w:id="867"/>
    </w:p>
    <w:p w14:paraId="5A14873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8.1除第二章“投标人须知”及其前附表授权直接确定中标人外，评</w:t>
      </w:r>
      <w:bookmarkStart w:id="868" w:name="_Toc506107331"/>
      <w:bookmarkStart w:id="869" w:name="_Toc60061508"/>
      <w:bookmarkStart w:id="870" w:name="_Toc15058925"/>
      <w:bookmarkStart w:id="871" w:name="_Toc324404879"/>
      <w:r>
        <w:rPr>
          <w:rFonts w:hint="eastAsia" w:ascii="宋体" w:hAnsi="宋体" w:eastAsia="宋体" w:cs="宋体"/>
          <w:highlight w:val="none"/>
        </w:rPr>
        <w:t>标委员会</w:t>
      </w:r>
      <w:bookmarkEnd w:id="868"/>
      <w:bookmarkEnd w:id="869"/>
      <w:bookmarkEnd w:id="870"/>
      <w:bookmarkEnd w:id="871"/>
      <w:r>
        <w:rPr>
          <w:rFonts w:hint="eastAsia" w:ascii="宋体" w:hAnsi="宋体" w:eastAsia="宋体" w:cs="宋体"/>
          <w:highlight w:val="none"/>
        </w:rPr>
        <w:t>按有效报价由低到高的顺序推荐中标候选人）。</w:t>
      </w:r>
    </w:p>
    <w:p w14:paraId="0586443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8.2评标委员会完成评标后，应当向招标人提交书面评标报告。评标报告应当如实记载以下内容：</w:t>
      </w:r>
    </w:p>
    <w:p w14:paraId="60C496F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（1）基本情况和数据表。</w:t>
      </w:r>
    </w:p>
    <w:p w14:paraId="2FF3825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（2）评标委员会成员名单。</w:t>
      </w:r>
    </w:p>
    <w:p w14:paraId="3E8F5A8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（3）开标记录。</w:t>
      </w:r>
    </w:p>
    <w:p w14:paraId="77CE378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（4）符合要求的投标人一览表。</w:t>
      </w:r>
    </w:p>
    <w:p w14:paraId="1A0FCCD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（5）否决投标情况说明。</w:t>
      </w:r>
    </w:p>
    <w:p w14:paraId="18FE4A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（6）评标标准、评标方法或者评标因素。</w:t>
      </w:r>
    </w:p>
    <w:p w14:paraId="4F8B3E8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（7）经评审的价格比较一览表。</w:t>
      </w:r>
    </w:p>
    <w:p w14:paraId="4B89E24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（8）经评审的投标人排序。</w:t>
      </w:r>
    </w:p>
    <w:p w14:paraId="3C2A0C7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（9）推荐的中标候选人名单与签订合同前要处理的事宜。</w:t>
      </w:r>
    </w:p>
    <w:p w14:paraId="03A977F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（10）澄清、说明、补正事项纪要。</w:t>
      </w:r>
    </w:p>
    <w:p w14:paraId="555E53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8.3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DDB35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除第一中标候选人或者中标人以外的其他投标人存在串通投标、弄虚作假、行贿情形且在评标过程中未被发现的，视为对中标结果没有造成实质性影响，招标人可以依法继续开展招标活动。</w:t>
      </w:r>
    </w:p>
    <w:p w14:paraId="22FE37EA">
      <w:pPr>
        <w:pStyle w:val="7"/>
        <w:spacing w:beforeLines="50" w:afterLines="50"/>
        <w:ind w:firstLine="422" w:firstLineChars="200"/>
        <w:rPr>
          <w:rFonts w:hint="eastAsia" w:ascii="宋体" w:hAnsi="宋体" w:eastAsia="宋体" w:cs="宋体"/>
          <w:highlight w:val="none"/>
        </w:rPr>
      </w:pPr>
      <w:bookmarkStart w:id="872" w:name="_Toc95223412"/>
      <w:r>
        <w:rPr>
          <w:rFonts w:hint="eastAsia" w:ascii="宋体" w:hAnsi="宋体" w:eastAsia="宋体" w:cs="宋体"/>
          <w:highlight w:val="none"/>
        </w:rPr>
        <w:t>9.其他</w:t>
      </w:r>
      <w:bookmarkEnd w:id="872"/>
    </w:p>
    <w:p w14:paraId="546BC29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投标人提供的与投标文件有关的各类证书、证明、文件、资料等的真实性、</w:t>
      </w:r>
      <w:bookmarkStart w:id="873" w:name="_Toc324404880"/>
      <w:bookmarkStart w:id="874" w:name="_Toc60061509"/>
      <w:bookmarkStart w:id="875" w:name="_Toc15058926"/>
      <w:bookmarkStart w:id="876" w:name="_Toc506107332"/>
      <w:r>
        <w:rPr>
          <w:rFonts w:hint="eastAsia" w:ascii="宋体" w:hAnsi="宋体" w:eastAsia="宋体" w:cs="宋体"/>
          <w:highlight w:val="none"/>
        </w:rPr>
        <w:t>合法性由</w:t>
      </w:r>
      <w:bookmarkEnd w:id="873"/>
      <w:bookmarkEnd w:id="874"/>
      <w:bookmarkEnd w:id="875"/>
      <w:bookmarkEnd w:id="876"/>
      <w:r>
        <w:rPr>
          <w:rFonts w:hint="eastAsia" w:ascii="宋体" w:hAnsi="宋体" w:eastAsia="宋体" w:cs="宋体"/>
          <w:highlight w:val="none"/>
        </w:rPr>
        <w:t>投标人负全责。</w:t>
      </w:r>
    </w:p>
    <w:p w14:paraId="569BEFC2">
      <w:pPr>
        <w:rPr>
          <w:highlight w:val="none"/>
        </w:rPr>
      </w:pPr>
    </w:p>
    <w:p w14:paraId="65923B12">
      <w:pPr>
        <w:rPr>
          <w:rFonts w:hint="eastAsia"/>
        </w:rPr>
      </w:pPr>
      <w:r>
        <w:rPr>
          <w:rFonts w:hint="eastAsia"/>
          <w:highlight w:val="none"/>
        </w:rPr>
        <w:br w:type="page"/>
      </w:r>
      <w:bookmarkStart w:id="877" w:name="_Toc78803397"/>
    </w:p>
    <w:bookmarkEnd w:id="859"/>
    <w:bookmarkEnd w:id="860"/>
    <w:bookmarkEnd w:id="861"/>
    <w:bookmarkEnd w:id="862"/>
    <w:bookmarkEnd w:id="877"/>
    <w:p w14:paraId="226BC7FC">
      <w:pPr>
        <w:pStyle w:val="6"/>
        <w:spacing w:beforeLines="50" w:afterLines="50"/>
        <w:rPr>
          <w:rFonts w:hint="eastAsia" w:ascii="Arial" w:hAnsi="Arial" w:eastAsia="宋体" w:cs="Times New Roman"/>
          <w:kern w:val="0"/>
          <w:sz w:val="32"/>
          <w:szCs w:val="32"/>
          <w:highlight w:val="none"/>
          <w:lang w:val="en-US" w:eastAsia="zh-CN"/>
        </w:rPr>
      </w:pPr>
      <w:bookmarkStart w:id="878" w:name="_Toc16721"/>
      <w:r>
        <w:rPr>
          <w:rFonts w:hint="eastAsia" w:ascii="Arial" w:hAnsi="Arial" w:eastAsia="宋体" w:cs="Times New Roman"/>
          <w:kern w:val="0"/>
          <w:sz w:val="32"/>
          <w:szCs w:val="32"/>
          <w:highlight w:val="none"/>
          <w:lang w:val="en-US" w:eastAsia="zh-CN"/>
        </w:rPr>
        <w:t>第五章  合同条款及格式</w:t>
      </w:r>
      <w:bookmarkEnd w:id="878"/>
    </w:p>
    <w:p w14:paraId="4CE3F04B">
      <w:pPr>
        <w:spacing w:line="360" w:lineRule="auto"/>
        <w:jc w:val="center"/>
        <w:rPr>
          <w:rFonts w:ascii="仿宋_GB2312" w:eastAsia="仿宋_GB2312"/>
          <w:b/>
          <w:sz w:val="28"/>
          <w:szCs w:val="28"/>
        </w:rPr>
      </w:pPr>
    </w:p>
    <w:p w14:paraId="5957ECD4">
      <w:pPr>
        <w:jc w:val="center"/>
        <w:rPr>
          <w:rFonts w:hint="eastAsia" w:ascii="宋体" w:hAnsi="宋体" w:cs="宋体"/>
          <w:bCs/>
          <w:color w:val="auto"/>
          <w:sz w:val="32"/>
          <w:szCs w:val="32"/>
          <w:highlight w:val="none"/>
          <w:u w:val="single"/>
        </w:rPr>
      </w:pPr>
      <w:r>
        <w:rPr>
          <w:rFonts w:hint="eastAsia" w:ascii="宋体" w:hAnsi="宋体" w:cs="宋体"/>
          <w:bCs/>
          <w:color w:val="auto"/>
          <w:sz w:val="32"/>
          <w:szCs w:val="32"/>
          <w:highlight w:val="none"/>
        </w:rPr>
        <w:t>合同编号：</w:t>
      </w:r>
      <w:r>
        <w:rPr>
          <w:rFonts w:hint="eastAsia" w:ascii="宋体" w:hAnsi="宋体" w:cs="宋体"/>
          <w:bCs/>
          <w:color w:val="auto"/>
          <w:sz w:val="32"/>
          <w:szCs w:val="32"/>
          <w:highlight w:val="none"/>
          <w:u w:val="single"/>
        </w:rPr>
        <w:t>（HT-YL- ）</w:t>
      </w:r>
    </w:p>
    <w:p w14:paraId="00921190">
      <w:pPr>
        <w:ind w:firstLine="1771" w:firstLineChars="245"/>
        <w:rPr>
          <w:rFonts w:hint="eastAsia" w:ascii="宋体" w:hAnsi="宋体" w:cs="宋体"/>
          <w:b/>
          <w:sz w:val="72"/>
          <w:szCs w:val="52"/>
          <w:highlight w:val="none"/>
        </w:rPr>
      </w:pPr>
    </w:p>
    <w:p w14:paraId="01221F91">
      <w:pPr>
        <w:jc w:val="center"/>
        <w:rPr>
          <w:rFonts w:hint="eastAsia" w:ascii="宋体" w:hAnsi="宋体" w:cs="宋体"/>
          <w:b/>
          <w:sz w:val="52"/>
          <w:szCs w:val="52"/>
          <w:highlight w:val="none"/>
        </w:rPr>
      </w:pPr>
      <w:r>
        <w:rPr>
          <w:rFonts w:hint="eastAsia" w:ascii="宋体" w:hAnsi="宋体" w:eastAsia="宋体" w:cs="宋体"/>
          <w:b/>
          <w:sz w:val="56"/>
          <w:szCs w:val="44"/>
          <w:highlight w:val="none"/>
          <w:lang w:eastAsia="zh-CN"/>
        </w:rPr>
        <w:t>2025年度滁城充电基础设施项目（</w:t>
      </w:r>
      <w:r>
        <w:rPr>
          <w:rFonts w:hint="eastAsia" w:ascii="宋体" w:hAnsi="宋体" w:cs="宋体"/>
          <w:b/>
          <w:sz w:val="56"/>
          <w:szCs w:val="44"/>
          <w:highlight w:val="none"/>
          <w:lang w:eastAsia="zh-CN"/>
        </w:rPr>
        <w:t>第三批次</w:t>
      </w:r>
      <w:r>
        <w:rPr>
          <w:rFonts w:hint="eastAsia" w:ascii="宋体" w:hAnsi="宋体" w:eastAsia="宋体" w:cs="宋体"/>
          <w:b/>
          <w:sz w:val="56"/>
          <w:szCs w:val="44"/>
          <w:highlight w:val="none"/>
          <w:lang w:eastAsia="zh-CN"/>
        </w:rPr>
        <w:t>）施工</w:t>
      </w:r>
      <w:r>
        <w:rPr>
          <w:rFonts w:hint="eastAsia" w:ascii="宋体" w:hAnsi="宋体" w:cs="宋体"/>
          <w:b/>
          <w:sz w:val="56"/>
          <w:szCs w:val="44"/>
          <w:highlight w:val="none"/>
        </w:rPr>
        <w:t>合同</w:t>
      </w:r>
      <w:r>
        <w:rPr>
          <w:rFonts w:hint="eastAsia" w:ascii="宋体" w:hAnsi="宋体" w:cs="宋体"/>
          <w:b/>
          <w:sz w:val="52"/>
          <w:szCs w:val="52"/>
          <w:highlight w:val="none"/>
        </w:rPr>
        <w:br w:type="textWrapping"/>
      </w:r>
    </w:p>
    <w:p w14:paraId="48820318">
      <w:pPr>
        <w:jc w:val="center"/>
        <w:rPr>
          <w:rFonts w:hint="eastAsia" w:ascii="宋体" w:hAnsi="宋体" w:cs="宋体"/>
          <w:b/>
          <w:sz w:val="52"/>
          <w:szCs w:val="52"/>
          <w:highlight w:val="none"/>
        </w:rPr>
      </w:pPr>
    </w:p>
    <w:p w14:paraId="2F116064">
      <w:pPr>
        <w:jc w:val="center"/>
        <w:rPr>
          <w:rFonts w:hint="eastAsia" w:ascii="宋体" w:hAnsi="宋体" w:cs="宋体"/>
          <w:b/>
          <w:sz w:val="72"/>
          <w:szCs w:val="72"/>
          <w:highlight w:val="none"/>
        </w:rPr>
      </w:pPr>
    </w:p>
    <w:p w14:paraId="57BFE166">
      <w:pPr>
        <w:jc w:val="center"/>
        <w:rPr>
          <w:rFonts w:hint="eastAsia" w:ascii="宋体" w:hAnsi="宋体" w:cs="宋体"/>
          <w:b/>
          <w:sz w:val="72"/>
          <w:szCs w:val="72"/>
          <w:highlight w:val="none"/>
        </w:rPr>
      </w:pPr>
    </w:p>
    <w:p w14:paraId="4ACEE727">
      <w:pPr>
        <w:jc w:val="center"/>
        <w:rPr>
          <w:rFonts w:hint="eastAsia" w:ascii="宋体" w:hAnsi="宋体" w:cs="宋体"/>
          <w:b/>
          <w:sz w:val="52"/>
          <w:szCs w:val="52"/>
          <w:highlight w:val="none"/>
        </w:rPr>
      </w:pPr>
    </w:p>
    <w:p w14:paraId="24241A9D">
      <w:pPr>
        <w:rPr>
          <w:rFonts w:hint="eastAsia" w:ascii="宋体" w:hAnsi="宋体" w:cs="宋体"/>
          <w:b/>
          <w:sz w:val="28"/>
          <w:szCs w:val="28"/>
          <w:highlight w:val="none"/>
        </w:rPr>
      </w:pPr>
    </w:p>
    <w:p w14:paraId="6BF65F7C">
      <w:pPr>
        <w:pStyle w:val="27"/>
        <w:rPr>
          <w:rFonts w:hint="eastAsia" w:ascii="宋体" w:hAnsi="宋体" w:cs="宋体"/>
          <w:b/>
          <w:sz w:val="28"/>
          <w:szCs w:val="28"/>
          <w:highlight w:val="none"/>
        </w:rPr>
      </w:pPr>
    </w:p>
    <w:p w14:paraId="6A708499">
      <w:pPr>
        <w:rPr>
          <w:b/>
          <w:sz w:val="28"/>
          <w:szCs w:val="28"/>
          <w:highlight w:val="none"/>
        </w:rPr>
      </w:pPr>
    </w:p>
    <w:p w14:paraId="0EBB5AE7">
      <w:pPr>
        <w:jc w:val="center"/>
        <w:rPr>
          <w:b/>
          <w:sz w:val="28"/>
          <w:szCs w:val="28"/>
          <w:highlight w:val="none"/>
        </w:rPr>
      </w:pPr>
    </w:p>
    <w:p w14:paraId="2405A6FC">
      <w:pPr>
        <w:jc w:val="center"/>
        <w:rPr>
          <w:b/>
          <w:sz w:val="32"/>
          <w:szCs w:val="28"/>
          <w:highlight w:val="none"/>
        </w:rPr>
      </w:pPr>
      <w:r>
        <w:rPr>
          <w:szCs w:val="22"/>
          <w:highlight w:val="none"/>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213360</wp:posOffset>
                </wp:positionV>
                <wp:extent cx="723900" cy="457200"/>
                <wp:effectExtent l="4445" t="4445" r="14605" b="14605"/>
                <wp:wrapNone/>
                <wp:docPr id="30" name="文本框 3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0C2B60C3">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4pt;margin-top:16.8pt;height:36pt;width:57pt;z-index:251659264;mso-width-relative:page;mso-height-relative:page;" filled="f" stroked="t" coordsize="21600,21600" o:gfxdata="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cypq2QAAAAoBAAAPAAAAAAAAAAEAIAAA&#10;ACIAAABkcnMvZG93bnJldi54bWxQSwECFAAUAAAACACHTuJA/8oVsQsCAAAcBAAADgAAAAAAAAAB&#10;ACAAAAAoAQAAZHJzL2Uyb0RvYy54bWxQSwUGAAAAAAYABgBZAQAApQUAAAAA&#10;">
                <v:fill on="f" focussize="0,0"/>
                <v:stroke color="#FFFFFF" joinstyle="miter"/>
                <v:imagedata o:title=""/>
                <o:lock v:ext="edit" aspectratio="f"/>
                <v:textbox>
                  <w:txbxContent>
                    <w:p w14:paraId="0C2B60C3">
                      <w:pPr>
                        <w:rPr>
                          <w:b/>
                          <w:bCs/>
                          <w:sz w:val="32"/>
                        </w:rPr>
                      </w:pPr>
                      <w:r>
                        <w:rPr>
                          <w:rFonts w:hint="eastAsia"/>
                          <w:b/>
                          <w:bCs/>
                          <w:sz w:val="32"/>
                        </w:rPr>
                        <w:t>制定</w:t>
                      </w:r>
                    </w:p>
                  </w:txbxContent>
                </v:textbox>
              </v:shape>
            </w:pict>
          </mc:Fallback>
        </mc:AlternateContent>
      </w:r>
      <w:r>
        <w:rPr>
          <w:rFonts w:hint="eastAsia"/>
          <w:b/>
          <w:sz w:val="32"/>
          <w:szCs w:val="28"/>
          <w:highlight w:val="none"/>
        </w:rPr>
        <w:t>住房和城乡建设部</w:t>
      </w:r>
    </w:p>
    <w:p w14:paraId="7F94B3DC">
      <w:pPr>
        <w:jc w:val="center"/>
        <w:rPr>
          <w:rFonts w:hint="eastAsia" w:ascii="黑体" w:eastAsia="黑体" w:cs="黑体"/>
        </w:rPr>
      </w:pPr>
      <w:r>
        <w:rPr>
          <w:rFonts w:hint="eastAsia"/>
          <w:b/>
          <w:sz w:val="32"/>
          <w:szCs w:val="28"/>
          <w:highlight w:val="none"/>
        </w:rPr>
        <w:t>国家工商行政管理总局</w:t>
      </w:r>
    </w:p>
    <w:p w14:paraId="2758F104">
      <w:pPr>
        <w:rPr>
          <w:rFonts w:hint="eastAsia" w:ascii="黑体" w:eastAsia="黑体" w:cs="黑体"/>
        </w:rPr>
      </w:pPr>
      <w:r>
        <w:rPr>
          <w:rFonts w:hint="eastAsia" w:ascii="黑体" w:eastAsia="黑体" w:cs="黑体"/>
        </w:rPr>
        <w:br w:type="page"/>
      </w:r>
    </w:p>
    <w:p w14:paraId="5CFCB6A7">
      <w:pPr>
        <w:pStyle w:val="8"/>
        <w:jc w:val="center"/>
        <w:rPr>
          <w:rFonts w:ascii="黑体" w:eastAsia="黑体" w:cs="黑体"/>
          <w:b w:val="0"/>
        </w:rPr>
      </w:pPr>
      <w:r>
        <w:rPr>
          <w:rFonts w:hint="eastAsia" w:ascii="黑体" w:eastAsia="黑体" w:cs="黑体"/>
        </w:rPr>
        <w:t>第一节 合同协议书</w:t>
      </w:r>
    </w:p>
    <w:p w14:paraId="2A6C10D9">
      <w:pPr>
        <w:spacing w:line="440" w:lineRule="exact"/>
        <w:ind w:firstLine="420" w:firstLineChars="200"/>
        <w:rPr>
          <w:rFonts w:hint="eastAsia" w:ascii="宋体" w:cs="宋体"/>
          <w:szCs w:val="21"/>
          <w:u w:val="single"/>
        </w:rPr>
      </w:pPr>
      <w:r>
        <w:rPr>
          <w:rFonts w:hint="eastAsia" w:ascii="宋体" w:cs="宋体"/>
          <w:szCs w:val="21"/>
        </w:rPr>
        <w:t>发包人（全称）：</w:t>
      </w:r>
      <w:r>
        <w:rPr>
          <w:rFonts w:hint="eastAsia" w:ascii="宋体" w:cs="宋体"/>
          <w:szCs w:val="21"/>
          <w:u w:val="single"/>
        </w:rPr>
        <w:t xml:space="preserve">    </w:t>
      </w:r>
      <w:r>
        <w:rPr>
          <w:rFonts w:hint="eastAsia" w:ascii="宋体" w:cs="宋体"/>
          <w:szCs w:val="21"/>
          <w:u w:val="single"/>
          <w:lang w:eastAsia="zh-CN"/>
        </w:rPr>
        <w:t>滁州工投新能源开发有限公司</w:t>
      </w:r>
      <w:r>
        <w:rPr>
          <w:rFonts w:hint="eastAsia" w:ascii="宋体" w:cs="宋体"/>
          <w:szCs w:val="21"/>
          <w:u w:val="single"/>
        </w:rPr>
        <w:t xml:space="preserve">     </w:t>
      </w:r>
    </w:p>
    <w:p w14:paraId="6B96C0CD">
      <w:pPr>
        <w:spacing w:line="440" w:lineRule="exact"/>
        <w:ind w:firstLine="420" w:firstLineChars="200"/>
        <w:rPr>
          <w:rFonts w:hint="eastAsia" w:ascii="宋体" w:cs="宋体"/>
          <w:szCs w:val="21"/>
          <w:u w:val="single"/>
        </w:rPr>
      </w:pPr>
      <w:r>
        <w:rPr>
          <w:rFonts w:hint="eastAsia" w:ascii="宋体" w:cs="宋体"/>
          <w:szCs w:val="21"/>
        </w:rPr>
        <w:t>承包人（全称）：</w:t>
      </w:r>
      <w:r>
        <w:rPr>
          <w:rFonts w:hint="eastAsia" w:ascii="宋体" w:cs="宋体"/>
          <w:szCs w:val="21"/>
          <w:u w:val="single"/>
        </w:rPr>
        <w:t xml:space="preserve">                                    </w:t>
      </w:r>
    </w:p>
    <w:p w14:paraId="3DCEDB6F">
      <w:pPr>
        <w:spacing w:line="440" w:lineRule="exact"/>
        <w:ind w:firstLine="420" w:firstLineChars="200"/>
        <w:rPr>
          <w:rFonts w:hint="eastAsia" w:ascii="宋体" w:cs="宋体"/>
          <w:szCs w:val="21"/>
        </w:rPr>
      </w:pPr>
      <w:r>
        <w:rPr>
          <w:rFonts w:hint="eastAsia" w:ascii="宋体" w:cs="宋体"/>
          <w:szCs w:val="21"/>
        </w:rPr>
        <w:t>根据《中华人民共和国民法典》、《中华人民共和国建筑法》及有关法律规定，遵循平等、自愿、公平和诚实信用的原则，双方就</w:t>
      </w:r>
      <w:r>
        <w:rPr>
          <w:rFonts w:hint="eastAsia" w:ascii="宋体" w:cs="宋体"/>
          <w:szCs w:val="21"/>
          <w:u w:val="single"/>
          <w:lang w:val="en-US" w:eastAsia="zh-CN"/>
        </w:rPr>
        <w:t xml:space="preserve"> 2025年度滁城充电基础设施项目（第三批次）</w:t>
      </w:r>
      <w:r>
        <w:rPr>
          <w:rFonts w:hint="eastAsia" w:ascii="宋体" w:hAnsi="宋体" w:cs="宋体"/>
          <w:szCs w:val="21"/>
          <w:u w:val="single"/>
        </w:rPr>
        <w:t xml:space="preserve"> </w:t>
      </w:r>
      <w:r>
        <w:rPr>
          <w:rFonts w:hint="eastAsia" w:ascii="宋体" w:cs="宋体"/>
          <w:szCs w:val="21"/>
          <w:u w:val="single"/>
        </w:rPr>
        <w:t xml:space="preserve"> </w:t>
      </w:r>
      <w:r>
        <w:rPr>
          <w:rFonts w:hint="eastAsia" w:ascii="宋体" w:cs="宋体"/>
          <w:szCs w:val="21"/>
        </w:rPr>
        <w:t>施工及有关事项协商一致，共同达成如下协议：</w:t>
      </w:r>
    </w:p>
    <w:p w14:paraId="1300C206">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一、工程概况</w:t>
      </w:r>
    </w:p>
    <w:p w14:paraId="236F5668">
      <w:pPr>
        <w:spacing w:line="440" w:lineRule="exact"/>
        <w:ind w:firstLine="420" w:firstLineChars="200"/>
        <w:rPr>
          <w:rFonts w:hint="eastAsia" w:ascii="宋体" w:cs="宋体"/>
          <w:szCs w:val="21"/>
          <w:u w:val="single"/>
        </w:rPr>
      </w:pPr>
      <w:r>
        <w:rPr>
          <w:rFonts w:hint="eastAsia" w:ascii="宋体" w:cs="宋体"/>
          <w:bCs/>
          <w:szCs w:val="21"/>
        </w:rPr>
        <w:t>1.工程名称</w:t>
      </w:r>
      <w:r>
        <w:rPr>
          <w:rFonts w:hint="eastAsia" w:ascii="宋体" w:cs="宋体"/>
          <w:szCs w:val="21"/>
        </w:rPr>
        <w:t>：</w:t>
      </w:r>
      <w:r>
        <w:rPr>
          <w:rFonts w:hint="eastAsia" w:ascii="宋体" w:cs="宋体"/>
          <w:szCs w:val="21"/>
          <w:u w:val="single"/>
        </w:rPr>
        <w:t xml:space="preserve">  2025年度滁城充电基础设施项目（</w:t>
      </w:r>
      <w:r>
        <w:rPr>
          <w:rFonts w:hint="eastAsia" w:ascii="宋体" w:cs="宋体"/>
          <w:szCs w:val="21"/>
          <w:u w:val="single"/>
          <w:lang w:eastAsia="zh-CN"/>
        </w:rPr>
        <w:t>第三批次</w:t>
      </w:r>
      <w:r>
        <w:rPr>
          <w:rFonts w:hint="eastAsia" w:ascii="宋体" w:cs="宋体"/>
          <w:szCs w:val="21"/>
          <w:u w:val="single"/>
        </w:rPr>
        <w:t xml:space="preserve">）施工 </w:t>
      </w:r>
      <w:r>
        <w:rPr>
          <w:rFonts w:hint="eastAsia" w:ascii="宋体" w:cs="宋体"/>
          <w:szCs w:val="21"/>
        </w:rPr>
        <w:t>。</w:t>
      </w:r>
    </w:p>
    <w:p w14:paraId="05EDF5A6">
      <w:pPr>
        <w:spacing w:line="440" w:lineRule="exact"/>
        <w:ind w:firstLine="420" w:firstLineChars="200"/>
        <w:rPr>
          <w:rFonts w:hint="eastAsia" w:ascii="宋体" w:cs="宋体"/>
          <w:bCs/>
          <w:szCs w:val="21"/>
        </w:rPr>
      </w:pPr>
      <w:r>
        <w:rPr>
          <w:rFonts w:hint="eastAsia" w:ascii="宋体" w:cs="宋体"/>
          <w:bCs/>
          <w:szCs w:val="21"/>
        </w:rPr>
        <w:t>2.工程地点：</w:t>
      </w:r>
      <w:r>
        <w:rPr>
          <w:rFonts w:hint="eastAsia" w:ascii="宋体" w:cs="宋体"/>
          <w:szCs w:val="21"/>
          <w:u w:val="single"/>
        </w:rPr>
        <w:t xml:space="preserve">  </w:t>
      </w:r>
      <w:r>
        <w:rPr>
          <w:rFonts w:hint="eastAsia" w:ascii="宋体" w:hAnsi="Times New Roman" w:eastAsia="宋体" w:cs="宋体"/>
          <w:szCs w:val="21"/>
          <w:u w:val="single"/>
          <w:lang w:val="en-US" w:eastAsia="zh-CN"/>
        </w:rPr>
        <w:t>滁州市内，招标人指定地点</w:t>
      </w:r>
      <w:r>
        <w:rPr>
          <w:rFonts w:hint="eastAsia" w:ascii="宋体" w:cs="宋体"/>
          <w:szCs w:val="21"/>
          <w:u w:val="single"/>
        </w:rPr>
        <w:t xml:space="preserve">  </w:t>
      </w:r>
      <w:r>
        <w:rPr>
          <w:rFonts w:hint="eastAsia" w:ascii="宋体" w:cs="宋体"/>
          <w:szCs w:val="21"/>
        </w:rPr>
        <w:t>。</w:t>
      </w:r>
    </w:p>
    <w:p w14:paraId="22B63F7C">
      <w:pPr>
        <w:spacing w:line="440" w:lineRule="exact"/>
        <w:ind w:firstLine="420" w:firstLineChars="200"/>
        <w:rPr>
          <w:rFonts w:hint="eastAsia" w:ascii="宋体" w:cs="宋体"/>
          <w:bCs/>
          <w:szCs w:val="21"/>
        </w:rPr>
      </w:pPr>
      <w:r>
        <w:rPr>
          <w:rFonts w:hint="eastAsia" w:ascii="宋体" w:cs="宋体"/>
          <w:bCs/>
          <w:szCs w:val="21"/>
        </w:rPr>
        <w:t>3.工程立项批准文号：</w:t>
      </w:r>
      <w:r>
        <w:rPr>
          <w:rFonts w:hint="eastAsia" w:ascii="宋体" w:cs="宋体"/>
          <w:bCs/>
          <w:szCs w:val="21"/>
          <w:u w:val="single"/>
          <w:lang w:val="en-US" w:eastAsia="zh-CN"/>
        </w:rPr>
        <w:t xml:space="preserve">                </w:t>
      </w:r>
      <w:r>
        <w:rPr>
          <w:rFonts w:hint="eastAsia" w:ascii="宋体" w:cs="宋体"/>
          <w:bCs/>
          <w:szCs w:val="21"/>
          <w:u w:val="single"/>
        </w:rPr>
        <w:t xml:space="preserve">  </w:t>
      </w:r>
      <w:r>
        <w:rPr>
          <w:rFonts w:hint="eastAsia" w:ascii="宋体" w:cs="宋体"/>
          <w:bCs/>
          <w:szCs w:val="21"/>
        </w:rPr>
        <w:t>。</w:t>
      </w:r>
    </w:p>
    <w:p w14:paraId="2A46B856">
      <w:pPr>
        <w:spacing w:line="440" w:lineRule="exact"/>
        <w:ind w:firstLine="420" w:firstLineChars="200"/>
        <w:rPr>
          <w:rFonts w:hint="eastAsia" w:ascii="宋体" w:cs="宋体"/>
          <w:bCs/>
          <w:szCs w:val="21"/>
        </w:rPr>
      </w:pPr>
      <w:r>
        <w:rPr>
          <w:rFonts w:hint="eastAsia" w:ascii="宋体" w:cs="宋体"/>
          <w:bCs/>
          <w:szCs w:val="21"/>
        </w:rPr>
        <w:t>4.资金来源：</w:t>
      </w:r>
      <w:r>
        <w:rPr>
          <w:rFonts w:hint="eastAsia" w:ascii="宋体" w:cs="宋体"/>
          <w:bCs/>
          <w:szCs w:val="21"/>
          <w:u w:val="single"/>
        </w:rPr>
        <w:t xml:space="preserve">         </w:t>
      </w:r>
      <w:r>
        <w:rPr>
          <w:rFonts w:hint="eastAsia" w:ascii="宋体" w:cs="宋体"/>
          <w:bCs/>
          <w:szCs w:val="21"/>
          <w:u w:val="single"/>
          <w:lang w:val="en-US" w:eastAsia="zh-CN"/>
        </w:rPr>
        <w:t>自筹资金</w:t>
      </w:r>
      <w:r>
        <w:rPr>
          <w:rFonts w:hint="eastAsia" w:ascii="宋体" w:cs="宋体"/>
          <w:bCs/>
          <w:szCs w:val="21"/>
          <w:u w:val="single"/>
        </w:rPr>
        <w:t xml:space="preserve">           </w:t>
      </w:r>
      <w:r>
        <w:rPr>
          <w:rFonts w:hint="eastAsia" w:ascii="宋体" w:cs="宋体"/>
          <w:szCs w:val="21"/>
          <w:u w:val="single"/>
        </w:rPr>
        <w:t xml:space="preserve">       </w:t>
      </w:r>
      <w:r>
        <w:rPr>
          <w:rFonts w:hint="eastAsia" w:ascii="宋体" w:cs="宋体"/>
          <w:bCs/>
          <w:szCs w:val="21"/>
        </w:rPr>
        <w:t>。</w:t>
      </w:r>
    </w:p>
    <w:p w14:paraId="2F00C2D8">
      <w:pPr>
        <w:spacing w:line="440" w:lineRule="exact"/>
        <w:ind w:firstLine="420" w:firstLineChars="200"/>
        <w:rPr>
          <w:rFonts w:hint="eastAsia" w:ascii="宋体" w:cs="宋体"/>
          <w:bCs/>
          <w:szCs w:val="21"/>
        </w:rPr>
      </w:pPr>
      <w:r>
        <w:rPr>
          <w:rFonts w:hint="eastAsia" w:ascii="宋体" w:cs="宋体"/>
          <w:bCs/>
          <w:szCs w:val="21"/>
        </w:rPr>
        <w:t>5.工程内容：</w:t>
      </w:r>
      <w:r>
        <w:rPr>
          <w:rFonts w:hint="eastAsia" w:ascii="宋体" w:cs="宋体"/>
          <w:bCs/>
          <w:szCs w:val="21"/>
          <w:u w:val="single"/>
        </w:rPr>
        <w:t xml:space="preserve">   </w:t>
      </w:r>
      <w:r>
        <w:rPr>
          <w:rFonts w:hint="eastAsia" w:ascii="宋体" w:cs="宋体"/>
          <w:szCs w:val="21"/>
          <w:u w:val="single"/>
        </w:rPr>
        <w:t xml:space="preserve">以施工图纸及工程量清单内容为准  </w:t>
      </w:r>
      <w:r>
        <w:rPr>
          <w:rFonts w:hint="eastAsia" w:ascii="宋体" w:cs="宋体"/>
          <w:bCs/>
          <w:szCs w:val="21"/>
        </w:rPr>
        <w:t>。</w:t>
      </w:r>
    </w:p>
    <w:p w14:paraId="0B09708D">
      <w:pPr>
        <w:spacing w:line="440" w:lineRule="exact"/>
        <w:ind w:firstLine="420" w:firstLineChars="200"/>
        <w:rPr>
          <w:rFonts w:hint="eastAsia" w:ascii="宋体" w:cs="宋体"/>
          <w:bCs/>
          <w:szCs w:val="21"/>
        </w:rPr>
      </w:pPr>
      <w:r>
        <w:rPr>
          <w:rFonts w:hint="eastAsia" w:ascii="宋体" w:cs="宋体"/>
          <w:szCs w:val="21"/>
        </w:rPr>
        <w:t>群体工程应附《承包人承揽工程项目一览表》（附件1）。</w:t>
      </w:r>
    </w:p>
    <w:p w14:paraId="3EA9822A">
      <w:pPr>
        <w:spacing w:line="440" w:lineRule="exact"/>
        <w:ind w:firstLine="420" w:firstLineChars="200"/>
        <w:rPr>
          <w:rFonts w:hint="eastAsia" w:ascii="宋体" w:cs="宋体"/>
          <w:szCs w:val="21"/>
        </w:rPr>
      </w:pPr>
      <w:r>
        <w:rPr>
          <w:rFonts w:hint="eastAsia" w:ascii="宋体" w:cs="宋体"/>
          <w:bCs/>
          <w:szCs w:val="21"/>
        </w:rPr>
        <w:t>6.工程承包范围：</w:t>
      </w:r>
      <w:r>
        <w:rPr>
          <w:rFonts w:hint="eastAsia" w:ascii="宋体" w:cs="宋体"/>
          <w:szCs w:val="21"/>
          <w:u w:val="single"/>
        </w:rPr>
        <w:t xml:space="preserve">  </w:t>
      </w:r>
      <w:r>
        <w:rPr>
          <w:rFonts w:hint="eastAsia" w:ascii="宋体" w:hAnsi="宋体" w:cs="宋体"/>
          <w:b/>
          <w:bCs/>
          <w:szCs w:val="21"/>
          <w:u w:val="single"/>
        </w:rPr>
        <w:t>施工图纸和工程量清单载明的施工内容及施工过程中的变更调整内容（如施工图纸和工程量清单不一致，由项目单位负责解释</w:t>
      </w:r>
      <w:r>
        <w:rPr>
          <w:rFonts w:hint="eastAsia" w:ascii="宋体" w:hAnsi="宋体" w:cs="宋体"/>
          <w:szCs w:val="21"/>
          <w:u w:val="single"/>
        </w:rPr>
        <w:t>）</w:t>
      </w:r>
      <w:r>
        <w:rPr>
          <w:rFonts w:hint="eastAsia" w:ascii="宋体" w:cs="宋体"/>
          <w:szCs w:val="21"/>
          <w:u w:val="single"/>
        </w:rPr>
        <w:t xml:space="preserve"> </w:t>
      </w:r>
      <w:r>
        <w:rPr>
          <w:rFonts w:hint="eastAsia" w:ascii="宋体" w:cs="宋体"/>
          <w:szCs w:val="21"/>
        </w:rPr>
        <w:t>。</w:t>
      </w:r>
    </w:p>
    <w:p w14:paraId="497ADE28">
      <w:pPr>
        <w:pStyle w:val="9"/>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二、合同工期</w:t>
      </w:r>
    </w:p>
    <w:p w14:paraId="73E52071">
      <w:pPr>
        <w:spacing w:line="440" w:lineRule="exact"/>
        <w:ind w:firstLine="420" w:firstLineChars="200"/>
        <w:rPr>
          <w:rFonts w:hint="eastAsia" w:ascii="宋体" w:cs="宋体"/>
          <w:szCs w:val="21"/>
        </w:rPr>
      </w:pPr>
      <w:r>
        <w:rPr>
          <w:rFonts w:hint="eastAsia" w:ascii="宋体" w:cs="宋体"/>
          <w:szCs w:val="21"/>
        </w:rPr>
        <w:t>计划开工日期：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r>
        <w:rPr>
          <w:rFonts w:hint="eastAsia" w:ascii="宋体" w:cs="宋体"/>
          <w:szCs w:val="21"/>
          <w:lang w:eastAsia="zh-CN"/>
        </w:rPr>
        <w:t>（</w:t>
      </w:r>
      <w:r>
        <w:rPr>
          <w:rFonts w:hint="eastAsia" w:ascii="宋体" w:cs="宋体"/>
          <w:szCs w:val="21"/>
        </w:rPr>
        <w:t>以开工令为准</w:t>
      </w:r>
      <w:r>
        <w:rPr>
          <w:rFonts w:hint="eastAsia" w:ascii="宋体" w:cs="宋体"/>
          <w:szCs w:val="21"/>
          <w:lang w:eastAsia="zh-CN"/>
        </w:rPr>
        <w:t>）</w:t>
      </w:r>
    </w:p>
    <w:p w14:paraId="094895E8">
      <w:pPr>
        <w:spacing w:line="440" w:lineRule="exact"/>
        <w:ind w:firstLine="420" w:firstLineChars="200"/>
        <w:rPr>
          <w:rFonts w:hint="eastAsia" w:ascii="宋体" w:cs="宋体"/>
          <w:szCs w:val="21"/>
        </w:rPr>
      </w:pPr>
      <w:r>
        <w:rPr>
          <w:rFonts w:hint="eastAsia" w:ascii="宋体" w:cs="宋体"/>
          <w:szCs w:val="21"/>
        </w:rPr>
        <w:t>计划竣工日期：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14:paraId="1FB9E0BE">
      <w:pPr>
        <w:spacing w:line="440" w:lineRule="exact"/>
        <w:ind w:firstLine="420" w:firstLineChars="200"/>
        <w:rPr>
          <w:rFonts w:hint="eastAsia" w:ascii="宋体" w:cs="宋体"/>
          <w:szCs w:val="21"/>
        </w:rPr>
      </w:pPr>
      <w:r>
        <w:rPr>
          <w:rFonts w:hint="eastAsia" w:ascii="宋体" w:cs="宋体"/>
          <w:szCs w:val="21"/>
        </w:rPr>
        <w:t>工期总日历天数：</w:t>
      </w:r>
      <w:r>
        <w:rPr>
          <w:rFonts w:hint="eastAsia" w:ascii="宋体" w:cs="宋体"/>
          <w:szCs w:val="21"/>
          <w:u w:val="single"/>
        </w:rPr>
        <w:t xml:space="preserve">    </w:t>
      </w:r>
      <w:r>
        <w:rPr>
          <w:rFonts w:hint="eastAsia" w:ascii="宋体" w:cs="宋体"/>
          <w:szCs w:val="21"/>
        </w:rPr>
        <w:t>天。工期总日历天数与根据前述计划开竣工日期计算的工期天数不一致的，以工期总日历天数为准。</w:t>
      </w:r>
    </w:p>
    <w:p w14:paraId="5131FFEB">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三、质量标准</w:t>
      </w:r>
    </w:p>
    <w:p w14:paraId="6380E96E">
      <w:pPr>
        <w:spacing w:line="440" w:lineRule="exact"/>
        <w:ind w:firstLine="420" w:firstLineChars="200"/>
        <w:rPr>
          <w:rFonts w:hint="eastAsia" w:ascii="宋体" w:cs="宋体"/>
          <w:szCs w:val="21"/>
        </w:rPr>
      </w:pPr>
      <w:r>
        <w:rPr>
          <w:rFonts w:hint="eastAsia"/>
          <w:szCs w:val="21"/>
        </w:rPr>
        <w:t>工程质量必须达到国家工程施工质量验收</w:t>
      </w:r>
      <w:r>
        <w:rPr>
          <w:rFonts w:hint="eastAsia"/>
          <w:b/>
          <w:szCs w:val="21"/>
          <w:u w:val="single"/>
        </w:rPr>
        <w:t xml:space="preserve">  合格  </w:t>
      </w:r>
      <w:r>
        <w:rPr>
          <w:rFonts w:hint="eastAsia"/>
          <w:szCs w:val="21"/>
        </w:rPr>
        <w:t>标准。</w:t>
      </w:r>
    </w:p>
    <w:p w14:paraId="5A41FA8D">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四、签约合同价与合同价格形式</w:t>
      </w:r>
      <w:r>
        <w:rPr>
          <w:rFonts w:hint="eastAsia" w:ascii="宋体" w:eastAsia="宋体" w:cs="宋体"/>
          <w:b w:val="0"/>
          <w:sz w:val="21"/>
          <w:szCs w:val="21"/>
        </w:rPr>
        <w:tab/>
      </w:r>
    </w:p>
    <w:p w14:paraId="73EA17D4">
      <w:pPr>
        <w:spacing w:line="440" w:lineRule="exact"/>
        <w:ind w:firstLine="420" w:firstLineChars="200"/>
        <w:rPr>
          <w:rFonts w:hint="eastAsia" w:ascii="宋体" w:cs="宋体"/>
          <w:color w:val="auto"/>
          <w:szCs w:val="21"/>
        </w:rPr>
      </w:pPr>
      <w:r>
        <w:rPr>
          <w:rFonts w:hint="eastAsia" w:ascii="宋体" w:cs="宋体"/>
          <w:szCs w:val="21"/>
        </w:rPr>
        <w:t>1.签约合同价为：</w:t>
      </w:r>
    </w:p>
    <w:p w14:paraId="78E5A5B2">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lang w:eastAsia="zh-CN"/>
        </w:rPr>
        <w:t>，</w:t>
      </w:r>
      <w:r>
        <w:rPr>
          <w:rFonts w:hint="eastAsia" w:ascii="宋体" w:hAnsi="宋体" w:cs="宋体"/>
          <w:color w:val="auto"/>
          <w:szCs w:val="21"/>
          <w:lang w:val="en-US" w:eastAsia="zh-CN"/>
        </w:rPr>
        <w:t>含税价，其中增值税税率为9%</w:t>
      </w:r>
      <w:r>
        <w:rPr>
          <w:rFonts w:hint="eastAsia" w:ascii="宋体" w:hAnsi="宋体" w:cs="宋体"/>
          <w:color w:val="auto"/>
          <w:szCs w:val="21"/>
          <w:lang w:eastAsia="zh-CN"/>
        </w:rPr>
        <w:t>）</w:t>
      </w:r>
      <w:r>
        <w:rPr>
          <w:rFonts w:hint="eastAsia" w:ascii="宋体" w:hAnsi="宋体" w:cs="宋体"/>
          <w:color w:val="auto"/>
          <w:szCs w:val="21"/>
        </w:rPr>
        <w:t>；</w:t>
      </w:r>
    </w:p>
    <w:p w14:paraId="1879CDA4">
      <w:pPr>
        <w:spacing w:line="440" w:lineRule="exact"/>
        <w:ind w:firstLine="420" w:firstLineChars="200"/>
        <w:rPr>
          <w:rFonts w:hint="eastAsia" w:ascii="宋体" w:cs="宋体"/>
          <w:szCs w:val="21"/>
        </w:rPr>
      </w:pPr>
      <w:r>
        <w:rPr>
          <w:rFonts w:hint="eastAsia" w:ascii="宋体" w:cs="宋体"/>
          <w:szCs w:val="21"/>
        </w:rPr>
        <w:t>2.合同价格形式：</w:t>
      </w:r>
      <w:r>
        <w:rPr>
          <w:rFonts w:hint="eastAsia" w:ascii="宋体" w:cs="宋体"/>
          <w:szCs w:val="21"/>
          <w:u w:val="single"/>
        </w:rPr>
        <w:t xml:space="preserve">          </w:t>
      </w:r>
      <w:r>
        <w:rPr>
          <w:rFonts w:hint="eastAsia" w:ascii="宋体" w:cs="宋体"/>
          <w:szCs w:val="21"/>
          <w:u w:val="single"/>
          <w:lang w:val="en-US" w:eastAsia="zh-CN"/>
        </w:rPr>
        <w:t>固定</w:t>
      </w:r>
      <w:r>
        <w:rPr>
          <w:rFonts w:hint="eastAsia" w:ascii="宋体" w:cs="宋体"/>
          <w:szCs w:val="21"/>
          <w:u w:val="single"/>
        </w:rPr>
        <w:t>单价合同           </w:t>
      </w:r>
      <w:r>
        <w:rPr>
          <w:rFonts w:hint="eastAsia" w:ascii="宋体" w:cs="宋体"/>
          <w:szCs w:val="21"/>
        </w:rPr>
        <w:t>。</w:t>
      </w:r>
    </w:p>
    <w:p w14:paraId="6952254A">
      <w:pPr>
        <w:pStyle w:val="9"/>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五、项目</w:t>
      </w:r>
      <w:r>
        <w:rPr>
          <w:rFonts w:hint="eastAsia" w:ascii="宋体" w:eastAsia="宋体" w:cs="宋体"/>
          <w:b w:val="0"/>
          <w:sz w:val="21"/>
          <w:szCs w:val="21"/>
          <w:lang w:val="en-US" w:eastAsia="zh-CN"/>
        </w:rPr>
        <w:t>经理</w:t>
      </w:r>
    </w:p>
    <w:p w14:paraId="71CB4DD1">
      <w:pPr>
        <w:spacing w:line="440" w:lineRule="exact"/>
        <w:ind w:firstLine="420" w:firstLineChars="200"/>
        <w:rPr>
          <w:rFonts w:hint="eastAsia" w:ascii="宋体" w:cs="宋体"/>
          <w:szCs w:val="21"/>
        </w:rPr>
      </w:pPr>
      <w:r>
        <w:rPr>
          <w:rFonts w:hint="eastAsia" w:ascii="宋体" w:cs="宋体"/>
          <w:szCs w:val="21"/>
        </w:rPr>
        <w:t>承包人项目经理：</w:t>
      </w:r>
      <w:r>
        <w:rPr>
          <w:rFonts w:hint="eastAsia" w:ascii="宋体" w:cs="宋体"/>
          <w:szCs w:val="21"/>
          <w:u w:val="single"/>
        </w:rPr>
        <w:t xml:space="preserve">                            </w:t>
      </w:r>
      <w:r>
        <w:rPr>
          <w:rFonts w:hint="eastAsia" w:ascii="宋体" w:cs="宋体"/>
          <w:szCs w:val="21"/>
        </w:rPr>
        <w:t>。</w:t>
      </w:r>
    </w:p>
    <w:p w14:paraId="32977BEF">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六、合同文件构成</w:t>
      </w:r>
    </w:p>
    <w:p w14:paraId="3F438B89">
      <w:pPr>
        <w:spacing w:line="440" w:lineRule="exact"/>
        <w:ind w:firstLine="420" w:firstLineChars="200"/>
        <w:rPr>
          <w:rFonts w:hint="eastAsia" w:ascii="宋体" w:cs="宋体"/>
          <w:bCs/>
          <w:szCs w:val="21"/>
        </w:rPr>
      </w:pPr>
      <w:r>
        <w:rPr>
          <w:rFonts w:hint="eastAsia" w:ascii="宋体" w:cs="宋体"/>
          <w:bCs/>
          <w:szCs w:val="21"/>
        </w:rPr>
        <w:t>本协议书与下列文件一起构成合同文件：</w:t>
      </w:r>
    </w:p>
    <w:p w14:paraId="45E7BAD1">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（1）中</w:t>
      </w:r>
      <w:r>
        <w:rPr>
          <w:rFonts w:hint="eastAsia" w:ascii="宋体" w:cs="宋体"/>
          <w:szCs w:val="21"/>
          <w:lang w:val="en-US" w:eastAsia="zh-CN"/>
        </w:rPr>
        <w:t>标</w:t>
      </w:r>
      <w:r>
        <w:rPr>
          <w:rFonts w:hint="eastAsia" w:ascii="宋体" w:cs="宋体"/>
          <w:szCs w:val="21"/>
        </w:rPr>
        <w:t>通知书；</w:t>
      </w:r>
    </w:p>
    <w:p w14:paraId="53227739">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 xml:space="preserve">（2）确认函及其附录； </w:t>
      </w:r>
    </w:p>
    <w:p w14:paraId="46087623">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（3）专用合同条款及其附件；</w:t>
      </w:r>
    </w:p>
    <w:p w14:paraId="39FFA3B8">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（4）通用合同条款；</w:t>
      </w:r>
    </w:p>
    <w:p w14:paraId="36334CD8">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（5）技术标准和要求；</w:t>
      </w:r>
    </w:p>
    <w:p w14:paraId="30225A2D">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（6）图纸；</w:t>
      </w:r>
    </w:p>
    <w:p w14:paraId="0F8AFA18">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（7）已标价工程量清单或预算书；</w:t>
      </w:r>
    </w:p>
    <w:p w14:paraId="5EB9179B">
      <w:pPr>
        <w:autoSpaceDE w:val="0"/>
        <w:autoSpaceDN w:val="0"/>
        <w:adjustRightInd w:val="0"/>
        <w:spacing w:line="440" w:lineRule="exact"/>
        <w:ind w:firstLine="420" w:firstLineChars="200"/>
        <w:jc w:val="left"/>
        <w:rPr>
          <w:rFonts w:hint="eastAsia" w:ascii="宋体" w:cs="宋体"/>
          <w:szCs w:val="21"/>
        </w:rPr>
      </w:pPr>
      <w:r>
        <w:rPr>
          <w:rFonts w:hint="eastAsia" w:ascii="宋体" w:cs="宋体"/>
          <w:szCs w:val="21"/>
        </w:rPr>
        <w:t>（8）其他合同文件。</w:t>
      </w:r>
    </w:p>
    <w:p w14:paraId="6BD3A458">
      <w:pPr>
        <w:autoSpaceDE w:val="0"/>
        <w:autoSpaceDN w:val="0"/>
        <w:adjustRightIn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在合同订立及履行过程中形成的与合同有关的文件均构成合同文件组成部分。</w:t>
      </w:r>
    </w:p>
    <w:p w14:paraId="7E9714A5">
      <w:pPr>
        <w:autoSpaceDE w:val="0"/>
        <w:autoSpaceDN w:val="0"/>
        <w:adjustRightIn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上述各项合同文件包括合同当事人就该项合同文件所作出的补充和修改，属于同一类内容的文件，应以最新签署的为准。专用合同条款及其附件须经合同当事人签字或盖章。</w:t>
      </w:r>
    </w:p>
    <w:p w14:paraId="16010B41">
      <w:pPr>
        <w:pStyle w:val="9"/>
        <w:spacing w:before="0" w:after="0" w:line="440" w:lineRule="exact"/>
        <w:ind w:firstLine="420" w:firstLineChars="200"/>
        <w:rPr>
          <w:rFonts w:hint="eastAsia" w:ascii="宋体" w:eastAsia="宋体" w:cs="宋体"/>
          <w:b w:val="0"/>
          <w:bCs w:val="0"/>
          <w:sz w:val="21"/>
          <w:szCs w:val="21"/>
        </w:rPr>
      </w:pPr>
      <w:r>
        <w:rPr>
          <w:rFonts w:hint="eastAsia" w:ascii="宋体" w:eastAsia="宋体" w:cs="宋体"/>
          <w:b w:val="0"/>
          <w:sz w:val="21"/>
          <w:szCs w:val="21"/>
        </w:rPr>
        <w:t>七、承诺</w:t>
      </w:r>
    </w:p>
    <w:p w14:paraId="4EB03A8A">
      <w:pPr>
        <w:spacing w:line="440" w:lineRule="exact"/>
        <w:ind w:firstLine="420" w:firstLineChars="200"/>
        <w:rPr>
          <w:rFonts w:hint="eastAsia" w:ascii="宋体" w:cs="宋体"/>
          <w:bCs/>
          <w:szCs w:val="21"/>
        </w:rPr>
      </w:pPr>
      <w:r>
        <w:rPr>
          <w:rFonts w:hint="eastAsia" w:ascii="宋体" w:cs="宋体"/>
          <w:bCs/>
          <w:szCs w:val="21"/>
        </w:rPr>
        <w:t>1.发包人承诺按照法律规定履行项目审批手续、筹集工程建设资金并按照合同约定的期限和方式支付合同价款。</w:t>
      </w:r>
    </w:p>
    <w:p w14:paraId="3C0F0D61">
      <w:pPr>
        <w:spacing w:line="440" w:lineRule="exact"/>
        <w:ind w:firstLine="420" w:firstLineChars="200"/>
        <w:rPr>
          <w:rFonts w:hint="eastAsia" w:ascii="宋体" w:cs="宋体"/>
          <w:bCs/>
          <w:szCs w:val="21"/>
        </w:rPr>
      </w:pPr>
      <w:r>
        <w:rPr>
          <w:rFonts w:hint="eastAsia" w:ascii="宋体" w:cs="宋体"/>
          <w:bCs/>
          <w:szCs w:val="21"/>
        </w:rPr>
        <w:t>2.承包人承诺按照法律规定及合同约定组织完成工程施工，确保工程质量和安全，不进行转包及违法分包，并在缺陷责任期及保修期内承担相应的工程维修责任。</w:t>
      </w:r>
    </w:p>
    <w:p w14:paraId="2928C31B">
      <w:pPr>
        <w:spacing w:line="440" w:lineRule="exact"/>
        <w:ind w:firstLine="420" w:firstLineChars="200"/>
        <w:rPr>
          <w:rFonts w:hint="eastAsia" w:ascii="宋体" w:cs="宋体"/>
          <w:bCs/>
          <w:szCs w:val="21"/>
        </w:rPr>
      </w:pPr>
      <w:r>
        <w:rPr>
          <w:rFonts w:hint="eastAsia" w:ascii="宋体" w:cs="宋体"/>
          <w:bCs/>
          <w:szCs w:val="21"/>
        </w:rPr>
        <w:t>3.发包人和承包人通过招投标形式签订合同的，双方理解并承诺不再就同一工程另行签订与合同实质性内容相背离的协议。</w:t>
      </w:r>
    </w:p>
    <w:p w14:paraId="08E1DCA2">
      <w:pPr>
        <w:spacing w:line="440" w:lineRule="exact"/>
        <w:ind w:firstLine="420" w:firstLineChars="200"/>
        <w:rPr>
          <w:rFonts w:hint="eastAsia" w:ascii="宋体" w:cs="宋体"/>
          <w:bCs/>
          <w:szCs w:val="21"/>
        </w:rPr>
      </w:pPr>
      <w:r>
        <w:rPr>
          <w:rFonts w:hint="eastAsia" w:ascii="宋体" w:cs="宋体"/>
          <w:szCs w:val="21"/>
        </w:rPr>
        <w:t>八、词语含义</w:t>
      </w:r>
    </w:p>
    <w:p w14:paraId="31689870">
      <w:pPr>
        <w:spacing w:line="440" w:lineRule="exact"/>
        <w:ind w:firstLine="420" w:firstLineChars="200"/>
        <w:rPr>
          <w:rFonts w:hint="eastAsia" w:ascii="宋体" w:cs="宋体"/>
          <w:bCs/>
          <w:szCs w:val="21"/>
        </w:rPr>
      </w:pPr>
      <w:r>
        <w:rPr>
          <w:rFonts w:hint="eastAsia" w:ascii="宋体" w:cs="宋体"/>
          <w:bCs/>
          <w:szCs w:val="21"/>
        </w:rPr>
        <w:t>本协议书中词语含义与第二部分通用合同条款中赋予的含义相同。</w:t>
      </w:r>
    </w:p>
    <w:p w14:paraId="31603E32">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九、签订时间</w:t>
      </w:r>
    </w:p>
    <w:p w14:paraId="168B7B41">
      <w:pPr>
        <w:spacing w:line="440" w:lineRule="exact"/>
        <w:ind w:firstLine="420" w:firstLineChars="200"/>
        <w:rPr>
          <w:rFonts w:hint="eastAsia" w:ascii="宋体" w:cs="宋体"/>
          <w:bCs/>
          <w:szCs w:val="21"/>
        </w:rPr>
      </w:pPr>
      <w:r>
        <w:rPr>
          <w:rFonts w:hint="eastAsia" w:ascii="宋体" w:cs="宋体"/>
          <w:bCs/>
          <w:szCs w:val="21"/>
        </w:rPr>
        <w:t>本合同于</w:t>
      </w:r>
      <w:r>
        <w:rPr>
          <w:rFonts w:hint="eastAsia" w:ascii="宋体" w:cs="宋体"/>
          <w:bCs/>
          <w:szCs w:val="21"/>
          <w:u w:val="single"/>
        </w:rPr>
        <w:t xml:space="preserve">         </w:t>
      </w:r>
      <w:r>
        <w:rPr>
          <w:rFonts w:hint="eastAsia" w:ascii="宋体" w:cs="宋体"/>
          <w:bCs/>
          <w:szCs w:val="21"/>
        </w:rPr>
        <w:t>年</w:t>
      </w:r>
      <w:r>
        <w:rPr>
          <w:rFonts w:hint="eastAsia" w:ascii="宋体" w:cs="宋体"/>
          <w:bCs/>
          <w:szCs w:val="21"/>
          <w:u w:val="single"/>
        </w:rPr>
        <w:t xml:space="preserve">       </w:t>
      </w:r>
      <w:r>
        <w:rPr>
          <w:rFonts w:hint="eastAsia" w:ascii="宋体" w:cs="宋体"/>
          <w:bCs/>
          <w:szCs w:val="21"/>
        </w:rPr>
        <w:t>月</w:t>
      </w:r>
      <w:r>
        <w:rPr>
          <w:rFonts w:hint="eastAsia" w:ascii="宋体" w:cs="宋体"/>
          <w:bCs/>
          <w:szCs w:val="21"/>
          <w:u w:val="single"/>
        </w:rPr>
        <w:t xml:space="preserve">        </w:t>
      </w:r>
      <w:r>
        <w:rPr>
          <w:rFonts w:hint="eastAsia" w:ascii="宋体" w:cs="宋体"/>
          <w:bCs/>
          <w:szCs w:val="21"/>
        </w:rPr>
        <w:t>日签订。</w:t>
      </w:r>
    </w:p>
    <w:p w14:paraId="6A42F258">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十、签订地点</w:t>
      </w:r>
    </w:p>
    <w:p w14:paraId="6BF73051">
      <w:pPr>
        <w:spacing w:line="440" w:lineRule="exact"/>
        <w:ind w:firstLine="420" w:firstLineChars="200"/>
        <w:rPr>
          <w:rFonts w:hint="eastAsia" w:ascii="宋体" w:cs="宋体"/>
          <w:bCs/>
          <w:szCs w:val="21"/>
        </w:rPr>
      </w:pPr>
      <w:r>
        <w:rPr>
          <w:rFonts w:hint="eastAsia" w:ascii="宋体" w:cs="宋体"/>
          <w:bCs/>
          <w:szCs w:val="21"/>
        </w:rPr>
        <w:t>本合同在</w:t>
      </w:r>
      <w:r>
        <w:rPr>
          <w:rFonts w:hint="eastAsia" w:ascii="宋体" w:cs="宋体"/>
          <w:bCs/>
          <w:szCs w:val="21"/>
          <w:u w:val="single"/>
        </w:rPr>
        <w:t xml:space="preserve">                                    </w:t>
      </w:r>
      <w:r>
        <w:rPr>
          <w:rFonts w:hint="eastAsia" w:ascii="宋体" w:cs="宋体"/>
          <w:bCs/>
          <w:szCs w:val="21"/>
        </w:rPr>
        <w:t>签订。</w:t>
      </w:r>
    </w:p>
    <w:p w14:paraId="12148FBD">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十一、补充协议</w:t>
      </w:r>
    </w:p>
    <w:p w14:paraId="55238B76">
      <w:pPr>
        <w:spacing w:line="440" w:lineRule="exact"/>
        <w:ind w:firstLine="420" w:firstLineChars="200"/>
        <w:rPr>
          <w:rFonts w:hint="eastAsia" w:ascii="宋体" w:cs="宋体"/>
          <w:b/>
          <w:bCs/>
          <w:szCs w:val="21"/>
        </w:rPr>
      </w:pPr>
      <w:r>
        <w:rPr>
          <w:rFonts w:hint="eastAsia" w:ascii="宋体" w:cs="宋体"/>
          <w:bCs/>
          <w:szCs w:val="21"/>
        </w:rPr>
        <w:t>合同未尽事宜，合同当事人另行签订补充协议，补充协议是合同的组成部分。</w:t>
      </w:r>
    </w:p>
    <w:p w14:paraId="0C8BEAE8">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十二、合同生效</w:t>
      </w:r>
    </w:p>
    <w:p w14:paraId="5BF34A4F">
      <w:pPr>
        <w:spacing w:line="440" w:lineRule="exact"/>
        <w:ind w:firstLine="420" w:firstLineChars="200"/>
        <w:rPr>
          <w:rFonts w:hint="eastAsia" w:ascii="宋体" w:cs="宋体"/>
          <w:bCs/>
          <w:szCs w:val="21"/>
        </w:rPr>
      </w:pPr>
      <w:r>
        <w:rPr>
          <w:rFonts w:hint="eastAsia" w:ascii="宋体" w:cs="宋体"/>
          <w:bCs/>
          <w:szCs w:val="21"/>
        </w:rPr>
        <w:t>本合同自</w:t>
      </w:r>
      <w:r>
        <w:rPr>
          <w:rFonts w:hint="eastAsia" w:ascii="宋体" w:cs="宋体"/>
          <w:bCs/>
          <w:szCs w:val="21"/>
          <w:u w:val="single"/>
        </w:rPr>
        <w:t xml:space="preserve">  </w:t>
      </w:r>
      <w:r>
        <w:rPr>
          <w:rFonts w:hint="eastAsia" w:ascii="宋体" w:hAnsi="宋体"/>
          <w:szCs w:val="21"/>
          <w:u w:val="single"/>
        </w:rPr>
        <w:t xml:space="preserve">  </w:t>
      </w:r>
      <w:r>
        <w:rPr>
          <w:rFonts w:hint="eastAsia" w:ascii="宋体" w:cs="宋体"/>
          <w:szCs w:val="21"/>
          <w:u w:val="single"/>
        </w:rPr>
        <w:t xml:space="preserve">双方盖章后   </w:t>
      </w:r>
      <w:r>
        <w:rPr>
          <w:rFonts w:hint="eastAsia" w:ascii="宋体" w:cs="宋体"/>
          <w:bCs/>
          <w:szCs w:val="21"/>
        </w:rPr>
        <w:t>生效。</w:t>
      </w:r>
    </w:p>
    <w:p w14:paraId="0CD88474">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十三、合同份数</w:t>
      </w:r>
    </w:p>
    <w:p w14:paraId="5C5834D4">
      <w:pPr>
        <w:spacing w:line="440" w:lineRule="exact"/>
        <w:ind w:firstLine="420" w:firstLineChars="200"/>
        <w:rPr>
          <w:rFonts w:hint="eastAsia" w:ascii="宋体" w:cs="宋体"/>
          <w:bCs/>
          <w:szCs w:val="21"/>
        </w:rPr>
      </w:pPr>
      <w:r>
        <w:rPr>
          <w:rFonts w:hint="eastAsia" w:ascii="宋体" w:cs="宋体"/>
          <w:bCs/>
          <w:szCs w:val="21"/>
        </w:rPr>
        <w:t>本合同一式捌份，正本贰份、副本陆份，均具有同等法律效力，发包人执正本壹份、副本叁份，承包人执正本壹份、副本叁份。</w:t>
      </w:r>
    </w:p>
    <w:p w14:paraId="5622B22D">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宋体" w:cs="宋体"/>
          <w:szCs w:val="21"/>
        </w:rPr>
      </w:pPr>
      <w:r>
        <w:rPr>
          <w:rFonts w:hint="eastAsia" w:ascii="宋体" w:cs="宋体"/>
          <w:szCs w:val="21"/>
        </w:rPr>
        <w:t xml:space="preserve">发包人：  </w:t>
      </w:r>
      <w:r>
        <w:rPr>
          <w:rFonts w:hint="eastAsia" w:ascii="宋体" w:cs="宋体"/>
          <w:szCs w:val="21"/>
          <w:lang w:eastAsia="zh-CN"/>
        </w:rPr>
        <w:t>（</w:t>
      </w:r>
      <w:r>
        <w:rPr>
          <w:rFonts w:hint="eastAsia" w:ascii="宋体" w:cs="宋体"/>
          <w:szCs w:val="21"/>
        </w:rPr>
        <w:t>公章</w:t>
      </w:r>
      <w:r>
        <w:rPr>
          <w:rFonts w:hint="eastAsia" w:ascii="宋体" w:cs="宋体"/>
          <w:szCs w:val="21"/>
          <w:lang w:eastAsia="zh-CN"/>
        </w:rPr>
        <w:t>）</w:t>
      </w:r>
      <w:r>
        <w:rPr>
          <w:rFonts w:hint="eastAsia" w:ascii="宋体" w:cs="宋体"/>
          <w:szCs w:val="21"/>
        </w:rPr>
        <w:t xml:space="preserve">                   承包人：  </w:t>
      </w:r>
      <w:r>
        <w:rPr>
          <w:rFonts w:hint="eastAsia" w:ascii="宋体" w:cs="宋体"/>
          <w:szCs w:val="21"/>
          <w:lang w:eastAsia="zh-CN"/>
        </w:rPr>
        <w:t>（</w:t>
      </w:r>
      <w:r>
        <w:rPr>
          <w:rFonts w:hint="eastAsia" w:ascii="宋体" w:cs="宋体"/>
          <w:szCs w:val="21"/>
        </w:rPr>
        <w:t>公章</w:t>
      </w:r>
      <w:r>
        <w:rPr>
          <w:rFonts w:hint="eastAsia" w:ascii="宋体" w:cs="宋体"/>
          <w:szCs w:val="21"/>
          <w:lang w:eastAsia="zh-CN"/>
        </w:rPr>
        <w:t>）</w:t>
      </w:r>
    </w:p>
    <w:p w14:paraId="7D787211">
      <w:pPr>
        <w:snapToGrid w:val="0"/>
        <w:spacing w:line="440" w:lineRule="exact"/>
        <w:ind w:firstLine="420" w:firstLineChars="200"/>
        <w:rPr>
          <w:rFonts w:hint="eastAsia" w:ascii="宋体" w:cs="宋体"/>
          <w:szCs w:val="21"/>
        </w:rPr>
      </w:pPr>
      <w:r>
        <w:rPr>
          <w:rFonts w:hint="eastAsia" w:ascii="宋体" w:cs="宋体"/>
          <w:szCs w:val="21"/>
        </w:rPr>
        <w:t xml:space="preserve"> 法定代表人或其委托代理人：           法定代表人或其委托代理人：</w:t>
      </w:r>
    </w:p>
    <w:p w14:paraId="2A2E54F9">
      <w:pPr>
        <w:snapToGrid w:val="0"/>
        <w:spacing w:line="440" w:lineRule="exact"/>
        <w:ind w:firstLine="420" w:firstLineChars="200"/>
        <w:rPr>
          <w:rFonts w:hint="eastAsia" w:ascii="宋体" w:cs="宋体"/>
          <w:szCs w:val="21"/>
        </w:rPr>
      </w:pPr>
      <w:r>
        <w:rPr>
          <w:rFonts w:hint="eastAsia" w:ascii="宋体" w:cs="宋体"/>
          <w:szCs w:val="21"/>
        </w:rPr>
        <w:t xml:space="preserve">                  （签字）                             （签字）</w:t>
      </w:r>
    </w:p>
    <w:p w14:paraId="0B2CEB30">
      <w:pPr>
        <w:tabs>
          <w:tab w:val="left" w:pos="4410"/>
        </w:tabs>
        <w:snapToGrid w:val="0"/>
        <w:spacing w:line="440" w:lineRule="exact"/>
        <w:ind w:firstLine="420" w:firstLineChars="200"/>
        <w:rPr>
          <w:rFonts w:hint="eastAsia" w:ascii="宋体" w:cs="宋体"/>
          <w:szCs w:val="21"/>
        </w:rPr>
      </w:pPr>
      <w:r>
        <w:rPr>
          <w:rFonts w:hint="eastAsia" w:ascii="宋体" w:cs="宋体"/>
          <w:szCs w:val="21"/>
        </w:rPr>
        <w:t xml:space="preserve">组织机构代码：                        组织机构代码：                                   </w:t>
      </w:r>
    </w:p>
    <w:p w14:paraId="492F88C1">
      <w:pPr>
        <w:snapToGrid w:val="0"/>
        <w:spacing w:line="440" w:lineRule="exact"/>
        <w:ind w:firstLine="420" w:firstLineChars="200"/>
        <w:rPr>
          <w:rFonts w:hint="eastAsia" w:ascii="宋体" w:cs="宋体"/>
          <w:szCs w:val="21"/>
        </w:rPr>
      </w:pPr>
      <w:r>
        <w:rPr>
          <w:rFonts w:hint="eastAsia" w:ascii="宋体" w:cs="宋体"/>
          <w:szCs w:val="21"/>
        </w:rPr>
        <w:t xml:space="preserve">地  址：                           地  址：                                    </w:t>
      </w:r>
    </w:p>
    <w:p w14:paraId="18CB7EC5">
      <w:pPr>
        <w:snapToGrid w:val="0"/>
        <w:spacing w:line="440" w:lineRule="exact"/>
        <w:ind w:firstLine="420" w:firstLineChars="200"/>
        <w:rPr>
          <w:rFonts w:hint="eastAsia" w:ascii="宋体" w:cs="宋体"/>
          <w:szCs w:val="21"/>
        </w:rPr>
      </w:pPr>
      <w:r>
        <w:rPr>
          <w:rFonts w:hint="eastAsia" w:ascii="宋体" w:cs="宋体"/>
          <w:szCs w:val="21"/>
        </w:rPr>
        <w:t xml:space="preserve">邮政编码：                             邮政编码：                       </w:t>
      </w:r>
    </w:p>
    <w:p w14:paraId="4DF92D5C">
      <w:pPr>
        <w:tabs>
          <w:tab w:val="left" w:pos="180"/>
        </w:tabs>
        <w:snapToGrid w:val="0"/>
        <w:spacing w:line="440" w:lineRule="exact"/>
        <w:ind w:firstLine="420" w:firstLineChars="200"/>
        <w:rPr>
          <w:rFonts w:hint="eastAsia" w:ascii="宋体" w:cs="宋体"/>
          <w:szCs w:val="21"/>
        </w:rPr>
      </w:pPr>
      <w:r>
        <w:rPr>
          <w:rFonts w:hint="eastAsia" w:ascii="宋体" w:cs="宋体"/>
          <w:szCs w:val="21"/>
        </w:rPr>
        <w:t xml:space="preserve">法定代表人：                       法定代表人： </w:t>
      </w:r>
    </w:p>
    <w:p w14:paraId="395E339B">
      <w:pPr>
        <w:snapToGrid w:val="0"/>
        <w:spacing w:line="440" w:lineRule="exact"/>
        <w:ind w:firstLine="420" w:firstLineChars="200"/>
        <w:rPr>
          <w:rFonts w:hint="eastAsia" w:ascii="宋体" w:cs="宋体"/>
          <w:szCs w:val="21"/>
        </w:rPr>
      </w:pPr>
      <w:r>
        <w:rPr>
          <w:rFonts w:hint="eastAsia" w:ascii="宋体" w:cs="宋体"/>
          <w:szCs w:val="21"/>
        </w:rPr>
        <w:t xml:space="preserve">委托代理人：                           委托代理人：  </w:t>
      </w:r>
    </w:p>
    <w:p w14:paraId="7C85FBF7">
      <w:pPr>
        <w:snapToGrid w:val="0"/>
        <w:spacing w:line="440" w:lineRule="exact"/>
        <w:ind w:firstLine="420" w:firstLineChars="200"/>
        <w:rPr>
          <w:rFonts w:hint="eastAsia" w:ascii="宋体" w:cs="宋体"/>
          <w:szCs w:val="21"/>
        </w:rPr>
      </w:pPr>
      <w:r>
        <w:rPr>
          <w:rFonts w:hint="eastAsia" w:ascii="宋体" w:cs="宋体"/>
          <w:szCs w:val="21"/>
        </w:rPr>
        <w:t>电  话：                               电  话：</w:t>
      </w:r>
    </w:p>
    <w:p w14:paraId="51C1F911">
      <w:pPr>
        <w:snapToGrid w:val="0"/>
        <w:spacing w:line="440" w:lineRule="exact"/>
        <w:ind w:firstLine="420" w:firstLineChars="200"/>
        <w:rPr>
          <w:rFonts w:hint="eastAsia" w:ascii="宋体" w:cs="宋体"/>
          <w:szCs w:val="21"/>
        </w:rPr>
      </w:pPr>
      <w:r>
        <w:rPr>
          <w:rFonts w:hint="eastAsia" w:ascii="宋体" w:cs="宋体"/>
          <w:szCs w:val="21"/>
        </w:rPr>
        <w:t xml:space="preserve">传  真：                             传  真：    </w:t>
      </w:r>
    </w:p>
    <w:p w14:paraId="51053951">
      <w:pPr>
        <w:snapToGrid w:val="0"/>
        <w:spacing w:line="440" w:lineRule="exact"/>
        <w:ind w:firstLine="420" w:firstLineChars="200"/>
        <w:rPr>
          <w:rFonts w:hint="eastAsia" w:ascii="宋体" w:cs="宋体"/>
          <w:szCs w:val="21"/>
        </w:rPr>
      </w:pPr>
      <w:r>
        <w:rPr>
          <w:rFonts w:hint="eastAsia" w:ascii="宋体" w:cs="宋体"/>
          <w:szCs w:val="21"/>
        </w:rPr>
        <w:t xml:space="preserve">电子信箱：                             电子信箱：                       </w:t>
      </w:r>
    </w:p>
    <w:p w14:paraId="76F50840">
      <w:pPr>
        <w:snapToGrid w:val="0"/>
        <w:spacing w:line="440" w:lineRule="exact"/>
        <w:ind w:firstLine="420" w:firstLineChars="200"/>
        <w:rPr>
          <w:rFonts w:hint="eastAsia" w:ascii="宋体" w:cs="宋体"/>
          <w:szCs w:val="21"/>
        </w:rPr>
      </w:pPr>
      <w:r>
        <w:rPr>
          <w:rFonts w:hint="eastAsia" w:ascii="宋体" w:cs="宋体"/>
          <w:szCs w:val="21"/>
        </w:rPr>
        <w:t xml:space="preserve">开户银行：                             开户银行：                        </w:t>
      </w:r>
    </w:p>
    <w:p w14:paraId="2421115B">
      <w:pPr>
        <w:spacing w:line="440" w:lineRule="exact"/>
        <w:ind w:firstLine="420" w:firstLineChars="200"/>
        <w:rPr>
          <w:rFonts w:hint="eastAsia" w:ascii="宋体" w:cs="宋体"/>
          <w:szCs w:val="21"/>
        </w:rPr>
      </w:pPr>
      <w:r>
        <w:rPr>
          <w:rFonts w:hint="eastAsia" w:ascii="宋体" w:cs="宋体"/>
          <w:szCs w:val="21"/>
        </w:rPr>
        <w:t xml:space="preserve">账  号：                               账  号：                         </w:t>
      </w:r>
    </w:p>
    <w:p w14:paraId="47DE9D2C">
      <w:pPr>
        <w:spacing w:line="440" w:lineRule="exact"/>
        <w:ind w:firstLine="4410" w:firstLineChars="2100"/>
        <w:rPr>
          <w:rFonts w:hint="eastAsia" w:ascii="宋体" w:cs="宋体"/>
          <w:szCs w:val="21"/>
        </w:rPr>
      </w:pPr>
    </w:p>
    <w:p w14:paraId="73F4574A">
      <w:pPr>
        <w:spacing w:line="440" w:lineRule="exact"/>
        <w:ind w:firstLine="4410" w:firstLineChars="2100"/>
        <w:rPr>
          <w:rFonts w:hint="eastAsia" w:ascii="宋体" w:cs="宋体"/>
          <w:szCs w:val="21"/>
        </w:rPr>
      </w:pPr>
    </w:p>
    <w:p w14:paraId="3943C5F0">
      <w:pPr>
        <w:spacing w:line="440" w:lineRule="exact"/>
        <w:ind w:firstLine="4410" w:firstLineChars="2100"/>
        <w:rPr>
          <w:rFonts w:hint="eastAsia" w:ascii="宋体" w:cs="宋体"/>
          <w:szCs w:val="21"/>
        </w:rPr>
      </w:pPr>
    </w:p>
    <w:p w14:paraId="7FDB86E4">
      <w:pPr>
        <w:pStyle w:val="2"/>
        <w:rPr>
          <w:rFonts w:hint="eastAsia" w:ascii="宋体" w:cs="宋体"/>
          <w:szCs w:val="21"/>
        </w:rPr>
      </w:pPr>
    </w:p>
    <w:p w14:paraId="45D8C436">
      <w:pPr>
        <w:rPr>
          <w:rFonts w:hint="eastAsia" w:ascii="宋体" w:cs="宋体"/>
          <w:szCs w:val="21"/>
        </w:rPr>
      </w:pPr>
    </w:p>
    <w:p w14:paraId="68996332">
      <w:pPr>
        <w:spacing w:line="440" w:lineRule="exact"/>
        <w:rPr>
          <w:rFonts w:hint="eastAsia" w:ascii="宋体" w:cs="宋体"/>
          <w:szCs w:val="21"/>
        </w:rPr>
      </w:pPr>
      <w:r>
        <w:rPr>
          <w:rFonts w:hint="eastAsia" w:ascii="宋体" w:cs="宋体"/>
          <w:szCs w:val="21"/>
        </w:rPr>
        <w:t xml:space="preserve">           </w:t>
      </w:r>
    </w:p>
    <w:p w14:paraId="6E6FB372">
      <w:pPr>
        <w:rPr>
          <w:rFonts w:hint="eastAsia" w:ascii="黑体" w:eastAsia="黑体" w:cs="黑体"/>
        </w:rPr>
      </w:pPr>
      <w:r>
        <w:rPr>
          <w:rFonts w:hint="eastAsia" w:ascii="黑体" w:eastAsia="黑体" w:cs="黑体"/>
        </w:rPr>
        <w:br w:type="page"/>
      </w:r>
    </w:p>
    <w:p w14:paraId="5D951C3C">
      <w:pPr>
        <w:pStyle w:val="8"/>
        <w:jc w:val="center"/>
        <w:rPr>
          <w:rFonts w:hint="eastAsia" w:ascii="黑体" w:eastAsia="黑体" w:cs="黑体"/>
        </w:rPr>
      </w:pPr>
      <w:r>
        <w:rPr>
          <w:rFonts w:hint="eastAsia" w:ascii="黑体" w:eastAsia="黑体" w:cs="黑体"/>
        </w:rPr>
        <w:t>第二节 通用合同条款</w:t>
      </w:r>
    </w:p>
    <w:p w14:paraId="02BC8D6E">
      <w:pPr>
        <w:spacing w:line="440" w:lineRule="exact"/>
        <w:ind w:firstLine="420" w:firstLineChars="200"/>
        <w:rPr>
          <w:rFonts w:hint="eastAsia"/>
        </w:rPr>
      </w:pPr>
      <w:r>
        <w:rPr>
          <w:rFonts w:hint="eastAsia"/>
          <w:lang w:eastAsia="zh-CN"/>
        </w:rPr>
        <w:t>适用</w:t>
      </w:r>
      <w:r>
        <w:rPr>
          <w:rFonts w:hint="eastAsia"/>
        </w:rPr>
        <w:t>建设部、国家工商行政管理局印发的《建设工程施工合同（GF-2017-0201示范文本）》第二部分通用条款。（因办理施工许可证时需要通用条款，请签订施工合同时，一并打印出来。）</w:t>
      </w:r>
    </w:p>
    <w:p w14:paraId="20A9D62C">
      <w:pPr>
        <w:pStyle w:val="8"/>
        <w:jc w:val="center"/>
        <w:rPr>
          <w:rFonts w:hint="eastAsia" w:ascii="黑体" w:eastAsia="黑体" w:cs="黑体"/>
        </w:rPr>
      </w:pPr>
      <w:r>
        <w:rPr>
          <w:rFonts w:hint="eastAsia" w:ascii="黑体" w:eastAsia="黑体" w:cs="黑体"/>
        </w:rPr>
        <w:t>第三节 专用合同条款</w:t>
      </w:r>
    </w:p>
    <w:p w14:paraId="0E66893B">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1. 一般约定</w:t>
      </w:r>
    </w:p>
    <w:p w14:paraId="564E7E8D">
      <w:pPr>
        <w:snapToGrid w:val="0"/>
        <w:spacing w:line="440" w:lineRule="exact"/>
        <w:ind w:firstLine="420" w:firstLineChars="200"/>
        <w:rPr>
          <w:rFonts w:hint="eastAsia" w:ascii="宋体" w:cs="宋体"/>
          <w:szCs w:val="21"/>
        </w:rPr>
      </w:pPr>
      <w:r>
        <w:rPr>
          <w:rFonts w:hint="eastAsia" w:ascii="宋体" w:cs="宋体"/>
          <w:szCs w:val="21"/>
        </w:rPr>
        <w:t>1.1 词语定义</w:t>
      </w:r>
    </w:p>
    <w:p w14:paraId="0352C5D3">
      <w:pPr>
        <w:snapToGrid w:val="0"/>
        <w:spacing w:line="440" w:lineRule="exact"/>
        <w:ind w:firstLine="420" w:firstLineChars="200"/>
        <w:rPr>
          <w:rFonts w:hint="eastAsia" w:ascii="宋体" w:cs="宋体"/>
          <w:kern w:val="0"/>
          <w:szCs w:val="21"/>
        </w:rPr>
      </w:pPr>
      <w:r>
        <w:rPr>
          <w:rFonts w:hint="eastAsia" w:ascii="宋体" w:cs="宋体"/>
          <w:kern w:val="0"/>
          <w:szCs w:val="21"/>
        </w:rPr>
        <w:t>1.1.1合同</w:t>
      </w:r>
    </w:p>
    <w:p w14:paraId="6EA12D57">
      <w:pPr>
        <w:snapToGrid w:val="0"/>
        <w:spacing w:line="440" w:lineRule="exact"/>
        <w:ind w:firstLine="420" w:firstLineChars="200"/>
        <w:rPr>
          <w:rFonts w:hint="eastAsia" w:ascii="宋体" w:cs="宋体"/>
          <w:kern w:val="0"/>
          <w:szCs w:val="21"/>
        </w:rPr>
      </w:pPr>
      <w:r>
        <w:rPr>
          <w:rFonts w:hint="eastAsia" w:ascii="宋体" w:cs="宋体"/>
          <w:kern w:val="0"/>
          <w:szCs w:val="21"/>
        </w:rPr>
        <w:t>1.1.1.1其他合同文件包括：</w:t>
      </w:r>
      <w:r>
        <w:rPr>
          <w:rFonts w:hint="eastAsia" w:ascii="宋体" w:cs="宋体"/>
          <w:szCs w:val="21"/>
          <w:u w:val="single"/>
        </w:rPr>
        <w:t xml:space="preserve">本项目招标文件、在合同订立及履行过程中形成的与合同有关的文件均构成合同文件组成部分。 </w:t>
      </w:r>
    </w:p>
    <w:p w14:paraId="3A8F2FC2">
      <w:pPr>
        <w:snapToGrid w:val="0"/>
        <w:spacing w:line="440" w:lineRule="exact"/>
        <w:ind w:firstLine="420" w:firstLineChars="200"/>
        <w:rPr>
          <w:rFonts w:hint="eastAsia" w:ascii="宋体" w:cs="宋体"/>
          <w:szCs w:val="21"/>
          <w:lang w:eastAsia="zh-CN"/>
        </w:rPr>
      </w:pPr>
      <w:r>
        <w:rPr>
          <w:rFonts w:hint="eastAsia" w:ascii="宋体" w:cs="宋体"/>
          <w:szCs w:val="21"/>
        </w:rPr>
        <w:t>1.1.2 合同其他相关方</w:t>
      </w:r>
      <w:r>
        <w:rPr>
          <w:rFonts w:hint="eastAsia" w:ascii="宋体" w:cs="宋体"/>
          <w:szCs w:val="21"/>
          <w:lang w:eastAsia="zh-CN"/>
        </w:rPr>
        <w:t>：</w:t>
      </w:r>
    </w:p>
    <w:p w14:paraId="6FC2FD5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1.1.2.4 监理人：</w:t>
      </w:r>
    </w:p>
    <w:p w14:paraId="77E4271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名    称：</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w:t>
      </w:r>
      <w:r>
        <w:rPr>
          <w:rFonts w:hint="eastAsia" w:ascii="宋体" w:hAnsi="宋体" w:cs="宋体"/>
          <w:color w:val="000000"/>
        </w:rPr>
        <w:t>；</w:t>
      </w:r>
    </w:p>
    <w:p w14:paraId="1DF6448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资质类别和等级：</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w:t>
      </w:r>
      <w:r>
        <w:rPr>
          <w:rFonts w:hint="eastAsia" w:ascii="宋体" w:hAnsi="宋体" w:cs="宋体"/>
          <w:color w:val="000000"/>
        </w:rPr>
        <w:t>；</w:t>
      </w:r>
    </w:p>
    <w:p w14:paraId="05C8B7B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联系电话：</w:t>
      </w:r>
      <w:r>
        <w:rPr>
          <w:rFonts w:hint="eastAsia" w:ascii="宋体" w:hAnsi="宋体" w:cs="宋体"/>
          <w:color w:val="000000"/>
          <w:u w:val="single"/>
        </w:rPr>
        <w:t xml:space="preserve">                                             </w:t>
      </w:r>
      <w:r>
        <w:rPr>
          <w:rFonts w:hint="eastAsia" w:ascii="宋体" w:hAnsi="宋体" w:cs="宋体"/>
          <w:color w:val="000000"/>
        </w:rPr>
        <w:t>；</w:t>
      </w:r>
    </w:p>
    <w:p w14:paraId="281D6EB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电子信箱：</w:t>
      </w:r>
      <w:r>
        <w:rPr>
          <w:rFonts w:hint="eastAsia" w:ascii="宋体" w:hAnsi="宋体" w:cs="宋体"/>
          <w:color w:val="000000"/>
          <w:u w:val="single"/>
        </w:rPr>
        <w:t xml:space="preserve">                                             </w:t>
      </w:r>
      <w:r>
        <w:rPr>
          <w:rFonts w:hint="eastAsia" w:ascii="宋体" w:hAnsi="宋体" w:cs="宋体"/>
          <w:color w:val="000000"/>
        </w:rPr>
        <w:t>；</w:t>
      </w:r>
    </w:p>
    <w:p w14:paraId="08AA596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通信地址：</w:t>
      </w:r>
      <w:r>
        <w:rPr>
          <w:rFonts w:hint="eastAsia" w:ascii="宋体" w:hAnsi="宋体" w:cs="宋体"/>
          <w:color w:val="000000"/>
          <w:u w:val="single"/>
        </w:rPr>
        <w:t xml:space="preserve">                                             </w:t>
      </w:r>
      <w:r>
        <w:rPr>
          <w:rFonts w:hint="eastAsia" w:ascii="宋体" w:hAnsi="宋体" w:cs="宋体"/>
          <w:color w:val="000000"/>
        </w:rPr>
        <w:t>。</w:t>
      </w:r>
    </w:p>
    <w:p w14:paraId="43B9DEF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1.1.2.5 设计人：</w:t>
      </w:r>
    </w:p>
    <w:p w14:paraId="18D24B2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名    称：</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w:t>
      </w:r>
      <w:r>
        <w:rPr>
          <w:rFonts w:hint="eastAsia" w:ascii="宋体" w:hAnsi="宋体" w:cs="宋体"/>
          <w:color w:val="000000"/>
        </w:rPr>
        <w:t>；</w:t>
      </w:r>
    </w:p>
    <w:p w14:paraId="08FA030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资质类别和等级：</w:t>
      </w:r>
      <w:r>
        <w:rPr>
          <w:rFonts w:hint="eastAsia" w:ascii="宋体" w:hAnsi="宋体" w:cs="宋体"/>
          <w:color w:val="000000"/>
          <w:u w:val="single"/>
        </w:rPr>
        <w:t></w:t>
      </w:r>
      <w:r>
        <w:rPr>
          <w:rFonts w:hint="eastAsia" w:ascii="宋体" w:hAnsi="宋体" w:cs="宋体"/>
          <w:color w:val="000000"/>
          <w:u w:val="single"/>
          <w:lang w:val="en-US" w:eastAsia="zh-CN"/>
        </w:rPr>
        <w:t xml:space="preserve">                                  </w:t>
      </w:r>
      <w:r>
        <w:rPr>
          <w:rFonts w:hint="eastAsia" w:ascii="宋体" w:hAnsi="宋体" w:cs="宋体"/>
          <w:color w:val="000000"/>
          <w:u w:val="single"/>
        </w:rPr>
        <w:t></w:t>
      </w:r>
      <w:r>
        <w:rPr>
          <w:rFonts w:hint="eastAsia" w:ascii="宋体" w:hAnsi="宋体" w:cs="宋体"/>
          <w:color w:val="000000"/>
        </w:rPr>
        <w:t>；</w:t>
      </w:r>
    </w:p>
    <w:p w14:paraId="30AB894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联系电话：</w:t>
      </w:r>
      <w:r>
        <w:rPr>
          <w:rFonts w:hint="eastAsia" w:ascii="宋体" w:hAnsi="宋体" w:cs="宋体"/>
          <w:color w:val="000000"/>
          <w:u w:val="single"/>
        </w:rPr>
        <w:t xml:space="preserve">                                           </w:t>
      </w:r>
      <w:r>
        <w:rPr>
          <w:rFonts w:hint="eastAsia" w:ascii="宋体" w:hAnsi="宋体" w:cs="宋体"/>
          <w:color w:val="000000"/>
        </w:rPr>
        <w:t>；</w:t>
      </w:r>
    </w:p>
    <w:p w14:paraId="1C7D3A0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电子信箱：</w:t>
      </w:r>
      <w:r>
        <w:rPr>
          <w:rFonts w:hint="eastAsia" w:ascii="宋体" w:hAnsi="宋体" w:cs="宋体"/>
          <w:color w:val="000000"/>
          <w:u w:val="single"/>
        </w:rPr>
        <w:t xml:space="preserve">                                           </w:t>
      </w:r>
      <w:r>
        <w:rPr>
          <w:rFonts w:hint="eastAsia" w:ascii="宋体" w:hAnsi="宋体" w:cs="宋体"/>
          <w:color w:val="000000"/>
        </w:rPr>
        <w:t>；</w:t>
      </w:r>
    </w:p>
    <w:p w14:paraId="0F3F02F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通信地址：</w:t>
      </w:r>
      <w:r>
        <w:rPr>
          <w:rFonts w:hint="eastAsia" w:ascii="宋体" w:hAnsi="宋体" w:cs="宋体"/>
          <w:color w:val="000000"/>
          <w:u w:val="single"/>
        </w:rPr>
        <w:t xml:space="preserve">                                         </w:t>
      </w:r>
      <w:r>
        <w:rPr>
          <w:rFonts w:hint="eastAsia" w:ascii="宋体" w:hAnsi="宋体" w:cs="宋体"/>
          <w:color w:val="000000"/>
        </w:rPr>
        <w:t>。</w:t>
      </w:r>
    </w:p>
    <w:p w14:paraId="097E18A8">
      <w:pPr>
        <w:snapToGrid w:val="0"/>
        <w:spacing w:line="440" w:lineRule="exact"/>
        <w:ind w:firstLine="420" w:firstLineChars="200"/>
        <w:rPr>
          <w:rFonts w:hint="eastAsia" w:ascii="宋体" w:cs="宋体"/>
          <w:szCs w:val="21"/>
        </w:rPr>
      </w:pPr>
      <w:r>
        <w:rPr>
          <w:rFonts w:hint="eastAsia" w:ascii="宋体" w:cs="宋体"/>
          <w:szCs w:val="21"/>
        </w:rPr>
        <w:t>1.1.3 工程和设备</w:t>
      </w:r>
    </w:p>
    <w:p w14:paraId="472D025B">
      <w:pPr>
        <w:snapToGrid w:val="0"/>
        <w:spacing w:line="440" w:lineRule="exact"/>
        <w:ind w:firstLine="420" w:firstLineChars="200"/>
        <w:rPr>
          <w:rFonts w:hint="eastAsia" w:ascii="宋体" w:cs="宋体"/>
          <w:szCs w:val="21"/>
        </w:rPr>
      </w:pPr>
      <w:r>
        <w:rPr>
          <w:rFonts w:hint="eastAsia" w:ascii="宋体" w:cs="宋体"/>
          <w:szCs w:val="21"/>
        </w:rPr>
        <w:t>1.1.3.</w:t>
      </w:r>
      <w:r>
        <w:rPr>
          <w:rFonts w:hint="eastAsia" w:ascii="宋体" w:cs="宋体"/>
          <w:szCs w:val="21"/>
          <w:lang w:val="en-US" w:eastAsia="zh-CN"/>
        </w:rPr>
        <w:t>7</w:t>
      </w:r>
      <w:r>
        <w:rPr>
          <w:rFonts w:hint="eastAsia" w:ascii="宋体" w:cs="宋体"/>
          <w:szCs w:val="21"/>
        </w:rPr>
        <w:t>作为施工现场组成部分的其他场所包括：</w:t>
      </w:r>
      <w:r>
        <w:rPr>
          <w:rFonts w:hint="eastAsia" w:ascii="宋体" w:cs="宋体"/>
          <w:szCs w:val="21"/>
          <w:u w:val="single"/>
        </w:rPr>
        <w:t xml:space="preserve"> 见施工图纸并现场确定</w:t>
      </w:r>
      <w:r>
        <w:rPr>
          <w:rFonts w:hint="eastAsia" w:ascii="宋体" w:cs="宋体"/>
          <w:szCs w:val="21"/>
        </w:rPr>
        <w:t>。</w:t>
      </w:r>
    </w:p>
    <w:p w14:paraId="77008469">
      <w:pPr>
        <w:snapToGrid w:val="0"/>
        <w:spacing w:line="440" w:lineRule="exact"/>
        <w:ind w:firstLine="420" w:firstLineChars="200"/>
        <w:jc w:val="left"/>
        <w:rPr>
          <w:rFonts w:hint="eastAsia" w:ascii="宋体" w:cs="宋体"/>
          <w:kern w:val="0"/>
          <w:szCs w:val="21"/>
        </w:rPr>
      </w:pPr>
      <w:r>
        <w:rPr>
          <w:rFonts w:hint="eastAsia" w:ascii="宋体" w:cs="宋体"/>
          <w:kern w:val="0"/>
          <w:szCs w:val="21"/>
        </w:rPr>
        <w:t>1.1.3.</w:t>
      </w:r>
      <w:r>
        <w:rPr>
          <w:rFonts w:hint="eastAsia" w:ascii="宋体" w:cs="宋体"/>
          <w:kern w:val="0"/>
          <w:szCs w:val="21"/>
          <w:lang w:val="en-US" w:eastAsia="zh-CN"/>
        </w:rPr>
        <w:t>9</w:t>
      </w:r>
      <w:r>
        <w:rPr>
          <w:rFonts w:hint="eastAsia" w:ascii="宋体" w:cs="宋体"/>
          <w:kern w:val="0"/>
          <w:szCs w:val="21"/>
        </w:rPr>
        <w:t xml:space="preserve"> 永久占地包括：</w:t>
      </w:r>
      <w:r>
        <w:rPr>
          <w:rFonts w:hint="eastAsia" w:ascii="宋体" w:cs="宋体"/>
          <w:szCs w:val="21"/>
          <w:u w:val="single"/>
        </w:rPr>
        <w:t xml:space="preserve">   见施工图纸 </w:t>
      </w:r>
      <w:r>
        <w:rPr>
          <w:rFonts w:hint="eastAsia" w:ascii="宋体" w:cs="宋体"/>
          <w:kern w:val="0"/>
          <w:szCs w:val="21"/>
        </w:rPr>
        <w:t>。</w:t>
      </w:r>
    </w:p>
    <w:p w14:paraId="45503958">
      <w:pPr>
        <w:snapToGrid w:val="0"/>
        <w:spacing w:line="440" w:lineRule="exact"/>
        <w:ind w:firstLine="420" w:firstLineChars="200"/>
        <w:jc w:val="left"/>
        <w:rPr>
          <w:rFonts w:hint="eastAsia" w:ascii="宋体" w:cs="宋体"/>
          <w:szCs w:val="21"/>
        </w:rPr>
      </w:pPr>
      <w:r>
        <w:rPr>
          <w:rFonts w:hint="eastAsia" w:ascii="宋体" w:cs="宋体"/>
          <w:kern w:val="0"/>
          <w:szCs w:val="21"/>
        </w:rPr>
        <w:t>1.1.3.</w:t>
      </w:r>
      <w:r>
        <w:rPr>
          <w:rFonts w:hint="eastAsia" w:ascii="宋体" w:cs="宋体"/>
          <w:kern w:val="0"/>
          <w:szCs w:val="21"/>
          <w:lang w:val="en-US" w:eastAsia="zh-CN"/>
        </w:rPr>
        <w:t>10</w:t>
      </w:r>
      <w:r>
        <w:rPr>
          <w:rFonts w:hint="eastAsia" w:ascii="宋体" w:cs="宋体"/>
          <w:kern w:val="0"/>
          <w:szCs w:val="21"/>
        </w:rPr>
        <w:t xml:space="preserve"> 临时占地包括：</w:t>
      </w:r>
      <w:r>
        <w:rPr>
          <w:rFonts w:hint="eastAsia" w:ascii="宋体" w:cs="宋体"/>
          <w:szCs w:val="21"/>
          <w:u w:val="single"/>
        </w:rPr>
        <w:t xml:space="preserve">   现场确定</w:t>
      </w:r>
      <w:r>
        <w:rPr>
          <w:rFonts w:hint="eastAsia" w:ascii="宋体" w:cs="宋体"/>
          <w:kern w:val="0"/>
          <w:szCs w:val="21"/>
        </w:rPr>
        <w:t>。</w:t>
      </w:r>
    </w:p>
    <w:p w14:paraId="3C9BD105">
      <w:pPr>
        <w:snapToGrid w:val="0"/>
        <w:spacing w:line="440" w:lineRule="exact"/>
        <w:ind w:firstLine="420" w:firstLineChars="200"/>
        <w:rPr>
          <w:rFonts w:hint="eastAsia" w:ascii="宋体" w:cs="宋体"/>
          <w:szCs w:val="21"/>
        </w:rPr>
      </w:pPr>
      <w:r>
        <w:rPr>
          <w:rFonts w:hint="eastAsia" w:ascii="宋体" w:cs="宋体"/>
          <w:szCs w:val="21"/>
        </w:rPr>
        <w:t xml:space="preserve">1.3法律 </w:t>
      </w:r>
    </w:p>
    <w:p w14:paraId="606A4442">
      <w:pPr>
        <w:autoSpaceDE w:val="0"/>
        <w:autoSpaceDN w:val="0"/>
        <w:adjustRightInd w:val="0"/>
        <w:snapToGrid w:val="0"/>
        <w:spacing w:line="440" w:lineRule="exact"/>
        <w:ind w:firstLine="420" w:firstLineChars="200"/>
        <w:jc w:val="left"/>
        <w:rPr>
          <w:rFonts w:hint="eastAsia" w:ascii="宋体" w:eastAsia="宋体" w:cs="宋体"/>
          <w:szCs w:val="21"/>
          <w:highlight w:val="none"/>
          <w:u w:val="none"/>
          <w:lang w:eastAsia="zh-CN"/>
        </w:rPr>
      </w:pPr>
      <w:r>
        <w:rPr>
          <w:rFonts w:hint="eastAsia" w:ascii="宋体" w:cs="宋体"/>
          <w:szCs w:val="21"/>
        </w:rPr>
        <w:t>适用于合同的其他规范性文件：</w:t>
      </w:r>
      <w:r>
        <w:rPr>
          <w:rFonts w:hint="eastAsia" w:ascii="宋体" w:cs="宋体"/>
          <w:szCs w:val="21"/>
          <w:highlight w:val="none"/>
          <w:u w:val="single"/>
        </w:rPr>
        <w:t xml:space="preserve"> </w:t>
      </w:r>
      <w:r>
        <w:rPr>
          <w:rFonts w:hint="eastAsia" w:ascii="宋体" w:hAnsi="宋体" w:cs="宋体"/>
          <w:color w:val="000000"/>
          <w:szCs w:val="21"/>
          <w:highlight w:val="none"/>
          <w:u w:val="single"/>
        </w:rPr>
        <w:t>《中华人民共和国民法典》、《中华人民共和国建筑法》、《中华人民共和国招标投标法》、《建设工程质量管理条例》、《建设工程安全生产管理条例》等国家及工程所在地现行有效的法律法规和规章</w:t>
      </w:r>
      <w:r>
        <w:rPr>
          <w:rFonts w:hint="eastAsia" w:ascii="宋体" w:hAnsi="宋体" w:cs="宋体"/>
          <w:color w:val="000000"/>
          <w:szCs w:val="21"/>
          <w:highlight w:val="none"/>
          <w:u w:val="none"/>
          <w:lang w:eastAsia="zh-CN"/>
        </w:rPr>
        <w:t>。</w:t>
      </w:r>
    </w:p>
    <w:p w14:paraId="2E3CF4FF">
      <w:pPr>
        <w:snapToGrid w:val="0"/>
        <w:spacing w:line="440" w:lineRule="exact"/>
        <w:ind w:firstLine="420" w:firstLineChars="200"/>
        <w:rPr>
          <w:rFonts w:hint="eastAsia" w:ascii="宋体" w:cs="宋体"/>
          <w:szCs w:val="21"/>
        </w:rPr>
      </w:pPr>
      <w:r>
        <w:rPr>
          <w:rFonts w:hint="eastAsia" w:ascii="宋体" w:cs="宋体"/>
          <w:szCs w:val="21"/>
        </w:rPr>
        <w:t>1.4 标准和规范</w:t>
      </w:r>
    </w:p>
    <w:p w14:paraId="2A881762">
      <w:pPr>
        <w:snapToGrid w:val="0"/>
        <w:spacing w:line="440" w:lineRule="exact"/>
        <w:ind w:firstLine="420" w:firstLineChars="200"/>
        <w:rPr>
          <w:rFonts w:hint="eastAsia" w:ascii="宋体" w:cs="宋体"/>
          <w:szCs w:val="21"/>
        </w:rPr>
      </w:pPr>
      <w:r>
        <w:rPr>
          <w:rFonts w:hint="eastAsia" w:ascii="宋体" w:cs="宋体"/>
          <w:szCs w:val="21"/>
        </w:rPr>
        <w:t>1.4.1适用于工程的标准规范包括：</w:t>
      </w:r>
      <w:r>
        <w:rPr>
          <w:rFonts w:hint="eastAsia" w:ascii="宋体" w:cs="宋体"/>
          <w:szCs w:val="21"/>
          <w:u w:val="single"/>
        </w:rPr>
        <w:t>中华人民共和国住房和城乡建设部等部门及省、市发布的有关文件</w:t>
      </w:r>
      <w:r>
        <w:rPr>
          <w:rFonts w:hint="eastAsia" w:ascii="宋体" w:cs="宋体"/>
          <w:szCs w:val="21"/>
        </w:rPr>
        <w:t>。</w:t>
      </w:r>
    </w:p>
    <w:p w14:paraId="17E50D49">
      <w:pPr>
        <w:snapToGrid w:val="0"/>
        <w:spacing w:line="440" w:lineRule="exact"/>
        <w:ind w:firstLine="420" w:firstLineChars="200"/>
        <w:rPr>
          <w:rFonts w:hint="eastAsia" w:ascii="宋体" w:cs="宋体"/>
          <w:kern w:val="0"/>
          <w:szCs w:val="21"/>
        </w:rPr>
      </w:pPr>
      <w:r>
        <w:rPr>
          <w:rFonts w:hint="eastAsia" w:ascii="宋体" w:cs="宋体"/>
          <w:kern w:val="0"/>
          <w:szCs w:val="21"/>
        </w:rPr>
        <w:t>1.4.2 发包人提供国外标准、规范的名称：</w:t>
      </w:r>
      <w:r>
        <w:rPr>
          <w:rFonts w:hint="eastAsia" w:ascii="宋体" w:cs="宋体"/>
          <w:kern w:val="0"/>
          <w:szCs w:val="21"/>
          <w:u w:val="single"/>
        </w:rPr>
        <w:t xml:space="preserve"> </w:t>
      </w:r>
      <w:r>
        <w:rPr>
          <w:rFonts w:hint="eastAsia" w:ascii="宋体" w:cs="宋体"/>
          <w:szCs w:val="21"/>
          <w:u w:val="single"/>
        </w:rPr>
        <w:t>承包人自备国内现行适用的标准、规范</w:t>
      </w:r>
      <w:r>
        <w:rPr>
          <w:rFonts w:hint="eastAsia" w:ascii="宋体" w:cs="宋体"/>
          <w:kern w:val="0"/>
          <w:szCs w:val="21"/>
          <w:u w:val="single"/>
        </w:rPr>
        <w:t xml:space="preserve"> </w:t>
      </w:r>
      <w:r>
        <w:rPr>
          <w:rFonts w:hint="eastAsia" w:ascii="宋体" w:cs="宋体"/>
          <w:kern w:val="0"/>
          <w:szCs w:val="21"/>
        </w:rPr>
        <w:t>；</w:t>
      </w:r>
    </w:p>
    <w:p w14:paraId="5628EBE8">
      <w:pPr>
        <w:snapToGrid w:val="0"/>
        <w:spacing w:line="440" w:lineRule="exact"/>
        <w:ind w:firstLine="420" w:firstLineChars="200"/>
        <w:rPr>
          <w:rFonts w:hint="eastAsia" w:ascii="宋体" w:cs="宋体"/>
          <w:kern w:val="0"/>
          <w:szCs w:val="21"/>
        </w:rPr>
      </w:pPr>
      <w:r>
        <w:rPr>
          <w:rFonts w:hint="eastAsia" w:ascii="宋体" w:cs="宋体"/>
          <w:kern w:val="0"/>
          <w:szCs w:val="21"/>
        </w:rPr>
        <w:t>发包人提供国外标准、规范的份数：</w:t>
      </w:r>
      <w:r>
        <w:rPr>
          <w:rFonts w:hint="eastAsia" w:ascii="宋体" w:cs="宋体"/>
          <w:kern w:val="0"/>
          <w:szCs w:val="21"/>
          <w:u w:val="single"/>
        </w:rPr>
        <w:t xml:space="preserve">   无   </w:t>
      </w:r>
      <w:r>
        <w:rPr>
          <w:rFonts w:hint="eastAsia" w:ascii="宋体" w:cs="宋体"/>
          <w:kern w:val="0"/>
          <w:szCs w:val="21"/>
        </w:rPr>
        <w:t>；</w:t>
      </w:r>
    </w:p>
    <w:p w14:paraId="51E7E4F3">
      <w:pPr>
        <w:snapToGrid w:val="0"/>
        <w:spacing w:line="440" w:lineRule="exact"/>
        <w:ind w:firstLine="420" w:firstLineChars="200"/>
        <w:rPr>
          <w:rFonts w:hint="eastAsia" w:ascii="宋体" w:cs="宋体"/>
          <w:szCs w:val="21"/>
        </w:rPr>
      </w:pPr>
      <w:r>
        <w:rPr>
          <w:rFonts w:hint="eastAsia" w:ascii="宋体" w:cs="宋体"/>
          <w:kern w:val="0"/>
          <w:szCs w:val="21"/>
        </w:rPr>
        <w:t>发包人提供国外标准、规范的名称：</w:t>
      </w:r>
      <w:r>
        <w:rPr>
          <w:rFonts w:hint="eastAsia" w:ascii="宋体" w:cs="宋体"/>
          <w:kern w:val="0"/>
          <w:szCs w:val="21"/>
          <w:u w:val="single"/>
        </w:rPr>
        <w:t xml:space="preserve">   无   </w:t>
      </w:r>
      <w:r>
        <w:rPr>
          <w:rFonts w:hint="eastAsia" w:ascii="宋体" w:cs="宋体"/>
          <w:kern w:val="0"/>
          <w:szCs w:val="21"/>
        </w:rPr>
        <w:t>。</w:t>
      </w:r>
    </w:p>
    <w:p w14:paraId="111A04CD">
      <w:pPr>
        <w:snapToGrid w:val="0"/>
        <w:spacing w:line="440" w:lineRule="exact"/>
        <w:ind w:firstLine="420" w:firstLineChars="200"/>
        <w:rPr>
          <w:rFonts w:hint="eastAsia" w:ascii="宋体" w:cs="宋体"/>
          <w:szCs w:val="21"/>
        </w:rPr>
      </w:pPr>
      <w:r>
        <w:rPr>
          <w:rFonts w:hint="eastAsia" w:ascii="宋体" w:cs="宋体"/>
          <w:szCs w:val="21"/>
        </w:rPr>
        <w:t>1.4.3发包人对工程的技术标准和功能要求的特殊要求：</w:t>
      </w:r>
      <w:r>
        <w:rPr>
          <w:rFonts w:hint="eastAsia" w:ascii="宋体" w:cs="宋体"/>
          <w:szCs w:val="21"/>
          <w:u w:val="single"/>
        </w:rPr>
        <w:t xml:space="preserve">按现行规范执行  </w:t>
      </w:r>
      <w:r>
        <w:rPr>
          <w:rFonts w:hint="eastAsia" w:ascii="宋体" w:cs="宋体"/>
          <w:szCs w:val="21"/>
        </w:rPr>
        <w:t>。</w:t>
      </w:r>
    </w:p>
    <w:p w14:paraId="55F86147">
      <w:pPr>
        <w:snapToGrid w:val="0"/>
        <w:spacing w:line="440" w:lineRule="exact"/>
        <w:ind w:firstLine="420" w:firstLineChars="200"/>
        <w:rPr>
          <w:rFonts w:hint="eastAsia" w:ascii="宋体" w:cs="宋体"/>
          <w:szCs w:val="21"/>
        </w:rPr>
      </w:pPr>
      <w:r>
        <w:rPr>
          <w:rFonts w:hint="eastAsia" w:ascii="宋体" w:cs="宋体"/>
          <w:szCs w:val="21"/>
        </w:rPr>
        <w:t>1.5 合同文件的优先顺序</w:t>
      </w:r>
    </w:p>
    <w:p w14:paraId="07F18978">
      <w:pPr>
        <w:snapToGrid w:val="0"/>
        <w:spacing w:line="440" w:lineRule="exact"/>
        <w:ind w:firstLine="420" w:firstLineChars="200"/>
      </w:pPr>
      <w:r>
        <w:rPr>
          <w:rFonts w:hint="eastAsia" w:ascii="宋体" w:cs="宋体"/>
          <w:szCs w:val="21"/>
        </w:rPr>
        <w:t>合同文件组成及优先顺序为：</w:t>
      </w:r>
      <w:r>
        <w:rPr>
          <w:rFonts w:hint="eastAsia" w:ascii="宋体" w:cs="宋体"/>
          <w:szCs w:val="21"/>
          <w:u w:val="single"/>
        </w:rPr>
        <w:t>（1）合同协议书；（2）中</w:t>
      </w:r>
      <w:r>
        <w:rPr>
          <w:rFonts w:hint="eastAsia" w:ascii="宋体" w:cs="宋体"/>
          <w:szCs w:val="21"/>
          <w:u w:val="single"/>
          <w:lang w:val="en-US" w:eastAsia="zh-CN"/>
        </w:rPr>
        <w:t>标</w:t>
      </w:r>
      <w:r>
        <w:rPr>
          <w:rFonts w:hint="eastAsia" w:ascii="宋体" w:cs="宋体"/>
          <w:szCs w:val="21"/>
          <w:u w:val="single"/>
        </w:rPr>
        <w:t>通知书；（3）确认函及其附录；（4）招标文件；（5）专用合同条款及其附件；（6）通用合同条款；（7）技术标准和要求；（8）图纸；（9）已标价工程量清单或预算书；（10）其他合同文件。</w:t>
      </w:r>
    </w:p>
    <w:p w14:paraId="2514E7E6">
      <w:pPr>
        <w:pStyle w:val="2"/>
        <w:spacing w:after="0" w:line="440" w:lineRule="exact"/>
        <w:ind w:left="0" w:leftChars="0"/>
      </w:pPr>
      <w:r>
        <w:t>上述各项合同文件包括合同当事人就该项合同文件所作出的补充和修改，属于同一类内容的文件，应以最新签署的为准。</w:t>
      </w:r>
    </w:p>
    <w:p w14:paraId="3FF7D5E3">
      <w:pPr>
        <w:pStyle w:val="2"/>
        <w:spacing w:after="0" w:line="440" w:lineRule="exact"/>
        <w:ind w:left="0" w:leftChars="0"/>
      </w:pPr>
      <w:r>
        <w:t>在合同订立及履行过程中形成的与合同有关的文件均构成合同文件组成部分，并根据其性质确定优先解释顺序。</w:t>
      </w:r>
    </w:p>
    <w:p w14:paraId="6CE4F3DC">
      <w:pPr>
        <w:snapToGrid w:val="0"/>
        <w:spacing w:line="440" w:lineRule="exact"/>
        <w:ind w:firstLine="420" w:firstLineChars="200"/>
        <w:rPr>
          <w:rFonts w:hint="eastAsia" w:ascii="宋体" w:cs="宋体"/>
          <w:szCs w:val="21"/>
        </w:rPr>
      </w:pPr>
      <w:r>
        <w:rPr>
          <w:rFonts w:hint="eastAsia" w:ascii="宋体" w:cs="宋体"/>
          <w:szCs w:val="21"/>
        </w:rPr>
        <w:t>1.6 图纸和承包人文件</w:t>
      </w:r>
      <w:r>
        <w:rPr>
          <w:rFonts w:hint="eastAsia" w:ascii="宋体" w:cs="宋体"/>
          <w:szCs w:val="21"/>
        </w:rPr>
        <w:tab/>
      </w:r>
    </w:p>
    <w:p w14:paraId="49AE4B8A">
      <w:pPr>
        <w:snapToGrid w:val="0"/>
        <w:spacing w:line="440" w:lineRule="exact"/>
        <w:ind w:firstLine="420" w:firstLineChars="200"/>
        <w:rPr>
          <w:rFonts w:hint="eastAsia" w:ascii="宋体" w:cs="宋体"/>
          <w:szCs w:val="21"/>
        </w:rPr>
      </w:pPr>
      <w:r>
        <w:rPr>
          <w:rFonts w:hint="eastAsia" w:ascii="宋体" w:cs="宋体"/>
          <w:szCs w:val="21"/>
        </w:rPr>
        <w:t>1.6.1 图纸的提供</w:t>
      </w:r>
    </w:p>
    <w:p w14:paraId="4006C2E0">
      <w:pPr>
        <w:snapToGrid w:val="0"/>
        <w:spacing w:line="440" w:lineRule="exact"/>
        <w:ind w:firstLine="420" w:firstLineChars="200"/>
        <w:rPr>
          <w:rFonts w:hint="eastAsia" w:ascii="宋体" w:cs="宋体"/>
          <w:szCs w:val="21"/>
        </w:rPr>
      </w:pPr>
      <w:r>
        <w:rPr>
          <w:rFonts w:hint="eastAsia" w:ascii="宋体" w:cs="宋体"/>
          <w:szCs w:val="21"/>
        </w:rPr>
        <w:t>发包人向承包人提供图纸的期限：</w:t>
      </w:r>
      <w:r>
        <w:rPr>
          <w:rFonts w:hint="eastAsia" w:ascii="宋体" w:cs="宋体"/>
          <w:szCs w:val="21"/>
          <w:u w:val="single"/>
        </w:rPr>
        <w:t xml:space="preserve"> 开工前</w:t>
      </w:r>
      <w:r>
        <w:rPr>
          <w:rFonts w:hint="eastAsia" w:ascii="宋体" w:cs="宋体"/>
          <w:szCs w:val="21"/>
          <w:u w:val="single"/>
          <w:lang w:val="en-US" w:eastAsia="zh-CN"/>
        </w:rPr>
        <w:t>7</w:t>
      </w:r>
      <w:r>
        <w:rPr>
          <w:rFonts w:hint="eastAsia" w:ascii="宋体" w:cs="宋体"/>
          <w:szCs w:val="21"/>
          <w:u w:val="single"/>
        </w:rPr>
        <w:t>天</w:t>
      </w:r>
      <w:r>
        <w:rPr>
          <w:rFonts w:hint="eastAsia" w:ascii="宋体" w:cs="宋体"/>
          <w:szCs w:val="21"/>
        </w:rPr>
        <w:t>；</w:t>
      </w:r>
    </w:p>
    <w:p w14:paraId="0DB10BD2">
      <w:pPr>
        <w:snapToGrid w:val="0"/>
        <w:spacing w:line="440" w:lineRule="exact"/>
        <w:ind w:firstLine="420" w:firstLineChars="200"/>
        <w:rPr>
          <w:rFonts w:hint="eastAsia" w:ascii="宋体" w:cs="宋体"/>
          <w:szCs w:val="21"/>
        </w:rPr>
      </w:pPr>
      <w:r>
        <w:rPr>
          <w:rFonts w:hint="eastAsia" w:ascii="宋体" w:cs="宋体"/>
          <w:szCs w:val="21"/>
        </w:rPr>
        <w:t>发包人向承包人提供图纸的数量：</w:t>
      </w:r>
      <w:r>
        <w:rPr>
          <w:rFonts w:hint="eastAsia" w:ascii="宋体" w:cs="宋体"/>
          <w:szCs w:val="21"/>
          <w:u w:val="single"/>
        </w:rPr>
        <w:t xml:space="preserve">3份 </w:t>
      </w:r>
      <w:r>
        <w:rPr>
          <w:rFonts w:hint="eastAsia" w:ascii="宋体" w:cs="宋体"/>
          <w:szCs w:val="21"/>
        </w:rPr>
        <w:t>；</w:t>
      </w:r>
    </w:p>
    <w:p w14:paraId="6F027253">
      <w:pPr>
        <w:snapToGrid w:val="0"/>
        <w:spacing w:line="440" w:lineRule="exact"/>
        <w:ind w:firstLine="420" w:firstLineChars="200"/>
        <w:rPr>
          <w:rFonts w:hint="eastAsia" w:ascii="宋体" w:cs="宋体"/>
          <w:szCs w:val="21"/>
        </w:rPr>
      </w:pPr>
      <w:r>
        <w:rPr>
          <w:rFonts w:hint="eastAsia" w:ascii="宋体" w:cs="宋体"/>
          <w:szCs w:val="21"/>
        </w:rPr>
        <w:t>发包人向承包人提供图纸的内容：</w:t>
      </w:r>
      <w:r>
        <w:rPr>
          <w:rFonts w:hint="eastAsia" w:ascii="宋体" w:cs="宋体"/>
          <w:szCs w:val="21"/>
          <w:u w:val="single"/>
        </w:rPr>
        <w:t>全套施工图 </w:t>
      </w:r>
      <w:r>
        <w:rPr>
          <w:rFonts w:hint="eastAsia" w:ascii="宋体" w:cs="宋体"/>
          <w:szCs w:val="21"/>
        </w:rPr>
        <w:t>。</w:t>
      </w:r>
    </w:p>
    <w:p w14:paraId="0FFF32E7">
      <w:pPr>
        <w:snapToGrid w:val="0"/>
        <w:spacing w:line="440" w:lineRule="exact"/>
        <w:ind w:firstLine="420" w:firstLineChars="200"/>
        <w:rPr>
          <w:rFonts w:hint="eastAsia" w:ascii="宋体" w:cs="宋体"/>
          <w:szCs w:val="21"/>
        </w:rPr>
      </w:pPr>
      <w:r>
        <w:rPr>
          <w:rFonts w:hint="eastAsia" w:ascii="宋体" w:cs="宋体"/>
          <w:szCs w:val="21"/>
        </w:rPr>
        <w:t>1.6.4 承包人文件</w:t>
      </w:r>
    </w:p>
    <w:p w14:paraId="4D3450EB">
      <w:pPr>
        <w:snapToGrid w:val="0"/>
        <w:spacing w:line="440" w:lineRule="exact"/>
        <w:ind w:firstLine="420" w:firstLineChars="200"/>
        <w:jc w:val="left"/>
        <w:rPr>
          <w:rFonts w:hint="eastAsia" w:ascii="宋体" w:cs="宋体"/>
          <w:szCs w:val="21"/>
          <w:u w:val="single"/>
        </w:rPr>
      </w:pPr>
      <w:r>
        <w:rPr>
          <w:rFonts w:hint="eastAsia" w:ascii="宋体" w:cs="宋体"/>
          <w:szCs w:val="21"/>
        </w:rPr>
        <w:t>需要由承包人提供的文件，包括：</w:t>
      </w:r>
      <w:r>
        <w:rPr>
          <w:rFonts w:hint="eastAsia" w:ascii="宋体" w:cs="宋体"/>
          <w:szCs w:val="21"/>
          <w:u w:val="single"/>
        </w:rPr>
        <w:t>按监理要求执行，包括但不限于项目部人员证书（在领取中</w:t>
      </w:r>
      <w:r>
        <w:rPr>
          <w:rFonts w:hint="eastAsia" w:ascii="宋体" w:cs="宋体"/>
          <w:szCs w:val="21"/>
          <w:u w:val="single"/>
          <w:lang w:val="en-US" w:eastAsia="zh-CN"/>
        </w:rPr>
        <w:t>标</w:t>
      </w:r>
      <w:r>
        <w:rPr>
          <w:rFonts w:hint="eastAsia" w:ascii="宋体" w:cs="宋体"/>
          <w:szCs w:val="21"/>
          <w:u w:val="single"/>
        </w:rPr>
        <w:t>通知书前）、项目部任命</w:t>
      </w:r>
      <w:r>
        <w:rPr>
          <w:rFonts w:hint="eastAsia" w:ascii="宋体" w:cs="宋体"/>
          <w:szCs w:val="21"/>
          <w:u w:val="single"/>
          <w:lang w:eastAsia="zh-CN"/>
        </w:rPr>
        <w:t>文件</w:t>
      </w:r>
      <w:r>
        <w:rPr>
          <w:rFonts w:hint="eastAsia" w:ascii="宋体" w:cs="宋体"/>
          <w:szCs w:val="21"/>
          <w:u w:val="single"/>
        </w:rPr>
        <w:t xml:space="preserve">、实施性施工组织设计等  </w:t>
      </w:r>
      <w:r>
        <w:rPr>
          <w:rFonts w:hint="eastAsia" w:ascii="宋体" w:cs="宋体"/>
          <w:szCs w:val="21"/>
        </w:rPr>
        <w:t>；</w:t>
      </w:r>
    </w:p>
    <w:p w14:paraId="7F094FB9">
      <w:pPr>
        <w:snapToGrid w:val="0"/>
        <w:spacing w:line="440" w:lineRule="exact"/>
        <w:ind w:firstLine="420" w:firstLineChars="200"/>
        <w:rPr>
          <w:rFonts w:hint="eastAsia" w:ascii="宋体" w:cs="宋体"/>
          <w:szCs w:val="21"/>
          <w:highlight w:val="none"/>
        </w:rPr>
      </w:pPr>
      <w:r>
        <w:rPr>
          <w:rFonts w:hint="eastAsia" w:ascii="宋体" w:cs="宋体"/>
          <w:szCs w:val="21"/>
        </w:rPr>
        <w:t>承包人提供的文件的期限为：</w:t>
      </w:r>
      <w:r>
        <w:rPr>
          <w:rFonts w:hint="eastAsia" w:ascii="宋体" w:cs="宋体"/>
          <w:szCs w:val="21"/>
          <w:u w:val="single"/>
        </w:rPr>
        <w:t>按</w:t>
      </w:r>
      <w:r>
        <w:rPr>
          <w:rFonts w:hint="eastAsia" w:ascii="宋体" w:cs="宋体"/>
          <w:szCs w:val="21"/>
          <w:highlight w:val="none"/>
          <w:u w:val="single"/>
        </w:rPr>
        <w:t xml:space="preserve">监理要求执行    </w:t>
      </w:r>
      <w:r>
        <w:rPr>
          <w:rFonts w:hint="eastAsia" w:ascii="宋体" w:cs="宋体"/>
          <w:szCs w:val="21"/>
          <w:highlight w:val="none"/>
        </w:rPr>
        <w:t>；</w:t>
      </w:r>
    </w:p>
    <w:p w14:paraId="4FDFFB2E">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承包人提供的文件的数量为：</w:t>
      </w:r>
      <w:r>
        <w:rPr>
          <w:rFonts w:hint="eastAsia" w:ascii="宋体" w:cs="宋体"/>
          <w:szCs w:val="21"/>
          <w:highlight w:val="none"/>
          <w:u w:val="single"/>
        </w:rPr>
        <w:t>  按</w:t>
      </w:r>
      <w:r>
        <w:rPr>
          <w:rFonts w:hint="eastAsia" w:ascii="宋体" w:hAnsi="Times New Roman" w:eastAsia="宋体" w:cs="宋体"/>
          <w:szCs w:val="21"/>
          <w:highlight w:val="none"/>
          <w:u w:val="single"/>
        </w:rPr>
        <w:t>监理</w:t>
      </w:r>
      <w:r>
        <w:rPr>
          <w:rFonts w:hint="eastAsia" w:ascii="宋体" w:cs="宋体"/>
          <w:szCs w:val="21"/>
          <w:highlight w:val="none"/>
          <w:u w:val="single"/>
        </w:rPr>
        <w:t xml:space="preserve">要求执行    </w:t>
      </w:r>
      <w:r>
        <w:rPr>
          <w:rFonts w:hint="eastAsia" w:ascii="宋体" w:cs="宋体"/>
          <w:szCs w:val="21"/>
          <w:highlight w:val="none"/>
        </w:rPr>
        <w:t>；</w:t>
      </w:r>
    </w:p>
    <w:p w14:paraId="0D7ADC33">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承包人提供的文件的形式为：</w:t>
      </w:r>
      <w:r>
        <w:rPr>
          <w:rFonts w:hint="eastAsia" w:ascii="宋体" w:cs="宋体"/>
          <w:szCs w:val="21"/>
          <w:highlight w:val="none"/>
          <w:u w:val="single"/>
        </w:rPr>
        <w:t>按</w:t>
      </w:r>
      <w:r>
        <w:rPr>
          <w:rFonts w:hint="eastAsia" w:ascii="宋体" w:hAnsi="Times New Roman" w:eastAsia="宋体" w:cs="宋体"/>
          <w:szCs w:val="21"/>
          <w:highlight w:val="none"/>
          <w:u w:val="single"/>
        </w:rPr>
        <w:t>监理</w:t>
      </w:r>
      <w:r>
        <w:rPr>
          <w:rFonts w:hint="eastAsia" w:ascii="宋体" w:cs="宋体"/>
          <w:szCs w:val="21"/>
          <w:highlight w:val="none"/>
          <w:u w:val="single"/>
        </w:rPr>
        <w:t>要求执行  </w:t>
      </w:r>
      <w:r>
        <w:rPr>
          <w:rFonts w:hint="eastAsia" w:ascii="宋体" w:cs="宋体"/>
          <w:szCs w:val="21"/>
          <w:highlight w:val="none"/>
        </w:rPr>
        <w:t>；</w:t>
      </w:r>
    </w:p>
    <w:p w14:paraId="46811BDE">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发包人审批承包人文件的期限：</w:t>
      </w:r>
      <w:r>
        <w:rPr>
          <w:rFonts w:hint="eastAsia" w:ascii="宋体" w:cs="宋体"/>
          <w:szCs w:val="21"/>
          <w:highlight w:val="none"/>
          <w:u w:val="single"/>
        </w:rPr>
        <w:t>  7天 </w:t>
      </w:r>
      <w:r>
        <w:rPr>
          <w:rFonts w:hint="eastAsia" w:ascii="宋体" w:cs="宋体"/>
          <w:szCs w:val="21"/>
          <w:highlight w:val="none"/>
        </w:rPr>
        <w:t>。</w:t>
      </w:r>
    </w:p>
    <w:p w14:paraId="459C45CB">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1.6.5 图纸和承包人文件的保管</w:t>
      </w:r>
    </w:p>
    <w:p w14:paraId="31BDD3BA">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关于图纸和承包人文件的保管的约定：</w:t>
      </w:r>
      <w:r>
        <w:rPr>
          <w:rFonts w:hint="eastAsia" w:ascii="宋体" w:cs="宋体"/>
          <w:szCs w:val="21"/>
          <w:highlight w:val="none"/>
          <w:u w:val="single"/>
        </w:rPr>
        <w:t>除专用合同条款另有约定外，承包人应在施工现场另外保存一套完整的图纸和承包人文件，供发包人、</w:t>
      </w:r>
      <w:r>
        <w:rPr>
          <w:rFonts w:hint="eastAsia" w:ascii="宋体" w:hAnsi="Times New Roman" w:eastAsia="宋体" w:cs="宋体"/>
          <w:szCs w:val="21"/>
          <w:highlight w:val="none"/>
          <w:u w:val="single"/>
        </w:rPr>
        <w:t>监理人</w:t>
      </w:r>
      <w:r>
        <w:rPr>
          <w:rFonts w:hint="eastAsia" w:ascii="宋体" w:cs="宋体"/>
          <w:szCs w:val="21"/>
          <w:highlight w:val="none"/>
          <w:u w:val="single"/>
        </w:rPr>
        <w:t>及有关人员进行工程检查时使用</w:t>
      </w:r>
      <w:r>
        <w:rPr>
          <w:rFonts w:hint="eastAsia" w:ascii="宋体" w:cs="宋体"/>
          <w:szCs w:val="21"/>
          <w:highlight w:val="none"/>
        </w:rPr>
        <w:t>。</w:t>
      </w:r>
    </w:p>
    <w:p w14:paraId="1B98A67A">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1.7 联络</w:t>
      </w:r>
    </w:p>
    <w:p w14:paraId="5082B600">
      <w:pPr>
        <w:snapToGrid w:val="0"/>
        <w:spacing w:line="440" w:lineRule="exact"/>
        <w:ind w:firstLine="420" w:firstLineChars="200"/>
        <w:jc w:val="left"/>
        <w:rPr>
          <w:rFonts w:hint="eastAsia" w:ascii="宋体" w:cs="宋体"/>
          <w:kern w:val="0"/>
          <w:szCs w:val="21"/>
        </w:rPr>
      </w:pPr>
      <w:r>
        <w:rPr>
          <w:rFonts w:hint="eastAsia" w:ascii="宋体" w:cs="宋体"/>
          <w:kern w:val="0"/>
          <w:szCs w:val="21"/>
        </w:rPr>
        <w:t>1.7.1发包人和承包人应当在</w:t>
      </w:r>
      <w:r>
        <w:rPr>
          <w:rFonts w:hint="eastAsia" w:ascii="宋体" w:cs="宋体"/>
          <w:szCs w:val="21"/>
          <w:u w:val="single"/>
        </w:rPr>
        <w:t xml:space="preserve">7  </w:t>
      </w:r>
      <w:r>
        <w:rPr>
          <w:rFonts w:hint="eastAsia" w:ascii="宋体" w:cs="宋体"/>
          <w:kern w:val="0"/>
          <w:szCs w:val="21"/>
        </w:rPr>
        <w:t>天内将与合同有关的通知、批准、证明、证书、指示、指令、要求、请求、同意、意见、确定和决定等书面函件送达对方当事人。</w:t>
      </w:r>
    </w:p>
    <w:p w14:paraId="49589ADB">
      <w:pPr>
        <w:snapToGrid w:val="0"/>
        <w:spacing w:line="440" w:lineRule="exact"/>
        <w:ind w:firstLine="420" w:firstLineChars="200"/>
        <w:rPr>
          <w:rFonts w:hint="eastAsia" w:ascii="宋体" w:cs="宋体"/>
          <w:kern w:val="0"/>
          <w:szCs w:val="21"/>
        </w:rPr>
      </w:pPr>
      <w:r>
        <w:rPr>
          <w:rFonts w:hint="eastAsia" w:ascii="宋体" w:cs="宋体"/>
          <w:kern w:val="0"/>
          <w:szCs w:val="21"/>
        </w:rPr>
        <w:t>1.7.2 发包人接收文件的地点：</w:t>
      </w:r>
      <w:r>
        <w:rPr>
          <w:rFonts w:hint="eastAsia" w:ascii="宋体" w:cs="宋体"/>
          <w:szCs w:val="21"/>
          <w:u w:val="single"/>
        </w:rPr>
        <w:t xml:space="preserve"> </w:t>
      </w:r>
      <w:r>
        <w:rPr>
          <w:rFonts w:hint="eastAsia" w:ascii="宋体" w:cs="宋体"/>
          <w:szCs w:val="21"/>
          <w:u w:val="single"/>
          <w:lang w:eastAsia="zh-CN"/>
        </w:rPr>
        <w:t>滁州工投新能源开发有限公司</w:t>
      </w:r>
      <w:r>
        <w:rPr>
          <w:rFonts w:hint="eastAsia" w:ascii="宋体" w:cs="宋体"/>
          <w:szCs w:val="21"/>
          <w:u w:val="single"/>
        </w:rPr>
        <w:t>或项目部</w:t>
      </w:r>
      <w:r>
        <w:rPr>
          <w:rFonts w:hint="eastAsia" w:ascii="宋体" w:cs="宋体"/>
          <w:kern w:val="0"/>
          <w:szCs w:val="21"/>
        </w:rPr>
        <w:t>；</w:t>
      </w:r>
    </w:p>
    <w:p w14:paraId="7F9F8532">
      <w:pPr>
        <w:snapToGrid w:val="0"/>
        <w:spacing w:line="440" w:lineRule="exact"/>
        <w:ind w:firstLine="420" w:firstLineChars="200"/>
        <w:rPr>
          <w:rFonts w:hint="eastAsia" w:ascii="宋体" w:cs="宋体"/>
          <w:kern w:val="0"/>
          <w:szCs w:val="21"/>
        </w:rPr>
      </w:pPr>
      <w:r>
        <w:rPr>
          <w:rFonts w:hint="eastAsia" w:ascii="宋体" w:cs="宋体"/>
          <w:kern w:val="0"/>
          <w:szCs w:val="21"/>
        </w:rPr>
        <w:t>发包人指定的接收人为：</w:t>
      </w:r>
      <w:r>
        <w:rPr>
          <w:rFonts w:hint="eastAsia" w:ascii="宋体" w:cs="宋体"/>
          <w:szCs w:val="21"/>
          <w:u w:val="single"/>
        </w:rPr>
        <w:t>发包人代表</w:t>
      </w:r>
      <w:r>
        <w:rPr>
          <w:rFonts w:hint="eastAsia" w:ascii="宋体" w:cs="宋体"/>
          <w:kern w:val="0"/>
          <w:szCs w:val="21"/>
        </w:rPr>
        <w:t>；</w:t>
      </w:r>
    </w:p>
    <w:p w14:paraId="1AB726B2">
      <w:pPr>
        <w:snapToGrid w:val="0"/>
        <w:spacing w:line="440" w:lineRule="exact"/>
        <w:ind w:firstLine="420" w:firstLineChars="200"/>
        <w:rPr>
          <w:rFonts w:hint="eastAsia" w:ascii="宋体" w:cs="宋体"/>
          <w:kern w:val="0"/>
          <w:szCs w:val="21"/>
        </w:rPr>
      </w:pPr>
      <w:r>
        <w:rPr>
          <w:rFonts w:hint="eastAsia" w:ascii="宋体" w:cs="宋体"/>
          <w:kern w:val="0"/>
          <w:szCs w:val="21"/>
        </w:rPr>
        <w:t>承包人接收文件的地点：</w:t>
      </w:r>
      <w:r>
        <w:rPr>
          <w:rFonts w:hint="eastAsia" w:ascii="宋体" w:cs="宋体"/>
          <w:szCs w:val="21"/>
          <w:u w:val="single"/>
        </w:rPr>
        <w:t xml:space="preserve"> </w:t>
      </w:r>
      <w:r>
        <w:rPr>
          <w:rFonts w:hint="eastAsia" w:ascii="宋体" w:cs="宋体"/>
          <w:szCs w:val="21"/>
          <w:u w:val="single"/>
          <w:lang w:eastAsia="zh-CN"/>
        </w:rPr>
        <w:t>滁州工投新能源开发有限公司</w:t>
      </w:r>
      <w:r>
        <w:rPr>
          <w:rFonts w:hint="eastAsia" w:ascii="宋体" w:cs="宋体"/>
          <w:szCs w:val="21"/>
          <w:u w:val="single"/>
        </w:rPr>
        <w:t>或项目部</w:t>
      </w:r>
      <w:r>
        <w:rPr>
          <w:rFonts w:hint="eastAsia" w:ascii="宋体" w:cs="宋体"/>
          <w:kern w:val="0"/>
          <w:szCs w:val="21"/>
        </w:rPr>
        <w:t>；</w:t>
      </w:r>
    </w:p>
    <w:p w14:paraId="07356DA8">
      <w:pPr>
        <w:snapToGrid w:val="0"/>
        <w:spacing w:line="440" w:lineRule="exact"/>
        <w:ind w:firstLine="420" w:firstLineChars="200"/>
        <w:rPr>
          <w:rFonts w:hint="eastAsia" w:ascii="宋体" w:cs="宋体"/>
          <w:kern w:val="0"/>
          <w:szCs w:val="21"/>
        </w:rPr>
      </w:pPr>
      <w:r>
        <w:rPr>
          <w:rFonts w:hint="eastAsia" w:ascii="宋体" w:cs="宋体"/>
          <w:kern w:val="0"/>
          <w:szCs w:val="21"/>
        </w:rPr>
        <w:t>承包人指定的接收人为：</w:t>
      </w:r>
      <w:r>
        <w:rPr>
          <w:rFonts w:hint="eastAsia" w:ascii="宋体" w:cs="宋体"/>
          <w:szCs w:val="21"/>
          <w:u w:val="single"/>
        </w:rPr>
        <w:t>项目负责人</w:t>
      </w:r>
      <w:r>
        <w:rPr>
          <w:rFonts w:hint="eastAsia" w:ascii="宋体" w:cs="宋体"/>
          <w:kern w:val="0"/>
          <w:szCs w:val="21"/>
        </w:rPr>
        <w:t>。</w:t>
      </w:r>
    </w:p>
    <w:p w14:paraId="4C410AE1">
      <w:pPr>
        <w:snapToGrid w:val="0"/>
        <w:spacing w:line="440" w:lineRule="exact"/>
        <w:ind w:firstLine="420" w:firstLineChars="200"/>
        <w:rPr>
          <w:rFonts w:hint="eastAsia" w:ascii="宋体" w:cs="宋体"/>
          <w:kern w:val="0"/>
          <w:szCs w:val="21"/>
        </w:rPr>
      </w:pPr>
      <w:r>
        <w:rPr>
          <w:rFonts w:hint="eastAsia" w:ascii="宋体" w:cs="宋体"/>
          <w:kern w:val="0"/>
          <w:szCs w:val="21"/>
        </w:rPr>
        <w:t>监理人接收文件的地点：</w:t>
      </w:r>
      <w:r>
        <w:rPr>
          <w:rFonts w:hint="eastAsia" w:ascii="宋体" w:cs="宋体"/>
          <w:szCs w:val="21"/>
          <w:u w:val="single"/>
        </w:rPr>
        <w:t xml:space="preserve"> </w:t>
      </w:r>
      <w:r>
        <w:rPr>
          <w:rFonts w:hint="eastAsia" w:ascii="宋体" w:cs="宋体"/>
          <w:szCs w:val="21"/>
          <w:u w:val="single"/>
          <w:lang w:eastAsia="zh-CN"/>
        </w:rPr>
        <w:t>滁州工投新能源开发有限公司</w:t>
      </w:r>
      <w:r>
        <w:rPr>
          <w:rFonts w:hint="eastAsia" w:ascii="宋体" w:cs="宋体"/>
          <w:szCs w:val="21"/>
          <w:u w:val="single"/>
        </w:rPr>
        <w:t>或监理部</w:t>
      </w:r>
      <w:r>
        <w:rPr>
          <w:rFonts w:hint="eastAsia" w:ascii="宋体" w:cs="宋体"/>
          <w:kern w:val="0"/>
          <w:szCs w:val="21"/>
        </w:rPr>
        <w:t>；</w:t>
      </w:r>
    </w:p>
    <w:p w14:paraId="3E8F5999">
      <w:pPr>
        <w:snapToGrid w:val="0"/>
        <w:spacing w:line="440" w:lineRule="exact"/>
        <w:ind w:firstLine="420" w:firstLineChars="200"/>
        <w:rPr>
          <w:rFonts w:hint="eastAsia" w:ascii="宋体" w:cs="宋体"/>
          <w:kern w:val="0"/>
          <w:szCs w:val="21"/>
        </w:rPr>
      </w:pPr>
      <w:r>
        <w:rPr>
          <w:rFonts w:hint="eastAsia" w:ascii="宋体" w:cs="宋体"/>
          <w:kern w:val="0"/>
          <w:szCs w:val="21"/>
        </w:rPr>
        <w:t>监理人指定的接收人为</w:t>
      </w:r>
      <w:r>
        <w:rPr>
          <w:rFonts w:hint="eastAsia" w:ascii="宋体" w:cs="宋体"/>
          <w:kern w:val="0"/>
          <w:szCs w:val="21"/>
          <w:highlight w:val="none"/>
        </w:rPr>
        <w:t>：</w:t>
      </w:r>
      <w:r>
        <w:rPr>
          <w:rFonts w:hint="eastAsia" w:ascii="宋体" w:cs="宋体"/>
          <w:szCs w:val="21"/>
          <w:highlight w:val="none"/>
          <w:u w:val="single"/>
        </w:rPr>
        <w:t></w:t>
      </w:r>
      <w:r>
        <w:rPr>
          <w:rFonts w:hint="eastAsia" w:ascii="宋体" w:hAnsi="Times New Roman" w:eastAsia="宋体" w:cs="宋体"/>
          <w:szCs w:val="21"/>
          <w:highlight w:val="none"/>
          <w:u w:val="single"/>
        </w:rPr>
        <w:t xml:space="preserve">总监理工程师或总监代表 </w:t>
      </w:r>
      <w:r>
        <w:rPr>
          <w:rFonts w:hint="eastAsia" w:ascii="宋体" w:cs="宋体"/>
          <w:szCs w:val="21"/>
          <w:highlight w:val="none"/>
          <w:u w:val="single"/>
        </w:rPr>
        <w:t></w:t>
      </w:r>
      <w:r>
        <w:rPr>
          <w:rFonts w:hint="eastAsia" w:ascii="宋体" w:cs="宋体"/>
          <w:kern w:val="0"/>
          <w:szCs w:val="21"/>
        </w:rPr>
        <w:t>。</w:t>
      </w:r>
    </w:p>
    <w:p w14:paraId="4F9B4DB7">
      <w:pPr>
        <w:snapToGrid w:val="0"/>
        <w:spacing w:line="440" w:lineRule="exact"/>
        <w:ind w:firstLine="420" w:firstLineChars="200"/>
        <w:rPr>
          <w:rFonts w:hint="eastAsia" w:ascii="宋体" w:cs="宋体"/>
          <w:szCs w:val="21"/>
        </w:rPr>
      </w:pPr>
      <w:r>
        <w:rPr>
          <w:rFonts w:hint="eastAsia" w:ascii="宋体" w:cs="宋体"/>
          <w:szCs w:val="21"/>
        </w:rPr>
        <w:t>1.10 交通运输</w:t>
      </w:r>
    </w:p>
    <w:p w14:paraId="617E6E39">
      <w:pPr>
        <w:snapToGrid w:val="0"/>
        <w:spacing w:line="440" w:lineRule="exact"/>
        <w:ind w:firstLine="420" w:firstLineChars="200"/>
        <w:rPr>
          <w:rFonts w:hint="eastAsia" w:ascii="宋体" w:cs="宋体"/>
          <w:szCs w:val="21"/>
        </w:rPr>
      </w:pPr>
      <w:r>
        <w:rPr>
          <w:rFonts w:hint="eastAsia" w:ascii="宋体" w:cs="宋体"/>
          <w:szCs w:val="21"/>
        </w:rPr>
        <w:t>1.10.1 出入现场的权利</w:t>
      </w:r>
    </w:p>
    <w:p w14:paraId="634FADF8">
      <w:pPr>
        <w:snapToGrid w:val="0"/>
        <w:spacing w:line="440" w:lineRule="exact"/>
        <w:ind w:firstLine="420" w:firstLineChars="200"/>
        <w:rPr>
          <w:rFonts w:hint="eastAsia" w:ascii="宋体" w:cs="宋体"/>
          <w:szCs w:val="21"/>
          <w:u w:val="single"/>
        </w:rPr>
      </w:pPr>
      <w:r>
        <w:rPr>
          <w:rFonts w:hint="eastAsia" w:ascii="宋体" w:cs="宋体"/>
          <w:szCs w:val="21"/>
        </w:rPr>
        <w:t>关于出入现场的权利的约定：</w:t>
      </w:r>
      <w:r>
        <w:rPr>
          <w:rFonts w:hint="eastAsia" w:ascii="宋体" w:cs="宋体"/>
          <w:szCs w:val="21"/>
          <w:u w:val="single"/>
        </w:rPr>
        <w:t>发包人应根据施工需要，负责取得出入施工现场所需的批准手续和全部权利，以及取得因施工所需修建道路、桥梁以及其他基础设施的权利，并承担相关手续费用和建设费用，若该费用已包含在本项目发包范围，则由承包人自行解决并承担费用。承包人应协助发包人办理修建场内外道路、桥梁以及其他基础设施的手续。</w:t>
      </w:r>
    </w:p>
    <w:p w14:paraId="70DCA36A">
      <w:pPr>
        <w:snapToGrid w:val="0"/>
        <w:spacing w:line="440" w:lineRule="exact"/>
        <w:ind w:firstLine="420" w:firstLineChars="200"/>
        <w:rPr>
          <w:rFonts w:hint="eastAsia" w:ascii="宋体" w:cs="宋体"/>
          <w:szCs w:val="21"/>
          <w:u w:val="single"/>
        </w:rPr>
      </w:pPr>
      <w:r>
        <w:rPr>
          <w:rFonts w:hint="eastAsia" w:ascii="宋体" w:cs="宋体"/>
          <w:szCs w:val="21"/>
          <w:u w:val="single"/>
        </w:rPr>
        <w:t>承包人应在订立合同前查勘施工现场，并根据工程规模及技术参数合理预见工程施工所需的进出施工现场的方式、手段、路径等。因承包人未合理预见所增加的费用和（或）延误的工期由承包人承担。</w:t>
      </w:r>
    </w:p>
    <w:p w14:paraId="38163A1B">
      <w:pPr>
        <w:widowControl/>
        <w:snapToGrid w:val="0"/>
        <w:spacing w:line="440" w:lineRule="exact"/>
        <w:ind w:firstLine="420" w:firstLineChars="200"/>
        <w:rPr>
          <w:rFonts w:hint="eastAsia" w:ascii="宋体" w:cs="宋体"/>
          <w:szCs w:val="21"/>
        </w:rPr>
      </w:pPr>
      <w:r>
        <w:rPr>
          <w:rFonts w:hint="eastAsia" w:ascii="宋体" w:cs="宋体"/>
          <w:szCs w:val="21"/>
        </w:rPr>
        <w:t>1.10.3 场内交通</w:t>
      </w:r>
    </w:p>
    <w:p w14:paraId="77E56A02">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关于场外交通和场内交通的边界的约定：</w:t>
      </w:r>
      <w:r>
        <w:rPr>
          <w:rFonts w:hint="eastAsia" w:ascii="宋体" w:cs="宋体"/>
          <w:szCs w:val="21"/>
          <w:u w:val="single"/>
        </w:rPr>
        <w:t>场内交通设施和道路由承包人负责建设，发包人不另支付费用，场内交通边界现场确定</w:t>
      </w:r>
      <w:r>
        <w:rPr>
          <w:rFonts w:hint="eastAsia" w:ascii="宋体" w:cs="宋体"/>
          <w:szCs w:val="21"/>
        </w:rPr>
        <w:t>。</w:t>
      </w:r>
    </w:p>
    <w:p w14:paraId="214E44E9">
      <w:pPr>
        <w:snapToGrid w:val="0"/>
        <w:spacing w:line="440" w:lineRule="exact"/>
        <w:ind w:firstLine="420" w:firstLineChars="200"/>
        <w:jc w:val="left"/>
        <w:rPr>
          <w:rFonts w:hint="eastAsia" w:ascii="宋体" w:cs="宋体"/>
          <w:szCs w:val="21"/>
        </w:rPr>
      </w:pPr>
      <w:r>
        <w:rPr>
          <w:rFonts w:hint="eastAsia" w:ascii="宋体" w:cs="宋体"/>
          <w:szCs w:val="21"/>
        </w:rPr>
        <w:t>关于发包人向承包人免费提供满足工程施工需要的场内道路和交通设施的约定：</w:t>
      </w:r>
      <w:r>
        <w:rPr>
          <w:rFonts w:hint="eastAsia" w:ascii="宋体" w:cs="宋体"/>
          <w:szCs w:val="21"/>
          <w:u w:val="single"/>
        </w:rPr>
        <w:t xml:space="preserve">自行踏勘，自行解决 </w:t>
      </w:r>
      <w:r>
        <w:rPr>
          <w:rFonts w:hint="eastAsia" w:ascii="宋体" w:cs="宋体"/>
          <w:szCs w:val="21"/>
        </w:rPr>
        <w:t>。</w:t>
      </w:r>
    </w:p>
    <w:p w14:paraId="7078FB7B">
      <w:pPr>
        <w:snapToGrid w:val="0"/>
        <w:spacing w:line="440" w:lineRule="exact"/>
        <w:ind w:firstLine="420" w:firstLineChars="200"/>
        <w:jc w:val="left"/>
        <w:rPr>
          <w:rFonts w:hint="eastAsia" w:ascii="宋体" w:cs="宋体"/>
          <w:szCs w:val="21"/>
        </w:rPr>
      </w:pPr>
      <w:r>
        <w:rPr>
          <w:rFonts w:hint="eastAsia" w:ascii="宋体" w:cs="宋体"/>
          <w:szCs w:val="21"/>
        </w:rPr>
        <w:t>1.10.4超大件和超重件的运输</w:t>
      </w:r>
    </w:p>
    <w:p w14:paraId="6D788909">
      <w:pPr>
        <w:snapToGrid w:val="0"/>
        <w:spacing w:line="440" w:lineRule="exact"/>
        <w:ind w:firstLine="420" w:firstLineChars="200"/>
        <w:jc w:val="left"/>
        <w:rPr>
          <w:rFonts w:hint="eastAsia" w:ascii="宋体" w:cs="宋体"/>
          <w:szCs w:val="21"/>
        </w:rPr>
      </w:pPr>
      <w:r>
        <w:rPr>
          <w:rFonts w:hint="eastAsia" w:ascii="宋体" w:cs="宋体"/>
          <w:szCs w:val="21"/>
        </w:rPr>
        <w:t>运输超大件或超重件所需的道路和桥梁临时加固改造费用和其他有关费用由</w:t>
      </w:r>
      <w:r>
        <w:rPr>
          <w:rFonts w:hint="eastAsia" w:ascii="宋体" w:cs="宋体"/>
          <w:szCs w:val="21"/>
          <w:u w:val="single"/>
        </w:rPr>
        <w:t xml:space="preserve">  承包方 </w:t>
      </w:r>
      <w:r>
        <w:rPr>
          <w:rFonts w:hint="eastAsia" w:ascii="宋体" w:cs="宋体"/>
          <w:szCs w:val="21"/>
        </w:rPr>
        <w:t>承担。</w:t>
      </w:r>
    </w:p>
    <w:p w14:paraId="35C87F96">
      <w:pPr>
        <w:snapToGrid w:val="0"/>
        <w:spacing w:line="440" w:lineRule="exact"/>
        <w:ind w:firstLine="420" w:firstLineChars="200"/>
        <w:rPr>
          <w:rFonts w:hint="eastAsia" w:ascii="宋体" w:cs="宋体"/>
          <w:szCs w:val="21"/>
        </w:rPr>
      </w:pPr>
      <w:r>
        <w:rPr>
          <w:rFonts w:hint="eastAsia" w:ascii="宋体" w:cs="宋体"/>
          <w:szCs w:val="21"/>
        </w:rPr>
        <w:t>1.11 知识产权</w:t>
      </w:r>
    </w:p>
    <w:p w14:paraId="544F09B6">
      <w:pPr>
        <w:snapToGrid w:val="0"/>
        <w:spacing w:line="440" w:lineRule="exact"/>
        <w:ind w:firstLine="420" w:firstLineChars="200"/>
        <w:rPr>
          <w:rFonts w:hint="eastAsia" w:ascii="宋体" w:cs="宋体"/>
          <w:szCs w:val="21"/>
          <w:u w:val="single"/>
        </w:rPr>
      </w:pPr>
      <w:r>
        <w:rPr>
          <w:rFonts w:hint="eastAsia" w:asci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cs="宋体"/>
          <w:szCs w:val="21"/>
          <w:u w:val="single"/>
        </w:rPr>
        <w:t xml:space="preserve">发包人 </w:t>
      </w:r>
      <w:r>
        <w:rPr>
          <w:rFonts w:hint="eastAsia" w:ascii="宋体" w:cs="宋体"/>
          <w:szCs w:val="21"/>
        </w:rPr>
        <w:t>。</w:t>
      </w:r>
    </w:p>
    <w:p w14:paraId="577765A7">
      <w:pPr>
        <w:snapToGrid w:val="0"/>
        <w:spacing w:line="440" w:lineRule="exact"/>
        <w:ind w:firstLine="420" w:firstLineChars="200"/>
        <w:rPr>
          <w:rFonts w:hint="eastAsia" w:ascii="宋体" w:cs="宋体"/>
          <w:szCs w:val="21"/>
        </w:rPr>
      </w:pPr>
      <w:r>
        <w:rPr>
          <w:rFonts w:hint="eastAsia" w:ascii="宋体" w:cs="宋体"/>
          <w:szCs w:val="21"/>
        </w:rPr>
        <w:t>关于发包人提供的上述文件的使用限制的要求：</w:t>
      </w:r>
      <w:r>
        <w:rPr>
          <w:rFonts w:hint="eastAsia" w:ascii="宋体" w:cs="宋体"/>
          <w:szCs w:val="21"/>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0A5E29E5">
      <w:pPr>
        <w:snapToGrid w:val="0"/>
        <w:spacing w:line="440" w:lineRule="exact"/>
        <w:ind w:firstLine="420" w:firstLineChars="200"/>
        <w:rPr>
          <w:rFonts w:hint="eastAsia" w:ascii="宋体" w:cs="宋体"/>
          <w:szCs w:val="21"/>
        </w:rPr>
      </w:pPr>
      <w:r>
        <w:rPr>
          <w:rFonts w:hint="eastAsia" w:ascii="宋体" w:cs="宋体"/>
          <w:szCs w:val="21"/>
        </w:rPr>
        <w:t>1.11.2 关于承包人为实施工程所编制文件的著作权的归属：</w:t>
      </w:r>
      <w:r>
        <w:rPr>
          <w:rFonts w:hint="eastAsia" w:ascii="宋体" w:cs="宋体"/>
          <w:szCs w:val="21"/>
          <w:u w:val="single"/>
        </w:rPr>
        <w:t xml:space="preserve"> 发包人  </w:t>
      </w:r>
      <w:r>
        <w:rPr>
          <w:rFonts w:hint="eastAsia" w:ascii="宋体" w:cs="宋体"/>
          <w:szCs w:val="21"/>
        </w:rPr>
        <w:t>。</w:t>
      </w:r>
    </w:p>
    <w:p w14:paraId="0A376C87">
      <w:pPr>
        <w:snapToGrid w:val="0"/>
        <w:spacing w:line="440" w:lineRule="exact"/>
        <w:ind w:firstLine="420" w:firstLineChars="200"/>
        <w:rPr>
          <w:rFonts w:hint="eastAsia" w:ascii="宋体" w:cs="宋体"/>
          <w:szCs w:val="21"/>
          <w:u w:val="single"/>
        </w:rPr>
      </w:pPr>
      <w:r>
        <w:rPr>
          <w:rFonts w:hint="eastAsia" w:ascii="宋体" w:cs="宋体"/>
          <w:szCs w:val="21"/>
        </w:rPr>
        <w:t>关于承包人提供的上述文件的使用限制的要求：</w:t>
      </w:r>
      <w:r>
        <w:rPr>
          <w:rFonts w:hint="eastAsia" w:ascii="宋体" w:cs="宋体"/>
          <w:szCs w:val="21"/>
          <w:u w:val="single"/>
        </w:rPr>
        <w:t xml:space="preserve">承包人可因实施工程的运行、调试、维修、改造等目的而复制、使用此类文件，但不能用于与合同无关的其他事项。未经发包人书面同意，承包人不得为了合同以外的目的而复制、使用上述文件或将之提供给任何第三方。 </w:t>
      </w:r>
    </w:p>
    <w:p w14:paraId="595F448B">
      <w:pPr>
        <w:snapToGrid w:val="0"/>
        <w:spacing w:line="440" w:lineRule="exact"/>
        <w:ind w:firstLine="420" w:firstLineChars="200"/>
        <w:rPr>
          <w:rFonts w:hint="eastAsia" w:ascii="宋体" w:cs="宋体"/>
          <w:kern w:val="0"/>
          <w:szCs w:val="21"/>
        </w:rPr>
      </w:pPr>
      <w:r>
        <w:rPr>
          <w:rFonts w:hint="eastAsia" w:ascii="宋体" w:cs="宋体"/>
          <w:szCs w:val="21"/>
        </w:rPr>
        <w:t>1.11.4 承包人在施工过程中所采用的专利、专有技术、技术秘密的使用费的承担方式：</w:t>
      </w:r>
      <w:r>
        <w:rPr>
          <w:rFonts w:hint="eastAsia" w:ascii="宋体" w:cs="宋体"/>
          <w:szCs w:val="21"/>
          <w:u w:val="single"/>
        </w:rPr>
        <w:t>该费用已包含在签约合同价中。</w:t>
      </w:r>
    </w:p>
    <w:p w14:paraId="64136266">
      <w:pPr>
        <w:snapToGrid w:val="0"/>
        <w:spacing w:line="440" w:lineRule="exact"/>
        <w:ind w:firstLine="420" w:firstLineChars="200"/>
        <w:rPr>
          <w:rFonts w:hint="eastAsia" w:ascii="宋体" w:hAnsi="宋体" w:cs="宋体"/>
          <w:szCs w:val="21"/>
        </w:rPr>
      </w:pPr>
      <w:r>
        <w:rPr>
          <w:rFonts w:hint="eastAsia" w:ascii="宋体" w:hAnsi="宋体" w:cs="宋体"/>
          <w:szCs w:val="21"/>
        </w:rPr>
        <w:t>1.13工程量清单错误的修正</w:t>
      </w:r>
    </w:p>
    <w:p w14:paraId="092541A9">
      <w:pPr>
        <w:snapToGrid w:val="0"/>
        <w:spacing w:line="440" w:lineRule="exact"/>
        <w:ind w:firstLine="420" w:firstLineChars="200"/>
        <w:rPr>
          <w:rFonts w:hint="eastAsia" w:ascii="宋体" w:hAnsi="宋体" w:cs="宋体"/>
          <w:szCs w:val="21"/>
        </w:rPr>
      </w:pPr>
      <w:r>
        <w:rPr>
          <w:rFonts w:hint="eastAsia" w:ascii="宋体" w:hAnsi="宋体" w:cs="宋体"/>
          <w:szCs w:val="21"/>
        </w:rPr>
        <w:t>出现工程量清单错误时，是否调整合同价格：</w:t>
      </w:r>
      <w:r>
        <w:rPr>
          <w:rFonts w:hint="eastAsia" w:ascii="宋体" w:hAnsi="宋体" w:cs="宋体"/>
          <w:szCs w:val="21"/>
          <w:u w:val="single"/>
        </w:rPr>
        <w:t xml:space="preserve">  是，具体调整方式见下款  </w:t>
      </w:r>
      <w:r>
        <w:rPr>
          <w:rFonts w:hint="eastAsia" w:ascii="宋体" w:hAnsi="宋体" w:cs="宋体"/>
          <w:szCs w:val="21"/>
        </w:rPr>
        <w:t>。</w:t>
      </w:r>
    </w:p>
    <w:p w14:paraId="3BDB4DB3">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允许调整合同价格的工程量偏差范围：</w:t>
      </w:r>
    </w:p>
    <w:p w14:paraId="20C25442">
      <w:pPr>
        <w:snapToGrid w:val="0"/>
        <w:spacing w:line="440" w:lineRule="exact"/>
        <w:ind w:firstLine="422" w:firstLineChars="200"/>
        <w:rPr>
          <w:rFonts w:hint="eastAsia" w:ascii="宋体" w:hAnsi="宋体" w:cs="宋体"/>
          <w:b/>
          <w:bCs/>
          <w:color w:val="auto"/>
          <w:szCs w:val="21"/>
          <w:u w:val="single"/>
        </w:rPr>
      </w:pPr>
      <w:r>
        <w:rPr>
          <w:rFonts w:hint="eastAsia" w:ascii="宋体" w:hAnsi="宋体" w:cs="宋体"/>
          <w:b/>
          <w:bCs/>
          <w:color w:val="auto"/>
          <w:szCs w:val="21"/>
          <w:u w:val="single"/>
        </w:rPr>
        <w:t>承包人拒绝实施因</w:t>
      </w:r>
      <w:r>
        <w:rPr>
          <w:rFonts w:hint="eastAsia" w:ascii="宋体" w:hAnsi="宋体" w:cs="宋体"/>
          <w:b/>
          <w:bCs/>
          <w:color w:val="auto"/>
          <w:spacing w:val="-6"/>
          <w:kern w:val="0"/>
          <w:szCs w:val="21"/>
          <w:u w:val="single"/>
        </w:rPr>
        <w:t>此产生变化的施工内容或范围</w:t>
      </w:r>
      <w:r>
        <w:rPr>
          <w:rFonts w:hint="eastAsia" w:ascii="宋体" w:hAnsi="宋体" w:cs="宋体"/>
          <w:b/>
          <w:bCs/>
          <w:color w:val="auto"/>
          <w:szCs w:val="21"/>
          <w:u w:val="single"/>
        </w:rPr>
        <w:t>，将被视为违约，发包人视情节轻重给予违约处罚。结算时，工程量按实计算。结算工程量减少0-100%或增加15%以内部分，执行中</w:t>
      </w:r>
      <w:r>
        <w:rPr>
          <w:rFonts w:hint="eastAsia" w:ascii="宋体" w:hAnsi="宋体" w:cs="宋体"/>
          <w:b/>
          <w:bCs/>
          <w:color w:val="auto"/>
          <w:szCs w:val="21"/>
          <w:u w:val="single"/>
          <w:lang w:val="en-US" w:eastAsia="zh-CN"/>
        </w:rPr>
        <w:t>标</w:t>
      </w:r>
      <w:r>
        <w:rPr>
          <w:rFonts w:hint="eastAsia" w:ascii="宋体" w:hAnsi="宋体" w:cs="宋体"/>
          <w:b/>
          <w:bCs/>
          <w:color w:val="auto"/>
          <w:szCs w:val="21"/>
          <w:u w:val="single"/>
        </w:rPr>
        <w:t>单价；超出15%以外部分，</w:t>
      </w:r>
      <w:r>
        <w:rPr>
          <w:rFonts w:hint="eastAsia" w:ascii="宋体" w:hAnsi="宋体" w:cs="宋体"/>
          <w:b/>
          <w:bCs/>
          <w:color w:val="auto"/>
          <w:szCs w:val="21"/>
          <w:u w:val="single"/>
          <w:lang w:val="en-US" w:eastAsia="zh-CN"/>
        </w:rPr>
        <w:t>依据中标合同工程量清单计价进行组价结算，没有清单价的部分，依据政府信息价组价，没有信息价的，进行市场询价确定单价。</w:t>
      </w:r>
      <w:r>
        <w:rPr>
          <w:rFonts w:hint="eastAsia" w:ascii="宋体" w:hAnsi="宋体" w:cs="宋体"/>
          <w:b/>
          <w:bCs/>
          <w:color w:val="auto"/>
          <w:szCs w:val="21"/>
          <w:u w:val="single"/>
        </w:rPr>
        <w:t>结算价格最终以相关部门审核价为准。</w:t>
      </w:r>
    </w:p>
    <w:p w14:paraId="22C70EE9">
      <w:pPr>
        <w:snapToGrid w:val="0"/>
        <w:spacing w:line="440" w:lineRule="exact"/>
        <w:ind w:firstLine="422" w:firstLineChars="200"/>
        <w:rPr>
          <w:rFonts w:hint="eastAsia" w:ascii="宋体" w:hAnsi="宋体" w:cs="宋体"/>
          <w:b/>
          <w:bCs/>
          <w:color w:val="auto"/>
          <w:szCs w:val="21"/>
          <w:u w:val="single"/>
        </w:rPr>
      </w:pPr>
      <w:r>
        <w:rPr>
          <w:rFonts w:hint="eastAsia" w:ascii="宋体" w:hAnsi="宋体" w:cs="宋体"/>
          <w:b/>
          <w:bCs/>
          <w:color w:val="auto"/>
          <w:szCs w:val="21"/>
          <w:u w:val="single"/>
        </w:rPr>
        <w:t>工程量清单的错误或漏项，</w:t>
      </w:r>
      <w:r>
        <w:rPr>
          <w:rFonts w:hint="eastAsia" w:ascii="宋体" w:hAnsi="宋体" w:cs="宋体"/>
          <w:b/>
          <w:bCs/>
          <w:color w:val="auto"/>
          <w:szCs w:val="21"/>
          <w:u w:val="single"/>
          <w:lang w:eastAsia="zh-CN"/>
        </w:rPr>
        <w:t>属于承包人投标报价范围内的，不再调整，清单外的部分依据签证</w:t>
      </w:r>
      <w:r>
        <w:rPr>
          <w:rFonts w:hint="eastAsia" w:ascii="宋体" w:hAnsi="宋体" w:cs="宋体"/>
          <w:b/>
          <w:bCs/>
          <w:color w:val="auto"/>
          <w:szCs w:val="21"/>
          <w:u w:val="single"/>
        </w:rPr>
        <w:t>按实调整，调整方式执行上述调整方式，但中标人（承包人）应在施工前提出，并履行变更程序，否则，不予认可。</w:t>
      </w:r>
    </w:p>
    <w:p w14:paraId="43078C80">
      <w:pPr>
        <w:snapToGrid w:val="0"/>
        <w:spacing w:line="440" w:lineRule="exact"/>
        <w:ind w:firstLine="420" w:firstLineChars="200"/>
        <w:rPr>
          <w:rFonts w:hint="eastAsia" w:ascii="宋体" w:hAnsi="宋体" w:cs="宋体"/>
          <w:b/>
          <w:color w:val="auto"/>
          <w:szCs w:val="21"/>
          <w:u w:val="single"/>
        </w:rPr>
      </w:pPr>
      <w:r>
        <w:rPr>
          <w:rFonts w:hint="eastAsia" w:ascii="宋体" w:hAnsi="宋体" w:cs="宋体"/>
          <w:color w:val="auto"/>
          <w:szCs w:val="21"/>
        </w:rPr>
        <w:t>技术措施费调整：</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不调整</w:t>
      </w:r>
      <w:r>
        <w:rPr>
          <w:rFonts w:hint="eastAsia" w:ascii="宋体" w:hAnsi="宋体" w:cs="宋体"/>
          <w:b/>
          <w:color w:val="auto"/>
          <w:szCs w:val="21"/>
          <w:u w:val="single"/>
        </w:rPr>
        <w:t>。</w:t>
      </w:r>
    </w:p>
    <w:p w14:paraId="5E1D1DBD">
      <w:pPr>
        <w:snapToGrid w:val="0"/>
        <w:spacing w:line="44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组织措施费调整：</w:t>
      </w:r>
      <w:r>
        <w:rPr>
          <w:rFonts w:hint="eastAsia" w:ascii="宋体" w:hAnsi="宋体" w:cs="宋体"/>
          <w:b/>
          <w:color w:val="auto"/>
          <w:szCs w:val="21"/>
          <w:u w:val="single"/>
          <w:lang w:val="en-US" w:eastAsia="zh-CN"/>
        </w:rPr>
        <w:t>不调整。</w:t>
      </w:r>
    </w:p>
    <w:p w14:paraId="0E87E501">
      <w:pPr>
        <w:pStyle w:val="9"/>
        <w:snapToGrid w:val="0"/>
        <w:spacing w:before="0" w:after="0" w:line="440" w:lineRule="exact"/>
        <w:ind w:firstLine="420" w:firstLineChars="200"/>
        <w:rPr>
          <w:rFonts w:hint="eastAsia" w:ascii="宋体" w:eastAsia="宋体" w:cs="宋体"/>
          <w:b w:val="0"/>
          <w:color w:val="auto"/>
          <w:sz w:val="21"/>
          <w:szCs w:val="21"/>
        </w:rPr>
      </w:pPr>
      <w:r>
        <w:rPr>
          <w:rFonts w:hint="eastAsia" w:ascii="宋体" w:eastAsia="宋体" w:cs="宋体"/>
          <w:b w:val="0"/>
          <w:color w:val="auto"/>
          <w:sz w:val="21"/>
          <w:szCs w:val="21"/>
        </w:rPr>
        <w:t>2. 发包人</w:t>
      </w:r>
    </w:p>
    <w:p w14:paraId="36BD3F63">
      <w:pPr>
        <w:snapToGrid w:val="0"/>
        <w:spacing w:line="440" w:lineRule="exact"/>
        <w:ind w:firstLine="420" w:firstLineChars="200"/>
        <w:rPr>
          <w:rFonts w:hint="eastAsia" w:ascii="宋体" w:cs="宋体"/>
          <w:color w:val="auto"/>
          <w:szCs w:val="21"/>
        </w:rPr>
      </w:pPr>
      <w:r>
        <w:rPr>
          <w:rFonts w:hint="eastAsia" w:ascii="宋体" w:cs="宋体"/>
          <w:color w:val="auto"/>
          <w:szCs w:val="21"/>
        </w:rPr>
        <w:t>2.2 发包人代表</w:t>
      </w:r>
    </w:p>
    <w:p w14:paraId="05DEC80D">
      <w:pPr>
        <w:snapToGrid w:val="0"/>
        <w:spacing w:line="440" w:lineRule="exact"/>
        <w:ind w:firstLine="420" w:firstLineChars="200"/>
        <w:rPr>
          <w:rFonts w:hint="eastAsia" w:ascii="宋体" w:cs="宋体"/>
          <w:color w:val="auto"/>
          <w:szCs w:val="21"/>
        </w:rPr>
      </w:pPr>
      <w:r>
        <w:rPr>
          <w:rFonts w:hint="eastAsia" w:ascii="宋体" w:cs="宋体"/>
          <w:color w:val="auto"/>
          <w:szCs w:val="21"/>
        </w:rPr>
        <w:t>发包人代表：</w:t>
      </w:r>
    </w:p>
    <w:p w14:paraId="62D3E934">
      <w:pPr>
        <w:snapToGrid w:val="0"/>
        <w:spacing w:line="440" w:lineRule="exact"/>
        <w:ind w:firstLine="420" w:firstLineChars="200"/>
        <w:rPr>
          <w:rFonts w:hint="eastAsia" w:ascii="宋体" w:cs="宋体"/>
          <w:color w:val="auto"/>
          <w:szCs w:val="21"/>
        </w:rPr>
      </w:pPr>
      <w:r>
        <w:rPr>
          <w:rFonts w:hint="eastAsia" w:ascii="宋体" w:cs="宋体"/>
          <w:color w:val="auto"/>
          <w:szCs w:val="21"/>
        </w:rPr>
        <w:t>姓    名：</w:t>
      </w:r>
      <w:r>
        <w:rPr>
          <w:rFonts w:hint="eastAsia" w:ascii="宋体" w:cs="宋体"/>
          <w:color w:val="auto"/>
          <w:szCs w:val="21"/>
          <w:u w:val="single"/>
        </w:rPr>
        <w:t xml:space="preserve"> </w:t>
      </w:r>
      <w:r>
        <w:rPr>
          <w:rFonts w:hint="eastAsia" w:ascii="宋体" w:cs="宋体"/>
          <w:color w:val="auto"/>
          <w:szCs w:val="21"/>
          <w:u w:val="single"/>
          <w:lang w:val="en-US" w:eastAsia="zh-CN"/>
        </w:rPr>
        <w:t>李工</w:t>
      </w:r>
      <w:r>
        <w:rPr>
          <w:rFonts w:hint="eastAsia" w:ascii="宋体" w:cs="宋体"/>
          <w:color w:val="auto"/>
          <w:szCs w:val="21"/>
          <w:u w:val="single"/>
        </w:rPr>
        <w:t xml:space="preserve">    </w:t>
      </w:r>
      <w:r>
        <w:rPr>
          <w:rFonts w:hint="eastAsia" w:ascii="宋体" w:cs="宋体"/>
          <w:color w:val="auto"/>
          <w:szCs w:val="21"/>
        </w:rPr>
        <w:t>；</w:t>
      </w:r>
    </w:p>
    <w:p w14:paraId="49AF87BF">
      <w:pPr>
        <w:snapToGrid w:val="0"/>
        <w:spacing w:line="440" w:lineRule="exact"/>
        <w:ind w:firstLine="420" w:firstLineChars="200"/>
        <w:rPr>
          <w:rFonts w:hint="eastAsia" w:ascii="宋体" w:cs="宋体"/>
          <w:szCs w:val="21"/>
        </w:rPr>
      </w:pPr>
      <w:r>
        <w:rPr>
          <w:rFonts w:hint="eastAsia" w:ascii="宋体" w:cs="宋体"/>
          <w:szCs w:val="21"/>
        </w:rPr>
        <w:t>发包人对发包人代表的授权范围如下：</w:t>
      </w:r>
      <w:r>
        <w:rPr>
          <w:rFonts w:hint="eastAsia" w:ascii="宋体" w:cs="宋体"/>
          <w:szCs w:val="21"/>
          <w:u w:val="single"/>
        </w:rPr>
        <w:t>施工组织设计和总进度计划的审批权和调整权；人员在岗、工程进度、质量、安全、环保的监督检查权和建议处罚权；工程款的初步审查权；第三方检测的委托权；主要材料的质量否决权；工程量的确认权；工程变更签证的审核权；可调价格材料的价格确认权；工程结算的审核权；合同的解释；等等。</w:t>
      </w:r>
    </w:p>
    <w:p w14:paraId="31BD9F5C">
      <w:pPr>
        <w:snapToGrid w:val="0"/>
        <w:spacing w:line="440" w:lineRule="exact"/>
        <w:ind w:firstLine="420" w:firstLineChars="200"/>
        <w:rPr>
          <w:rFonts w:hint="eastAsia" w:ascii="宋体" w:cs="宋体"/>
          <w:szCs w:val="21"/>
        </w:rPr>
      </w:pPr>
      <w:r>
        <w:rPr>
          <w:rFonts w:hint="eastAsia" w:ascii="宋体" w:cs="宋体"/>
          <w:szCs w:val="21"/>
        </w:rPr>
        <w:t>2.4 施工现场、施工条件和基础资料的提供</w:t>
      </w:r>
    </w:p>
    <w:p w14:paraId="05BCD48F">
      <w:pPr>
        <w:snapToGrid w:val="0"/>
        <w:spacing w:line="440" w:lineRule="exact"/>
        <w:ind w:firstLine="420" w:firstLineChars="200"/>
        <w:rPr>
          <w:rFonts w:hint="eastAsia" w:ascii="宋体" w:cs="宋体"/>
          <w:szCs w:val="21"/>
        </w:rPr>
      </w:pPr>
      <w:r>
        <w:rPr>
          <w:rFonts w:hint="eastAsia" w:ascii="宋体" w:cs="宋体"/>
          <w:szCs w:val="21"/>
        </w:rPr>
        <w:t>2.4.1 提供施工现场</w:t>
      </w:r>
    </w:p>
    <w:p w14:paraId="11142D30">
      <w:pPr>
        <w:snapToGrid w:val="0"/>
        <w:spacing w:line="440" w:lineRule="exact"/>
        <w:ind w:firstLine="420" w:firstLineChars="200"/>
        <w:jc w:val="left"/>
        <w:rPr>
          <w:rFonts w:hint="eastAsia" w:ascii="宋体" w:cs="宋体"/>
          <w:szCs w:val="21"/>
        </w:rPr>
      </w:pPr>
      <w:r>
        <w:rPr>
          <w:rFonts w:hint="eastAsia" w:ascii="宋体" w:cs="宋体"/>
          <w:szCs w:val="21"/>
        </w:rPr>
        <w:t>关于发包人移交施工现场的期限要求：</w:t>
      </w:r>
      <w:r>
        <w:rPr>
          <w:rFonts w:hint="eastAsia" w:ascii="宋体" w:cs="宋体"/>
          <w:szCs w:val="21"/>
          <w:u w:val="single"/>
        </w:rPr>
        <w:t>发包人应最迟于开工日期7天前向承包人移交施工现场。</w:t>
      </w:r>
    </w:p>
    <w:p w14:paraId="586AEF0C">
      <w:pPr>
        <w:snapToGrid w:val="0"/>
        <w:spacing w:line="440" w:lineRule="exact"/>
        <w:ind w:firstLine="420" w:firstLineChars="200"/>
        <w:rPr>
          <w:rFonts w:hint="eastAsia" w:ascii="宋体" w:cs="宋体"/>
          <w:szCs w:val="21"/>
        </w:rPr>
      </w:pPr>
      <w:r>
        <w:rPr>
          <w:rFonts w:hint="eastAsia" w:ascii="宋体" w:cs="宋体"/>
          <w:szCs w:val="21"/>
        </w:rPr>
        <w:t>2.4.2 提供施工条件</w:t>
      </w:r>
    </w:p>
    <w:p w14:paraId="694C47BD">
      <w:pPr>
        <w:snapToGrid w:val="0"/>
        <w:spacing w:line="440" w:lineRule="exact"/>
        <w:ind w:firstLine="420" w:firstLineChars="200"/>
        <w:rPr>
          <w:rFonts w:hint="eastAsia" w:ascii="宋体" w:cs="宋体"/>
          <w:szCs w:val="21"/>
          <w:u w:val="single"/>
        </w:rPr>
      </w:pPr>
      <w:r>
        <w:rPr>
          <w:rFonts w:hint="eastAsia" w:ascii="宋体" w:cs="宋体"/>
          <w:szCs w:val="21"/>
        </w:rPr>
        <w:t>关于发包人应负责提供施工所需要的条件，包括：</w:t>
      </w:r>
      <w:r>
        <w:rPr>
          <w:rFonts w:hint="eastAsia" w:ascii="宋体" w:cs="宋体"/>
          <w:szCs w:val="21"/>
          <w:u w:val="single"/>
        </w:rPr>
        <w:t>（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若上述费用已包含在本项目发包范围，则由承包人自行解决并承担费用。</w:t>
      </w:r>
    </w:p>
    <w:p w14:paraId="6143E00C">
      <w:pPr>
        <w:snapToGrid w:val="0"/>
        <w:spacing w:line="440" w:lineRule="exact"/>
        <w:ind w:firstLine="420" w:firstLineChars="200"/>
        <w:rPr>
          <w:rFonts w:hint="eastAsia" w:ascii="宋体" w:cs="宋体"/>
          <w:szCs w:val="21"/>
        </w:rPr>
      </w:pPr>
      <w:r>
        <w:rPr>
          <w:rFonts w:hint="eastAsia" w:ascii="宋体" w:cs="宋体"/>
          <w:szCs w:val="21"/>
        </w:rPr>
        <w:t>2.5 资金来源证明及支付担保</w:t>
      </w:r>
    </w:p>
    <w:p w14:paraId="7F5C1413">
      <w:pPr>
        <w:snapToGrid w:val="0"/>
        <w:spacing w:line="440" w:lineRule="exact"/>
        <w:ind w:firstLine="420" w:firstLineChars="200"/>
        <w:rPr>
          <w:rFonts w:hint="eastAsia" w:ascii="宋体" w:cs="宋体"/>
          <w:szCs w:val="21"/>
        </w:rPr>
      </w:pPr>
      <w:r>
        <w:rPr>
          <w:rFonts w:hint="eastAsia" w:ascii="宋体" w:cs="宋体"/>
          <w:szCs w:val="21"/>
        </w:rPr>
        <w:t>发包人提供资金来源证明的期限要求：</w:t>
      </w:r>
      <w:r>
        <w:rPr>
          <w:rFonts w:hint="eastAsia" w:ascii="宋体" w:cs="宋体"/>
          <w:szCs w:val="21"/>
          <w:u w:val="single"/>
        </w:rPr>
        <w:t></w:t>
      </w:r>
      <w:r>
        <w:rPr>
          <w:rFonts w:hint="eastAsia" w:ascii="宋体" w:cs="宋体"/>
          <w:szCs w:val="21"/>
          <w:u w:val="single"/>
          <w:lang w:val="en-US" w:eastAsia="zh-CN"/>
        </w:rPr>
        <w:t>自筹</w:t>
      </w:r>
      <w:r>
        <w:rPr>
          <w:rFonts w:hint="eastAsia" w:ascii="宋体" w:cs="宋体"/>
          <w:szCs w:val="21"/>
          <w:u w:val="single"/>
        </w:rPr>
        <w:t xml:space="preserve">资金   </w:t>
      </w:r>
      <w:r>
        <w:rPr>
          <w:rFonts w:hint="eastAsia" w:ascii="宋体" w:cs="宋体"/>
          <w:szCs w:val="21"/>
        </w:rPr>
        <w:t>。</w:t>
      </w:r>
    </w:p>
    <w:p w14:paraId="3FB71AC4">
      <w:pPr>
        <w:snapToGrid w:val="0"/>
        <w:spacing w:line="440" w:lineRule="exact"/>
        <w:ind w:firstLine="420" w:firstLineChars="200"/>
        <w:rPr>
          <w:rFonts w:hint="eastAsia" w:ascii="宋体" w:cs="宋体"/>
          <w:szCs w:val="21"/>
        </w:rPr>
      </w:pPr>
      <w:r>
        <w:rPr>
          <w:rFonts w:hint="eastAsia" w:ascii="宋体" w:cs="宋体"/>
          <w:szCs w:val="21"/>
        </w:rPr>
        <w:t>发包人是否提供支付担保：</w:t>
      </w:r>
      <w:r>
        <w:rPr>
          <w:rFonts w:hint="eastAsia" w:ascii="宋体" w:cs="宋体"/>
          <w:szCs w:val="21"/>
          <w:u w:val="single"/>
        </w:rPr>
        <w:t xml:space="preserve">不提供   </w:t>
      </w:r>
      <w:r>
        <w:rPr>
          <w:rFonts w:hint="eastAsia" w:ascii="宋体" w:cs="宋体"/>
          <w:szCs w:val="21"/>
        </w:rPr>
        <w:t>。</w:t>
      </w:r>
    </w:p>
    <w:p w14:paraId="3C6886CB">
      <w:pPr>
        <w:snapToGrid w:val="0"/>
        <w:spacing w:line="440" w:lineRule="exact"/>
        <w:ind w:firstLine="420" w:firstLineChars="200"/>
        <w:rPr>
          <w:rFonts w:hint="eastAsia" w:ascii="宋体" w:cs="宋体"/>
          <w:szCs w:val="21"/>
          <w:u w:val="single"/>
        </w:rPr>
      </w:pPr>
      <w:r>
        <w:rPr>
          <w:rFonts w:hint="eastAsia" w:ascii="宋体" w:cs="宋体"/>
          <w:szCs w:val="21"/>
        </w:rPr>
        <w:t>发包人提供支付担保的形式：</w:t>
      </w:r>
      <w:r>
        <w:rPr>
          <w:rFonts w:hint="eastAsia" w:ascii="宋体" w:cs="宋体"/>
          <w:szCs w:val="21"/>
          <w:u w:val="single"/>
        </w:rPr>
        <w:t>无  </w:t>
      </w:r>
      <w:r>
        <w:rPr>
          <w:rFonts w:hint="eastAsia" w:ascii="宋体" w:cs="宋体"/>
          <w:szCs w:val="21"/>
        </w:rPr>
        <w:t>。</w:t>
      </w:r>
    </w:p>
    <w:p w14:paraId="05ABEF29">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3. 承包人</w:t>
      </w:r>
    </w:p>
    <w:p w14:paraId="4941BCD2">
      <w:pPr>
        <w:snapToGrid w:val="0"/>
        <w:spacing w:line="440" w:lineRule="exact"/>
        <w:ind w:firstLine="420" w:firstLineChars="200"/>
        <w:rPr>
          <w:rFonts w:hint="eastAsia" w:ascii="宋体" w:cs="宋体"/>
          <w:szCs w:val="21"/>
        </w:rPr>
      </w:pPr>
      <w:r>
        <w:rPr>
          <w:rFonts w:hint="eastAsia" w:ascii="宋体" w:cs="宋体"/>
          <w:szCs w:val="21"/>
        </w:rPr>
        <w:t>3.1 承包人的一般义务</w:t>
      </w:r>
    </w:p>
    <w:p w14:paraId="2240B1EC">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（9）</w:t>
      </w:r>
      <w:r>
        <w:rPr>
          <w:rFonts w:hint="eastAsia" w:ascii="宋体" w:cs="宋体"/>
          <w:szCs w:val="21"/>
        </w:rPr>
        <w:t>承包人提交的竣工资料的内容：</w:t>
      </w:r>
      <w:r>
        <w:rPr>
          <w:rFonts w:hint="eastAsia" w:ascii="宋体" w:cs="宋体"/>
          <w:szCs w:val="21"/>
          <w:u w:val="single"/>
        </w:rPr>
        <w:t xml:space="preserve">   按相关要求执行，包括但不限于竣工图、竣工报告、项目质检资料、结算资料等  </w:t>
      </w:r>
      <w:r>
        <w:rPr>
          <w:rFonts w:hint="eastAsia" w:ascii="宋体" w:cs="宋体"/>
          <w:szCs w:val="21"/>
        </w:rPr>
        <w:t>。</w:t>
      </w:r>
    </w:p>
    <w:p w14:paraId="1CA1DB90">
      <w:pPr>
        <w:snapToGrid w:val="0"/>
        <w:spacing w:line="440" w:lineRule="exact"/>
        <w:ind w:firstLine="420" w:firstLineChars="200"/>
        <w:jc w:val="left"/>
        <w:rPr>
          <w:rFonts w:hint="eastAsia" w:ascii="宋体" w:cs="宋体"/>
          <w:szCs w:val="21"/>
        </w:rPr>
      </w:pPr>
      <w:r>
        <w:rPr>
          <w:rFonts w:hint="eastAsia" w:ascii="宋体" w:cs="宋体"/>
          <w:szCs w:val="21"/>
        </w:rPr>
        <w:t>承包人需要提交的竣工资料套数：</w:t>
      </w:r>
      <w:r>
        <w:rPr>
          <w:rFonts w:hint="eastAsia" w:ascii="宋体" w:cs="宋体"/>
          <w:szCs w:val="21"/>
          <w:u w:val="single"/>
        </w:rPr>
        <w:t xml:space="preserve">      按相关要求执行，且不少于3套    </w:t>
      </w:r>
      <w:r>
        <w:rPr>
          <w:rFonts w:hint="eastAsia" w:ascii="宋体" w:cs="宋体"/>
          <w:szCs w:val="21"/>
        </w:rPr>
        <w:t>。</w:t>
      </w:r>
    </w:p>
    <w:p w14:paraId="5FF31C14">
      <w:pPr>
        <w:snapToGrid w:val="0"/>
        <w:spacing w:line="440" w:lineRule="exact"/>
        <w:ind w:firstLine="420" w:firstLineChars="200"/>
        <w:jc w:val="left"/>
        <w:rPr>
          <w:rFonts w:hint="eastAsia" w:ascii="宋体" w:cs="宋体"/>
          <w:szCs w:val="21"/>
        </w:rPr>
      </w:pPr>
      <w:r>
        <w:rPr>
          <w:rFonts w:hint="eastAsia" w:ascii="宋体" w:cs="宋体"/>
          <w:szCs w:val="21"/>
        </w:rPr>
        <w:t>承包人提交的竣工资料的费用承担：</w:t>
      </w:r>
      <w:r>
        <w:rPr>
          <w:rFonts w:hint="eastAsia" w:ascii="宋体" w:cs="宋体"/>
          <w:szCs w:val="21"/>
          <w:u w:val="single"/>
        </w:rPr>
        <w:t xml:space="preserve">   承包人           </w:t>
      </w:r>
      <w:r>
        <w:rPr>
          <w:rFonts w:hint="eastAsia" w:ascii="宋体" w:cs="宋体"/>
          <w:szCs w:val="21"/>
        </w:rPr>
        <w:t>。</w:t>
      </w:r>
    </w:p>
    <w:p w14:paraId="3670ED4C">
      <w:pPr>
        <w:snapToGrid w:val="0"/>
        <w:spacing w:line="440" w:lineRule="exact"/>
        <w:ind w:firstLine="420" w:firstLineChars="200"/>
        <w:jc w:val="left"/>
        <w:rPr>
          <w:rFonts w:hint="eastAsia" w:ascii="宋体" w:cs="宋体"/>
          <w:szCs w:val="21"/>
        </w:rPr>
      </w:pPr>
      <w:r>
        <w:rPr>
          <w:rFonts w:hint="eastAsia" w:ascii="宋体" w:cs="宋体"/>
          <w:szCs w:val="21"/>
        </w:rPr>
        <w:t>承包人提交的竣工资料移交时间：</w:t>
      </w:r>
      <w:r>
        <w:rPr>
          <w:rFonts w:hint="eastAsia" w:ascii="宋体" w:cs="宋体"/>
          <w:szCs w:val="21"/>
          <w:u w:val="single"/>
        </w:rPr>
        <w:t xml:space="preserve">     竣工验收合格后15日内   </w:t>
      </w:r>
      <w:r>
        <w:rPr>
          <w:rFonts w:hint="eastAsia" w:ascii="宋体" w:cs="宋体"/>
          <w:szCs w:val="21"/>
        </w:rPr>
        <w:t>。</w:t>
      </w:r>
    </w:p>
    <w:p w14:paraId="4742058F">
      <w:pPr>
        <w:snapToGrid w:val="0"/>
        <w:spacing w:line="440" w:lineRule="exact"/>
        <w:ind w:firstLine="420" w:firstLineChars="200"/>
        <w:jc w:val="left"/>
        <w:rPr>
          <w:rFonts w:hint="eastAsia" w:ascii="宋体" w:cs="宋体"/>
          <w:szCs w:val="21"/>
        </w:rPr>
      </w:pPr>
      <w:r>
        <w:rPr>
          <w:rFonts w:hint="eastAsia" w:ascii="宋体" w:cs="宋体"/>
          <w:szCs w:val="21"/>
        </w:rPr>
        <w:t>承包人提交的竣工资料形式要求：</w:t>
      </w:r>
      <w:r>
        <w:rPr>
          <w:rFonts w:hint="eastAsia" w:ascii="宋体" w:cs="宋体"/>
          <w:szCs w:val="21"/>
          <w:u w:val="single"/>
        </w:rPr>
        <w:t xml:space="preserve">     纸质及电子形式   </w:t>
      </w:r>
      <w:r>
        <w:rPr>
          <w:rFonts w:hint="eastAsia" w:ascii="宋体" w:cs="宋体"/>
          <w:szCs w:val="21"/>
        </w:rPr>
        <w:t>。</w:t>
      </w:r>
    </w:p>
    <w:p w14:paraId="57AC80D3">
      <w:pPr>
        <w:numPr>
          <w:ilvl w:val="0"/>
          <w:numId w:val="1"/>
        </w:numPr>
        <w:spacing w:line="440" w:lineRule="exact"/>
        <w:rPr>
          <w:rFonts w:hint="eastAsia" w:ascii="宋体" w:cs="宋体"/>
          <w:szCs w:val="21"/>
        </w:rPr>
      </w:pPr>
      <w:r>
        <w:rPr>
          <w:rFonts w:hint="eastAsia" w:ascii="宋体" w:cs="宋体"/>
          <w:kern w:val="0"/>
          <w:szCs w:val="21"/>
        </w:rPr>
        <w:t>承包人应履行的其他义务：</w:t>
      </w:r>
      <w:r>
        <w:rPr>
          <w:rFonts w:hint="eastAsia" w:ascii="宋体" w:cs="宋体"/>
          <w:szCs w:val="21"/>
          <w:u w:val="single"/>
        </w:rPr>
        <w:t>①工程竣工半年</w:t>
      </w:r>
      <w:r>
        <w:rPr>
          <w:rFonts w:hint="eastAsia" w:ascii="宋体" w:cs="宋体"/>
          <w:szCs w:val="21"/>
          <w:u w:val="single"/>
          <w:lang w:eastAsia="zh-CN"/>
        </w:rPr>
        <w:t>（</w:t>
      </w:r>
      <w:r>
        <w:rPr>
          <w:rFonts w:hint="eastAsia" w:ascii="宋体" w:cs="宋体"/>
          <w:szCs w:val="21"/>
          <w:u w:val="single"/>
        </w:rPr>
        <w:t>含</w:t>
      </w:r>
      <w:r>
        <w:rPr>
          <w:rFonts w:hint="eastAsia" w:ascii="宋体" w:cs="宋体"/>
          <w:szCs w:val="21"/>
          <w:u w:val="single"/>
          <w:lang w:eastAsia="zh-CN"/>
        </w:rPr>
        <w:t>）</w:t>
      </w:r>
      <w:r>
        <w:rPr>
          <w:rFonts w:hint="eastAsia" w:ascii="宋体" w:cs="宋体"/>
          <w:szCs w:val="21"/>
          <w:u w:val="single"/>
        </w:rPr>
        <w:t>内完成竣工结算的；②无合同纠纷等原因拖欠农民工工资、材料款，出现群访及时处理；③质量无缺陷，及时整改到位，处理及时；④施工现场服从调度或工程进度不超过合同工期或按合同期限按时移交的；⑤月工程量进度及时完成；⑥按规定提供工程资料并及时归档的；</w:t>
      </w:r>
    </w:p>
    <w:p w14:paraId="083F7B13">
      <w:pPr>
        <w:snapToGrid w:val="0"/>
        <w:spacing w:line="440" w:lineRule="exact"/>
        <w:ind w:firstLine="420" w:firstLineChars="200"/>
        <w:rPr>
          <w:rFonts w:hint="eastAsia" w:ascii="宋体" w:cs="宋体"/>
          <w:szCs w:val="21"/>
        </w:rPr>
      </w:pPr>
      <w:r>
        <w:rPr>
          <w:rFonts w:hint="eastAsia" w:ascii="宋体" w:cs="宋体"/>
          <w:szCs w:val="21"/>
        </w:rPr>
        <w:t>3.2 项目经理</w:t>
      </w:r>
    </w:p>
    <w:p w14:paraId="13611687">
      <w:pPr>
        <w:snapToGrid w:val="0"/>
        <w:spacing w:line="440" w:lineRule="exact"/>
        <w:ind w:firstLine="420" w:firstLineChars="200"/>
        <w:rPr>
          <w:rFonts w:hint="eastAsia" w:ascii="宋体" w:cs="宋体"/>
          <w:szCs w:val="21"/>
        </w:rPr>
      </w:pPr>
      <w:r>
        <w:rPr>
          <w:rFonts w:hint="eastAsia" w:ascii="宋体" w:cs="宋体"/>
          <w:kern w:val="0"/>
          <w:szCs w:val="21"/>
        </w:rPr>
        <w:t xml:space="preserve">3.2.1 </w:t>
      </w:r>
      <w:r>
        <w:rPr>
          <w:rFonts w:hint="eastAsia" w:ascii="宋体" w:cs="宋体"/>
          <w:szCs w:val="21"/>
        </w:rPr>
        <w:t>项目经理：</w:t>
      </w:r>
    </w:p>
    <w:p w14:paraId="14770DDB">
      <w:pPr>
        <w:snapToGrid w:val="0"/>
        <w:spacing w:line="440" w:lineRule="exact"/>
        <w:ind w:firstLine="420" w:firstLineChars="200"/>
        <w:rPr>
          <w:rFonts w:hint="eastAsia" w:ascii="宋体" w:cs="宋体"/>
          <w:szCs w:val="21"/>
        </w:rPr>
      </w:pPr>
      <w:r>
        <w:rPr>
          <w:rFonts w:hint="eastAsia" w:ascii="宋体" w:cs="宋体"/>
          <w:szCs w:val="21"/>
        </w:rPr>
        <w:t>姓    名：</w:t>
      </w:r>
      <w:r>
        <w:rPr>
          <w:rFonts w:hint="eastAsia" w:ascii="宋体" w:cs="宋体"/>
          <w:szCs w:val="21"/>
          <w:u w:val="single"/>
        </w:rPr>
        <w:t>         </w:t>
      </w:r>
      <w:r>
        <w:rPr>
          <w:rFonts w:hint="eastAsia" w:ascii="宋体" w:cs="宋体"/>
          <w:szCs w:val="21"/>
        </w:rPr>
        <w:t>；</w:t>
      </w:r>
    </w:p>
    <w:p w14:paraId="3BA17073">
      <w:pPr>
        <w:snapToGrid w:val="0"/>
        <w:spacing w:line="440" w:lineRule="exact"/>
        <w:ind w:firstLine="420" w:firstLineChars="200"/>
        <w:rPr>
          <w:rFonts w:hint="eastAsia" w:ascii="宋体" w:cs="宋体"/>
          <w:szCs w:val="21"/>
        </w:rPr>
      </w:pPr>
      <w:r>
        <w:rPr>
          <w:rFonts w:hint="eastAsia" w:ascii="宋体" w:cs="宋体"/>
          <w:szCs w:val="21"/>
        </w:rPr>
        <w:t>身份证号：</w:t>
      </w:r>
      <w:r>
        <w:rPr>
          <w:rFonts w:hint="eastAsia" w:ascii="宋体" w:cs="宋体"/>
          <w:szCs w:val="21"/>
          <w:u w:val="single"/>
        </w:rPr>
        <w:t>         </w:t>
      </w:r>
      <w:r>
        <w:rPr>
          <w:rFonts w:hint="eastAsia" w:ascii="宋体" w:cs="宋体"/>
          <w:szCs w:val="21"/>
        </w:rPr>
        <w:t>；</w:t>
      </w:r>
    </w:p>
    <w:p w14:paraId="47204064">
      <w:pPr>
        <w:snapToGrid w:val="0"/>
        <w:spacing w:line="440" w:lineRule="exact"/>
        <w:ind w:firstLine="420" w:firstLineChars="200"/>
        <w:rPr>
          <w:rFonts w:hint="eastAsia" w:ascii="宋体" w:cs="宋体"/>
          <w:szCs w:val="21"/>
        </w:rPr>
      </w:pPr>
      <w:r>
        <w:rPr>
          <w:rFonts w:hint="eastAsia" w:ascii="宋体" w:cs="宋体"/>
          <w:szCs w:val="21"/>
        </w:rPr>
        <w:t>建造师执业资格等级：</w:t>
      </w:r>
      <w:r>
        <w:rPr>
          <w:rFonts w:hint="eastAsia" w:ascii="宋体" w:cs="宋体"/>
          <w:szCs w:val="21"/>
          <w:u w:val="single"/>
        </w:rPr>
        <w:t>   </w:t>
      </w:r>
      <w:r>
        <w:rPr>
          <w:rFonts w:hint="eastAsia" w:ascii="宋体" w:cs="宋体"/>
          <w:szCs w:val="21"/>
        </w:rPr>
        <w:t>；</w:t>
      </w:r>
    </w:p>
    <w:p w14:paraId="60174993">
      <w:pPr>
        <w:snapToGrid w:val="0"/>
        <w:spacing w:line="440" w:lineRule="exact"/>
        <w:ind w:firstLine="420" w:firstLineChars="200"/>
        <w:rPr>
          <w:rFonts w:hint="eastAsia" w:ascii="宋体" w:cs="宋体"/>
          <w:szCs w:val="21"/>
        </w:rPr>
      </w:pPr>
      <w:r>
        <w:rPr>
          <w:rFonts w:hint="eastAsia" w:ascii="宋体" w:cs="宋体"/>
          <w:szCs w:val="21"/>
        </w:rPr>
        <w:t>建造师注册证书号：</w:t>
      </w:r>
      <w:r>
        <w:rPr>
          <w:rFonts w:hint="eastAsia" w:ascii="宋体" w:cs="宋体"/>
          <w:szCs w:val="21"/>
          <w:u w:val="single"/>
        </w:rPr>
        <w:t> </w:t>
      </w:r>
      <w:r>
        <w:rPr>
          <w:rFonts w:hint="eastAsia" w:ascii="宋体" w:cs="宋体"/>
          <w:szCs w:val="21"/>
        </w:rPr>
        <w:t>；</w:t>
      </w:r>
    </w:p>
    <w:p w14:paraId="433B24F4">
      <w:pPr>
        <w:snapToGrid w:val="0"/>
        <w:spacing w:line="440" w:lineRule="exact"/>
        <w:ind w:firstLine="420" w:firstLineChars="200"/>
        <w:rPr>
          <w:rFonts w:hint="eastAsia" w:ascii="宋体" w:cs="宋体"/>
          <w:szCs w:val="21"/>
        </w:rPr>
      </w:pPr>
      <w:r>
        <w:rPr>
          <w:rFonts w:hint="eastAsia" w:ascii="宋体" w:cs="宋体"/>
          <w:szCs w:val="21"/>
        </w:rPr>
        <w:t>建造师执业印章号：</w:t>
      </w:r>
      <w:r>
        <w:rPr>
          <w:rFonts w:hint="eastAsia" w:ascii="宋体" w:cs="宋体"/>
          <w:szCs w:val="21"/>
          <w:u w:val="single"/>
        </w:rPr>
        <w:t> </w:t>
      </w:r>
      <w:r>
        <w:rPr>
          <w:rFonts w:hint="eastAsia" w:ascii="宋体" w:cs="宋体"/>
          <w:szCs w:val="21"/>
        </w:rPr>
        <w:t>；</w:t>
      </w:r>
    </w:p>
    <w:p w14:paraId="61D36B67">
      <w:pPr>
        <w:snapToGrid w:val="0"/>
        <w:spacing w:line="440" w:lineRule="exact"/>
        <w:ind w:firstLine="420" w:firstLineChars="200"/>
        <w:rPr>
          <w:rFonts w:hint="eastAsia" w:ascii="宋体" w:cs="宋体"/>
          <w:szCs w:val="21"/>
        </w:rPr>
      </w:pPr>
      <w:r>
        <w:rPr>
          <w:rFonts w:hint="eastAsia" w:ascii="宋体" w:cs="宋体"/>
          <w:szCs w:val="21"/>
        </w:rPr>
        <w:t>安全生产考核合格证书号：</w:t>
      </w:r>
      <w:r>
        <w:rPr>
          <w:rFonts w:hint="eastAsia" w:ascii="宋体" w:cs="宋体"/>
          <w:szCs w:val="21"/>
          <w:u w:val="single"/>
        </w:rPr>
        <w:t> </w:t>
      </w:r>
      <w:r>
        <w:rPr>
          <w:rFonts w:hint="eastAsia" w:ascii="宋体" w:cs="宋体"/>
          <w:szCs w:val="21"/>
        </w:rPr>
        <w:t>；</w:t>
      </w:r>
    </w:p>
    <w:p w14:paraId="7E9E6C57">
      <w:pPr>
        <w:snapToGrid w:val="0"/>
        <w:spacing w:line="440" w:lineRule="exact"/>
        <w:ind w:firstLine="420" w:firstLineChars="200"/>
        <w:rPr>
          <w:rFonts w:hint="eastAsia" w:ascii="宋体" w:cs="宋体"/>
          <w:szCs w:val="21"/>
        </w:rPr>
      </w:pPr>
      <w:r>
        <w:rPr>
          <w:rFonts w:hint="eastAsia" w:ascii="宋体" w:cs="宋体"/>
          <w:szCs w:val="21"/>
        </w:rPr>
        <w:t>联系电话：</w:t>
      </w:r>
      <w:r>
        <w:rPr>
          <w:rFonts w:hint="eastAsia" w:ascii="宋体" w:cs="宋体"/>
          <w:szCs w:val="21"/>
          <w:u w:val="single"/>
        </w:rPr>
        <w:t>         </w:t>
      </w:r>
      <w:r>
        <w:rPr>
          <w:rFonts w:hint="eastAsia" w:ascii="宋体" w:cs="宋体"/>
          <w:szCs w:val="21"/>
        </w:rPr>
        <w:t>；</w:t>
      </w:r>
    </w:p>
    <w:p w14:paraId="3F583591">
      <w:pPr>
        <w:snapToGrid w:val="0"/>
        <w:spacing w:line="440" w:lineRule="exact"/>
        <w:ind w:firstLine="420" w:firstLineChars="200"/>
        <w:rPr>
          <w:rFonts w:hint="eastAsia" w:ascii="宋体" w:cs="宋体"/>
          <w:szCs w:val="21"/>
        </w:rPr>
      </w:pPr>
      <w:r>
        <w:rPr>
          <w:rFonts w:hint="eastAsia" w:ascii="宋体" w:cs="宋体"/>
          <w:szCs w:val="21"/>
        </w:rPr>
        <w:t>电子信箱：</w:t>
      </w:r>
      <w:r>
        <w:rPr>
          <w:rFonts w:hint="eastAsia" w:ascii="宋体" w:cs="宋体"/>
          <w:szCs w:val="21"/>
          <w:u w:val="single"/>
        </w:rPr>
        <w:t>         </w:t>
      </w:r>
      <w:r>
        <w:rPr>
          <w:rFonts w:hint="eastAsia" w:ascii="宋体" w:cs="宋体"/>
          <w:szCs w:val="21"/>
        </w:rPr>
        <w:t>；</w:t>
      </w:r>
    </w:p>
    <w:p w14:paraId="1099BF5D">
      <w:pPr>
        <w:snapToGrid w:val="0"/>
        <w:spacing w:line="440" w:lineRule="exact"/>
        <w:ind w:firstLine="420" w:firstLineChars="200"/>
        <w:rPr>
          <w:rFonts w:hint="eastAsia" w:ascii="宋体" w:cs="宋体"/>
          <w:szCs w:val="21"/>
        </w:rPr>
      </w:pPr>
      <w:r>
        <w:rPr>
          <w:rFonts w:hint="eastAsia" w:ascii="宋体" w:cs="宋体"/>
          <w:szCs w:val="21"/>
        </w:rPr>
        <w:t>通信地址：</w:t>
      </w:r>
      <w:r>
        <w:rPr>
          <w:rFonts w:hint="eastAsia" w:ascii="宋体" w:cs="宋体"/>
          <w:szCs w:val="21"/>
          <w:u w:val="single"/>
        </w:rPr>
        <w:t>         </w:t>
      </w:r>
      <w:r>
        <w:rPr>
          <w:rFonts w:hint="eastAsia" w:ascii="宋体" w:cs="宋体"/>
          <w:szCs w:val="21"/>
        </w:rPr>
        <w:t>；</w:t>
      </w:r>
    </w:p>
    <w:p w14:paraId="037BD6D9">
      <w:pPr>
        <w:snapToGrid w:val="0"/>
        <w:spacing w:line="440" w:lineRule="exact"/>
        <w:ind w:firstLine="420" w:firstLineChars="200"/>
        <w:rPr>
          <w:rFonts w:hint="eastAsia" w:ascii="宋体" w:cs="宋体"/>
          <w:szCs w:val="21"/>
        </w:rPr>
      </w:pPr>
      <w:r>
        <w:rPr>
          <w:rFonts w:hint="eastAsia" w:ascii="宋体" w:cs="宋体"/>
          <w:szCs w:val="21"/>
        </w:rPr>
        <w:t>承包人对项目负责人的授权范围如下：</w:t>
      </w:r>
      <w:r>
        <w:rPr>
          <w:rFonts w:hint="eastAsia" w:ascii="宋体" w:cs="宋体"/>
          <w:szCs w:val="21"/>
          <w:u w:val="single"/>
        </w:rPr>
        <w:t xml:space="preserve">由承包人明确授权范围  </w:t>
      </w:r>
      <w:r>
        <w:rPr>
          <w:rFonts w:hint="eastAsia" w:ascii="宋体" w:cs="宋体"/>
          <w:szCs w:val="21"/>
        </w:rPr>
        <w:t>。</w:t>
      </w:r>
    </w:p>
    <w:p w14:paraId="0B02DEDD">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kern w:val="0"/>
          <w:szCs w:val="21"/>
        </w:rPr>
        <w:t>关于项目负责人每月在施工现场的时间要求：</w:t>
      </w:r>
      <w:r>
        <w:rPr>
          <w:rFonts w:hint="eastAsia" w:ascii="宋体" w:cs="宋体"/>
          <w:szCs w:val="21"/>
          <w:u w:val="single"/>
        </w:rPr>
        <w:t>项目经理每月在岗</w:t>
      </w:r>
      <w:r>
        <w:rPr>
          <w:rFonts w:hint="eastAsia" w:ascii="宋体" w:cs="宋体"/>
          <w:szCs w:val="21"/>
          <w:highlight w:val="none"/>
          <w:u w:val="single"/>
        </w:rPr>
        <w:t>时间</w:t>
      </w:r>
      <w:r>
        <w:rPr>
          <w:rFonts w:hint="eastAsia" w:ascii="宋体" w:cs="宋体"/>
          <w:color w:val="auto"/>
          <w:szCs w:val="21"/>
          <w:highlight w:val="none"/>
          <w:u w:val="single"/>
        </w:rPr>
        <w:t>不得少于2</w:t>
      </w:r>
      <w:r>
        <w:rPr>
          <w:rFonts w:hint="eastAsia" w:ascii="宋体" w:cs="宋体"/>
          <w:color w:val="auto"/>
          <w:szCs w:val="21"/>
          <w:highlight w:val="none"/>
          <w:u w:val="single"/>
          <w:lang w:val="en-US" w:eastAsia="zh-CN"/>
        </w:rPr>
        <w:t>2</w:t>
      </w:r>
      <w:r>
        <w:rPr>
          <w:rFonts w:hint="eastAsia" w:ascii="宋体" w:cs="宋体"/>
          <w:color w:val="auto"/>
          <w:szCs w:val="21"/>
          <w:highlight w:val="none"/>
          <w:u w:val="single"/>
        </w:rPr>
        <w:t>天，</w:t>
      </w:r>
      <w:r>
        <w:rPr>
          <w:rFonts w:hint="eastAsia" w:ascii="宋体" w:hAnsi="宋体" w:cs="宋体"/>
          <w:color w:val="000000"/>
          <w:szCs w:val="21"/>
          <w:highlight w:val="none"/>
          <w:u w:val="single"/>
        </w:rPr>
        <w:t>每天在岗工作时间不得少于</w:t>
      </w:r>
      <w:r>
        <w:rPr>
          <w:rFonts w:hint="eastAsia" w:ascii="宋体" w:hAnsi="宋体" w:cs="宋体"/>
          <w:color w:val="000000"/>
          <w:szCs w:val="21"/>
          <w:highlight w:val="none"/>
          <w:u w:val="single"/>
          <w:lang w:val="en-US" w:eastAsia="zh-CN"/>
        </w:rPr>
        <w:t>8</w:t>
      </w:r>
      <w:r>
        <w:rPr>
          <w:rFonts w:hint="eastAsia" w:ascii="宋体" w:hAnsi="宋体" w:cs="宋体"/>
          <w:color w:val="000000"/>
          <w:szCs w:val="21"/>
          <w:highlight w:val="none"/>
          <w:u w:val="single"/>
        </w:rPr>
        <w:t>小时</w:t>
      </w:r>
      <w:r>
        <w:rPr>
          <w:rFonts w:hint="eastAsia" w:ascii="宋体" w:hAnsi="宋体" w:cs="宋体"/>
          <w:color w:val="000000"/>
          <w:szCs w:val="21"/>
          <w:highlight w:val="none"/>
          <w:u w:val="single"/>
          <w:lang w:eastAsia="zh-CN"/>
        </w:rPr>
        <w:t>；</w:t>
      </w:r>
      <w:r>
        <w:rPr>
          <w:rFonts w:hint="eastAsia" w:ascii="宋体" w:cs="宋体"/>
          <w:color w:val="auto"/>
          <w:szCs w:val="21"/>
          <w:highlight w:val="none"/>
          <w:u w:val="single"/>
        </w:rPr>
        <w:t>施工现场其他管理人员每月在岗时间不得少于2</w:t>
      </w:r>
      <w:r>
        <w:rPr>
          <w:rFonts w:hint="eastAsia" w:ascii="宋体" w:cs="宋体"/>
          <w:color w:val="auto"/>
          <w:szCs w:val="21"/>
          <w:highlight w:val="none"/>
          <w:u w:val="single"/>
          <w:lang w:val="en-US" w:eastAsia="zh-CN"/>
        </w:rPr>
        <w:t>2</w:t>
      </w:r>
      <w:r>
        <w:rPr>
          <w:rFonts w:hint="eastAsia" w:ascii="宋体" w:cs="宋体"/>
          <w:color w:val="auto"/>
          <w:szCs w:val="21"/>
          <w:highlight w:val="none"/>
          <w:u w:val="single"/>
        </w:rPr>
        <w:t>天</w:t>
      </w:r>
      <w:r>
        <w:rPr>
          <w:rFonts w:hint="eastAsia" w:ascii="宋体" w:cs="宋体"/>
          <w:color w:val="auto"/>
          <w:szCs w:val="21"/>
          <w:highlight w:val="none"/>
          <w:u w:val="single"/>
          <w:lang w:eastAsia="zh-CN"/>
        </w:rPr>
        <w:t>，</w:t>
      </w:r>
      <w:r>
        <w:rPr>
          <w:rFonts w:hint="eastAsia" w:ascii="宋体" w:hAnsi="宋体" w:cs="宋体"/>
          <w:color w:val="000000"/>
          <w:szCs w:val="21"/>
          <w:highlight w:val="none"/>
          <w:u w:val="single"/>
        </w:rPr>
        <w:t>每天在岗工作时间不得少于</w:t>
      </w:r>
      <w:r>
        <w:rPr>
          <w:rFonts w:hint="eastAsia" w:ascii="宋体" w:hAnsi="宋体" w:cs="宋体"/>
          <w:color w:val="000000"/>
          <w:szCs w:val="21"/>
          <w:highlight w:val="none"/>
          <w:u w:val="single"/>
          <w:lang w:val="en-US" w:eastAsia="zh-CN"/>
        </w:rPr>
        <w:t>8</w:t>
      </w:r>
      <w:r>
        <w:rPr>
          <w:rFonts w:hint="eastAsia" w:ascii="宋体" w:hAnsi="宋体" w:cs="宋体"/>
          <w:color w:val="000000"/>
          <w:szCs w:val="21"/>
          <w:highlight w:val="none"/>
          <w:u w:val="single"/>
        </w:rPr>
        <w:t>小时</w:t>
      </w:r>
      <w:r>
        <w:rPr>
          <w:rFonts w:hint="eastAsia" w:ascii="宋体" w:cs="宋体"/>
          <w:color w:val="auto"/>
          <w:szCs w:val="21"/>
          <w:highlight w:val="none"/>
          <w:u w:val="single"/>
        </w:rPr>
        <w:t>。</w:t>
      </w:r>
    </w:p>
    <w:p w14:paraId="5C830A13">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承包人未提交劳动合同，以及没有为建造师缴纳社会保险证明的违约责任：</w:t>
      </w:r>
      <w:r>
        <w:rPr>
          <w:rFonts w:hint="eastAsia" w:ascii="宋体" w:cs="宋体"/>
          <w:kern w:val="0"/>
          <w:szCs w:val="21"/>
          <w:highlight w:val="none"/>
          <w:u w:val="single"/>
        </w:rPr>
        <w:t xml:space="preserve">  </w:t>
      </w:r>
      <w:r>
        <w:rPr>
          <w:rFonts w:hint="eastAsia" w:ascii="宋体" w:cs="宋体"/>
          <w:szCs w:val="21"/>
          <w:highlight w:val="none"/>
          <w:u w:val="single"/>
        </w:rPr>
        <w:t>签订本合同前提供，资格审查时已提供的，不再重复提供</w:t>
      </w:r>
      <w:r>
        <w:rPr>
          <w:rFonts w:hint="eastAsia" w:ascii="宋体" w:cs="宋体"/>
          <w:szCs w:val="21"/>
          <w:highlight w:val="none"/>
        </w:rPr>
        <w:t>。</w:t>
      </w:r>
    </w:p>
    <w:p w14:paraId="4FEA17DE">
      <w:pPr>
        <w:snapToGrid w:val="0"/>
        <w:spacing w:line="440" w:lineRule="exact"/>
        <w:ind w:firstLine="420" w:firstLineChars="200"/>
        <w:rPr>
          <w:rFonts w:hint="eastAsia" w:ascii="宋体" w:cs="宋体"/>
          <w:szCs w:val="21"/>
          <w:u w:val="single"/>
        </w:rPr>
      </w:pPr>
      <w:r>
        <w:rPr>
          <w:rFonts w:hint="eastAsia" w:ascii="宋体" w:cs="宋体"/>
          <w:kern w:val="0"/>
          <w:szCs w:val="21"/>
          <w:highlight w:val="none"/>
        </w:rPr>
        <w:t>项目负责人未经批准，擅自离开施工现场的违约责任：</w:t>
      </w:r>
      <w:r>
        <w:rPr>
          <w:rFonts w:hint="eastAsia" w:ascii="宋体" w:cs="宋体"/>
          <w:szCs w:val="21"/>
          <w:highlight w:val="none"/>
          <w:u w:val="single"/>
        </w:rPr>
        <w:t>未按规定在岗履责的，对项目经理和技术负责人处罚5000元/人·天的违约金，对施工现场其他管理人员处罚1000元/人·天的违约金</w:t>
      </w:r>
      <w:r>
        <w:rPr>
          <w:rFonts w:hint="eastAsia" w:ascii="宋体" w:cs="宋体"/>
          <w:szCs w:val="21"/>
          <w:u w:val="single"/>
        </w:rPr>
        <w:t>。项目部关键岗位人员离岗必须向发包人项目组长履行请假手续，若被我处和相关部门日常检查和随机抽查中发现不在岗的，又未履行请假手续的，处罚5000元/人·次的违约金。</w:t>
      </w:r>
    </w:p>
    <w:p w14:paraId="5B2257F3">
      <w:pPr>
        <w:snapToGrid w:val="0"/>
        <w:spacing w:line="440" w:lineRule="exact"/>
        <w:ind w:firstLine="420" w:firstLineChars="200"/>
        <w:rPr>
          <w:rFonts w:hint="eastAsia" w:ascii="宋体" w:cs="宋体"/>
          <w:szCs w:val="21"/>
        </w:rPr>
      </w:pPr>
      <w:r>
        <w:rPr>
          <w:rFonts w:hint="eastAsia" w:ascii="宋体" w:cs="宋体"/>
          <w:szCs w:val="21"/>
        </w:rPr>
        <w:t>3.2.3 承包人擅自更换项目负责人的违约责任：</w:t>
      </w:r>
      <w:r>
        <w:rPr>
          <w:rFonts w:hint="eastAsia" w:ascii="宋体" w:cs="宋体"/>
          <w:szCs w:val="21"/>
          <w:u w:val="single"/>
        </w:rPr>
        <w:t>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w:t>
      </w:r>
      <w:r>
        <w:rPr>
          <w:rFonts w:hint="eastAsia" w:ascii="宋体" w:cs="宋体"/>
          <w:szCs w:val="21"/>
          <w:highlight w:val="none"/>
          <w:u w:val="single"/>
        </w:rPr>
        <w:t>，须缴纳10万元违约金，否</w:t>
      </w:r>
      <w:r>
        <w:rPr>
          <w:rFonts w:hint="eastAsia" w:ascii="宋体" w:cs="宋体"/>
          <w:szCs w:val="21"/>
          <w:u w:val="single"/>
        </w:rPr>
        <w:t>则不得变更。变更后的项目负责人必须符合本项目招标文件和响应承诺配备的同等条件人员，并按照滁州市有关规定履行变更审批程序。</w:t>
      </w:r>
    </w:p>
    <w:p w14:paraId="3B022719">
      <w:pPr>
        <w:snapToGrid w:val="0"/>
        <w:spacing w:line="440" w:lineRule="exact"/>
        <w:ind w:firstLine="420" w:firstLineChars="200"/>
        <w:rPr>
          <w:rFonts w:hint="eastAsia" w:ascii="宋体" w:cs="宋体"/>
          <w:szCs w:val="21"/>
          <w:u w:val="single"/>
        </w:rPr>
      </w:pPr>
      <w:r>
        <w:rPr>
          <w:rFonts w:hint="eastAsia" w:ascii="宋体" w:cs="宋体"/>
          <w:szCs w:val="21"/>
        </w:rPr>
        <w:t>3.2.4 承包人无正当理由拒绝更换项目经理的违约责任：</w:t>
      </w:r>
      <w:r>
        <w:rPr>
          <w:rFonts w:hint="eastAsia" w:ascii="宋体" w:cs="宋体"/>
          <w:szCs w:val="21"/>
          <w:u w:val="single"/>
        </w:rPr>
        <w:t>发包人将组织对项目经理进行业务能力考核，对未按响应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黑名单”处罚。</w:t>
      </w:r>
    </w:p>
    <w:p w14:paraId="6E545C3E">
      <w:pPr>
        <w:snapToGrid w:val="0"/>
        <w:spacing w:line="440" w:lineRule="exact"/>
        <w:ind w:firstLine="420" w:firstLineChars="200"/>
        <w:rPr>
          <w:rFonts w:hint="eastAsia" w:ascii="宋体" w:cs="宋体"/>
          <w:szCs w:val="21"/>
        </w:rPr>
      </w:pPr>
      <w:r>
        <w:rPr>
          <w:rFonts w:hint="eastAsia" w:ascii="宋体" w:cs="宋体"/>
          <w:szCs w:val="21"/>
        </w:rPr>
        <w:t>3.3 承包人人员</w:t>
      </w:r>
    </w:p>
    <w:p w14:paraId="255F90F6">
      <w:pPr>
        <w:snapToGrid w:val="0"/>
        <w:spacing w:line="440" w:lineRule="exact"/>
        <w:ind w:firstLine="420" w:firstLineChars="200"/>
        <w:rPr>
          <w:rFonts w:hint="eastAsia" w:ascii="宋体" w:cs="宋体"/>
          <w:szCs w:val="21"/>
        </w:rPr>
      </w:pPr>
      <w:r>
        <w:rPr>
          <w:rFonts w:hint="eastAsia" w:ascii="宋体" w:cs="宋体"/>
          <w:szCs w:val="21"/>
        </w:rPr>
        <w:t>3.3.1 承包人提交项目管理机构及施工现场管理人员安排报告的期限：</w:t>
      </w:r>
      <w:r>
        <w:rPr>
          <w:rFonts w:hint="eastAsia" w:ascii="宋体" w:cs="宋体"/>
          <w:szCs w:val="21"/>
          <w:u w:val="single"/>
        </w:rPr>
        <w:t>承包人应在</w:t>
      </w:r>
      <w:r>
        <w:rPr>
          <w:rFonts w:hint="eastAsia"/>
          <w:u w:val="single"/>
        </w:rPr>
        <w:t>合同签订</w:t>
      </w:r>
      <w:r>
        <w:rPr>
          <w:rFonts w:hint="eastAsia" w:ascii="宋体" w:cs="宋体"/>
          <w:szCs w:val="21"/>
          <w:u w:val="single"/>
        </w:rPr>
        <w:t>后7日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ABFF03D">
      <w:pPr>
        <w:snapToGrid w:val="0"/>
        <w:spacing w:line="440" w:lineRule="exact"/>
        <w:ind w:firstLine="420" w:firstLineChars="200"/>
        <w:rPr>
          <w:rFonts w:hint="eastAsia" w:ascii="宋体" w:cs="宋体"/>
          <w:szCs w:val="21"/>
          <w:u w:val="single"/>
        </w:rPr>
      </w:pPr>
      <w:r>
        <w:rPr>
          <w:rFonts w:hint="eastAsia" w:ascii="宋体" w:cs="宋体"/>
          <w:szCs w:val="21"/>
        </w:rPr>
        <w:t>3.3.3 承包人无正当理由拒绝撤换主要施工管理人员的违约责任：</w:t>
      </w:r>
      <w:r>
        <w:rPr>
          <w:rFonts w:hint="eastAsia" w:ascii="宋体" w:cs="宋体"/>
          <w:szCs w:val="21"/>
          <w:u w:val="single"/>
        </w:rPr>
        <w:t xml:space="preserve"> 发包人将组织对人员进行业务能力考核，对未按响应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黑名单”处罚。</w:t>
      </w:r>
    </w:p>
    <w:p w14:paraId="4F949F68">
      <w:pPr>
        <w:snapToGrid w:val="0"/>
        <w:spacing w:line="440" w:lineRule="exact"/>
        <w:ind w:firstLine="420" w:firstLineChars="200"/>
        <w:rPr>
          <w:rFonts w:hint="eastAsia" w:ascii="宋体" w:cs="宋体"/>
          <w:szCs w:val="21"/>
          <w:u w:val="single"/>
        </w:rPr>
      </w:pPr>
      <w:r>
        <w:rPr>
          <w:rFonts w:hint="eastAsia" w:ascii="宋体" w:cs="宋体"/>
          <w:szCs w:val="21"/>
        </w:rPr>
        <w:t>3.3.4 承包人主要施工管理人员离开施工现场的批准要求：</w:t>
      </w:r>
      <w:r>
        <w:rPr>
          <w:rFonts w:hint="eastAsia" w:ascii="宋体" w:cs="宋体"/>
          <w:szCs w:val="21"/>
          <w:u w:val="single"/>
        </w:rPr>
        <w:t>未按规定在岗履责的，对项目经理和技术负责人处罚5000元/人·天的违约金，对施工现场其他管理人员处罚1000元/人·天的违约金。项目部关键岗位人员离岗必须向发包人项目组长履行请假手续，若被我处和相关部门日常检查和随机抽查中发现不在岗的，又未履行请假手续的，处罚5000元/人·次的违约金。</w:t>
      </w:r>
    </w:p>
    <w:p w14:paraId="4EEE0B3C">
      <w:pPr>
        <w:snapToGrid w:val="0"/>
        <w:spacing w:line="440" w:lineRule="exact"/>
        <w:ind w:firstLine="420" w:firstLineChars="200"/>
        <w:rPr>
          <w:rFonts w:hint="eastAsia" w:ascii="宋体" w:cs="宋体"/>
          <w:szCs w:val="21"/>
          <w:u w:val="single"/>
        </w:rPr>
      </w:pPr>
      <w:r>
        <w:rPr>
          <w:rFonts w:hint="eastAsia" w:ascii="宋体" w:cs="宋体"/>
          <w:szCs w:val="21"/>
        </w:rPr>
        <w:t>3.3.5承包人擅自更换主要施工管理人员的违约责任：按照</w:t>
      </w:r>
      <w:r>
        <w:rPr>
          <w:rFonts w:hint="eastAsia" w:ascii="宋体" w:cs="宋体"/>
          <w:szCs w:val="21"/>
          <w:u w:val="single"/>
        </w:rPr>
        <w:t>未按规定在岗履责进行处罚。</w:t>
      </w:r>
    </w:p>
    <w:p w14:paraId="36036898">
      <w:pPr>
        <w:snapToGrid w:val="0"/>
        <w:spacing w:line="440" w:lineRule="exact"/>
        <w:ind w:firstLine="420" w:firstLineChars="200"/>
        <w:rPr>
          <w:rFonts w:hint="eastAsia" w:ascii="宋体" w:cs="宋体"/>
          <w:szCs w:val="21"/>
        </w:rPr>
      </w:pPr>
      <w:r>
        <w:rPr>
          <w:rFonts w:hint="eastAsia" w:ascii="宋体" w:cs="宋体"/>
          <w:szCs w:val="21"/>
        </w:rPr>
        <w:t>3.5 分包</w:t>
      </w:r>
    </w:p>
    <w:p w14:paraId="75D5498A">
      <w:pPr>
        <w:snapToGrid w:val="0"/>
        <w:spacing w:line="440" w:lineRule="exact"/>
        <w:ind w:firstLine="420" w:firstLineChars="200"/>
        <w:rPr>
          <w:rFonts w:hint="eastAsia" w:ascii="宋体" w:cs="宋体"/>
          <w:szCs w:val="21"/>
        </w:rPr>
      </w:pPr>
      <w:r>
        <w:rPr>
          <w:rFonts w:hint="eastAsia" w:ascii="宋体" w:cs="宋体"/>
          <w:szCs w:val="21"/>
        </w:rPr>
        <w:t>3.5.1 分包的一般约定</w:t>
      </w:r>
    </w:p>
    <w:p w14:paraId="179597DD">
      <w:pPr>
        <w:snapToGrid w:val="0"/>
        <w:spacing w:line="440" w:lineRule="exact"/>
        <w:ind w:firstLine="420" w:firstLineChars="200"/>
        <w:jc w:val="left"/>
        <w:rPr>
          <w:rFonts w:hint="eastAsia" w:ascii="宋体" w:cs="宋体"/>
          <w:szCs w:val="21"/>
          <w:u w:val="single"/>
        </w:rPr>
      </w:pPr>
      <w:r>
        <w:rPr>
          <w:rFonts w:hint="eastAsia" w:ascii="宋体" w:cs="宋体"/>
          <w:szCs w:val="21"/>
        </w:rPr>
        <w:t>禁止分包的工程包括：</w:t>
      </w:r>
      <w:r>
        <w:rPr>
          <w:rFonts w:hint="eastAsia" w:ascii="宋体" w:cs="宋体"/>
          <w:szCs w:val="21"/>
          <w:u w:val="single"/>
        </w:rPr>
        <w:t>承包人不得将其承包的全部工程转包给第三人，或将其承包的全部工程肢解后以分包的名义转包给第三人。承包人不得将工程主体结构、关键性工作及合同条款中禁止分包的专业工程分包给第三人，主体结构、关键性工作的范围由合同当事人按照法律规定在专用合同条款中予以明确。</w:t>
      </w:r>
    </w:p>
    <w:p w14:paraId="1BD0FF18">
      <w:pPr>
        <w:snapToGrid w:val="0"/>
        <w:spacing w:line="440" w:lineRule="exact"/>
        <w:ind w:firstLine="420" w:firstLineChars="200"/>
        <w:jc w:val="left"/>
        <w:rPr>
          <w:rFonts w:hint="eastAsia" w:ascii="宋体" w:cs="宋体"/>
          <w:szCs w:val="21"/>
          <w:u w:val="single"/>
        </w:rPr>
      </w:pPr>
      <w:r>
        <w:rPr>
          <w:rFonts w:hint="eastAsia" w:ascii="宋体" w:cs="宋体"/>
          <w:szCs w:val="21"/>
        </w:rPr>
        <w:t>主体结构、关键性工作的范围：</w:t>
      </w:r>
      <w:r>
        <w:rPr>
          <w:rFonts w:hint="eastAsia" w:ascii="宋体" w:cs="宋体"/>
          <w:szCs w:val="21"/>
          <w:u w:val="single"/>
        </w:rPr>
        <w:t>房建、水利工程为主体结构；市政工程为道路基层、面层；桥梁为主体结构；园林景观工程为绿化采购、栽植、养护；等等</w:t>
      </w:r>
      <w:r>
        <w:rPr>
          <w:rFonts w:hint="eastAsia" w:ascii="宋体" w:cs="宋体"/>
          <w:szCs w:val="21"/>
        </w:rPr>
        <w:t>。</w:t>
      </w:r>
    </w:p>
    <w:p w14:paraId="604036AC">
      <w:pPr>
        <w:snapToGrid w:val="0"/>
        <w:spacing w:line="440" w:lineRule="exact"/>
        <w:ind w:firstLine="420" w:firstLineChars="200"/>
        <w:rPr>
          <w:rFonts w:hint="eastAsia" w:ascii="宋体" w:cs="宋体"/>
          <w:szCs w:val="21"/>
        </w:rPr>
      </w:pPr>
      <w:r>
        <w:rPr>
          <w:rFonts w:hint="eastAsia" w:ascii="宋体" w:cs="宋体"/>
          <w:szCs w:val="21"/>
        </w:rPr>
        <w:t>3.5.2分包的确定</w:t>
      </w:r>
    </w:p>
    <w:p w14:paraId="61D1440D">
      <w:pPr>
        <w:snapToGrid w:val="0"/>
        <w:spacing w:line="440" w:lineRule="exact"/>
        <w:ind w:firstLine="420" w:firstLineChars="200"/>
        <w:rPr>
          <w:rFonts w:hint="eastAsia" w:ascii="宋体" w:cs="宋体"/>
          <w:szCs w:val="21"/>
          <w:u w:val="single"/>
        </w:rPr>
      </w:pPr>
      <w:r>
        <w:rPr>
          <w:rFonts w:hint="eastAsia" w:ascii="宋体" w:cs="宋体"/>
          <w:szCs w:val="21"/>
        </w:rPr>
        <w:t>允许分包的专业工程包括：</w:t>
      </w:r>
      <w:r>
        <w:rPr>
          <w:rFonts w:hint="eastAsia" w:ascii="宋体" w:cs="宋体"/>
          <w:szCs w:val="21"/>
          <w:u w:val="single"/>
        </w:rPr>
        <w:t>主体结构、关键性工作的范围以外的专业工程。 承包人应按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F098825">
      <w:pPr>
        <w:snapToGrid w:val="0"/>
        <w:spacing w:line="440" w:lineRule="exact"/>
        <w:ind w:firstLine="420" w:firstLineChars="200"/>
        <w:rPr>
          <w:rFonts w:hint="eastAsia" w:ascii="宋体" w:cs="宋体"/>
          <w:szCs w:val="21"/>
          <w:u w:val="single"/>
        </w:rPr>
      </w:pPr>
      <w:r>
        <w:rPr>
          <w:rFonts w:hint="eastAsia" w:ascii="宋体" w:cs="宋体"/>
          <w:szCs w:val="21"/>
        </w:rPr>
        <w:t>其他关于分包的约定：</w:t>
      </w:r>
      <w:r>
        <w:rPr>
          <w:rFonts w:hint="eastAsia" w:ascii="宋体" w:cs="宋体"/>
          <w:szCs w:val="21"/>
          <w:u w:val="single"/>
        </w:rPr>
        <w:t xml:space="preserve">   承包人不得以劳务分包的名义转包或违法分包工程。</w:t>
      </w:r>
      <w:r>
        <w:rPr>
          <w:rFonts w:hint="eastAsia" w:ascii="宋体" w:hAnsi="宋体" w:cs="宋体"/>
          <w:b/>
          <w:bCs/>
          <w:szCs w:val="21"/>
          <w:u w:val="single"/>
        </w:rPr>
        <w:t>发包人在施工进场第一个月或施工过程中发现承包人转包、挂靠等行为的，发包人立即解除合同，清退出场，承包人已完合格工程量按合同价款60%进行结算。</w:t>
      </w:r>
    </w:p>
    <w:p w14:paraId="6D539E9D">
      <w:pPr>
        <w:snapToGrid w:val="0"/>
        <w:spacing w:line="440" w:lineRule="exact"/>
        <w:ind w:firstLine="420" w:firstLineChars="200"/>
        <w:rPr>
          <w:rFonts w:hint="eastAsia" w:ascii="宋体" w:cs="宋体"/>
          <w:szCs w:val="21"/>
        </w:rPr>
      </w:pPr>
      <w:r>
        <w:rPr>
          <w:rFonts w:hint="eastAsia" w:ascii="宋体" w:cs="宋体"/>
          <w:szCs w:val="21"/>
        </w:rPr>
        <w:t>3.5.4 分包合同价款</w:t>
      </w:r>
    </w:p>
    <w:p w14:paraId="2AB133F9">
      <w:pPr>
        <w:snapToGrid w:val="0"/>
        <w:spacing w:line="440" w:lineRule="exact"/>
        <w:ind w:firstLine="420" w:firstLineChars="200"/>
        <w:rPr>
          <w:rFonts w:hint="eastAsia" w:ascii="宋体" w:cs="宋体"/>
          <w:szCs w:val="21"/>
          <w:u w:val="single"/>
        </w:rPr>
      </w:pPr>
      <w:r>
        <w:rPr>
          <w:rFonts w:hint="eastAsia" w:ascii="宋体" w:cs="宋体"/>
          <w:szCs w:val="21"/>
        </w:rPr>
        <w:t>关于分包合同价款支付的约定：</w:t>
      </w:r>
      <w:r>
        <w:rPr>
          <w:rFonts w:hint="eastAsia" w:ascii="宋体" w:cs="宋体"/>
          <w:szCs w:val="21"/>
          <w:u w:val="single"/>
        </w:rPr>
        <w:t>（1）除本项第（2）目约定的情况外，分包合同价款由承包人与分包人结算，未经承包人同意，发包人不得向分包人支付分包工程价款；（2）生效法律文书要求发包人向分包人支付分包合同价款的，发包人有权从应付承包人工程款中扣除该部分款项</w:t>
      </w:r>
      <w:r>
        <w:rPr>
          <w:rFonts w:hint="eastAsia" w:ascii="宋体" w:cs="宋体"/>
          <w:szCs w:val="21"/>
        </w:rPr>
        <w:t>。</w:t>
      </w:r>
    </w:p>
    <w:p w14:paraId="3890FC7F">
      <w:pPr>
        <w:snapToGrid w:val="0"/>
        <w:spacing w:line="440" w:lineRule="exact"/>
        <w:ind w:firstLine="420" w:firstLineChars="200"/>
        <w:rPr>
          <w:rFonts w:hint="eastAsia" w:ascii="宋体" w:cs="宋体"/>
          <w:szCs w:val="21"/>
        </w:rPr>
      </w:pPr>
      <w:r>
        <w:rPr>
          <w:rFonts w:hint="eastAsia" w:ascii="宋体" w:cs="宋体"/>
          <w:szCs w:val="21"/>
        </w:rPr>
        <w:t>3.6 工程照管与成品、半成品保护</w:t>
      </w:r>
    </w:p>
    <w:p w14:paraId="2F3165FC">
      <w:pPr>
        <w:snapToGrid w:val="0"/>
        <w:spacing w:line="440" w:lineRule="exact"/>
        <w:ind w:firstLine="420" w:firstLineChars="200"/>
        <w:rPr>
          <w:rFonts w:hint="eastAsia" w:ascii="宋体" w:cs="宋体"/>
          <w:kern w:val="0"/>
          <w:szCs w:val="21"/>
          <w:u w:val="single"/>
        </w:rPr>
      </w:pPr>
      <w:r>
        <w:rPr>
          <w:rFonts w:hint="eastAsia" w:ascii="宋体" w:cs="宋体"/>
          <w:kern w:val="0"/>
          <w:szCs w:val="21"/>
        </w:rPr>
        <w:t>承包人负责照管工程及工程相关的材料、工程设备的起始时间：</w:t>
      </w:r>
      <w:r>
        <w:rPr>
          <w:rFonts w:hint="eastAsia" w:ascii="宋体" w:cs="宋体"/>
          <w:kern w:val="0"/>
          <w:szCs w:val="21"/>
          <w:u w:val="single"/>
        </w:rPr>
        <w:t>（1）自发包人向承包人移交施工现场之日起，承包人应负责照管工程及工程相关的材料、工程设备，直到办理移交手续之日止。（2）在承包人负责照管期间，因承包人原因造成工程、材料、工程设备损坏的，由承包人负责修复或更换，并承担由此增加的费用和（或）延误的工期。（3）对合同内分期完成的成品和半成品，在办理移交手续前，由承包人承担保护责任。因承包人原因造成成品或半成品损坏的，由承包人负责修复或更换，并承担由此增加的费用和（或）延误的工期。</w:t>
      </w:r>
    </w:p>
    <w:p w14:paraId="7F366C5E">
      <w:pPr>
        <w:tabs>
          <w:tab w:val="left" w:pos="7740"/>
        </w:tabs>
        <w:snapToGrid w:val="0"/>
        <w:spacing w:line="440" w:lineRule="exact"/>
        <w:ind w:firstLine="420" w:firstLineChars="200"/>
        <w:rPr>
          <w:rFonts w:hint="eastAsia" w:ascii="宋体" w:cs="宋体"/>
          <w:szCs w:val="21"/>
        </w:rPr>
      </w:pPr>
      <w:r>
        <w:rPr>
          <w:rFonts w:hint="eastAsia" w:ascii="宋体" w:cs="宋体"/>
          <w:szCs w:val="21"/>
        </w:rPr>
        <w:t>3.7 履约担保</w:t>
      </w:r>
    </w:p>
    <w:p w14:paraId="214B02E2">
      <w:pPr>
        <w:tabs>
          <w:tab w:val="left" w:pos="7740"/>
        </w:tabs>
        <w:snapToGrid w:val="0"/>
        <w:spacing w:line="440" w:lineRule="exact"/>
        <w:ind w:firstLine="420" w:firstLineChars="200"/>
        <w:rPr>
          <w:rFonts w:hint="eastAsia" w:ascii="宋体" w:cs="宋体"/>
          <w:szCs w:val="21"/>
          <w:highlight w:val="none"/>
        </w:rPr>
      </w:pPr>
      <w:r>
        <w:rPr>
          <w:rFonts w:hint="eastAsia" w:ascii="宋体" w:cs="宋体"/>
          <w:szCs w:val="21"/>
        </w:rPr>
        <w:t>承</w:t>
      </w:r>
      <w:r>
        <w:rPr>
          <w:rFonts w:hint="eastAsia" w:ascii="宋体" w:cs="宋体"/>
          <w:szCs w:val="21"/>
          <w:highlight w:val="none"/>
        </w:rPr>
        <w:t>包人是否提供履约担保：</w:t>
      </w:r>
      <w:r>
        <w:rPr>
          <w:rFonts w:hint="eastAsia" w:ascii="宋体" w:cs="宋体"/>
          <w:szCs w:val="21"/>
          <w:highlight w:val="none"/>
          <w:u w:val="single"/>
        </w:rPr>
        <w:t xml:space="preserve"> </w:t>
      </w:r>
      <w:r>
        <w:rPr>
          <w:rFonts w:hint="eastAsia" w:ascii="宋体" w:hAnsi="宋体" w:cs="宋体"/>
          <w:color w:val="000000"/>
          <w:szCs w:val="21"/>
          <w:highlight w:val="none"/>
          <w:u w:val="single"/>
        </w:rPr>
        <w:t>提供</w:t>
      </w:r>
      <w:r>
        <w:rPr>
          <w:rFonts w:hint="eastAsia" w:ascii="宋体" w:cs="宋体"/>
          <w:szCs w:val="21"/>
          <w:highlight w:val="none"/>
          <w:u w:val="single"/>
        </w:rPr>
        <w:t xml:space="preserve">  </w:t>
      </w:r>
      <w:r>
        <w:rPr>
          <w:rFonts w:hint="eastAsia" w:ascii="宋体" w:cs="宋体"/>
          <w:szCs w:val="21"/>
          <w:highlight w:val="none"/>
        </w:rPr>
        <w:t>。</w:t>
      </w:r>
    </w:p>
    <w:p w14:paraId="683A46A0">
      <w:pPr>
        <w:tabs>
          <w:tab w:val="left" w:pos="7740"/>
        </w:tabs>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承包人提供履约担保的形式、金额及期限的：</w:t>
      </w:r>
      <w:r>
        <w:rPr>
          <w:rFonts w:hint="eastAsia" w:ascii="宋体" w:cs="宋体"/>
          <w:szCs w:val="21"/>
          <w:highlight w:val="none"/>
          <w:lang w:val="en-US" w:eastAsia="zh-CN"/>
        </w:rPr>
        <w:t>具体要求详见投标人须知前附表</w:t>
      </w:r>
      <w:r>
        <w:rPr>
          <w:rFonts w:hint="eastAsia" w:ascii="宋体" w:cs="宋体"/>
          <w:szCs w:val="21"/>
          <w:highlight w:val="none"/>
        </w:rPr>
        <w:t>。</w:t>
      </w:r>
    </w:p>
    <w:p w14:paraId="38296A20">
      <w:pPr>
        <w:tabs>
          <w:tab w:val="left" w:pos="7740"/>
        </w:tabs>
        <w:snapToGrid w:val="0"/>
        <w:spacing w:line="440" w:lineRule="exact"/>
        <w:ind w:firstLine="420" w:firstLineChars="200"/>
        <w:rPr>
          <w:rFonts w:hint="eastAsia" w:ascii="宋体" w:cs="宋体"/>
          <w:szCs w:val="21"/>
          <w:highlight w:val="none"/>
        </w:rPr>
      </w:pPr>
      <w:r>
        <w:rPr>
          <w:rFonts w:hint="eastAsia" w:ascii="宋体" w:cs="宋体"/>
          <w:szCs w:val="21"/>
          <w:highlight w:val="none"/>
        </w:rPr>
        <w:t>4. 监理人</w:t>
      </w:r>
    </w:p>
    <w:p w14:paraId="007344C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4.1监理人的一般规定</w:t>
      </w:r>
    </w:p>
    <w:p w14:paraId="09044A47">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关于监理人的监理内容：</w:t>
      </w:r>
      <w:r>
        <w:rPr>
          <w:rFonts w:hint="eastAsia" w:ascii="宋体" w:cs="宋体"/>
          <w:szCs w:val="21"/>
          <w:highlight w:val="none"/>
          <w:u w:val="single"/>
        </w:rPr>
        <w:t xml:space="preserve">  详见监理合同 </w:t>
      </w:r>
      <w:r>
        <w:rPr>
          <w:rFonts w:hint="eastAsia" w:ascii="宋体" w:cs="宋体"/>
          <w:szCs w:val="21"/>
          <w:highlight w:val="none"/>
        </w:rPr>
        <w:t>。</w:t>
      </w:r>
    </w:p>
    <w:p w14:paraId="7F628324">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关于监理人的监理权限：</w:t>
      </w:r>
      <w:r>
        <w:rPr>
          <w:rFonts w:hint="eastAsia" w:ascii="宋体" w:cs="宋体"/>
          <w:szCs w:val="21"/>
          <w:highlight w:val="none"/>
          <w:u w:val="single"/>
        </w:rPr>
        <w:t xml:space="preserve"> 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项目负责人及有关人员的建议权；分包单位资质及能力的审查权；等等  </w:t>
      </w:r>
      <w:r>
        <w:rPr>
          <w:rFonts w:hint="eastAsia" w:ascii="宋体" w:cs="宋体"/>
          <w:szCs w:val="21"/>
          <w:highlight w:val="none"/>
        </w:rPr>
        <w:t xml:space="preserve">。 </w:t>
      </w:r>
    </w:p>
    <w:p w14:paraId="2993D52B">
      <w:pPr>
        <w:snapToGrid w:val="0"/>
        <w:spacing w:line="440" w:lineRule="exact"/>
        <w:ind w:firstLine="420" w:firstLineChars="200"/>
        <w:rPr>
          <w:rFonts w:hint="eastAsia" w:ascii="宋体" w:cs="宋体"/>
          <w:szCs w:val="21"/>
          <w:highlight w:val="none"/>
          <w:u w:val="single"/>
        </w:rPr>
      </w:pPr>
      <w:r>
        <w:rPr>
          <w:rFonts w:hint="eastAsia" w:ascii="宋体" w:cs="宋体"/>
          <w:szCs w:val="21"/>
          <w:highlight w:val="none"/>
        </w:rPr>
        <w:t>关于监理人在施工现场的办公场所、生活场所的提供和费用承担的约定：</w:t>
      </w:r>
      <w:r>
        <w:rPr>
          <w:rFonts w:hint="eastAsia" w:ascii="宋体" w:cs="宋体"/>
          <w:szCs w:val="21"/>
          <w:highlight w:val="none"/>
          <w:u w:val="single"/>
        </w:rPr>
        <w:t>办公场所由承包人提供和承担，生活场所由监理人自行解决和承担 。</w:t>
      </w:r>
    </w:p>
    <w:p w14:paraId="68744750">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4.2 监理人员</w:t>
      </w:r>
    </w:p>
    <w:p w14:paraId="1A37E990">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总监理工程师：</w:t>
      </w:r>
    </w:p>
    <w:p w14:paraId="4683FF8C">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姓    名：</w:t>
      </w:r>
      <w:r>
        <w:rPr>
          <w:rFonts w:hint="eastAsia" w:ascii="宋体" w:cs="宋体"/>
          <w:szCs w:val="21"/>
          <w:highlight w:val="none"/>
          <w:u w:val="single"/>
        </w:rPr>
        <w:t>   </w:t>
      </w:r>
      <w:r>
        <w:rPr>
          <w:rFonts w:hint="eastAsia" w:ascii="宋体" w:cs="宋体"/>
          <w:szCs w:val="21"/>
          <w:highlight w:val="none"/>
        </w:rPr>
        <w:t>；</w:t>
      </w:r>
    </w:p>
    <w:p w14:paraId="5904DAFE">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职    务：</w:t>
      </w:r>
      <w:r>
        <w:rPr>
          <w:rFonts w:hint="eastAsia" w:ascii="宋体" w:cs="宋体"/>
          <w:szCs w:val="21"/>
          <w:highlight w:val="none"/>
          <w:u w:val="single"/>
        </w:rPr>
        <w:t>   </w:t>
      </w:r>
      <w:r>
        <w:rPr>
          <w:rFonts w:hint="eastAsia" w:ascii="宋体" w:cs="宋体"/>
          <w:szCs w:val="21"/>
          <w:highlight w:val="none"/>
        </w:rPr>
        <w:t>；</w:t>
      </w:r>
    </w:p>
    <w:p w14:paraId="58C9F6F8">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监理工程师执业资格证书号：</w:t>
      </w:r>
      <w:r>
        <w:rPr>
          <w:rFonts w:hint="eastAsia" w:ascii="宋体" w:cs="宋体"/>
          <w:szCs w:val="21"/>
          <w:highlight w:val="none"/>
          <w:u w:val="single"/>
        </w:rPr>
        <w:t> </w:t>
      </w:r>
      <w:r>
        <w:rPr>
          <w:rFonts w:hint="eastAsia" w:ascii="宋体" w:cs="宋体"/>
          <w:szCs w:val="21"/>
          <w:highlight w:val="none"/>
        </w:rPr>
        <w:t>；</w:t>
      </w:r>
    </w:p>
    <w:p w14:paraId="56E09EDD">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联系电话：</w:t>
      </w:r>
      <w:r>
        <w:rPr>
          <w:rFonts w:hint="eastAsia" w:ascii="宋体" w:cs="宋体"/>
          <w:szCs w:val="21"/>
          <w:highlight w:val="none"/>
          <w:u w:val="single"/>
        </w:rPr>
        <w:t>   </w:t>
      </w:r>
      <w:r>
        <w:rPr>
          <w:rFonts w:hint="eastAsia" w:ascii="宋体" w:cs="宋体"/>
          <w:szCs w:val="21"/>
          <w:highlight w:val="none"/>
        </w:rPr>
        <w:t>；</w:t>
      </w:r>
    </w:p>
    <w:p w14:paraId="44319910">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电子信箱：</w:t>
      </w:r>
      <w:r>
        <w:rPr>
          <w:rFonts w:hint="eastAsia" w:ascii="宋体" w:cs="宋体"/>
          <w:szCs w:val="21"/>
          <w:highlight w:val="none"/>
          <w:u w:val="single"/>
        </w:rPr>
        <w:t>   </w:t>
      </w:r>
      <w:r>
        <w:rPr>
          <w:rFonts w:hint="eastAsia" w:ascii="宋体" w:cs="宋体"/>
          <w:szCs w:val="21"/>
          <w:highlight w:val="none"/>
        </w:rPr>
        <w:t>；</w:t>
      </w:r>
    </w:p>
    <w:p w14:paraId="7B91E098">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通信地址：</w:t>
      </w:r>
      <w:r>
        <w:rPr>
          <w:rFonts w:hint="eastAsia" w:ascii="宋体" w:cs="宋体"/>
          <w:szCs w:val="21"/>
          <w:highlight w:val="none"/>
          <w:u w:val="single"/>
        </w:rPr>
        <w:t>   </w:t>
      </w:r>
      <w:r>
        <w:rPr>
          <w:rFonts w:hint="eastAsia" w:ascii="宋体" w:cs="宋体"/>
          <w:szCs w:val="21"/>
          <w:highlight w:val="none"/>
        </w:rPr>
        <w:t>；</w:t>
      </w:r>
    </w:p>
    <w:p w14:paraId="7C3A346F">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关于监理人的其他约定：</w:t>
      </w:r>
      <w:r>
        <w:rPr>
          <w:rFonts w:hint="eastAsia" w:ascii="宋体" w:cs="宋体"/>
          <w:szCs w:val="21"/>
          <w:highlight w:val="none"/>
          <w:u w:val="single"/>
        </w:rPr>
        <w:t>   </w:t>
      </w:r>
      <w:r>
        <w:rPr>
          <w:rFonts w:hint="eastAsia" w:ascii="宋体" w:cs="宋体"/>
          <w:szCs w:val="21"/>
          <w:highlight w:val="none"/>
        </w:rPr>
        <w:t>。</w:t>
      </w:r>
    </w:p>
    <w:p w14:paraId="436AC60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4.4 商定或确定</w:t>
      </w:r>
    </w:p>
    <w:p w14:paraId="25D9F5A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在发包人和承包人不能通过协商达成一致意见时，发包人授权监理人对以下事项进行确定：</w:t>
      </w:r>
    </w:p>
    <w:p w14:paraId="5D80E276">
      <w:pPr>
        <w:autoSpaceDE w:val="0"/>
        <w:autoSpaceDN w:val="0"/>
        <w:adjustRightInd w:val="0"/>
        <w:snapToGrid w:val="0"/>
        <w:spacing w:line="440" w:lineRule="exact"/>
        <w:ind w:firstLine="420" w:firstLineChars="200"/>
        <w:jc w:val="left"/>
        <w:rPr>
          <w:rFonts w:hint="eastAsia" w:ascii="宋体" w:cs="宋体"/>
          <w:kern w:val="0"/>
          <w:szCs w:val="21"/>
          <w:highlight w:val="none"/>
        </w:rPr>
      </w:pPr>
      <w:r>
        <w:rPr>
          <w:rFonts w:hint="eastAsia" w:ascii="宋体" w:cs="宋体"/>
          <w:kern w:val="0"/>
          <w:szCs w:val="21"/>
          <w:highlight w:val="none"/>
        </w:rPr>
        <w:t>（1）</w:t>
      </w:r>
      <w:r>
        <w:rPr>
          <w:rFonts w:hint="eastAsia" w:ascii="宋体" w:cs="宋体"/>
          <w:szCs w:val="21"/>
          <w:highlight w:val="none"/>
          <w:u w:val="single"/>
        </w:rPr>
        <w:t xml:space="preserve">   施工方案    </w:t>
      </w:r>
      <w:r>
        <w:rPr>
          <w:rFonts w:hint="eastAsia" w:ascii="宋体" w:cs="宋体"/>
          <w:szCs w:val="21"/>
          <w:highlight w:val="none"/>
        </w:rPr>
        <w:t>；</w:t>
      </w:r>
    </w:p>
    <w:p w14:paraId="47EE63B8">
      <w:pPr>
        <w:autoSpaceDE w:val="0"/>
        <w:autoSpaceDN w:val="0"/>
        <w:adjustRightInd w:val="0"/>
        <w:snapToGrid w:val="0"/>
        <w:spacing w:line="440" w:lineRule="exact"/>
        <w:ind w:firstLine="420" w:firstLineChars="200"/>
        <w:jc w:val="left"/>
        <w:rPr>
          <w:rFonts w:hint="eastAsia" w:ascii="宋体" w:cs="宋体"/>
          <w:kern w:val="0"/>
          <w:szCs w:val="21"/>
          <w:highlight w:val="none"/>
        </w:rPr>
      </w:pPr>
      <w:r>
        <w:rPr>
          <w:rFonts w:hint="eastAsia" w:ascii="宋体" w:cs="宋体"/>
          <w:kern w:val="0"/>
          <w:szCs w:val="21"/>
          <w:highlight w:val="none"/>
        </w:rPr>
        <w:t>（2）</w:t>
      </w:r>
      <w:r>
        <w:rPr>
          <w:rFonts w:hint="eastAsia" w:ascii="宋体" w:cs="宋体"/>
          <w:szCs w:val="21"/>
          <w:highlight w:val="none"/>
          <w:u w:val="single"/>
        </w:rPr>
        <w:t xml:space="preserve">   索赔事项等    </w:t>
      </w:r>
      <w:r>
        <w:rPr>
          <w:rFonts w:hint="eastAsia" w:ascii="宋体" w:cs="宋体"/>
          <w:szCs w:val="21"/>
          <w:highlight w:val="none"/>
        </w:rPr>
        <w:t>；</w:t>
      </w:r>
    </w:p>
    <w:p w14:paraId="0B4B73F6">
      <w:pPr>
        <w:pStyle w:val="9"/>
        <w:snapToGrid w:val="0"/>
        <w:spacing w:before="0" w:after="0" w:line="440" w:lineRule="exact"/>
        <w:ind w:firstLine="420" w:firstLineChars="200"/>
        <w:rPr>
          <w:rFonts w:hint="eastAsia" w:ascii="宋体" w:eastAsia="宋体" w:cs="宋体"/>
          <w:b w:val="0"/>
          <w:sz w:val="21"/>
          <w:szCs w:val="21"/>
          <w:highlight w:val="none"/>
        </w:rPr>
      </w:pPr>
      <w:r>
        <w:rPr>
          <w:rFonts w:hint="eastAsia" w:ascii="宋体" w:eastAsia="宋体" w:cs="宋体"/>
          <w:b w:val="0"/>
          <w:sz w:val="21"/>
          <w:szCs w:val="21"/>
          <w:highlight w:val="none"/>
        </w:rPr>
        <w:t>5. 工程质量</w:t>
      </w:r>
    </w:p>
    <w:p w14:paraId="725B46FA">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5.1 质量要求</w:t>
      </w:r>
    </w:p>
    <w:p w14:paraId="7F8BE9EA">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5.1.1 特殊质量标准和要求：</w:t>
      </w:r>
      <w:r>
        <w:rPr>
          <w:rFonts w:hint="eastAsia" w:ascii="宋体" w:cs="宋体"/>
          <w:szCs w:val="21"/>
          <w:highlight w:val="none"/>
          <w:u w:val="single"/>
        </w:rPr>
        <w:t xml:space="preserve"> 工程质量必须达到国家工程施工质量验收 合格 标准。 </w:t>
      </w:r>
    </w:p>
    <w:p w14:paraId="52928622">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rPr>
        <w:t>关于工程奖项的约定：</w:t>
      </w:r>
      <w:r>
        <w:rPr>
          <w:rFonts w:hint="eastAsia" w:ascii="宋体" w:cs="宋体"/>
          <w:szCs w:val="21"/>
          <w:highlight w:val="none"/>
          <w:u w:val="single"/>
        </w:rPr>
        <w:t xml:space="preserve"> / </w:t>
      </w:r>
      <w:r>
        <w:rPr>
          <w:rFonts w:hint="eastAsia" w:ascii="宋体" w:cs="宋体"/>
          <w:szCs w:val="21"/>
          <w:highlight w:val="none"/>
        </w:rPr>
        <w:t>。</w:t>
      </w:r>
    </w:p>
    <w:p w14:paraId="3694409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5.3 隐蔽工程检查</w:t>
      </w:r>
    </w:p>
    <w:p w14:paraId="7AE23F5E">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5.3.1隐蔽工程隐蔽前，承包人应当对工程隐蔽部位进行自检，并经自检确认是否具备覆盖条件。</w:t>
      </w:r>
    </w:p>
    <w:p w14:paraId="468BA8AC">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5.3.2承包人提前通知监理人隐蔽工程检查的期限的约定：工程隐蔽部位经承包人自检确认具备覆盖条件的，承包人应在共同检查前6小时书面通知监理人检查，通知中应载明隐蔽检查的内容、时间和地点，并应附有自检记录和必要的检查资料。</w:t>
      </w:r>
    </w:p>
    <w:p w14:paraId="452C67A7">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监理人应按时到场并对隐蔽工程及其施工工艺、材料和工程设备进行检查。经监理人检查确认质量符合隐蔽要求，并在验收记录上签字后，承包人才能进行覆盖。经</w:t>
      </w:r>
      <w:r>
        <w:rPr>
          <w:rFonts w:hint="eastAsia" w:ascii="宋体" w:hAnsi="Times New Roman" w:eastAsia="宋体" w:cs="宋体"/>
          <w:szCs w:val="21"/>
          <w:highlight w:val="none"/>
        </w:rPr>
        <w:t>监理人</w:t>
      </w:r>
      <w:r>
        <w:rPr>
          <w:rFonts w:hint="eastAsia" w:ascii="宋体" w:cs="宋体"/>
          <w:szCs w:val="21"/>
          <w:highlight w:val="none"/>
        </w:rPr>
        <w:t>检查质量不合格的，承包人应在</w:t>
      </w:r>
      <w:r>
        <w:rPr>
          <w:rFonts w:hint="eastAsia" w:ascii="宋体" w:hAnsi="Times New Roman" w:eastAsia="宋体" w:cs="宋体"/>
          <w:szCs w:val="21"/>
          <w:highlight w:val="none"/>
        </w:rPr>
        <w:t>监理人</w:t>
      </w:r>
      <w:r>
        <w:rPr>
          <w:rFonts w:hint="eastAsia" w:ascii="宋体" w:cs="宋体"/>
          <w:szCs w:val="21"/>
          <w:highlight w:val="none"/>
        </w:rPr>
        <w:t>指示的时间内完成修复，并由</w:t>
      </w:r>
      <w:r>
        <w:rPr>
          <w:rFonts w:hint="eastAsia" w:ascii="宋体" w:hAnsi="Times New Roman" w:eastAsia="宋体" w:cs="宋体"/>
          <w:szCs w:val="21"/>
          <w:highlight w:val="none"/>
        </w:rPr>
        <w:t>监理人</w:t>
      </w:r>
      <w:r>
        <w:rPr>
          <w:rFonts w:hint="eastAsia" w:ascii="宋体" w:cs="宋体"/>
          <w:szCs w:val="21"/>
          <w:highlight w:val="none"/>
        </w:rPr>
        <w:t>重新检查，由此增加的费用和（或）延误的工期由承包人承担。</w:t>
      </w:r>
    </w:p>
    <w:p w14:paraId="461D35E2">
      <w:pPr>
        <w:snapToGrid w:val="0"/>
        <w:spacing w:line="440" w:lineRule="exact"/>
        <w:ind w:firstLine="420" w:firstLineChars="200"/>
        <w:jc w:val="left"/>
        <w:rPr>
          <w:rFonts w:hint="eastAsia" w:ascii="宋体" w:cs="宋体"/>
          <w:szCs w:val="21"/>
          <w:highlight w:val="none"/>
        </w:rPr>
      </w:pPr>
      <w:r>
        <w:rPr>
          <w:rFonts w:hint="eastAsia" w:ascii="宋体" w:hAnsi="Times New Roman" w:eastAsia="宋体" w:cs="宋体"/>
          <w:szCs w:val="21"/>
          <w:highlight w:val="none"/>
        </w:rPr>
        <w:t>监理人</w:t>
      </w:r>
      <w:r>
        <w:rPr>
          <w:rFonts w:hint="eastAsia" w:ascii="宋体" w:cs="宋体"/>
          <w:szCs w:val="21"/>
          <w:highlight w:val="none"/>
        </w:rPr>
        <w:t>不能按时进行检查的，应在检查前3小时向承包人提交书面延期要求，但延期不能超过6小时，由此导致工期延误的，工期应予以顺延。</w:t>
      </w:r>
      <w:r>
        <w:rPr>
          <w:rFonts w:hint="eastAsia" w:ascii="宋体" w:hAnsi="Times New Roman" w:eastAsia="宋体" w:cs="宋体"/>
          <w:szCs w:val="21"/>
          <w:highlight w:val="none"/>
        </w:rPr>
        <w:t>监理人</w:t>
      </w:r>
      <w:r>
        <w:rPr>
          <w:rFonts w:hint="eastAsia" w:ascii="宋体" w:cs="宋体"/>
          <w:szCs w:val="21"/>
          <w:highlight w:val="none"/>
        </w:rPr>
        <w:t>未按时进行检查，也未提出延期要求的，视为隐蔽工程检查合格，承包人可自行完成覆盖工作，并作相应记录报送监理人，</w:t>
      </w:r>
      <w:r>
        <w:rPr>
          <w:rFonts w:hint="eastAsia" w:ascii="宋体" w:hAnsi="Times New Roman" w:eastAsia="宋体" w:cs="宋体"/>
          <w:szCs w:val="21"/>
          <w:highlight w:val="none"/>
        </w:rPr>
        <w:t>监理人</w:t>
      </w:r>
      <w:r>
        <w:rPr>
          <w:rFonts w:hint="eastAsia" w:ascii="宋体" w:cs="宋体"/>
          <w:szCs w:val="21"/>
          <w:highlight w:val="none"/>
        </w:rPr>
        <w:t>应签字确认。</w:t>
      </w:r>
      <w:r>
        <w:rPr>
          <w:rFonts w:hint="eastAsia" w:ascii="宋体" w:hAnsi="Times New Roman" w:eastAsia="宋体" w:cs="宋体"/>
          <w:szCs w:val="21"/>
          <w:highlight w:val="none"/>
        </w:rPr>
        <w:t>监理人</w:t>
      </w:r>
      <w:r>
        <w:rPr>
          <w:rFonts w:hint="eastAsia" w:ascii="宋体" w:cs="宋体"/>
          <w:szCs w:val="21"/>
          <w:highlight w:val="none"/>
        </w:rPr>
        <w:t>事后对检查记录有疑问的，可按第5.3.3项〔重新检查〕的约定重新检查。</w:t>
      </w:r>
    </w:p>
    <w:p w14:paraId="353C5C0A">
      <w:pPr>
        <w:snapToGrid w:val="0"/>
        <w:spacing w:line="440" w:lineRule="exact"/>
        <w:ind w:firstLine="420" w:firstLineChars="200"/>
        <w:jc w:val="left"/>
        <w:rPr>
          <w:rFonts w:hint="eastAsia" w:ascii="宋体" w:cs="宋体"/>
          <w:szCs w:val="21"/>
          <w:highlight w:val="none"/>
        </w:rPr>
      </w:pPr>
      <w:r>
        <w:rPr>
          <w:rFonts w:hint="eastAsia" w:ascii="宋体" w:hAnsi="Times New Roman" w:eastAsia="宋体" w:cs="宋体"/>
          <w:szCs w:val="21"/>
          <w:highlight w:val="none"/>
        </w:rPr>
        <w:t>监理人</w:t>
      </w:r>
      <w:r>
        <w:rPr>
          <w:rFonts w:hint="eastAsia" w:ascii="宋体" w:cs="宋体"/>
          <w:szCs w:val="21"/>
          <w:highlight w:val="none"/>
        </w:rPr>
        <w:t>不能按时进行检查时，应提前</w:t>
      </w:r>
      <w:r>
        <w:rPr>
          <w:rFonts w:hint="eastAsia" w:ascii="宋体" w:cs="宋体"/>
          <w:szCs w:val="21"/>
          <w:highlight w:val="none"/>
          <w:u w:val="single"/>
        </w:rPr>
        <w:t xml:space="preserve">  3  </w:t>
      </w:r>
      <w:r>
        <w:rPr>
          <w:rFonts w:hint="eastAsia" w:ascii="宋体" w:cs="宋体"/>
          <w:szCs w:val="21"/>
          <w:highlight w:val="none"/>
        </w:rPr>
        <w:t>小时提交书面延期要求。</w:t>
      </w:r>
    </w:p>
    <w:p w14:paraId="7A50A7D7">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关于延期最长不得超过：</w:t>
      </w:r>
      <w:r>
        <w:rPr>
          <w:rFonts w:hint="eastAsia" w:ascii="宋体" w:cs="宋体"/>
          <w:szCs w:val="21"/>
          <w:highlight w:val="none"/>
          <w:u w:val="single"/>
        </w:rPr>
        <w:t xml:space="preserve">  6  </w:t>
      </w:r>
      <w:r>
        <w:rPr>
          <w:rFonts w:hint="eastAsia" w:ascii="宋体" w:cs="宋体"/>
          <w:szCs w:val="21"/>
          <w:highlight w:val="none"/>
        </w:rPr>
        <w:t>小时。</w:t>
      </w:r>
    </w:p>
    <w:p w14:paraId="1F4986B0">
      <w:pPr>
        <w:pStyle w:val="9"/>
        <w:tabs>
          <w:tab w:val="left" w:pos="3315"/>
        </w:tabs>
        <w:snapToGrid w:val="0"/>
        <w:spacing w:before="0" w:after="0" w:line="440" w:lineRule="exact"/>
        <w:ind w:firstLine="420" w:firstLineChars="200"/>
        <w:rPr>
          <w:rFonts w:hint="eastAsia" w:ascii="宋体" w:eastAsia="宋体" w:cs="宋体"/>
          <w:b w:val="0"/>
          <w:sz w:val="21"/>
          <w:szCs w:val="21"/>
          <w:highlight w:val="none"/>
        </w:rPr>
      </w:pPr>
      <w:r>
        <w:rPr>
          <w:rFonts w:hint="eastAsia" w:ascii="宋体" w:eastAsia="宋体" w:cs="宋体"/>
          <w:b w:val="0"/>
          <w:sz w:val="21"/>
          <w:szCs w:val="21"/>
          <w:highlight w:val="none"/>
        </w:rPr>
        <w:t>6. 安全文明施工与环境保护</w:t>
      </w:r>
      <w:r>
        <w:rPr>
          <w:rFonts w:hint="eastAsia" w:ascii="宋体" w:eastAsia="宋体" w:cs="宋体"/>
          <w:b w:val="0"/>
          <w:sz w:val="21"/>
          <w:szCs w:val="21"/>
          <w:highlight w:val="none"/>
        </w:rPr>
        <w:tab/>
      </w:r>
    </w:p>
    <w:p w14:paraId="09FD88B5">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6.1安全文明施工</w:t>
      </w:r>
    </w:p>
    <w:p w14:paraId="7B5AA553">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6.1.1 项目安全生产的达标目标及相应事项的约定</w:t>
      </w:r>
      <w:r>
        <w:rPr>
          <w:rFonts w:hint="eastAsia" w:ascii="宋体" w:cs="宋体"/>
          <w:szCs w:val="21"/>
          <w:highlight w:val="none"/>
          <w:u w:val="single"/>
        </w:rPr>
        <w:t xml:space="preserve">  /    。</w:t>
      </w:r>
    </w:p>
    <w:p w14:paraId="4907B10C">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rPr>
        <w:t>6.1.4 关于治安保卫的特别约定：</w:t>
      </w:r>
      <w:r>
        <w:rPr>
          <w:rFonts w:hint="eastAsia" w:ascii="宋体" w:cs="宋体"/>
          <w:szCs w:val="21"/>
          <w:highlight w:val="none"/>
          <w:u w:val="single"/>
        </w:rPr>
        <w:t xml:space="preserve"> 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5767E2F">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关于编制施工场地治安管理计划的约定：</w:t>
      </w:r>
      <w:r>
        <w:rPr>
          <w:rFonts w:hint="eastAsia" w:ascii="宋体" w:cs="宋体"/>
          <w:szCs w:val="21"/>
          <w:highlight w:val="none"/>
          <w:u w:val="single"/>
        </w:rPr>
        <w:t xml:space="preserve">   由承包人负责       </w:t>
      </w:r>
      <w:r>
        <w:rPr>
          <w:rFonts w:hint="eastAsia" w:ascii="宋体" w:cs="宋体"/>
          <w:szCs w:val="21"/>
          <w:highlight w:val="none"/>
        </w:rPr>
        <w:t>。</w:t>
      </w:r>
    </w:p>
    <w:p w14:paraId="471254C5">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6.1.5 文明施工</w:t>
      </w:r>
    </w:p>
    <w:p w14:paraId="531A3B2F">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rPr>
        <w:t>合同当事人对文明施工的要求：</w:t>
      </w:r>
      <w:r>
        <w:rPr>
          <w:rFonts w:hint="eastAsia" w:ascii="宋体" w:cs="宋体"/>
          <w:szCs w:val="21"/>
          <w:highlight w:val="none"/>
          <w:u w:val="single"/>
        </w:rPr>
        <w:t xml:space="preserve">   执行</w:t>
      </w:r>
      <w:r>
        <w:rPr>
          <w:rFonts w:hint="eastAsia" w:ascii="宋体" w:cs="宋体"/>
          <w:szCs w:val="21"/>
          <w:highlight w:val="none"/>
          <w:u w:val="single"/>
          <w:lang w:val="en-US" w:eastAsia="zh-CN"/>
        </w:rPr>
        <w:t>招标</w:t>
      </w:r>
      <w:r>
        <w:rPr>
          <w:rFonts w:hint="eastAsia" w:ascii="宋体" w:cs="宋体"/>
          <w:szCs w:val="21"/>
          <w:highlight w:val="none"/>
          <w:u w:val="single"/>
        </w:rPr>
        <w:t xml:space="preserve">文件   </w:t>
      </w:r>
      <w:r>
        <w:rPr>
          <w:rFonts w:hint="eastAsia" w:ascii="宋体" w:cs="宋体"/>
          <w:szCs w:val="21"/>
          <w:highlight w:val="none"/>
        </w:rPr>
        <w:t>。</w:t>
      </w:r>
    </w:p>
    <w:p w14:paraId="2873FDB8">
      <w:pPr>
        <w:snapToGrid w:val="0"/>
        <w:spacing w:line="440" w:lineRule="exact"/>
        <w:ind w:firstLine="420" w:firstLineChars="200"/>
        <w:jc w:val="left"/>
        <w:rPr>
          <w:rFonts w:hint="eastAsia" w:ascii="宋体" w:hAnsi="宋体" w:cs="宋体"/>
          <w:bCs/>
          <w:szCs w:val="21"/>
          <w:highlight w:val="none"/>
          <w:u w:val="single"/>
        </w:rPr>
      </w:pPr>
      <w:r>
        <w:rPr>
          <w:rFonts w:hint="eastAsia" w:ascii="宋体" w:hAnsi="宋体" w:cs="宋体"/>
          <w:bCs/>
          <w:szCs w:val="21"/>
          <w:highlight w:val="none"/>
        </w:rPr>
        <w:t>6.1.6 关于安全文明施工费支付比例和支付期限的约定：</w:t>
      </w:r>
      <w:r>
        <w:rPr>
          <w:rFonts w:hint="eastAsia" w:ascii="宋体" w:hAnsi="宋体" w:cs="宋体"/>
          <w:bCs/>
          <w:szCs w:val="21"/>
          <w:highlight w:val="none"/>
          <w:u w:val="single"/>
        </w:rPr>
        <w:t>按照《关于落实&lt;市规建委关于规范建设工程安全防护和文明施工措施费使用管理的通知&gt;的意见》，支付方式为：房建工程基础验收合格后支付40%，主体结构施工</w:t>
      </w:r>
      <w:r>
        <w:rPr>
          <w:rFonts w:hint="eastAsia" w:ascii="宋体" w:hAnsi="宋体" w:cs="宋体"/>
          <w:bCs/>
          <w:szCs w:val="21"/>
          <w:highlight w:val="none"/>
          <w:u w:val="single"/>
          <w:lang w:val="en-US" w:eastAsia="zh-CN"/>
        </w:rPr>
        <w:t>封顶</w:t>
      </w:r>
      <w:r>
        <w:rPr>
          <w:rFonts w:hint="eastAsia" w:ascii="宋体" w:hAnsi="宋体" w:cs="宋体"/>
          <w:bCs/>
          <w:szCs w:val="21"/>
          <w:highlight w:val="none"/>
          <w:u w:val="single"/>
        </w:rPr>
        <w:t>支付40%，工程</w:t>
      </w:r>
      <w:r>
        <w:rPr>
          <w:rFonts w:hint="eastAsia" w:ascii="宋体" w:hAnsi="宋体" w:cs="宋体"/>
          <w:bCs/>
          <w:szCs w:val="21"/>
          <w:highlight w:val="none"/>
          <w:u w:val="single"/>
          <w:lang w:eastAsia="zh-CN"/>
        </w:rPr>
        <w:t>验收</w:t>
      </w:r>
      <w:r>
        <w:rPr>
          <w:rFonts w:hint="eastAsia" w:ascii="宋体" w:hAnsi="宋体" w:cs="宋体"/>
          <w:bCs/>
          <w:szCs w:val="21"/>
          <w:highlight w:val="none"/>
          <w:u w:val="single"/>
        </w:rPr>
        <w:t>合格支付剩余20%；市政基础设施工程正常开工并达到第一期工程请款条件时支付5</w:t>
      </w:r>
      <w:r>
        <w:rPr>
          <w:rFonts w:hint="eastAsia" w:ascii="宋体" w:hAnsi="宋体" w:cs="宋体"/>
          <w:bCs/>
          <w:color w:val="auto"/>
          <w:szCs w:val="21"/>
          <w:highlight w:val="none"/>
          <w:u w:val="single"/>
        </w:rPr>
        <w:t>0%，</w:t>
      </w:r>
      <w:r>
        <w:rPr>
          <w:rFonts w:hint="eastAsia" w:ascii="宋体" w:hAnsi="宋体" w:cs="宋体"/>
          <w:b w:val="0"/>
          <w:bCs/>
          <w:color w:val="auto"/>
          <w:szCs w:val="21"/>
          <w:highlight w:val="none"/>
          <w:u w:val="single"/>
        </w:rPr>
        <w:t>工程</w:t>
      </w:r>
      <w:r>
        <w:rPr>
          <w:rFonts w:hint="eastAsia" w:ascii="宋体" w:hAnsi="宋体" w:cs="宋体"/>
          <w:b w:val="0"/>
          <w:bCs/>
          <w:color w:val="auto"/>
          <w:szCs w:val="21"/>
          <w:highlight w:val="none"/>
          <w:u w:val="single"/>
          <w:lang w:eastAsia="zh-CN"/>
        </w:rPr>
        <w:t>验收</w:t>
      </w:r>
      <w:r>
        <w:rPr>
          <w:rFonts w:hint="eastAsia" w:ascii="宋体" w:hAnsi="宋体" w:cs="宋体"/>
          <w:b w:val="0"/>
          <w:bCs/>
          <w:color w:val="auto"/>
          <w:szCs w:val="21"/>
          <w:highlight w:val="none"/>
          <w:u w:val="single"/>
        </w:rPr>
        <w:t>合格后支付剩余50%</w:t>
      </w:r>
      <w:r>
        <w:rPr>
          <w:rFonts w:hint="eastAsia" w:ascii="宋体" w:hAnsi="宋体" w:cs="宋体"/>
          <w:b w:val="0"/>
          <w:bCs/>
          <w:szCs w:val="21"/>
          <w:highlight w:val="none"/>
          <w:u w:val="single"/>
        </w:rPr>
        <w:t>。该费用付至施</w:t>
      </w:r>
      <w:r>
        <w:rPr>
          <w:rFonts w:hint="eastAsia" w:ascii="宋体" w:hAnsi="宋体" w:cs="宋体"/>
          <w:bCs/>
          <w:szCs w:val="21"/>
          <w:highlight w:val="none"/>
          <w:u w:val="single"/>
        </w:rPr>
        <w:t>工企业在银行开立的专户。施工企业应当确保安全防护、文明施工措施费专款专用，在财务管理中单独列出安全防护、文明施工措施项目费用清单备查。</w:t>
      </w:r>
    </w:p>
    <w:p w14:paraId="7B42C225">
      <w:pPr>
        <w:pStyle w:val="9"/>
        <w:snapToGrid w:val="0"/>
        <w:spacing w:before="0" w:after="0" w:line="440" w:lineRule="exact"/>
        <w:ind w:firstLine="420" w:firstLineChars="200"/>
        <w:rPr>
          <w:rFonts w:hint="eastAsia" w:ascii="宋体" w:eastAsia="宋体" w:cs="宋体"/>
          <w:b w:val="0"/>
          <w:sz w:val="21"/>
          <w:szCs w:val="21"/>
          <w:highlight w:val="none"/>
        </w:rPr>
      </w:pPr>
      <w:r>
        <w:rPr>
          <w:rFonts w:hint="eastAsia" w:ascii="宋体" w:eastAsia="宋体" w:cs="宋体"/>
          <w:b w:val="0"/>
          <w:sz w:val="21"/>
          <w:szCs w:val="21"/>
          <w:highlight w:val="none"/>
        </w:rPr>
        <w:t>7. 工期和进度</w:t>
      </w:r>
    </w:p>
    <w:p w14:paraId="31B76BC6">
      <w:pPr>
        <w:tabs>
          <w:tab w:val="left" w:pos="3240"/>
        </w:tabs>
        <w:snapToGrid w:val="0"/>
        <w:spacing w:line="440" w:lineRule="exact"/>
        <w:ind w:firstLine="420" w:firstLineChars="200"/>
        <w:rPr>
          <w:rFonts w:hint="eastAsia" w:ascii="宋体" w:cs="宋体"/>
          <w:szCs w:val="21"/>
          <w:highlight w:val="none"/>
        </w:rPr>
      </w:pPr>
      <w:r>
        <w:rPr>
          <w:rFonts w:hint="eastAsia" w:ascii="宋体" w:cs="宋体"/>
          <w:szCs w:val="21"/>
          <w:highlight w:val="none"/>
        </w:rPr>
        <w:t>7.1 施工组织设计</w:t>
      </w:r>
      <w:r>
        <w:rPr>
          <w:rFonts w:hint="eastAsia" w:ascii="宋体" w:cs="宋体"/>
          <w:szCs w:val="21"/>
          <w:highlight w:val="none"/>
        </w:rPr>
        <w:tab/>
      </w:r>
    </w:p>
    <w:p w14:paraId="7C6BE0DC">
      <w:pPr>
        <w:autoSpaceDE w:val="0"/>
        <w:autoSpaceDN w:val="0"/>
        <w:adjustRightInd w:val="0"/>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7.1.1 （9）合</w:t>
      </w:r>
      <w:r>
        <w:rPr>
          <w:rFonts w:hint="eastAsia" w:ascii="宋体" w:cs="宋体"/>
          <w:kern w:val="0"/>
          <w:szCs w:val="21"/>
          <w:highlight w:val="none"/>
        </w:rPr>
        <w:t>同当事人约定的施工组织设计应包括的其他内容：</w:t>
      </w:r>
      <w:r>
        <w:rPr>
          <w:rFonts w:hint="eastAsia" w:ascii="宋体" w:cs="宋体"/>
          <w:szCs w:val="21"/>
          <w:highlight w:val="none"/>
          <w:u w:val="single"/>
        </w:rPr>
        <w:t xml:space="preserve"> </w:t>
      </w:r>
      <w:r>
        <w:rPr>
          <w:rFonts w:hint="eastAsia" w:ascii="宋体" w:hAnsi="宋体" w:cs="宋体"/>
          <w:color w:val="000000"/>
          <w:szCs w:val="21"/>
          <w:highlight w:val="none"/>
          <w:u w:val="single"/>
        </w:rPr>
        <w:t>总进度计划须含网络图、横道图</w:t>
      </w:r>
      <w:r>
        <w:rPr>
          <w:rFonts w:hint="eastAsia" w:ascii="宋体" w:cs="宋体"/>
          <w:szCs w:val="21"/>
          <w:highlight w:val="none"/>
          <w:u w:val="single"/>
        </w:rPr>
        <w:t xml:space="preserve">  </w:t>
      </w:r>
      <w:r>
        <w:rPr>
          <w:rFonts w:hint="eastAsia" w:ascii="宋体" w:cs="宋体"/>
          <w:szCs w:val="21"/>
          <w:highlight w:val="none"/>
        </w:rPr>
        <w:t>。</w:t>
      </w:r>
    </w:p>
    <w:p w14:paraId="447E4154">
      <w:pPr>
        <w:autoSpaceDE w:val="0"/>
        <w:autoSpaceDN w:val="0"/>
        <w:adjustRightInd w:val="0"/>
        <w:snapToGrid w:val="0"/>
        <w:spacing w:line="440" w:lineRule="exact"/>
        <w:ind w:firstLine="420" w:firstLineChars="200"/>
        <w:jc w:val="left"/>
        <w:rPr>
          <w:rFonts w:hint="eastAsia" w:ascii="宋体" w:cs="宋体"/>
          <w:kern w:val="0"/>
          <w:szCs w:val="21"/>
          <w:highlight w:val="none"/>
        </w:rPr>
      </w:pPr>
      <w:r>
        <w:rPr>
          <w:rFonts w:hint="eastAsia" w:ascii="宋体" w:cs="宋体"/>
          <w:szCs w:val="21"/>
          <w:highlight w:val="none"/>
        </w:rPr>
        <w:t xml:space="preserve">7.1.2 </w:t>
      </w:r>
      <w:r>
        <w:rPr>
          <w:rFonts w:hint="eastAsia" w:ascii="宋体" w:cs="宋体"/>
          <w:kern w:val="0"/>
          <w:szCs w:val="21"/>
          <w:highlight w:val="none"/>
        </w:rPr>
        <w:t>施工组织设计的提交和修改</w:t>
      </w:r>
    </w:p>
    <w:p w14:paraId="34820E1B">
      <w:pPr>
        <w:autoSpaceDE w:val="0"/>
        <w:autoSpaceDN w:val="0"/>
        <w:adjustRightInd w:val="0"/>
        <w:snapToGrid w:val="0"/>
        <w:spacing w:line="440" w:lineRule="exact"/>
        <w:ind w:firstLine="420" w:firstLineChars="200"/>
        <w:jc w:val="left"/>
        <w:rPr>
          <w:rFonts w:hint="eastAsia" w:ascii="宋体" w:cs="宋体"/>
          <w:szCs w:val="21"/>
          <w:highlight w:val="none"/>
        </w:rPr>
      </w:pPr>
      <w:r>
        <w:rPr>
          <w:rFonts w:hint="eastAsia" w:ascii="宋体" w:cs="宋体"/>
          <w:kern w:val="0"/>
          <w:szCs w:val="21"/>
          <w:highlight w:val="none"/>
        </w:rPr>
        <w:t>承包人提交详细施工组织设计的期限的约定：</w:t>
      </w:r>
      <w:r>
        <w:rPr>
          <w:rFonts w:hint="eastAsia" w:ascii="宋体" w:cs="宋体"/>
          <w:szCs w:val="21"/>
          <w:highlight w:val="none"/>
          <w:u w:val="single"/>
        </w:rPr>
        <w:t xml:space="preserve">图纸会审及设计交底后一周内提供标后实施性施工组织设计 </w:t>
      </w:r>
      <w:r>
        <w:rPr>
          <w:rFonts w:hint="eastAsia" w:ascii="宋体" w:cs="宋体"/>
          <w:szCs w:val="21"/>
          <w:highlight w:val="none"/>
        </w:rPr>
        <w:t>。</w:t>
      </w:r>
    </w:p>
    <w:p w14:paraId="1D955992">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发包人和监理人在收到详细的施工组织设计后确认或提出修改意见的期限：</w:t>
      </w:r>
      <w:r>
        <w:rPr>
          <w:rFonts w:hint="eastAsia" w:ascii="宋体" w:cs="宋体"/>
          <w:szCs w:val="21"/>
          <w:highlight w:val="none"/>
          <w:u w:val="single"/>
        </w:rPr>
        <w:t>发包人和监理人应在</w:t>
      </w:r>
      <w:r>
        <w:rPr>
          <w:rFonts w:hint="eastAsia" w:ascii="宋体" w:hAnsi="Times New Roman" w:eastAsia="宋体" w:cs="宋体"/>
          <w:szCs w:val="21"/>
          <w:highlight w:val="none"/>
          <w:u w:val="single"/>
        </w:rPr>
        <w:t>监理人</w:t>
      </w:r>
      <w:r>
        <w:rPr>
          <w:rFonts w:hint="eastAsia" w:ascii="宋体" w:cs="宋体"/>
          <w:szCs w:val="21"/>
          <w:highlight w:val="none"/>
          <w:u w:val="single"/>
        </w:rPr>
        <w:t>收到施工组织设计后7天内确认或提出修改意见。对发包人和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提出的合理意见和要求，承包人应自费修改完善。根据工程实际情况需要修改施工组织设计的，承包人应向发包人和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提交修改后的施工组织设计。</w:t>
      </w:r>
    </w:p>
    <w:p w14:paraId="58C5261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7.2 施工进度计划</w:t>
      </w:r>
    </w:p>
    <w:p w14:paraId="2B31F985">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7.2.2 施工进度计划的修订</w:t>
      </w:r>
    </w:p>
    <w:p w14:paraId="670071B5">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rPr>
        <w:t>发包人和</w:t>
      </w:r>
      <w:r>
        <w:rPr>
          <w:rFonts w:hint="eastAsia" w:ascii="宋体" w:hAnsi="Times New Roman" w:eastAsia="宋体" w:cs="宋体"/>
          <w:szCs w:val="21"/>
          <w:highlight w:val="none"/>
          <w:u w:val="single"/>
        </w:rPr>
        <w:t>监理人</w:t>
      </w:r>
      <w:r>
        <w:rPr>
          <w:rFonts w:hint="eastAsia" w:ascii="宋体" w:cs="宋体"/>
          <w:szCs w:val="21"/>
          <w:highlight w:val="none"/>
        </w:rPr>
        <w:t>在收到修订的施工进度计划后确认或提出修改意见的期限：</w:t>
      </w:r>
      <w:r>
        <w:rPr>
          <w:rFonts w:hint="eastAsia" w:ascii="宋体" w:cs="宋体"/>
          <w:szCs w:val="21"/>
          <w:highlight w:val="none"/>
          <w:u w:val="single"/>
        </w:rPr>
        <w:t>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应在收到修订的施工进度计划后7天内完成审核和批准或提出修改意见。发包人和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对承包人提交的施工进度计划的确认，不能减轻或免除承包人根据法律规定和合同约定应承担的任何责任或义务。承包人必须按照批准的进度计划组织施工，接受发包人对进度的检查、监督，工程实际进展与进度计划不符时，应提供修改，调整后的进度计划及相应的措施报发包人批准后执行。</w:t>
      </w:r>
    </w:p>
    <w:p w14:paraId="62980897">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7.3 开工</w:t>
      </w:r>
    </w:p>
    <w:p w14:paraId="2B2F126F">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7.3.1 开工准备</w:t>
      </w:r>
    </w:p>
    <w:p w14:paraId="7A11D914">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rPr>
        <w:t>关于承包人提交</w:t>
      </w:r>
      <w:r>
        <w:rPr>
          <w:rFonts w:hint="eastAsia" w:ascii="宋体" w:cs="宋体"/>
          <w:kern w:val="0"/>
          <w:szCs w:val="21"/>
          <w:highlight w:val="none"/>
        </w:rPr>
        <w:t>工程开工报审表的期限：</w:t>
      </w:r>
      <w:r>
        <w:rPr>
          <w:rFonts w:hint="eastAsia" w:ascii="宋体" w:cs="宋体"/>
          <w:szCs w:val="21"/>
          <w:highlight w:val="none"/>
          <w:u w:val="single"/>
        </w:rPr>
        <w:t xml:space="preserve"> 承包人应按照第7.1款〔施工组织设计〕约定的期限，向</w:t>
      </w:r>
      <w:r>
        <w:rPr>
          <w:rFonts w:hint="eastAsia" w:ascii="宋体" w:hAnsi="Times New Roman" w:eastAsia="宋体" w:cs="宋体"/>
          <w:szCs w:val="21"/>
          <w:highlight w:val="none"/>
          <w:u w:val="single"/>
        </w:rPr>
        <w:t>监理人</w:t>
      </w:r>
      <w:r>
        <w:rPr>
          <w:rFonts w:hint="eastAsia" w:ascii="宋体" w:cs="宋体"/>
          <w:szCs w:val="21"/>
          <w:highlight w:val="none"/>
          <w:u w:val="single"/>
        </w:rPr>
        <w:t>提交工程开工报审表，经</w:t>
      </w:r>
      <w:r>
        <w:rPr>
          <w:rFonts w:hint="eastAsia" w:ascii="宋体" w:hAnsi="Times New Roman" w:eastAsia="宋体" w:cs="宋体"/>
          <w:szCs w:val="21"/>
          <w:highlight w:val="none"/>
          <w:u w:val="single"/>
        </w:rPr>
        <w:t>监理人</w:t>
      </w:r>
      <w:r>
        <w:rPr>
          <w:rFonts w:hint="eastAsia" w:ascii="宋体" w:cs="宋体"/>
          <w:szCs w:val="21"/>
          <w:highlight w:val="none"/>
          <w:u w:val="single"/>
        </w:rPr>
        <w:t>报发包人批准后执行。开工报审表应详细说明按施工进度计划正常施工所需的施工道路、临时设施、材料、工程设备、施工设备、施工人员等落实情况以及工程的进度安排。</w:t>
      </w:r>
    </w:p>
    <w:p w14:paraId="53B6030B">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rPr>
        <w:t>关于承包人应完成的其他开工准备工作及期限：</w:t>
      </w:r>
      <w:r>
        <w:rPr>
          <w:rFonts w:hint="eastAsia" w:ascii="宋体" w:cs="宋体"/>
          <w:szCs w:val="21"/>
          <w:highlight w:val="none"/>
          <w:u w:val="single"/>
        </w:rPr>
        <w:t>合同当事人应按约定完成开工准备工作。</w:t>
      </w:r>
    </w:p>
    <w:p w14:paraId="58018775">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7.3.2开工通知</w:t>
      </w:r>
    </w:p>
    <w:p w14:paraId="1D19E8AF">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因发包人原因造成</w:t>
      </w:r>
      <w:r>
        <w:rPr>
          <w:rFonts w:hint="eastAsia" w:ascii="宋体" w:hAnsi="Times New Roman" w:eastAsia="宋体" w:cs="宋体"/>
          <w:szCs w:val="21"/>
          <w:highlight w:val="none"/>
          <w:u w:val="single"/>
        </w:rPr>
        <w:t>监理人</w:t>
      </w:r>
      <w:r>
        <w:rPr>
          <w:rFonts w:hint="eastAsia" w:ascii="宋体" w:cs="宋体"/>
          <w:szCs w:val="21"/>
          <w:highlight w:val="none"/>
        </w:rPr>
        <w:t>未能在计划开工日期之日起</w:t>
      </w:r>
      <w:r>
        <w:rPr>
          <w:rFonts w:hint="eastAsia" w:ascii="宋体" w:cs="宋体"/>
          <w:szCs w:val="21"/>
          <w:highlight w:val="none"/>
          <w:u w:val="single"/>
        </w:rPr>
        <w:t xml:space="preserve">  90  </w:t>
      </w:r>
      <w:r>
        <w:rPr>
          <w:rFonts w:hint="eastAsia" w:ascii="宋体" w:cs="宋体"/>
          <w:szCs w:val="21"/>
          <w:highlight w:val="none"/>
        </w:rPr>
        <w:t>天内发出开工通知的，承包人有权提出价格调整要求，或者解除合同。</w:t>
      </w:r>
    </w:p>
    <w:p w14:paraId="42564535">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7.4 测量放线</w:t>
      </w:r>
    </w:p>
    <w:p w14:paraId="72BAFC92">
      <w:pPr>
        <w:snapToGrid w:val="0"/>
        <w:spacing w:line="440" w:lineRule="exact"/>
        <w:ind w:firstLine="420" w:firstLineChars="200"/>
        <w:jc w:val="left"/>
        <w:rPr>
          <w:rFonts w:hint="eastAsia" w:ascii="宋体" w:hAnsi="宋体" w:cs="宋体"/>
          <w:highlight w:val="none"/>
        </w:rPr>
      </w:pPr>
      <w:r>
        <w:rPr>
          <w:rFonts w:hint="eastAsia" w:ascii="宋体" w:cs="宋体"/>
          <w:szCs w:val="21"/>
          <w:highlight w:val="none"/>
        </w:rPr>
        <w:t>7.4.1发包人通过</w:t>
      </w:r>
      <w:r>
        <w:rPr>
          <w:rFonts w:hint="eastAsia" w:ascii="宋体" w:hAnsi="Times New Roman" w:eastAsia="宋体" w:cs="宋体"/>
          <w:szCs w:val="21"/>
          <w:highlight w:val="none"/>
          <w:u w:val="single"/>
        </w:rPr>
        <w:t>监理人</w:t>
      </w:r>
      <w:r>
        <w:rPr>
          <w:rFonts w:hint="eastAsia" w:ascii="宋体" w:cs="宋体"/>
          <w:szCs w:val="21"/>
          <w:highlight w:val="none"/>
        </w:rPr>
        <w:t>向承包人提供测量基准点、基准线和水准点及其书面资料的期限：</w:t>
      </w:r>
      <w:r>
        <w:rPr>
          <w:rFonts w:hint="eastAsia" w:ascii="宋体" w:cs="宋体"/>
          <w:szCs w:val="21"/>
          <w:highlight w:val="none"/>
          <w:u w:val="single"/>
        </w:rPr>
        <w:t xml:space="preserve"> </w:t>
      </w:r>
      <w:r>
        <w:rPr>
          <w:rFonts w:hint="eastAsia" w:ascii="宋体" w:hAnsi="宋体" w:cs="宋体"/>
          <w:highlight w:val="none"/>
          <w:u w:val="single"/>
        </w:rPr>
        <w:t>发包人应在至迟不得晚于第7.3.2项〔开工通知〕载明的开工日期前7天通过</w:t>
      </w:r>
      <w:r>
        <w:rPr>
          <w:rFonts w:hint="eastAsia" w:ascii="宋体" w:hAnsi="Times New Roman" w:eastAsia="宋体" w:cs="宋体"/>
          <w:szCs w:val="21"/>
          <w:highlight w:val="none"/>
          <w:u w:val="single"/>
        </w:rPr>
        <w:t>监理人</w:t>
      </w:r>
      <w:r>
        <w:rPr>
          <w:rFonts w:hint="eastAsia" w:ascii="宋体" w:hAnsi="宋体" w:cs="宋体"/>
          <w:highlight w:val="none"/>
          <w:u w:val="single"/>
        </w:rPr>
        <w:t>向承包人提供测量基准点、基准线和水准点及其书面资料。发包人应对其提供的测量基准点、基准线和水准点及其书面资料的真实性、准确性和完整性负责。</w:t>
      </w:r>
    </w:p>
    <w:p w14:paraId="32B2DD48">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7.5 工期延误</w:t>
      </w:r>
    </w:p>
    <w:p w14:paraId="11A63017">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7.5.1 因发包人原因导致工期延误</w:t>
      </w:r>
    </w:p>
    <w:p w14:paraId="16126CC6">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（7）因发包人原因导致工期延误的其他情形：</w:t>
      </w:r>
      <w:r>
        <w:rPr>
          <w:rFonts w:hint="eastAsia" w:ascii="宋体" w:cs="宋体"/>
          <w:szCs w:val="21"/>
          <w:highlight w:val="none"/>
          <w:u w:val="single"/>
        </w:rPr>
        <w:t xml:space="preserve"> 无     。</w:t>
      </w:r>
      <w:r>
        <w:rPr>
          <w:rFonts w:hint="eastAsia" w:ascii="宋体" w:cs="宋体"/>
          <w:szCs w:val="21"/>
          <w:highlight w:val="none"/>
        </w:rPr>
        <w:t xml:space="preserve">        </w:t>
      </w:r>
    </w:p>
    <w:p w14:paraId="1D361BB2">
      <w:pPr>
        <w:snapToGrid w:val="0"/>
        <w:spacing w:line="440" w:lineRule="exact"/>
        <w:ind w:firstLine="420" w:firstLineChars="200"/>
        <w:jc w:val="left"/>
        <w:rPr>
          <w:rFonts w:hint="eastAsia" w:ascii="宋体" w:cs="宋体"/>
          <w:color w:val="auto"/>
          <w:szCs w:val="21"/>
          <w:highlight w:val="none"/>
        </w:rPr>
      </w:pPr>
      <w:r>
        <w:rPr>
          <w:rFonts w:hint="eastAsia" w:ascii="宋体" w:cs="宋体"/>
          <w:szCs w:val="21"/>
          <w:highlight w:val="none"/>
        </w:rPr>
        <w:t>7.5.2 因</w:t>
      </w:r>
      <w:r>
        <w:rPr>
          <w:rFonts w:hint="eastAsia" w:ascii="宋体" w:cs="宋体"/>
          <w:color w:val="auto"/>
          <w:szCs w:val="21"/>
          <w:highlight w:val="none"/>
        </w:rPr>
        <w:t>承包人原因导致工期延误</w:t>
      </w:r>
    </w:p>
    <w:p w14:paraId="6D2F809F">
      <w:pPr>
        <w:pStyle w:val="2"/>
        <w:spacing w:after="0" w:line="440" w:lineRule="exact"/>
        <w:ind w:left="0" w:leftChars="0"/>
        <w:rPr>
          <w:rFonts w:hint="eastAsia"/>
          <w:highlight w:val="none"/>
        </w:rPr>
      </w:pPr>
      <w:r>
        <w:rPr>
          <w:rFonts w:hint="eastAsia"/>
          <w:color w:val="auto"/>
          <w:highlight w:val="none"/>
        </w:rPr>
        <w:t>因承包人原因造成工期延误，逾期竣工违约金的计算方法为：</w:t>
      </w:r>
      <w:r>
        <w:rPr>
          <w:rFonts w:hint="eastAsia"/>
          <w:color w:val="auto"/>
          <w:highlight w:val="none"/>
          <w:u w:val="single"/>
        </w:rPr>
        <w:t xml:space="preserve">  因承包人原因造成合同工期延误，每延误一天，罚款</w:t>
      </w:r>
      <w:r>
        <w:rPr>
          <w:rFonts w:hint="eastAsia"/>
          <w:color w:val="auto"/>
          <w:highlight w:val="none"/>
          <w:u w:val="single"/>
          <w:lang w:val="en-US" w:eastAsia="zh-CN"/>
        </w:rPr>
        <w:t>1000</w:t>
      </w:r>
      <w:r>
        <w:rPr>
          <w:rFonts w:hint="eastAsia"/>
          <w:color w:val="auto"/>
          <w:highlight w:val="none"/>
          <w:u w:val="single"/>
        </w:rPr>
        <w:t>元</w:t>
      </w:r>
      <w:r>
        <w:rPr>
          <w:rFonts w:hint="eastAsia"/>
          <w:color w:val="auto"/>
          <w:highlight w:val="none"/>
          <w:u w:val="single"/>
          <w:lang w:val="en-US" w:eastAsia="zh-CN"/>
        </w:rPr>
        <w:t>。</w:t>
      </w:r>
      <w:r>
        <w:rPr>
          <w:rFonts w:hint="eastAsia"/>
          <w:highlight w:val="none"/>
        </w:rPr>
        <w:t>因承包人原因造成工期延误，逾期竣工违约金的上限：</w:t>
      </w:r>
      <w:r>
        <w:rPr>
          <w:rFonts w:hint="eastAsia"/>
          <w:highlight w:val="none"/>
          <w:u w:val="single"/>
        </w:rPr>
        <w:t xml:space="preserve"> 全额履约保证金 </w:t>
      </w:r>
      <w:r>
        <w:rPr>
          <w:rFonts w:hint="eastAsia"/>
          <w:highlight w:val="none"/>
        </w:rPr>
        <w:t>。</w:t>
      </w:r>
    </w:p>
    <w:p w14:paraId="3163F934">
      <w:pPr>
        <w:pStyle w:val="2"/>
        <w:spacing w:after="0" w:line="440" w:lineRule="exact"/>
        <w:ind w:left="0" w:leftChars="0"/>
        <w:rPr>
          <w:rFonts w:hint="eastAsia" w:cs="宋体"/>
          <w:szCs w:val="21"/>
          <w:highlight w:val="none"/>
        </w:rPr>
      </w:pPr>
      <w:r>
        <w:rPr>
          <w:rFonts w:hint="eastAsia" w:cs="宋体"/>
          <w:bCs/>
          <w:szCs w:val="21"/>
          <w:highlight w:val="none"/>
        </w:rPr>
        <w:t>业主单位根据拖延工期的严重程度采用以下方法处理</w:t>
      </w:r>
      <w:r>
        <w:rPr>
          <w:rFonts w:hint="eastAsia" w:cs="宋体"/>
          <w:bCs/>
          <w:szCs w:val="21"/>
          <w:highlight w:val="none"/>
          <w:lang w:eastAsia="zh-CN"/>
        </w:rPr>
        <w:t>：</w:t>
      </w:r>
    </w:p>
    <w:p w14:paraId="18BE3E57">
      <w:pPr>
        <w:widowControl/>
        <w:snapToGrid w:val="0"/>
        <w:spacing w:line="440" w:lineRule="exact"/>
        <w:ind w:firstLine="420" w:firstLineChars="200"/>
        <w:rPr>
          <w:rFonts w:hint="eastAsia" w:ascii="宋体" w:cs="宋体"/>
          <w:bCs/>
          <w:szCs w:val="21"/>
          <w:highlight w:val="none"/>
          <w:u w:val="single"/>
        </w:rPr>
      </w:pPr>
      <w:r>
        <w:rPr>
          <w:rFonts w:hint="eastAsia" w:ascii="宋体" w:cs="宋体"/>
          <w:szCs w:val="21"/>
          <w:highlight w:val="none"/>
          <w:u w:val="single"/>
        </w:rPr>
        <w:t>（1）</w:t>
      </w:r>
      <w:r>
        <w:rPr>
          <w:rFonts w:hint="eastAsia" w:ascii="宋体" w:cs="宋体"/>
          <w:bCs/>
          <w:szCs w:val="21"/>
          <w:highlight w:val="none"/>
          <w:u w:val="single"/>
        </w:rPr>
        <w:t>督促承包人采取有效的赶工措施（费用自理）；</w:t>
      </w:r>
    </w:p>
    <w:p w14:paraId="5613E88C">
      <w:pPr>
        <w:snapToGrid w:val="0"/>
        <w:spacing w:line="400" w:lineRule="exact"/>
        <w:ind w:right="-334" w:rightChars="-159" w:firstLine="420" w:firstLineChars="200"/>
        <w:rPr>
          <w:rFonts w:hint="eastAsia" w:ascii="宋体" w:cs="宋体"/>
          <w:szCs w:val="21"/>
          <w:highlight w:val="none"/>
          <w:u w:val="single"/>
        </w:rPr>
      </w:pPr>
      <w:r>
        <w:rPr>
          <w:rFonts w:hint="eastAsia" w:ascii="宋体" w:hAnsi="宋体" w:cs="宋体"/>
          <w:szCs w:val="21"/>
          <w:highlight w:val="none"/>
        </w:rPr>
        <w:t>（2）</w:t>
      </w:r>
      <w:r>
        <w:rPr>
          <w:rFonts w:hint="eastAsia" w:ascii="宋体" w:hAnsi="宋体" w:cs="宋体"/>
          <w:position w:val="6"/>
          <w:szCs w:val="21"/>
          <w:highlight w:val="none"/>
          <w:u w:val="single"/>
        </w:rPr>
        <w:t>发包人根据本项目总体施工计划对工程各分部分项工程的进度目标确定之后</w:t>
      </w:r>
      <w:r>
        <w:rPr>
          <w:rFonts w:hint="eastAsia" w:ascii="宋体" w:hAnsi="宋体" w:cs="宋体"/>
          <w:szCs w:val="21"/>
          <w:highlight w:val="none"/>
          <w:u w:val="single"/>
        </w:rPr>
        <w:t>，</w:t>
      </w:r>
      <w:r>
        <w:rPr>
          <w:rFonts w:hint="eastAsia" w:ascii="宋体" w:hAnsi="宋体" w:cs="宋体"/>
          <w:position w:val="6"/>
          <w:szCs w:val="21"/>
          <w:highlight w:val="none"/>
          <w:u w:val="single"/>
        </w:rPr>
        <w:t>承包人应采取各种措施确保本合同内各分部分项工程进度目标的实现</w:t>
      </w:r>
      <w:r>
        <w:rPr>
          <w:rFonts w:hint="eastAsia" w:ascii="宋体" w:hAnsi="宋体" w:cs="宋体"/>
          <w:szCs w:val="21"/>
          <w:highlight w:val="none"/>
          <w:u w:val="single"/>
        </w:rPr>
        <w:t>，</w:t>
      </w:r>
      <w:r>
        <w:rPr>
          <w:rFonts w:hint="eastAsia" w:ascii="宋体" w:hAnsi="宋体" w:cs="宋体"/>
          <w:position w:val="6"/>
          <w:szCs w:val="21"/>
          <w:highlight w:val="none"/>
          <w:u w:val="single"/>
        </w:rPr>
        <w:t>如果在工程实施某个分部分项工程，承包人的实际进度滞后该分部分项工程进度目标7天以上</w:t>
      </w:r>
      <w:r>
        <w:rPr>
          <w:rFonts w:hint="eastAsia" w:ascii="宋体" w:hAnsi="宋体" w:cs="宋体"/>
          <w:szCs w:val="21"/>
          <w:highlight w:val="none"/>
          <w:u w:val="single"/>
        </w:rPr>
        <w:t>，</w:t>
      </w:r>
      <w:r>
        <w:rPr>
          <w:rFonts w:hint="eastAsia" w:ascii="宋体" w:hAnsi="宋体" w:cs="宋体"/>
          <w:position w:val="6"/>
          <w:szCs w:val="21"/>
          <w:highlight w:val="none"/>
          <w:u w:val="single"/>
        </w:rPr>
        <w:t>并无法确保该分部分项工程进度目标的完成或承包人虽采取了一些措施，但仍无法按交工期交工时</w:t>
      </w:r>
      <w:r>
        <w:rPr>
          <w:rFonts w:hint="eastAsia" w:ascii="宋体" w:hAnsi="宋体" w:cs="宋体"/>
          <w:szCs w:val="21"/>
          <w:highlight w:val="none"/>
          <w:u w:val="single"/>
        </w:rPr>
        <w:t>，</w:t>
      </w:r>
      <w:r>
        <w:rPr>
          <w:rFonts w:hint="eastAsia" w:ascii="宋体" w:hAnsi="宋体" w:cs="宋体"/>
          <w:position w:val="6"/>
          <w:szCs w:val="21"/>
          <w:highlight w:val="none"/>
          <w:u w:val="single"/>
        </w:rPr>
        <w:t>监理工程师应立即通知发包人，并抄送承包人。发包人向承包人发出书面警告通知3天后</w:t>
      </w:r>
      <w:r>
        <w:rPr>
          <w:rFonts w:hint="eastAsia" w:ascii="宋体" w:hAnsi="宋体" w:cs="宋体"/>
          <w:szCs w:val="21"/>
          <w:highlight w:val="none"/>
          <w:u w:val="single"/>
        </w:rPr>
        <w:t>，</w:t>
      </w:r>
      <w:r>
        <w:rPr>
          <w:rFonts w:hint="eastAsia" w:ascii="宋体" w:hAnsi="宋体" w:cs="宋体"/>
          <w:position w:val="6"/>
          <w:szCs w:val="21"/>
          <w:highlight w:val="none"/>
          <w:u w:val="single"/>
        </w:rPr>
        <w:t>发包人有权终止合同，也可将本合同工程中的一部分或剩余工作交由其他承包人或指定分包人完成</w:t>
      </w:r>
      <w:r>
        <w:rPr>
          <w:rFonts w:hint="eastAsia" w:ascii="宋体" w:hAnsi="宋体" w:cs="宋体"/>
          <w:szCs w:val="21"/>
          <w:highlight w:val="none"/>
          <w:u w:val="single"/>
        </w:rPr>
        <w:t>，</w:t>
      </w:r>
      <w:r>
        <w:rPr>
          <w:rFonts w:hint="eastAsia" w:ascii="宋体" w:hAnsi="宋体" w:cs="宋体"/>
          <w:position w:val="6"/>
          <w:szCs w:val="21"/>
          <w:highlight w:val="none"/>
          <w:u w:val="single"/>
        </w:rPr>
        <w:t>因此所增加的一切费用由原承包人承担</w:t>
      </w:r>
      <w:r>
        <w:rPr>
          <w:rFonts w:hint="eastAsia" w:ascii="宋体" w:hAnsi="宋体" w:cs="宋体"/>
          <w:szCs w:val="21"/>
          <w:highlight w:val="none"/>
          <w:u w:val="single"/>
        </w:rPr>
        <w:t>。</w:t>
      </w:r>
    </w:p>
    <w:p w14:paraId="6CB6B7A6">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u w:val="single"/>
        </w:rPr>
        <w:t>（3）</w:t>
      </w:r>
      <w:r>
        <w:rPr>
          <w:rFonts w:hint="eastAsia" w:ascii="宋体" w:cs="宋体"/>
          <w:bCs/>
          <w:szCs w:val="21"/>
          <w:highlight w:val="none"/>
          <w:u w:val="single"/>
        </w:rPr>
        <w:t>对严重拖延工期，经发包人多次督促，承包人拒不执行的，发包人可</w:t>
      </w:r>
      <w:r>
        <w:rPr>
          <w:rFonts w:hint="eastAsia" w:ascii="宋体" w:cs="宋体"/>
          <w:bCs/>
          <w:szCs w:val="21"/>
          <w:highlight w:val="none"/>
          <w:u w:val="single"/>
          <w:lang w:eastAsia="zh-CN"/>
        </w:rPr>
        <w:t>终止</w:t>
      </w:r>
      <w:r>
        <w:rPr>
          <w:rFonts w:hint="eastAsia" w:ascii="宋体" w:cs="宋体"/>
          <w:bCs/>
          <w:szCs w:val="21"/>
          <w:highlight w:val="none"/>
          <w:u w:val="single"/>
        </w:rPr>
        <w:t>施工合同，并和承包人进行清算。同时按原中</w:t>
      </w:r>
      <w:r>
        <w:rPr>
          <w:rFonts w:hint="eastAsia" w:ascii="宋体" w:cs="宋体"/>
          <w:bCs/>
          <w:szCs w:val="21"/>
          <w:highlight w:val="none"/>
          <w:u w:val="single"/>
          <w:lang w:val="en-US" w:eastAsia="zh-CN"/>
        </w:rPr>
        <w:t>标</w:t>
      </w:r>
      <w:r>
        <w:rPr>
          <w:rFonts w:hint="eastAsia" w:ascii="宋体" w:cs="宋体"/>
          <w:bCs/>
          <w:szCs w:val="21"/>
          <w:highlight w:val="none"/>
          <w:u w:val="single"/>
        </w:rPr>
        <w:t xml:space="preserve">价格另选同样资质的施工队伍进场施工，原承包人须无条件配合，不得以任何借口阻挠另选的施工队伍施工，不得向发包人提出任何索赔要求。  </w:t>
      </w:r>
    </w:p>
    <w:p w14:paraId="7BD0E645">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7.6 不利物质条件</w:t>
      </w:r>
    </w:p>
    <w:p w14:paraId="2645C99D">
      <w:pPr>
        <w:snapToGrid w:val="0"/>
        <w:spacing w:line="440" w:lineRule="exact"/>
        <w:ind w:firstLine="420" w:firstLineChars="200"/>
        <w:jc w:val="left"/>
        <w:rPr>
          <w:rFonts w:ascii="宋体" w:cs="宋体"/>
          <w:szCs w:val="21"/>
          <w:highlight w:val="none"/>
          <w:u w:val="single"/>
        </w:rPr>
      </w:pPr>
      <w:r>
        <w:rPr>
          <w:rFonts w:hint="eastAsia" w:ascii="宋体" w:cs="宋体"/>
          <w:szCs w:val="21"/>
          <w:highlight w:val="none"/>
        </w:rPr>
        <w:t>不利物质条件的其他情形和有关约定：</w:t>
      </w:r>
      <w:r>
        <w:rPr>
          <w:rFonts w:hint="eastAsia" w:ascii="宋体" w:cs="宋体"/>
          <w:szCs w:val="21"/>
          <w:highlight w:val="none"/>
          <w:u w:val="single"/>
        </w:rPr>
        <w:t xml:space="preserve"> 无  。</w:t>
      </w:r>
    </w:p>
    <w:p w14:paraId="049DF00A">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7.7异常恶劣的气候条件</w:t>
      </w:r>
    </w:p>
    <w:p w14:paraId="1EEDCDCF">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发包人和承包人同意以下情形视为异常恶劣的气候条件：</w:t>
      </w:r>
    </w:p>
    <w:p w14:paraId="06996BDA">
      <w:pPr>
        <w:numPr>
          <w:ilvl w:val="0"/>
          <w:numId w:val="2"/>
        </w:numPr>
        <w:snapToGrid w:val="0"/>
        <w:spacing w:line="440" w:lineRule="exact"/>
        <w:ind w:firstLine="420" w:firstLineChars="200"/>
        <w:jc w:val="left"/>
        <w:rPr>
          <w:rFonts w:hint="eastAsia"/>
          <w:highlight w:val="none"/>
        </w:rPr>
      </w:pPr>
      <w:r>
        <w:rPr>
          <w:rFonts w:hint="eastAsia" w:ascii="宋体" w:cs="宋体"/>
          <w:szCs w:val="21"/>
          <w:highlight w:val="none"/>
          <w:u w:val="single"/>
        </w:rPr>
        <w:t xml:space="preserve"> 无   </w:t>
      </w:r>
      <w:r>
        <w:rPr>
          <w:rFonts w:hint="eastAsia" w:ascii="宋体" w:cs="宋体"/>
          <w:szCs w:val="21"/>
          <w:highlight w:val="none"/>
        </w:rPr>
        <w:t>；</w:t>
      </w:r>
    </w:p>
    <w:p w14:paraId="419186D3">
      <w:pPr>
        <w:numPr>
          <w:ilvl w:val="0"/>
          <w:numId w:val="2"/>
        </w:numPr>
        <w:snapToGrid w:val="0"/>
        <w:spacing w:line="440" w:lineRule="exact"/>
        <w:ind w:firstLine="420" w:firstLineChars="200"/>
        <w:jc w:val="left"/>
        <w:rPr>
          <w:rFonts w:hint="eastAsia"/>
          <w:highlight w:val="none"/>
        </w:rPr>
      </w:pPr>
      <w:r>
        <w:rPr>
          <w:rFonts w:hint="eastAsia" w:ascii="宋体" w:cs="宋体"/>
          <w:szCs w:val="21"/>
          <w:highlight w:val="none"/>
          <w:u w:val="single"/>
        </w:rPr>
        <w:t xml:space="preserve"> 无   </w:t>
      </w:r>
      <w:r>
        <w:rPr>
          <w:rFonts w:hint="eastAsia" w:ascii="宋体" w:cs="宋体"/>
          <w:szCs w:val="21"/>
          <w:highlight w:val="none"/>
        </w:rPr>
        <w:t>；</w:t>
      </w:r>
    </w:p>
    <w:p w14:paraId="5A5BAC38">
      <w:pPr>
        <w:numPr>
          <w:ilvl w:val="0"/>
          <w:numId w:val="2"/>
        </w:numPr>
        <w:snapToGrid w:val="0"/>
        <w:spacing w:line="440" w:lineRule="exact"/>
        <w:ind w:firstLine="420" w:firstLineChars="200"/>
        <w:jc w:val="left"/>
        <w:rPr>
          <w:rFonts w:hint="eastAsia"/>
          <w:highlight w:val="none"/>
        </w:rPr>
      </w:pPr>
      <w:r>
        <w:rPr>
          <w:rFonts w:hint="eastAsia" w:ascii="宋体" w:cs="宋体"/>
          <w:szCs w:val="21"/>
          <w:highlight w:val="none"/>
          <w:u w:val="single"/>
        </w:rPr>
        <w:t xml:space="preserve"> 无   </w:t>
      </w:r>
      <w:r>
        <w:rPr>
          <w:rFonts w:hint="eastAsia" w:ascii="宋体" w:cs="宋体"/>
          <w:szCs w:val="21"/>
          <w:highlight w:val="none"/>
        </w:rPr>
        <w:t>；</w:t>
      </w:r>
    </w:p>
    <w:p w14:paraId="72D8DA8A">
      <w:pPr>
        <w:snapToGrid w:val="0"/>
        <w:spacing w:line="440" w:lineRule="exact"/>
        <w:ind w:firstLine="420" w:firstLineChars="200"/>
        <w:jc w:val="left"/>
        <w:rPr>
          <w:rFonts w:hint="eastAsia" w:ascii="宋体" w:hAnsi="宋体" w:cs="宋体"/>
          <w:highlight w:val="none"/>
        </w:rPr>
      </w:pPr>
      <w:r>
        <w:rPr>
          <w:rFonts w:hint="eastAsia" w:ascii="宋体" w:hAnsi="宋体" w:cs="宋体"/>
          <w:highlight w:val="none"/>
        </w:rPr>
        <w:t>7.9 提前竣工的奖励</w:t>
      </w:r>
    </w:p>
    <w:p w14:paraId="6C6ED465">
      <w:pPr>
        <w:pStyle w:val="2"/>
        <w:spacing w:after="0" w:line="440" w:lineRule="exact"/>
        <w:ind w:left="0" w:leftChars="0"/>
        <w:rPr>
          <w:rFonts w:hint="eastAsia"/>
        </w:rPr>
      </w:pPr>
      <w:r>
        <w:rPr>
          <w:rFonts w:hint="eastAsia"/>
          <w:highlight w:val="none"/>
        </w:rPr>
        <w:t>7.9.2提前竣工的奖励：</w:t>
      </w:r>
      <w:r>
        <w:rPr>
          <w:rFonts w:hint="eastAsia"/>
          <w:highlight w:val="none"/>
          <w:u w:val="single"/>
        </w:rPr>
        <w:t xml:space="preserve"> 由发包人根据提前竣工天数，结合项目考</w:t>
      </w:r>
      <w:r>
        <w:rPr>
          <w:rFonts w:hint="eastAsia"/>
          <w:u w:val="single"/>
        </w:rPr>
        <w:t xml:space="preserve">勤、质量、安全等实际情况综合考虑     </w:t>
      </w:r>
      <w:r>
        <w:rPr>
          <w:rFonts w:hint="eastAsia"/>
        </w:rPr>
        <w:t>。</w:t>
      </w:r>
    </w:p>
    <w:p w14:paraId="394DFA65">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8. 材料与设备</w:t>
      </w:r>
    </w:p>
    <w:p w14:paraId="2A8390C2">
      <w:pPr>
        <w:snapToGrid w:val="0"/>
        <w:spacing w:line="440" w:lineRule="exact"/>
        <w:ind w:firstLine="420" w:firstLineChars="200"/>
        <w:rPr>
          <w:rFonts w:hint="eastAsia" w:ascii="宋体" w:cs="宋体"/>
          <w:szCs w:val="21"/>
        </w:rPr>
      </w:pPr>
      <w:r>
        <w:rPr>
          <w:rFonts w:hint="eastAsia" w:ascii="宋体" w:cs="宋体"/>
          <w:szCs w:val="21"/>
        </w:rPr>
        <w:t>8.4材料与工程设备的保管与使用</w:t>
      </w:r>
    </w:p>
    <w:p w14:paraId="7406874C">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8.4.1发包人供应的材料设备的保管费用的承担：</w:t>
      </w:r>
      <w:r>
        <w:rPr>
          <w:rFonts w:hint="eastAsia" w:ascii="宋体" w:cs="宋体"/>
          <w:color w:val="auto"/>
          <w:szCs w:val="21"/>
          <w:u w:val="single"/>
          <w:lang w:eastAsia="zh-CN"/>
        </w:rPr>
        <w:t>交付之日</w:t>
      </w:r>
      <w:r>
        <w:rPr>
          <w:rFonts w:hint="eastAsia" w:ascii="宋体" w:cs="宋体"/>
          <w:color w:val="auto"/>
          <w:szCs w:val="21"/>
          <w:u w:val="single"/>
        </w:rPr>
        <w:t>由承包人承担。</w:t>
      </w:r>
    </w:p>
    <w:p w14:paraId="44B60519">
      <w:pPr>
        <w:snapToGrid w:val="0"/>
        <w:spacing w:line="440" w:lineRule="exact"/>
        <w:ind w:firstLine="420" w:firstLineChars="200"/>
        <w:rPr>
          <w:rFonts w:hint="eastAsia" w:ascii="宋体" w:cs="宋体"/>
          <w:color w:val="auto"/>
          <w:szCs w:val="21"/>
        </w:rPr>
      </w:pPr>
      <w:r>
        <w:rPr>
          <w:rFonts w:hint="eastAsia" w:ascii="宋体" w:cs="宋体"/>
          <w:color w:val="auto"/>
          <w:szCs w:val="21"/>
        </w:rPr>
        <w:t>8.6 样品</w:t>
      </w:r>
    </w:p>
    <w:p w14:paraId="53B79BFB">
      <w:pPr>
        <w:autoSpaceDE w:val="0"/>
        <w:autoSpaceDN w:val="0"/>
        <w:adjustRightInd w:val="0"/>
        <w:snapToGrid w:val="0"/>
        <w:spacing w:line="440" w:lineRule="exact"/>
        <w:ind w:firstLine="420" w:firstLineChars="200"/>
        <w:jc w:val="left"/>
        <w:rPr>
          <w:rFonts w:hint="eastAsia" w:ascii="宋体" w:cs="宋体"/>
          <w:color w:val="auto"/>
          <w:kern w:val="0"/>
          <w:szCs w:val="21"/>
        </w:rPr>
      </w:pPr>
      <w:r>
        <w:rPr>
          <w:rFonts w:hint="eastAsia" w:ascii="宋体" w:cs="宋体"/>
          <w:color w:val="auto"/>
          <w:kern w:val="0"/>
          <w:szCs w:val="21"/>
        </w:rPr>
        <w:t>8.6.1样品的报送与封存</w:t>
      </w:r>
    </w:p>
    <w:p w14:paraId="1C7AD2DF">
      <w:pPr>
        <w:snapToGrid w:val="0"/>
        <w:spacing w:line="440" w:lineRule="exact"/>
        <w:ind w:firstLine="420" w:firstLineChars="200"/>
        <w:rPr>
          <w:rFonts w:hint="eastAsia" w:ascii="宋体" w:cs="宋体"/>
          <w:color w:val="auto"/>
          <w:szCs w:val="21"/>
          <w:u w:val="single"/>
        </w:rPr>
      </w:pPr>
      <w:r>
        <w:rPr>
          <w:rFonts w:hint="eastAsia" w:ascii="宋体" w:cs="宋体"/>
          <w:color w:val="auto"/>
          <w:szCs w:val="21"/>
        </w:rPr>
        <w:t>需要承包人报送样品的材料或工程设备，样品的种类、名称、规格、数量要求：</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p>
    <w:p w14:paraId="15D5C90B">
      <w:pPr>
        <w:snapToGrid w:val="0"/>
        <w:spacing w:line="440" w:lineRule="exact"/>
        <w:ind w:firstLine="420" w:firstLineChars="200"/>
        <w:rPr>
          <w:rFonts w:hint="eastAsia" w:ascii="宋体" w:cs="宋体"/>
          <w:color w:val="auto"/>
          <w:szCs w:val="21"/>
        </w:rPr>
      </w:pPr>
      <w:r>
        <w:rPr>
          <w:rFonts w:hint="eastAsia" w:ascii="宋体" w:cs="宋体"/>
          <w:color w:val="auto"/>
          <w:szCs w:val="21"/>
        </w:rPr>
        <w:t>8.8 施工设备和临时设施</w:t>
      </w:r>
    </w:p>
    <w:p w14:paraId="7E2E2EF1">
      <w:pPr>
        <w:autoSpaceDE w:val="0"/>
        <w:autoSpaceDN w:val="0"/>
        <w:adjustRightInd w:val="0"/>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8.8.1 承包人提供的施工设备和临时设施</w:t>
      </w:r>
    </w:p>
    <w:p w14:paraId="52BEE37C">
      <w:pPr>
        <w:autoSpaceDE w:val="0"/>
        <w:autoSpaceDN w:val="0"/>
        <w:adjustRightInd w:val="0"/>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关于修建临时设施费用承担的约定：</w:t>
      </w:r>
      <w:r>
        <w:rPr>
          <w:rFonts w:hint="eastAsia" w:ascii="宋体" w:cs="宋体"/>
          <w:color w:val="auto"/>
          <w:szCs w:val="21"/>
          <w:u w:val="single"/>
        </w:rPr>
        <w:t xml:space="preserve">  由承包人自行承担费用   </w:t>
      </w:r>
      <w:r>
        <w:rPr>
          <w:rFonts w:hint="eastAsia" w:ascii="宋体" w:cs="宋体"/>
          <w:color w:val="auto"/>
          <w:szCs w:val="21"/>
        </w:rPr>
        <w:t>。</w:t>
      </w:r>
    </w:p>
    <w:p w14:paraId="348BE2C6">
      <w:pPr>
        <w:pStyle w:val="9"/>
        <w:snapToGrid w:val="0"/>
        <w:spacing w:before="0" w:after="0" w:line="440" w:lineRule="exact"/>
        <w:ind w:firstLine="420" w:firstLineChars="200"/>
        <w:rPr>
          <w:rFonts w:hint="eastAsia" w:ascii="宋体" w:eastAsia="宋体" w:cs="宋体"/>
          <w:b w:val="0"/>
          <w:color w:val="auto"/>
          <w:sz w:val="21"/>
          <w:szCs w:val="21"/>
        </w:rPr>
      </w:pPr>
      <w:r>
        <w:rPr>
          <w:rFonts w:hint="eastAsia" w:ascii="宋体" w:eastAsia="宋体" w:cs="宋体"/>
          <w:b w:val="0"/>
          <w:color w:val="auto"/>
          <w:sz w:val="21"/>
          <w:szCs w:val="21"/>
        </w:rPr>
        <w:t>9. 试验与检验</w:t>
      </w:r>
    </w:p>
    <w:p w14:paraId="63F8F678">
      <w:pPr>
        <w:snapToGrid w:val="0"/>
        <w:spacing w:line="440" w:lineRule="exact"/>
        <w:ind w:firstLine="420" w:firstLineChars="200"/>
        <w:rPr>
          <w:rFonts w:hint="eastAsia" w:ascii="宋体" w:cs="宋体"/>
          <w:color w:val="auto"/>
          <w:szCs w:val="21"/>
        </w:rPr>
      </w:pPr>
      <w:r>
        <w:rPr>
          <w:rFonts w:hint="eastAsia" w:ascii="宋体" w:cs="宋体"/>
          <w:color w:val="auto"/>
          <w:szCs w:val="21"/>
        </w:rPr>
        <w:t>9.1试验设备与试验人员</w:t>
      </w:r>
    </w:p>
    <w:p w14:paraId="590F90A0">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9.1.2 试验设备</w:t>
      </w:r>
    </w:p>
    <w:p w14:paraId="7E98BA7C">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施工现场需要配置的试验场所：</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r>
        <w:rPr>
          <w:rFonts w:hint="eastAsia" w:ascii="宋体" w:cs="宋体"/>
          <w:color w:val="auto"/>
          <w:szCs w:val="21"/>
        </w:rPr>
        <w:t xml:space="preserve">。 </w:t>
      </w:r>
    </w:p>
    <w:p w14:paraId="30C3CD2D">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施工现场需要配备的试验设备：</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r>
        <w:rPr>
          <w:rFonts w:hint="eastAsia" w:ascii="宋体" w:cs="宋体"/>
          <w:color w:val="auto"/>
          <w:szCs w:val="21"/>
        </w:rPr>
        <w:t>。</w:t>
      </w:r>
    </w:p>
    <w:p w14:paraId="49322D05">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施工现场需要具备的其他试验条件：</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r>
        <w:rPr>
          <w:rFonts w:hint="eastAsia" w:ascii="宋体" w:cs="宋体"/>
          <w:color w:val="auto"/>
          <w:szCs w:val="21"/>
        </w:rPr>
        <w:t>。</w:t>
      </w:r>
    </w:p>
    <w:p w14:paraId="3106D772">
      <w:pPr>
        <w:snapToGrid w:val="0"/>
        <w:spacing w:line="440" w:lineRule="exact"/>
        <w:ind w:firstLine="420" w:firstLineChars="200"/>
        <w:rPr>
          <w:rFonts w:hint="eastAsia" w:ascii="宋体" w:cs="宋体"/>
          <w:color w:val="auto"/>
          <w:szCs w:val="21"/>
        </w:rPr>
      </w:pPr>
      <w:r>
        <w:rPr>
          <w:rFonts w:hint="eastAsia" w:ascii="宋体" w:cs="宋体"/>
          <w:color w:val="auto"/>
          <w:szCs w:val="21"/>
        </w:rPr>
        <w:t xml:space="preserve">9.4 现场工艺试验 </w:t>
      </w:r>
    </w:p>
    <w:p w14:paraId="57E8BD73">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现场工艺试验的有关约定：</w:t>
      </w:r>
      <w:r>
        <w:rPr>
          <w:rFonts w:hint="eastAsia" w:ascii="宋体" w:cs="宋体"/>
          <w:color w:val="auto"/>
          <w:szCs w:val="21"/>
          <w:u w:val="single"/>
        </w:rPr>
        <w:t xml:space="preserve">   按监理人指示    </w:t>
      </w:r>
      <w:r>
        <w:rPr>
          <w:rFonts w:hint="eastAsia" w:ascii="宋体" w:cs="宋体"/>
          <w:color w:val="auto"/>
          <w:szCs w:val="21"/>
        </w:rPr>
        <w:t>。</w:t>
      </w:r>
    </w:p>
    <w:p w14:paraId="0BF396F9">
      <w:pPr>
        <w:pStyle w:val="9"/>
        <w:snapToGrid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10. 变更</w:t>
      </w:r>
    </w:p>
    <w:p w14:paraId="36E56CDB">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10.1变更的范围</w:t>
      </w:r>
    </w:p>
    <w:p w14:paraId="234E064E">
      <w:pPr>
        <w:snapToGrid w:val="0"/>
        <w:spacing w:line="440" w:lineRule="exact"/>
        <w:ind w:firstLine="420" w:firstLineChars="200"/>
        <w:jc w:val="left"/>
        <w:rPr>
          <w:rFonts w:hint="eastAsia" w:ascii="宋体" w:hAnsi="宋体" w:cs="宋体"/>
          <w:color w:val="auto"/>
          <w:szCs w:val="21"/>
          <w:u w:val="single"/>
        </w:rPr>
      </w:pPr>
      <w:r>
        <w:rPr>
          <w:rFonts w:hint="eastAsia" w:ascii="宋体" w:hAnsi="宋体" w:cs="宋体"/>
          <w:color w:val="auto"/>
          <w:szCs w:val="21"/>
        </w:rPr>
        <w:t>关于变更范围的约定：</w:t>
      </w:r>
      <w:r>
        <w:rPr>
          <w:rFonts w:hint="eastAsia" w:ascii="宋体" w:hAnsi="宋体" w:cs="宋体"/>
          <w:b/>
          <w:color w:val="auto"/>
          <w:szCs w:val="21"/>
          <w:u w:val="single"/>
        </w:rPr>
        <w:t>执行合同通用条款</w:t>
      </w:r>
      <w:r>
        <w:rPr>
          <w:rFonts w:hint="eastAsia" w:ascii="宋体" w:hAnsi="宋体" w:cs="宋体"/>
          <w:b/>
          <w:bCs/>
          <w:color w:val="auto"/>
          <w:szCs w:val="21"/>
          <w:u w:val="single"/>
        </w:rPr>
        <w:t>。</w:t>
      </w:r>
    </w:p>
    <w:p w14:paraId="7CC01665">
      <w:pPr>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10.4 变更估价</w:t>
      </w:r>
    </w:p>
    <w:p w14:paraId="1B09559A">
      <w:pPr>
        <w:keepNext w:val="0"/>
        <w:keepLines w:val="0"/>
        <w:pageBreakBefore w:val="0"/>
        <w:widowControl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u w:val="single"/>
        </w:rPr>
      </w:pPr>
      <w:r>
        <w:rPr>
          <w:rFonts w:hint="eastAsia" w:ascii="宋体" w:hAnsi="宋体" w:cs="宋体"/>
          <w:color w:val="auto"/>
          <w:szCs w:val="21"/>
        </w:rPr>
        <w:t>10.4.1变更估价原则</w:t>
      </w:r>
      <w:r>
        <w:rPr>
          <w:rFonts w:hint="eastAsia" w:ascii="宋体" w:hAnsi="宋体" w:cs="宋体"/>
          <w:color w:val="auto"/>
          <w:kern w:val="0"/>
          <w:szCs w:val="21"/>
        </w:rPr>
        <w:br w:type="textWrapping"/>
      </w:r>
      <w:r>
        <w:rPr>
          <w:rFonts w:hint="eastAsia" w:ascii="宋体" w:hAnsi="宋体" w:cs="宋体"/>
          <w:color w:val="auto"/>
          <w:kern w:val="0"/>
          <w:szCs w:val="21"/>
        </w:rPr>
        <w:t xml:space="preserve">   </w:t>
      </w:r>
      <w:r>
        <w:rPr>
          <w:rFonts w:hint="eastAsia" w:ascii="宋体" w:hAnsi="宋体" w:cs="宋体"/>
          <w:color w:val="auto"/>
          <w:szCs w:val="21"/>
        </w:rPr>
        <w:t>关于变更估价的约定</w:t>
      </w:r>
      <w:r>
        <w:rPr>
          <w:rFonts w:hint="eastAsia" w:ascii="宋体" w:hAnsi="宋体" w:cs="宋体"/>
          <w:color w:val="auto"/>
          <w:szCs w:val="21"/>
          <w:lang w:eastAsia="zh-CN"/>
        </w:rPr>
        <w:t>：</w:t>
      </w:r>
    </w:p>
    <w:p w14:paraId="6849F1F8">
      <w:pPr>
        <w:pStyle w:val="2"/>
        <w:keepNext w:val="0"/>
        <w:keepLines w:val="0"/>
        <w:pageBreakBefore w:val="0"/>
        <w:widowControl w:val="0"/>
        <w:kinsoku/>
        <w:wordWrap/>
        <w:overflowPunct/>
        <w:topLinePunct w:val="0"/>
        <w:bidi w:val="0"/>
        <w:spacing w:after="0" w:line="440" w:lineRule="exact"/>
        <w:ind w:left="0" w:leftChars="0" w:firstLine="422"/>
        <w:textAlignment w:val="auto"/>
        <w:rPr>
          <w:rFonts w:hint="eastAsia" w:ascii="宋体" w:hAnsi="宋体" w:cs="宋体"/>
          <w:b/>
          <w:color w:val="auto"/>
          <w:u w:val="single"/>
        </w:rPr>
      </w:pPr>
      <w:r>
        <w:rPr>
          <w:rFonts w:hint="eastAsia" w:ascii="宋体" w:hAnsi="宋体" w:cs="宋体"/>
          <w:b/>
          <w:bCs/>
          <w:color w:val="auto"/>
          <w:szCs w:val="21"/>
          <w:u w:val="single"/>
        </w:rPr>
        <w:t>变更导致结算工程量</w:t>
      </w:r>
      <w:r>
        <w:rPr>
          <w:rFonts w:hint="eastAsia" w:hAnsi="宋体" w:cs="宋体"/>
          <w:b/>
          <w:bCs/>
          <w:color w:val="auto"/>
          <w:szCs w:val="21"/>
          <w:u w:val="single"/>
          <w:lang w:eastAsia="zh-CN"/>
        </w:rPr>
        <w:t>，</w:t>
      </w:r>
      <w:r>
        <w:rPr>
          <w:rFonts w:hint="eastAsia" w:ascii="宋体" w:hAnsi="宋体" w:cs="宋体"/>
          <w:b/>
          <w:bCs/>
          <w:color w:val="auto"/>
          <w:szCs w:val="21"/>
          <w:u w:val="single"/>
        </w:rPr>
        <w:t>减少0-100%或增加15%以内部分，执行下列第（1）款或第（2）款确定的单价；但超出15%以外部分，</w:t>
      </w:r>
      <w:r>
        <w:rPr>
          <w:rFonts w:hint="eastAsia" w:ascii="宋体" w:hAnsi="宋体" w:cs="宋体"/>
          <w:b/>
          <w:bCs/>
          <w:color w:val="auto"/>
          <w:szCs w:val="21"/>
          <w:u w:val="single"/>
          <w:lang w:val="en-US" w:eastAsia="zh-CN"/>
        </w:rPr>
        <w:t>依据中标合同工程量清单计价进行组价结算，没有清单价的部分，依据政府信息价组价，没有信息价的，进行市场询价确定单价。</w:t>
      </w:r>
      <w:r>
        <w:rPr>
          <w:rFonts w:hint="eastAsia" w:ascii="宋体" w:hAnsi="宋体" w:cs="宋体"/>
          <w:b/>
          <w:bCs/>
          <w:color w:val="auto"/>
          <w:szCs w:val="21"/>
          <w:u w:val="single"/>
        </w:rPr>
        <w:t>结算价格最终以相关部门审核价为准；</w:t>
      </w:r>
    </w:p>
    <w:p w14:paraId="32A32E2B">
      <w:pPr>
        <w:pStyle w:val="2"/>
        <w:keepNext w:val="0"/>
        <w:keepLines w:val="0"/>
        <w:pageBreakBefore w:val="0"/>
        <w:widowControl w:val="0"/>
        <w:kinsoku/>
        <w:wordWrap/>
        <w:overflowPunct/>
        <w:topLinePunct w:val="0"/>
        <w:bidi w:val="0"/>
        <w:spacing w:after="0" w:line="440" w:lineRule="exact"/>
        <w:ind w:left="0" w:leftChars="0" w:firstLine="422"/>
        <w:textAlignment w:val="auto"/>
        <w:rPr>
          <w:rFonts w:hint="eastAsia" w:ascii="宋体" w:hAnsi="宋体" w:cs="宋体"/>
          <w:b/>
          <w:color w:val="auto"/>
          <w:u w:val="single"/>
        </w:rPr>
      </w:pPr>
      <w:r>
        <w:rPr>
          <w:rFonts w:hint="eastAsia" w:ascii="宋体" w:hAnsi="宋体" w:cs="宋体"/>
          <w:b/>
          <w:color w:val="auto"/>
          <w:u w:val="single"/>
        </w:rPr>
        <w:t>（1）已标价工程量清单或预算书有相同项目的，按照相同项目单价认定；</w:t>
      </w:r>
    </w:p>
    <w:p w14:paraId="4BF0FE8C">
      <w:pPr>
        <w:keepNext w:val="0"/>
        <w:keepLines w:val="0"/>
        <w:pageBreakBefore w:val="0"/>
        <w:widowControl w:val="0"/>
        <w:kinsoku/>
        <w:wordWrap/>
        <w:overflowPunct/>
        <w:topLinePunct w:val="0"/>
        <w:autoSpaceDE w:val="0"/>
        <w:autoSpaceDN w:val="0"/>
        <w:bidi w:val="0"/>
        <w:adjustRightInd w:val="0"/>
        <w:spacing w:line="440" w:lineRule="exact"/>
        <w:ind w:firstLine="422" w:firstLineChars="200"/>
        <w:jc w:val="left"/>
        <w:textAlignment w:val="auto"/>
        <w:rPr>
          <w:rFonts w:hint="eastAsia" w:ascii="宋体" w:hAnsi="宋体" w:cs="宋体"/>
          <w:b/>
          <w:bCs/>
          <w:color w:val="auto"/>
          <w:szCs w:val="21"/>
          <w:u w:val="single"/>
        </w:rPr>
      </w:pPr>
      <w:r>
        <w:rPr>
          <w:rFonts w:hint="eastAsia" w:ascii="宋体" w:hAnsi="宋体" w:cs="宋体"/>
          <w:b/>
          <w:bCs/>
          <w:color w:val="auto"/>
          <w:szCs w:val="21"/>
          <w:u w:val="single"/>
        </w:rPr>
        <w:t>（2）</w:t>
      </w:r>
      <w:r>
        <w:rPr>
          <w:rFonts w:hint="eastAsia" w:ascii="宋体" w:hAnsi="宋体" w:cs="宋体"/>
          <w:b/>
          <w:color w:val="auto"/>
          <w:u w:val="single"/>
        </w:rPr>
        <w:t>已标价工程量清单或预算书中无相同项目，但有类似项目的，参照类似项目的单价认定。</w:t>
      </w:r>
    </w:p>
    <w:p w14:paraId="37424AC7">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cs="宋体"/>
          <w:b/>
          <w:color w:val="auto"/>
          <w:szCs w:val="21"/>
          <w:u w:val="single"/>
        </w:rPr>
      </w:pPr>
      <w:r>
        <w:rPr>
          <w:rFonts w:hint="eastAsia" w:ascii="宋体" w:hAnsi="宋体" w:cs="宋体"/>
          <w:color w:val="auto"/>
          <w:szCs w:val="21"/>
        </w:rPr>
        <w:t>技术措施费调整：</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不调整</w:t>
      </w:r>
      <w:r>
        <w:rPr>
          <w:rFonts w:hint="eastAsia" w:ascii="宋体" w:hAnsi="宋体" w:cs="宋体"/>
          <w:b/>
          <w:color w:val="auto"/>
          <w:szCs w:val="21"/>
          <w:u w:val="single"/>
        </w:rPr>
        <w:t>。</w:t>
      </w:r>
    </w:p>
    <w:p w14:paraId="5D2C7885">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cs="宋体"/>
          <w:color w:val="auto"/>
          <w:szCs w:val="21"/>
          <w:u w:val="single"/>
        </w:rPr>
      </w:pPr>
      <w:r>
        <w:rPr>
          <w:rFonts w:hint="eastAsia" w:ascii="宋体" w:hAnsi="宋体" w:cs="宋体"/>
          <w:color w:val="auto"/>
          <w:szCs w:val="21"/>
        </w:rPr>
        <w:t>组织措施费调整：</w:t>
      </w:r>
      <w:r>
        <w:rPr>
          <w:rFonts w:hint="eastAsia" w:ascii="宋体" w:hAnsi="宋体" w:cs="宋体"/>
          <w:b/>
          <w:color w:val="auto"/>
          <w:szCs w:val="21"/>
          <w:u w:val="single"/>
          <w:lang w:val="en-US" w:eastAsia="zh-CN"/>
        </w:rPr>
        <w:t>不调整</w:t>
      </w:r>
      <w:r>
        <w:rPr>
          <w:rFonts w:hint="eastAsia" w:ascii="宋体" w:hAnsi="宋体" w:cs="宋体"/>
          <w:b/>
          <w:color w:val="auto"/>
          <w:szCs w:val="21"/>
          <w:u w:val="single"/>
        </w:rPr>
        <w:t>。</w:t>
      </w:r>
    </w:p>
    <w:p w14:paraId="51FEC2A5">
      <w:pPr>
        <w:snapToGrid w:val="0"/>
        <w:spacing w:line="440" w:lineRule="exact"/>
        <w:ind w:firstLine="420" w:firstLineChars="200"/>
        <w:rPr>
          <w:rFonts w:hint="eastAsia" w:ascii="宋体" w:cs="宋体"/>
          <w:color w:val="auto"/>
          <w:szCs w:val="21"/>
        </w:rPr>
      </w:pPr>
      <w:r>
        <w:rPr>
          <w:rFonts w:hint="eastAsia" w:ascii="宋体" w:cs="宋体"/>
          <w:color w:val="auto"/>
          <w:szCs w:val="21"/>
        </w:rPr>
        <w:t>10.5承包人的合理化建议</w:t>
      </w:r>
    </w:p>
    <w:p w14:paraId="04E7A660">
      <w:pPr>
        <w:snapToGrid w:val="0"/>
        <w:spacing w:line="440" w:lineRule="exact"/>
        <w:ind w:firstLine="420" w:firstLineChars="200"/>
        <w:jc w:val="left"/>
        <w:rPr>
          <w:rFonts w:hint="eastAsia" w:ascii="宋体" w:cs="宋体"/>
          <w:szCs w:val="21"/>
          <w:highlight w:val="none"/>
        </w:rPr>
      </w:pPr>
      <w:r>
        <w:rPr>
          <w:rFonts w:hint="eastAsia" w:ascii="宋体" w:cs="宋体"/>
          <w:szCs w:val="21"/>
        </w:rPr>
        <w:t>监理人审查承包人合理化建议的期限</w:t>
      </w:r>
      <w:r>
        <w:rPr>
          <w:rFonts w:hint="eastAsia" w:ascii="宋体" w:cs="宋体"/>
          <w:szCs w:val="21"/>
          <w:highlight w:val="none"/>
        </w:rPr>
        <w:t>：</w:t>
      </w:r>
      <w:r>
        <w:rPr>
          <w:rFonts w:hint="eastAsia" w:ascii="宋体" w:cs="宋体"/>
          <w:szCs w:val="21"/>
          <w:highlight w:val="none"/>
          <w:u w:val="single"/>
        </w:rPr>
        <w:t xml:space="preserve"> </w:t>
      </w:r>
      <w:r>
        <w:rPr>
          <w:rFonts w:hint="eastAsia" w:ascii="宋体" w:hAnsi="Times New Roman" w:eastAsia="宋体" w:cs="宋体"/>
          <w:szCs w:val="21"/>
          <w:highlight w:val="none"/>
          <w:u w:val="single"/>
        </w:rPr>
        <w:t>监理人</w:t>
      </w:r>
      <w:r>
        <w:rPr>
          <w:rFonts w:hint="eastAsia" w:ascii="宋体" w:cs="宋体"/>
          <w:szCs w:val="21"/>
          <w:highlight w:val="none"/>
          <w:u w:val="single"/>
        </w:rPr>
        <w:t>应在收到承包人提交的合理化建议后7天内审查完毕并报送发包人，发现其中存在技术上的缺陷，应通知承包人修改。</w:t>
      </w:r>
    </w:p>
    <w:p w14:paraId="4C7FF324">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发包人审批承包人合理化建议的期限：</w:t>
      </w:r>
      <w:r>
        <w:rPr>
          <w:rFonts w:hint="eastAsia" w:ascii="宋体" w:cs="宋体"/>
          <w:szCs w:val="21"/>
          <w:highlight w:val="none"/>
          <w:u w:val="single"/>
        </w:rPr>
        <w:t xml:space="preserve"> 发包人应在收到</w:t>
      </w:r>
      <w:r>
        <w:rPr>
          <w:rFonts w:hint="eastAsia" w:ascii="宋体" w:hAnsi="Times New Roman" w:eastAsia="宋体" w:cs="宋体"/>
          <w:szCs w:val="21"/>
          <w:highlight w:val="none"/>
          <w:u w:val="single"/>
        </w:rPr>
        <w:t>监理人</w:t>
      </w:r>
      <w:r>
        <w:rPr>
          <w:rFonts w:hint="eastAsia" w:ascii="宋体" w:cs="宋体"/>
          <w:szCs w:val="21"/>
          <w:highlight w:val="none"/>
          <w:u w:val="single"/>
        </w:rPr>
        <w:t>报送的合理化建议后7天内审批完毕。合理化建议经发包人批准的，</w:t>
      </w:r>
      <w:r>
        <w:rPr>
          <w:rFonts w:hint="eastAsia" w:ascii="宋体" w:hAnsi="Times New Roman" w:eastAsia="宋体" w:cs="宋体"/>
          <w:szCs w:val="21"/>
          <w:highlight w:val="none"/>
          <w:u w:val="single"/>
        </w:rPr>
        <w:t>监理人</w:t>
      </w:r>
      <w:r>
        <w:rPr>
          <w:rFonts w:hint="eastAsia" w:ascii="宋体" w:cs="宋体"/>
          <w:szCs w:val="21"/>
          <w:highlight w:val="none"/>
          <w:u w:val="single"/>
        </w:rPr>
        <w:t>应及时发出变更指示，由此引起的合同价格调整按照第10.4款〔变更估价〕约定执行。发包人不同意变更的，</w:t>
      </w:r>
      <w:r>
        <w:rPr>
          <w:rFonts w:hint="eastAsia" w:ascii="宋体" w:hAnsi="Times New Roman" w:eastAsia="宋体" w:cs="宋体"/>
          <w:szCs w:val="21"/>
          <w:highlight w:val="none"/>
          <w:u w:val="single"/>
        </w:rPr>
        <w:t>监理人</w:t>
      </w:r>
      <w:r>
        <w:rPr>
          <w:rFonts w:hint="eastAsia" w:ascii="宋体" w:cs="宋体"/>
          <w:szCs w:val="21"/>
          <w:highlight w:val="none"/>
          <w:u w:val="single"/>
        </w:rPr>
        <w:t>应书面通知承包人。</w:t>
      </w:r>
    </w:p>
    <w:p w14:paraId="4F4C2DC1">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rPr>
        <w:t>承包人提出的合理化建议降低了合同价格或者提高了工程经济效益的奖励的方法和金额为：</w:t>
      </w:r>
      <w:r>
        <w:rPr>
          <w:rFonts w:hint="eastAsia"/>
          <w:highlight w:val="none"/>
          <w:u w:val="single"/>
        </w:rPr>
        <w:t>由发包人根据合同价格降低额或工程经济效益提高承担，结合项目考勤、质量、安全、进度等实际情况综合考虑</w:t>
      </w:r>
      <w:r>
        <w:rPr>
          <w:rFonts w:hint="eastAsia"/>
          <w:highlight w:val="none"/>
        </w:rPr>
        <w:t>。</w:t>
      </w:r>
    </w:p>
    <w:p w14:paraId="5AF887FD">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10.7 暂估价</w:t>
      </w:r>
    </w:p>
    <w:p w14:paraId="1DED4A76">
      <w:pPr>
        <w:pStyle w:val="2"/>
        <w:spacing w:after="0" w:line="440" w:lineRule="exact"/>
        <w:ind w:left="0" w:leftChars="0"/>
        <w:rPr>
          <w:rFonts w:hint="eastAsia"/>
          <w:highlight w:val="none"/>
        </w:rPr>
      </w:pPr>
      <w:r>
        <w:rPr>
          <w:rFonts w:hint="eastAsia"/>
          <w:highlight w:val="none"/>
          <w:u w:val="single"/>
        </w:rPr>
        <w:t xml:space="preserve">   无    。</w:t>
      </w:r>
    </w:p>
    <w:p w14:paraId="4D201892">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10.8 暂列金额</w:t>
      </w:r>
    </w:p>
    <w:p w14:paraId="41C9DC6F">
      <w:pPr>
        <w:autoSpaceDE w:val="0"/>
        <w:autoSpaceDN w:val="0"/>
        <w:adjustRightInd w:val="0"/>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u w:val="single"/>
        </w:rPr>
        <w:t xml:space="preserve"> </w:t>
      </w:r>
      <w:r>
        <w:rPr>
          <w:rFonts w:hint="eastAsia" w:ascii="宋体" w:cs="宋体"/>
          <w:szCs w:val="21"/>
          <w:highlight w:val="none"/>
          <w:u w:val="single"/>
          <w:lang w:val="en-US" w:eastAsia="zh-CN"/>
        </w:rPr>
        <w:t>无</w:t>
      </w:r>
      <w:r>
        <w:rPr>
          <w:rFonts w:hint="eastAsia" w:ascii="宋体" w:cs="宋体"/>
          <w:szCs w:val="21"/>
          <w:highlight w:val="none"/>
          <w:u w:val="single"/>
        </w:rPr>
        <w:t>。</w:t>
      </w:r>
    </w:p>
    <w:p w14:paraId="510AEE20">
      <w:pPr>
        <w:pStyle w:val="9"/>
        <w:snapToGrid w:val="0"/>
        <w:spacing w:before="0" w:after="0" w:line="440" w:lineRule="exact"/>
        <w:ind w:firstLine="420" w:firstLineChars="200"/>
        <w:rPr>
          <w:rFonts w:hint="eastAsia" w:ascii="宋体" w:eastAsia="宋体" w:cs="宋体"/>
          <w:b w:val="0"/>
          <w:sz w:val="21"/>
          <w:szCs w:val="21"/>
          <w:highlight w:val="none"/>
        </w:rPr>
      </w:pPr>
      <w:r>
        <w:rPr>
          <w:rFonts w:hint="eastAsia" w:ascii="宋体" w:eastAsia="宋体" w:cs="宋体"/>
          <w:b w:val="0"/>
          <w:sz w:val="21"/>
          <w:szCs w:val="21"/>
          <w:highlight w:val="none"/>
        </w:rPr>
        <w:t>11. 价格调整</w:t>
      </w:r>
    </w:p>
    <w:p w14:paraId="47D887AB">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11.1 市场价格波动引起的调整</w:t>
      </w:r>
    </w:p>
    <w:p w14:paraId="192D748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市场价格波动是否调整合同价格的约定：</w:t>
      </w:r>
      <w:r>
        <w:rPr>
          <w:rFonts w:hint="eastAsia" w:ascii="宋体" w:cs="宋体"/>
          <w:color w:val="auto"/>
          <w:szCs w:val="21"/>
          <w:highlight w:val="none"/>
          <w:u w:val="single"/>
        </w:rPr>
        <w:t xml:space="preserve"> 不调整   </w:t>
      </w:r>
      <w:r>
        <w:rPr>
          <w:rFonts w:hint="eastAsia" w:ascii="宋体" w:cs="宋体"/>
          <w:color w:val="auto"/>
          <w:szCs w:val="21"/>
          <w:highlight w:val="none"/>
        </w:rPr>
        <w:t>。</w:t>
      </w:r>
    </w:p>
    <w:p w14:paraId="5EFED93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因市场价格波动调整合同价格，</w:t>
      </w:r>
      <w:r>
        <w:rPr>
          <w:rFonts w:hint="eastAsia" w:ascii="宋体" w:cs="宋体"/>
          <w:color w:val="auto"/>
          <w:szCs w:val="21"/>
          <w:highlight w:val="none"/>
          <w:u w:val="single"/>
        </w:rPr>
        <w:t>不调整</w:t>
      </w:r>
    </w:p>
    <w:p w14:paraId="00297066">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hAnsi="宋体" w:eastAsia="宋体" w:cs="宋体"/>
          <w:b w:val="0"/>
          <w:color w:val="auto"/>
          <w:sz w:val="21"/>
          <w:szCs w:val="21"/>
          <w:highlight w:val="none"/>
        </w:rPr>
        <w:t>11.2人工费调整方法：按施工期间对应发布的人工价格信息进行调整，按安徽省住建厅建标【2021】46号文规定执行。</w:t>
      </w:r>
    </w:p>
    <w:p w14:paraId="23DE31B2">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12. 合同价格、计量与支付</w:t>
      </w:r>
    </w:p>
    <w:p w14:paraId="78AAEEA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12.1 合同价格形式</w:t>
      </w:r>
    </w:p>
    <w:p w14:paraId="0EDC461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1、单价合同。</w:t>
      </w:r>
    </w:p>
    <w:p w14:paraId="34278DE4">
      <w:pPr>
        <w:snapToGrid w:val="0"/>
        <w:spacing w:line="440" w:lineRule="exact"/>
        <w:ind w:firstLine="420" w:firstLineChars="200"/>
        <w:jc w:val="left"/>
        <w:rPr>
          <w:rFonts w:hint="eastAsia" w:ascii="宋体" w:cs="宋体"/>
          <w:b/>
          <w:szCs w:val="21"/>
          <w:highlight w:val="none"/>
          <w:u w:val="single"/>
        </w:rPr>
      </w:pPr>
      <w:r>
        <w:rPr>
          <w:rFonts w:hint="eastAsia" w:ascii="宋体" w:cs="宋体"/>
          <w:color w:val="auto"/>
          <w:szCs w:val="21"/>
          <w:highlight w:val="none"/>
        </w:rPr>
        <w:t>综合单价包含的风险范围：</w:t>
      </w:r>
      <w:r>
        <w:rPr>
          <w:rFonts w:hint="eastAsia" w:ascii="宋体" w:cs="宋体"/>
          <w:color w:val="auto"/>
          <w:szCs w:val="21"/>
          <w:highlight w:val="none"/>
          <w:u w:val="single"/>
        </w:rPr>
        <w:t xml:space="preserve">  </w:t>
      </w:r>
      <w:r>
        <w:rPr>
          <w:rFonts w:hint="eastAsia" w:ascii="黑体" w:eastAsia="黑体" w:cs="宋体"/>
          <w:b/>
          <w:color w:val="auto"/>
          <w:szCs w:val="21"/>
          <w:highlight w:val="none"/>
          <w:u w:val="single"/>
        </w:rPr>
        <w:t>各种因素引起的不属于本合同</w:t>
      </w:r>
      <w:r>
        <w:rPr>
          <w:rFonts w:hint="eastAsia" w:ascii="黑体" w:eastAsia="黑体" w:cs="宋体"/>
          <w:b/>
          <w:szCs w:val="21"/>
          <w:highlight w:val="none"/>
          <w:u w:val="single"/>
        </w:rPr>
        <w:t>调价范围的市场材料价格、人工、机械使用费以及管理费、利润的变化等</w:t>
      </w:r>
      <w:r>
        <w:rPr>
          <w:rFonts w:hint="eastAsia" w:ascii="宋体" w:cs="宋体"/>
          <w:b/>
          <w:szCs w:val="21"/>
          <w:highlight w:val="none"/>
          <w:u w:val="single"/>
        </w:rPr>
        <w:t>。</w:t>
      </w:r>
    </w:p>
    <w:p w14:paraId="7781F16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风险费用的计算方法：</w:t>
      </w:r>
      <w:r>
        <w:rPr>
          <w:rFonts w:hint="eastAsia" w:ascii="宋体" w:cs="宋体"/>
          <w:color w:val="auto"/>
          <w:szCs w:val="21"/>
          <w:highlight w:val="none"/>
          <w:u w:val="single"/>
        </w:rPr>
        <w:t xml:space="preserve"> 不考虑  </w:t>
      </w:r>
    </w:p>
    <w:p w14:paraId="04548219">
      <w:pPr>
        <w:snapToGrid w:val="0"/>
        <w:spacing w:line="440" w:lineRule="exact"/>
        <w:ind w:firstLine="420" w:firstLineChars="200"/>
        <w:jc w:val="left"/>
        <w:rPr>
          <w:rFonts w:hint="eastAsia" w:ascii="宋体" w:hAnsi="宋体" w:cs="宋体"/>
          <w:bCs/>
          <w:color w:val="auto"/>
          <w:szCs w:val="21"/>
          <w:highlight w:val="none"/>
          <w:u w:val="single"/>
        </w:rPr>
      </w:pPr>
      <w:r>
        <w:rPr>
          <w:rFonts w:hint="eastAsia"/>
          <w:color w:val="auto"/>
          <w:highlight w:val="none"/>
        </w:rPr>
        <w:t>风险范围以外合同价格的调整方法：</w:t>
      </w:r>
      <w:r>
        <w:rPr>
          <w:rFonts w:hint="eastAsia" w:ascii="宋体" w:hAnsi="宋体" w:cs="宋体"/>
          <w:bCs/>
          <w:color w:val="auto"/>
          <w:szCs w:val="21"/>
          <w:highlight w:val="none"/>
          <w:u w:val="single"/>
        </w:rPr>
        <w:t xml:space="preserve">结算价=合同价±工程变更造价±分部分项工程量清单工程量误差造价±政策性调整造价－暂列金额×1.09± 合理工程索赔。 </w:t>
      </w:r>
    </w:p>
    <w:p w14:paraId="0D98921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12.2 预付款</w:t>
      </w:r>
    </w:p>
    <w:p w14:paraId="19F1B615">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12.2.1 预付款的支付</w:t>
      </w:r>
    </w:p>
    <w:p w14:paraId="6DD4723E">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预付款支付比例或金额：</w:t>
      </w:r>
      <w:r>
        <w:rPr>
          <w:rFonts w:hint="eastAsia" w:ascii="宋体" w:cs="宋体"/>
          <w:szCs w:val="21"/>
          <w:highlight w:val="none"/>
          <w:u w:val="single"/>
        </w:rPr>
        <w:t xml:space="preserve">   不考虑    </w:t>
      </w:r>
      <w:r>
        <w:rPr>
          <w:rFonts w:hint="eastAsia" w:ascii="宋体" w:cs="宋体"/>
          <w:szCs w:val="21"/>
          <w:highlight w:val="none"/>
        </w:rPr>
        <w:t>。</w:t>
      </w:r>
    </w:p>
    <w:p w14:paraId="1F98206A">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预付款支付期限：</w:t>
      </w:r>
      <w:r>
        <w:rPr>
          <w:rFonts w:hint="eastAsia" w:ascii="宋体" w:cs="宋体"/>
          <w:szCs w:val="21"/>
          <w:highlight w:val="none"/>
          <w:u w:val="single"/>
        </w:rPr>
        <w:t xml:space="preserve">    无     </w:t>
      </w:r>
      <w:r>
        <w:rPr>
          <w:rFonts w:hint="eastAsia" w:ascii="宋体" w:cs="宋体"/>
          <w:szCs w:val="21"/>
          <w:highlight w:val="none"/>
        </w:rPr>
        <w:t>。</w:t>
      </w:r>
    </w:p>
    <w:p w14:paraId="654B2BD8">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预付款扣回的方式：</w:t>
      </w:r>
      <w:r>
        <w:rPr>
          <w:rFonts w:hint="eastAsia" w:ascii="宋体" w:cs="宋体"/>
          <w:szCs w:val="21"/>
          <w:highlight w:val="none"/>
          <w:u w:val="single"/>
        </w:rPr>
        <w:t xml:space="preserve">   无    </w:t>
      </w:r>
      <w:r>
        <w:rPr>
          <w:rFonts w:hint="eastAsia" w:ascii="宋体" w:cs="宋体"/>
          <w:szCs w:val="21"/>
          <w:highlight w:val="none"/>
        </w:rPr>
        <w:t>。</w:t>
      </w:r>
    </w:p>
    <w:p w14:paraId="5D081596">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12.2.2 预付款担保</w:t>
      </w:r>
    </w:p>
    <w:p w14:paraId="0A3512B6">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承包人提交预付款担保的期限：</w:t>
      </w:r>
      <w:r>
        <w:rPr>
          <w:rFonts w:hint="eastAsia" w:ascii="宋体" w:cs="宋体"/>
          <w:szCs w:val="21"/>
          <w:highlight w:val="none"/>
          <w:u w:val="single"/>
        </w:rPr>
        <w:t xml:space="preserve">   无   </w:t>
      </w:r>
      <w:r>
        <w:rPr>
          <w:rFonts w:hint="eastAsia" w:ascii="宋体" w:cs="宋体"/>
          <w:szCs w:val="21"/>
          <w:highlight w:val="none"/>
        </w:rPr>
        <w:t>。</w:t>
      </w:r>
    </w:p>
    <w:p w14:paraId="527EB018">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预付款担保的形式为：</w:t>
      </w:r>
      <w:r>
        <w:rPr>
          <w:rFonts w:hint="eastAsia" w:ascii="宋体" w:cs="宋体"/>
          <w:szCs w:val="21"/>
          <w:highlight w:val="none"/>
          <w:u w:val="single"/>
        </w:rPr>
        <w:t xml:space="preserve">   无    </w:t>
      </w:r>
      <w:r>
        <w:rPr>
          <w:rFonts w:hint="eastAsia" w:ascii="宋体" w:cs="宋体"/>
          <w:szCs w:val="21"/>
          <w:highlight w:val="none"/>
        </w:rPr>
        <w:t>。</w:t>
      </w:r>
    </w:p>
    <w:p w14:paraId="6B8B988D">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12.3 计量</w:t>
      </w:r>
    </w:p>
    <w:p w14:paraId="07AC1EDC">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12.3.1 计量原则</w:t>
      </w:r>
    </w:p>
    <w:p w14:paraId="4044A6EA">
      <w:pPr>
        <w:spacing w:line="440" w:lineRule="exact"/>
        <w:ind w:firstLine="420" w:firstLineChars="200"/>
        <w:rPr>
          <w:rFonts w:hint="eastAsia" w:ascii="宋体" w:cs="宋体"/>
          <w:szCs w:val="21"/>
        </w:rPr>
      </w:pPr>
      <w:r>
        <w:rPr>
          <w:rFonts w:hint="eastAsia" w:ascii="宋体" w:cs="宋体"/>
          <w:szCs w:val="21"/>
        </w:rPr>
        <w:t>工程量计算规则：</w:t>
      </w:r>
      <w:r>
        <w:rPr>
          <w:rFonts w:hint="eastAsia" w:ascii="宋体" w:hAnsi="宋体" w:cs="宋体"/>
          <w:color w:val="000000"/>
          <w:szCs w:val="21"/>
          <w:u w:val="single"/>
        </w:rPr>
        <w:t>按招标工程量清单及最高投标限价所采用的工程量清单计价规范及配套文件等</w:t>
      </w:r>
      <w:r>
        <w:rPr>
          <w:rFonts w:hint="eastAsia" w:ascii="宋体" w:cs="宋体"/>
          <w:szCs w:val="21"/>
          <w:u w:val="single"/>
        </w:rPr>
        <w:t>。</w:t>
      </w:r>
    </w:p>
    <w:p w14:paraId="462C41C7">
      <w:pPr>
        <w:spacing w:line="440" w:lineRule="exact"/>
        <w:ind w:firstLine="420" w:firstLineChars="200"/>
        <w:rPr>
          <w:rFonts w:hint="eastAsia" w:ascii="宋体" w:cs="宋体"/>
          <w:szCs w:val="21"/>
        </w:rPr>
      </w:pPr>
      <w:r>
        <w:rPr>
          <w:rFonts w:hint="eastAsia" w:ascii="宋体" w:cs="宋体"/>
          <w:szCs w:val="21"/>
        </w:rPr>
        <w:t>12.3.2 计量周期</w:t>
      </w:r>
    </w:p>
    <w:p w14:paraId="3CE77272">
      <w:pPr>
        <w:spacing w:line="440" w:lineRule="exact"/>
        <w:ind w:firstLine="420" w:firstLineChars="200"/>
        <w:rPr>
          <w:rFonts w:hint="eastAsia" w:ascii="宋体" w:cs="宋体"/>
          <w:szCs w:val="21"/>
        </w:rPr>
      </w:pPr>
      <w:r>
        <w:rPr>
          <w:rFonts w:hint="eastAsia" w:ascii="宋体" w:cs="宋体"/>
          <w:szCs w:val="21"/>
        </w:rPr>
        <w:t>关于计量周期的约定：</w:t>
      </w:r>
      <w:r>
        <w:rPr>
          <w:rFonts w:hint="eastAsia" w:ascii="宋体" w:cs="宋体"/>
          <w:szCs w:val="21"/>
          <w:u w:val="single"/>
        </w:rPr>
        <w:t xml:space="preserve"> 按月计量  </w:t>
      </w:r>
      <w:r>
        <w:rPr>
          <w:rFonts w:hint="eastAsia" w:ascii="宋体" w:cs="宋体"/>
          <w:szCs w:val="21"/>
        </w:rPr>
        <w:t>。</w:t>
      </w:r>
    </w:p>
    <w:p w14:paraId="0F3A8815">
      <w:pPr>
        <w:snapToGrid w:val="0"/>
        <w:spacing w:line="440" w:lineRule="exact"/>
        <w:ind w:firstLine="420" w:firstLineChars="200"/>
        <w:jc w:val="left"/>
        <w:rPr>
          <w:rFonts w:hint="eastAsia" w:ascii="宋体" w:cs="宋体"/>
          <w:szCs w:val="21"/>
        </w:rPr>
      </w:pPr>
      <w:r>
        <w:rPr>
          <w:rFonts w:hint="eastAsia" w:ascii="宋体" w:cs="宋体"/>
          <w:szCs w:val="21"/>
        </w:rPr>
        <w:t>12.3.3 单价合同的计量</w:t>
      </w:r>
    </w:p>
    <w:p w14:paraId="315641B2">
      <w:pPr>
        <w:snapToGrid w:val="0"/>
        <w:spacing w:line="440" w:lineRule="exact"/>
        <w:ind w:firstLine="420" w:firstLineChars="200"/>
        <w:jc w:val="left"/>
        <w:rPr>
          <w:rFonts w:hint="eastAsia" w:ascii="宋体" w:cs="宋体"/>
          <w:color w:val="auto"/>
          <w:szCs w:val="21"/>
          <w:u w:val="single"/>
        </w:rPr>
      </w:pPr>
      <w:r>
        <w:rPr>
          <w:rFonts w:hint="eastAsia" w:ascii="宋体" w:cs="宋体"/>
          <w:szCs w:val="21"/>
        </w:rPr>
        <w:t>关于单价合同计量的约定：</w:t>
      </w:r>
      <w:r>
        <w:rPr>
          <w:rFonts w:hint="eastAsia" w:ascii="宋体" w:cs="宋体"/>
          <w:szCs w:val="21"/>
          <w:u w:val="single"/>
        </w:rPr>
        <w:t>（1）承包人应于每月25日向监理人报送上月20日至当月19日已完成的工程量报告，并附具进度付款申请单、已完成工程量报表和有关资料。（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3）监理人未在收到承包人提交的工程量</w:t>
      </w:r>
      <w:r>
        <w:rPr>
          <w:rFonts w:hint="eastAsia" w:ascii="宋体" w:cs="宋体"/>
          <w:color w:val="auto"/>
          <w:szCs w:val="21"/>
          <w:u w:val="single"/>
        </w:rPr>
        <w:t>报表后的7天内完成审核的，承包人</w:t>
      </w:r>
      <w:r>
        <w:rPr>
          <w:rFonts w:hint="eastAsia" w:ascii="宋体" w:cs="宋体"/>
          <w:color w:val="auto"/>
          <w:szCs w:val="21"/>
          <w:u w:val="single"/>
          <w:lang w:eastAsia="zh-CN"/>
        </w:rPr>
        <w:t>应通知发包人审核，发包人既不审核也不督促监理人复核，超过承包人报送时间</w:t>
      </w:r>
      <w:r>
        <w:rPr>
          <w:rFonts w:hint="eastAsia" w:ascii="宋体" w:cs="宋体"/>
          <w:color w:val="auto"/>
          <w:szCs w:val="21"/>
          <w:u w:val="single"/>
          <w:lang w:val="en-US" w:eastAsia="zh-CN"/>
        </w:rPr>
        <w:t>14日的，以</w:t>
      </w:r>
      <w:r>
        <w:rPr>
          <w:rFonts w:hint="eastAsia" w:ascii="宋体" w:cs="宋体"/>
          <w:color w:val="auto"/>
          <w:szCs w:val="21"/>
          <w:u w:val="single"/>
        </w:rPr>
        <w:t>承包人</w:t>
      </w:r>
      <w:r>
        <w:rPr>
          <w:rFonts w:hint="eastAsia" w:ascii="宋体" w:cs="宋体"/>
          <w:color w:val="auto"/>
          <w:szCs w:val="21"/>
          <w:u w:val="single"/>
          <w:lang w:eastAsia="zh-CN"/>
        </w:rPr>
        <w:t>报送</w:t>
      </w:r>
      <w:r>
        <w:rPr>
          <w:rFonts w:hint="eastAsia" w:ascii="宋体" w:cs="宋体"/>
          <w:color w:val="auto"/>
          <w:szCs w:val="21"/>
          <w:u w:val="single"/>
        </w:rPr>
        <w:t>的工程量，据此计算工程价款。</w:t>
      </w:r>
    </w:p>
    <w:p w14:paraId="34C8A998">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12.3.4 总价合同的计量</w:t>
      </w:r>
    </w:p>
    <w:p w14:paraId="72E9ACAB">
      <w:pPr>
        <w:snapToGrid w:val="0"/>
        <w:spacing w:line="440" w:lineRule="exact"/>
        <w:ind w:firstLine="420" w:firstLineChars="200"/>
        <w:jc w:val="left"/>
        <w:rPr>
          <w:rFonts w:hint="eastAsia" w:ascii="宋体" w:cs="宋体"/>
          <w:szCs w:val="21"/>
        </w:rPr>
      </w:pPr>
      <w:r>
        <w:rPr>
          <w:rFonts w:hint="eastAsia" w:ascii="宋体" w:cs="宋体"/>
          <w:szCs w:val="21"/>
        </w:rPr>
        <w:t>关于总价合同计量的约定：</w:t>
      </w:r>
      <w:r>
        <w:rPr>
          <w:rFonts w:hint="eastAsia" w:ascii="宋体" w:cs="宋体"/>
          <w:szCs w:val="21"/>
          <w:u w:val="single"/>
        </w:rPr>
        <w:t xml:space="preserve"> 不采用 </w:t>
      </w:r>
      <w:r>
        <w:rPr>
          <w:rFonts w:hint="eastAsia" w:ascii="宋体" w:cs="宋体"/>
          <w:szCs w:val="21"/>
        </w:rPr>
        <w:t>。</w:t>
      </w:r>
    </w:p>
    <w:p w14:paraId="1969EA1D">
      <w:pPr>
        <w:snapToGrid w:val="0"/>
        <w:spacing w:line="440" w:lineRule="exact"/>
        <w:ind w:firstLine="420" w:firstLineChars="200"/>
        <w:jc w:val="left"/>
        <w:rPr>
          <w:rFonts w:hint="eastAsia" w:ascii="宋体" w:cs="宋体"/>
          <w:szCs w:val="21"/>
        </w:rPr>
      </w:pPr>
      <w:r>
        <w:rPr>
          <w:rFonts w:hint="eastAsia" w:ascii="宋体" w:cs="宋体"/>
          <w:szCs w:val="21"/>
        </w:rPr>
        <w:t>12.3.5总价合同采用支付分解表计量支付的，是否适用第</w:t>
      </w:r>
      <w:r>
        <w:rPr>
          <w:rFonts w:hint="eastAsia" w:ascii="宋体" w:cs="宋体"/>
          <w:kern w:val="0"/>
          <w:szCs w:val="21"/>
        </w:rPr>
        <w:t xml:space="preserve">12.3.4 </w:t>
      </w:r>
      <w:r>
        <w:rPr>
          <w:rFonts w:hint="eastAsia" w:ascii="宋体" w:cs="宋体"/>
          <w:szCs w:val="21"/>
        </w:rPr>
        <w:t>项</w:t>
      </w:r>
      <w:r>
        <w:rPr>
          <w:rFonts w:hint="eastAsia" w:ascii="宋体" w:cs="宋体"/>
          <w:kern w:val="0"/>
          <w:szCs w:val="21"/>
        </w:rPr>
        <w:t>〔总价合同的计量〕</w:t>
      </w:r>
      <w:r>
        <w:rPr>
          <w:rFonts w:hint="eastAsia" w:ascii="宋体" w:cs="宋体"/>
          <w:szCs w:val="21"/>
        </w:rPr>
        <w:t>约定进行计量：</w:t>
      </w:r>
      <w:r>
        <w:rPr>
          <w:rFonts w:hint="eastAsia" w:ascii="宋体" w:cs="宋体"/>
          <w:szCs w:val="21"/>
          <w:u w:val="single"/>
        </w:rPr>
        <w:t xml:space="preserve">   不采用   </w:t>
      </w:r>
      <w:r>
        <w:rPr>
          <w:rFonts w:hint="eastAsia" w:ascii="宋体" w:cs="宋体"/>
          <w:szCs w:val="21"/>
        </w:rPr>
        <w:t>。</w:t>
      </w:r>
    </w:p>
    <w:p w14:paraId="3AB7FCAC">
      <w:pPr>
        <w:snapToGrid w:val="0"/>
        <w:spacing w:line="440" w:lineRule="exact"/>
        <w:ind w:firstLine="420" w:firstLineChars="200"/>
        <w:jc w:val="left"/>
        <w:rPr>
          <w:rFonts w:hint="eastAsia" w:ascii="宋体" w:cs="宋体"/>
          <w:szCs w:val="21"/>
        </w:rPr>
      </w:pPr>
      <w:r>
        <w:rPr>
          <w:rFonts w:hint="eastAsia" w:ascii="宋体" w:cs="宋体"/>
          <w:szCs w:val="21"/>
        </w:rPr>
        <w:t>12.3.6 其他价格形式合同的计量</w:t>
      </w:r>
    </w:p>
    <w:p w14:paraId="08ED57F0">
      <w:pPr>
        <w:snapToGrid w:val="0"/>
        <w:spacing w:line="440" w:lineRule="exact"/>
        <w:ind w:firstLine="420" w:firstLineChars="200"/>
        <w:jc w:val="left"/>
        <w:rPr>
          <w:rFonts w:hint="eastAsia" w:ascii="宋体" w:cs="宋体"/>
          <w:szCs w:val="21"/>
        </w:rPr>
      </w:pPr>
      <w:r>
        <w:rPr>
          <w:rFonts w:hint="eastAsia" w:ascii="宋体" w:cs="宋体"/>
          <w:szCs w:val="21"/>
        </w:rPr>
        <w:t>其他价格形式的计量方式和程序：</w:t>
      </w:r>
      <w:r>
        <w:rPr>
          <w:rFonts w:hint="eastAsia" w:ascii="宋体" w:cs="宋体"/>
          <w:szCs w:val="21"/>
          <w:u w:val="single"/>
        </w:rPr>
        <w:t xml:space="preserve">   不采用   </w:t>
      </w:r>
      <w:r>
        <w:rPr>
          <w:rFonts w:hint="eastAsia" w:ascii="宋体" w:cs="宋体"/>
          <w:szCs w:val="21"/>
        </w:rPr>
        <w:t>。</w:t>
      </w:r>
    </w:p>
    <w:p w14:paraId="3ACD67C3">
      <w:pPr>
        <w:snapToGrid w:val="0"/>
        <w:spacing w:line="440" w:lineRule="exact"/>
        <w:ind w:firstLine="420" w:firstLineChars="200"/>
        <w:rPr>
          <w:rFonts w:hint="eastAsia" w:ascii="宋体" w:cs="宋体"/>
          <w:szCs w:val="21"/>
        </w:rPr>
      </w:pPr>
      <w:r>
        <w:rPr>
          <w:rFonts w:hint="eastAsia" w:ascii="宋体" w:cs="宋体"/>
          <w:szCs w:val="21"/>
        </w:rPr>
        <w:t>12.4 工程进度款支付</w:t>
      </w:r>
    </w:p>
    <w:p w14:paraId="0FFCEC2D">
      <w:pPr>
        <w:snapToGrid w:val="0"/>
        <w:spacing w:line="440" w:lineRule="exact"/>
        <w:ind w:firstLine="420" w:firstLineChars="200"/>
        <w:jc w:val="left"/>
        <w:rPr>
          <w:rFonts w:hint="eastAsia" w:ascii="宋体" w:cs="宋体"/>
          <w:szCs w:val="21"/>
        </w:rPr>
      </w:pPr>
      <w:r>
        <w:rPr>
          <w:rFonts w:hint="eastAsia" w:ascii="宋体" w:cs="宋体"/>
          <w:szCs w:val="21"/>
        </w:rPr>
        <w:t>12.4.1 付款周期</w:t>
      </w:r>
    </w:p>
    <w:p w14:paraId="00DDD8B7">
      <w:pPr>
        <w:snapToGrid w:val="0"/>
        <w:spacing w:line="440" w:lineRule="exact"/>
        <w:ind w:firstLine="420" w:firstLineChars="200"/>
        <w:jc w:val="left"/>
        <w:rPr>
          <w:rFonts w:hint="eastAsia" w:ascii="宋体" w:cs="宋体"/>
          <w:szCs w:val="21"/>
        </w:rPr>
      </w:pPr>
      <w:r>
        <w:rPr>
          <w:rFonts w:hint="eastAsia" w:ascii="宋体" w:cs="宋体"/>
          <w:szCs w:val="21"/>
        </w:rPr>
        <w:t>关于付款周期的约定：</w:t>
      </w:r>
      <w:r>
        <w:rPr>
          <w:rFonts w:hint="eastAsia" w:ascii="宋体" w:cs="宋体"/>
          <w:szCs w:val="21"/>
          <w:u w:val="single"/>
        </w:rPr>
        <w:t xml:space="preserve">    详见支付方式     </w:t>
      </w:r>
      <w:r>
        <w:rPr>
          <w:rFonts w:hint="eastAsia" w:ascii="宋体" w:cs="宋体"/>
          <w:szCs w:val="21"/>
        </w:rPr>
        <w:t>。</w:t>
      </w:r>
    </w:p>
    <w:p w14:paraId="0454091C">
      <w:pPr>
        <w:snapToGrid w:val="0"/>
        <w:spacing w:line="440" w:lineRule="exact"/>
        <w:ind w:firstLine="420" w:firstLineChars="200"/>
        <w:jc w:val="left"/>
        <w:rPr>
          <w:rFonts w:hint="eastAsia" w:ascii="宋体" w:cs="宋体"/>
          <w:szCs w:val="21"/>
        </w:rPr>
      </w:pPr>
      <w:r>
        <w:rPr>
          <w:rFonts w:hint="eastAsia" w:ascii="宋体" w:cs="宋体"/>
          <w:szCs w:val="21"/>
        </w:rPr>
        <w:t>12.4.2 进度付款申请单的编制</w:t>
      </w:r>
    </w:p>
    <w:p w14:paraId="1A2C3AE0">
      <w:pPr>
        <w:snapToGrid w:val="0"/>
        <w:spacing w:line="440" w:lineRule="exact"/>
        <w:ind w:firstLine="420" w:firstLineChars="200"/>
        <w:jc w:val="left"/>
        <w:rPr>
          <w:rFonts w:hint="eastAsia" w:ascii="宋体" w:cs="宋体"/>
          <w:szCs w:val="21"/>
          <w:u w:val="single"/>
        </w:rPr>
      </w:pPr>
      <w:r>
        <w:rPr>
          <w:rFonts w:hint="eastAsia" w:ascii="宋体" w:cs="宋体"/>
          <w:szCs w:val="21"/>
        </w:rPr>
        <w:t>关于进度付款申请单编制的约定：</w:t>
      </w:r>
      <w:r>
        <w:rPr>
          <w:rFonts w:hint="eastAsia" w:ascii="宋体" w:cs="宋体"/>
          <w:szCs w:val="21"/>
          <w:u w:val="single"/>
        </w:rPr>
        <w:t>执行发包人统一内容格式。</w:t>
      </w:r>
    </w:p>
    <w:p w14:paraId="67596A3B">
      <w:pPr>
        <w:snapToGrid w:val="0"/>
        <w:spacing w:line="440" w:lineRule="exact"/>
        <w:ind w:firstLine="420" w:firstLineChars="200"/>
        <w:jc w:val="left"/>
        <w:rPr>
          <w:rFonts w:hint="eastAsia" w:ascii="宋体" w:cs="宋体"/>
          <w:szCs w:val="21"/>
        </w:rPr>
      </w:pPr>
      <w:r>
        <w:rPr>
          <w:rFonts w:hint="eastAsia" w:ascii="宋体" w:cs="宋体"/>
          <w:szCs w:val="21"/>
        </w:rPr>
        <w:t>12.4.3 进度付款申请单的提交</w:t>
      </w:r>
    </w:p>
    <w:p w14:paraId="31BB1BD4">
      <w:pPr>
        <w:snapToGrid w:val="0"/>
        <w:spacing w:line="440" w:lineRule="exact"/>
        <w:ind w:firstLine="420" w:firstLineChars="200"/>
        <w:jc w:val="left"/>
        <w:rPr>
          <w:rFonts w:hint="eastAsia" w:ascii="宋体" w:cs="宋体"/>
          <w:szCs w:val="21"/>
        </w:rPr>
      </w:pPr>
      <w:r>
        <w:rPr>
          <w:rFonts w:hint="eastAsia" w:ascii="宋体" w:cs="宋体"/>
          <w:szCs w:val="21"/>
        </w:rPr>
        <w:t>（1）单价合同进度付款申请单提交的约定：</w:t>
      </w:r>
      <w:r>
        <w:rPr>
          <w:rFonts w:hint="eastAsia" w:ascii="宋体" w:cs="宋体"/>
          <w:szCs w:val="21"/>
          <w:u w:val="single"/>
        </w:rPr>
        <w:t xml:space="preserve"> </w:t>
      </w:r>
      <w:r>
        <w:rPr>
          <w:rFonts w:hint="eastAsia" w:ascii="宋体" w:hAnsi="宋体" w:cs="宋体"/>
          <w:szCs w:val="21"/>
          <w:u w:val="single"/>
        </w:rPr>
        <w:t>无</w:t>
      </w:r>
      <w:r>
        <w:rPr>
          <w:rFonts w:hint="eastAsia" w:ascii="黑体" w:eastAsia="黑体" w:cs="宋体"/>
          <w:b/>
          <w:bCs/>
          <w:szCs w:val="21"/>
          <w:u w:val="single"/>
        </w:rPr>
        <w:t>。</w:t>
      </w:r>
    </w:p>
    <w:p w14:paraId="08FBBFD9">
      <w:pPr>
        <w:snapToGrid w:val="0"/>
        <w:spacing w:line="440" w:lineRule="exact"/>
        <w:ind w:firstLine="420" w:firstLineChars="200"/>
        <w:jc w:val="left"/>
        <w:rPr>
          <w:rFonts w:hint="eastAsia" w:ascii="宋体" w:cs="宋体"/>
          <w:szCs w:val="21"/>
        </w:rPr>
      </w:pPr>
      <w:r>
        <w:rPr>
          <w:rFonts w:hint="eastAsia" w:ascii="宋体" w:cs="宋体"/>
          <w:szCs w:val="21"/>
        </w:rPr>
        <w:t>（2）总价合同进度付款申请单提交的约定：</w:t>
      </w:r>
      <w:r>
        <w:rPr>
          <w:rFonts w:hint="eastAsia" w:ascii="宋体" w:cs="宋体"/>
          <w:szCs w:val="21"/>
          <w:u w:val="single"/>
        </w:rPr>
        <w:t xml:space="preserve">   不采用   </w:t>
      </w:r>
      <w:r>
        <w:rPr>
          <w:rFonts w:hint="eastAsia" w:ascii="宋体" w:cs="宋体"/>
          <w:szCs w:val="21"/>
        </w:rPr>
        <w:t>。</w:t>
      </w:r>
    </w:p>
    <w:p w14:paraId="5A498097">
      <w:pPr>
        <w:snapToGrid w:val="0"/>
        <w:spacing w:line="440" w:lineRule="exact"/>
        <w:ind w:firstLine="420" w:firstLineChars="200"/>
        <w:jc w:val="left"/>
        <w:rPr>
          <w:rFonts w:hint="eastAsia" w:ascii="宋体" w:cs="宋体"/>
          <w:szCs w:val="21"/>
          <w:u w:val="single"/>
        </w:rPr>
      </w:pPr>
      <w:r>
        <w:rPr>
          <w:rFonts w:hint="eastAsia" w:ascii="宋体" w:cs="宋体"/>
          <w:szCs w:val="21"/>
        </w:rPr>
        <w:t>（3）其他价格形式合同进度付款申请单提交的约定：</w:t>
      </w:r>
      <w:r>
        <w:rPr>
          <w:rFonts w:hint="eastAsia" w:ascii="宋体" w:cs="宋体"/>
          <w:szCs w:val="21"/>
          <w:u w:val="single"/>
        </w:rPr>
        <w:t xml:space="preserve">  不采用  </w:t>
      </w:r>
      <w:r>
        <w:rPr>
          <w:rFonts w:hint="eastAsia" w:ascii="宋体" w:cs="宋体"/>
          <w:szCs w:val="21"/>
        </w:rPr>
        <w:t>。</w:t>
      </w:r>
    </w:p>
    <w:p w14:paraId="65633967">
      <w:pPr>
        <w:snapToGrid w:val="0"/>
        <w:spacing w:line="440" w:lineRule="exact"/>
        <w:ind w:firstLine="420" w:firstLineChars="200"/>
        <w:jc w:val="left"/>
        <w:rPr>
          <w:rFonts w:hint="eastAsia" w:ascii="宋体" w:cs="宋体"/>
          <w:szCs w:val="21"/>
        </w:rPr>
      </w:pPr>
      <w:r>
        <w:rPr>
          <w:rFonts w:hint="eastAsia" w:ascii="宋体" w:cs="宋体"/>
          <w:szCs w:val="21"/>
        </w:rPr>
        <w:t>12.4.4 进度款审核和支付</w:t>
      </w:r>
    </w:p>
    <w:p w14:paraId="7322FDC7">
      <w:pPr>
        <w:snapToGrid w:val="0"/>
        <w:spacing w:line="440" w:lineRule="exact"/>
        <w:ind w:firstLine="420" w:firstLineChars="200"/>
        <w:jc w:val="left"/>
        <w:rPr>
          <w:rFonts w:hint="eastAsia"/>
        </w:rPr>
      </w:pPr>
      <w:r>
        <w:rPr>
          <w:rFonts w:hint="eastAsia" w:ascii="宋体" w:cs="宋体"/>
          <w:szCs w:val="21"/>
        </w:rPr>
        <w:t>（1）监理人审查并报送发包人的期限：</w:t>
      </w:r>
      <w:r>
        <w:rPr>
          <w:rFonts w:hint="eastAsia" w:ascii="宋体" w:cs="宋体"/>
          <w:szCs w:val="21"/>
          <w:u w:val="single"/>
        </w:rPr>
        <w:t xml:space="preserve"> 监理人应在收到承包人进度付款申请单以及相关资料后7天内完成审查并报送发包人。</w:t>
      </w:r>
    </w:p>
    <w:p w14:paraId="43F584F5">
      <w:pPr>
        <w:snapToGrid w:val="0"/>
        <w:spacing w:line="440" w:lineRule="exact"/>
        <w:ind w:firstLine="420" w:firstLineChars="200"/>
        <w:jc w:val="left"/>
        <w:rPr>
          <w:rFonts w:hint="eastAsia" w:ascii="宋体" w:cs="宋体"/>
          <w:szCs w:val="21"/>
          <w:u w:val="single"/>
        </w:rPr>
      </w:pPr>
      <w:r>
        <w:rPr>
          <w:rFonts w:hint="eastAsia" w:ascii="宋体" w:cs="宋体"/>
          <w:szCs w:val="21"/>
        </w:rPr>
        <w:t>发包人完成审批并签发进度款支付证书的期限：</w:t>
      </w:r>
      <w:r>
        <w:rPr>
          <w:rFonts w:hint="eastAsia" w:ascii="宋体" w:cs="宋体"/>
          <w:szCs w:val="21"/>
          <w:u w:val="single"/>
        </w:rPr>
        <w:t>发包人应在收到后7天内完成审批并签发进度款支付证书，跟踪审计人员审核时间除外</w:t>
      </w:r>
      <w:r>
        <w:rPr>
          <w:rFonts w:hint="eastAsia" w:ascii="宋体" w:cs="宋体"/>
          <w:szCs w:val="21"/>
        </w:rPr>
        <w:t>。</w:t>
      </w:r>
    </w:p>
    <w:p w14:paraId="6FC3DBBE">
      <w:pPr>
        <w:tabs>
          <w:tab w:val="left" w:pos="0"/>
        </w:tabs>
        <w:snapToGrid w:val="0"/>
        <w:spacing w:line="440" w:lineRule="exact"/>
        <w:ind w:firstLine="420" w:firstLineChars="200"/>
        <w:rPr>
          <w:rFonts w:hint="eastAsia" w:ascii="宋体" w:cs="宋体"/>
          <w:b/>
          <w:szCs w:val="21"/>
          <w:u w:val="single"/>
        </w:rPr>
      </w:pPr>
      <w:r>
        <w:rPr>
          <w:rFonts w:hint="eastAsia" w:ascii="宋体" w:cs="宋体"/>
          <w:szCs w:val="21"/>
        </w:rPr>
        <w:t>（2）发包人支付进度款的期限：发包人在政府资金调度会批准且发票送达一周内完成支付。</w:t>
      </w:r>
    </w:p>
    <w:p w14:paraId="497FE8DB">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发包人逾期支付进度款的违约金的计算方式：</w:t>
      </w:r>
      <w:r>
        <w:rPr>
          <w:rFonts w:hint="eastAsia" w:ascii="宋体" w:cs="宋体"/>
          <w:color w:val="auto"/>
          <w:szCs w:val="21"/>
          <w:u w:val="single"/>
        </w:rPr>
        <w:t xml:space="preserve">   不采用   </w:t>
      </w:r>
      <w:r>
        <w:rPr>
          <w:rFonts w:hint="eastAsia" w:ascii="宋体" w:cs="宋体"/>
          <w:color w:val="auto"/>
          <w:szCs w:val="21"/>
        </w:rPr>
        <w:t>。</w:t>
      </w:r>
    </w:p>
    <w:p w14:paraId="15B85A58">
      <w:pPr>
        <w:snapToGrid w:val="0"/>
        <w:spacing w:line="440" w:lineRule="exact"/>
        <w:ind w:firstLine="422" w:firstLineChars="200"/>
        <w:jc w:val="left"/>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rPr>
        <w:t>支</w:t>
      </w:r>
      <w:r>
        <w:rPr>
          <w:rFonts w:hint="eastAsia" w:ascii="宋体" w:hAnsi="宋体" w:cs="宋体"/>
          <w:b/>
          <w:bCs/>
          <w:color w:val="auto"/>
          <w:szCs w:val="21"/>
          <w:highlight w:val="none"/>
        </w:rPr>
        <w:t>付</w:t>
      </w:r>
      <w:r>
        <w:rPr>
          <w:rFonts w:hint="eastAsia" w:ascii="宋体" w:hAnsi="宋体" w:eastAsia="宋体" w:cs="宋体"/>
          <w:b/>
          <w:bCs/>
          <w:color w:val="auto"/>
          <w:szCs w:val="21"/>
          <w:highlight w:val="none"/>
        </w:rPr>
        <w:t>方式：</w:t>
      </w:r>
      <w:r>
        <w:rPr>
          <w:rFonts w:hint="eastAsia" w:ascii="宋体" w:hAnsi="宋体" w:eastAsia="宋体" w:cs="宋体"/>
          <w:b/>
          <w:bCs/>
          <w:color w:val="auto"/>
          <w:szCs w:val="21"/>
          <w:highlight w:val="none"/>
          <w:lang w:val="en-US" w:eastAsia="zh-CN"/>
        </w:rPr>
        <w:t>工程竣工验收合格经结算审核后付至审核结算价的98%，剩余2%作为工程质量保证金。工程质量保证金在工程缺陷责任期（缺陷责任期两年，从验收合格之日起计算）满后一个月内付清。（采用工程质量保证担保、工程质量保险等其他保证方式的，发包人不再预留质量保证金。）</w:t>
      </w:r>
    </w:p>
    <w:p w14:paraId="3BEA80C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12.4.6 支付分解表的编制</w:t>
      </w:r>
    </w:p>
    <w:p w14:paraId="6B7F3F2B">
      <w:pPr>
        <w:snapToGrid w:val="0"/>
        <w:spacing w:line="440" w:lineRule="exact"/>
        <w:ind w:firstLine="420" w:firstLineChars="200"/>
        <w:jc w:val="left"/>
        <w:rPr>
          <w:rFonts w:hint="eastAsia" w:ascii="宋体" w:cs="宋体"/>
          <w:szCs w:val="21"/>
          <w:u w:val="single"/>
        </w:rPr>
      </w:pPr>
      <w:r>
        <w:rPr>
          <w:rFonts w:hint="eastAsia" w:ascii="宋体" w:cs="宋体"/>
          <w:szCs w:val="21"/>
        </w:rPr>
        <w:t>2、总价合同支付分解表的编制与审批：</w:t>
      </w:r>
      <w:r>
        <w:rPr>
          <w:rFonts w:hint="eastAsia" w:ascii="宋体" w:cs="宋体"/>
          <w:szCs w:val="21"/>
          <w:u w:val="single"/>
        </w:rPr>
        <w:t xml:space="preserve">   不采用   </w:t>
      </w:r>
      <w:r>
        <w:rPr>
          <w:rFonts w:hint="eastAsia" w:ascii="宋体" w:cs="宋体"/>
          <w:szCs w:val="21"/>
        </w:rPr>
        <w:t>。</w:t>
      </w:r>
    </w:p>
    <w:p w14:paraId="3246C2C2">
      <w:pPr>
        <w:snapToGrid w:val="0"/>
        <w:spacing w:line="440" w:lineRule="exact"/>
        <w:ind w:firstLine="420" w:firstLineChars="200"/>
        <w:jc w:val="left"/>
        <w:rPr>
          <w:rFonts w:hint="eastAsia" w:ascii="宋体" w:cs="宋体"/>
          <w:szCs w:val="21"/>
          <w:u w:val="single"/>
        </w:rPr>
      </w:pPr>
      <w:r>
        <w:rPr>
          <w:rFonts w:hint="eastAsia" w:ascii="宋体" w:cs="宋体"/>
          <w:szCs w:val="21"/>
        </w:rPr>
        <w:t>3、单价合同的总价项目支付分解表的编制与审批：</w:t>
      </w:r>
      <w:r>
        <w:rPr>
          <w:rFonts w:hint="eastAsia" w:ascii="宋体" w:cs="宋体"/>
          <w:szCs w:val="21"/>
          <w:u w:val="single"/>
        </w:rPr>
        <w:t>执行发包人统一内容格式。</w:t>
      </w:r>
    </w:p>
    <w:p w14:paraId="57B68465">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13. 验收和工程试车</w:t>
      </w:r>
    </w:p>
    <w:p w14:paraId="0E25E4A7">
      <w:pPr>
        <w:snapToGrid w:val="0"/>
        <w:spacing w:line="440" w:lineRule="exact"/>
        <w:ind w:firstLine="420" w:firstLineChars="200"/>
        <w:rPr>
          <w:rFonts w:hint="eastAsia" w:ascii="宋体" w:cs="宋体"/>
          <w:szCs w:val="21"/>
        </w:rPr>
      </w:pPr>
      <w:r>
        <w:rPr>
          <w:rFonts w:hint="eastAsia" w:ascii="宋体" w:cs="宋体"/>
          <w:szCs w:val="21"/>
        </w:rPr>
        <w:t>13.1 分部分项工程验收</w:t>
      </w:r>
    </w:p>
    <w:p w14:paraId="074CAD8F">
      <w:pPr>
        <w:snapToGrid w:val="0"/>
        <w:spacing w:line="440" w:lineRule="exact"/>
        <w:ind w:firstLine="420" w:firstLineChars="200"/>
        <w:jc w:val="left"/>
        <w:rPr>
          <w:rFonts w:hint="eastAsia" w:ascii="宋体" w:cs="宋体"/>
          <w:szCs w:val="21"/>
        </w:rPr>
      </w:pPr>
      <w:r>
        <w:rPr>
          <w:rFonts w:hint="eastAsia" w:ascii="宋体" w:cs="宋体"/>
          <w:szCs w:val="21"/>
        </w:rPr>
        <w:t>13.1.2监理人不能按时进行验收时，应提前</w:t>
      </w:r>
      <w:r>
        <w:rPr>
          <w:rFonts w:hint="eastAsia" w:ascii="宋体" w:cs="宋体"/>
          <w:szCs w:val="21"/>
          <w:u w:val="single"/>
        </w:rPr>
        <w:t xml:space="preserve">  3  </w:t>
      </w:r>
      <w:r>
        <w:rPr>
          <w:rFonts w:hint="eastAsia" w:ascii="宋体" w:cs="宋体"/>
          <w:szCs w:val="21"/>
        </w:rPr>
        <w:t>小时提交书面延期要求。</w:t>
      </w:r>
    </w:p>
    <w:p w14:paraId="08571564">
      <w:pPr>
        <w:snapToGrid w:val="0"/>
        <w:spacing w:line="440" w:lineRule="exact"/>
        <w:ind w:firstLine="420" w:firstLineChars="200"/>
        <w:jc w:val="left"/>
        <w:rPr>
          <w:rFonts w:hint="eastAsia" w:ascii="宋体" w:cs="宋体"/>
          <w:szCs w:val="21"/>
        </w:rPr>
      </w:pPr>
      <w:r>
        <w:rPr>
          <w:rFonts w:hint="eastAsia" w:ascii="宋体" w:cs="宋体"/>
          <w:szCs w:val="21"/>
        </w:rPr>
        <w:t>关于延期最长不得超过：</w:t>
      </w:r>
      <w:r>
        <w:rPr>
          <w:rFonts w:hint="eastAsia" w:ascii="宋体" w:cs="宋体"/>
          <w:szCs w:val="21"/>
          <w:u w:val="single"/>
        </w:rPr>
        <w:t xml:space="preserve"> 6  </w:t>
      </w:r>
      <w:r>
        <w:rPr>
          <w:rFonts w:hint="eastAsia" w:ascii="宋体" w:cs="宋体"/>
          <w:szCs w:val="21"/>
        </w:rPr>
        <w:t>小时。</w:t>
      </w:r>
    </w:p>
    <w:p w14:paraId="4311906F">
      <w:pPr>
        <w:wordWrap w:val="0"/>
        <w:snapToGrid w:val="0"/>
        <w:spacing w:line="440" w:lineRule="exact"/>
        <w:ind w:firstLine="420" w:firstLineChars="200"/>
        <w:textAlignment w:val="bottom"/>
        <w:rPr>
          <w:rFonts w:hint="eastAsia" w:ascii="宋体" w:cs="宋体"/>
          <w:szCs w:val="21"/>
        </w:rPr>
      </w:pPr>
      <w:r>
        <w:rPr>
          <w:rFonts w:hint="eastAsia" w:ascii="宋体" w:cs="宋体"/>
          <w:szCs w:val="21"/>
        </w:rPr>
        <w:t>13.2 竣工验收</w:t>
      </w:r>
    </w:p>
    <w:p w14:paraId="60A871A1">
      <w:pPr>
        <w:snapToGrid w:val="0"/>
        <w:spacing w:line="440" w:lineRule="exact"/>
        <w:ind w:firstLine="420" w:firstLineChars="200"/>
        <w:jc w:val="left"/>
        <w:rPr>
          <w:rFonts w:hint="eastAsia" w:ascii="宋体" w:cs="宋体"/>
          <w:szCs w:val="21"/>
        </w:rPr>
      </w:pPr>
      <w:r>
        <w:rPr>
          <w:rFonts w:hint="eastAsia" w:ascii="宋体" w:cs="宋体"/>
          <w:szCs w:val="21"/>
        </w:rPr>
        <w:t>13.2.2竣工验收程序</w:t>
      </w:r>
    </w:p>
    <w:p w14:paraId="168ACE07">
      <w:pPr>
        <w:wordWrap w:val="0"/>
        <w:snapToGrid w:val="0"/>
        <w:spacing w:line="440" w:lineRule="exact"/>
        <w:ind w:firstLine="420" w:firstLineChars="200"/>
        <w:jc w:val="left"/>
        <w:rPr>
          <w:rFonts w:hint="eastAsia" w:ascii="宋体" w:cs="宋体"/>
          <w:szCs w:val="21"/>
        </w:rPr>
      </w:pPr>
      <w:r>
        <w:rPr>
          <w:rFonts w:hint="eastAsia" w:ascii="宋体" w:cs="宋体"/>
          <w:szCs w:val="21"/>
        </w:rPr>
        <w:t>关于竣工验收程序的约定：</w:t>
      </w:r>
      <w:r>
        <w:rPr>
          <w:rFonts w:hint="eastAsia" w:ascii="宋体" w:hAnsi="宋体" w:cs="宋体"/>
          <w:color w:val="auto"/>
          <w:szCs w:val="21"/>
          <w:highlight w:val="none"/>
          <w:u w:val="single"/>
        </w:rPr>
        <w:t>执行通用条款</w:t>
      </w:r>
      <w:r>
        <w:rPr>
          <w:rFonts w:ascii="宋体" w:hAnsi="宋体" w:cs="宋体"/>
          <w:color w:val="auto"/>
          <w:szCs w:val="21"/>
          <w:highlight w:val="none"/>
          <w:u w:val="single"/>
        </w:rPr>
        <w:t xml:space="preserve">  </w:t>
      </w:r>
      <w:r>
        <w:rPr>
          <w:rFonts w:hint="eastAsia" w:ascii="宋体" w:cs="宋体"/>
          <w:szCs w:val="21"/>
          <w:u w:val="single"/>
        </w:rPr>
        <w:t>。</w:t>
      </w:r>
    </w:p>
    <w:p w14:paraId="609E1968">
      <w:pPr>
        <w:wordWrap w:val="0"/>
        <w:snapToGrid w:val="0"/>
        <w:spacing w:line="440" w:lineRule="exact"/>
        <w:ind w:firstLine="420" w:firstLineChars="200"/>
        <w:jc w:val="left"/>
        <w:rPr>
          <w:rFonts w:hint="eastAsia" w:ascii="宋体" w:cs="宋体"/>
          <w:szCs w:val="21"/>
          <w:u w:val="single"/>
        </w:rPr>
      </w:pPr>
      <w:r>
        <w:rPr>
          <w:rFonts w:hint="eastAsia" w:ascii="宋体" w:cs="宋体"/>
          <w:kern w:val="0"/>
          <w:szCs w:val="21"/>
        </w:rPr>
        <w:t>发包人不按照本项约定组织竣工验收、颁发工程接收证书的违约金的计算方法：</w:t>
      </w:r>
      <w:r>
        <w:rPr>
          <w:rFonts w:hint="eastAsia" w:ascii="宋体" w:cs="宋体"/>
          <w:szCs w:val="21"/>
          <w:u w:val="single"/>
        </w:rPr>
        <w:t xml:space="preserve">  不考虑 </w:t>
      </w:r>
      <w:r>
        <w:rPr>
          <w:rFonts w:hint="eastAsia" w:ascii="宋体" w:cs="宋体"/>
          <w:szCs w:val="21"/>
        </w:rPr>
        <w:t>。</w:t>
      </w:r>
    </w:p>
    <w:p w14:paraId="63B9CDA6">
      <w:pPr>
        <w:snapToGrid w:val="0"/>
        <w:spacing w:line="440" w:lineRule="exact"/>
        <w:ind w:firstLine="420" w:firstLineChars="200"/>
        <w:jc w:val="left"/>
        <w:rPr>
          <w:rFonts w:hint="eastAsia" w:ascii="宋体" w:cs="宋体"/>
          <w:szCs w:val="21"/>
        </w:rPr>
      </w:pPr>
      <w:r>
        <w:rPr>
          <w:rFonts w:hint="eastAsia" w:ascii="宋体" w:cs="宋体"/>
          <w:szCs w:val="21"/>
        </w:rPr>
        <w:t>13.2.5移交、接收全部与部分工程</w:t>
      </w:r>
    </w:p>
    <w:p w14:paraId="2FE239F5">
      <w:pPr>
        <w:snapToGrid w:val="0"/>
        <w:spacing w:line="440" w:lineRule="exact"/>
        <w:ind w:firstLine="420" w:firstLineChars="200"/>
        <w:jc w:val="left"/>
        <w:rPr>
          <w:rFonts w:hint="eastAsia" w:ascii="宋体" w:cs="宋体"/>
          <w:kern w:val="0"/>
          <w:szCs w:val="21"/>
        </w:rPr>
      </w:pPr>
      <w:r>
        <w:rPr>
          <w:rFonts w:hint="eastAsia" w:ascii="宋体" w:cs="宋体"/>
          <w:kern w:val="0"/>
          <w:szCs w:val="21"/>
        </w:rPr>
        <w:t>承包人向发包人移交工程的期限：</w:t>
      </w:r>
      <w:r>
        <w:rPr>
          <w:rFonts w:hint="eastAsia" w:ascii="宋体" w:cs="宋体"/>
          <w:szCs w:val="21"/>
          <w:u w:val="single"/>
        </w:rPr>
        <w:t xml:space="preserve"> 承包人应当无条件配合发包人在30日内将工程移交给管养单位。</w:t>
      </w:r>
    </w:p>
    <w:p w14:paraId="344CF107">
      <w:pPr>
        <w:snapToGrid w:val="0"/>
        <w:spacing w:line="440" w:lineRule="exact"/>
        <w:ind w:firstLine="420" w:firstLineChars="200"/>
        <w:jc w:val="left"/>
        <w:rPr>
          <w:rFonts w:hint="eastAsia" w:ascii="宋体" w:cs="宋体"/>
          <w:szCs w:val="21"/>
        </w:rPr>
      </w:pPr>
      <w:r>
        <w:rPr>
          <w:rFonts w:hint="eastAsia" w:ascii="宋体" w:cs="宋体"/>
          <w:kern w:val="0"/>
          <w:szCs w:val="21"/>
        </w:rPr>
        <w:t>发包人未按本合同约定接收全部或部分工程的，违约金的计算方法为：</w:t>
      </w:r>
      <w:r>
        <w:rPr>
          <w:rFonts w:hint="eastAsia" w:ascii="宋体" w:cs="宋体"/>
          <w:szCs w:val="21"/>
          <w:u w:val="single"/>
        </w:rPr>
        <w:t xml:space="preserve">  不考虑  </w:t>
      </w:r>
      <w:r>
        <w:rPr>
          <w:rFonts w:hint="eastAsia" w:ascii="宋体" w:cs="宋体"/>
          <w:szCs w:val="21"/>
        </w:rPr>
        <w:t>。</w:t>
      </w:r>
    </w:p>
    <w:p w14:paraId="2ADCE639">
      <w:pPr>
        <w:snapToGrid w:val="0"/>
        <w:spacing w:line="440" w:lineRule="exact"/>
        <w:ind w:firstLine="420" w:firstLineChars="200"/>
        <w:jc w:val="left"/>
        <w:rPr>
          <w:rFonts w:hint="eastAsia" w:ascii="宋体" w:cs="宋体"/>
          <w:color w:val="auto"/>
          <w:szCs w:val="21"/>
          <w:u w:val="single"/>
        </w:rPr>
      </w:pPr>
      <w:r>
        <w:rPr>
          <w:rFonts w:hint="eastAsia" w:ascii="宋体" w:cs="宋体"/>
          <w:szCs w:val="21"/>
        </w:rPr>
        <w:t>承包人未按时移交工程的，违约金的计算方法为：</w:t>
      </w:r>
      <w:r>
        <w:rPr>
          <w:rFonts w:hint="eastAsia" w:ascii="宋体" w:cs="宋体"/>
          <w:szCs w:val="21"/>
          <w:u w:val="single"/>
        </w:rPr>
        <w:t xml:space="preserve"> 因承包人原因，未按合同期限按时移交的，暂停工程款支付，发包人可动用质保金，用于工程质量整改，同时限制承包人一年内不得参与我单位项目</w:t>
      </w:r>
      <w:r>
        <w:rPr>
          <w:rFonts w:hint="eastAsia" w:ascii="宋体" w:cs="宋体"/>
          <w:color w:val="auto"/>
          <w:szCs w:val="21"/>
          <w:u w:val="single"/>
        </w:rPr>
        <w:t xml:space="preserve">投标 </w:t>
      </w:r>
      <w:r>
        <w:rPr>
          <w:rFonts w:hint="eastAsia" w:ascii="宋体" w:cs="宋体"/>
          <w:color w:val="auto"/>
          <w:szCs w:val="21"/>
          <w:u w:val="single"/>
          <w:lang w:eastAsia="zh-CN"/>
        </w:rPr>
        <w:t>，质保金不足以承担整改费用的，承包人应另行支付并承担由此产生的诉讼、鉴定、保全、律师费等</w:t>
      </w:r>
      <w:r>
        <w:rPr>
          <w:rFonts w:hint="eastAsia" w:ascii="宋体" w:cs="宋体"/>
          <w:color w:val="auto"/>
          <w:szCs w:val="21"/>
          <w:u w:val="single"/>
        </w:rPr>
        <w:t xml:space="preserve"> </w:t>
      </w:r>
      <w:r>
        <w:rPr>
          <w:rFonts w:hint="eastAsia" w:ascii="宋体" w:cs="宋体"/>
          <w:color w:val="auto"/>
          <w:szCs w:val="21"/>
        </w:rPr>
        <w:t>。</w:t>
      </w:r>
    </w:p>
    <w:p w14:paraId="69750784">
      <w:pPr>
        <w:snapToGrid w:val="0"/>
        <w:spacing w:line="440" w:lineRule="exact"/>
        <w:ind w:firstLine="420" w:firstLineChars="200"/>
        <w:rPr>
          <w:rFonts w:hint="eastAsia" w:ascii="宋体" w:cs="宋体"/>
          <w:color w:val="auto"/>
          <w:szCs w:val="21"/>
        </w:rPr>
      </w:pPr>
      <w:r>
        <w:rPr>
          <w:rFonts w:hint="eastAsia" w:ascii="宋体" w:cs="宋体"/>
          <w:color w:val="auto"/>
          <w:szCs w:val="21"/>
        </w:rPr>
        <w:t>13.3 工程试车</w:t>
      </w:r>
    </w:p>
    <w:p w14:paraId="77C2EB8B">
      <w:pPr>
        <w:snapToGrid w:val="0"/>
        <w:spacing w:line="440" w:lineRule="exact"/>
        <w:ind w:firstLine="420" w:firstLineChars="200"/>
        <w:jc w:val="left"/>
        <w:rPr>
          <w:rFonts w:hint="eastAsia" w:ascii="宋体" w:cs="宋体"/>
          <w:kern w:val="0"/>
          <w:szCs w:val="21"/>
        </w:rPr>
      </w:pPr>
      <w:r>
        <w:rPr>
          <w:rFonts w:hint="eastAsia" w:ascii="宋体" w:cs="宋体"/>
          <w:kern w:val="0"/>
          <w:szCs w:val="21"/>
        </w:rPr>
        <w:t>13.3.1 试车程序</w:t>
      </w:r>
    </w:p>
    <w:p w14:paraId="7C418FC2">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工程试车内容：</w:t>
      </w:r>
      <w:r>
        <w:rPr>
          <w:rFonts w:hint="eastAsia" w:ascii="宋体" w:cs="宋体"/>
          <w:szCs w:val="21"/>
          <w:u w:val="single"/>
        </w:rPr>
        <w:t>工程需要试车的，试车内容应与承包人承包范围相一致，试车费用由承包人承担。</w:t>
      </w:r>
    </w:p>
    <w:p w14:paraId="140554A2">
      <w:pPr>
        <w:snapToGrid w:val="0"/>
        <w:spacing w:line="440" w:lineRule="exact"/>
        <w:ind w:firstLine="420" w:firstLineChars="200"/>
        <w:jc w:val="left"/>
        <w:rPr>
          <w:rFonts w:hint="eastAsia" w:ascii="宋体" w:cs="宋体"/>
          <w:kern w:val="0"/>
          <w:szCs w:val="21"/>
        </w:rPr>
      </w:pPr>
      <w:r>
        <w:rPr>
          <w:rFonts w:hint="eastAsia" w:ascii="宋体" w:cs="宋体"/>
          <w:kern w:val="0"/>
          <w:szCs w:val="21"/>
        </w:rPr>
        <w:t>（1）单机无负荷试车费用由</w:t>
      </w:r>
      <w:r>
        <w:rPr>
          <w:rFonts w:hint="eastAsia" w:ascii="宋体" w:cs="宋体"/>
          <w:szCs w:val="21"/>
          <w:u w:val="single"/>
        </w:rPr>
        <w:t xml:space="preserve">  承包人  </w:t>
      </w:r>
      <w:r>
        <w:rPr>
          <w:rFonts w:hint="eastAsia" w:ascii="宋体" w:cs="宋体"/>
          <w:kern w:val="0"/>
          <w:szCs w:val="21"/>
        </w:rPr>
        <w:t>承担；</w:t>
      </w:r>
    </w:p>
    <w:p w14:paraId="3B6AD9C6">
      <w:pPr>
        <w:snapToGrid w:val="0"/>
        <w:spacing w:line="440" w:lineRule="exact"/>
        <w:ind w:firstLine="420" w:firstLineChars="200"/>
        <w:jc w:val="left"/>
        <w:rPr>
          <w:rFonts w:hint="eastAsia" w:ascii="宋体" w:cs="宋体"/>
          <w:kern w:val="0"/>
          <w:szCs w:val="21"/>
        </w:rPr>
      </w:pPr>
      <w:r>
        <w:rPr>
          <w:rFonts w:hint="eastAsia" w:ascii="宋体" w:cs="宋体"/>
          <w:kern w:val="0"/>
          <w:szCs w:val="21"/>
        </w:rPr>
        <w:t>（2）无负荷联动试车费用由</w:t>
      </w:r>
      <w:r>
        <w:rPr>
          <w:rFonts w:hint="eastAsia" w:ascii="宋体" w:cs="宋体"/>
          <w:szCs w:val="21"/>
          <w:u w:val="single"/>
        </w:rPr>
        <w:t xml:space="preserve">  承包人  </w:t>
      </w:r>
      <w:r>
        <w:rPr>
          <w:rFonts w:hint="eastAsia" w:ascii="宋体" w:cs="宋体"/>
          <w:kern w:val="0"/>
          <w:szCs w:val="21"/>
        </w:rPr>
        <w:t>承担。</w:t>
      </w:r>
    </w:p>
    <w:p w14:paraId="1B5B61A8">
      <w:pPr>
        <w:snapToGrid w:val="0"/>
        <w:spacing w:line="440" w:lineRule="exact"/>
        <w:ind w:firstLine="420" w:firstLineChars="200"/>
        <w:jc w:val="left"/>
        <w:rPr>
          <w:rFonts w:hint="eastAsia" w:ascii="宋体" w:cs="宋体"/>
          <w:kern w:val="0"/>
          <w:szCs w:val="21"/>
        </w:rPr>
      </w:pPr>
      <w:r>
        <w:rPr>
          <w:rFonts w:hint="eastAsia" w:ascii="宋体" w:cs="宋体"/>
          <w:kern w:val="0"/>
          <w:szCs w:val="21"/>
        </w:rPr>
        <w:t>13.3.3 投料试车</w:t>
      </w:r>
    </w:p>
    <w:p w14:paraId="0ABBF0D2">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关于投料试车相关事项的约定：</w:t>
      </w:r>
      <w:r>
        <w:rPr>
          <w:rFonts w:hint="eastAsia" w:ascii="宋体" w:cs="宋体"/>
          <w:kern w:val="0"/>
          <w:szCs w:val="21"/>
          <w:u w:val="single"/>
        </w:rPr>
        <w:t>如需进行投料试车的，发包人应在工程竣工验收后组织投料试车。发包人要求在工程竣工验收前进行或需要承包人配合时，应征得承包人同意。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C3FBF2D">
      <w:pPr>
        <w:snapToGrid w:val="0"/>
        <w:spacing w:line="440" w:lineRule="exact"/>
        <w:ind w:firstLine="420" w:firstLineChars="200"/>
        <w:rPr>
          <w:rFonts w:hint="eastAsia" w:ascii="宋体" w:cs="宋体"/>
          <w:szCs w:val="21"/>
        </w:rPr>
      </w:pPr>
      <w:r>
        <w:rPr>
          <w:rFonts w:hint="eastAsia" w:ascii="宋体" w:cs="宋体"/>
          <w:szCs w:val="21"/>
        </w:rPr>
        <w:t>13.6 竣工退场</w:t>
      </w:r>
    </w:p>
    <w:p w14:paraId="21984A5F">
      <w:pPr>
        <w:snapToGrid w:val="0"/>
        <w:spacing w:line="440" w:lineRule="exact"/>
        <w:ind w:firstLine="420" w:firstLineChars="200"/>
        <w:jc w:val="left"/>
        <w:rPr>
          <w:rFonts w:hint="eastAsia" w:ascii="宋体" w:cs="宋体"/>
          <w:kern w:val="0"/>
          <w:szCs w:val="21"/>
        </w:rPr>
      </w:pPr>
      <w:r>
        <w:rPr>
          <w:rFonts w:hint="eastAsia" w:ascii="宋体" w:cs="宋体"/>
          <w:kern w:val="0"/>
          <w:szCs w:val="21"/>
        </w:rPr>
        <w:t>13.6.1 竣工退场</w:t>
      </w:r>
    </w:p>
    <w:p w14:paraId="721C3CF1">
      <w:pPr>
        <w:snapToGrid w:val="0"/>
        <w:spacing w:line="440" w:lineRule="exact"/>
        <w:ind w:firstLine="420" w:firstLineChars="200"/>
        <w:jc w:val="left"/>
        <w:rPr>
          <w:rFonts w:hint="eastAsia" w:ascii="宋体" w:cs="宋体"/>
          <w:kern w:val="0"/>
          <w:szCs w:val="21"/>
        </w:rPr>
      </w:pPr>
      <w:r>
        <w:rPr>
          <w:rFonts w:hint="eastAsia" w:ascii="宋体" w:cs="宋体"/>
          <w:kern w:val="0"/>
          <w:szCs w:val="21"/>
        </w:rPr>
        <w:t>承包人完成竣工退场的期限：</w:t>
      </w:r>
      <w:r>
        <w:rPr>
          <w:rFonts w:hint="eastAsia" w:ascii="宋体" w:cs="宋体"/>
          <w:szCs w:val="21"/>
          <w:u w:val="single"/>
        </w:rPr>
        <w:t>工程竣工合格后，7天内退场。</w:t>
      </w:r>
    </w:p>
    <w:p w14:paraId="4ACF087A">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14. 竣工结算</w:t>
      </w:r>
    </w:p>
    <w:p w14:paraId="48FCCD8B">
      <w:pPr>
        <w:snapToGrid w:val="0"/>
        <w:spacing w:line="440" w:lineRule="exact"/>
        <w:ind w:firstLine="420" w:firstLineChars="200"/>
        <w:rPr>
          <w:rFonts w:hint="eastAsia" w:ascii="宋体" w:cs="宋体"/>
          <w:szCs w:val="21"/>
        </w:rPr>
      </w:pPr>
      <w:r>
        <w:rPr>
          <w:rFonts w:hint="eastAsia" w:ascii="宋体" w:cs="宋体"/>
          <w:szCs w:val="21"/>
        </w:rPr>
        <w:t>14.1 竣工付款申请</w:t>
      </w:r>
    </w:p>
    <w:p w14:paraId="1040422F">
      <w:pPr>
        <w:snapToGrid w:val="0"/>
        <w:spacing w:line="440" w:lineRule="exact"/>
        <w:ind w:firstLine="420" w:firstLineChars="200"/>
        <w:jc w:val="left"/>
        <w:rPr>
          <w:rFonts w:hint="eastAsia" w:ascii="宋体" w:cs="宋体"/>
          <w:szCs w:val="21"/>
        </w:rPr>
      </w:pPr>
      <w:r>
        <w:rPr>
          <w:rFonts w:hint="eastAsia" w:ascii="宋体" w:cs="宋体"/>
          <w:szCs w:val="21"/>
        </w:rPr>
        <w:t>承包人提交竣工付款申请单的期限：</w:t>
      </w:r>
      <w:r>
        <w:rPr>
          <w:rFonts w:hint="eastAsia" w:ascii="宋体" w:cs="宋体"/>
          <w:szCs w:val="21"/>
          <w:u w:val="single"/>
        </w:rPr>
        <w:t>承包人须于竣工验收合格后60日内完成竣工结算报告和完整结算资料上报，特殊情况，经分管领导批准的可以延长。凡因承包人原因，未能在规定时间内上报竣工结算的，处罚10000元/月的违约金。情节严重的，项目单位有权按已有资料或按已付款报相关部门办理结算。</w:t>
      </w:r>
    </w:p>
    <w:p w14:paraId="54CFBA26">
      <w:pPr>
        <w:snapToGrid w:val="0"/>
        <w:spacing w:line="440" w:lineRule="exact"/>
        <w:ind w:firstLine="420" w:firstLineChars="200"/>
        <w:jc w:val="left"/>
        <w:rPr>
          <w:rFonts w:hint="eastAsia" w:ascii="宋体" w:cs="宋体"/>
          <w:szCs w:val="21"/>
          <w:u w:val="single"/>
        </w:rPr>
      </w:pPr>
      <w:r>
        <w:rPr>
          <w:rFonts w:hint="eastAsia" w:ascii="宋体" w:cs="宋体"/>
          <w:szCs w:val="21"/>
        </w:rPr>
        <w:t>竣工结算申请单应包括的内容：</w:t>
      </w:r>
      <w:r>
        <w:rPr>
          <w:rFonts w:hint="eastAsia" w:ascii="宋体" w:cs="宋体"/>
          <w:szCs w:val="21"/>
          <w:u w:val="single"/>
        </w:rPr>
        <w:t>执行发包人统一内容格式。</w:t>
      </w:r>
    </w:p>
    <w:p w14:paraId="0FF1F596">
      <w:pPr>
        <w:snapToGrid w:val="0"/>
        <w:spacing w:line="440" w:lineRule="exact"/>
        <w:ind w:firstLine="420" w:firstLineChars="200"/>
        <w:jc w:val="left"/>
        <w:rPr>
          <w:rFonts w:hint="eastAsia" w:ascii="宋体" w:cs="宋体"/>
          <w:szCs w:val="21"/>
        </w:rPr>
      </w:pPr>
      <w:r>
        <w:rPr>
          <w:rFonts w:hint="eastAsia" w:ascii="宋体" w:cs="宋体"/>
          <w:szCs w:val="21"/>
        </w:rPr>
        <w:t>14.2 竣工结算审核</w:t>
      </w:r>
    </w:p>
    <w:p w14:paraId="45532D5D">
      <w:pPr>
        <w:snapToGrid w:val="0"/>
        <w:spacing w:line="440" w:lineRule="exact"/>
        <w:ind w:firstLine="420" w:firstLineChars="200"/>
        <w:jc w:val="left"/>
        <w:rPr>
          <w:rFonts w:hint="eastAsia" w:ascii="宋体" w:cs="宋体"/>
          <w:szCs w:val="21"/>
        </w:rPr>
      </w:pPr>
      <w:r>
        <w:rPr>
          <w:rFonts w:hint="eastAsia" w:ascii="宋体" w:cs="宋体"/>
          <w:szCs w:val="21"/>
        </w:rPr>
        <w:t>发包人审批竣工付款申请单的期限：</w:t>
      </w:r>
      <w:r>
        <w:rPr>
          <w:rFonts w:hint="eastAsia" w:ascii="宋体" w:cs="宋体"/>
          <w:szCs w:val="21"/>
          <w:u w:val="single"/>
        </w:rPr>
        <w:t>相关部门审核通过后7天内完成审批并签发结算款支付证书</w:t>
      </w:r>
      <w:r>
        <w:rPr>
          <w:rFonts w:hint="eastAsia" w:ascii="宋体" w:cs="宋体"/>
          <w:szCs w:val="21"/>
        </w:rPr>
        <w:t>。</w:t>
      </w:r>
    </w:p>
    <w:p w14:paraId="25182441">
      <w:pPr>
        <w:snapToGrid w:val="0"/>
        <w:spacing w:line="440" w:lineRule="exact"/>
        <w:ind w:firstLine="420" w:firstLineChars="200"/>
        <w:jc w:val="left"/>
        <w:rPr>
          <w:rFonts w:hint="eastAsia" w:ascii="宋体" w:cs="宋体"/>
          <w:szCs w:val="21"/>
        </w:rPr>
      </w:pPr>
      <w:r>
        <w:rPr>
          <w:rFonts w:hint="eastAsia" w:ascii="宋体" w:cs="宋体"/>
          <w:szCs w:val="21"/>
        </w:rPr>
        <w:t>发包人完成竣工付款的期限：</w:t>
      </w:r>
      <w:r>
        <w:rPr>
          <w:rFonts w:hint="eastAsia" w:ascii="宋体" w:cs="宋体"/>
          <w:szCs w:val="21"/>
          <w:u w:val="single"/>
        </w:rPr>
        <w:t xml:space="preserve">发包人在政府资金调度会批准且发票送达一周内完成支付 </w:t>
      </w:r>
      <w:r>
        <w:rPr>
          <w:rFonts w:hint="eastAsia" w:ascii="宋体" w:cs="宋体"/>
          <w:szCs w:val="21"/>
        </w:rPr>
        <w:t>。</w:t>
      </w:r>
    </w:p>
    <w:p w14:paraId="0F251D9F">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关于竣工付款证书异议部分复核的方式和程序：</w:t>
      </w:r>
      <w:r>
        <w:rPr>
          <w:rFonts w:hint="eastAsia" w:ascii="宋体" w:cs="宋体"/>
          <w:color w:val="auto"/>
          <w:szCs w:val="21"/>
          <w:u w:val="single"/>
        </w:rPr>
        <w:t>按照第20条〔争议解决〕约定处理。</w:t>
      </w:r>
    </w:p>
    <w:p w14:paraId="6986CB02">
      <w:pPr>
        <w:snapToGrid w:val="0"/>
        <w:spacing w:line="440" w:lineRule="exact"/>
        <w:ind w:firstLine="422" w:firstLineChars="200"/>
        <w:rPr>
          <w:rFonts w:hint="eastAsia" w:ascii="黑体" w:hAnsi="黑体" w:eastAsia="黑体" w:cs="黑体"/>
          <w:b/>
          <w:bCs/>
          <w:color w:val="auto"/>
          <w:szCs w:val="21"/>
          <w:highlight w:val="yellow"/>
          <w:lang w:eastAsia="zh-CN"/>
        </w:rPr>
      </w:pPr>
      <w:r>
        <w:rPr>
          <w:rFonts w:hint="eastAsia" w:ascii="黑体" w:hAnsi="黑体" w:eastAsia="黑体" w:cs="黑体"/>
          <w:b/>
          <w:bCs/>
          <w:color w:val="auto"/>
          <w:szCs w:val="21"/>
          <w:lang w:val="en-US" w:eastAsia="zh-CN"/>
        </w:rPr>
        <w:t>关于工程审计的约定：发包人仅承担审计基本费，审核成果费由承包人承担，本项目审减额收费费率为7%</w:t>
      </w:r>
      <w:r>
        <w:rPr>
          <w:rFonts w:hint="eastAsia" w:ascii="黑体" w:hAnsi="黑体" w:eastAsia="黑体" w:cs="黑体"/>
          <w:b/>
          <w:bCs/>
          <w:color w:val="auto"/>
          <w:szCs w:val="21"/>
          <w:lang w:eastAsia="zh-CN"/>
        </w:rPr>
        <w:t>。</w:t>
      </w:r>
    </w:p>
    <w:p w14:paraId="39A10FA1">
      <w:pPr>
        <w:snapToGrid w:val="0"/>
        <w:spacing w:line="440" w:lineRule="exact"/>
        <w:ind w:firstLine="420" w:firstLineChars="200"/>
        <w:rPr>
          <w:rFonts w:hint="eastAsia" w:ascii="宋体" w:cs="宋体"/>
          <w:color w:val="auto"/>
          <w:szCs w:val="21"/>
        </w:rPr>
      </w:pPr>
      <w:r>
        <w:rPr>
          <w:rFonts w:hint="eastAsia" w:ascii="宋体" w:cs="宋体"/>
          <w:color w:val="auto"/>
          <w:szCs w:val="21"/>
        </w:rPr>
        <w:t>14.4 最终结清</w:t>
      </w:r>
    </w:p>
    <w:p w14:paraId="2E1B441A">
      <w:pPr>
        <w:snapToGrid w:val="0"/>
        <w:spacing w:line="440" w:lineRule="exact"/>
        <w:ind w:firstLine="420" w:firstLineChars="200"/>
        <w:jc w:val="left"/>
        <w:rPr>
          <w:rFonts w:hint="eastAsia" w:ascii="宋体" w:cs="宋体"/>
          <w:color w:val="auto"/>
          <w:kern w:val="0"/>
          <w:szCs w:val="21"/>
        </w:rPr>
      </w:pPr>
      <w:r>
        <w:rPr>
          <w:rFonts w:hint="eastAsia" w:ascii="宋体" w:cs="宋体"/>
          <w:color w:val="auto"/>
          <w:kern w:val="0"/>
          <w:szCs w:val="21"/>
        </w:rPr>
        <w:t>14.4.1 最终结清申请单</w:t>
      </w:r>
    </w:p>
    <w:p w14:paraId="15B31B73">
      <w:pPr>
        <w:snapToGrid w:val="0"/>
        <w:spacing w:line="440" w:lineRule="exact"/>
        <w:ind w:firstLine="420" w:firstLineChars="200"/>
        <w:jc w:val="left"/>
        <w:rPr>
          <w:rFonts w:hint="eastAsia" w:ascii="宋体" w:cs="宋体"/>
          <w:color w:val="auto"/>
          <w:kern w:val="0"/>
          <w:szCs w:val="21"/>
        </w:rPr>
      </w:pPr>
      <w:r>
        <w:rPr>
          <w:rFonts w:hint="eastAsia" w:ascii="宋体" w:cs="宋体"/>
          <w:color w:val="auto"/>
          <w:kern w:val="0"/>
          <w:szCs w:val="21"/>
        </w:rPr>
        <w:t>承包人提交最终结清申请单的份数：</w:t>
      </w:r>
      <w:r>
        <w:rPr>
          <w:rFonts w:hint="eastAsia" w:ascii="宋体" w:cs="宋体"/>
          <w:color w:val="auto"/>
          <w:szCs w:val="21"/>
          <w:u w:val="single"/>
        </w:rPr>
        <w:t xml:space="preserve"> 4份  </w:t>
      </w:r>
      <w:r>
        <w:rPr>
          <w:rFonts w:hint="eastAsia" w:ascii="宋体" w:cs="宋体"/>
          <w:color w:val="auto"/>
          <w:szCs w:val="21"/>
        </w:rPr>
        <w:t>。</w:t>
      </w:r>
    </w:p>
    <w:p w14:paraId="75312F00">
      <w:pPr>
        <w:snapToGrid w:val="0"/>
        <w:spacing w:line="440" w:lineRule="exact"/>
        <w:ind w:firstLine="420" w:firstLineChars="200"/>
        <w:jc w:val="left"/>
        <w:rPr>
          <w:rFonts w:hint="eastAsia" w:ascii="宋体" w:cs="宋体"/>
          <w:color w:val="auto"/>
          <w:szCs w:val="21"/>
        </w:rPr>
      </w:pPr>
      <w:r>
        <w:rPr>
          <w:rFonts w:hint="eastAsia" w:ascii="宋体" w:cs="宋体"/>
          <w:color w:val="auto"/>
          <w:kern w:val="0"/>
          <w:szCs w:val="21"/>
        </w:rPr>
        <w:t>承包人提交最终结算申请单的期限：</w:t>
      </w:r>
      <w:r>
        <w:rPr>
          <w:rFonts w:hint="eastAsia" w:ascii="宋体" w:cs="宋体"/>
          <w:color w:val="auto"/>
          <w:szCs w:val="21"/>
          <w:u w:val="single"/>
        </w:rPr>
        <w:t xml:space="preserve"> 缺陷责任期满经复查合格后7天内。</w:t>
      </w:r>
    </w:p>
    <w:p w14:paraId="1F0AD7A1">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14.4.2 最终结清证书和支付</w:t>
      </w:r>
    </w:p>
    <w:p w14:paraId="543B6DBD">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（1）发包人完成最终结清申请单的审批并颁发最终结清证书的期限：</w:t>
      </w:r>
      <w:r>
        <w:rPr>
          <w:rFonts w:hint="eastAsia" w:ascii="宋体" w:cs="宋体"/>
          <w:color w:val="auto"/>
          <w:szCs w:val="21"/>
          <w:u w:val="single"/>
        </w:rPr>
        <w:t xml:space="preserve"> 缺陷责任期满经复查合格后14天内。</w:t>
      </w:r>
    </w:p>
    <w:p w14:paraId="7D1CF9E9">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（2）发包人完成支付的期限：</w:t>
      </w:r>
      <w:r>
        <w:rPr>
          <w:rFonts w:hint="eastAsia" w:ascii="宋体" w:cs="宋体"/>
          <w:color w:val="auto"/>
          <w:szCs w:val="21"/>
          <w:u w:val="single"/>
        </w:rPr>
        <w:t xml:space="preserve">发包人发票送达一周内完成支付 </w:t>
      </w:r>
      <w:r>
        <w:rPr>
          <w:rFonts w:hint="eastAsia" w:ascii="宋体" w:cs="宋体"/>
          <w:color w:val="auto"/>
          <w:szCs w:val="21"/>
        </w:rPr>
        <w:t>。</w:t>
      </w:r>
    </w:p>
    <w:p w14:paraId="19EDB972">
      <w:pPr>
        <w:pStyle w:val="9"/>
        <w:snapToGrid w:val="0"/>
        <w:spacing w:before="0" w:after="0" w:line="440" w:lineRule="exact"/>
        <w:ind w:firstLine="420" w:firstLineChars="200"/>
        <w:rPr>
          <w:rFonts w:hint="eastAsia" w:ascii="宋体" w:eastAsia="宋体" w:cs="宋体"/>
          <w:b w:val="0"/>
          <w:color w:val="auto"/>
          <w:sz w:val="21"/>
          <w:szCs w:val="21"/>
        </w:rPr>
      </w:pPr>
      <w:r>
        <w:rPr>
          <w:rFonts w:hint="eastAsia" w:ascii="宋体" w:eastAsia="宋体" w:cs="宋体"/>
          <w:b w:val="0"/>
          <w:color w:val="auto"/>
          <w:sz w:val="21"/>
          <w:szCs w:val="21"/>
        </w:rPr>
        <w:t>15. 缺陷责任期与保修</w:t>
      </w:r>
    </w:p>
    <w:p w14:paraId="4739C256">
      <w:pPr>
        <w:snapToGrid w:val="0"/>
        <w:spacing w:line="440" w:lineRule="exact"/>
        <w:ind w:firstLine="420" w:firstLineChars="200"/>
        <w:rPr>
          <w:rFonts w:hint="eastAsia" w:ascii="宋体" w:cs="宋体"/>
          <w:color w:val="auto"/>
          <w:szCs w:val="21"/>
        </w:rPr>
      </w:pPr>
      <w:r>
        <w:rPr>
          <w:rFonts w:hint="eastAsia" w:ascii="宋体" w:cs="宋体"/>
          <w:color w:val="auto"/>
          <w:szCs w:val="21"/>
        </w:rPr>
        <w:t>15.2缺陷责任期</w:t>
      </w:r>
    </w:p>
    <w:p w14:paraId="572CC6ED">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缺陷责任期的具体期限：</w:t>
      </w:r>
      <w:r>
        <w:rPr>
          <w:rFonts w:hint="eastAsia" w:ascii="黑体" w:hAnsi="黑体" w:eastAsia="黑体" w:cs="黑体"/>
          <w:b/>
          <w:bCs/>
          <w:color w:val="auto"/>
          <w:szCs w:val="21"/>
          <w:u w:val="single"/>
        </w:rPr>
        <w:t>自竣工验收合格之日起24个月（详见付款方式）</w:t>
      </w:r>
      <w:r>
        <w:rPr>
          <w:rFonts w:hint="eastAsia" w:ascii="宋体" w:cs="宋体"/>
          <w:color w:val="auto"/>
          <w:szCs w:val="21"/>
          <w:u w:val="single"/>
        </w:rPr>
        <w:t>。</w:t>
      </w:r>
    </w:p>
    <w:p w14:paraId="3CF0815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rPr>
      </w:pPr>
      <w:r>
        <w:rPr>
          <w:rFonts w:hint="eastAsia" w:ascii="宋体" w:cs="宋体"/>
          <w:szCs w:val="21"/>
        </w:rPr>
        <w:t>15.3 质量保证金</w:t>
      </w:r>
    </w:p>
    <w:p w14:paraId="5AFA4525">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szCs w:val="21"/>
          <w:u w:val="single"/>
        </w:rPr>
      </w:pPr>
      <w:r>
        <w:rPr>
          <w:rFonts w:hint="eastAsia" w:ascii="宋体" w:cs="宋体"/>
          <w:szCs w:val="21"/>
        </w:rPr>
        <w:t>关于是否扣留质量保证金的约定：</w:t>
      </w:r>
      <w:r>
        <w:rPr>
          <w:rFonts w:hint="eastAsia" w:ascii="宋体" w:cs="宋体"/>
          <w:szCs w:val="21"/>
          <w:u w:val="single"/>
        </w:rPr>
        <w:t xml:space="preserve"> 是。   </w:t>
      </w:r>
    </w:p>
    <w:p w14:paraId="0623529D">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hAnsi="宋体" w:cs="宋体"/>
        </w:rPr>
      </w:pPr>
      <w:r>
        <w:rPr>
          <w:rFonts w:hint="eastAsia" w:ascii="宋体" w:hAnsi="宋体" w:cs="宋体"/>
        </w:rPr>
        <w:t>在工程项目竣工前，承包人按专用合同条款第3.7条提供履约担保的，发包人不得同时预留工程质量保证金。</w:t>
      </w:r>
    </w:p>
    <w:p w14:paraId="49826814">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hAnsi="宋体" w:cs="宋体"/>
          <w:color w:val="C00000"/>
          <w:szCs w:val="21"/>
        </w:rPr>
      </w:pPr>
      <w:r>
        <w:rPr>
          <w:rFonts w:hint="eastAsia" w:ascii="宋体" w:hAnsi="宋体" w:cs="宋体"/>
          <w:szCs w:val="21"/>
        </w:rPr>
        <w:t>15.3.1 承包人提供质量保证金的方式</w:t>
      </w:r>
    </w:p>
    <w:p w14:paraId="56B598C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质量保证金的扣留采取以下方式：</w:t>
      </w:r>
      <w:r>
        <w:rPr>
          <w:rFonts w:hint="eastAsia" w:ascii="宋体" w:hAnsi="宋体" w:cs="宋体"/>
          <w:color w:val="auto"/>
          <w:highlight w:val="none"/>
          <w:lang w:val="en-US" w:eastAsia="zh-CN"/>
        </w:rPr>
        <w:t>第（2）种方式</w:t>
      </w:r>
    </w:p>
    <w:p w14:paraId="7641FE5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kern w:val="0"/>
          <w:highlight w:val="none"/>
        </w:rPr>
      </w:pPr>
      <w:r>
        <w:rPr>
          <w:rFonts w:hint="eastAsia" w:ascii="宋体" w:hAnsi="宋体" w:cs="宋体"/>
          <w:color w:val="auto"/>
          <w:kern w:val="0"/>
          <w:highlight w:val="none"/>
        </w:rPr>
        <w:t>（1）在支付工程进度款时逐次扣留，在此情形下，质量保证金的计算基数不包括预付款的支付、扣回以及价格调整的金额；</w:t>
      </w:r>
    </w:p>
    <w:p w14:paraId="198ECA8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kern w:val="0"/>
          <w:highlight w:val="none"/>
        </w:rPr>
      </w:pPr>
      <w:r>
        <w:rPr>
          <w:rFonts w:hint="eastAsia" w:ascii="宋体" w:hAnsi="宋体" w:cs="宋体"/>
          <w:color w:val="auto"/>
          <w:kern w:val="0"/>
          <w:highlight w:val="none"/>
        </w:rPr>
        <w:t>（2）工程竣工结算时一次性扣留质量保证金；</w:t>
      </w:r>
    </w:p>
    <w:p w14:paraId="2E0F137A">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eastAsia="宋体" w:cs="宋体"/>
          <w:kern w:val="0"/>
          <w:szCs w:val="21"/>
          <w:u w:val="single"/>
          <w:lang w:eastAsia="zh-CN"/>
        </w:rPr>
      </w:pPr>
      <w:r>
        <w:rPr>
          <w:rFonts w:hint="eastAsia" w:ascii="宋体" w:hAnsi="宋体" w:cs="宋体"/>
          <w:color w:val="auto"/>
          <w:highlight w:val="none"/>
        </w:rPr>
        <w:t>关于质量保证金的补充约定：</w:t>
      </w:r>
      <w:r>
        <w:rPr>
          <w:rFonts w:hint="eastAsia" w:ascii="宋体" w:hAnsi="宋体" w:cs="宋体"/>
          <w:color w:val="auto"/>
          <w:kern w:val="0"/>
          <w:highlight w:val="none"/>
          <w:u w:val="single"/>
        </w:rPr>
        <w:t>质量保证金支持保函（银行保函、担保机构担保、保证保险）使用。采用保函的，保函有效期须与缺陷责任期截止时间保持一致。</w:t>
      </w:r>
      <w:r>
        <w:rPr>
          <w:rFonts w:hint="eastAsia" w:ascii="宋体" w:cs="宋体"/>
          <w:kern w:val="0"/>
          <w:szCs w:val="21"/>
          <w:u w:val="single"/>
        </w:rPr>
        <w:t xml:space="preserve"> </w:t>
      </w:r>
      <w:r>
        <w:rPr>
          <w:rFonts w:hint="eastAsia" w:ascii="宋体" w:cs="宋体"/>
          <w:szCs w:val="21"/>
          <w:u w:val="single"/>
        </w:rPr>
        <w:t>承包人在缺陷责任期内未履行保修义务的，缺陷责任期满经复查不合格的，质量保证金不予退还。</w:t>
      </w:r>
      <w:r>
        <w:rPr>
          <w:rFonts w:hint="eastAsia" w:ascii="宋体" w:cs="宋体"/>
          <w:kern w:val="0"/>
          <w:szCs w:val="21"/>
          <w:u w:val="single"/>
        </w:rPr>
        <w:t>质量缺陷较多，多次催促整改不到位，处理不及时的，</w:t>
      </w:r>
      <w:r>
        <w:rPr>
          <w:rFonts w:hint="eastAsia" w:ascii="宋体" w:cs="宋体"/>
          <w:szCs w:val="21"/>
          <w:u w:val="single"/>
        </w:rPr>
        <w:t>发包人可动用质保金，用于工程质量整改，同时限制承包人一年内不得参与我单位项目投标。</w:t>
      </w:r>
    </w:p>
    <w:p w14:paraId="643D31C8">
      <w:pPr>
        <w:snapToGrid w:val="0"/>
        <w:spacing w:line="440" w:lineRule="exact"/>
        <w:ind w:firstLine="420" w:firstLineChars="200"/>
        <w:rPr>
          <w:rFonts w:hint="eastAsia" w:ascii="宋体" w:cs="宋体"/>
          <w:szCs w:val="21"/>
        </w:rPr>
      </w:pPr>
      <w:r>
        <w:rPr>
          <w:rFonts w:hint="eastAsia" w:ascii="宋体" w:cs="宋体"/>
          <w:szCs w:val="21"/>
        </w:rPr>
        <w:t>15.4保修</w:t>
      </w:r>
    </w:p>
    <w:p w14:paraId="2CEB8E23">
      <w:pPr>
        <w:snapToGrid w:val="0"/>
        <w:spacing w:line="440" w:lineRule="exact"/>
        <w:ind w:firstLine="420" w:firstLineChars="200"/>
        <w:jc w:val="left"/>
        <w:rPr>
          <w:rFonts w:hint="eastAsia" w:ascii="宋体" w:cs="宋体"/>
          <w:szCs w:val="21"/>
        </w:rPr>
      </w:pPr>
      <w:r>
        <w:rPr>
          <w:rFonts w:hint="eastAsia" w:ascii="宋体" w:cs="宋体"/>
          <w:szCs w:val="21"/>
        </w:rPr>
        <w:t>15.4.1 保修责任</w:t>
      </w:r>
    </w:p>
    <w:p w14:paraId="2156CD60">
      <w:pPr>
        <w:snapToGrid w:val="0"/>
        <w:spacing w:line="440" w:lineRule="exact"/>
        <w:ind w:firstLine="420" w:firstLineChars="200"/>
        <w:jc w:val="left"/>
        <w:rPr>
          <w:rFonts w:hint="eastAsia" w:ascii="宋体" w:cs="宋体"/>
          <w:kern w:val="0"/>
          <w:szCs w:val="21"/>
          <w:u w:val="single"/>
        </w:rPr>
      </w:pPr>
      <w:r>
        <w:rPr>
          <w:rFonts w:hint="eastAsia" w:ascii="宋体" w:cs="宋体"/>
          <w:szCs w:val="21"/>
        </w:rPr>
        <w:t>工程保修期为：</w:t>
      </w:r>
      <w:r>
        <w:rPr>
          <w:rFonts w:hint="eastAsia" w:ascii="宋体" w:cs="宋体"/>
          <w:kern w:val="0"/>
          <w:szCs w:val="21"/>
          <w:u w:val="single"/>
        </w:rPr>
        <w:t xml:space="preserve">   执行《建设工程质量管理条例》及有关规定。     </w:t>
      </w:r>
    </w:p>
    <w:p w14:paraId="33035DF3">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承包人收到保修通知并到达工程现场的合理时间：</w:t>
      </w:r>
      <w:r>
        <w:rPr>
          <w:rFonts w:hint="eastAsia" w:ascii="宋体" w:cs="宋体"/>
          <w:kern w:val="0"/>
          <w:szCs w:val="21"/>
          <w:u w:val="single"/>
        </w:rPr>
        <w:t xml:space="preserve">自承包人收到保修通知起24小时内到达工程现场。  </w:t>
      </w:r>
    </w:p>
    <w:p w14:paraId="15CF42AB">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16. 违约</w:t>
      </w:r>
    </w:p>
    <w:p w14:paraId="21A2DA49">
      <w:pPr>
        <w:snapToGrid w:val="0"/>
        <w:spacing w:line="440" w:lineRule="exact"/>
        <w:ind w:firstLine="420" w:firstLineChars="200"/>
        <w:rPr>
          <w:rFonts w:hint="eastAsia" w:ascii="宋体" w:cs="宋体"/>
          <w:szCs w:val="21"/>
        </w:rPr>
      </w:pPr>
      <w:r>
        <w:rPr>
          <w:rFonts w:hint="eastAsia" w:ascii="宋体" w:cs="宋体"/>
          <w:szCs w:val="21"/>
        </w:rPr>
        <w:t>16.1 发包人违约</w:t>
      </w:r>
    </w:p>
    <w:p w14:paraId="320C463F">
      <w:pPr>
        <w:snapToGrid w:val="0"/>
        <w:spacing w:line="440" w:lineRule="exact"/>
        <w:ind w:firstLine="420" w:firstLineChars="200"/>
        <w:jc w:val="left"/>
        <w:rPr>
          <w:rFonts w:hint="eastAsia" w:ascii="宋体" w:cs="宋体"/>
          <w:szCs w:val="21"/>
        </w:rPr>
      </w:pPr>
      <w:r>
        <w:rPr>
          <w:rFonts w:hint="eastAsia" w:ascii="宋体" w:cs="宋体"/>
          <w:szCs w:val="21"/>
        </w:rPr>
        <w:t>16.1.1发包人违约的情形</w:t>
      </w:r>
    </w:p>
    <w:p w14:paraId="2353DD21">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发包人违约的其他情形：</w:t>
      </w:r>
      <w:r>
        <w:rPr>
          <w:rFonts w:hint="eastAsia" w:ascii="宋体" w:cs="宋体"/>
          <w:kern w:val="0"/>
          <w:szCs w:val="21"/>
          <w:u w:val="single"/>
        </w:rPr>
        <w:t xml:space="preserve">   无    </w:t>
      </w:r>
      <w:r>
        <w:rPr>
          <w:rFonts w:hint="eastAsia" w:ascii="宋体" w:cs="宋体"/>
          <w:kern w:val="0"/>
          <w:szCs w:val="21"/>
        </w:rPr>
        <w:t>。</w:t>
      </w:r>
    </w:p>
    <w:p w14:paraId="290C3EEB">
      <w:pPr>
        <w:snapToGrid w:val="0"/>
        <w:spacing w:line="440" w:lineRule="exact"/>
        <w:ind w:firstLine="420" w:firstLineChars="200"/>
        <w:jc w:val="left"/>
        <w:rPr>
          <w:rFonts w:hint="eastAsia" w:ascii="宋体" w:cs="宋体"/>
          <w:kern w:val="0"/>
          <w:szCs w:val="21"/>
        </w:rPr>
      </w:pPr>
      <w:r>
        <w:rPr>
          <w:rFonts w:hint="eastAsia" w:ascii="宋体" w:cs="宋体"/>
          <w:kern w:val="0"/>
          <w:szCs w:val="21"/>
        </w:rPr>
        <w:t>16.1.2 发包人违约的责任</w:t>
      </w:r>
    </w:p>
    <w:p w14:paraId="1DCFBA53">
      <w:pPr>
        <w:snapToGrid w:val="0"/>
        <w:spacing w:line="440" w:lineRule="exact"/>
        <w:ind w:firstLine="420" w:firstLineChars="200"/>
        <w:jc w:val="left"/>
        <w:rPr>
          <w:rFonts w:hint="eastAsia" w:ascii="宋体" w:cs="宋体"/>
          <w:kern w:val="0"/>
          <w:szCs w:val="21"/>
        </w:rPr>
      </w:pPr>
      <w:r>
        <w:rPr>
          <w:rFonts w:hint="eastAsia" w:ascii="宋体" w:cs="宋体"/>
          <w:kern w:val="0"/>
          <w:szCs w:val="21"/>
        </w:rPr>
        <w:t>发包人违约责任的承担方式和计算方法：</w:t>
      </w:r>
    </w:p>
    <w:p w14:paraId="6356C663">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（1）因发包人原因未能在计划开工日期前7天内下达开工通知的违约责任：</w:t>
      </w:r>
      <w:r>
        <w:rPr>
          <w:rFonts w:hint="eastAsia" w:ascii="宋体" w:cs="宋体"/>
          <w:kern w:val="0"/>
          <w:szCs w:val="21"/>
          <w:u w:val="single"/>
        </w:rPr>
        <w:t xml:space="preserve">  对工期造成影响的可顺延工期  </w:t>
      </w:r>
      <w:r>
        <w:rPr>
          <w:rFonts w:hint="eastAsia" w:ascii="宋体" w:cs="宋体"/>
          <w:kern w:val="0"/>
          <w:szCs w:val="21"/>
        </w:rPr>
        <w:t>。</w:t>
      </w:r>
    </w:p>
    <w:p w14:paraId="1779894E">
      <w:pPr>
        <w:snapToGrid w:val="0"/>
        <w:spacing w:line="440" w:lineRule="exact"/>
        <w:ind w:firstLine="420" w:firstLineChars="200"/>
        <w:jc w:val="left"/>
        <w:rPr>
          <w:rFonts w:hint="eastAsia" w:ascii="宋体" w:cs="宋体"/>
          <w:kern w:val="0"/>
          <w:szCs w:val="21"/>
        </w:rPr>
      </w:pPr>
      <w:r>
        <w:rPr>
          <w:rFonts w:hint="eastAsia" w:ascii="宋体" w:cs="宋体"/>
          <w:kern w:val="0"/>
          <w:szCs w:val="21"/>
        </w:rPr>
        <w:t>（2）因发包人原因未能按合同约定支付合同价款的违约责任：</w:t>
      </w:r>
      <w:r>
        <w:rPr>
          <w:rFonts w:hint="eastAsia" w:ascii="宋体" w:cs="宋体"/>
          <w:kern w:val="0"/>
          <w:szCs w:val="21"/>
          <w:u w:val="single"/>
        </w:rPr>
        <w:t xml:space="preserve">  可按照中国人民银行发布的同期同类贷款基准利率支付违约金</w:t>
      </w:r>
      <w:r>
        <w:rPr>
          <w:rFonts w:hint="eastAsia" w:ascii="宋体" w:cs="宋体"/>
          <w:kern w:val="0"/>
          <w:szCs w:val="21"/>
        </w:rPr>
        <w:t>。</w:t>
      </w:r>
    </w:p>
    <w:p w14:paraId="011B4F5C">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（3）发包人违反第10.1款〔变更的范围〕第（2）项约定，自行实施被取消的工作或转由他人实施的违约责任：</w:t>
      </w:r>
      <w:r>
        <w:rPr>
          <w:rFonts w:hint="eastAsia" w:ascii="宋体" w:cs="宋体"/>
          <w:kern w:val="0"/>
          <w:szCs w:val="21"/>
          <w:u w:val="single"/>
        </w:rPr>
        <w:t xml:space="preserve">   发包人可追加与被取消的工作造价相当的额外工作做为补偿   </w:t>
      </w:r>
      <w:r>
        <w:rPr>
          <w:rFonts w:hint="eastAsia" w:ascii="宋体" w:cs="宋体"/>
          <w:kern w:val="0"/>
          <w:szCs w:val="21"/>
        </w:rPr>
        <w:t>。</w:t>
      </w:r>
    </w:p>
    <w:p w14:paraId="3D77050F">
      <w:pPr>
        <w:snapToGrid w:val="0"/>
        <w:spacing w:line="440" w:lineRule="exact"/>
        <w:ind w:firstLine="420" w:firstLineChars="200"/>
        <w:jc w:val="left"/>
        <w:rPr>
          <w:rFonts w:hint="eastAsia" w:ascii="宋体" w:cs="宋体"/>
          <w:kern w:val="0"/>
          <w:szCs w:val="21"/>
        </w:rPr>
      </w:pPr>
      <w:r>
        <w:rPr>
          <w:rFonts w:hint="eastAsia" w:ascii="宋体" w:cs="宋体"/>
          <w:kern w:val="0"/>
          <w:szCs w:val="21"/>
        </w:rPr>
        <w:t>（4）发包人提供的材料、工程设备的规格、数量或质量不符合合同约定，或因发包人原因导致交货日期延误或交货地点变更等情况的违约责任：</w:t>
      </w:r>
      <w:r>
        <w:rPr>
          <w:rFonts w:hint="eastAsia" w:ascii="宋体" w:cs="宋体"/>
          <w:kern w:val="0"/>
          <w:szCs w:val="21"/>
          <w:u w:val="single"/>
        </w:rPr>
        <w:t xml:space="preserve">   发包人可补足或更换材料、工程设备；对工期造成延误的可以顺延；增加承包人成本的可予以补偿  </w:t>
      </w:r>
      <w:r>
        <w:rPr>
          <w:rFonts w:hint="eastAsia" w:ascii="宋体" w:cs="宋体"/>
          <w:kern w:val="0"/>
          <w:szCs w:val="21"/>
        </w:rPr>
        <w:t>。</w:t>
      </w:r>
    </w:p>
    <w:p w14:paraId="38C7ED0D">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（5）因发包人违反合同约定造成暂停施工的违约责任：</w:t>
      </w:r>
      <w:r>
        <w:rPr>
          <w:rFonts w:hint="eastAsia" w:ascii="宋体" w:cs="宋体"/>
          <w:kern w:val="0"/>
          <w:szCs w:val="21"/>
          <w:u w:val="single"/>
        </w:rPr>
        <w:t xml:space="preserve">  可顺延工期  </w:t>
      </w:r>
      <w:r>
        <w:rPr>
          <w:rFonts w:hint="eastAsia" w:ascii="宋体" w:cs="宋体"/>
          <w:kern w:val="0"/>
          <w:szCs w:val="21"/>
        </w:rPr>
        <w:t>。</w:t>
      </w:r>
    </w:p>
    <w:p w14:paraId="4FB25F50">
      <w:pPr>
        <w:snapToGrid w:val="0"/>
        <w:spacing w:line="440" w:lineRule="exact"/>
        <w:ind w:firstLine="420" w:firstLineChars="200"/>
        <w:jc w:val="left"/>
        <w:rPr>
          <w:rFonts w:hint="eastAsia" w:ascii="宋体" w:cs="宋体"/>
          <w:kern w:val="0"/>
          <w:szCs w:val="21"/>
        </w:rPr>
      </w:pPr>
      <w:r>
        <w:rPr>
          <w:rFonts w:hint="eastAsia" w:ascii="宋体" w:cs="宋体"/>
          <w:kern w:val="0"/>
          <w:szCs w:val="21"/>
        </w:rPr>
        <w:t>（6）发包人无正当理由没有在约定期限内发出复工指示，导致承包人无法复工的违约责任：</w:t>
      </w:r>
      <w:r>
        <w:rPr>
          <w:rFonts w:hint="eastAsia" w:ascii="宋体" w:cs="宋体"/>
          <w:kern w:val="0"/>
          <w:szCs w:val="21"/>
          <w:u w:val="single"/>
        </w:rPr>
        <w:t xml:space="preserve"> 对工期造成影响的可顺延工期  </w:t>
      </w:r>
      <w:r>
        <w:rPr>
          <w:rFonts w:hint="eastAsia" w:ascii="宋体" w:cs="宋体"/>
          <w:kern w:val="0"/>
          <w:szCs w:val="21"/>
        </w:rPr>
        <w:t>。</w:t>
      </w:r>
    </w:p>
    <w:p w14:paraId="07E5A5A7">
      <w:pPr>
        <w:snapToGrid w:val="0"/>
        <w:spacing w:line="440" w:lineRule="exact"/>
        <w:ind w:firstLine="420" w:firstLineChars="200"/>
        <w:jc w:val="left"/>
        <w:rPr>
          <w:rFonts w:hint="eastAsia" w:ascii="宋体" w:cs="宋体"/>
          <w:kern w:val="0"/>
          <w:szCs w:val="21"/>
        </w:rPr>
      </w:pPr>
      <w:r>
        <w:rPr>
          <w:rFonts w:hint="eastAsia" w:ascii="宋体" w:cs="宋体"/>
          <w:kern w:val="0"/>
          <w:szCs w:val="21"/>
        </w:rPr>
        <w:t>（7）其他：</w:t>
      </w:r>
      <w:r>
        <w:rPr>
          <w:rFonts w:hint="eastAsia" w:ascii="宋体" w:cs="宋体"/>
          <w:kern w:val="0"/>
          <w:szCs w:val="21"/>
          <w:u w:val="single"/>
        </w:rPr>
        <w:t xml:space="preserve">  无  </w:t>
      </w:r>
      <w:r>
        <w:rPr>
          <w:rFonts w:hint="eastAsia" w:ascii="宋体" w:cs="宋体"/>
          <w:kern w:val="0"/>
          <w:szCs w:val="21"/>
        </w:rPr>
        <w:t>。</w:t>
      </w:r>
    </w:p>
    <w:p w14:paraId="78D1480D">
      <w:pPr>
        <w:snapToGrid w:val="0"/>
        <w:spacing w:line="440" w:lineRule="exact"/>
        <w:ind w:firstLine="420" w:firstLineChars="200"/>
        <w:jc w:val="left"/>
        <w:rPr>
          <w:rFonts w:hint="eastAsia" w:ascii="宋体" w:cs="宋体"/>
          <w:szCs w:val="21"/>
        </w:rPr>
      </w:pPr>
      <w:r>
        <w:rPr>
          <w:rFonts w:hint="eastAsia" w:ascii="宋体" w:cs="宋体"/>
          <w:szCs w:val="21"/>
        </w:rPr>
        <w:t>16.1.3 因发包人违约解除合同</w:t>
      </w:r>
    </w:p>
    <w:p w14:paraId="71B4528B">
      <w:pPr>
        <w:autoSpaceDE w:val="0"/>
        <w:autoSpaceDN w:val="0"/>
        <w:adjustRightInd w:val="0"/>
        <w:snapToGrid w:val="0"/>
        <w:spacing w:line="440" w:lineRule="exact"/>
        <w:ind w:firstLine="420" w:firstLineChars="200"/>
        <w:jc w:val="left"/>
        <w:rPr>
          <w:rFonts w:hint="eastAsia" w:ascii="宋体" w:cs="宋体"/>
          <w:kern w:val="0"/>
          <w:szCs w:val="21"/>
        </w:rPr>
      </w:pPr>
      <w:r>
        <w:rPr>
          <w:rFonts w:hint="eastAsia" w:ascii="宋体" w:cs="宋体"/>
          <w:kern w:val="0"/>
          <w:szCs w:val="21"/>
        </w:rPr>
        <w:t>承包人按16.1.1项〔发包人违约的情形〕约定暂停施工满</w:t>
      </w:r>
      <w:r>
        <w:rPr>
          <w:rFonts w:hint="eastAsia" w:ascii="宋体" w:cs="宋体"/>
          <w:kern w:val="0"/>
          <w:szCs w:val="21"/>
          <w:u w:val="single"/>
        </w:rPr>
        <w:t xml:space="preserve">  28  </w:t>
      </w:r>
      <w:r>
        <w:rPr>
          <w:rFonts w:hint="eastAsia" w:ascii="宋体" w:cs="宋体"/>
          <w:kern w:val="0"/>
          <w:szCs w:val="21"/>
        </w:rPr>
        <w:t>天后发包人仍不纠正其违约行为并致使合同目的不能实现的，承包人有权解除合同。</w:t>
      </w:r>
    </w:p>
    <w:p w14:paraId="73DCC081">
      <w:pPr>
        <w:snapToGrid w:val="0"/>
        <w:spacing w:line="440" w:lineRule="exact"/>
        <w:ind w:firstLine="420" w:firstLineChars="200"/>
        <w:rPr>
          <w:rFonts w:hint="eastAsia" w:ascii="宋体" w:cs="宋体"/>
          <w:szCs w:val="21"/>
        </w:rPr>
      </w:pPr>
      <w:r>
        <w:rPr>
          <w:rFonts w:hint="eastAsia" w:ascii="宋体" w:cs="宋体"/>
          <w:szCs w:val="21"/>
        </w:rPr>
        <w:t>16.2 承包人违约</w:t>
      </w:r>
    </w:p>
    <w:p w14:paraId="7CB9B8CD">
      <w:pPr>
        <w:snapToGrid w:val="0"/>
        <w:spacing w:line="440" w:lineRule="exact"/>
        <w:ind w:firstLine="420" w:firstLineChars="200"/>
        <w:jc w:val="left"/>
        <w:rPr>
          <w:rFonts w:hint="eastAsia" w:ascii="宋体" w:cs="宋体"/>
          <w:kern w:val="0"/>
          <w:szCs w:val="21"/>
        </w:rPr>
      </w:pPr>
      <w:r>
        <w:rPr>
          <w:rFonts w:hint="eastAsia" w:ascii="宋体" w:cs="宋体"/>
          <w:kern w:val="0"/>
          <w:szCs w:val="21"/>
        </w:rPr>
        <w:t>16.2.1 承包人违约的情形</w:t>
      </w:r>
    </w:p>
    <w:p w14:paraId="2CE802B8">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承包人违约的其他情形：</w:t>
      </w:r>
      <w:r>
        <w:rPr>
          <w:rFonts w:hint="eastAsia" w:ascii="宋体" w:cs="宋体"/>
          <w:kern w:val="0"/>
          <w:szCs w:val="21"/>
          <w:u w:val="single"/>
        </w:rPr>
        <w:t xml:space="preserve">   执行补充条款   </w:t>
      </w:r>
      <w:r>
        <w:rPr>
          <w:rFonts w:hint="eastAsia" w:ascii="宋体" w:cs="宋体"/>
          <w:kern w:val="0"/>
          <w:szCs w:val="21"/>
        </w:rPr>
        <w:t>。</w:t>
      </w:r>
    </w:p>
    <w:p w14:paraId="20D51133">
      <w:pPr>
        <w:snapToGrid w:val="0"/>
        <w:spacing w:line="440" w:lineRule="exact"/>
        <w:ind w:firstLine="420" w:firstLineChars="200"/>
        <w:jc w:val="left"/>
        <w:rPr>
          <w:rFonts w:hint="eastAsia" w:ascii="宋体" w:cs="宋体"/>
          <w:kern w:val="0"/>
          <w:szCs w:val="21"/>
        </w:rPr>
      </w:pPr>
      <w:r>
        <w:rPr>
          <w:rFonts w:hint="eastAsia" w:ascii="宋体" w:cs="宋体"/>
          <w:kern w:val="0"/>
          <w:szCs w:val="21"/>
        </w:rPr>
        <w:t>16.2.2承包人违约的责任</w:t>
      </w:r>
    </w:p>
    <w:p w14:paraId="2B5523EB">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承包人违约责任的承担方式和计算方法：</w:t>
      </w:r>
      <w:r>
        <w:rPr>
          <w:rFonts w:hint="eastAsia" w:ascii="宋体" w:cs="宋体"/>
          <w:kern w:val="0"/>
          <w:szCs w:val="21"/>
          <w:u w:val="single"/>
        </w:rPr>
        <w:t xml:space="preserve"> 执行补充条款   </w:t>
      </w:r>
      <w:r>
        <w:rPr>
          <w:rFonts w:hint="eastAsia" w:ascii="宋体" w:cs="宋体"/>
          <w:kern w:val="0"/>
          <w:szCs w:val="21"/>
        </w:rPr>
        <w:t>。</w:t>
      </w:r>
      <w:r>
        <w:rPr>
          <w:rFonts w:hint="eastAsia" w:ascii="宋体" w:cs="宋体"/>
          <w:szCs w:val="21"/>
        </w:rPr>
        <w:t xml:space="preserve">    </w:t>
      </w:r>
    </w:p>
    <w:p w14:paraId="0AD59456">
      <w:pPr>
        <w:snapToGrid w:val="0"/>
        <w:spacing w:line="440" w:lineRule="exact"/>
        <w:ind w:firstLine="420" w:firstLineChars="200"/>
        <w:jc w:val="left"/>
        <w:rPr>
          <w:rFonts w:hint="eastAsia" w:ascii="宋体" w:cs="宋体"/>
          <w:szCs w:val="21"/>
        </w:rPr>
      </w:pPr>
      <w:r>
        <w:rPr>
          <w:rFonts w:hint="eastAsia" w:ascii="宋体" w:cs="宋体"/>
          <w:szCs w:val="21"/>
        </w:rPr>
        <w:t>16.2.3 因承包人违约解除合同</w:t>
      </w:r>
    </w:p>
    <w:p w14:paraId="75F03C63">
      <w:pPr>
        <w:snapToGrid w:val="0"/>
        <w:spacing w:line="440" w:lineRule="exact"/>
        <w:ind w:firstLine="420" w:firstLineChars="200"/>
        <w:rPr>
          <w:rFonts w:hint="eastAsia" w:ascii="宋体" w:cs="宋体"/>
          <w:kern w:val="0"/>
          <w:szCs w:val="21"/>
        </w:rPr>
      </w:pPr>
      <w:r>
        <w:rPr>
          <w:rFonts w:hint="eastAsia" w:ascii="宋体" w:cs="宋体"/>
          <w:kern w:val="0"/>
          <w:szCs w:val="21"/>
        </w:rPr>
        <w:t>关于承包人违约解除合同的特别约定：</w:t>
      </w:r>
      <w:r>
        <w:rPr>
          <w:rFonts w:hint="eastAsia" w:ascii="宋体" w:cs="宋体"/>
          <w:kern w:val="0"/>
          <w:szCs w:val="21"/>
          <w:u w:val="single"/>
        </w:rPr>
        <w:t>执行</w:t>
      </w:r>
      <w:r>
        <w:rPr>
          <w:rFonts w:hint="eastAsia" w:ascii="宋体" w:cs="宋体"/>
          <w:szCs w:val="21"/>
          <w:u w:val="single"/>
        </w:rPr>
        <w:t>补充条款。</w:t>
      </w:r>
    </w:p>
    <w:p w14:paraId="0F0F2C80">
      <w:pPr>
        <w:snapToGrid w:val="0"/>
        <w:spacing w:line="420" w:lineRule="exact"/>
        <w:ind w:firstLine="420" w:firstLineChars="200"/>
        <w:rPr>
          <w:rFonts w:hint="eastAsia" w:ascii="宋体" w:cs="宋体"/>
          <w:kern w:val="0"/>
          <w:szCs w:val="21"/>
        </w:rPr>
      </w:pPr>
      <w:r>
        <w:rPr>
          <w:rFonts w:hint="eastAsia" w:ascii="宋体" w:cs="宋体"/>
          <w:kern w:val="0"/>
          <w:szCs w:val="21"/>
        </w:rPr>
        <w:t>发包人继续使用承包人在施工现场的材料、设备、临时工程、承包人文件和由承包人或以其名义编制的其他文件的费用承担方式：</w:t>
      </w:r>
      <w:r>
        <w:rPr>
          <w:rFonts w:hint="eastAsia" w:ascii="宋体" w:cs="宋体"/>
          <w:kern w:val="0"/>
          <w:szCs w:val="21"/>
          <w:u w:val="single"/>
        </w:rPr>
        <w:t xml:space="preserve">   发包人不承担费用   </w:t>
      </w:r>
      <w:r>
        <w:rPr>
          <w:rFonts w:hint="eastAsia" w:ascii="宋体" w:cs="宋体"/>
          <w:kern w:val="0"/>
          <w:szCs w:val="21"/>
        </w:rPr>
        <w:t>。</w:t>
      </w:r>
    </w:p>
    <w:p w14:paraId="57D87209">
      <w:pPr>
        <w:pStyle w:val="9"/>
        <w:snapToGrid w:val="0"/>
        <w:spacing w:before="0" w:after="0" w:line="420" w:lineRule="exact"/>
        <w:ind w:firstLine="420" w:firstLineChars="200"/>
        <w:rPr>
          <w:rFonts w:hint="eastAsia" w:ascii="宋体" w:eastAsia="宋体" w:cs="宋体"/>
          <w:b w:val="0"/>
          <w:sz w:val="21"/>
          <w:szCs w:val="21"/>
        </w:rPr>
      </w:pPr>
      <w:r>
        <w:rPr>
          <w:rFonts w:hint="eastAsia" w:ascii="宋体" w:eastAsia="宋体" w:cs="宋体"/>
          <w:b w:val="0"/>
          <w:sz w:val="21"/>
          <w:szCs w:val="21"/>
        </w:rPr>
        <w:t xml:space="preserve">17. 不可抗力 </w:t>
      </w:r>
    </w:p>
    <w:p w14:paraId="0D008BF2">
      <w:pPr>
        <w:snapToGrid w:val="0"/>
        <w:spacing w:line="420" w:lineRule="exact"/>
        <w:ind w:firstLine="420" w:firstLineChars="200"/>
        <w:rPr>
          <w:rFonts w:hint="eastAsia" w:ascii="宋体" w:cs="宋体"/>
          <w:szCs w:val="21"/>
        </w:rPr>
      </w:pPr>
      <w:r>
        <w:rPr>
          <w:rFonts w:hint="eastAsia" w:ascii="宋体" w:cs="宋体"/>
          <w:szCs w:val="21"/>
        </w:rPr>
        <w:t>17.1 不可抗力的确认</w:t>
      </w:r>
    </w:p>
    <w:p w14:paraId="64D5803F">
      <w:pPr>
        <w:snapToGrid w:val="0"/>
        <w:spacing w:line="420" w:lineRule="exact"/>
        <w:ind w:firstLine="420" w:firstLineChars="200"/>
        <w:jc w:val="left"/>
        <w:rPr>
          <w:rFonts w:hint="eastAsia" w:ascii="宋体" w:cs="宋体"/>
          <w:kern w:val="0"/>
          <w:szCs w:val="21"/>
          <w:u w:val="single"/>
        </w:rPr>
      </w:pPr>
      <w:r>
        <w:rPr>
          <w:rFonts w:hint="eastAsia" w:ascii="宋体" w:cs="宋体"/>
          <w:szCs w:val="21"/>
        </w:rPr>
        <w:t>除通用合同条款约定的不可抗力事件之外，视为不可抗力的其他情形：</w:t>
      </w:r>
      <w:r>
        <w:rPr>
          <w:rFonts w:hint="eastAsia" w:ascii="宋体" w:cs="宋体"/>
          <w:kern w:val="0"/>
          <w:szCs w:val="21"/>
          <w:u w:val="single"/>
        </w:rPr>
        <w:t xml:space="preserve">   </w:t>
      </w:r>
      <w:r>
        <w:rPr>
          <w:rFonts w:hint="eastAsia" w:ascii="宋体" w:cs="宋体"/>
          <w:szCs w:val="21"/>
          <w:u w:val="single"/>
        </w:rPr>
        <w:t>无</w:t>
      </w:r>
      <w:r>
        <w:rPr>
          <w:rFonts w:hint="eastAsia" w:ascii="宋体" w:cs="宋体"/>
          <w:kern w:val="0"/>
          <w:szCs w:val="21"/>
          <w:u w:val="single"/>
        </w:rPr>
        <w:t xml:space="preserve">  </w:t>
      </w:r>
      <w:r>
        <w:rPr>
          <w:rFonts w:hint="eastAsia" w:ascii="宋体" w:cs="宋体"/>
          <w:kern w:val="0"/>
          <w:szCs w:val="21"/>
        </w:rPr>
        <w:t>。</w:t>
      </w:r>
    </w:p>
    <w:p w14:paraId="7ABBF228">
      <w:pPr>
        <w:snapToGrid w:val="0"/>
        <w:spacing w:line="420" w:lineRule="exact"/>
        <w:ind w:firstLine="420" w:firstLineChars="200"/>
        <w:rPr>
          <w:rFonts w:hint="eastAsia" w:ascii="宋体" w:cs="宋体"/>
          <w:szCs w:val="21"/>
        </w:rPr>
      </w:pPr>
      <w:r>
        <w:rPr>
          <w:rFonts w:hint="eastAsia" w:ascii="宋体" w:cs="宋体"/>
          <w:szCs w:val="21"/>
        </w:rPr>
        <w:t>17.4 因不可抗力解除合同</w:t>
      </w:r>
    </w:p>
    <w:p w14:paraId="404D1A65">
      <w:pPr>
        <w:snapToGrid w:val="0"/>
        <w:spacing w:line="420" w:lineRule="exact"/>
        <w:ind w:firstLine="420" w:firstLineChars="200"/>
        <w:jc w:val="left"/>
        <w:rPr>
          <w:rFonts w:hint="eastAsia" w:ascii="宋体" w:cs="宋体"/>
          <w:szCs w:val="21"/>
        </w:rPr>
      </w:pPr>
      <w:r>
        <w:rPr>
          <w:rFonts w:hint="eastAsia" w:ascii="宋体" w:cs="宋体"/>
          <w:szCs w:val="21"/>
        </w:rPr>
        <w:t>合同解除后，发包人应在</w:t>
      </w:r>
      <w:r>
        <w:rPr>
          <w:rFonts w:hint="eastAsia" w:ascii="宋体" w:cs="宋体"/>
          <w:szCs w:val="21"/>
          <w:u w:val="single"/>
        </w:rPr>
        <w:t>发票送达一周内</w:t>
      </w:r>
      <w:r>
        <w:rPr>
          <w:rFonts w:hint="eastAsia" w:ascii="宋体" w:cs="宋体"/>
          <w:szCs w:val="21"/>
        </w:rPr>
        <w:t>完成款项的支付。</w:t>
      </w:r>
    </w:p>
    <w:p w14:paraId="1B91FF85">
      <w:pPr>
        <w:pStyle w:val="9"/>
        <w:snapToGrid w:val="0"/>
        <w:spacing w:before="0" w:after="0" w:line="420" w:lineRule="exact"/>
        <w:ind w:firstLine="420" w:firstLineChars="200"/>
        <w:rPr>
          <w:rFonts w:hint="eastAsia" w:ascii="宋体" w:eastAsia="宋体" w:cs="宋体"/>
          <w:b w:val="0"/>
          <w:sz w:val="21"/>
          <w:szCs w:val="21"/>
        </w:rPr>
      </w:pPr>
      <w:r>
        <w:rPr>
          <w:rFonts w:hint="eastAsia" w:ascii="宋体" w:eastAsia="宋体" w:cs="宋体"/>
          <w:b w:val="0"/>
          <w:sz w:val="21"/>
          <w:szCs w:val="21"/>
        </w:rPr>
        <w:t>18. 保险</w:t>
      </w:r>
    </w:p>
    <w:p w14:paraId="4A9CD8E6">
      <w:pPr>
        <w:snapToGrid w:val="0"/>
        <w:spacing w:line="420" w:lineRule="exact"/>
        <w:ind w:firstLine="420" w:firstLineChars="200"/>
        <w:rPr>
          <w:rFonts w:hint="eastAsia" w:ascii="宋体" w:cs="宋体"/>
          <w:szCs w:val="21"/>
        </w:rPr>
      </w:pPr>
      <w:r>
        <w:rPr>
          <w:rFonts w:hint="eastAsia" w:ascii="宋体" w:cs="宋体"/>
          <w:szCs w:val="21"/>
        </w:rPr>
        <w:t>18.1 工程保险</w:t>
      </w:r>
    </w:p>
    <w:p w14:paraId="41CACA33">
      <w:pPr>
        <w:snapToGrid w:val="0"/>
        <w:spacing w:line="420" w:lineRule="exact"/>
        <w:ind w:firstLine="420" w:firstLineChars="200"/>
        <w:rPr>
          <w:rFonts w:hint="eastAsia"/>
        </w:rPr>
      </w:pPr>
      <w:r>
        <w:rPr>
          <w:rFonts w:hint="eastAsia"/>
        </w:rPr>
        <w:t>关于工程保险的特别约定：</w:t>
      </w:r>
      <w:r>
        <w:rPr>
          <w:rFonts w:hint="eastAsia"/>
          <w:u w:val="single"/>
        </w:rPr>
        <w:t xml:space="preserve"> 无   </w:t>
      </w:r>
      <w:r>
        <w:rPr>
          <w:rFonts w:hint="eastAsia"/>
        </w:rPr>
        <w:t>。</w:t>
      </w:r>
    </w:p>
    <w:p w14:paraId="4DC9B5E5">
      <w:pPr>
        <w:snapToGrid w:val="0"/>
        <w:spacing w:line="420" w:lineRule="exact"/>
        <w:ind w:firstLine="420" w:firstLineChars="200"/>
        <w:rPr>
          <w:rFonts w:hint="eastAsia" w:ascii="宋体" w:cs="宋体"/>
          <w:szCs w:val="21"/>
        </w:rPr>
      </w:pPr>
      <w:r>
        <w:rPr>
          <w:rFonts w:hint="eastAsia" w:ascii="宋体" w:cs="宋体"/>
          <w:szCs w:val="21"/>
        </w:rPr>
        <w:t>18.3 其他保险</w:t>
      </w:r>
    </w:p>
    <w:p w14:paraId="3C2CC8F0">
      <w:pPr>
        <w:snapToGrid w:val="0"/>
        <w:spacing w:line="420" w:lineRule="exact"/>
        <w:ind w:firstLine="420" w:firstLineChars="200"/>
        <w:jc w:val="left"/>
        <w:rPr>
          <w:rFonts w:hint="eastAsia" w:ascii="宋体" w:cs="宋体"/>
          <w:kern w:val="0"/>
          <w:szCs w:val="21"/>
        </w:rPr>
      </w:pPr>
      <w:r>
        <w:rPr>
          <w:rFonts w:hint="eastAsia" w:ascii="宋体" w:cs="宋体"/>
          <w:szCs w:val="21"/>
        </w:rPr>
        <w:t>关于其他保险的约定：</w:t>
      </w:r>
      <w:r>
        <w:rPr>
          <w:rFonts w:hint="eastAsia" w:ascii="宋体" w:cs="宋体"/>
          <w:kern w:val="0"/>
          <w:szCs w:val="21"/>
          <w:u w:val="single"/>
        </w:rPr>
        <w:t xml:space="preserve"> 执行国家、省、市有关规定</w:t>
      </w:r>
    </w:p>
    <w:p w14:paraId="0C9C511F">
      <w:pPr>
        <w:snapToGrid w:val="0"/>
        <w:spacing w:line="420" w:lineRule="exact"/>
        <w:ind w:firstLine="420" w:firstLineChars="200"/>
        <w:jc w:val="left"/>
        <w:rPr>
          <w:rFonts w:hint="eastAsia" w:ascii="宋体" w:cs="宋体"/>
          <w:szCs w:val="21"/>
          <w:u w:val="single"/>
        </w:rPr>
      </w:pPr>
      <w:r>
        <w:rPr>
          <w:rFonts w:hint="eastAsia" w:ascii="宋体" w:cs="宋体"/>
          <w:szCs w:val="21"/>
        </w:rPr>
        <w:t>承包人是否应为其施工设备等办理财产保险：</w:t>
      </w:r>
      <w:r>
        <w:rPr>
          <w:rFonts w:hint="eastAsia" w:ascii="宋体" w:cs="宋体"/>
          <w:szCs w:val="21"/>
          <w:u w:val="single"/>
        </w:rPr>
        <w:t xml:space="preserve"> 承包人应为其施工设备等办理财产保险。</w:t>
      </w:r>
    </w:p>
    <w:p w14:paraId="5C3AB220">
      <w:pPr>
        <w:snapToGrid w:val="0"/>
        <w:spacing w:line="420" w:lineRule="exact"/>
        <w:ind w:firstLine="420" w:firstLineChars="200"/>
        <w:rPr>
          <w:rFonts w:hint="eastAsia" w:ascii="宋体" w:cs="宋体"/>
          <w:szCs w:val="21"/>
        </w:rPr>
      </w:pPr>
      <w:r>
        <w:rPr>
          <w:rFonts w:hint="eastAsia" w:ascii="宋体" w:cs="宋体"/>
          <w:szCs w:val="21"/>
        </w:rPr>
        <w:t>18.7 通知义务</w:t>
      </w:r>
    </w:p>
    <w:p w14:paraId="2F3CC148">
      <w:pPr>
        <w:snapToGrid w:val="0"/>
        <w:spacing w:line="420" w:lineRule="exact"/>
        <w:ind w:firstLine="420" w:firstLineChars="200"/>
        <w:jc w:val="left"/>
        <w:rPr>
          <w:rFonts w:hint="eastAsia" w:ascii="宋体" w:cs="宋体"/>
          <w:kern w:val="0"/>
          <w:szCs w:val="21"/>
          <w:u w:val="single"/>
        </w:rPr>
      </w:pPr>
      <w:r>
        <w:rPr>
          <w:rFonts w:hint="eastAsia" w:ascii="宋体" w:cs="宋体"/>
          <w:kern w:val="0"/>
          <w:szCs w:val="21"/>
        </w:rPr>
        <w:t>关于变更保险合同时的通知义务的约定：</w:t>
      </w:r>
      <w:r>
        <w:rPr>
          <w:rFonts w:hint="eastAsia" w:ascii="宋体" w:cs="宋体"/>
          <w:kern w:val="0"/>
          <w:szCs w:val="21"/>
          <w:u w:val="single"/>
        </w:rPr>
        <w:t>发包人变更除工伤保险之外的保险合同时，应事先征得承包人同意，并通知监理人；承包人变更除工伤保险之外的保险合同时，应事先征得发包人同意，并通知监理人。</w:t>
      </w:r>
    </w:p>
    <w:p w14:paraId="22CAF1C3">
      <w:pPr>
        <w:snapToGrid w:val="0"/>
        <w:spacing w:line="420" w:lineRule="exact"/>
        <w:ind w:firstLine="420" w:firstLineChars="200"/>
        <w:jc w:val="left"/>
        <w:rPr>
          <w:rFonts w:hint="eastAsia" w:ascii="宋体" w:cs="宋体"/>
          <w:kern w:val="0"/>
          <w:szCs w:val="21"/>
          <w:u w:val="single"/>
        </w:rPr>
      </w:pPr>
      <w:r>
        <w:rPr>
          <w:rFonts w:hint="eastAsia" w:ascii="宋体" w:cs="宋体"/>
          <w:kern w:val="0"/>
          <w:szCs w:val="21"/>
          <w:u w:val="single"/>
        </w:rPr>
        <w:t>保险事故发生时，投保人应按照保险合同规定的条件和期限及时向保险人报告。发包人和承包人应当在知道保险事故发生后及时通知对方。</w:t>
      </w:r>
    </w:p>
    <w:p w14:paraId="5500005C">
      <w:pPr>
        <w:pStyle w:val="9"/>
        <w:snapToGrid w:val="0"/>
        <w:spacing w:before="0" w:after="0" w:line="420" w:lineRule="exact"/>
        <w:ind w:firstLine="420" w:firstLineChars="200"/>
        <w:rPr>
          <w:rFonts w:hint="eastAsia" w:ascii="宋体" w:eastAsia="宋体" w:cs="宋体"/>
          <w:b w:val="0"/>
          <w:sz w:val="21"/>
          <w:szCs w:val="21"/>
        </w:rPr>
      </w:pPr>
      <w:r>
        <w:rPr>
          <w:rFonts w:hint="eastAsia" w:ascii="宋体" w:eastAsia="宋体" w:cs="宋体"/>
          <w:b w:val="0"/>
          <w:sz w:val="21"/>
          <w:szCs w:val="21"/>
        </w:rPr>
        <w:t>20. 争议解决</w:t>
      </w:r>
    </w:p>
    <w:p w14:paraId="5E40BD8B">
      <w:pPr>
        <w:snapToGrid w:val="0"/>
        <w:spacing w:line="420" w:lineRule="exact"/>
        <w:ind w:firstLine="420" w:firstLineChars="200"/>
        <w:rPr>
          <w:rFonts w:hint="eastAsia" w:ascii="宋体" w:cs="宋体"/>
          <w:szCs w:val="21"/>
        </w:rPr>
      </w:pPr>
      <w:r>
        <w:rPr>
          <w:rFonts w:hint="eastAsia" w:ascii="宋体" w:cs="宋体"/>
          <w:szCs w:val="21"/>
        </w:rPr>
        <w:t>20.3 争议评审</w:t>
      </w:r>
    </w:p>
    <w:p w14:paraId="122C7CB9">
      <w:pPr>
        <w:snapToGrid w:val="0"/>
        <w:spacing w:line="420" w:lineRule="exact"/>
        <w:ind w:firstLine="420" w:firstLineChars="200"/>
        <w:jc w:val="left"/>
        <w:rPr>
          <w:rFonts w:hint="eastAsia" w:ascii="宋体" w:cs="宋体"/>
          <w:szCs w:val="21"/>
          <w:u w:val="single"/>
        </w:rPr>
      </w:pPr>
      <w:r>
        <w:rPr>
          <w:rFonts w:hint="eastAsia" w:ascii="宋体" w:cs="宋体"/>
          <w:szCs w:val="21"/>
        </w:rPr>
        <w:t>合同当事人是否同意将工程争议提交争议评审小组决定：</w:t>
      </w:r>
      <w:r>
        <w:rPr>
          <w:rFonts w:hint="eastAsia" w:ascii="宋体" w:cs="宋体"/>
          <w:szCs w:val="21"/>
          <w:u w:val="single"/>
        </w:rPr>
        <w:t xml:space="preserve">  不同意   </w:t>
      </w:r>
      <w:r>
        <w:rPr>
          <w:rFonts w:hint="eastAsia" w:ascii="宋体" w:cs="宋体"/>
          <w:szCs w:val="21"/>
        </w:rPr>
        <w:t xml:space="preserve">。  </w:t>
      </w:r>
    </w:p>
    <w:p w14:paraId="1FDAB0C3">
      <w:pPr>
        <w:snapToGrid w:val="0"/>
        <w:spacing w:line="420" w:lineRule="exact"/>
        <w:ind w:firstLine="420" w:firstLineChars="200"/>
        <w:jc w:val="left"/>
        <w:rPr>
          <w:rFonts w:hint="eastAsia" w:ascii="宋体" w:cs="宋体"/>
          <w:szCs w:val="21"/>
        </w:rPr>
      </w:pPr>
      <w:r>
        <w:rPr>
          <w:rFonts w:hint="eastAsia" w:ascii="宋体" w:cs="宋体"/>
          <w:szCs w:val="21"/>
        </w:rPr>
        <w:t>20.3.1 争议评审小组的确定</w:t>
      </w:r>
    </w:p>
    <w:p w14:paraId="5E4513A0">
      <w:pPr>
        <w:snapToGrid w:val="0"/>
        <w:spacing w:line="420" w:lineRule="exact"/>
        <w:ind w:firstLine="420" w:firstLineChars="200"/>
        <w:jc w:val="left"/>
        <w:rPr>
          <w:rFonts w:hint="eastAsia" w:ascii="宋体" w:cs="宋体"/>
          <w:szCs w:val="21"/>
          <w:u w:val="single"/>
        </w:rPr>
      </w:pPr>
      <w:r>
        <w:rPr>
          <w:rFonts w:hint="eastAsia" w:ascii="宋体" w:cs="宋体"/>
          <w:szCs w:val="21"/>
        </w:rPr>
        <w:t>争议评审小组成员的确定：</w:t>
      </w:r>
      <w:r>
        <w:rPr>
          <w:rFonts w:hint="eastAsia" w:ascii="宋体" w:cs="宋体"/>
          <w:szCs w:val="21"/>
          <w:u w:val="single"/>
        </w:rPr>
        <w:t xml:space="preserve">  无   </w:t>
      </w:r>
      <w:r>
        <w:rPr>
          <w:rFonts w:hint="eastAsia" w:ascii="宋体" w:cs="宋体"/>
          <w:szCs w:val="21"/>
        </w:rPr>
        <w:t>。</w:t>
      </w:r>
    </w:p>
    <w:p w14:paraId="56137968">
      <w:pPr>
        <w:snapToGrid w:val="0"/>
        <w:spacing w:line="420" w:lineRule="exact"/>
        <w:ind w:firstLine="420" w:firstLineChars="200"/>
        <w:jc w:val="left"/>
        <w:rPr>
          <w:rFonts w:hint="eastAsia" w:ascii="宋体" w:cs="宋体"/>
          <w:szCs w:val="21"/>
        </w:rPr>
      </w:pPr>
      <w:r>
        <w:rPr>
          <w:rFonts w:hint="eastAsia" w:ascii="宋体" w:cs="宋体"/>
          <w:szCs w:val="21"/>
        </w:rPr>
        <w:t>选定争议评审员的期限：</w:t>
      </w:r>
      <w:r>
        <w:rPr>
          <w:rFonts w:hint="eastAsia" w:ascii="宋体" w:cs="宋体"/>
          <w:szCs w:val="21"/>
          <w:u w:val="single"/>
        </w:rPr>
        <w:t xml:space="preserve">  无   </w:t>
      </w:r>
      <w:r>
        <w:rPr>
          <w:rFonts w:hint="eastAsia" w:ascii="宋体" w:cs="宋体"/>
          <w:szCs w:val="21"/>
        </w:rPr>
        <w:t>。</w:t>
      </w:r>
    </w:p>
    <w:p w14:paraId="4ECD594C">
      <w:pPr>
        <w:snapToGrid w:val="0"/>
        <w:spacing w:line="420" w:lineRule="exact"/>
        <w:ind w:firstLine="420" w:firstLineChars="200"/>
        <w:jc w:val="left"/>
        <w:rPr>
          <w:rFonts w:hint="eastAsia" w:ascii="宋体" w:cs="宋体"/>
          <w:szCs w:val="21"/>
        </w:rPr>
      </w:pPr>
      <w:r>
        <w:rPr>
          <w:rFonts w:hint="eastAsia" w:ascii="宋体" w:cs="宋体"/>
          <w:szCs w:val="21"/>
        </w:rPr>
        <w:t>争议评审小组成员的报酬承担方式：</w:t>
      </w:r>
      <w:r>
        <w:rPr>
          <w:rFonts w:hint="eastAsia" w:ascii="宋体" w:cs="宋体"/>
          <w:szCs w:val="21"/>
          <w:u w:val="single"/>
        </w:rPr>
        <w:t xml:space="preserve">  无   </w:t>
      </w:r>
      <w:r>
        <w:rPr>
          <w:rFonts w:hint="eastAsia" w:ascii="宋体" w:cs="宋体"/>
          <w:szCs w:val="21"/>
        </w:rPr>
        <w:t>。</w:t>
      </w:r>
    </w:p>
    <w:p w14:paraId="65008D3D">
      <w:pPr>
        <w:snapToGrid w:val="0"/>
        <w:spacing w:line="420" w:lineRule="exact"/>
        <w:ind w:firstLine="420" w:firstLineChars="200"/>
        <w:jc w:val="left"/>
        <w:rPr>
          <w:rFonts w:hint="eastAsia" w:ascii="宋体" w:cs="宋体"/>
          <w:szCs w:val="21"/>
        </w:rPr>
      </w:pPr>
      <w:r>
        <w:rPr>
          <w:rFonts w:hint="eastAsia" w:ascii="宋体" w:cs="宋体"/>
          <w:szCs w:val="21"/>
        </w:rPr>
        <w:t>其他事项的约定：</w:t>
      </w:r>
      <w:r>
        <w:rPr>
          <w:rFonts w:hint="eastAsia" w:ascii="宋体" w:cs="宋体"/>
          <w:szCs w:val="21"/>
          <w:u w:val="single"/>
        </w:rPr>
        <w:t xml:space="preserve">  无   </w:t>
      </w:r>
      <w:r>
        <w:rPr>
          <w:rFonts w:hint="eastAsia" w:ascii="宋体" w:cs="宋体"/>
          <w:szCs w:val="21"/>
        </w:rPr>
        <w:t>。</w:t>
      </w:r>
    </w:p>
    <w:p w14:paraId="03B06A94">
      <w:pPr>
        <w:autoSpaceDE w:val="0"/>
        <w:autoSpaceDN w:val="0"/>
        <w:adjustRightInd w:val="0"/>
        <w:snapToGrid w:val="0"/>
        <w:spacing w:line="420" w:lineRule="exact"/>
        <w:ind w:firstLine="420" w:firstLineChars="200"/>
        <w:jc w:val="left"/>
        <w:rPr>
          <w:rFonts w:hint="eastAsia" w:ascii="宋体" w:cs="宋体"/>
          <w:kern w:val="0"/>
          <w:szCs w:val="21"/>
        </w:rPr>
      </w:pPr>
      <w:r>
        <w:rPr>
          <w:rFonts w:hint="eastAsia" w:ascii="宋体" w:cs="宋体"/>
          <w:kern w:val="0"/>
          <w:szCs w:val="21"/>
        </w:rPr>
        <w:t>20.3.2 争议评审小组的决定</w:t>
      </w:r>
    </w:p>
    <w:p w14:paraId="1784E084">
      <w:pPr>
        <w:snapToGrid w:val="0"/>
        <w:spacing w:line="420" w:lineRule="exact"/>
        <w:ind w:firstLine="420" w:firstLineChars="200"/>
        <w:jc w:val="left"/>
        <w:rPr>
          <w:rFonts w:hint="eastAsia" w:ascii="宋体" w:cs="宋体"/>
          <w:szCs w:val="21"/>
        </w:rPr>
      </w:pPr>
      <w:r>
        <w:rPr>
          <w:rFonts w:hint="eastAsia" w:ascii="宋体" w:cs="宋体"/>
          <w:szCs w:val="21"/>
        </w:rPr>
        <w:t>合同当事人关于本项的约定：</w:t>
      </w:r>
      <w:r>
        <w:rPr>
          <w:rFonts w:hint="eastAsia" w:ascii="宋体" w:cs="宋体"/>
          <w:szCs w:val="21"/>
          <w:u w:val="single"/>
        </w:rPr>
        <w:t xml:space="preserve">  无   </w:t>
      </w:r>
      <w:r>
        <w:rPr>
          <w:rFonts w:hint="eastAsia" w:ascii="宋体" w:cs="宋体"/>
          <w:szCs w:val="21"/>
        </w:rPr>
        <w:t>。</w:t>
      </w:r>
    </w:p>
    <w:p w14:paraId="3A893488">
      <w:pPr>
        <w:autoSpaceDE w:val="0"/>
        <w:autoSpaceDN w:val="0"/>
        <w:adjustRightInd w:val="0"/>
        <w:snapToGrid w:val="0"/>
        <w:spacing w:line="420" w:lineRule="exact"/>
        <w:ind w:firstLine="420" w:firstLineChars="200"/>
        <w:jc w:val="left"/>
        <w:rPr>
          <w:rFonts w:hint="eastAsia" w:ascii="宋体" w:cs="宋体"/>
          <w:kern w:val="0"/>
          <w:szCs w:val="21"/>
        </w:rPr>
      </w:pPr>
      <w:r>
        <w:rPr>
          <w:rFonts w:hint="eastAsia" w:ascii="宋体" w:cs="宋体"/>
          <w:kern w:val="0"/>
          <w:szCs w:val="21"/>
        </w:rPr>
        <w:t>20.4仲裁或诉讼</w:t>
      </w:r>
    </w:p>
    <w:p w14:paraId="1647000D">
      <w:pPr>
        <w:autoSpaceDE w:val="0"/>
        <w:autoSpaceDN w:val="0"/>
        <w:adjustRightInd w:val="0"/>
        <w:snapToGrid w:val="0"/>
        <w:spacing w:line="420" w:lineRule="exact"/>
        <w:ind w:firstLine="420" w:firstLineChars="200"/>
        <w:jc w:val="left"/>
        <w:rPr>
          <w:rFonts w:hint="eastAsia" w:ascii="宋体" w:cs="宋体"/>
          <w:kern w:val="0"/>
          <w:szCs w:val="21"/>
        </w:rPr>
      </w:pPr>
      <w:r>
        <w:rPr>
          <w:rFonts w:hint="eastAsia" w:ascii="宋体" w:cs="宋体"/>
          <w:kern w:val="0"/>
          <w:szCs w:val="21"/>
        </w:rPr>
        <w:t>因合同及合同有关事项发生的争议，按下列第</w:t>
      </w:r>
      <w:r>
        <w:rPr>
          <w:rFonts w:hint="eastAsia" w:ascii="宋体" w:cs="宋体"/>
          <w:color w:val="auto"/>
          <w:kern w:val="0"/>
          <w:szCs w:val="21"/>
          <w:u w:val="single"/>
        </w:rPr>
        <w:t xml:space="preserve">  （</w:t>
      </w:r>
      <w:r>
        <w:rPr>
          <w:rFonts w:hint="eastAsia" w:ascii="宋体" w:cs="宋体"/>
          <w:color w:val="auto"/>
          <w:kern w:val="0"/>
          <w:szCs w:val="21"/>
          <w:u w:val="single"/>
          <w:lang w:val="en-US" w:eastAsia="zh-CN"/>
        </w:rPr>
        <w:t>2</w:t>
      </w:r>
      <w:r>
        <w:rPr>
          <w:rFonts w:hint="eastAsia" w:ascii="宋体" w:cs="宋体"/>
          <w:color w:val="auto"/>
          <w:kern w:val="0"/>
          <w:szCs w:val="21"/>
          <w:u w:val="single"/>
        </w:rPr>
        <w:t xml:space="preserve">）   </w:t>
      </w:r>
      <w:r>
        <w:rPr>
          <w:rFonts w:hint="eastAsia" w:ascii="宋体" w:cs="宋体"/>
          <w:kern w:val="0"/>
          <w:szCs w:val="21"/>
        </w:rPr>
        <w:t>种方式解决：</w:t>
      </w:r>
    </w:p>
    <w:p w14:paraId="3AE41BB3">
      <w:pPr>
        <w:numPr>
          <w:ilvl w:val="0"/>
          <w:numId w:val="3"/>
        </w:numPr>
        <w:autoSpaceDE w:val="0"/>
        <w:autoSpaceDN w:val="0"/>
        <w:adjustRightInd w:val="0"/>
        <w:snapToGrid w:val="0"/>
        <w:spacing w:line="420" w:lineRule="exact"/>
        <w:ind w:left="315" w:firstLine="420" w:firstLineChars="200"/>
        <w:jc w:val="left"/>
        <w:rPr>
          <w:rFonts w:hint="eastAsia" w:ascii="宋体" w:cs="宋体"/>
          <w:kern w:val="0"/>
          <w:szCs w:val="21"/>
        </w:rPr>
      </w:pPr>
      <w:r>
        <w:rPr>
          <w:rFonts w:hint="eastAsia" w:ascii="宋体" w:cs="宋体"/>
          <w:kern w:val="0"/>
          <w:szCs w:val="21"/>
        </w:rPr>
        <w:t>向</w:t>
      </w:r>
      <w:r>
        <w:rPr>
          <w:rFonts w:hint="eastAsia" w:ascii="宋体" w:cs="宋体"/>
          <w:kern w:val="0"/>
          <w:szCs w:val="21"/>
          <w:u w:val="single"/>
        </w:rPr>
        <w:t xml:space="preserve">        滁州     </w:t>
      </w:r>
      <w:r>
        <w:rPr>
          <w:rFonts w:hint="eastAsia" w:ascii="宋体" w:cs="宋体"/>
          <w:kern w:val="0"/>
          <w:szCs w:val="21"/>
        </w:rPr>
        <w:t>仲裁委员会申请仲裁；</w:t>
      </w:r>
    </w:p>
    <w:p w14:paraId="12A8A368">
      <w:pPr>
        <w:numPr>
          <w:ilvl w:val="0"/>
          <w:numId w:val="3"/>
        </w:numPr>
        <w:autoSpaceDE w:val="0"/>
        <w:autoSpaceDN w:val="0"/>
        <w:adjustRightInd w:val="0"/>
        <w:snapToGrid w:val="0"/>
        <w:spacing w:line="420" w:lineRule="exact"/>
        <w:ind w:left="315" w:firstLine="420" w:firstLineChars="200"/>
        <w:jc w:val="left"/>
        <w:rPr>
          <w:rFonts w:hint="eastAsia" w:ascii="宋体" w:cs="宋体"/>
          <w:kern w:val="0"/>
          <w:szCs w:val="21"/>
        </w:rPr>
      </w:pPr>
      <w:r>
        <w:rPr>
          <w:rFonts w:hint="eastAsia" w:ascii="宋体" w:cs="宋体"/>
          <w:kern w:val="0"/>
          <w:szCs w:val="21"/>
        </w:rPr>
        <w:t>向</w:t>
      </w:r>
      <w:r>
        <w:rPr>
          <w:rFonts w:hint="eastAsia" w:ascii="宋体" w:cs="宋体"/>
          <w:kern w:val="0"/>
          <w:szCs w:val="21"/>
          <w:u w:val="single"/>
        </w:rPr>
        <w:t xml:space="preserve">     </w:t>
      </w:r>
      <w:r>
        <w:rPr>
          <w:rFonts w:hint="eastAsia" w:ascii="宋体" w:cs="宋体"/>
          <w:szCs w:val="21"/>
          <w:u w:val="single"/>
          <w:lang w:val="en-US" w:eastAsia="zh-CN"/>
        </w:rPr>
        <w:t>招标人所在地</w:t>
      </w:r>
      <w:r>
        <w:rPr>
          <w:rFonts w:hint="eastAsia" w:ascii="宋体" w:cs="宋体"/>
          <w:kern w:val="0"/>
          <w:szCs w:val="21"/>
          <w:u w:val="single"/>
        </w:rPr>
        <w:t xml:space="preserve">   </w:t>
      </w:r>
      <w:r>
        <w:rPr>
          <w:rFonts w:hint="eastAsia" w:ascii="宋体" w:cs="宋体"/>
          <w:kern w:val="0"/>
          <w:szCs w:val="21"/>
        </w:rPr>
        <w:t>人民法院起诉。</w:t>
      </w:r>
    </w:p>
    <w:p w14:paraId="6DA99E0C"/>
    <w:p w14:paraId="461A6CA7">
      <w:pPr>
        <w:adjustRightInd w:val="0"/>
        <w:snapToGrid w:val="0"/>
        <w:spacing w:line="360" w:lineRule="auto"/>
        <w:rPr>
          <w:rFonts w:hint="eastAsia" w:ascii="宋体" w:hAnsi="宋体" w:cs="宋体"/>
          <w:color w:val="000000"/>
        </w:rPr>
      </w:pPr>
      <w:r>
        <w:rPr>
          <w:rFonts w:hint="eastAsia" w:ascii="宋体" w:hAnsi="宋体" w:cs="宋体"/>
          <w:color w:val="000000"/>
        </w:rPr>
        <w:t>发包人：  (公章)                           承包人：  (公章)</w:t>
      </w:r>
    </w:p>
    <w:p w14:paraId="75AFBB71">
      <w:pPr>
        <w:adjustRightInd w:val="0"/>
        <w:snapToGrid w:val="0"/>
        <w:spacing w:line="360" w:lineRule="auto"/>
        <w:rPr>
          <w:rFonts w:hint="eastAsia" w:ascii="宋体" w:hAnsi="宋体" w:cs="宋体"/>
          <w:color w:val="000000"/>
        </w:rPr>
      </w:pPr>
      <w:r>
        <w:rPr>
          <w:rFonts w:hint="eastAsia" w:ascii="宋体" w:hAnsi="宋体" w:cs="宋体"/>
          <w:color w:val="000000"/>
        </w:rPr>
        <w:t>法定代表人或其委托代理人：                 法定代表人或其委托代理人：</w:t>
      </w:r>
    </w:p>
    <w:p w14:paraId="2082B6C9">
      <w:pPr>
        <w:adjustRightInd w:val="0"/>
        <w:snapToGrid w:val="0"/>
        <w:spacing w:line="360" w:lineRule="auto"/>
        <w:rPr>
          <w:rFonts w:hint="eastAsia" w:ascii="宋体" w:hAnsi="宋体" w:cs="宋体"/>
          <w:color w:val="000000"/>
        </w:rPr>
      </w:pPr>
      <w:r>
        <w:rPr>
          <w:rFonts w:hint="eastAsia" w:ascii="宋体" w:hAnsi="宋体" w:cs="宋体"/>
          <w:color w:val="000000"/>
        </w:rPr>
        <w:t>（签字）                                  （签字）</w:t>
      </w:r>
    </w:p>
    <w:p w14:paraId="4F72921B">
      <w:pPr>
        <w:adjustRightInd w:val="0"/>
        <w:snapToGrid w:val="0"/>
        <w:spacing w:line="360" w:lineRule="auto"/>
        <w:rPr>
          <w:rFonts w:hint="eastAsia" w:ascii="宋体" w:hAnsi="宋体" w:cs="宋体"/>
          <w:color w:val="000000"/>
          <w:u w:val="single"/>
        </w:rPr>
      </w:pPr>
      <w:r>
        <w:rPr>
          <w:rFonts w:hint="eastAsia" w:ascii="宋体" w:hAnsi="宋体" w:cs="宋体"/>
          <w:color w:val="000000"/>
        </w:rPr>
        <w:t>组织机构代码：</w:t>
      </w:r>
      <w:r>
        <w:rPr>
          <w:rFonts w:hint="eastAsia" w:ascii="宋体" w:hAnsi="宋体" w:cs="宋体"/>
          <w:color w:val="000000"/>
          <w:u w:val="single"/>
        </w:rPr>
        <w:t xml:space="preserve">            </w:t>
      </w:r>
      <w:r>
        <w:rPr>
          <w:rFonts w:hint="eastAsia" w:ascii="宋体" w:hAnsi="宋体" w:cs="宋体"/>
          <w:color w:val="000000"/>
        </w:rPr>
        <w:t xml:space="preserve">                组织机构代码：</w:t>
      </w:r>
      <w:r>
        <w:rPr>
          <w:rFonts w:hint="eastAsia" w:ascii="宋体" w:hAnsi="宋体" w:cs="宋体"/>
          <w:color w:val="000000"/>
          <w:u w:val="single"/>
        </w:rPr>
        <w:t xml:space="preserve">          </w:t>
      </w:r>
    </w:p>
    <w:p w14:paraId="510A5AAC">
      <w:pPr>
        <w:adjustRightInd w:val="0"/>
        <w:snapToGrid w:val="0"/>
        <w:spacing w:line="360" w:lineRule="auto"/>
        <w:rPr>
          <w:rFonts w:hint="eastAsia" w:ascii="宋体" w:hAnsi="宋体" w:cs="宋体"/>
          <w:color w:val="000000"/>
        </w:rPr>
      </w:pPr>
      <w:r>
        <w:rPr>
          <w:rFonts w:hint="eastAsia" w:ascii="宋体" w:hAnsi="宋体" w:cs="宋体"/>
          <w:color w:val="000000"/>
        </w:rPr>
        <w:t>地  址：</w:t>
      </w:r>
      <w:r>
        <w:rPr>
          <w:rFonts w:hint="eastAsia" w:ascii="宋体" w:hAnsi="宋体" w:cs="宋体"/>
          <w:color w:val="000000"/>
          <w:u w:val="single"/>
        </w:rPr>
        <w:t xml:space="preserve">                    </w:t>
      </w:r>
      <w:r>
        <w:rPr>
          <w:rFonts w:hint="eastAsia" w:ascii="宋体" w:hAnsi="宋体" w:cs="宋体"/>
          <w:color w:val="000000"/>
        </w:rPr>
        <w:t xml:space="preserve">                地  址：</w:t>
      </w:r>
      <w:r>
        <w:rPr>
          <w:rFonts w:hint="eastAsia" w:ascii="宋体" w:hAnsi="宋体" w:cs="宋体"/>
          <w:color w:val="000000"/>
          <w:u w:val="single"/>
        </w:rPr>
        <w:t xml:space="preserve">                  </w:t>
      </w:r>
    </w:p>
    <w:p w14:paraId="00262A33">
      <w:pPr>
        <w:adjustRightInd w:val="0"/>
        <w:snapToGrid w:val="0"/>
        <w:spacing w:line="360" w:lineRule="auto"/>
        <w:rPr>
          <w:rFonts w:hint="eastAsia" w:ascii="宋体" w:hAnsi="宋体" w:cs="宋体"/>
          <w:color w:val="000000"/>
        </w:rPr>
      </w:pPr>
      <w:r>
        <w:rPr>
          <w:rFonts w:hint="eastAsia" w:ascii="宋体" w:hAnsi="宋体" w:cs="宋体"/>
          <w:color w:val="000000"/>
        </w:rPr>
        <w:t>邮政编码：</w:t>
      </w:r>
      <w:r>
        <w:rPr>
          <w:rFonts w:hint="eastAsia" w:ascii="宋体" w:hAnsi="宋体" w:cs="宋体"/>
          <w:color w:val="000000"/>
          <w:u w:val="single"/>
        </w:rPr>
        <w:t xml:space="preserve">                </w:t>
      </w:r>
      <w:r>
        <w:rPr>
          <w:rFonts w:hint="eastAsia" w:ascii="宋体" w:hAnsi="宋体" w:cs="宋体"/>
          <w:color w:val="000000"/>
        </w:rPr>
        <w:t xml:space="preserve">               邮政编码：</w:t>
      </w:r>
      <w:r>
        <w:rPr>
          <w:rFonts w:hint="eastAsia" w:ascii="宋体" w:hAnsi="宋体" w:cs="宋体"/>
          <w:color w:val="000000"/>
          <w:u w:val="single"/>
        </w:rPr>
        <w:t xml:space="preserve">                   </w:t>
      </w:r>
    </w:p>
    <w:p w14:paraId="636C657E">
      <w:pPr>
        <w:adjustRightInd w:val="0"/>
        <w:snapToGrid w:val="0"/>
        <w:spacing w:line="360" w:lineRule="auto"/>
        <w:rPr>
          <w:rFonts w:hint="eastAsia" w:ascii="宋体" w:hAnsi="宋体" w:cs="宋体"/>
          <w:color w:val="000000"/>
        </w:rPr>
      </w:pPr>
      <w:r>
        <w:rPr>
          <w:rFonts w:hint="eastAsia" w:ascii="宋体" w:hAnsi="宋体" w:cs="宋体"/>
          <w:color w:val="000000"/>
        </w:rPr>
        <w:t>法定代表人：</w:t>
      </w:r>
      <w:r>
        <w:rPr>
          <w:rFonts w:hint="eastAsia" w:ascii="宋体" w:hAnsi="宋体" w:cs="宋体"/>
          <w:color w:val="000000"/>
          <w:u w:val="single"/>
        </w:rPr>
        <w:t xml:space="preserve">            </w:t>
      </w:r>
      <w:r>
        <w:rPr>
          <w:rFonts w:hint="eastAsia" w:ascii="宋体" w:hAnsi="宋体" w:cs="宋体"/>
          <w:color w:val="000000"/>
        </w:rPr>
        <w:t xml:space="preserve">                法定代表人：</w:t>
      </w:r>
      <w:r>
        <w:rPr>
          <w:rFonts w:hint="eastAsia" w:ascii="宋体" w:hAnsi="宋体" w:cs="宋体"/>
          <w:color w:val="000000"/>
          <w:u w:val="single"/>
        </w:rPr>
        <w:t xml:space="preserve">            </w:t>
      </w:r>
    </w:p>
    <w:p w14:paraId="0D000CD5">
      <w:pPr>
        <w:adjustRightInd w:val="0"/>
        <w:snapToGrid w:val="0"/>
        <w:spacing w:line="360" w:lineRule="auto"/>
        <w:rPr>
          <w:rFonts w:hint="eastAsia" w:ascii="宋体" w:hAnsi="宋体" w:cs="宋体"/>
          <w:color w:val="000000"/>
        </w:rPr>
      </w:pPr>
      <w:r>
        <w:rPr>
          <w:rFonts w:hint="eastAsia" w:ascii="宋体" w:hAnsi="宋体" w:cs="宋体"/>
          <w:color w:val="000000"/>
        </w:rPr>
        <w:t>委托代理人：</w:t>
      </w:r>
      <w:r>
        <w:rPr>
          <w:rFonts w:hint="eastAsia" w:ascii="宋体" w:hAnsi="宋体" w:cs="宋体"/>
          <w:color w:val="000000"/>
          <w:u w:val="single"/>
        </w:rPr>
        <w:t xml:space="preserve">                </w:t>
      </w:r>
      <w:r>
        <w:rPr>
          <w:rFonts w:hint="eastAsia" w:ascii="宋体" w:hAnsi="宋体" w:cs="宋体"/>
          <w:color w:val="000000"/>
        </w:rPr>
        <w:t xml:space="preserve">                委托代理人：</w:t>
      </w:r>
      <w:r>
        <w:rPr>
          <w:rFonts w:hint="eastAsia" w:ascii="宋体" w:hAnsi="宋体" w:cs="宋体"/>
          <w:color w:val="000000"/>
          <w:u w:val="single"/>
        </w:rPr>
        <w:t xml:space="preserve">                </w:t>
      </w:r>
    </w:p>
    <w:p w14:paraId="74C80206">
      <w:pPr>
        <w:adjustRightInd w:val="0"/>
        <w:snapToGrid w:val="0"/>
        <w:spacing w:line="360" w:lineRule="auto"/>
        <w:rPr>
          <w:rFonts w:hint="eastAsia" w:ascii="宋体" w:hAnsi="宋体" w:cs="宋体"/>
          <w:color w:val="000000"/>
        </w:rPr>
      </w:pPr>
      <w:r>
        <w:rPr>
          <w:rFonts w:hint="eastAsia" w:ascii="宋体" w:hAnsi="宋体" w:cs="宋体"/>
          <w:color w:val="000000"/>
        </w:rPr>
        <w:t>电  话：</w:t>
      </w:r>
      <w:r>
        <w:rPr>
          <w:rFonts w:hint="eastAsia" w:ascii="宋体" w:hAnsi="宋体" w:cs="宋体"/>
          <w:color w:val="000000"/>
          <w:u w:val="single"/>
        </w:rPr>
        <w:t xml:space="preserve">                   </w:t>
      </w:r>
      <w:r>
        <w:rPr>
          <w:rFonts w:hint="eastAsia" w:ascii="宋体" w:hAnsi="宋体" w:cs="宋体"/>
          <w:color w:val="000000"/>
        </w:rPr>
        <w:t xml:space="preserve">                电  话：</w:t>
      </w:r>
      <w:r>
        <w:rPr>
          <w:rFonts w:hint="eastAsia" w:ascii="宋体" w:hAnsi="宋体" w:cs="宋体"/>
          <w:color w:val="000000"/>
          <w:u w:val="single"/>
        </w:rPr>
        <w:t xml:space="preserve">                     </w:t>
      </w:r>
    </w:p>
    <w:p w14:paraId="6A8BE3C8">
      <w:pPr>
        <w:adjustRightInd w:val="0"/>
        <w:snapToGrid w:val="0"/>
        <w:spacing w:line="360" w:lineRule="auto"/>
        <w:rPr>
          <w:rFonts w:hint="eastAsia" w:ascii="宋体" w:hAnsi="宋体" w:cs="宋体"/>
          <w:color w:val="000000"/>
        </w:rPr>
      </w:pPr>
      <w:r>
        <w:rPr>
          <w:rFonts w:hint="eastAsia" w:ascii="宋体" w:hAnsi="宋体" w:cs="宋体"/>
          <w:color w:val="000000"/>
        </w:rPr>
        <w:t>传  真：</w:t>
      </w:r>
      <w:r>
        <w:rPr>
          <w:rFonts w:hint="eastAsia" w:ascii="宋体" w:hAnsi="宋体" w:cs="宋体"/>
          <w:color w:val="000000"/>
          <w:u w:val="single"/>
        </w:rPr>
        <w:t xml:space="preserve">                   </w:t>
      </w:r>
      <w:r>
        <w:rPr>
          <w:rFonts w:hint="eastAsia" w:ascii="宋体" w:hAnsi="宋体" w:cs="宋体"/>
          <w:color w:val="000000"/>
        </w:rPr>
        <w:t xml:space="preserve">                传  真：</w:t>
      </w:r>
      <w:r>
        <w:rPr>
          <w:rFonts w:hint="eastAsia" w:ascii="宋体" w:hAnsi="宋体" w:cs="宋体"/>
          <w:color w:val="000000"/>
          <w:u w:val="single"/>
        </w:rPr>
        <w:t xml:space="preserve">                   </w:t>
      </w:r>
    </w:p>
    <w:p w14:paraId="15720D2F">
      <w:pPr>
        <w:adjustRightInd w:val="0"/>
        <w:snapToGrid w:val="0"/>
        <w:spacing w:line="360" w:lineRule="auto"/>
        <w:rPr>
          <w:rFonts w:hint="eastAsia" w:ascii="宋体" w:hAnsi="宋体" w:cs="宋体"/>
          <w:color w:val="000000"/>
        </w:rPr>
      </w:pPr>
      <w:r>
        <w:rPr>
          <w:rFonts w:hint="eastAsia" w:ascii="宋体" w:hAnsi="宋体" w:cs="宋体"/>
          <w:color w:val="000000"/>
        </w:rPr>
        <w:t>电子信箱：</w:t>
      </w:r>
      <w:r>
        <w:rPr>
          <w:rFonts w:hint="eastAsia" w:ascii="宋体" w:hAnsi="宋体" w:cs="宋体"/>
          <w:color w:val="000000"/>
          <w:u w:val="single"/>
        </w:rPr>
        <w:t xml:space="preserve">                 </w:t>
      </w:r>
      <w:r>
        <w:rPr>
          <w:rFonts w:hint="eastAsia" w:ascii="宋体" w:hAnsi="宋体" w:cs="宋体"/>
          <w:color w:val="000000"/>
        </w:rPr>
        <w:t xml:space="preserve">                电子信箱：</w:t>
      </w:r>
      <w:r>
        <w:rPr>
          <w:rFonts w:hint="eastAsia" w:ascii="宋体" w:hAnsi="宋体" w:cs="宋体"/>
          <w:color w:val="000000"/>
          <w:u w:val="single"/>
        </w:rPr>
        <w:t xml:space="preserve">                   </w:t>
      </w:r>
    </w:p>
    <w:p w14:paraId="35DB4CDB">
      <w:pPr>
        <w:adjustRightInd w:val="0"/>
        <w:snapToGrid w:val="0"/>
        <w:spacing w:line="360" w:lineRule="auto"/>
        <w:rPr>
          <w:rFonts w:hint="eastAsia" w:ascii="宋体" w:hAnsi="宋体" w:cs="宋体"/>
          <w:color w:val="000000"/>
        </w:rPr>
      </w:pPr>
      <w:r>
        <w:rPr>
          <w:rFonts w:hint="eastAsia" w:ascii="宋体" w:hAnsi="宋体" w:cs="宋体"/>
          <w:color w:val="000000"/>
        </w:rPr>
        <w:t>开户银行：</w:t>
      </w:r>
      <w:r>
        <w:rPr>
          <w:rFonts w:hint="eastAsia" w:ascii="宋体" w:hAnsi="宋体" w:cs="宋体"/>
          <w:color w:val="000000"/>
          <w:u w:val="single"/>
        </w:rPr>
        <w:t xml:space="preserve">                 </w:t>
      </w:r>
      <w:r>
        <w:rPr>
          <w:rFonts w:hint="eastAsia" w:ascii="宋体" w:hAnsi="宋体" w:cs="宋体"/>
          <w:color w:val="000000"/>
        </w:rPr>
        <w:t xml:space="preserve">                开户银行：</w:t>
      </w:r>
      <w:r>
        <w:rPr>
          <w:rFonts w:hint="eastAsia" w:ascii="宋体" w:hAnsi="宋体" w:cs="宋体"/>
          <w:color w:val="000000"/>
          <w:u w:val="single"/>
        </w:rPr>
        <w:t xml:space="preserve">                   </w:t>
      </w:r>
    </w:p>
    <w:p w14:paraId="14E0EC43">
      <w:pPr>
        <w:adjustRightInd w:val="0"/>
        <w:snapToGrid w:val="0"/>
        <w:spacing w:line="360" w:lineRule="auto"/>
        <w:rPr>
          <w:rFonts w:hint="eastAsia" w:ascii="宋体" w:hAnsi="宋体" w:cs="宋体"/>
          <w:color w:val="000000"/>
        </w:rPr>
      </w:pPr>
      <w:r>
        <w:rPr>
          <w:rFonts w:hint="eastAsia" w:ascii="宋体" w:hAnsi="宋体" w:cs="宋体"/>
          <w:color w:val="000000"/>
        </w:rPr>
        <w:t>账  号：</w:t>
      </w:r>
      <w:r>
        <w:rPr>
          <w:rFonts w:hint="eastAsia" w:ascii="宋体" w:hAnsi="宋体" w:cs="宋体"/>
          <w:color w:val="000000"/>
          <w:u w:val="single"/>
        </w:rPr>
        <w:t xml:space="preserve">                 </w:t>
      </w:r>
      <w:r>
        <w:rPr>
          <w:rFonts w:hint="eastAsia" w:ascii="宋体" w:hAnsi="宋体" w:cs="宋体"/>
          <w:color w:val="000000"/>
        </w:rPr>
        <w:t xml:space="preserve">                账  号：</w:t>
      </w:r>
      <w:r>
        <w:rPr>
          <w:rFonts w:hint="eastAsia" w:ascii="宋体" w:hAnsi="宋体" w:cs="宋体"/>
          <w:color w:val="000000"/>
          <w:u w:val="single"/>
        </w:rPr>
        <w:t xml:space="preserve">                     </w:t>
      </w:r>
    </w:p>
    <w:p w14:paraId="157F105B">
      <w:pPr>
        <w:pStyle w:val="2"/>
        <w:ind w:left="0" w:leftChars="0" w:firstLine="0" w:firstLineChars="0"/>
        <w:rPr>
          <w:rFonts w:hint="eastAsia" w:ascii="黑体" w:eastAsia="黑体"/>
          <w:b/>
          <w:sz w:val="32"/>
          <w:szCs w:val="32"/>
          <w:lang w:val="en-US" w:eastAsia="zh-CN"/>
        </w:rPr>
      </w:pPr>
    </w:p>
    <w:p w14:paraId="7D29C607">
      <w:pPr>
        <w:rPr>
          <w:rFonts w:hint="eastAsia" w:ascii="黑体" w:eastAsia="黑体"/>
          <w:b/>
          <w:sz w:val="32"/>
          <w:szCs w:val="32"/>
          <w:lang w:val="en-US" w:eastAsia="zh-CN"/>
        </w:rPr>
      </w:pPr>
      <w:r>
        <w:rPr>
          <w:rFonts w:hint="eastAsia" w:ascii="黑体" w:eastAsia="黑体"/>
          <w:b/>
          <w:sz w:val="32"/>
          <w:szCs w:val="32"/>
          <w:lang w:val="en-US" w:eastAsia="zh-CN"/>
        </w:rPr>
        <w:br w:type="page"/>
      </w:r>
    </w:p>
    <w:p w14:paraId="4C397CA0">
      <w:pPr>
        <w:keepNext/>
        <w:keepLines/>
        <w:spacing w:before="120" w:after="120" w:line="360" w:lineRule="auto"/>
        <w:jc w:val="left"/>
        <w:outlineLvl w:val="2"/>
        <w:rPr>
          <w:rFonts w:hint="eastAsia" w:ascii="宋体" w:hAnsi="宋体" w:eastAsia="宋体" w:cs="宋体"/>
          <w:bCs/>
          <w:color w:val="000000"/>
          <w:sz w:val="24"/>
        </w:rPr>
      </w:pPr>
      <w:r>
        <w:rPr>
          <w:rFonts w:hint="eastAsia" w:ascii="宋体" w:hAnsi="宋体" w:eastAsia="宋体" w:cs="宋体"/>
          <w:bCs/>
          <w:color w:val="000000"/>
          <w:sz w:val="24"/>
          <w:lang w:val="en-US" w:eastAsia="zh-CN"/>
        </w:rPr>
        <w:t xml:space="preserve">附件1 </w:t>
      </w:r>
    </w:p>
    <w:p w14:paraId="4766C347">
      <w:pPr>
        <w:spacing w:before="156" w:beforeLines="50" w:after="156" w:afterLines="50" w:line="380" w:lineRule="exact"/>
        <w:jc w:val="center"/>
        <w:rPr>
          <w:rFonts w:hint="eastAsia" w:ascii="黑体" w:eastAsia="黑体" w:cs="宋体"/>
          <w:b/>
          <w:bCs/>
          <w:sz w:val="32"/>
          <w:szCs w:val="32"/>
          <w:lang w:bidi="ar"/>
        </w:rPr>
      </w:pPr>
      <w:r>
        <w:rPr>
          <w:rFonts w:hint="eastAsia" w:ascii="黑体" w:eastAsia="黑体" w:cs="宋体"/>
          <w:b/>
          <w:bCs/>
          <w:sz w:val="32"/>
          <w:szCs w:val="32"/>
          <w:lang w:bidi="ar"/>
        </w:rPr>
        <w:t>工程质量保修书</w:t>
      </w:r>
    </w:p>
    <w:p w14:paraId="7C4FE380">
      <w:pPr>
        <w:spacing w:line="440" w:lineRule="exact"/>
        <w:rPr>
          <w:rFonts w:hint="eastAsia"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p>
    <w:p w14:paraId="5D49E8E8">
      <w:pPr>
        <w:spacing w:line="440" w:lineRule="exact"/>
        <w:rPr>
          <w:rFonts w:hint="eastAsia" w:ascii="宋体" w:hAnsi="宋体" w:cs="宋体"/>
          <w:szCs w:val="21"/>
          <w:u w:val="single"/>
        </w:rPr>
      </w:pPr>
      <w:r>
        <w:rPr>
          <w:rFonts w:hint="eastAsia" w:ascii="宋体" w:hAnsi="宋体" w:cs="宋体"/>
          <w:szCs w:val="21"/>
        </w:rPr>
        <w:t>承包人：（全称）：</w:t>
      </w:r>
      <w:r>
        <w:rPr>
          <w:rFonts w:hint="eastAsia" w:ascii="宋体" w:hAnsi="宋体" w:cs="宋体"/>
          <w:szCs w:val="21"/>
          <w:u w:val="single"/>
        </w:rPr>
        <w:t xml:space="preserve">                            ；</w:t>
      </w:r>
    </w:p>
    <w:p w14:paraId="5816A768">
      <w:pPr>
        <w:spacing w:line="440" w:lineRule="exact"/>
        <w:ind w:firstLine="420" w:firstLineChars="200"/>
        <w:jc w:val="left"/>
        <w:rPr>
          <w:rFonts w:hint="eastAsia" w:ascii="宋体" w:hAnsi="宋体" w:cs="宋体"/>
          <w:szCs w:val="21"/>
        </w:rPr>
      </w:pPr>
      <w:r>
        <w:rPr>
          <w:rFonts w:hint="eastAsia" w:ascii="宋体" w:hAnsi="宋体" w:cs="宋体"/>
          <w:szCs w:val="21"/>
        </w:rPr>
        <w:t>发包人和承包人根据《中华人民共和国建筑法》和《建设工程质量管理条例》，经协商一致就</w:t>
      </w:r>
    </w:p>
    <w:p w14:paraId="0E443565">
      <w:pPr>
        <w:spacing w:line="440" w:lineRule="exact"/>
        <w:jc w:val="left"/>
        <w:rPr>
          <w:rFonts w:hint="eastAsia"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 xml:space="preserve">（工程全称）签订工程质量保修书。    </w:t>
      </w:r>
    </w:p>
    <w:p w14:paraId="294C3B2E">
      <w:pPr>
        <w:spacing w:line="440" w:lineRule="exact"/>
        <w:ind w:firstLine="420" w:firstLineChars="200"/>
        <w:rPr>
          <w:rFonts w:hint="eastAsia" w:ascii="宋体" w:hAnsi="宋体" w:cs="宋体"/>
          <w:szCs w:val="21"/>
        </w:rPr>
      </w:pPr>
      <w:r>
        <w:rPr>
          <w:rFonts w:hint="eastAsia" w:ascii="宋体" w:hAnsi="宋体" w:cs="宋体"/>
          <w:szCs w:val="21"/>
        </w:rPr>
        <w:t>一、工程质量保修范围和内容</w:t>
      </w:r>
    </w:p>
    <w:p w14:paraId="51A1FF42">
      <w:pPr>
        <w:spacing w:line="440" w:lineRule="exact"/>
        <w:ind w:firstLine="420" w:firstLineChars="200"/>
        <w:rPr>
          <w:rFonts w:hint="eastAsia" w:ascii="宋体" w:hAnsi="宋体" w:cs="宋体"/>
          <w:szCs w:val="21"/>
        </w:rPr>
      </w:pPr>
      <w:r>
        <w:rPr>
          <w:rFonts w:hint="eastAsia" w:ascii="宋体" w:hAnsi="宋体" w:cs="宋体"/>
          <w:szCs w:val="21"/>
        </w:rPr>
        <w:t>按照《建设工程质量管理条例》及有关法律、法规、规章的管理规定和双方约定由施工单位在质量保修期内，承担本工程质量保修责任。</w:t>
      </w:r>
    </w:p>
    <w:p w14:paraId="093CEA59">
      <w:pPr>
        <w:spacing w:line="440" w:lineRule="exact"/>
        <w:ind w:firstLine="420" w:firstLineChars="200"/>
        <w:rPr>
          <w:rFonts w:hint="eastAsia" w:ascii="宋体" w:hAnsi="宋体" w:cs="宋体"/>
          <w:szCs w:val="21"/>
        </w:rPr>
      </w:pPr>
      <w:r>
        <w:rPr>
          <w:rFonts w:hint="eastAsia" w:ascii="宋体" w:hAnsi="宋体" w:cs="宋体"/>
          <w:szCs w:val="21"/>
        </w:rPr>
        <w:t>质量保修范围和内容：</w:t>
      </w:r>
    </w:p>
    <w:p w14:paraId="0870BCD6">
      <w:pPr>
        <w:spacing w:line="440" w:lineRule="exact"/>
        <w:ind w:firstLine="420" w:firstLineChars="200"/>
        <w:rPr>
          <w:rFonts w:hint="eastAsia" w:ascii="宋体" w:hAnsi="宋体" w:cs="宋体"/>
          <w:szCs w:val="21"/>
        </w:rPr>
      </w:pPr>
      <w:r>
        <w:rPr>
          <w:rFonts w:hint="eastAsia" w:ascii="宋体" w:hAnsi="宋体" w:cs="宋体"/>
          <w:szCs w:val="21"/>
        </w:rPr>
        <w:t>合同文件中明确的全部内容（含设计变更及签证以及决算中所含的全部内容）。</w:t>
      </w:r>
    </w:p>
    <w:p w14:paraId="16BB05F0">
      <w:pPr>
        <w:spacing w:line="440" w:lineRule="exact"/>
        <w:ind w:firstLine="420" w:firstLineChars="200"/>
        <w:rPr>
          <w:rFonts w:hint="eastAsia" w:ascii="宋体" w:hAnsi="宋体" w:cs="宋体"/>
          <w:szCs w:val="21"/>
        </w:rPr>
      </w:pPr>
      <w:r>
        <w:rPr>
          <w:rFonts w:hint="eastAsia" w:ascii="宋体" w:hAnsi="宋体" w:cs="宋体"/>
          <w:szCs w:val="21"/>
        </w:rPr>
        <w:t>二、质量保修期</w:t>
      </w:r>
    </w:p>
    <w:p w14:paraId="0656D337">
      <w:pPr>
        <w:numPr>
          <w:ilvl w:val="0"/>
          <w:numId w:val="4"/>
        </w:numPr>
        <w:spacing w:line="440" w:lineRule="exact"/>
        <w:ind w:firstLine="420" w:firstLineChars="200"/>
        <w:rPr>
          <w:rFonts w:hint="eastAsia" w:ascii="宋体" w:hAnsi="宋体" w:cs="宋体"/>
          <w:szCs w:val="21"/>
        </w:rPr>
      </w:pPr>
      <w:r>
        <w:rPr>
          <w:rFonts w:hint="eastAsia" w:ascii="宋体" w:hAnsi="宋体" w:cs="宋体"/>
          <w:szCs w:val="21"/>
        </w:rPr>
        <w:t>双方根据《建设工程质量管理条例》及有关规定，约定本工程的质量保修期如下：</w:t>
      </w:r>
      <w:r>
        <w:rPr>
          <w:rFonts w:hint="eastAsia" w:ascii="宋体" w:hAnsi="宋体" w:cs="宋体"/>
          <w:szCs w:val="21"/>
        </w:rPr>
        <w:br w:type="textWrapping"/>
      </w:r>
      <w:r>
        <w:rPr>
          <w:rFonts w:hint="eastAsia" w:ascii="宋体" w:hAnsi="宋体" w:cs="宋体"/>
          <w:szCs w:val="21"/>
        </w:rPr>
        <w:t>1、地基基础工程和主体结构工程为设计文件规定的该工程合理使用年限；</w:t>
      </w:r>
      <w:r>
        <w:rPr>
          <w:rFonts w:hint="eastAsia" w:ascii="宋体" w:hAnsi="宋体" w:cs="宋体"/>
          <w:szCs w:val="21"/>
        </w:rPr>
        <w:br w:type="textWrapping"/>
      </w:r>
      <w:r>
        <w:rPr>
          <w:rFonts w:hint="eastAsia" w:ascii="宋体" w:hAnsi="宋体" w:cs="宋体"/>
          <w:szCs w:val="21"/>
        </w:rPr>
        <w:t>2、屋面防水工程、有防水要求的卫生间、房间的外墙面的防渗漏为5年；</w:t>
      </w:r>
      <w:r>
        <w:rPr>
          <w:rFonts w:hint="eastAsia" w:ascii="宋体" w:hAnsi="宋体" w:cs="宋体"/>
          <w:szCs w:val="21"/>
        </w:rPr>
        <w:br w:type="textWrapping"/>
      </w:r>
      <w:r>
        <w:rPr>
          <w:rFonts w:hint="eastAsia" w:ascii="宋体" w:hAnsi="宋体" w:cs="宋体"/>
          <w:szCs w:val="21"/>
        </w:rPr>
        <w:t>3、装修工程为  2 年；</w:t>
      </w:r>
      <w:r>
        <w:rPr>
          <w:rFonts w:hint="eastAsia" w:ascii="宋体" w:hAnsi="宋体" w:cs="宋体"/>
          <w:szCs w:val="21"/>
        </w:rPr>
        <w:br w:type="textWrapping"/>
      </w:r>
      <w:r>
        <w:rPr>
          <w:rFonts w:hint="eastAsia" w:ascii="宋体" w:hAnsi="宋体" w:cs="宋体"/>
          <w:szCs w:val="21"/>
        </w:rPr>
        <w:t>4、电气管线、给排水管道、设备安装工程为  2  年；</w:t>
      </w:r>
      <w:r>
        <w:rPr>
          <w:rFonts w:hint="eastAsia" w:ascii="宋体" w:hAnsi="宋体" w:cs="宋体"/>
          <w:szCs w:val="21"/>
        </w:rPr>
        <w:br w:type="textWrapping"/>
      </w:r>
      <w:r>
        <w:rPr>
          <w:rFonts w:hint="eastAsia" w:ascii="宋体" w:hAnsi="宋体" w:cs="宋体"/>
          <w:szCs w:val="21"/>
        </w:rPr>
        <w:t>5、供热与供冷系统为 2个采暖期、供冷期；</w:t>
      </w:r>
      <w:r>
        <w:rPr>
          <w:rFonts w:hint="eastAsia" w:ascii="宋体" w:hAnsi="宋体" w:cs="宋体"/>
          <w:szCs w:val="21"/>
        </w:rPr>
        <w:br w:type="textWrapping"/>
      </w:r>
      <w:r>
        <w:rPr>
          <w:rFonts w:hint="eastAsia" w:ascii="宋体" w:hAnsi="宋体" w:cs="宋体"/>
          <w:szCs w:val="21"/>
        </w:rPr>
        <w:t>6、给排水设施、道路等配套工程为  2 年；</w:t>
      </w:r>
      <w:r>
        <w:rPr>
          <w:rFonts w:hint="eastAsia" w:ascii="宋体" w:hAnsi="宋体" w:cs="宋体"/>
          <w:szCs w:val="21"/>
        </w:rPr>
        <w:br w:type="textWrapping"/>
      </w:r>
      <w:r>
        <w:rPr>
          <w:rFonts w:hint="eastAsia" w:ascii="宋体" w:hAnsi="宋体" w:cs="宋体"/>
          <w:szCs w:val="21"/>
        </w:rPr>
        <w:t>7、保温工程：5年；</w:t>
      </w:r>
    </w:p>
    <w:p w14:paraId="614FBAFE">
      <w:pPr>
        <w:tabs>
          <w:tab w:val="left" w:pos="0"/>
        </w:tabs>
        <w:spacing w:line="440" w:lineRule="exact"/>
        <w:rPr>
          <w:rFonts w:hint="eastAsia" w:ascii="宋体" w:hAnsi="宋体" w:cs="宋体"/>
          <w:szCs w:val="21"/>
        </w:rPr>
      </w:pPr>
      <w:r>
        <w:rPr>
          <w:rFonts w:hint="eastAsia" w:ascii="宋体" w:hAnsi="宋体" w:cs="宋体"/>
          <w:szCs w:val="21"/>
        </w:rPr>
        <w:t>8、建筑幕墙：5年</w:t>
      </w:r>
      <w:r>
        <w:rPr>
          <w:rFonts w:hint="eastAsia" w:ascii="宋体" w:hAnsi="宋体" w:cs="宋体"/>
          <w:szCs w:val="21"/>
        </w:rPr>
        <w:br w:type="textWrapping"/>
      </w:r>
      <w:r>
        <w:rPr>
          <w:rFonts w:hint="eastAsia" w:ascii="宋体" w:hAnsi="宋体" w:cs="宋体"/>
          <w:szCs w:val="21"/>
        </w:rPr>
        <w:t>9、其他项目保修期限约定如下：其他项目的保修期限由发包方与承包方约定。   </w:t>
      </w:r>
      <w:r>
        <w:rPr>
          <w:rFonts w:hint="eastAsia" w:ascii="宋体" w:hAnsi="宋体" w:cs="宋体"/>
          <w:szCs w:val="21"/>
        </w:rPr>
        <w:br w:type="textWrapping"/>
      </w:r>
      <w:r>
        <w:rPr>
          <w:rFonts w:hint="eastAsia" w:ascii="宋体" w:hAnsi="宋体" w:cs="宋体"/>
          <w:szCs w:val="21"/>
        </w:rPr>
        <w:t>质量保修期自工程竣工验收合格之日起计算。</w:t>
      </w:r>
    </w:p>
    <w:p w14:paraId="717F8F40">
      <w:pPr>
        <w:numPr>
          <w:ilvl w:val="0"/>
          <w:numId w:val="4"/>
        </w:numPr>
        <w:spacing w:line="440" w:lineRule="exact"/>
        <w:ind w:firstLine="420" w:firstLineChars="200"/>
        <w:rPr>
          <w:rFonts w:hint="eastAsia" w:ascii="宋体" w:hAnsi="宋体" w:cs="宋体"/>
          <w:szCs w:val="21"/>
        </w:rPr>
      </w:pPr>
      <w:r>
        <w:rPr>
          <w:rFonts w:hint="eastAsia" w:ascii="宋体" w:hAnsi="宋体" w:cs="宋体"/>
          <w:szCs w:val="21"/>
        </w:rPr>
        <w:t>缺陷责任期</w:t>
      </w:r>
    </w:p>
    <w:p w14:paraId="216E5F3D">
      <w:pPr>
        <w:pStyle w:val="2"/>
        <w:spacing w:after="0" w:line="440" w:lineRule="exact"/>
        <w:ind w:left="0" w:leftChars="0"/>
        <w:rPr>
          <w:rFonts w:hint="eastAsia" w:hAnsi="宋体" w:cs="宋体"/>
          <w:szCs w:val="21"/>
          <w:highlight w:val="none"/>
        </w:rPr>
      </w:pPr>
      <w:r>
        <w:rPr>
          <w:rFonts w:hint="eastAsia" w:hAnsi="宋体" w:cs="宋体"/>
          <w:szCs w:val="21"/>
        </w:rPr>
        <w:t>工程缺陷责任期为24个月，缺陷责任期自工程通过竣工验收之日起计算。单位工程先于全部工</w:t>
      </w:r>
      <w:r>
        <w:rPr>
          <w:rFonts w:hint="eastAsia" w:hAnsi="宋体" w:cs="宋体"/>
          <w:szCs w:val="21"/>
          <w:highlight w:val="none"/>
        </w:rPr>
        <w:t>程进行验收，单位工程缺陷责任期自单位工程验收合格之日起算。</w:t>
      </w:r>
    </w:p>
    <w:p w14:paraId="64B9DFF3">
      <w:pPr>
        <w:pStyle w:val="2"/>
        <w:spacing w:after="0" w:line="440" w:lineRule="exact"/>
        <w:ind w:left="0" w:leftChars="0"/>
        <w:rPr>
          <w:rFonts w:hint="eastAsia" w:hAnsi="宋体" w:cs="宋体"/>
          <w:szCs w:val="21"/>
          <w:highlight w:val="none"/>
        </w:rPr>
      </w:pPr>
      <w:r>
        <w:rPr>
          <w:rFonts w:hint="eastAsia" w:hAnsi="宋体" w:cs="宋体"/>
          <w:szCs w:val="21"/>
          <w:highlight w:val="none"/>
        </w:rPr>
        <w:t>缺陷责任期终止后，发包人应退还剩余的质量保证金。</w:t>
      </w:r>
    </w:p>
    <w:p w14:paraId="129C41BB">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四、质量保修责任</w:t>
      </w:r>
    </w:p>
    <w:p w14:paraId="1C119FF5">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1、属于保修范围、内容的项目，承包人应当在接到保修通知之日起48小时内派人保修。承包人</w:t>
      </w:r>
      <w:r>
        <w:rPr>
          <w:rFonts w:hint="eastAsia" w:ascii="宋体" w:hAnsi="宋体" w:cs="宋体"/>
          <w:szCs w:val="21"/>
          <w:highlight w:val="none"/>
          <w:lang w:eastAsia="zh-CN"/>
        </w:rPr>
        <w:t>不在</w:t>
      </w:r>
      <w:r>
        <w:rPr>
          <w:rFonts w:hint="eastAsia" w:ascii="宋体" w:hAnsi="宋体" w:cs="宋体"/>
          <w:szCs w:val="21"/>
          <w:highlight w:val="none"/>
        </w:rPr>
        <w:t>约定期限内派人保修的，发包人可以委托他人修理。</w:t>
      </w:r>
    </w:p>
    <w:p w14:paraId="4FF54C34">
      <w:pPr>
        <w:spacing w:line="440" w:lineRule="exact"/>
        <w:ind w:firstLine="420" w:firstLineChars="200"/>
        <w:rPr>
          <w:rFonts w:hint="eastAsia" w:ascii="宋体" w:hAnsi="宋体" w:cs="宋体"/>
          <w:szCs w:val="21"/>
        </w:rPr>
      </w:pPr>
      <w:r>
        <w:rPr>
          <w:rFonts w:hint="eastAsia" w:ascii="宋体" w:hAnsi="宋体" w:cs="宋体"/>
          <w:szCs w:val="21"/>
          <w:highlight w:val="none"/>
        </w:rPr>
        <w:t>2、发生紧急抢修事故的，承包人在接到事故通知后，应当立即到</w:t>
      </w:r>
      <w:r>
        <w:rPr>
          <w:rFonts w:hint="eastAsia" w:ascii="宋体" w:hAnsi="宋体" w:cs="宋体"/>
          <w:szCs w:val="21"/>
        </w:rPr>
        <w:t>达事故现场抢修。</w:t>
      </w:r>
    </w:p>
    <w:p w14:paraId="4A27CE68">
      <w:pPr>
        <w:spacing w:line="440" w:lineRule="exact"/>
        <w:ind w:firstLine="420" w:firstLineChars="200"/>
        <w:rPr>
          <w:rFonts w:hint="eastAsia"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5935364">
      <w:pPr>
        <w:spacing w:line="440" w:lineRule="exact"/>
        <w:ind w:firstLine="420" w:firstLineChars="200"/>
        <w:rPr>
          <w:rFonts w:hint="eastAsia" w:ascii="宋体" w:hAnsi="宋体" w:cs="宋体"/>
          <w:szCs w:val="21"/>
        </w:rPr>
      </w:pPr>
      <w:r>
        <w:rPr>
          <w:rFonts w:hint="eastAsia" w:ascii="宋体" w:hAnsi="宋体" w:cs="宋体"/>
          <w:szCs w:val="21"/>
        </w:rPr>
        <w:t>4、质量保修完成后，由发包人组织验收。</w:t>
      </w:r>
    </w:p>
    <w:p w14:paraId="33E5A28B">
      <w:pPr>
        <w:spacing w:line="440" w:lineRule="exact"/>
        <w:ind w:firstLine="420" w:firstLineChars="200"/>
        <w:rPr>
          <w:rFonts w:hint="eastAsia" w:ascii="宋体" w:hAnsi="宋体" w:cs="宋体"/>
          <w:szCs w:val="21"/>
        </w:rPr>
      </w:pPr>
      <w:r>
        <w:rPr>
          <w:rFonts w:hint="eastAsia" w:ascii="宋体" w:hAnsi="宋体" w:cs="宋体"/>
          <w:szCs w:val="21"/>
        </w:rPr>
        <w:t>五、保修费用</w:t>
      </w:r>
    </w:p>
    <w:p w14:paraId="12BA9DA0">
      <w:pPr>
        <w:spacing w:line="440" w:lineRule="exact"/>
        <w:ind w:firstLine="420" w:firstLineChars="200"/>
        <w:rPr>
          <w:rFonts w:hint="eastAsia" w:ascii="宋体" w:hAnsi="宋体" w:cs="宋体"/>
          <w:szCs w:val="21"/>
        </w:rPr>
      </w:pPr>
      <w:r>
        <w:rPr>
          <w:rFonts w:hint="eastAsia" w:ascii="宋体" w:hAnsi="宋体" w:cs="宋体"/>
          <w:szCs w:val="21"/>
        </w:rPr>
        <w:t>保修费用由造成质量缺陷的责任方承担。</w:t>
      </w:r>
    </w:p>
    <w:p w14:paraId="61BB18BA">
      <w:pPr>
        <w:spacing w:line="440" w:lineRule="exact"/>
        <w:ind w:firstLine="420" w:firstLineChars="200"/>
        <w:rPr>
          <w:rFonts w:hint="eastAsia" w:ascii="宋体" w:hAnsi="宋体" w:cs="宋体"/>
          <w:szCs w:val="21"/>
        </w:rPr>
      </w:pPr>
      <w:r>
        <w:rPr>
          <w:rFonts w:hint="eastAsia" w:ascii="宋体" w:hAnsi="宋体" w:cs="宋体"/>
          <w:szCs w:val="21"/>
        </w:rPr>
        <w:t>六、因不可抗力或使用不当造成的质量缺陷，不属保修范围。</w:t>
      </w:r>
    </w:p>
    <w:p w14:paraId="1E1EDB32">
      <w:pPr>
        <w:spacing w:line="440" w:lineRule="exact"/>
        <w:ind w:firstLine="420" w:firstLineChars="200"/>
        <w:rPr>
          <w:rFonts w:hint="eastAsia" w:ascii="宋体" w:hAnsi="宋体" w:cs="宋体"/>
          <w:b/>
          <w:bCs/>
          <w:szCs w:val="21"/>
        </w:rPr>
      </w:pPr>
      <w:r>
        <w:rPr>
          <w:rFonts w:hint="eastAsia" w:ascii="宋体" w:hAnsi="宋体" w:cs="宋体"/>
          <w:szCs w:val="21"/>
        </w:rPr>
        <w:t xml:space="preserve">七、本工程质量保修书，由施工合同发包人、承包人双方在竣工验收前共同签署，作为施工合同附件，其有效期限至保修期满。  </w:t>
      </w:r>
      <w:r>
        <w:rPr>
          <w:rFonts w:hint="eastAsia" w:ascii="宋体" w:hAnsi="宋体" w:cs="宋体"/>
          <w:b/>
          <w:bCs/>
          <w:szCs w:val="21"/>
        </w:rPr>
        <w:t xml:space="preserve">  </w:t>
      </w:r>
    </w:p>
    <w:p w14:paraId="60BF7278">
      <w:pPr>
        <w:pStyle w:val="2"/>
        <w:ind w:firstLine="422"/>
        <w:rPr>
          <w:rFonts w:hint="eastAsia" w:hAnsi="宋体" w:cs="宋体"/>
          <w:b/>
          <w:bCs/>
          <w:szCs w:val="21"/>
        </w:rPr>
      </w:pPr>
    </w:p>
    <w:p w14:paraId="37BE6E6D">
      <w:pPr>
        <w:pStyle w:val="2"/>
        <w:ind w:firstLine="422"/>
        <w:rPr>
          <w:rFonts w:hint="eastAsia" w:hAnsi="宋体" w:cs="宋体"/>
          <w:b/>
          <w:bCs/>
          <w:szCs w:val="21"/>
        </w:rPr>
      </w:pPr>
    </w:p>
    <w:p w14:paraId="13173A5A">
      <w:pPr>
        <w:pStyle w:val="2"/>
        <w:ind w:firstLine="422"/>
        <w:rPr>
          <w:rFonts w:hint="eastAsia" w:hAnsi="宋体" w:cs="宋体"/>
          <w:b/>
          <w:bCs/>
          <w:szCs w:val="21"/>
        </w:rPr>
      </w:pPr>
    </w:p>
    <w:p w14:paraId="407BC48A">
      <w:pPr>
        <w:spacing w:line="360" w:lineRule="auto"/>
        <w:rPr>
          <w:rFonts w:hint="eastAsia" w:ascii="宋体" w:hAnsi="宋体" w:cs="宋体"/>
          <w:szCs w:val="21"/>
        </w:rPr>
      </w:pPr>
      <w:r>
        <w:rPr>
          <w:rFonts w:hint="eastAsia" w:ascii="宋体" w:hAnsi="宋体" w:cs="宋体"/>
          <w:szCs w:val="21"/>
        </w:rPr>
        <w:t>发包人</w:t>
      </w:r>
      <w:r>
        <w:rPr>
          <w:rFonts w:hint="eastAsia" w:ascii="宋体" w:hAnsi="宋体" w:cs="宋体"/>
          <w:szCs w:val="21"/>
          <w:lang w:eastAsia="zh-CN"/>
        </w:rPr>
        <w:t>（</w:t>
      </w:r>
      <w:r>
        <w:rPr>
          <w:rFonts w:hint="eastAsia" w:ascii="宋体" w:hAnsi="宋体" w:cs="宋体"/>
          <w:szCs w:val="21"/>
        </w:rPr>
        <w:t>公章</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u w:val="single"/>
        </w:rPr>
        <w:t xml:space="preserve">        </w:t>
      </w:r>
      <w:r>
        <w:rPr>
          <w:rFonts w:hint="eastAsia" w:ascii="宋体" w:hAnsi="宋体" w:cs="宋体"/>
          <w:szCs w:val="21"/>
        </w:rPr>
        <w:t xml:space="preserve">              承包人</w:t>
      </w:r>
      <w:r>
        <w:rPr>
          <w:rFonts w:hint="eastAsia" w:ascii="宋体" w:hAnsi="宋体" w:cs="宋体"/>
          <w:szCs w:val="21"/>
          <w:lang w:eastAsia="zh-CN"/>
        </w:rPr>
        <w:t>（</w:t>
      </w:r>
      <w:r>
        <w:rPr>
          <w:rFonts w:hint="eastAsia" w:ascii="宋体" w:hAnsi="宋体" w:cs="宋体"/>
          <w:szCs w:val="21"/>
        </w:rPr>
        <w:t>公章</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u w:val="single"/>
        </w:rPr>
        <w:t xml:space="preserve">               </w:t>
      </w:r>
    </w:p>
    <w:p w14:paraId="2955A189">
      <w:pPr>
        <w:spacing w:line="360" w:lineRule="auto"/>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14:paraId="2EF10583">
      <w:pPr>
        <w:spacing w:line="360" w:lineRule="auto"/>
        <w:rPr>
          <w:rFonts w:hint="eastAsia" w:ascii="宋体" w:hAnsi="宋体" w:cs="宋体"/>
          <w:szCs w:val="21"/>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cs="宋体"/>
          <w:szCs w:val="21"/>
        </w:rPr>
        <w:t>签字</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lang w:eastAsia="zh-CN"/>
        </w:rPr>
        <w:t>（</w:t>
      </w:r>
      <w:r>
        <w:rPr>
          <w:rFonts w:hint="eastAsia" w:ascii="宋体" w:hAnsi="宋体" w:cs="宋体"/>
          <w:szCs w:val="21"/>
        </w:rPr>
        <w:t>签字</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u w:val="single"/>
        </w:rPr>
        <w:t xml:space="preserve">                  </w:t>
      </w:r>
    </w:p>
    <w:p w14:paraId="30DF4425">
      <w:pPr>
        <w:spacing w:line="360" w:lineRule="auto"/>
        <w:rPr>
          <w:rFonts w:hint="eastAsia" w:ascii="宋体" w:hAnsi="宋体" w:cs="宋体"/>
          <w:szCs w:val="21"/>
        </w:rPr>
      </w:pPr>
      <w:r>
        <w:rPr>
          <w:rFonts w:hint="eastAsia" w:ascii="宋体" w:hAnsi="宋体" w:cs="宋体"/>
          <w:szCs w:val="21"/>
        </w:rPr>
        <w:t>委托代理人</w:t>
      </w:r>
      <w:r>
        <w:rPr>
          <w:rFonts w:hint="eastAsia" w:ascii="宋体" w:hAnsi="宋体" w:cs="宋体"/>
          <w:szCs w:val="21"/>
          <w:lang w:eastAsia="zh-CN"/>
        </w:rPr>
        <w:t>（</w:t>
      </w:r>
      <w:r>
        <w:rPr>
          <w:rFonts w:hint="eastAsia" w:ascii="宋体" w:hAnsi="宋体" w:cs="宋体"/>
          <w:szCs w:val="21"/>
        </w:rPr>
        <w:t>签字</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lang w:eastAsia="zh-CN"/>
        </w:rPr>
        <w:t>（</w:t>
      </w:r>
      <w:r>
        <w:rPr>
          <w:rFonts w:hint="eastAsia" w:ascii="宋体" w:hAnsi="宋体" w:cs="宋体"/>
          <w:szCs w:val="21"/>
        </w:rPr>
        <w:t>签字</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u w:val="single"/>
        </w:rPr>
        <w:t xml:space="preserve">                 </w:t>
      </w:r>
    </w:p>
    <w:p w14:paraId="3439B74B">
      <w:pPr>
        <w:spacing w:line="360" w:lineRule="auto"/>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     </w:t>
      </w:r>
    </w:p>
    <w:p w14:paraId="34C91E96">
      <w:pPr>
        <w:spacing w:line="360" w:lineRule="auto"/>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   </w:t>
      </w:r>
    </w:p>
    <w:p w14:paraId="683D3514">
      <w:pPr>
        <w:spacing w:line="360" w:lineRule="auto"/>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   </w:t>
      </w:r>
    </w:p>
    <w:p w14:paraId="4206D10B">
      <w:pPr>
        <w:spacing w:line="360" w:lineRule="auto"/>
        <w:rPr>
          <w:rFonts w:hint="eastAsia"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     </w:t>
      </w:r>
    </w:p>
    <w:p w14:paraId="35D9D8B3">
      <w:pPr>
        <w:spacing w:line="360" w:lineRule="auto"/>
        <w:rPr>
          <w:rFonts w:hint="eastAsia"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     </w:t>
      </w:r>
      <w:r>
        <w:rPr>
          <w:rFonts w:hint="eastAsia" w:ascii="宋体" w:hAnsi="宋体" w:cs="宋体"/>
          <w:szCs w:val="21"/>
        </w:rPr>
        <w:t xml:space="preserve">              邮政编码：</w:t>
      </w:r>
      <w:r>
        <w:rPr>
          <w:rFonts w:hint="eastAsia" w:ascii="宋体" w:hAnsi="宋体" w:cs="宋体"/>
          <w:szCs w:val="21"/>
          <w:u w:val="single"/>
        </w:rPr>
        <w:t xml:space="preserve">         </w:t>
      </w:r>
    </w:p>
    <w:p w14:paraId="3C86D10E">
      <w:pPr>
        <w:rPr>
          <w:rFonts w:hint="eastAsia" w:ascii="宋体" w:hAnsi="宋体" w:cs="宋体"/>
          <w:szCs w:val="21"/>
          <w:u w:val="single"/>
        </w:rPr>
      </w:pPr>
      <w:r>
        <w:rPr>
          <w:rFonts w:hint="eastAsia" w:ascii="宋体" w:hAnsi="宋体" w:cs="宋体"/>
          <w:szCs w:val="21"/>
          <w:u w:val="single"/>
        </w:rPr>
        <w:br w:type="page"/>
      </w:r>
    </w:p>
    <w:p w14:paraId="1D2964F0">
      <w:pPr>
        <w:keepNext/>
        <w:keepLines/>
        <w:spacing w:before="120" w:after="120" w:line="360" w:lineRule="auto"/>
        <w:jc w:val="left"/>
        <w:outlineLvl w:val="2"/>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附件2</w:t>
      </w:r>
    </w:p>
    <w:p w14:paraId="72E1178C">
      <w:pPr>
        <w:widowControl/>
        <w:spacing w:line="360" w:lineRule="auto"/>
        <w:jc w:val="center"/>
        <w:rPr>
          <w:rFonts w:hint="eastAsia" w:ascii="宋体" w:hAnsi="宋体" w:cs="宋体"/>
          <w:b/>
          <w:bCs/>
          <w:color w:val="000000"/>
          <w:kern w:val="0"/>
          <w:sz w:val="32"/>
          <w:szCs w:val="32"/>
        </w:rPr>
      </w:pPr>
      <w:bookmarkStart w:id="879" w:name="_Toc9808"/>
      <w:bookmarkStart w:id="880" w:name="_Toc95223496"/>
      <w:bookmarkStart w:id="881" w:name="_Toc7607"/>
      <w:r>
        <w:rPr>
          <w:rFonts w:hint="eastAsia" w:ascii="宋体" w:hAnsi="宋体" w:cs="宋体"/>
          <w:b/>
          <w:bCs/>
          <w:color w:val="000000"/>
          <w:kern w:val="0"/>
          <w:sz w:val="32"/>
          <w:szCs w:val="32"/>
        </w:rPr>
        <w:t>廉 政 协 议</w:t>
      </w:r>
      <w:bookmarkEnd w:id="879"/>
      <w:bookmarkEnd w:id="880"/>
      <w:bookmarkEnd w:id="881"/>
    </w:p>
    <w:p w14:paraId="1CF43027">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为促进双方诚信经营、廉洁从业，防范商业贿赂，保护国家、集体和当事人的合法权益，根据国家有关法律法规和安徽省、项目所在地廉政建设的规定，</w:t>
      </w:r>
      <w:r>
        <w:rPr>
          <w:rFonts w:hint="eastAsia" w:ascii="宋体" w:hAnsi="宋体" w:cs="宋体"/>
          <w:color w:val="000000"/>
          <w:kern w:val="0"/>
          <w:szCs w:val="21"/>
          <w:u w:val="single"/>
        </w:rPr>
        <w:t xml:space="preserve">                 </w:t>
      </w:r>
      <w:r>
        <w:rPr>
          <w:rFonts w:hint="eastAsia" w:ascii="宋体" w:hAnsi="宋体" w:cs="宋体"/>
          <w:color w:val="000000"/>
          <w:kern w:val="0"/>
          <w:szCs w:val="21"/>
        </w:rPr>
        <w:t>(以下称甲方)与</w:t>
      </w:r>
      <w:r>
        <w:rPr>
          <w:rFonts w:hint="eastAsia" w:ascii="宋体" w:hAnsi="宋体" w:cs="宋体"/>
          <w:color w:val="000000"/>
          <w:kern w:val="0"/>
          <w:szCs w:val="21"/>
          <w:u w:val="single"/>
        </w:rPr>
        <w:t xml:space="preserve">                     </w:t>
      </w:r>
      <w:r>
        <w:rPr>
          <w:rFonts w:hint="eastAsia" w:ascii="宋体" w:hAnsi="宋体" w:cs="宋体"/>
          <w:color w:val="000000"/>
          <w:kern w:val="0"/>
          <w:szCs w:val="21"/>
        </w:rPr>
        <w:t>(以下称乙方)，特此订立本协议共同遵照执行。</w:t>
      </w:r>
    </w:p>
    <w:p w14:paraId="3DF9C1E4">
      <w:pPr>
        <w:widowControl/>
        <w:spacing w:line="360" w:lineRule="auto"/>
        <w:ind w:firstLine="420" w:firstLineChars="200"/>
        <w:jc w:val="left"/>
        <w:rPr>
          <w:rFonts w:hint="eastAsia" w:ascii="宋体" w:hAnsi="宋体" w:cs="宋体"/>
          <w:color w:val="000000"/>
          <w:kern w:val="0"/>
          <w:szCs w:val="21"/>
        </w:rPr>
      </w:pPr>
      <w:bookmarkStart w:id="882" w:name="_Toc95223497"/>
      <w:bookmarkStart w:id="883" w:name="_Toc9888"/>
      <w:bookmarkStart w:id="884" w:name="_Toc21306"/>
      <w:r>
        <w:rPr>
          <w:rFonts w:hint="eastAsia" w:ascii="宋体" w:hAnsi="宋体" w:cs="宋体"/>
          <w:color w:val="000000"/>
          <w:kern w:val="0"/>
          <w:szCs w:val="21"/>
        </w:rPr>
        <w:t>第一条 甲乙双方的权利和义务</w:t>
      </w:r>
      <w:bookmarkEnd w:id="882"/>
      <w:bookmarkEnd w:id="883"/>
      <w:bookmarkEnd w:id="884"/>
    </w:p>
    <w:p w14:paraId="04E5C15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2A0D6B7C">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（二）严格执行</w:t>
      </w:r>
      <w:r>
        <w:rPr>
          <w:rFonts w:hint="eastAsia" w:ascii="宋体" w:hAnsi="宋体" w:cs="宋体"/>
          <w:color w:val="000000"/>
          <w:kern w:val="0"/>
          <w:szCs w:val="21"/>
          <w:u w:val="single"/>
        </w:rPr>
        <w:t xml:space="preserve">                                </w:t>
      </w:r>
      <w:r>
        <w:rPr>
          <w:rFonts w:hint="eastAsia" w:ascii="宋体" w:hAnsi="宋体" w:cs="宋体"/>
          <w:color w:val="000000"/>
          <w:kern w:val="0"/>
          <w:szCs w:val="21"/>
        </w:rPr>
        <w:t>的合同要求，自觉履行合同约定的相关义务。</w:t>
      </w:r>
    </w:p>
    <w:p w14:paraId="7D167949">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（三）在业务活动中坚持公开、公正、诚信、透明的原则，不得损害国家、集体利益。</w:t>
      </w:r>
    </w:p>
    <w:p w14:paraId="54153F49">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（四）建立健全廉政制度，开展廉政教育，公布举报电话，监督并认真查处违法违纪行为。</w:t>
      </w:r>
    </w:p>
    <w:p w14:paraId="36C5AE5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（五）发现对方在业务活动中有违反廉政规定的行为，应及时提醒对方纠正。情节严重的，应向其上级有关部门举报、建议给予处理，并有权要求告知处理结果。</w:t>
      </w:r>
    </w:p>
    <w:p w14:paraId="232BC116">
      <w:pPr>
        <w:widowControl/>
        <w:spacing w:line="360" w:lineRule="auto"/>
        <w:ind w:firstLine="420" w:firstLineChars="200"/>
        <w:jc w:val="left"/>
        <w:rPr>
          <w:rFonts w:hint="eastAsia" w:ascii="宋体" w:hAnsi="宋体" w:cs="宋体"/>
          <w:color w:val="000000"/>
          <w:kern w:val="0"/>
          <w:szCs w:val="21"/>
        </w:rPr>
      </w:pPr>
      <w:bookmarkStart w:id="885" w:name="_Toc95223498"/>
      <w:bookmarkStart w:id="886" w:name="_Toc1917"/>
      <w:bookmarkStart w:id="887" w:name="_Toc3866"/>
      <w:r>
        <w:rPr>
          <w:rFonts w:hint="eastAsia" w:ascii="宋体" w:hAnsi="宋体" w:cs="宋体"/>
          <w:color w:val="000000"/>
          <w:kern w:val="0"/>
          <w:szCs w:val="21"/>
        </w:rPr>
        <w:t>第二条 甲方的义务</w:t>
      </w:r>
      <w:bookmarkEnd w:id="885"/>
      <w:bookmarkEnd w:id="886"/>
      <w:bookmarkEnd w:id="887"/>
    </w:p>
    <w:p w14:paraId="6BFE6226">
      <w:pPr>
        <w:widowControl/>
        <w:spacing w:line="360" w:lineRule="auto"/>
        <w:ind w:firstLine="525" w:firstLineChars="250"/>
        <w:jc w:val="left"/>
        <w:rPr>
          <w:rFonts w:hint="eastAsia" w:ascii="宋体" w:hAnsi="宋体" w:cs="宋体"/>
          <w:color w:val="000000"/>
          <w:kern w:val="0"/>
          <w:szCs w:val="21"/>
        </w:rPr>
      </w:pPr>
      <w:r>
        <w:rPr>
          <w:rFonts w:hint="eastAsia" w:ascii="宋体" w:hAnsi="宋体" w:cs="宋体"/>
          <w:color w:val="000000"/>
          <w:kern w:val="0"/>
          <w:szCs w:val="21"/>
        </w:rPr>
        <w:t>(一)甲方及其工作人员不得索要或接受乙方的礼金、有价证券和贵重物品，不得在乙方报销任何应由甲方单位或个人支付的费用等。</w:t>
      </w:r>
    </w:p>
    <w:p w14:paraId="7EF959FD">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058F77E">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（三） 甲方及其工作人员不得要求或者接受乙方为其住房装修、婚丧嫁娶活动、配偶子女工作安排以及出国出境、旅游等提供方便等。</w:t>
      </w:r>
    </w:p>
    <w:p w14:paraId="58D1C752">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（四） 甲方工作人员不得在乙方有股权关联的企业兼职，不得向乙方介绍家属或者亲友从事与甲方业务有关的经济活动。</w:t>
      </w:r>
    </w:p>
    <w:p w14:paraId="3A78AD46">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（五）甲方工作人员不得以明显低于市场的价格向乙方购买房屋、汽车等物品；不得以明显高于市场的价格向乙方出售房屋、汽车等物品；不得以其他交易形式非法收受请托人财物。</w:t>
      </w:r>
    </w:p>
    <w:p w14:paraId="701E27F3">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（六）甲方工作人员不得利用职务之便收受乙方以回扣、手续费、加班费、咨询费、劳务费、协调费、辛苦费等各种名义给予或赠送的钱物。</w:t>
      </w:r>
    </w:p>
    <w:p w14:paraId="1D7B88E8">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（七）甲方工作人员不得接受乙方给予或赠送的干股或红利。</w:t>
      </w:r>
    </w:p>
    <w:p w14:paraId="70CDADAE">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（八）甲方任何人不得以个人的名义向乙方推荐设备、部件等供货商以及其他合作单位。</w:t>
      </w:r>
    </w:p>
    <w:p w14:paraId="6A877D54">
      <w:pPr>
        <w:widowControl/>
        <w:spacing w:line="360" w:lineRule="auto"/>
        <w:ind w:firstLine="420" w:firstLineChars="200"/>
        <w:jc w:val="left"/>
        <w:rPr>
          <w:rFonts w:hint="eastAsia" w:ascii="宋体" w:hAnsi="宋体" w:cs="宋体"/>
          <w:color w:val="000000"/>
          <w:kern w:val="0"/>
          <w:szCs w:val="21"/>
        </w:rPr>
      </w:pPr>
      <w:bookmarkStart w:id="888" w:name="_Toc95223499"/>
      <w:bookmarkStart w:id="889" w:name="_Toc20831"/>
      <w:bookmarkStart w:id="890" w:name="_Toc10556"/>
      <w:r>
        <w:rPr>
          <w:rFonts w:hint="eastAsia" w:ascii="宋体" w:hAnsi="宋体" w:cs="宋体"/>
          <w:color w:val="000000"/>
          <w:kern w:val="0"/>
          <w:szCs w:val="21"/>
        </w:rPr>
        <w:t>第三条 乙方的义务</w:t>
      </w:r>
      <w:bookmarkEnd w:id="888"/>
      <w:bookmarkEnd w:id="889"/>
      <w:bookmarkEnd w:id="890"/>
    </w:p>
    <w:p w14:paraId="50A8B1C6">
      <w:pPr>
        <w:widowControl/>
        <w:spacing w:line="360" w:lineRule="auto"/>
        <w:ind w:firstLine="525" w:firstLineChars="250"/>
        <w:jc w:val="left"/>
        <w:rPr>
          <w:rFonts w:hint="eastAsia" w:ascii="宋体" w:hAnsi="宋体" w:cs="宋体"/>
          <w:color w:val="000000"/>
          <w:kern w:val="0"/>
          <w:szCs w:val="21"/>
        </w:rPr>
      </w:pPr>
      <w:r>
        <w:rPr>
          <w:rFonts w:hint="eastAsia" w:ascii="宋体" w:hAnsi="宋体" w:cs="宋体"/>
          <w:color w:val="000000"/>
          <w:kern w:val="0"/>
          <w:szCs w:val="21"/>
        </w:rPr>
        <w:t>(一)乙方不得以任何理由向甲方及其工作人员行贿或馈赠礼金、有价证券、贵重礼品。</w:t>
      </w:r>
    </w:p>
    <w:p w14:paraId="7DE1CAFA">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（二)乙方不得以任何名义为甲方及其工作人员报销应由甲方单位或个人支付的任何费用。</w:t>
      </w:r>
    </w:p>
    <w:p w14:paraId="09AA2B5A">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(三)乙方不得以任何理由安排甲方工作人员参加可能影响相关业务公开、公正、公平性的宴请及娱乐活动。</w:t>
      </w:r>
    </w:p>
    <w:p w14:paraId="420EE2A1">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（四）乙方不得为甲方单位和个人购置或提供通讯工具和高档办公用品等物品，也不得为甲方提供与工作无关的房屋、汽车等。</w:t>
      </w:r>
    </w:p>
    <w:p w14:paraId="63022559">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（五）乙方不得与甲方工作人员就合同中的质量、数量、价格、工程量、验收等条款进行私下商谈或者达成默契。</w:t>
      </w:r>
    </w:p>
    <w:p w14:paraId="3234258B">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（六）乙方不得以回扣、手续费、加班费、咨询费、劳务费、协调费、辛苦费等各种名义向甲方工作人员给予或赠送钱物。</w:t>
      </w:r>
    </w:p>
    <w:p w14:paraId="4D977A9D">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（七）乙方不得向甲方工作人员提供干股或红利。</w:t>
      </w:r>
    </w:p>
    <w:p w14:paraId="119AFC5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（八）乙方须按</w:t>
      </w:r>
      <w:r>
        <w:rPr>
          <w:rFonts w:hint="eastAsia" w:ascii="宋体" w:hAnsi="宋体" w:cs="宋体"/>
          <w:color w:val="000000"/>
          <w:kern w:val="0"/>
          <w:szCs w:val="21"/>
          <w:u w:val="single"/>
        </w:rPr>
        <w:t xml:space="preserve">         </w:t>
      </w:r>
      <w:r>
        <w:rPr>
          <w:rFonts w:hint="eastAsia" w:ascii="宋体" w:hAnsi="宋体" w:cs="宋体"/>
          <w:color w:val="000000"/>
          <w:kern w:val="0"/>
          <w:szCs w:val="21"/>
        </w:rPr>
        <w:t>专项纪检监察工作组(如有)要求开展相关工作。</w:t>
      </w:r>
    </w:p>
    <w:p w14:paraId="6F37DBAD">
      <w:pPr>
        <w:widowControl/>
        <w:spacing w:line="360" w:lineRule="auto"/>
        <w:ind w:firstLine="420" w:firstLineChars="200"/>
        <w:jc w:val="left"/>
        <w:rPr>
          <w:rFonts w:hint="eastAsia" w:ascii="宋体" w:hAnsi="宋体" w:cs="宋体"/>
          <w:color w:val="000000"/>
          <w:kern w:val="0"/>
          <w:szCs w:val="21"/>
        </w:rPr>
      </w:pPr>
      <w:bookmarkStart w:id="891" w:name="_Toc14507"/>
      <w:bookmarkStart w:id="892" w:name="_Toc2198"/>
      <w:bookmarkStart w:id="893" w:name="_Toc95223500"/>
      <w:r>
        <w:rPr>
          <w:rFonts w:hint="eastAsia" w:ascii="宋体" w:hAnsi="宋体" w:cs="宋体"/>
          <w:color w:val="000000"/>
          <w:kern w:val="0"/>
          <w:szCs w:val="21"/>
        </w:rPr>
        <w:t>第四条 违约责任</w:t>
      </w:r>
      <w:bookmarkEnd w:id="891"/>
      <w:bookmarkEnd w:id="892"/>
      <w:bookmarkEnd w:id="893"/>
    </w:p>
    <w:p w14:paraId="6B924D8B">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54D91D8">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甲方投诉联系部门：</w:t>
      </w:r>
      <w:r>
        <w:rPr>
          <w:rFonts w:hint="eastAsia" w:ascii="宋体" w:hAnsi="宋体" w:cs="宋体"/>
          <w:color w:val="000000"/>
          <w:kern w:val="0"/>
          <w:szCs w:val="21"/>
          <w:u w:val="single"/>
        </w:rPr>
        <w:t xml:space="preserve">           </w:t>
      </w:r>
      <w:r>
        <w:rPr>
          <w:rFonts w:hint="eastAsia" w:ascii="宋体" w:hAnsi="宋体" w:cs="宋体"/>
          <w:color w:val="000000"/>
          <w:kern w:val="0"/>
          <w:szCs w:val="21"/>
        </w:rPr>
        <w:t>，联系电话：</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200FD89D">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（二）乙方及其工作人员违反本协议第一、三条规定。根据具体情节和造成的后果，甲方有权对乙方采取以下一种或多种处理办法：</w:t>
      </w:r>
    </w:p>
    <w:p w14:paraId="751887E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1. 全额收取乙方合同履约保证金不予退还； </w:t>
      </w:r>
    </w:p>
    <w:p w14:paraId="4BA8D6B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 追究乙方其他违约责任；</w:t>
      </w:r>
    </w:p>
    <w:p w14:paraId="30A5CCBB">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 终止或解除双方已签订的包括本合同在内的所有合同；</w:t>
      </w:r>
    </w:p>
    <w:p w14:paraId="5440622F">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 乙方一定期限内（6个月至3年，具体由甲方根据情况而定）不得参与甲方作为发包人（业主）的工程项目投标。</w:t>
      </w:r>
    </w:p>
    <w:p w14:paraId="04D2637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甲方作出的处理意见，乙方应无条件接受并承担给甲方造成的损失，全额返还通过不正当手段从甲方获取的非法所得，并承担相应的法律责任。</w:t>
      </w:r>
    </w:p>
    <w:p w14:paraId="79AC8492">
      <w:pPr>
        <w:widowControl/>
        <w:spacing w:line="360" w:lineRule="auto"/>
        <w:ind w:firstLine="420" w:firstLineChars="200"/>
        <w:jc w:val="left"/>
        <w:rPr>
          <w:rFonts w:hint="eastAsia" w:ascii="宋体" w:hAnsi="宋体" w:cs="宋体"/>
          <w:color w:val="000000"/>
          <w:kern w:val="0"/>
          <w:szCs w:val="21"/>
        </w:rPr>
      </w:pPr>
      <w:bookmarkStart w:id="894" w:name="_Toc10228"/>
      <w:bookmarkStart w:id="895" w:name="_Toc95223501"/>
      <w:bookmarkStart w:id="896" w:name="_Toc2334"/>
      <w:r>
        <w:rPr>
          <w:rFonts w:hint="eastAsia" w:ascii="宋体" w:hAnsi="宋体" w:cs="宋体"/>
          <w:color w:val="000000"/>
          <w:kern w:val="0"/>
          <w:szCs w:val="21"/>
        </w:rPr>
        <w:t>第五条 双方约定</w:t>
      </w:r>
      <w:bookmarkEnd w:id="894"/>
      <w:bookmarkEnd w:id="895"/>
      <w:bookmarkEnd w:id="896"/>
    </w:p>
    <w:p w14:paraId="3FE168F8">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4CF60E17">
      <w:pPr>
        <w:widowControl/>
        <w:spacing w:line="360" w:lineRule="auto"/>
        <w:ind w:firstLine="420" w:firstLineChars="200"/>
        <w:jc w:val="left"/>
        <w:rPr>
          <w:rFonts w:hint="eastAsia" w:ascii="宋体" w:hAnsi="宋体" w:cs="宋体"/>
          <w:color w:val="000000"/>
          <w:kern w:val="0"/>
          <w:szCs w:val="21"/>
        </w:rPr>
      </w:pPr>
      <w:bookmarkStart w:id="897" w:name="_Toc95223502"/>
      <w:bookmarkStart w:id="898" w:name="_Toc32140"/>
      <w:bookmarkStart w:id="899" w:name="_Toc17717"/>
      <w:r>
        <w:rPr>
          <w:rFonts w:hint="eastAsia" w:ascii="宋体" w:hAnsi="宋体" w:cs="宋体"/>
          <w:color w:val="000000"/>
          <w:kern w:val="0"/>
          <w:szCs w:val="21"/>
        </w:rPr>
        <w:t>第六条  本协议有效期为甲乙双方签署之日起至合同终止。</w:t>
      </w:r>
      <w:bookmarkEnd w:id="897"/>
      <w:bookmarkEnd w:id="898"/>
      <w:bookmarkEnd w:id="899"/>
      <w:r>
        <w:rPr>
          <w:rFonts w:hint="eastAsia" w:ascii="宋体" w:hAnsi="宋体" w:cs="宋体"/>
          <w:color w:val="000000"/>
          <w:kern w:val="0"/>
          <w:szCs w:val="21"/>
        </w:rPr>
        <w:t xml:space="preserve">  </w:t>
      </w:r>
    </w:p>
    <w:p w14:paraId="2650DAD5">
      <w:pPr>
        <w:widowControl/>
        <w:spacing w:line="360" w:lineRule="auto"/>
        <w:ind w:firstLine="420" w:firstLineChars="200"/>
        <w:jc w:val="left"/>
        <w:rPr>
          <w:rFonts w:hint="eastAsia" w:ascii="宋体" w:hAnsi="宋体" w:cs="宋体"/>
          <w:color w:val="000000"/>
          <w:kern w:val="0"/>
          <w:szCs w:val="21"/>
        </w:rPr>
      </w:pPr>
      <w:bookmarkStart w:id="900" w:name="_Toc95223503"/>
      <w:bookmarkStart w:id="901" w:name="_Toc24032"/>
      <w:bookmarkStart w:id="902" w:name="_Toc1871"/>
      <w:r>
        <w:rPr>
          <w:rFonts w:hint="eastAsia" w:ascii="宋体" w:hAnsi="宋体" w:cs="宋体"/>
          <w:color w:val="000000"/>
          <w:kern w:val="0"/>
          <w:szCs w:val="21"/>
        </w:rPr>
        <w:t>第七条  本协议作为合同的附件，与本合同具有同等法律效力。</w:t>
      </w:r>
      <w:bookmarkEnd w:id="900"/>
      <w:bookmarkEnd w:id="901"/>
      <w:bookmarkEnd w:id="902"/>
    </w:p>
    <w:p w14:paraId="5816D55E">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 </w:t>
      </w:r>
    </w:p>
    <w:p w14:paraId="27C3067C">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甲方（盖章）：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乙方（盖章）：</w:t>
      </w:r>
      <w:r>
        <w:rPr>
          <w:rFonts w:hint="eastAsia" w:ascii="宋体" w:hAnsi="宋体" w:cs="宋体"/>
          <w:color w:val="000000"/>
          <w:kern w:val="0"/>
          <w:szCs w:val="21"/>
          <w:u w:val="single"/>
        </w:rPr>
        <w:t xml:space="preserve">                      </w:t>
      </w:r>
    </w:p>
    <w:p w14:paraId="01F0A776">
      <w:pPr>
        <w:widowControl/>
        <w:spacing w:line="360" w:lineRule="auto"/>
        <w:ind w:firstLine="420" w:firstLineChars="200"/>
        <w:jc w:val="left"/>
        <w:rPr>
          <w:rFonts w:hint="eastAsia" w:ascii="宋体" w:hAnsi="宋体" w:cs="宋体"/>
          <w:color w:val="000000"/>
          <w:kern w:val="0"/>
          <w:szCs w:val="21"/>
        </w:rPr>
      </w:pPr>
    </w:p>
    <w:p w14:paraId="3D7228EC">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法定代表人或                                法定代表人或</w:t>
      </w:r>
    </w:p>
    <w:p w14:paraId="144C5747">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授权代表：</w:t>
      </w:r>
      <w:r>
        <w:rPr>
          <w:rFonts w:hint="eastAsia" w:ascii="宋体" w:hAnsi="宋体" w:cs="宋体"/>
          <w:color w:val="000000"/>
          <w:kern w:val="0"/>
          <w:szCs w:val="21"/>
          <w:u w:val="single"/>
        </w:rPr>
        <w:t xml:space="preserve">              </w:t>
      </w:r>
      <w:r>
        <w:rPr>
          <w:rFonts w:hint="eastAsia" w:ascii="宋体" w:hAnsi="宋体" w:cs="宋体"/>
          <w:color w:val="000000"/>
          <w:kern w:val="0"/>
          <w:szCs w:val="21"/>
        </w:rPr>
        <w:t>(职务)              授权代表：</w:t>
      </w:r>
      <w:r>
        <w:rPr>
          <w:rFonts w:hint="eastAsia" w:ascii="宋体" w:hAnsi="宋体" w:cs="宋体"/>
          <w:color w:val="000000"/>
          <w:kern w:val="0"/>
          <w:szCs w:val="21"/>
          <w:u w:val="single"/>
        </w:rPr>
        <w:t xml:space="preserve">             </w:t>
      </w:r>
      <w:r>
        <w:rPr>
          <w:rFonts w:hint="eastAsia" w:ascii="宋体" w:hAnsi="宋体" w:cs="宋体"/>
          <w:color w:val="000000"/>
          <w:kern w:val="0"/>
          <w:szCs w:val="21"/>
        </w:rPr>
        <w:t>(职务)</w:t>
      </w:r>
    </w:p>
    <w:p w14:paraId="5C7F65E8">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姓名：</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姓名：</w:t>
      </w:r>
      <w:r>
        <w:rPr>
          <w:rFonts w:hint="eastAsia" w:ascii="宋体" w:hAnsi="宋体" w:cs="宋体"/>
          <w:color w:val="000000"/>
          <w:kern w:val="0"/>
          <w:szCs w:val="21"/>
          <w:u w:val="single"/>
        </w:rPr>
        <w:t xml:space="preserve">             </w:t>
      </w:r>
    </w:p>
    <w:p w14:paraId="6E8DD63D">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签字：</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签字：</w:t>
      </w:r>
      <w:r>
        <w:rPr>
          <w:rFonts w:hint="eastAsia" w:ascii="宋体" w:hAnsi="宋体" w:cs="宋体"/>
          <w:color w:val="000000"/>
          <w:kern w:val="0"/>
          <w:szCs w:val="21"/>
          <w:u w:val="single"/>
        </w:rPr>
        <w:t xml:space="preserve">             </w:t>
      </w:r>
    </w:p>
    <w:p w14:paraId="3355D58A">
      <w:pPr>
        <w:widowControl/>
        <w:spacing w:line="360" w:lineRule="auto"/>
        <w:ind w:firstLine="420" w:firstLineChars="200"/>
        <w:jc w:val="left"/>
        <w:rPr>
          <w:rFonts w:hint="eastAsia" w:ascii="宋体" w:hAnsi="宋体" w:cs="宋体"/>
          <w:color w:val="000000"/>
          <w:kern w:val="0"/>
          <w:szCs w:val="21"/>
        </w:rPr>
      </w:pPr>
    </w:p>
    <w:p w14:paraId="6DF7D46C">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廉政监督联系人                              廉政监督联系人</w:t>
      </w:r>
    </w:p>
    <w:p w14:paraId="32B3B36C">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姓名：</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姓名：</w:t>
      </w:r>
      <w:r>
        <w:rPr>
          <w:rFonts w:hint="eastAsia" w:ascii="宋体" w:hAnsi="宋体" w:cs="宋体"/>
          <w:color w:val="000000"/>
          <w:kern w:val="0"/>
          <w:szCs w:val="21"/>
          <w:u w:val="single"/>
        </w:rPr>
        <w:t xml:space="preserve">                       </w:t>
      </w:r>
    </w:p>
    <w:p w14:paraId="7DDED25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签字：</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签字：</w:t>
      </w:r>
      <w:r>
        <w:rPr>
          <w:rFonts w:hint="eastAsia" w:ascii="宋体" w:hAnsi="宋体" w:cs="宋体"/>
          <w:color w:val="000000"/>
          <w:kern w:val="0"/>
          <w:szCs w:val="21"/>
          <w:u w:val="single"/>
        </w:rPr>
        <w:t xml:space="preserve">                       </w:t>
      </w:r>
    </w:p>
    <w:p w14:paraId="33108BE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电话：</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电话：</w:t>
      </w:r>
      <w:r>
        <w:rPr>
          <w:rFonts w:hint="eastAsia" w:ascii="宋体" w:hAnsi="宋体" w:cs="宋体"/>
          <w:color w:val="000000"/>
          <w:kern w:val="0"/>
          <w:szCs w:val="21"/>
          <w:u w:val="single"/>
        </w:rPr>
        <w:t xml:space="preserve">                       </w:t>
      </w:r>
    </w:p>
    <w:p w14:paraId="713EF8F1">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地址：</w:t>
      </w:r>
      <w:r>
        <w:rPr>
          <w:rFonts w:hint="eastAsia" w:ascii="宋体" w:hAnsi="宋体" w:cs="宋体"/>
          <w:color w:val="000000"/>
          <w:kern w:val="0"/>
          <w:szCs w:val="21"/>
          <w:u w:val="single"/>
        </w:rPr>
        <w:t xml:space="preserve">                       </w:t>
      </w:r>
    </w:p>
    <w:p w14:paraId="2C722779">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日期：</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日期：</w:t>
      </w:r>
      <w:r>
        <w:rPr>
          <w:rFonts w:hint="eastAsia" w:ascii="宋体" w:hAnsi="宋体" w:cs="宋体"/>
          <w:color w:val="000000"/>
          <w:kern w:val="0"/>
          <w:szCs w:val="21"/>
          <w:u w:val="single"/>
        </w:rPr>
        <w:t xml:space="preserve">                       </w:t>
      </w:r>
    </w:p>
    <w:p w14:paraId="79153133">
      <w:pPr>
        <w:pStyle w:val="2"/>
        <w:rPr>
          <w:rFonts w:hint="default"/>
          <w:lang w:val="en-US" w:eastAsia="zh-CN"/>
        </w:rPr>
      </w:pPr>
    </w:p>
    <w:p w14:paraId="1C990BD6">
      <w:pPr>
        <w:spacing w:line="440" w:lineRule="exact"/>
        <w:ind w:firstLine="420" w:firstLineChars="200"/>
      </w:pPr>
    </w:p>
    <w:p w14:paraId="77449296">
      <w:pPr>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br w:type="page"/>
      </w:r>
    </w:p>
    <w:p w14:paraId="08A11361">
      <w:pPr>
        <w:keepNext/>
        <w:keepLines/>
        <w:spacing w:before="120" w:after="120" w:line="360" w:lineRule="auto"/>
        <w:jc w:val="left"/>
        <w:outlineLvl w:val="2"/>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附件3</w:t>
      </w:r>
    </w:p>
    <w:p w14:paraId="24590F35">
      <w:pPr>
        <w:pStyle w:val="2"/>
        <w:rPr>
          <w:rFonts w:hint="eastAsia"/>
        </w:rPr>
      </w:pPr>
    </w:p>
    <w:p w14:paraId="2EB88414">
      <w:pPr>
        <w:adjustRightInd w:val="0"/>
        <w:snapToGrid w:val="0"/>
        <w:spacing w:line="360" w:lineRule="auto"/>
        <w:jc w:val="center"/>
        <w:rPr>
          <w:rFonts w:hint="eastAsia" w:ascii="宋体" w:hAnsi="宋体" w:cs="宋体"/>
          <w:b/>
          <w:color w:val="000000"/>
          <w:sz w:val="32"/>
          <w:szCs w:val="32"/>
        </w:rPr>
      </w:pPr>
      <w:bookmarkStart w:id="903" w:name="_Toc32439"/>
      <w:bookmarkStart w:id="904" w:name="_Toc16956"/>
      <w:bookmarkStart w:id="905" w:name="_Toc95223512"/>
      <w:r>
        <w:rPr>
          <w:rFonts w:hint="eastAsia" w:ascii="宋体" w:hAnsi="宋体" w:cs="宋体"/>
          <w:b/>
          <w:color w:val="000000"/>
          <w:sz w:val="32"/>
          <w:szCs w:val="32"/>
        </w:rPr>
        <w:t>安全生产合同</w:t>
      </w:r>
      <w:bookmarkEnd w:id="903"/>
      <w:bookmarkEnd w:id="904"/>
      <w:bookmarkEnd w:id="905"/>
    </w:p>
    <w:p w14:paraId="0935EC5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为在</w:t>
      </w:r>
      <w:r>
        <w:rPr>
          <w:rFonts w:hint="eastAsia" w:ascii="宋体" w:hAnsi="宋体" w:cs="宋体"/>
          <w:color w:val="000000"/>
          <w:szCs w:val="21"/>
          <w:u w:val="single"/>
        </w:rPr>
        <w:t xml:space="preserve">            </w:t>
      </w: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（标段）施工合同的实施过程中创造安全、高效的施工环境，切实搞好本项目的安全管理工作，本项目发包人</w:t>
      </w:r>
      <w:r>
        <w:rPr>
          <w:rFonts w:hint="eastAsia" w:ascii="宋体" w:hAnsi="宋体" w:cs="宋体"/>
          <w:color w:val="000000"/>
          <w:szCs w:val="21"/>
          <w:u w:val="single"/>
        </w:rPr>
        <w:t xml:space="preserve">       </w:t>
      </w:r>
      <w:r>
        <w:rPr>
          <w:rFonts w:hint="eastAsia" w:ascii="宋体" w:hAnsi="宋体" w:cs="宋体"/>
          <w:color w:val="000000"/>
          <w:szCs w:val="21"/>
        </w:rPr>
        <w:t>（发包人名称，以下简称“发包人”）与承包人</w:t>
      </w:r>
      <w:r>
        <w:rPr>
          <w:rFonts w:hint="eastAsia" w:ascii="宋体" w:hAnsi="宋体" w:cs="宋体"/>
          <w:color w:val="000000"/>
          <w:szCs w:val="21"/>
          <w:u w:val="single"/>
        </w:rPr>
        <w:t xml:space="preserve">         </w:t>
      </w:r>
      <w:r>
        <w:rPr>
          <w:rFonts w:hint="eastAsia" w:ascii="宋体" w:hAnsi="宋体" w:cs="宋体"/>
          <w:color w:val="000000"/>
          <w:szCs w:val="21"/>
        </w:rPr>
        <w:t>（承包人名称，以下简称“承包人”）特此签订安全生产合同：</w:t>
      </w:r>
    </w:p>
    <w:p w14:paraId="645B1C5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1.发包人职责</w:t>
      </w:r>
    </w:p>
    <w:p w14:paraId="0155532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（1）严格遵守国家有关安全生产的法律法规，认真执行工程承包合同中的有关安全要求。</w:t>
      </w:r>
    </w:p>
    <w:p w14:paraId="197F9A7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（2）按照“安全第一、预防为主”和坚持“管生产必须管安全”的原则进行安全生产管理，做到生产与安全工作同时计划、布置、检查、总结和评比。</w:t>
      </w:r>
    </w:p>
    <w:p w14:paraId="3A5647C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（3）重要的安全设施必须坚持与主体工程“三同时”的原则，即：同时设计、审批，同时施工，同时验收，投入使用。</w:t>
      </w:r>
    </w:p>
    <w:p w14:paraId="31922DF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（4）定期召开安全生产调度会，及时传达中央及地方有关安全生产的精神。</w:t>
      </w:r>
    </w:p>
    <w:p w14:paraId="751DAF3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（5）组织对承包人施工现场安全生产检查，监督承包人及时处理发现的各种安全隐患。</w:t>
      </w:r>
    </w:p>
    <w:p w14:paraId="690FFAF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2.承包人职责</w:t>
      </w:r>
    </w:p>
    <w:p w14:paraId="55E6EC2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4B0632E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59AC2F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37B4EE2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（4）承包人在任何时候都应采取各种合理的预防措施，防止其员工发生任何违法、违禁、暴力或妨碍治安的行为。</w:t>
      </w:r>
    </w:p>
    <w:p w14:paraId="7E10E31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AA4D4D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44F7A7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（7）操作人员上岗，必须按规定穿戴防护用品。施工负责人和安全检查员应随时检查劳动防护用品的穿戴情况，不按规定穿戴防护用品的人员不得上岗。</w:t>
      </w:r>
    </w:p>
    <w:p w14:paraId="33E7A18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（8）所有施工机具设备和高空作业的设备均应定期检查，并有安全员的签字记录，保证其经常处于完好状态；不合格的机具、设备和劳动保护用品严禁使用：</w:t>
      </w:r>
    </w:p>
    <w:p w14:paraId="3AF18C1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（9）施工中采用新技术、新工艺、新设备、新材料时，必须制定相应的安全技术措施，施工现场必须具有相关的安全标志牌。</w:t>
      </w:r>
    </w:p>
    <w:p w14:paraId="3433C99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708AB1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（11）安全生产费用按照《建设工程安全生产管理条例》的相关规定使用和管理。</w:t>
      </w:r>
    </w:p>
    <w:p w14:paraId="088D773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3.违约责任</w:t>
      </w:r>
    </w:p>
    <w:p w14:paraId="3E794C3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如因发包人或承包人违约造成安全事故，将依法追究责任。</w:t>
      </w:r>
    </w:p>
    <w:p w14:paraId="7ED02E4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4.本合同由双方法定代表人或其授权的代理人签署并加盖单位章后生效，全部工程竣工验收后失效。</w:t>
      </w:r>
    </w:p>
    <w:p w14:paraId="23B5D1F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5.本合同正本—式</w:t>
      </w:r>
      <w:r>
        <w:rPr>
          <w:rFonts w:hint="eastAsia" w:ascii="宋体" w:hAnsi="宋体" w:cs="宋体"/>
          <w:color w:val="000000"/>
          <w:szCs w:val="21"/>
          <w:u w:val="single"/>
        </w:rPr>
        <w:t xml:space="preserve">   </w:t>
      </w:r>
      <w:r>
        <w:rPr>
          <w:rFonts w:hint="eastAsia" w:ascii="宋体" w:hAnsi="宋体" w:cs="宋体"/>
          <w:color w:val="000000"/>
          <w:szCs w:val="21"/>
        </w:rPr>
        <w:t>份，副本</w:t>
      </w:r>
      <w:r>
        <w:rPr>
          <w:rFonts w:hint="eastAsia" w:ascii="宋体" w:hAnsi="宋体" w:cs="宋体"/>
          <w:color w:val="000000"/>
          <w:szCs w:val="21"/>
          <w:u w:val="single"/>
        </w:rPr>
        <w:t xml:space="preserve">  </w:t>
      </w:r>
      <w:r>
        <w:rPr>
          <w:rFonts w:hint="eastAsia" w:ascii="宋体" w:hAnsi="宋体" w:cs="宋体"/>
          <w:color w:val="000000"/>
          <w:szCs w:val="21"/>
        </w:rPr>
        <w:t>份，合同双方各执正本—份，副本</w:t>
      </w:r>
      <w:r>
        <w:rPr>
          <w:rFonts w:hint="eastAsia" w:ascii="宋体" w:hAnsi="宋体" w:cs="宋体"/>
          <w:color w:val="000000"/>
          <w:szCs w:val="21"/>
          <w:u w:val="single"/>
        </w:rPr>
        <w:t xml:space="preserve">  </w:t>
      </w:r>
      <w:r>
        <w:rPr>
          <w:rFonts w:hint="eastAsia" w:ascii="宋体" w:hAnsi="宋体" w:cs="宋体"/>
          <w:color w:val="000000"/>
          <w:szCs w:val="21"/>
        </w:rPr>
        <w:t>份，当正本与副本的内容不一致时，以正本为准。</w:t>
      </w:r>
    </w:p>
    <w:p w14:paraId="5A45E569">
      <w:pPr>
        <w:spacing w:line="360" w:lineRule="auto"/>
        <w:rPr>
          <w:rFonts w:hint="eastAsia" w:ascii="宋体" w:hAnsi="宋体" w:cs="宋体"/>
          <w:color w:val="000000"/>
          <w:szCs w:val="21"/>
        </w:rPr>
      </w:pPr>
      <w:bookmarkStart w:id="906" w:name="_Toc95223513"/>
      <w:r>
        <w:rPr>
          <w:rFonts w:hint="eastAsia" w:ascii="宋体" w:hAnsi="宋体" w:cs="宋体"/>
          <w:color w:val="000000"/>
          <w:szCs w:val="21"/>
        </w:rPr>
        <w:t>发包人：</w:t>
      </w:r>
      <w:r>
        <w:rPr>
          <w:rFonts w:hint="eastAsia" w:ascii="宋体" w:hAnsi="宋体" w:cs="宋体"/>
          <w:color w:val="000000"/>
          <w:szCs w:val="21"/>
          <w:u w:val="single"/>
        </w:rPr>
        <w:t xml:space="preserve">                </w:t>
      </w:r>
      <w:r>
        <w:rPr>
          <w:rFonts w:hint="eastAsia" w:ascii="宋体" w:hAnsi="宋体" w:cs="宋体"/>
          <w:color w:val="000000"/>
          <w:szCs w:val="21"/>
        </w:rPr>
        <w:t>（盖单位章）           承包人：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0623CE4C">
      <w:pPr>
        <w:spacing w:line="360" w:lineRule="auto"/>
        <w:rPr>
          <w:rFonts w:hint="eastAsia" w:ascii="宋体" w:hAnsi="宋体" w:cs="宋体"/>
          <w:color w:val="000000"/>
          <w:szCs w:val="21"/>
        </w:rPr>
      </w:pPr>
    </w:p>
    <w:p w14:paraId="4B7C45CA">
      <w:pPr>
        <w:spacing w:line="360" w:lineRule="auto"/>
        <w:rPr>
          <w:rFonts w:hint="eastAsia"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           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14:paraId="0B425427">
      <w:pPr>
        <w:spacing w:line="360" w:lineRule="auto"/>
        <w:rPr>
          <w:rFonts w:hint="eastAsia" w:ascii="宋体" w:hAnsi="宋体" w:cs="宋体"/>
          <w:color w:val="000000"/>
          <w:szCs w:val="21"/>
        </w:rPr>
      </w:pPr>
    </w:p>
    <w:p w14:paraId="2857EC93">
      <w:pPr>
        <w:spacing w:line="360" w:lineRule="auto"/>
        <w:ind w:firstLine="840"/>
        <w:rPr>
          <w:rFonts w:ascii="宋体" w:hAnsi="宋体" w:cs="宋体"/>
          <w:bCs/>
          <w:color w:val="000000"/>
          <w:kern w:val="44"/>
          <w:sz w:val="32"/>
          <w:szCs w:val="44"/>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7DD362C9">
      <w:pPr>
        <w:rPr>
          <w:rFonts w:hint="eastAsia" w:ascii="宋体" w:hAnsi="宋体" w:cs="宋体"/>
          <w:bCs/>
          <w:color w:val="000000"/>
          <w:sz w:val="24"/>
        </w:rPr>
      </w:pPr>
    </w:p>
    <w:p w14:paraId="2718000F">
      <w:pPr>
        <w:rPr>
          <w:rFonts w:hint="eastAsia" w:ascii="宋体" w:hAnsi="宋体" w:cs="宋体"/>
          <w:bCs/>
          <w:color w:val="000000"/>
          <w:sz w:val="24"/>
        </w:rPr>
      </w:pPr>
      <w:r>
        <w:rPr>
          <w:rFonts w:hint="eastAsia" w:ascii="宋体" w:hAnsi="宋体" w:cs="宋体"/>
          <w:bCs/>
          <w:color w:val="000000"/>
          <w:sz w:val="24"/>
        </w:rPr>
        <w:br w:type="page"/>
      </w:r>
    </w:p>
    <w:p w14:paraId="57629D5C">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t>附</w:t>
      </w:r>
      <w:bookmarkStart w:id="907" w:name="_Toc296503228"/>
      <w:bookmarkStart w:id="908" w:name="_Toc296346729"/>
      <w:bookmarkStart w:id="909" w:name="_Toc296347227"/>
      <w:bookmarkStart w:id="910" w:name="_Toc267261699"/>
      <w:bookmarkStart w:id="911" w:name="_Toc296891056"/>
      <w:bookmarkStart w:id="912" w:name="_Toc296891268"/>
      <w:bookmarkStart w:id="913" w:name="_Toc296944567"/>
      <w:r>
        <w:rPr>
          <w:rFonts w:hint="eastAsia" w:ascii="宋体" w:hAnsi="宋体" w:cs="宋体"/>
          <w:bCs/>
          <w:color w:val="000000"/>
          <w:sz w:val="24"/>
        </w:rPr>
        <w:t>件</w:t>
      </w:r>
      <w:bookmarkEnd w:id="907"/>
      <w:bookmarkEnd w:id="908"/>
      <w:bookmarkEnd w:id="909"/>
      <w:bookmarkEnd w:id="910"/>
      <w:bookmarkEnd w:id="911"/>
      <w:bookmarkEnd w:id="912"/>
      <w:bookmarkEnd w:id="913"/>
      <w:r>
        <w:rPr>
          <w:rFonts w:hint="eastAsia" w:ascii="宋体" w:hAnsi="宋体" w:cs="宋体"/>
          <w:bCs/>
          <w:color w:val="000000"/>
          <w:sz w:val="24"/>
          <w:lang w:val="en-US" w:eastAsia="zh-CN"/>
        </w:rPr>
        <w:t>4</w:t>
      </w:r>
    </w:p>
    <w:p w14:paraId="48C0DE05">
      <w:pPr>
        <w:spacing w:line="360" w:lineRule="auto"/>
        <w:jc w:val="center"/>
        <w:rPr>
          <w:rFonts w:hint="eastAsia" w:ascii="宋体" w:hAnsi="宋体" w:cs="宋体"/>
          <w:color w:val="000000"/>
          <w:sz w:val="24"/>
        </w:rPr>
      </w:pPr>
      <w:r>
        <w:rPr>
          <w:rFonts w:hint="eastAsia" w:ascii="宋体" w:hAnsi="宋体" w:cs="宋体"/>
          <w:color w:val="000000"/>
          <w:sz w:val="24"/>
        </w:rPr>
        <w:t>承包人主要施工管理人员表</w:t>
      </w:r>
    </w:p>
    <w:tbl>
      <w:tblPr>
        <w:tblStyle w:val="47"/>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954"/>
        <w:gridCol w:w="1306"/>
        <w:gridCol w:w="1046"/>
        <w:gridCol w:w="1046"/>
        <w:gridCol w:w="2664"/>
        <w:gridCol w:w="2400"/>
      </w:tblGrid>
      <w:tr w14:paraId="45AAF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noWrap w:val="0"/>
            <w:vAlign w:val="center"/>
          </w:tcPr>
          <w:p w14:paraId="26CC3180">
            <w:pPr>
              <w:keepNext/>
              <w:spacing w:line="360" w:lineRule="auto"/>
              <w:jc w:val="center"/>
              <w:rPr>
                <w:rFonts w:hint="eastAsia" w:ascii="宋体" w:hAnsi="宋体" w:cs="宋体"/>
                <w:color w:val="000000"/>
                <w:szCs w:val="21"/>
              </w:rPr>
            </w:pPr>
            <w:r>
              <w:rPr>
                <w:rFonts w:hint="eastAsia" w:ascii="宋体" w:hAnsi="宋体" w:cs="宋体"/>
                <w:color w:val="000000"/>
                <w:szCs w:val="21"/>
              </w:rPr>
              <w:t>名    称</w:t>
            </w:r>
          </w:p>
        </w:tc>
        <w:tc>
          <w:tcPr>
            <w:tcW w:w="627" w:type="pct"/>
            <w:tcBorders>
              <w:top w:val="single" w:color="auto" w:sz="12" w:space="0"/>
              <w:bottom w:val="double" w:color="auto" w:sz="6" w:space="0"/>
            </w:tcBorders>
            <w:noWrap w:val="0"/>
            <w:vAlign w:val="center"/>
          </w:tcPr>
          <w:p w14:paraId="54564E25">
            <w:pPr>
              <w:keepNext/>
              <w:spacing w:line="360" w:lineRule="auto"/>
              <w:jc w:val="center"/>
              <w:rPr>
                <w:rFonts w:hint="eastAsia" w:ascii="宋体" w:hAnsi="宋体" w:cs="宋体"/>
                <w:color w:val="000000"/>
                <w:szCs w:val="21"/>
              </w:rPr>
            </w:pPr>
            <w:r>
              <w:rPr>
                <w:rFonts w:hint="eastAsia" w:ascii="宋体" w:hAnsi="宋体" w:cs="宋体"/>
                <w:color w:val="000000"/>
                <w:szCs w:val="21"/>
              </w:rPr>
              <w:t>姓名</w:t>
            </w:r>
          </w:p>
        </w:tc>
        <w:tc>
          <w:tcPr>
            <w:tcW w:w="502" w:type="pct"/>
            <w:tcBorders>
              <w:top w:val="single" w:color="auto" w:sz="12" w:space="0"/>
              <w:bottom w:val="double" w:color="auto" w:sz="6" w:space="0"/>
            </w:tcBorders>
            <w:noWrap w:val="0"/>
            <w:vAlign w:val="center"/>
          </w:tcPr>
          <w:p w14:paraId="4D9FDD31">
            <w:pPr>
              <w:keepNext/>
              <w:spacing w:line="360" w:lineRule="auto"/>
              <w:jc w:val="center"/>
              <w:rPr>
                <w:rFonts w:hint="eastAsia" w:ascii="宋体" w:hAnsi="宋体" w:cs="宋体"/>
                <w:color w:val="000000"/>
                <w:szCs w:val="21"/>
              </w:rPr>
            </w:pPr>
            <w:r>
              <w:rPr>
                <w:rFonts w:hint="eastAsia" w:ascii="宋体" w:hAnsi="宋体" w:cs="宋体"/>
                <w:color w:val="000000"/>
                <w:szCs w:val="21"/>
              </w:rPr>
              <w:t>职务</w:t>
            </w:r>
          </w:p>
        </w:tc>
        <w:tc>
          <w:tcPr>
            <w:tcW w:w="502" w:type="pct"/>
            <w:tcBorders>
              <w:top w:val="single" w:color="auto" w:sz="12" w:space="0"/>
              <w:bottom w:val="double" w:color="auto" w:sz="6" w:space="0"/>
            </w:tcBorders>
            <w:noWrap w:val="0"/>
            <w:vAlign w:val="center"/>
          </w:tcPr>
          <w:p w14:paraId="2AE5D33D">
            <w:pPr>
              <w:keepNext/>
              <w:spacing w:line="360" w:lineRule="auto"/>
              <w:jc w:val="center"/>
              <w:rPr>
                <w:rFonts w:hint="eastAsia" w:ascii="宋体" w:hAnsi="宋体" w:cs="宋体"/>
                <w:color w:val="000000"/>
                <w:szCs w:val="21"/>
              </w:rPr>
            </w:pPr>
            <w:r>
              <w:rPr>
                <w:rFonts w:hint="eastAsia" w:ascii="宋体" w:hAnsi="宋体" w:cs="宋体"/>
                <w:color w:val="000000"/>
                <w:szCs w:val="21"/>
              </w:rPr>
              <w:t>职称</w:t>
            </w:r>
          </w:p>
        </w:tc>
        <w:tc>
          <w:tcPr>
            <w:tcW w:w="1279" w:type="pct"/>
            <w:tcBorders>
              <w:top w:val="single" w:color="auto" w:sz="12" w:space="0"/>
              <w:bottom w:val="double" w:color="auto" w:sz="6" w:space="0"/>
            </w:tcBorders>
            <w:noWrap w:val="0"/>
            <w:vAlign w:val="center"/>
          </w:tcPr>
          <w:p w14:paraId="376F7BFD">
            <w:pPr>
              <w:keepNext/>
              <w:spacing w:line="360" w:lineRule="auto"/>
              <w:jc w:val="center"/>
              <w:rPr>
                <w:rFonts w:hint="eastAsia" w:ascii="宋体" w:hAnsi="宋体" w:cs="宋体"/>
                <w:color w:val="000000"/>
                <w:szCs w:val="21"/>
              </w:rPr>
            </w:pPr>
            <w:r>
              <w:rPr>
                <w:rFonts w:hint="eastAsia" w:ascii="宋体" w:hAnsi="宋体" w:cs="宋体"/>
                <w:color w:val="000000"/>
                <w:szCs w:val="21"/>
              </w:rPr>
              <w:t>主要资历、经验及承担过的项目</w:t>
            </w:r>
          </w:p>
        </w:tc>
        <w:tc>
          <w:tcPr>
            <w:tcW w:w="1153" w:type="pct"/>
            <w:tcBorders>
              <w:top w:val="single" w:color="auto" w:sz="12" w:space="0"/>
              <w:bottom w:val="double" w:color="auto" w:sz="6" w:space="0"/>
            </w:tcBorders>
            <w:noWrap w:val="0"/>
            <w:vAlign w:val="top"/>
          </w:tcPr>
          <w:p w14:paraId="033C9F64">
            <w:pPr>
              <w:keepNext/>
              <w:spacing w:line="360" w:lineRule="auto"/>
              <w:jc w:val="center"/>
              <w:rPr>
                <w:rFonts w:hint="eastAsia" w:ascii="宋体" w:hAnsi="宋体" w:cs="宋体"/>
                <w:color w:val="000000"/>
                <w:szCs w:val="21"/>
              </w:rPr>
            </w:pPr>
            <w:r>
              <w:rPr>
                <w:rFonts w:hint="eastAsia" w:ascii="宋体" w:hAnsi="宋体" w:cs="宋体"/>
                <w:color w:val="000000"/>
                <w:szCs w:val="21"/>
              </w:rPr>
              <w:t>身份证号码</w:t>
            </w:r>
          </w:p>
        </w:tc>
      </w:tr>
      <w:tr w14:paraId="7A891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noWrap w:val="0"/>
            <w:vAlign w:val="center"/>
          </w:tcPr>
          <w:p w14:paraId="576DC709">
            <w:pPr>
              <w:keepNext/>
              <w:spacing w:line="360" w:lineRule="auto"/>
              <w:jc w:val="center"/>
              <w:rPr>
                <w:rFonts w:hint="eastAsia" w:ascii="宋体" w:hAnsi="宋体" w:cs="宋体"/>
                <w:color w:val="000000"/>
                <w:szCs w:val="21"/>
              </w:rPr>
            </w:pPr>
            <w:r>
              <w:rPr>
                <w:rFonts w:hint="eastAsia" w:ascii="宋体" w:hAnsi="宋体" w:cs="宋体"/>
                <w:color w:val="000000"/>
                <w:szCs w:val="21"/>
              </w:rPr>
              <w:t>一、总部人员</w:t>
            </w:r>
          </w:p>
        </w:tc>
        <w:tc>
          <w:tcPr>
            <w:tcW w:w="1153" w:type="pct"/>
            <w:tcBorders>
              <w:top w:val="double" w:color="auto" w:sz="6" w:space="0"/>
            </w:tcBorders>
            <w:noWrap w:val="0"/>
            <w:vAlign w:val="top"/>
          </w:tcPr>
          <w:p w14:paraId="6497B805">
            <w:pPr>
              <w:keepNext/>
              <w:spacing w:line="360" w:lineRule="auto"/>
              <w:jc w:val="center"/>
              <w:rPr>
                <w:rFonts w:hint="eastAsia" w:ascii="宋体" w:hAnsi="宋体" w:cs="宋体"/>
                <w:color w:val="000000"/>
                <w:szCs w:val="21"/>
              </w:rPr>
            </w:pPr>
          </w:p>
        </w:tc>
      </w:tr>
      <w:tr w14:paraId="47D2F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2FD14250">
            <w:pPr>
              <w:spacing w:line="360" w:lineRule="auto"/>
              <w:jc w:val="center"/>
              <w:rPr>
                <w:rFonts w:hint="eastAsia" w:ascii="宋体" w:hAnsi="宋体" w:cs="宋体"/>
                <w:color w:val="000000"/>
                <w:szCs w:val="21"/>
              </w:rPr>
            </w:pPr>
            <w:r>
              <w:rPr>
                <w:rFonts w:hint="eastAsia" w:ascii="宋体" w:hAnsi="宋体" w:cs="宋体"/>
                <w:color w:val="000000"/>
                <w:szCs w:val="21"/>
              </w:rPr>
              <w:t>项目主管</w:t>
            </w:r>
          </w:p>
        </w:tc>
        <w:tc>
          <w:tcPr>
            <w:tcW w:w="627" w:type="pct"/>
            <w:tcBorders>
              <w:top w:val="nil"/>
            </w:tcBorders>
            <w:noWrap w:val="0"/>
            <w:vAlign w:val="center"/>
          </w:tcPr>
          <w:p w14:paraId="3B513D26">
            <w:pPr>
              <w:keepNext/>
              <w:spacing w:line="360" w:lineRule="auto"/>
              <w:jc w:val="center"/>
              <w:rPr>
                <w:rFonts w:hint="eastAsia" w:ascii="宋体" w:hAnsi="宋体" w:cs="宋体"/>
                <w:color w:val="000000"/>
                <w:szCs w:val="21"/>
              </w:rPr>
            </w:pPr>
          </w:p>
        </w:tc>
        <w:tc>
          <w:tcPr>
            <w:tcW w:w="502" w:type="pct"/>
            <w:tcBorders>
              <w:top w:val="nil"/>
            </w:tcBorders>
            <w:noWrap w:val="0"/>
            <w:vAlign w:val="center"/>
          </w:tcPr>
          <w:p w14:paraId="1C5B7FB1">
            <w:pPr>
              <w:keepNext/>
              <w:spacing w:line="360" w:lineRule="auto"/>
              <w:jc w:val="center"/>
              <w:rPr>
                <w:rFonts w:hint="eastAsia" w:ascii="宋体" w:hAnsi="宋体" w:cs="宋体"/>
                <w:color w:val="000000"/>
                <w:szCs w:val="21"/>
              </w:rPr>
            </w:pPr>
          </w:p>
        </w:tc>
        <w:tc>
          <w:tcPr>
            <w:tcW w:w="502" w:type="pct"/>
            <w:tcBorders>
              <w:top w:val="nil"/>
            </w:tcBorders>
            <w:noWrap w:val="0"/>
            <w:vAlign w:val="center"/>
          </w:tcPr>
          <w:p w14:paraId="759E8D2F">
            <w:pPr>
              <w:keepNext/>
              <w:spacing w:line="360" w:lineRule="auto"/>
              <w:jc w:val="center"/>
              <w:rPr>
                <w:rFonts w:hint="eastAsia" w:ascii="宋体" w:hAnsi="宋体" w:cs="宋体"/>
                <w:color w:val="000000"/>
                <w:szCs w:val="21"/>
              </w:rPr>
            </w:pPr>
          </w:p>
        </w:tc>
        <w:tc>
          <w:tcPr>
            <w:tcW w:w="1279" w:type="pct"/>
            <w:tcBorders>
              <w:top w:val="nil"/>
            </w:tcBorders>
            <w:noWrap w:val="0"/>
            <w:vAlign w:val="center"/>
          </w:tcPr>
          <w:p w14:paraId="0FA40590">
            <w:pPr>
              <w:keepNext/>
              <w:spacing w:line="360" w:lineRule="auto"/>
              <w:jc w:val="center"/>
              <w:rPr>
                <w:rFonts w:hint="eastAsia" w:ascii="宋体" w:hAnsi="宋体" w:cs="宋体"/>
                <w:color w:val="000000"/>
                <w:szCs w:val="21"/>
              </w:rPr>
            </w:pPr>
          </w:p>
        </w:tc>
        <w:tc>
          <w:tcPr>
            <w:tcW w:w="1153" w:type="pct"/>
            <w:tcBorders>
              <w:top w:val="nil"/>
            </w:tcBorders>
            <w:noWrap w:val="0"/>
            <w:vAlign w:val="top"/>
          </w:tcPr>
          <w:p w14:paraId="3E776B47">
            <w:pPr>
              <w:keepNext/>
              <w:spacing w:line="360" w:lineRule="auto"/>
              <w:jc w:val="center"/>
              <w:rPr>
                <w:rFonts w:hint="eastAsia" w:ascii="宋体" w:hAnsi="宋体" w:cs="宋体"/>
                <w:color w:val="000000"/>
                <w:szCs w:val="21"/>
              </w:rPr>
            </w:pPr>
          </w:p>
        </w:tc>
      </w:tr>
      <w:tr w14:paraId="74CC8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noWrap w:val="0"/>
            <w:vAlign w:val="center"/>
          </w:tcPr>
          <w:p w14:paraId="55A54D34">
            <w:pPr>
              <w:spacing w:line="360" w:lineRule="auto"/>
              <w:jc w:val="center"/>
              <w:rPr>
                <w:rFonts w:hint="eastAsia" w:ascii="宋体" w:hAnsi="宋体" w:cs="宋体"/>
                <w:color w:val="000000"/>
                <w:szCs w:val="21"/>
              </w:rPr>
            </w:pPr>
          </w:p>
        </w:tc>
        <w:tc>
          <w:tcPr>
            <w:tcW w:w="627" w:type="pct"/>
            <w:noWrap w:val="0"/>
            <w:vAlign w:val="center"/>
          </w:tcPr>
          <w:p w14:paraId="42CCDBA4">
            <w:pPr>
              <w:keepNext/>
              <w:spacing w:line="360" w:lineRule="auto"/>
              <w:jc w:val="center"/>
              <w:rPr>
                <w:rFonts w:hint="eastAsia" w:ascii="宋体" w:hAnsi="宋体" w:cs="宋体"/>
                <w:color w:val="000000"/>
                <w:szCs w:val="21"/>
              </w:rPr>
            </w:pPr>
          </w:p>
        </w:tc>
        <w:tc>
          <w:tcPr>
            <w:tcW w:w="502" w:type="pct"/>
            <w:noWrap w:val="0"/>
            <w:vAlign w:val="center"/>
          </w:tcPr>
          <w:p w14:paraId="0654E554">
            <w:pPr>
              <w:keepNext/>
              <w:spacing w:line="360" w:lineRule="auto"/>
              <w:jc w:val="center"/>
              <w:rPr>
                <w:rFonts w:hint="eastAsia" w:ascii="宋体" w:hAnsi="宋体" w:cs="宋体"/>
                <w:color w:val="000000"/>
                <w:szCs w:val="21"/>
              </w:rPr>
            </w:pPr>
          </w:p>
        </w:tc>
        <w:tc>
          <w:tcPr>
            <w:tcW w:w="502" w:type="pct"/>
            <w:noWrap w:val="0"/>
            <w:vAlign w:val="center"/>
          </w:tcPr>
          <w:p w14:paraId="7E743FB3">
            <w:pPr>
              <w:keepNext/>
              <w:spacing w:line="360" w:lineRule="auto"/>
              <w:jc w:val="center"/>
              <w:rPr>
                <w:rFonts w:hint="eastAsia" w:ascii="宋体" w:hAnsi="宋体" w:cs="宋体"/>
                <w:color w:val="000000"/>
                <w:szCs w:val="21"/>
              </w:rPr>
            </w:pPr>
          </w:p>
        </w:tc>
        <w:tc>
          <w:tcPr>
            <w:tcW w:w="1279" w:type="pct"/>
            <w:noWrap w:val="0"/>
            <w:vAlign w:val="center"/>
          </w:tcPr>
          <w:p w14:paraId="45D7C569">
            <w:pPr>
              <w:keepNext/>
              <w:spacing w:line="360" w:lineRule="auto"/>
              <w:jc w:val="center"/>
              <w:rPr>
                <w:rFonts w:hint="eastAsia" w:ascii="宋体" w:hAnsi="宋体" w:cs="宋体"/>
                <w:color w:val="000000"/>
                <w:szCs w:val="21"/>
              </w:rPr>
            </w:pPr>
          </w:p>
        </w:tc>
        <w:tc>
          <w:tcPr>
            <w:tcW w:w="1153" w:type="pct"/>
            <w:noWrap w:val="0"/>
            <w:vAlign w:val="top"/>
          </w:tcPr>
          <w:p w14:paraId="518EE1E0">
            <w:pPr>
              <w:keepNext/>
              <w:spacing w:line="360" w:lineRule="auto"/>
              <w:jc w:val="center"/>
              <w:rPr>
                <w:rFonts w:hint="eastAsia" w:ascii="宋体" w:hAnsi="宋体" w:cs="宋体"/>
                <w:color w:val="000000"/>
                <w:szCs w:val="21"/>
              </w:rPr>
            </w:pPr>
          </w:p>
        </w:tc>
      </w:tr>
      <w:tr w14:paraId="5F831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53D57634">
            <w:pPr>
              <w:spacing w:line="360" w:lineRule="auto"/>
              <w:jc w:val="center"/>
              <w:rPr>
                <w:rFonts w:hint="eastAsia" w:ascii="宋体" w:hAnsi="宋体" w:cs="宋体"/>
                <w:color w:val="000000"/>
                <w:szCs w:val="21"/>
              </w:rPr>
            </w:pPr>
            <w:r>
              <w:rPr>
                <w:rFonts w:hint="eastAsia" w:ascii="宋体" w:hAnsi="宋体" w:cs="宋体"/>
                <w:color w:val="000000"/>
                <w:szCs w:val="21"/>
              </w:rPr>
              <w:t>其他人员</w:t>
            </w:r>
          </w:p>
        </w:tc>
        <w:tc>
          <w:tcPr>
            <w:tcW w:w="627" w:type="pct"/>
            <w:noWrap w:val="0"/>
            <w:vAlign w:val="center"/>
          </w:tcPr>
          <w:p w14:paraId="62EDB3CE">
            <w:pPr>
              <w:keepNext/>
              <w:spacing w:line="360" w:lineRule="auto"/>
              <w:jc w:val="center"/>
              <w:rPr>
                <w:rFonts w:hint="eastAsia" w:ascii="宋体" w:hAnsi="宋体" w:cs="宋体"/>
                <w:color w:val="000000"/>
                <w:szCs w:val="21"/>
              </w:rPr>
            </w:pPr>
          </w:p>
        </w:tc>
        <w:tc>
          <w:tcPr>
            <w:tcW w:w="502" w:type="pct"/>
            <w:noWrap w:val="0"/>
            <w:vAlign w:val="center"/>
          </w:tcPr>
          <w:p w14:paraId="6FD0096F">
            <w:pPr>
              <w:keepNext/>
              <w:spacing w:line="360" w:lineRule="auto"/>
              <w:jc w:val="center"/>
              <w:rPr>
                <w:rFonts w:hint="eastAsia" w:ascii="宋体" w:hAnsi="宋体" w:cs="宋体"/>
                <w:color w:val="000000"/>
                <w:szCs w:val="21"/>
              </w:rPr>
            </w:pPr>
          </w:p>
        </w:tc>
        <w:tc>
          <w:tcPr>
            <w:tcW w:w="502" w:type="pct"/>
            <w:noWrap w:val="0"/>
            <w:vAlign w:val="center"/>
          </w:tcPr>
          <w:p w14:paraId="57C00A67">
            <w:pPr>
              <w:keepNext/>
              <w:spacing w:line="360" w:lineRule="auto"/>
              <w:jc w:val="center"/>
              <w:rPr>
                <w:rFonts w:hint="eastAsia" w:ascii="宋体" w:hAnsi="宋体" w:cs="宋体"/>
                <w:color w:val="000000"/>
                <w:szCs w:val="21"/>
              </w:rPr>
            </w:pPr>
          </w:p>
        </w:tc>
        <w:tc>
          <w:tcPr>
            <w:tcW w:w="1279" w:type="pct"/>
            <w:noWrap w:val="0"/>
            <w:vAlign w:val="center"/>
          </w:tcPr>
          <w:p w14:paraId="4B16D69E">
            <w:pPr>
              <w:keepNext/>
              <w:spacing w:line="360" w:lineRule="auto"/>
              <w:jc w:val="center"/>
              <w:rPr>
                <w:rFonts w:hint="eastAsia" w:ascii="宋体" w:hAnsi="宋体" w:cs="宋体"/>
                <w:color w:val="000000"/>
                <w:szCs w:val="21"/>
              </w:rPr>
            </w:pPr>
          </w:p>
        </w:tc>
        <w:tc>
          <w:tcPr>
            <w:tcW w:w="1153" w:type="pct"/>
            <w:noWrap w:val="0"/>
            <w:vAlign w:val="top"/>
          </w:tcPr>
          <w:p w14:paraId="6F4C9E96">
            <w:pPr>
              <w:keepNext/>
              <w:spacing w:line="360" w:lineRule="auto"/>
              <w:jc w:val="center"/>
              <w:rPr>
                <w:rFonts w:hint="eastAsia" w:ascii="宋体" w:hAnsi="宋体" w:cs="宋体"/>
                <w:color w:val="000000"/>
                <w:szCs w:val="21"/>
              </w:rPr>
            </w:pPr>
          </w:p>
        </w:tc>
      </w:tr>
      <w:tr w14:paraId="7325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50E24529">
            <w:pPr>
              <w:spacing w:line="360" w:lineRule="auto"/>
              <w:jc w:val="center"/>
              <w:rPr>
                <w:rFonts w:hint="eastAsia" w:ascii="宋体" w:hAnsi="宋体" w:cs="宋体"/>
                <w:color w:val="000000"/>
                <w:szCs w:val="21"/>
              </w:rPr>
            </w:pPr>
          </w:p>
        </w:tc>
        <w:tc>
          <w:tcPr>
            <w:tcW w:w="627" w:type="pct"/>
            <w:noWrap w:val="0"/>
            <w:vAlign w:val="center"/>
          </w:tcPr>
          <w:p w14:paraId="110E3036">
            <w:pPr>
              <w:keepNext/>
              <w:spacing w:line="360" w:lineRule="auto"/>
              <w:jc w:val="center"/>
              <w:rPr>
                <w:rFonts w:hint="eastAsia" w:ascii="宋体" w:hAnsi="宋体" w:cs="宋体"/>
                <w:color w:val="000000"/>
                <w:szCs w:val="21"/>
              </w:rPr>
            </w:pPr>
          </w:p>
        </w:tc>
        <w:tc>
          <w:tcPr>
            <w:tcW w:w="502" w:type="pct"/>
            <w:noWrap w:val="0"/>
            <w:vAlign w:val="center"/>
          </w:tcPr>
          <w:p w14:paraId="66952D08">
            <w:pPr>
              <w:keepNext/>
              <w:spacing w:line="360" w:lineRule="auto"/>
              <w:jc w:val="center"/>
              <w:rPr>
                <w:rFonts w:hint="eastAsia" w:ascii="宋体" w:hAnsi="宋体" w:cs="宋体"/>
                <w:color w:val="000000"/>
                <w:szCs w:val="21"/>
              </w:rPr>
            </w:pPr>
          </w:p>
        </w:tc>
        <w:tc>
          <w:tcPr>
            <w:tcW w:w="502" w:type="pct"/>
            <w:noWrap w:val="0"/>
            <w:vAlign w:val="center"/>
          </w:tcPr>
          <w:p w14:paraId="5B2ED6F5">
            <w:pPr>
              <w:keepNext/>
              <w:spacing w:line="360" w:lineRule="auto"/>
              <w:jc w:val="center"/>
              <w:rPr>
                <w:rFonts w:hint="eastAsia" w:ascii="宋体" w:hAnsi="宋体" w:cs="宋体"/>
                <w:color w:val="000000"/>
                <w:szCs w:val="21"/>
              </w:rPr>
            </w:pPr>
          </w:p>
        </w:tc>
        <w:tc>
          <w:tcPr>
            <w:tcW w:w="1279" w:type="pct"/>
            <w:noWrap w:val="0"/>
            <w:vAlign w:val="center"/>
          </w:tcPr>
          <w:p w14:paraId="369EBD9A">
            <w:pPr>
              <w:keepNext/>
              <w:spacing w:line="360" w:lineRule="auto"/>
              <w:jc w:val="center"/>
              <w:rPr>
                <w:rFonts w:hint="eastAsia" w:ascii="宋体" w:hAnsi="宋体" w:cs="宋体"/>
                <w:color w:val="000000"/>
                <w:szCs w:val="21"/>
              </w:rPr>
            </w:pPr>
          </w:p>
        </w:tc>
        <w:tc>
          <w:tcPr>
            <w:tcW w:w="1153" w:type="pct"/>
            <w:noWrap w:val="0"/>
            <w:vAlign w:val="top"/>
          </w:tcPr>
          <w:p w14:paraId="44D86174">
            <w:pPr>
              <w:keepNext/>
              <w:spacing w:line="360" w:lineRule="auto"/>
              <w:jc w:val="center"/>
              <w:rPr>
                <w:rFonts w:hint="eastAsia" w:ascii="宋体" w:hAnsi="宋体" w:cs="宋体"/>
                <w:color w:val="000000"/>
                <w:szCs w:val="21"/>
              </w:rPr>
            </w:pPr>
          </w:p>
        </w:tc>
      </w:tr>
      <w:tr w14:paraId="1C9FF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noWrap w:val="0"/>
            <w:vAlign w:val="center"/>
          </w:tcPr>
          <w:p w14:paraId="79EF401B">
            <w:pPr>
              <w:keepNext/>
              <w:spacing w:line="360" w:lineRule="auto"/>
              <w:jc w:val="center"/>
              <w:rPr>
                <w:rFonts w:hint="eastAsia" w:ascii="宋体" w:hAnsi="宋体" w:cs="宋体"/>
                <w:color w:val="000000"/>
                <w:szCs w:val="21"/>
              </w:rPr>
            </w:pPr>
            <w:r>
              <w:rPr>
                <w:rFonts w:hint="eastAsia" w:ascii="宋体" w:hAnsi="宋体" w:cs="宋体"/>
                <w:color w:val="000000"/>
                <w:szCs w:val="21"/>
              </w:rPr>
              <w:t>二、现场人员</w:t>
            </w:r>
          </w:p>
        </w:tc>
        <w:tc>
          <w:tcPr>
            <w:tcW w:w="1153" w:type="pct"/>
            <w:noWrap w:val="0"/>
            <w:vAlign w:val="top"/>
          </w:tcPr>
          <w:p w14:paraId="258474D6">
            <w:pPr>
              <w:keepNext/>
              <w:spacing w:line="360" w:lineRule="auto"/>
              <w:jc w:val="center"/>
              <w:rPr>
                <w:rFonts w:hint="eastAsia" w:ascii="宋体" w:hAnsi="宋体" w:cs="宋体"/>
                <w:color w:val="000000"/>
                <w:szCs w:val="21"/>
              </w:rPr>
            </w:pPr>
          </w:p>
        </w:tc>
      </w:tr>
      <w:tr w14:paraId="7DF68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8406605">
            <w:pPr>
              <w:spacing w:line="360" w:lineRule="auto"/>
              <w:jc w:val="center"/>
              <w:rPr>
                <w:rFonts w:hint="eastAsia" w:ascii="宋体" w:hAnsi="宋体" w:cs="宋体"/>
                <w:color w:val="000000"/>
                <w:szCs w:val="21"/>
              </w:rPr>
            </w:pPr>
            <w:r>
              <w:rPr>
                <w:rFonts w:hint="eastAsia" w:ascii="宋体" w:hAnsi="宋体" w:cs="宋体"/>
                <w:color w:val="000000"/>
                <w:szCs w:val="21"/>
              </w:rPr>
              <w:t>项目经理</w:t>
            </w:r>
          </w:p>
        </w:tc>
        <w:tc>
          <w:tcPr>
            <w:tcW w:w="627" w:type="pct"/>
            <w:noWrap w:val="0"/>
            <w:vAlign w:val="center"/>
          </w:tcPr>
          <w:p w14:paraId="143253D1">
            <w:pPr>
              <w:keepNext/>
              <w:spacing w:line="360" w:lineRule="auto"/>
              <w:jc w:val="center"/>
              <w:rPr>
                <w:rFonts w:hint="eastAsia" w:ascii="宋体" w:hAnsi="宋体" w:cs="宋体"/>
                <w:color w:val="000000"/>
                <w:szCs w:val="21"/>
              </w:rPr>
            </w:pPr>
          </w:p>
        </w:tc>
        <w:tc>
          <w:tcPr>
            <w:tcW w:w="502" w:type="pct"/>
            <w:noWrap w:val="0"/>
            <w:vAlign w:val="center"/>
          </w:tcPr>
          <w:p w14:paraId="6E9FE81A">
            <w:pPr>
              <w:keepNext/>
              <w:spacing w:line="360" w:lineRule="auto"/>
              <w:jc w:val="center"/>
              <w:rPr>
                <w:rFonts w:hint="eastAsia" w:ascii="宋体" w:hAnsi="宋体" w:cs="宋体"/>
                <w:color w:val="000000"/>
                <w:szCs w:val="21"/>
              </w:rPr>
            </w:pPr>
          </w:p>
        </w:tc>
        <w:tc>
          <w:tcPr>
            <w:tcW w:w="502" w:type="pct"/>
            <w:noWrap w:val="0"/>
            <w:vAlign w:val="center"/>
          </w:tcPr>
          <w:p w14:paraId="5C7767AC">
            <w:pPr>
              <w:keepNext/>
              <w:spacing w:line="360" w:lineRule="auto"/>
              <w:jc w:val="center"/>
              <w:rPr>
                <w:rFonts w:hint="eastAsia" w:ascii="宋体" w:hAnsi="宋体" w:cs="宋体"/>
                <w:color w:val="000000"/>
                <w:szCs w:val="21"/>
              </w:rPr>
            </w:pPr>
          </w:p>
        </w:tc>
        <w:tc>
          <w:tcPr>
            <w:tcW w:w="1279" w:type="pct"/>
            <w:noWrap w:val="0"/>
            <w:vAlign w:val="center"/>
          </w:tcPr>
          <w:p w14:paraId="5461E166">
            <w:pPr>
              <w:keepNext/>
              <w:spacing w:line="360" w:lineRule="auto"/>
              <w:jc w:val="center"/>
              <w:rPr>
                <w:rFonts w:hint="eastAsia" w:ascii="宋体" w:hAnsi="宋体" w:cs="宋体"/>
                <w:color w:val="000000"/>
                <w:szCs w:val="21"/>
              </w:rPr>
            </w:pPr>
          </w:p>
        </w:tc>
        <w:tc>
          <w:tcPr>
            <w:tcW w:w="1153" w:type="pct"/>
            <w:noWrap w:val="0"/>
            <w:vAlign w:val="top"/>
          </w:tcPr>
          <w:p w14:paraId="3C92B56D">
            <w:pPr>
              <w:keepNext/>
              <w:spacing w:line="360" w:lineRule="auto"/>
              <w:jc w:val="center"/>
              <w:rPr>
                <w:rFonts w:hint="eastAsia" w:ascii="宋体" w:hAnsi="宋体" w:cs="宋体"/>
                <w:color w:val="000000"/>
                <w:szCs w:val="21"/>
              </w:rPr>
            </w:pPr>
          </w:p>
        </w:tc>
      </w:tr>
      <w:tr w14:paraId="2E155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26E73139">
            <w:pPr>
              <w:spacing w:line="360" w:lineRule="auto"/>
              <w:jc w:val="center"/>
              <w:rPr>
                <w:rFonts w:hint="eastAsia" w:ascii="宋体" w:hAnsi="宋体" w:cs="宋体"/>
                <w:color w:val="000000"/>
                <w:szCs w:val="21"/>
              </w:rPr>
            </w:pPr>
            <w:r>
              <w:rPr>
                <w:rFonts w:hint="eastAsia" w:ascii="宋体" w:hAnsi="宋体" w:cs="宋体"/>
                <w:color w:val="000000"/>
                <w:szCs w:val="21"/>
              </w:rPr>
              <w:t>项目副经理</w:t>
            </w:r>
          </w:p>
        </w:tc>
        <w:tc>
          <w:tcPr>
            <w:tcW w:w="627" w:type="pct"/>
            <w:noWrap w:val="0"/>
            <w:vAlign w:val="center"/>
          </w:tcPr>
          <w:p w14:paraId="27F99D3E">
            <w:pPr>
              <w:keepNext/>
              <w:spacing w:line="360" w:lineRule="auto"/>
              <w:jc w:val="center"/>
              <w:rPr>
                <w:rFonts w:hint="eastAsia" w:ascii="宋体" w:hAnsi="宋体" w:cs="宋体"/>
                <w:color w:val="000000"/>
                <w:szCs w:val="21"/>
              </w:rPr>
            </w:pPr>
          </w:p>
        </w:tc>
        <w:tc>
          <w:tcPr>
            <w:tcW w:w="502" w:type="pct"/>
            <w:noWrap w:val="0"/>
            <w:vAlign w:val="center"/>
          </w:tcPr>
          <w:p w14:paraId="06B2886A">
            <w:pPr>
              <w:keepNext/>
              <w:spacing w:line="360" w:lineRule="auto"/>
              <w:jc w:val="center"/>
              <w:rPr>
                <w:rFonts w:hint="eastAsia" w:ascii="宋体" w:hAnsi="宋体" w:cs="宋体"/>
                <w:color w:val="000000"/>
                <w:szCs w:val="21"/>
              </w:rPr>
            </w:pPr>
          </w:p>
        </w:tc>
        <w:tc>
          <w:tcPr>
            <w:tcW w:w="502" w:type="pct"/>
            <w:noWrap w:val="0"/>
            <w:vAlign w:val="center"/>
          </w:tcPr>
          <w:p w14:paraId="7D86B34E">
            <w:pPr>
              <w:keepNext/>
              <w:spacing w:line="360" w:lineRule="auto"/>
              <w:jc w:val="center"/>
              <w:rPr>
                <w:rFonts w:hint="eastAsia" w:ascii="宋体" w:hAnsi="宋体" w:cs="宋体"/>
                <w:color w:val="000000"/>
                <w:szCs w:val="21"/>
              </w:rPr>
            </w:pPr>
          </w:p>
        </w:tc>
        <w:tc>
          <w:tcPr>
            <w:tcW w:w="1279" w:type="pct"/>
            <w:noWrap w:val="0"/>
            <w:vAlign w:val="center"/>
          </w:tcPr>
          <w:p w14:paraId="68E0A28A">
            <w:pPr>
              <w:keepNext/>
              <w:spacing w:line="360" w:lineRule="auto"/>
              <w:jc w:val="center"/>
              <w:rPr>
                <w:rFonts w:hint="eastAsia" w:ascii="宋体" w:hAnsi="宋体" w:cs="宋体"/>
                <w:color w:val="000000"/>
                <w:szCs w:val="21"/>
              </w:rPr>
            </w:pPr>
          </w:p>
        </w:tc>
        <w:tc>
          <w:tcPr>
            <w:tcW w:w="1153" w:type="pct"/>
            <w:noWrap w:val="0"/>
            <w:vAlign w:val="top"/>
          </w:tcPr>
          <w:p w14:paraId="32E06FE3">
            <w:pPr>
              <w:keepNext/>
              <w:spacing w:line="360" w:lineRule="auto"/>
              <w:jc w:val="center"/>
              <w:rPr>
                <w:rFonts w:hint="eastAsia" w:ascii="宋体" w:hAnsi="宋体" w:cs="宋体"/>
                <w:color w:val="000000"/>
                <w:szCs w:val="21"/>
              </w:rPr>
            </w:pPr>
          </w:p>
        </w:tc>
      </w:tr>
      <w:tr w14:paraId="7672C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64656F5A">
            <w:pPr>
              <w:spacing w:line="360" w:lineRule="auto"/>
              <w:jc w:val="center"/>
              <w:rPr>
                <w:rFonts w:hint="eastAsia" w:ascii="宋体" w:hAnsi="宋体" w:cs="宋体"/>
                <w:color w:val="000000"/>
                <w:szCs w:val="21"/>
              </w:rPr>
            </w:pPr>
            <w:r>
              <w:rPr>
                <w:rFonts w:hint="eastAsia" w:ascii="宋体" w:hAnsi="宋体" w:cs="宋体"/>
                <w:color w:val="000000"/>
                <w:szCs w:val="21"/>
              </w:rPr>
              <w:t>项目技术负责人</w:t>
            </w:r>
          </w:p>
        </w:tc>
        <w:tc>
          <w:tcPr>
            <w:tcW w:w="627" w:type="pct"/>
            <w:noWrap w:val="0"/>
            <w:vAlign w:val="center"/>
          </w:tcPr>
          <w:p w14:paraId="0006AB95">
            <w:pPr>
              <w:keepNext/>
              <w:spacing w:line="360" w:lineRule="auto"/>
              <w:jc w:val="center"/>
              <w:rPr>
                <w:rFonts w:hint="eastAsia" w:ascii="宋体" w:hAnsi="宋体" w:cs="宋体"/>
                <w:color w:val="000000"/>
                <w:szCs w:val="21"/>
              </w:rPr>
            </w:pPr>
          </w:p>
        </w:tc>
        <w:tc>
          <w:tcPr>
            <w:tcW w:w="502" w:type="pct"/>
            <w:noWrap w:val="0"/>
            <w:vAlign w:val="center"/>
          </w:tcPr>
          <w:p w14:paraId="45FBFB83">
            <w:pPr>
              <w:keepNext/>
              <w:spacing w:line="360" w:lineRule="auto"/>
              <w:jc w:val="center"/>
              <w:rPr>
                <w:rFonts w:hint="eastAsia" w:ascii="宋体" w:hAnsi="宋体" w:cs="宋体"/>
                <w:color w:val="000000"/>
                <w:szCs w:val="21"/>
              </w:rPr>
            </w:pPr>
          </w:p>
        </w:tc>
        <w:tc>
          <w:tcPr>
            <w:tcW w:w="502" w:type="pct"/>
            <w:noWrap w:val="0"/>
            <w:vAlign w:val="center"/>
          </w:tcPr>
          <w:p w14:paraId="7C40FEBC">
            <w:pPr>
              <w:keepNext/>
              <w:spacing w:line="360" w:lineRule="auto"/>
              <w:jc w:val="center"/>
              <w:rPr>
                <w:rFonts w:hint="eastAsia" w:ascii="宋体" w:hAnsi="宋体" w:cs="宋体"/>
                <w:color w:val="000000"/>
                <w:szCs w:val="21"/>
              </w:rPr>
            </w:pPr>
          </w:p>
        </w:tc>
        <w:tc>
          <w:tcPr>
            <w:tcW w:w="1279" w:type="pct"/>
            <w:noWrap w:val="0"/>
            <w:vAlign w:val="center"/>
          </w:tcPr>
          <w:p w14:paraId="28ED79CB">
            <w:pPr>
              <w:keepNext/>
              <w:spacing w:line="360" w:lineRule="auto"/>
              <w:jc w:val="center"/>
              <w:rPr>
                <w:rFonts w:hint="eastAsia" w:ascii="宋体" w:hAnsi="宋体" w:cs="宋体"/>
                <w:color w:val="000000"/>
                <w:szCs w:val="21"/>
              </w:rPr>
            </w:pPr>
          </w:p>
        </w:tc>
        <w:tc>
          <w:tcPr>
            <w:tcW w:w="1153" w:type="pct"/>
            <w:noWrap w:val="0"/>
            <w:vAlign w:val="top"/>
          </w:tcPr>
          <w:p w14:paraId="4AC49BEE">
            <w:pPr>
              <w:keepNext/>
              <w:spacing w:line="360" w:lineRule="auto"/>
              <w:jc w:val="center"/>
              <w:rPr>
                <w:rFonts w:hint="eastAsia" w:ascii="宋体" w:hAnsi="宋体" w:cs="宋体"/>
                <w:color w:val="000000"/>
                <w:szCs w:val="21"/>
              </w:rPr>
            </w:pPr>
          </w:p>
        </w:tc>
      </w:tr>
      <w:tr w14:paraId="0499F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B241335">
            <w:pPr>
              <w:spacing w:line="360" w:lineRule="auto"/>
              <w:jc w:val="center"/>
              <w:rPr>
                <w:rFonts w:hint="eastAsia" w:ascii="宋体" w:hAnsi="宋体" w:cs="宋体"/>
                <w:color w:val="000000"/>
                <w:szCs w:val="21"/>
              </w:rPr>
            </w:pPr>
            <w:r>
              <w:rPr>
                <w:rFonts w:hint="eastAsia" w:ascii="宋体" w:hAnsi="宋体" w:cs="宋体"/>
                <w:color w:val="000000"/>
                <w:szCs w:val="21"/>
              </w:rPr>
              <w:t>施工员</w:t>
            </w:r>
          </w:p>
        </w:tc>
        <w:tc>
          <w:tcPr>
            <w:tcW w:w="627" w:type="pct"/>
            <w:noWrap w:val="0"/>
            <w:vAlign w:val="center"/>
          </w:tcPr>
          <w:p w14:paraId="3B3EC1D1">
            <w:pPr>
              <w:keepNext/>
              <w:spacing w:line="360" w:lineRule="auto"/>
              <w:jc w:val="center"/>
              <w:rPr>
                <w:rFonts w:hint="eastAsia" w:ascii="宋体" w:hAnsi="宋体" w:cs="宋体"/>
                <w:color w:val="000000"/>
                <w:szCs w:val="21"/>
              </w:rPr>
            </w:pPr>
          </w:p>
        </w:tc>
        <w:tc>
          <w:tcPr>
            <w:tcW w:w="502" w:type="pct"/>
            <w:noWrap w:val="0"/>
            <w:vAlign w:val="center"/>
          </w:tcPr>
          <w:p w14:paraId="759F49FB">
            <w:pPr>
              <w:keepNext/>
              <w:spacing w:line="360" w:lineRule="auto"/>
              <w:jc w:val="center"/>
              <w:rPr>
                <w:rFonts w:hint="eastAsia" w:ascii="宋体" w:hAnsi="宋体" w:cs="宋体"/>
                <w:color w:val="000000"/>
                <w:szCs w:val="21"/>
              </w:rPr>
            </w:pPr>
          </w:p>
        </w:tc>
        <w:tc>
          <w:tcPr>
            <w:tcW w:w="502" w:type="pct"/>
            <w:noWrap w:val="0"/>
            <w:vAlign w:val="center"/>
          </w:tcPr>
          <w:p w14:paraId="6931FF3E">
            <w:pPr>
              <w:keepNext/>
              <w:spacing w:line="360" w:lineRule="auto"/>
              <w:jc w:val="center"/>
              <w:rPr>
                <w:rFonts w:hint="eastAsia" w:ascii="宋体" w:hAnsi="宋体" w:cs="宋体"/>
                <w:color w:val="000000"/>
                <w:szCs w:val="21"/>
              </w:rPr>
            </w:pPr>
          </w:p>
        </w:tc>
        <w:tc>
          <w:tcPr>
            <w:tcW w:w="1279" w:type="pct"/>
            <w:noWrap w:val="0"/>
            <w:vAlign w:val="center"/>
          </w:tcPr>
          <w:p w14:paraId="3C3D0347">
            <w:pPr>
              <w:keepNext/>
              <w:spacing w:line="360" w:lineRule="auto"/>
              <w:jc w:val="center"/>
              <w:rPr>
                <w:rFonts w:hint="eastAsia" w:ascii="宋体" w:hAnsi="宋体" w:cs="宋体"/>
                <w:color w:val="000000"/>
                <w:szCs w:val="21"/>
              </w:rPr>
            </w:pPr>
          </w:p>
        </w:tc>
        <w:tc>
          <w:tcPr>
            <w:tcW w:w="1153" w:type="pct"/>
            <w:noWrap w:val="0"/>
            <w:vAlign w:val="top"/>
          </w:tcPr>
          <w:p w14:paraId="701964F3">
            <w:pPr>
              <w:keepNext/>
              <w:spacing w:line="360" w:lineRule="auto"/>
              <w:jc w:val="center"/>
              <w:rPr>
                <w:rFonts w:hint="eastAsia" w:ascii="宋体" w:hAnsi="宋体" w:cs="宋体"/>
                <w:color w:val="000000"/>
                <w:szCs w:val="21"/>
              </w:rPr>
            </w:pPr>
          </w:p>
        </w:tc>
      </w:tr>
      <w:tr w14:paraId="5DC3E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595FBE0B">
            <w:pPr>
              <w:spacing w:line="360" w:lineRule="auto"/>
              <w:jc w:val="center"/>
              <w:rPr>
                <w:rFonts w:hint="eastAsia" w:ascii="宋体" w:hAnsi="宋体" w:cs="宋体"/>
                <w:color w:val="000000"/>
                <w:szCs w:val="21"/>
              </w:rPr>
            </w:pPr>
            <w:r>
              <w:rPr>
                <w:rFonts w:hint="eastAsia" w:ascii="宋体" w:hAnsi="宋体" w:cs="宋体"/>
                <w:color w:val="000000"/>
                <w:szCs w:val="21"/>
              </w:rPr>
              <w:t>质检员（质量员）</w:t>
            </w:r>
          </w:p>
        </w:tc>
        <w:tc>
          <w:tcPr>
            <w:tcW w:w="627" w:type="pct"/>
            <w:noWrap w:val="0"/>
            <w:vAlign w:val="center"/>
          </w:tcPr>
          <w:p w14:paraId="257E45F3">
            <w:pPr>
              <w:keepNext/>
              <w:spacing w:line="360" w:lineRule="auto"/>
              <w:jc w:val="center"/>
              <w:rPr>
                <w:rFonts w:hint="eastAsia" w:ascii="宋体" w:hAnsi="宋体" w:cs="宋体"/>
                <w:color w:val="000000"/>
                <w:szCs w:val="21"/>
              </w:rPr>
            </w:pPr>
          </w:p>
        </w:tc>
        <w:tc>
          <w:tcPr>
            <w:tcW w:w="502" w:type="pct"/>
            <w:noWrap w:val="0"/>
            <w:vAlign w:val="center"/>
          </w:tcPr>
          <w:p w14:paraId="7700F213">
            <w:pPr>
              <w:keepNext/>
              <w:spacing w:line="360" w:lineRule="auto"/>
              <w:jc w:val="center"/>
              <w:rPr>
                <w:rFonts w:hint="eastAsia" w:ascii="宋体" w:hAnsi="宋体" w:cs="宋体"/>
                <w:color w:val="000000"/>
                <w:szCs w:val="21"/>
              </w:rPr>
            </w:pPr>
          </w:p>
        </w:tc>
        <w:tc>
          <w:tcPr>
            <w:tcW w:w="502" w:type="pct"/>
            <w:noWrap w:val="0"/>
            <w:vAlign w:val="center"/>
          </w:tcPr>
          <w:p w14:paraId="590DAD5E">
            <w:pPr>
              <w:keepNext/>
              <w:spacing w:line="360" w:lineRule="auto"/>
              <w:jc w:val="center"/>
              <w:rPr>
                <w:rFonts w:hint="eastAsia" w:ascii="宋体" w:hAnsi="宋体" w:cs="宋体"/>
                <w:color w:val="000000"/>
                <w:szCs w:val="21"/>
              </w:rPr>
            </w:pPr>
          </w:p>
        </w:tc>
        <w:tc>
          <w:tcPr>
            <w:tcW w:w="1279" w:type="pct"/>
            <w:noWrap w:val="0"/>
            <w:vAlign w:val="center"/>
          </w:tcPr>
          <w:p w14:paraId="6D296D49">
            <w:pPr>
              <w:keepNext/>
              <w:spacing w:line="360" w:lineRule="auto"/>
              <w:jc w:val="center"/>
              <w:rPr>
                <w:rFonts w:hint="eastAsia" w:ascii="宋体" w:hAnsi="宋体" w:cs="宋体"/>
                <w:color w:val="000000"/>
                <w:szCs w:val="21"/>
              </w:rPr>
            </w:pPr>
          </w:p>
        </w:tc>
        <w:tc>
          <w:tcPr>
            <w:tcW w:w="1153" w:type="pct"/>
            <w:noWrap w:val="0"/>
            <w:vAlign w:val="top"/>
          </w:tcPr>
          <w:p w14:paraId="6AFC93BF">
            <w:pPr>
              <w:keepNext/>
              <w:spacing w:line="360" w:lineRule="auto"/>
              <w:jc w:val="center"/>
              <w:rPr>
                <w:rFonts w:hint="eastAsia" w:ascii="宋体" w:hAnsi="宋体" w:cs="宋体"/>
                <w:color w:val="000000"/>
                <w:szCs w:val="21"/>
              </w:rPr>
            </w:pPr>
          </w:p>
        </w:tc>
      </w:tr>
      <w:tr w14:paraId="29E3C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53E19358">
            <w:pPr>
              <w:spacing w:line="360" w:lineRule="auto"/>
              <w:jc w:val="center"/>
              <w:rPr>
                <w:rFonts w:hint="eastAsia" w:ascii="宋体" w:hAnsi="宋体" w:cs="宋体"/>
                <w:color w:val="000000"/>
                <w:szCs w:val="21"/>
              </w:rPr>
            </w:pPr>
            <w:r>
              <w:rPr>
                <w:rFonts w:hint="eastAsia" w:ascii="宋体" w:hAnsi="宋体" w:cs="宋体"/>
                <w:color w:val="000000"/>
                <w:szCs w:val="21"/>
              </w:rPr>
              <w:t>安全员</w:t>
            </w:r>
          </w:p>
        </w:tc>
        <w:tc>
          <w:tcPr>
            <w:tcW w:w="627" w:type="pct"/>
            <w:noWrap w:val="0"/>
            <w:vAlign w:val="center"/>
          </w:tcPr>
          <w:p w14:paraId="18EF50C2">
            <w:pPr>
              <w:keepNext/>
              <w:spacing w:line="360" w:lineRule="auto"/>
              <w:jc w:val="center"/>
              <w:rPr>
                <w:rFonts w:hint="eastAsia" w:ascii="宋体" w:hAnsi="宋体" w:cs="宋体"/>
                <w:color w:val="000000"/>
                <w:szCs w:val="21"/>
              </w:rPr>
            </w:pPr>
          </w:p>
        </w:tc>
        <w:tc>
          <w:tcPr>
            <w:tcW w:w="502" w:type="pct"/>
            <w:noWrap w:val="0"/>
            <w:vAlign w:val="center"/>
          </w:tcPr>
          <w:p w14:paraId="52C71F6A">
            <w:pPr>
              <w:keepNext/>
              <w:spacing w:line="360" w:lineRule="auto"/>
              <w:jc w:val="center"/>
              <w:rPr>
                <w:rFonts w:hint="eastAsia" w:ascii="宋体" w:hAnsi="宋体" w:cs="宋体"/>
                <w:color w:val="000000"/>
                <w:szCs w:val="21"/>
              </w:rPr>
            </w:pPr>
          </w:p>
        </w:tc>
        <w:tc>
          <w:tcPr>
            <w:tcW w:w="502" w:type="pct"/>
            <w:noWrap w:val="0"/>
            <w:vAlign w:val="center"/>
          </w:tcPr>
          <w:p w14:paraId="02F0924B">
            <w:pPr>
              <w:keepNext/>
              <w:spacing w:line="360" w:lineRule="auto"/>
              <w:jc w:val="center"/>
              <w:rPr>
                <w:rFonts w:hint="eastAsia" w:ascii="宋体" w:hAnsi="宋体" w:cs="宋体"/>
                <w:color w:val="000000"/>
                <w:szCs w:val="21"/>
              </w:rPr>
            </w:pPr>
          </w:p>
        </w:tc>
        <w:tc>
          <w:tcPr>
            <w:tcW w:w="1279" w:type="pct"/>
            <w:noWrap w:val="0"/>
            <w:vAlign w:val="center"/>
          </w:tcPr>
          <w:p w14:paraId="6C99534A">
            <w:pPr>
              <w:keepNext/>
              <w:spacing w:line="360" w:lineRule="auto"/>
              <w:jc w:val="center"/>
              <w:rPr>
                <w:rFonts w:hint="eastAsia" w:ascii="宋体" w:hAnsi="宋体" w:cs="宋体"/>
                <w:color w:val="000000"/>
                <w:szCs w:val="21"/>
              </w:rPr>
            </w:pPr>
          </w:p>
        </w:tc>
        <w:tc>
          <w:tcPr>
            <w:tcW w:w="1153" w:type="pct"/>
            <w:noWrap w:val="0"/>
            <w:vAlign w:val="top"/>
          </w:tcPr>
          <w:p w14:paraId="6533895D">
            <w:pPr>
              <w:keepNext/>
              <w:spacing w:line="360" w:lineRule="auto"/>
              <w:jc w:val="center"/>
              <w:rPr>
                <w:rFonts w:hint="eastAsia" w:ascii="宋体" w:hAnsi="宋体" w:cs="宋体"/>
                <w:color w:val="000000"/>
                <w:szCs w:val="21"/>
              </w:rPr>
            </w:pPr>
          </w:p>
        </w:tc>
      </w:tr>
      <w:tr w14:paraId="15162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22CCCFB">
            <w:pPr>
              <w:spacing w:line="360" w:lineRule="auto"/>
              <w:jc w:val="center"/>
              <w:rPr>
                <w:rFonts w:hint="eastAsia" w:ascii="宋体" w:hAnsi="宋体" w:cs="宋体"/>
                <w:color w:val="000000"/>
                <w:szCs w:val="21"/>
              </w:rPr>
            </w:pPr>
            <w:r>
              <w:rPr>
                <w:rFonts w:hint="eastAsia" w:ascii="宋体" w:hAnsi="宋体" w:cs="宋体"/>
                <w:color w:val="000000"/>
                <w:szCs w:val="21"/>
              </w:rPr>
              <w:t>资料员</w:t>
            </w:r>
          </w:p>
        </w:tc>
        <w:tc>
          <w:tcPr>
            <w:tcW w:w="627" w:type="pct"/>
            <w:noWrap w:val="0"/>
            <w:vAlign w:val="center"/>
          </w:tcPr>
          <w:p w14:paraId="54BD3C42">
            <w:pPr>
              <w:keepNext/>
              <w:spacing w:line="360" w:lineRule="auto"/>
              <w:jc w:val="center"/>
              <w:rPr>
                <w:rFonts w:hint="eastAsia" w:ascii="宋体" w:hAnsi="宋体" w:cs="宋体"/>
                <w:color w:val="000000"/>
                <w:szCs w:val="21"/>
              </w:rPr>
            </w:pPr>
          </w:p>
        </w:tc>
        <w:tc>
          <w:tcPr>
            <w:tcW w:w="502" w:type="pct"/>
            <w:noWrap w:val="0"/>
            <w:vAlign w:val="center"/>
          </w:tcPr>
          <w:p w14:paraId="632771E1">
            <w:pPr>
              <w:keepNext/>
              <w:spacing w:line="360" w:lineRule="auto"/>
              <w:jc w:val="center"/>
              <w:rPr>
                <w:rFonts w:hint="eastAsia" w:ascii="宋体" w:hAnsi="宋体" w:cs="宋体"/>
                <w:color w:val="000000"/>
                <w:szCs w:val="21"/>
              </w:rPr>
            </w:pPr>
          </w:p>
        </w:tc>
        <w:tc>
          <w:tcPr>
            <w:tcW w:w="502" w:type="pct"/>
            <w:noWrap w:val="0"/>
            <w:vAlign w:val="center"/>
          </w:tcPr>
          <w:p w14:paraId="27098BE7">
            <w:pPr>
              <w:keepNext/>
              <w:spacing w:line="360" w:lineRule="auto"/>
              <w:jc w:val="center"/>
              <w:rPr>
                <w:rFonts w:hint="eastAsia" w:ascii="宋体" w:hAnsi="宋体" w:cs="宋体"/>
                <w:color w:val="000000"/>
                <w:szCs w:val="21"/>
              </w:rPr>
            </w:pPr>
          </w:p>
        </w:tc>
        <w:tc>
          <w:tcPr>
            <w:tcW w:w="1279" w:type="pct"/>
            <w:noWrap w:val="0"/>
            <w:vAlign w:val="center"/>
          </w:tcPr>
          <w:p w14:paraId="3488C6E3">
            <w:pPr>
              <w:keepNext/>
              <w:spacing w:line="360" w:lineRule="auto"/>
              <w:jc w:val="center"/>
              <w:rPr>
                <w:rFonts w:hint="eastAsia" w:ascii="宋体" w:hAnsi="宋体" w:cs="宋体"/>
                <w:color w:val="000000"/>
                <w:szCs w:val="21"/>
              </w:rPr>
            </w:pPr>
          </w:p>
        </w:tc>
        <w:tc>
          <w:tcPr>
            <w:tcW w:w="1153" w:type="pct"/>
            <w:noWrap w:val="0"/>
            <w:vAlign w:val="top"/>
          </w:tcPr>
          <w:p w14:paraId="2F48AB54">
            <w:pPr>
              <w:keepNext/>
              <w:spacing w:line="360" w:lineRule="auto"/>
              <w:jc w:val="center"/>
              <w:rPr>
                <w:rFonts w:hint="eastAsia" w:ascii="宋体" w:hAnsi="宋体" w:cs="宋体"/>
                <w:color w:val="000000"/>
                <w:szCs w:val="21"/>
              </w:rPr>
            </w:pPr>
          </w:p>
        </w:tc>
      </w:tr>
      <w:tr w14:paraId="69CDE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noWrap w:val="0"/>
            <w:vAlign w:val="center"/>
          </w:tcPr>
          <w:p w14:paraId="722DA318">
            <w:pPr>
              <w:spacing w:line="360" w:lineRule="auto"/>
              <w:jc w:val="center"/>
              <w:rPr>
                <w:rFonts w:hint="eastAsia" w:ascii="宋体" w:hAnsi="宋体" w:cs="宋体"/>
                <w:color w:val="000000"/>
                <w:szCs w:val="21"/>
              </w:rPr>
            </w:pPr>
            <w:r>
              <w:rPr>
                <w:rFonts w:hint="eastAsia" w:ascii="宋体" w:hAnsi="宋体" w:cs="宋体"/>
                <w:color w:val="000000"/>
                <w:szCs w:val="21"/>
              </w:rPr>
              <w:t>其他人员</w:t>
            </w:r>
          </w:p>
        </w:tc>
        <w:tc>
          <w:tcPr>
            <w:tcW w:w="627" w:type="pct"/>
            <w:noWrap w:val="0"/>
            <w:vAlign w:val="center"/>
          </w:tcPr>
          <w:p w14:paraId="70A08B55">
            <w:pPr>
              <w:keepNext/>
              <w:spacing w:line="360" w:lineRule="auto"/>
              <w:jc w:val="center"/>
              <w:rPr>
                <w:rFonts w:hint="eastAsia" w:ascii="宋体" w:hAnsi="宋体" w:cs="宋体"/>
                <w:color w:val="000000"/>
                <w:szCs w:val="21"/>
              </w:rPr>
            </w:pPr>
          </w:p>
        </w:tc>
        <w:tc>
          <w:tcPr>
            <w:tcW w:w="502" w:type="pct"/>
            <w:noWrap w:val="0"/>
            <w:vAlign w:val="center"/>
          </w:tcPr>
          <w:p w14:paraId="4FDDD037">
            <w:pPr>
              <w:keepNext/>
              <w:spacing w:line="360" w:lineRule="auto"/>
              <w:jc w:val="center"/>
              <w:rPr>
                <w:rFonts w:hint="eastAsia" w:ascii="宋体" w:hAnsi="宋体" w:cs="宋体"/>
                <w:color w:val="000000"/>
                <w:szCs w:val="21"/>
              </w:rPr>
            </w:pPr>
          </w:p>
        </w:tc>
        <w:tc>
          <w:tcPr>
            <w:tcW w:w="502" w:type="pct"/>
            <w:noWrap w:val="0"/>
            <w:vAlign w:val="center"/>
          </w:tcPr>
          <w:p w14:paraId="7DFDD96A">
            <w:pPr>
              <w:keepNext/>
              <w:spacing w:line="360" w:lineRule="auto"/>
              <w:jc w:val="center"/>
              <w:rPr>
                <w:rFonts w:hint="eastAsia" w:ascii="宋体" w:hAnsi="宋体" w:cs="宋体"/>
                <w:color w:val="000000"/>
                <w:szCs w:val="21"/>
              </w:rPr>
            </w:pPr>
          </w:p>
        </w:tc>
        <w:tc>
          <w:tcPr>
            <w:tcW w:w="1279" w:type="pct"/>
            <w:noWrap w:val="0"/>
            <w:vAlign w:val="center"/>
          </w:tcPr>
          <w:p w14:paraId="62C5FC9A">
            <w:pPr>
              <w:keepNext/>
              <w:spacing w:line="360" w:lineRule="auto"/>
              <w:jc w:val="center"/>
              <w:rPr>
                <w:rFonts w:hint="eastAsia" w:ascii="宋体" w:hAnsi="宋体" w:cs="宋体"/>
                <w:color w:val="000000"/>
                <w:szCs w:val="21"/>
              </w:rPr>
            </w:pPr>
          </w:p>
        </w:tc>
        <w:tc>
          <w:tcPr>
            <w:tcW w:w="1153" w:type="pct"/>
            <w:noWrap w:val="0"/>
            <w:vAlign w:val="top"/>
          </w:tcPr>
          <w:p w14:paraId="22764247">
            <w:pPr>
              <w:keepNext/>
              <w:spacing w:line="360" w:lineRule="auto"/>
              <w:jc w:val="center"/>
              <w:rPr>
                <w:rFonts w:hint="eastAsia" w:ascii="宋体" w:hAnsi="宋体" w:cs="宋体"/>
                <w:color w:val="000000"/>
                <w:szCs w:val="21"/>
              </w:rPr>
            </w:pPr>
          </w:p>
        </w:tc>
      </w:tr>
      <w:tr w14:paraId="16177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24D18B3F">
            <w:pPr>
              <w:keepNext/>
              <w:spacing w:line="360" w:lineRule="auto"/>
              <w:jc w:val="center"/>
              <w:rPr>
                <w:rFonts w:hint="eastAsia" w:ascii="宋体" w:hAnsi="宋体" w:cs="宋体"/>
                <w:color w:val="000000"/>
                <w:szCs w:val="21"/>
              </w:rPr>
            </w:pPr>
          </w:p>
        </w:tc>
        <w:tc>
          <w:tcPr>
            <w:tcW w:w="627" w:type="pct"/>
            <w:tcBorders>
              <w:bottom w:val="nil"/>
            </w:tcBorders>
            <w:noWrap w:val="0"/>
            <w:vAlign w:val="center"/>
          </w:tcPr>
          <w:p w14:paraId="50157683">
            <w:pPr>
              <w:keepNext/>
              <w:spacing w:line="360" w:lineRule="auto"/>
              <w:jc w:val="center"/>
              <w:rPr>
                <w:rFonts w:hint="eastAsia" w:ascii="宋体" w:hAnsi="宋体" w:cs="宋体"/>
                <w:color w:val="000000"/>
                <w:szCs w:val="21"/>
              </w:rPr>
            </w:pPr>
          </w:p>
        </w:tc>
        <w:tc>
          <w:tcPr>
            <w:tcW w:w="502" w:type="pct"/>
            <w:tcBorders>
              <w:bottom w:val="nil"/>
            </w:tcBorders>
            <w:noWrap w:val="0"/>
            <w:vAlign w:val="center"/>
          </w:tcPr>
          <w:p w14:paraId="7158DC19">
            <w:pPr>
              <w:keepNext/>
              <w:spacing w:line="360" w:lineRule="auto"/>
              <w:jc w:val="center"/>
              <w:rPr>
                <w:rFonts w:hint="eastAsia" w:ascii="宋体" w:hAnsi="宋体" w:cs="宋体"/>
                <w:color w:val="000000"/>
                <w:szCs w:val="21"/>
              </w:rPr>
            </w:pPr>
          </w:p>
        </w:tc>
        <w:tc>
          <w:tcPr>
            <w:tcW w:w="502" w:type="pct"/>
            <w:tcBorders>
              <w:bottom w:val="nil"/>
            </w:tcBorders>
            <w:noWrap w:val="0"/>
            <w:vAlign w:val="center"/>
          </w:tcPr>
          <w:p w14:paraId="69604370">
            <w:pPr>
              <w:keepNext/>
              <w:spacing w:line="360" w:lineRule="auto"/>
              <w:jc w:val="center"/>
              <w:rPr>
                <w:rFonts w:hint="eastAsia" w:ascii="宋体" w:hAnsi="宋体" w:cs="宋体"/>
                <w:color w:val="000000"/>
                <w:szCs w:val="21"/>
              </w:rPr>
            </w:pPr>
          </w:p>
        </w:tc>
        <w:tc>
          <w:tcPr>
            <w:tcW w:w="1279" w:type="pct"/>
            <w:tcBorders>
              <w:bottom w:val="nil"/>
            </w:tcBorders>
            <w:noWrap w:val="0"/>
            <w:vAlign w:val="center"/>
          </w:tcPr>
          <w:p w14:paraId="444ADAFD">
            <w:pPr>
              <w:keepNext/>
              <w:spacing w:line="360" w:lineRule="auto"/>
              <w:jc w:val="center"/>
              <w:rPr>
                <w:rFonts w:hint="eastAsia" w:ascii="宋体" w:hAnsi="宋体" w:cs="宋体"/>
                <w:color w:val="000000"/>
                <w:szCs w:val="21"/>
              </w:rPr>
            </w:pPr>
          </w:p>
        </w:tc>
        <w:tc>
          <w:tcPr>
            <w:tcW w:w="1153" w:type="pct"/>
            <w:tcBorders>
              <w:bottom w:val="nil"/>
            </w:tcBorders>
            <w:noWrap w:val="0"/>
            <w:vAlign w:val="top"/>
          </w:tcPr>
          <w:p w14:paraId="39A8FC0F">
            <w:pPr>
              <w:keepNext/>
              <w:spacing w:line="360" w:lineRule="auto"/>
              <w:jc w:val="center"/>
              <w:rPr>
                <w:rFonts w:hint="eastAsia" w:ascii="宋体" w:hAnsi="宋体" w:cs="宋体"/>
                <w:color w:val="000000"/>
                <w:szCs w:val="21"/>
              </w:rPr>
            </w:pPr>
          </w:p>
        </w:tc>
      </w:tr>
      <w:tr w14:paraId="478CD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1ECDA5F0">
            <w:pPr>
              <w:keepNext/>
              <w:spacing w:line="360" w:lineRule="auto"/>
              <w:jc w:val="center"/>
              <w:rPr>
                <w:rFonts w:hint="eastAsia" w:ascii="宋体" w:hAnsi="宋体" w:cs="宋体"/>
                <w:color w:val="000000"/>
                <w:szCs w:val="21"/>
              </w:rPr>
            </w:pPr>
          </w:p>
        </w:tc>
        <w:tc>
          <w:tcPr>
            <w:tcW w:w="627" w:type="pct"/>
            <w:noWrap w:val="0"/>
            <w:vAlign w:val="center"/>
          </w:tcPr>
          <w:p w14:paraId="64423E4C">
            <w:pPr>
              <w:keepNext/>
              <w:spacing w:line="360" w:lineRule="auto"/>
              <w:jc w:val="center"/>
              <w:rPr>
                <w:rFonts w:hint="eastAsia" w:ascii="宋体" w:hAnsi="宋体" w:cs="宋体"/>
                <w:color w:val="000000"/>
                <w:szCs w:val="21"/>
              </w:rPr>
            </w:pPr>
          </w:p>
        </w:tc>
        <w:tc>
          <w:tcPr>
            <w:tcW w:w="502" w:type="pct"/>
            <w:noWrap w:val="0"/>
            <w:vAlign w:val="center"/>
          </w:tcPr>
          <w:p w14:paraId="4E776137">
            <w:pPr>
              <w:keepNext/>
              <w:spacing w:line="360" w:lineRule="auto"/>
              <w:jc w:val="center"/>
              <w:rPr>
                <w:rFonts w:hint="eastAsia" w:ascii="宋体" w:hAnsi="宋体" w:cs="宋体"/>
                <w:color w:val="000000"/>
                <w:szCs w:val="21"/>
              </w:rPr>
            </w:pPr>
          </w:p>
        </w:tc>
        <w:tc>
          <w:tcPr>
            <w:tcW w:w="502" w:type="pct"/>
            <w:noWrap w:val="0"/>
            <w:vAlign w:val="center"/>
          </w:tcPr>
          <w:p w14:paraId="2B20DF12">
            <w:pPr>
              <w:keepNext/>
              <w:spacing w:line="360" w:lineRule="auto"/>
              <w:jc w:val="center"/>
              <w:rPr>
                <w:rFonts w:hint="eastAsia" w:ascii="宋体" w:hAnsi="宋体" w:cs="宋体"/>
                <w:color w:val="000000"/>
                <w:szCs w:val="21"/>
              </w:rPr>
            </w:pPr>
          </w:p>
        </w:tc>
        <w:tc>
          <w:tcPr>
            <w:tcW w:w="1279" w:type="pct"/>
            <w:noWrap w:val="0"/>
            <w:vAlign w:val="center"/>
          </w:tcPr>
          <w:p w14:paraId="31B8D8EB">
            <w:pPr>
              <w:keepNext/>
              <w:spacing w:line="360" w:lineRule="auto"/>
              <w:jc w:val="center"/>
              <w:rPr>
                <w:rFonts w:hint="eastAsia" w:ascii="宋体" w:hAnsi="宋体" w:cs="宋体"/>
                <w:color w:val="000000"/>
                <w:szCs w:val="21"/>
              </w:rPr>
            </w:pPr>
          </w:p>
        </w:tc>
        <w:tc>
          <w:tcPr>
            <w:tcW w:w="1153" w:type="pct"/>
            <w:noWrap w:val="0"/>
            <w:vAlign w:val="top"/>
          </w:tcPr>
          <w:p w14:paraId="14806CCF">
            <w:pPr>
              <w:keepNext/>
              <w:spacing w:line="360" w:lineRule="auto"/>
              <w:jc w:val="center"/>
              <w:rPr>
                <w:rFonts w:hint="eastAsia" w:ascii="宋体" w:hAnsi="宋体" w:cs="宋体"/>
                <w:color w:val="000000"/>
                <w:szCs w:val="21"/>
              </w:rPr>
            </w:pPr>
          </w:p>
        </w:tc>
      </w:tr>
      <w:tr w14:paraId="2977E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62223052">
            <w:pPr>
              <w:keepNext/>
              <w:spacing w:line="360" w:lineRule="auto"/>
              <w:jc w:val="center"/>
              <w:rPr>
                <w:rFonts w:hint="eastAsia" w:ascii="宋体" w:hAnsi="宋体" w:cs="宋体"/>
                <w:color w:val="000000"/>
                <w:szCs w:val="21"/>
              </w:rPr>
            </w:pPr>
          </w:p>
        </w:tc>
        <w:tc>
          <w:tcPr>
            <w:tcW w:w="627" w:type="pct"/>
            <w:noWrap w:val="0"/>
            <w:vAlign w:val="center"/>
          </w:tcPr>
          <w:p w14:paraId="41631B2E">
            <w:pPr>
              <w:keepNext/>
              <w:spacing w:line="360" w:lineRule="auto"/>
              <w:jc w:val="center"/>
              <w:rPr>
                <w:rFonts w:hint="eastAsia" w:ascii="宋体" w:hAnsi="宋体" w:cs="宋体"/>
                <w:color w:val="000000"/>
                <w:szCs w:val="21"/>
              </w:rPr>
            </w:pPr>
          </w:p>
        </w:tc>
        <w:tc>
          <w:tcPr>
            <w:tcW w:w="502" w:type="pct"/>
            <w:noWrap w:val="0"/>
            <w:vAlign w:val="center"/>
          </w:tcPr>
          <w:p w14:paraId="010D59D3">
            <w:pPr>
              <w:keepNext/>
              <w:spacing w:line="360" w:lineRule="auto"/>
              <w:jc w:val="center"/>
              <w:rPr>
                <w:rFonts w:hint="eastAsia" w:ascii="宋体" w:hAnsi="宋体" w:cs="宋体"/>
                <w:color w:val="000000"/>
                <w:szCs w:val="21"/>
              </w:rPr>
            </w:pPr>
          </w:p>
        </w:tc>
        <w:tc>
          <w:tcPr>
            <w:tcW w:w="502" w:type="pct"/>
            <w:noWrap w:val="0"/>
            <w:vAlign w:val="center"/>
          </w:tcPr>
          <w:p w14:paraId="67E83E8F">
            <w:pPr>
              <w:keepNext/>
              <w:spacing w:line="360" w:lineRule="auto"/>
              <w:jc w:val="center"/>
              <w:rPr>
                <w:rFonts w:hint="eastAsia" w:ascii="宋体" w:hAnsi="宋体" w:cs="宋体"/>
                <w:color w:val="000000"/>
                <w:szCs w:val="21"/>
              </w:rPr>
            </w:pPr>
          </w:p>
        </w:tc>
        <w:tc>
          <w:tcPr>
            <w:tcW w:w="1279" w:type="pct"/>
            <w:noWrap w:val="0"/>
            <w:vAlign w:val="center"/>
          </w:tcPr>
          <w:p w14:paraId="6E48155B">
            <w:pPr>
              <w:keepNext/>
              <w:spacing w:line="360" w:lineRule="auto"/>
              <w:jc w:val="center"/>
              <w:rPr>
                <w:rFonts w:hint="eastAsia" w:ascii="宋体" w:hAnsi="宋体" w:cs="宋体"/>
                <w:color w:val="000000"/>
                <w:szCs w:val="21"/>
              </w:rPr>
            </w:pPr>
          </w:p>
        </w:tc>
        <w:tc>
          <w:tcPr>
            <w:tcW w:w="1153" w:type="pct"/>
            <w:noWrap w:val="0"/>
            <w:vAlign w:val="top"/>
          </w:tcPr>
          <w:p w14:paraId="746FAB77">
            <w:pPr>
              <w:keepNext/>
              <w:spacing w:line="360" w:lineRule="auto"/>
              <w:jc w:val="center"/>
              <w:rPr>
                <w:rFonts w:hint="eastAsia" w:ascii="宋体" w:hAnsi="宋体" w:cs="宋体"/>
                <w:color w:val="000000"/>
                <w:szCs w:val="21"/>
              </w:rPr>
            </w:pPr>
          </w:p>
        </w:tc>
      </w:tr>
      <w:tr w14:paraId="4F67B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31605AFD">
            <w:pPr>
              <w:keepNext/>
              <w:spacing w:line="360" w:lineRule="auto"/>
              <w:jc w:val="center"/>
              <w:rPr>
                <w:rFonts w:hint="eastAsia" w:ascii="宋体" w:hAnsi="宋体" w:cs="宋体"/>
                <w:color w:val="000000"/>
                <w:szCs w:val="21"/>
              </w:rPr>
            </w:pPr>
          </w:p>
        </w:tc>
        <w:tc>
          <w:tcPr>
            <w:tcW w:w="627" w:type="pct"/>
            <w:noWrap w:val="0"/>
            <w:vAlign w:val="center"/>
          </w:tcPr>
          <w:p w14:paraId="58E3D0EC">
            <w:pPr>
              <w:keepNext/>
              <w:spacing w:line="360" w:lineRule="auto"/>
              <w:jc w:val="center"/>
              <w:rPr>
                <w:rFonts w:hint="eastAsia" w:ascii="宋体" w:hAnsi="宋体" w:cs="宋体"/>
                <w:color w:val="000000"/>
                <w:szCs w:val="21"/>
              </w:rPr>
            </w:pPr>
          </w:p>
        </w:tc>
        <w:tc>
          <w:tcPr>
            <w:tcW w:w="502" w:type="pct"/>
            <w:noWrap w:val="0"/>
            <w:vAlign w:val="center"/>
          </w:tcPr>
          <w:p w14:paraId="0808DE1B">
            <w:pPr>
              <w:keepNext/>
              <w:spacing w:line="360" w:lineRule="auto"/>
              <w:jc w:val="center"/>
              <w:rPr>
                <w:rFonts w:hint="eastAsia" w:ascii="宋体" w:hAnsi="宋体" w:cs="宋体"/>
                <w:color w:val="000000"/>
                <w:szCs w:val="21"/>
              </w:rPr>
            </w:pPr>
          </w:p>
        </w:tc>
        <w:tc>
          <w:tcPr>
            <w:tcW w:w="502" w:type="pct"/>
            <w:noWrap w:val="0"/>
            <w:vAlign w:val="center"/>
          </w:tcPr>
          <w:p w14:paraId="6AA869F1">
            <w:pPr>
              <w:keepNext/>
              <w:spacing w:line="360" w:lineRule="auto"/>
              <w:jc w:val="center"/>
              <w:rPr>
                <w:rFonts w:hint="eastAsia" w:ascii="宋体" w:hAnsi="宋体" w:cs="宋体"/>
                <w:color w:val="000000"/>
                <w:szCs w:val="21"/>
              </w:rPr>
            </w:pPr>
          </w:p>
        </w:tc>
        <w:tc>
          <w:tcPr>
            <w:tcW w:w="1279" w:type="pct"/>
            <w:noWrap w:val="0"/>
            <w:vAlign w:val="center"/>
          </w:tcPr>
          <w:p w14:paraId="3799A4B5">
            <w:pPr>
              <w:keepNext/>
              <w:spacing w:line="360" w:lineRule="auto"/>
              <w:jc w:val="center"/>
              <w:rPr>
                <w:rFonts w:hint="eastAsia" w:ascii="宋体" w:hAnsi="宋体" w:cs="宋体"/>
                <w:color w:val="000000"/>
                <w:szCs w:val="21"/>
              </w:rPr>
            </w:pPr>
          </w:p>
        </w:tc>
        <w:tc>
          <w:tcPr>
            <w:tcW w:w="1153" w:type="pct"/>
            <w:noWrap w:val="0"/>
            <w:vAlign w:val="top"/>
          </w:tcPr>
          <w:p w14:paraId="32298BEA">
            <w:pPr>
              <w:keepNext/>
              <w:spacing w:line="360" w:lineRule="auto"/>
              <w:jc w:val="center"/>
              <w:rPr>
                <w:rFonts w:hint="eastAsia" w:ascii="宋体" w:hAnsi="宋体" w:cs="宋体"/>
                <w:color w:val="000000"/>
                <w:szCs w:val="21"/>
              </w:rPr>
            </w:pPr>
          </w:p>
        </w:tc>
      </w:tr>
      <w:tr w14:paraId="6BFF0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noWrap w:val="0"/>
            <w:vAlign w:val="center"/>
          </w:tcPr>
          <w:p w14:paraId="72F9BC1F">
            <w:pPr>
              <w:keepNext/>
              <w:spacing w:line="360" w:lineRule="auto"/>
              <w:jc w:val="center"/>
              <w:rPr>
                <w:rFonts w:hint="eastAsia" w:ascii="宋体" w:hAnsi="宋体" w:cs="宋体"/>
                <w:color w:val="000000"/>
                <w:szCs w:val="21"/>
              </w:rPr>
            </w:pPr>
          </w:p>
        </w:tc>
        <w:tc>
          <w:tcPr>
            <w:tcW w:w="627" w:type="pct"/>
            <w:tcBorders>
              <w:bottom w:val="single" w:color="auto" w:sz="12" w:space="0"/>
            </w:tcBorders>
            <w:noWrap w:val="0"/>
            <w:vAlign w:val="center"/>
          </w:tcPr>
          <w:p w14:paraId="2F373EB0">
            <w:pPr>
              <w:keepNext/>
              <w:spacing w:line="360" w:lineRule="auto"/>
              <w:jc w:val="center"/>
              <w:rPr>
                <w:rFonts w:hint="eastAsia" w:ascii="宋体" w:hAnsi="宋体" w:cs="宋体"/>
                <w:color w:val="000000"/>
                <w:szCs w:val="21"/>
              </w:rPr>
            </w:pPr>
          </w:p>
        </w:tc>
        <w:tc>
          <w:tcPr>
            <w:tcW w:w="502" w:type="pct"/>
            <w:tcBorders>
              <w:bottom w:val="single" w:color="auto" w:sz="12" w:space="0"/>
            </w:tcBorders>
            <w:noWrap w:val="0"/>
            <w:vAlign w:val="center"/>
          </w:tcPr>
          <w:p w14:paraId="6A55EC6E">
            <w:pPr>
              <w:keepNext/>
              <w:spacing w:line="360" w:lineRule="auto"/>
              <w:jc w:val="center"/>
              <w:rPr>
                <w:rFonts w:hint="eastAsia" w:ascii="宋体" w:hAnsi="宋体" w:cs="宋体"/>
                <w:color w:val="000000"/>
                <w:szCs w:val="21"/>
              </w:rPr>
            </w:pPr>
          </w:p>
        </w:tc>
        <w:tc>
          <w:tcPr>
            <w:tcW w:w="502" w:type="pct"/>
            <w:tcBorders>
              <w:bottom w:val="single" w:color="auto" w:sz="12" w:space="0"/>
            </w:tcBorders>
            <w:noWrap w:val="0"/>
            <w:vAlign w:val="center"/>
          </w:tcPr>
          <w:p w14:paraId="0B4276B8">
            <w:pPr>
              <w:keepNext/>
              <w:spacing w:line="360" w:lineRule="auto"/>
              <w:jc w:val="center"/>
              <w:rPr>
                <w:rFonts w:hint="eastAsia" w:ascii="宋体" w:hAnsi="宋体" w:cs="宋体"/>
                <w:color w:val="000000"/>
                <w:szCs w:val="21"/>
              </w:rPr>
            </w:pPr>
          </w:p>
        </w:tc>
        <w:tc>
          <w:tcPr>
            <w:tcW w:w="1279" w:type="pct"/>
            <w:tcBorders>
              <w:bottom w:val="single" w:color="auto" w:sz="12" w:space="0"/>
            </w:tcBorders>
            <w:noWrap w:val="0"/>
            <w:vAlign w:val="center"/>
          </w:tcPr>
          <w:p w14:paraId="7E291446">
            <w:pPr>
              <w:keepNext/>
              <w:spacing w:line="360" w:lineRule="auto"/>
              <w:jc w:val="center"/>
              <w:rPr>
                <w:rFonts w:hint="eastAsia" w:ascii="宋体" w:hAnsi="宋体" w:cs="宋体"/>
                <w:color w:val="000000"/>
                <w:szCs w:val="21"/>
              </w:rPr>
            </w:pPr>
          </w:p>
        </w:tc>
        <w:tc>
          <w:tcPr>
            <w:tcW w:w="1153" w:type="pct"/>
            <w:tcBorders>
              <w:bottom w:val="single" w:color="auto" w:sz="12" w:space="0"/>
            </w:tcBorders>
            <w:noWrap w:val="0"/>
            <w:vAlign w:val="top"/>
          </w:tcPr>
          <w:p w14:paraId="4C689BF9">
            <w:pPr>
              <w:keepNext/>
              <w:spacing w:line="360" w:lineRule="auto"/>
              <w:jc w:val="center"/>
              <w:rPr>
                <w:rFonts w:hint="eastAsia" w:ascii="宋体" w:hAnsi="宋体" w:cs="宋体"/>
                <w:color w:val="000000"/>
                <w:szCs w:val="21"/>
              </w:rPr>
            </w:pPr>
          </w:p>
        </w:tc>
      </w:tr>
    </w:tbl>
    <w:p w14:paraId="73022C1E">
      <w:pPr>
        <w:rPr>
          <w:rFonts w:hint="eastAsia" w:ascii="宋体" w:hAnsi="宋体" w:cs="宋体"/>
          <w:bCs/>
          <w:color w:val="000000"/>
          <w:sz w:val="24"/>
        </w:rPr>
      </w:pPr>
      <w:r>
        <w:rPr>
          <w:rFonts w:hint="eastAsia" w:ascii="宋体" w:hAnsi="宋体" w:cs="宋体"/>
          <w:bCs/>
          <w:color w:val="000000"/>
          <w:sz w:val="24"/>
        </w:rPr>
        <w:br w:type="page"/>
      </w:r>
    </w:p>
    <w:p w14:paraId="079751E1">
      <w:pPr>
        <w:tabs>
          <w:tab w:val="left" w:pos="2820"/>
        </w:tabs>
        <w:outlineLvl w:val="2"/>
        <w:rPr>
          <w:rFonts w:hint="eastAsia" w:ascii="宋体" w:hAnsi="宋体" w:cs="宋体"/>
          <w:sz w:val="32"/>
          <w:szCs w:val="44"/>
        </w:rPr>
      </w:pPr>
      <w:r>
        <w:rPr>
          <w:rFonts w:hint="eastAsia" w:ascii="宋体" w:hAnsi="宋体" w:cs="宋体"/>
          <w:bCs/>
          <w:color w:val="000000"/>
          <w:sz w:val="24"/>
        </w:rPr>
        <w:t>附件</w:t>
      </w:r>
      <w:r>
        <w:rPr>
          <w:rFonts w:hint="eastAsia" w:ascii="宋体" w:hAnsi="宋体" w:cs="宋体"/>
          <w:bCs/>
          <w:color w:val="000000"/>
          <w:sz w:val="24"/>
          <w:lang w:val="en-US" w:eastAsia="zh-CN"/>
        </w:rPr>
        <w:t>5</w:t>
      </w:r>
      <w:bookmarkEnd w:id="906"/>
    </w:p>
    <w:p w14:paraId="217E2009">
      <w:pPr>
        <w:adjustRightInd w:val="0"/>
        <w:snapToGrid w:val="0"/>
        <w:spacing w:line="360" w:lineRule="auto"/>
        <w:jc w:val="center"/>
        <w:rPr>
          <w:rFonts w:hint="eastAsia" w:ascii="宋体" w:hAnsi="宋体" w:cs="宋体"/>
          <w:b/>
          <w:color w:val="000000"/>
          <w:sz w:val="32"/>
          <w:szCs w:val="32"/>
        </w:rPr>
      </w:pPr>
      <w:bookmarkStart w:id="914" w:name="_Toc19059"/>
      <w:bookmarkStart w:id="915" w:name="_Toc20282"/>
      <w:bookmarkStart w:id="916" w:name="_Toc95223514"/>
    </w:p>
    <w:p w14:paraId="4CCBDF1D">
      <w:pPr>
        <w:adjustRightInd w:val="0"/>
        <w:snapToGrid w:val="0"/>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项目经理质量终身责任制承诺</w:t>
      </w:r>
      <w:bookmarkEnd w:id="914"/>
      <w:bookmarkEnd w:id="915"/>
      <w:bookmarkEnd w:id="916"/>
    </w:p>
    <w:p w14:paraId="607F0F61">
      <w:pPr>
        <w:adjustRightInd w:val="0"/>
        <w:snapToGrid w:val="0"/>
        <w:spacing w:line="360" w:lineRule="auto"/>
        <w:rPr>
          <w:rFonts w:hint="eastAsia" w:ascii="宋体" w:hAnsi="宋体" w:cs="宋体"/>
          <w:bCs/>
          <w:color w:val="000000"/>
          <w:sz w:val="24"/>
          <w:szCs w:val="21"/>
        </w:rPr>
      </w:pPr>
    </w:p>
    <w:p w14:paraId="1E0845A8">
      <w:pPr>
        <w:adjustRightInd w:val="0"/>
        <w:snapToGrid w:val="0"/>
        <w:spacing w:line="360" w:lineRule="auto"/>
        <w:rPr>
          <w:rFonts w:hint="eastAsia" w:ascii="宋体" w:hAnsi="宋体" w:cs="宋体"/>
          <w:bCs/>
          <w:color w:val="000000"/>
          <w:sz w:val="24"/>
          <w:szCs w:val="21"/>
        </w:rPr>
      </w:pPr>
      <w:r>
        <w:rPr>
          <w:rFonts w:hint="eastAsia" w:ascii="宋体" w:hAnsi="宋体" w:cs="宋体"/>
          <w:bCs/>
          <w:color w:val="000000"/>
          <w:sz w:val="24"/>
          <w:szCs w:val="21"/>
        </w:rPr>
        <w:t>致：______________(招标人名称)</w:t>
      </w:r>
    </w:p>
    <w:p w14:paraId="57F245E3">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本人作为拟委任的施工项目经理，承担相关质量终身责任，现郑重承诺如下：</w:t>
      </w:r>
    </w:p>
    <w:p w14:paraId="1EFA0257">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一、在取得施工许可证后进行施工。</w:t>
      </w:r>
    </w:p>
    <w:p w14:paraId="774C4D1A">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二、严格执行施工规范及标准。</w:t>
      </w:r>
    </w:p>
    <w:p w14:paraId="1F67705D">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三、严格按规定配备施工项目部关键岗位人员，并确保所有人员到岗履职。</w:t>
      </w:r>
    </w:p>
    <w:p w14:paraId="59EBB8B8">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四、严格按照经施工图审查机构审查合格的工程设计文件及合同约定的质量标准精心组织施工。</w:t>
      </w:r>
    </w:p>
    <w:p w14:paraId="03A441E9">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五、施工中采用合格的建筑材料、建筑构配件和设备等，并严格按规定执行见证取样制度。</w:t>
      </w:r>
    </w:p>
    <w:p w14:paraId="67FF5592">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六、建立、健全质量检查、验收制度，严格工序管理，做好隐蔽工程质量的检查和记录。</w:t>
      </w:r>
    </w:p>
    <w:p w14:paraId="14939162">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七、对施工中出现的质量问题，及时进行整改。严格依法依规履行义务。</w:t>
      </w:r>
    </w:p>
    <w:p w14:paraId="3376852A">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八、履行相关工程质量检查、验收及事故处理等职责。</w:t>
      </w:r>
    </w:p>
    <w:p w14:paraId="203A7B2D">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九、履行其他法律法规规定的职责。</w:t>
      </w:r>
    </w:p>
    <w:p w14:paraId="6C35E2F0">
      <w:pPr>
        <w:spacing w:line="360" w:lineRule="auto"/>
        <w:ind w:left="359" w:leftChars="171" w:firstLine="720" w:firstLineChars="300"/>
        <w:rPr>
          <w:rFonts w:hint="eastAsia" w:ascii="宋体" w:hAnsi="宋体" w:cs="宋体"/>
          <w:bCs/>
          <w:color w:val="000000"/>
          <w:sz w:val="24"/>
          <w:szCs w:val="21"/>
        </w:rPr>
      </w:pPr>
    </w:p>
    <w:p w14:paraId="044DFED7">
      <w:pPr>
        <w:spacing w:line="360" w:lineRule="auto"/>
        <w:ind w:left="359" w:leftChars="171" w:firstLine="720" w:firstLineChars="300"/>
        <w:rPr>
          <w:rFonts w:hint="eastAsia" w:ascii="宋体" w:hAnsi="宋体" w:cs="宋体"/>
          <w:bCs/>
          <w:color w:val="000000"/>
          <w:sz w:val="24"/>
          <w:szCs w:val="21"/>
        </w:rPr>
      </w:pPr>
    </w:p>
    <w:p w14:paraId="61F436CC">
      <w:pPr>
        <w:spacing w:line="360" w:lineRule="auto"/>
        <w:ind w:left="359" w:leftChars="171" w:firstLine="720" w:firstLineChars="300"/>
        <w:jc w:val="right"/>
        <w:rPr>
          <w:rFonts w:hint="eastAsia" w:ascii="宋体" w:hAnsi="宋体" w:cs="宋体"/>
          <w:bCs/>
          <w:color w:val="000000"/>
          <w:sz w:val="24"/>
          <w:szCs w:val="21"/>
        </w:rPr>
      </w:pPr>
      <w:r>
        <w:rPr>
          <w:rFonts w:hint="eastAsia" w:ascii="宋体" w:hAnsi="宋体" w:cs="宋体"/>
          <w:bCs/>
          <w:color w:val="000000"/>
          <w:sz w:val="24"/>
          <w:szCs w:val="21"/>
        </w:rPr>
        <w:t>项目经理：</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（签字）</w:t>
      </w:r>
    </w:p>
    <w:p w14:paraId="6209D641">
      <w:pPr>
        <w:pStyle w:val="2"/>
        <w:ind w:firstLine="480"/>
        <w:jc w:val="right"/>
        <w:rPr>
          <w:rFonts w:hint="eastAsia" w:ascii="宋体" w:hAnsi="宋体" w:cs="宋体"/>
          <w:bCs/>
          <w:color w:val="000000"/>
          <w:sz w:val="24"/>
          <w:szCs w:val="21"/>
        </w:rPr>
      </w:pPr>
      <w:r>
        <w:rPr>
          <w:rFonts w:hint="eastAsia" w:ascii="宋体" w:hAnsi="宋体" w:cs="宋体"/>
          <w:bCs/>
          <w:color w:val="000000"/>
          <w:sz w:val="24"/>
          <w:szCs w:val="21"/>
        </w:rPr>
        <w:t>日期：_____年____月____日</w:t>
      </w:r>
    </w:p>
    <w:p w14:paraId="38F7EA0E">
      <w:pPr>
        <w:spacing w:line="360" w:lineRule="auto"/>
        <w:rPr>
          <w:rFonts w:hint="eastAsia" w:ascii="宋体" w:hAnsi="宋体" w:cs="宋体"/>
          <w:color w:val="000000"/>
          <w:szCs w:val="21"/>
        </w:rPr>
      </w:pPr>
    </w:p>
    <w:p w14:paraId="63800E6E">
      <w:pPr>
        <w:rPr>
          <w:rFonts w:hint="eastAsia"/>
        </w:rPr>
      </w:pPr>
    </w:p>
    <w:p w14:paraId="26B5AD5D">
      <w:pPr>
        <w:pStyle w:val="2"/>
        <w:rPr>
          <w:rFonts w:hint="eastAsia"/>
        </w:rPr>
      </w:pPr>
    </w:p>
    <w:p w14:paraId="56AC9468">
      <w:pPr>
        <w:rPr>
          <w:rFonts w:hint="eastAsia"/>
        </w:rPr>
      </w:pPr>
    </w:p>
    <w:p w14:paraId="0A5802DA">
      <w:pPr>
        <w:pStyle w:val="2"/>
        <w:rPr>
          <w:rFonts w:hint="eastAsia"/>
        </w:rPr>
      </w:pPr>
    </w:p>
    <w:p w14:paraId="1BFB17F1">
      <w:pPr>
        <w:rPr>
          <w:rFonts w:hint="eastAsia"/>
        </w:rPr>
      </w:pPr>
    </w:p>
    <w:p w14:paraId="13205218">
      <w:pPr>
        <w:pStyle w:val="2"/>
        <w:rPr>
          <w:rFonts w:hint="eastAsia"/>
        </w:rPr>
      </w:pPr>
    </w:p>
    <w:p w14:paraId="74A8E635">
      <w:pPr>
        <w:rPr>
          <w:rFonts w:hint="eastAsia"/>
        </w:rPr>
      </w:pPr>
    </w:p>
    <w:p w14:paraId="4C2A5DB5">
      <w:pPr>
        <w:rPr>
          <w:rFonts w:hint="eastAsia"/>
        </w:rPr>
      </w:pPr>
      <w:r>
        <w:rPr>
          <w:rFonts w:hint="eastAsia"/>
        </w:rPr>
        <w:br w:type="page"/>
      </w:r>
    </w:p>
    <w:p w14:paraId="6658E593">
      <w:pPr>
        <w:rPr>
          <w:rFonts w:hint="eastAsia"/>
        </w:rPr>
      </w:pPr>
    </w:p>
    <w:p w14:paraId="26189632">
      <w:pPr>
        <w:rPr>
          <w:rFonts w:hint="eastAsia"/>
        </w:rPr>
      </w:pPr>
    </w:p>
    <w:p w14:paraId="5DB0321E">
      <w:pPr>
        <w:keepNext/>
        <w:keepLines/>
        <w:spacing w:line="360" w:lineRule="auto"/>
        <w:ind w:firstLine="420"/>
        <w:jc w:val="center"/>
        <w:outlineLvl w:val="0"/>
        <w:rPr>
          <w:rFonts w:hint="eastAsia" w:ascii="宋体" w:hAnsi="宋体" w:cs="宋体"/>
          <w:bCs/>
          <w:color w:val="auto"/>
          <w:kern w:val="44"/>
          <w:sz w:val="36"/>
          <w:szCs w:val="36"/>
        </w:rPr>
      </w:pPr>
      <w:bookmarkStart w:id="917" w:name="_Toc4767"/>
      <w:bookmarkStart w:id="918" w:name="_Toc95223515"/>
    </w:p>
    <w:p w14:paraId="174C7D80">
      <w:pPr>
        <w:keepNext/>
        <w:keepLines/>
        <w:numPr>
          <w:ilvl w:val="0"/>
          <w:numId w:val="5"/>
        </w:numPr>
        <w:spacing w:line="360" w:lineRule="auto"/>
        <w:jc w:val="center"/>
        <w:outlineLvl w:val="0"/>
        <w:rPr>
          <w:rFonts w:hint="eastAsia" w:ascii="宋体" w:hAnsi="宋体" w:eastAsia="宋体" w:cs="宋体"/>
          <w:b/>
          <w:bCs/>
          <w:color w:val="auto"/>
          <w:kern w:val="44"/>
          <w:sz w:val="32"/>
          <w:szCs w:val="44"/>
        </w:rPr>
      </w:pPr>
      <w:r>
        <w:rPr>
          <w:rFonts w:hint="eastAsia" w:ascii="宋体" w:hAnsi="宋体" w:eastAsia="宋体" w:cs="宋体"/>
          <w:b/>
          <w:bCs/>
          <w:color w:val="auto"/>
          <w:kern w:val="44"/>
          <w:sz w:val="32"/>
          <w:szCs w:val="44"/>
        </w:rPr>
        <w:t>工程量清单</w:t>
      </w:r>
      <w:bookmarkEnd w:id="917"/>
      <w:bookmarkEnd w:id="918"/>
    </w:p>
    <w:p w14:paraId="31218525">
      <w:pPr>
        <w:adjustRightInd w:val="0"/>
        <w:snapToGrid w:val="0"/>
        <w:spacing w:line="360" w:lineRule="auto"/>
        <w:ind w:firstLine="840" w:firstLineChars="400"/>
        <w:jc w:val="center"/>
        <w:rPr>
          <w:rFonts w:hint="eastAsia" w:ascii="宋体" w:hAnsi="宋体" w:cs="宋体"/>
          <w:color w:val="000000"/>
          <w:szCs w:val="21"/>
          <w:lang w:val="en-US" w:eastAsia="zh-CN"/>
        </w:rPr>
      </w:pPr>
    </w:p>
    <w:p w14:paraId="40D476B4">
      <w:pPr>
        <w:adjustRightInd w:val="0"/>
        <w:snapToGrid w:val="0"/>
        <w:spacing w:line="360" w:lineRule="auto"/>
        <w:ind w:firstLine="840" w:firstLineChars="400"/>
        <w:jc w:val="center"/>
        <w:rPr>
          <w:rFonts w:hint="eastAsia" w:ascii="宋体" w:hAnsi="宋体" w:eastAsia="宋体" w:cs="宋体"/>
          <w:color w:val="auto"/>
          <w:szCs w:val="21"/>
          <w:lang w:eastAsia="zh-CN"/>
        </w:rPr>
      </w:pPr>
      <w:r>
        <w:rPr>
          <w:rFonts w:hint="eastAsia" w:ascii="宋体" w:hAnsi="宋体" w:cs="宋体"/>
          <w:color w:val="000000"/>
          <w:szCs w:val="21"/>
          <w:lang w:val="en-US" w:eastAsia="zh-CN"/>
        </w:rPr>
        <w:t>另附</w:t>
      </w:r>
      <w:r>
        <w:rPr>
          <w:rFonts w:hint="eastAsia" w:ascii="宋体" w:hAnsi="宋体" w:cs="宋体"/>
          <w:color w:val="000000"/>
          <w:szCs w:val="21"/>
          <w:lang w:eastAsia="zh-CN"/>
        </w:rPr>
        <w:t>。</w:t>
      </w:r>
    </w:p>
    <w:p w14:paraId="62B3E90A">
      <w:pPr>
        <w:rPr>
          <w:rFonts w:hint="eastAsia" w:ascii="宋体" w:hAnsi="宋体" w:cs="宋体"/>
          <w:b/>
          <w:color w:val="auto"/>
        </w:rPr>
      </w:pPr>
    </w:p>
    <w:p w14:paraId="6A3A0C3C">
      <w:pPr>
        <w:keepNext/>
        <w:keepLines/>
        <w:numPr>
          <w:ilvl w:val="0"/>
          <w:numId w:val="5"/>
        </w:numPr>
        <w:spacing w:line="360" w:lineRule="auto"/>
        <w:jc w:val="center"/>
        <w:outlineLvl w:val="0"/>
        <w:rPr>
          <w:rFonts w:hint="eastAsia" w:ascii="宋体" w:hAnsi="宋体" w:cs="宋体"/>
          <w:b/>
          <w:bCs/>
          <w:color w:val="auto"/>
          <w:kern w:val="44"/>
          <w:sz w:val="32"/>
          <w:szCs w:val="44"/>
        </w:rPr>
      </w:pPr>
      <w:bookmarkStart w:id="919" w:name="_Toc95223522"/>
      <w:bookmarkStart w:id="920" w:name="_Toc10656"/>
      <w:r>
        <w:rPr>
          <w:rFonts w:hint="eastAsia" w:ascii="宋体" w:hAnsi="宋体" w:cs="宋体"/>
          <w:b/>
          <w:bCs/>
          <w:color w:val="auto"/>
          <w:kern w:val="44"/>
          <w:sz w:val="32"/>
          <w:szCs w:val="44"/>
        </w:rPr>
        <w:t>图纸</w:t>
      </w:r>
      <w:bookmarkEnd w:id="919"/>
      <w:bookmarkEnd w:id="920"/>
    </w:p>
    <w:p w14:paraId="1A390433">
      <w:pPr>
        <w:numPr>
          <w:ilvl w:val="0"/>
          <w:numId w:val="0"/>
        </w:numPr>
        <w:jc w:val="center"/>
        <w:outlineLvl w:val="1"/>
        <w:rPr>
          <w:rFonts w:hint="eastAsia" w:ascii="宋体" w:hAnsi="宋体" w:cs="宋体"/>
          <w:color w:val="auto"/>
        </w:rPr>
      </w:pPr>
      <w:bookmarkStart w:id="921" w:name="_Toc95223524"/>
      <w:bookmarkStart w:id="922" w:name="_Toc23955"/>
    </w:p>
    <w:p w14:paraId="7CE0814A">
      <w:pPr>
        <w:numPr>
          <w:ilvl w:val="0"/>
          <w:numId w:val="0"/>
        </w:numPr>
        <w:jc w:val="center"/>
        <w:outlineLvl w:val="1"/>
        <w:rPr>
          <w:rFonts w:hint="eastAsia" w:ascii="宋体" w:hAnsi="宋体" w:cs="宋体"/>
          <w:color w:val="auto"/>
        </w:rPr>
      </w:pPr>
      <w:r>
        <w:rPr>
          <w:rFonts w:hint="eastAsia" w:ascii="宋体" w:hAnsi="宋体" w:cs="宋体"/>
          <w:color w:val="auto"/>
          <w:lang w:val="en-US" w:eastAsia="zh-CN"/>
        </w:rPr>
        <w:t xml:space="preserve">        </w:t>
      </w:r>
      <w:r>
        <w:rPr>
          <w:rFonts w:hint="eastAsia" w:ascii="宋体" w:hAnsi="宋体" w:cs="宋体"/>
          <w:color w:val="auto"/>
        </w:rPr>
        <w:t>另</w:t>
      </w:r>
      <w:r>
        <w:rPr>
          <w:rFonts w:hint="eastAsia" w:ascii="宋体" w:hAnsi="宋体" w:cs="宋体"/>
          <w:color w:val="auto"/>
          <w:lang w:val="en-US" w:eastAsia="zh-CN"/>
        </w:rPr>
        <w:t>附</w:t>
      </w:r>
      <w:bookmarkEnd w:id="921"/>
      <w:bookmarkEnd w:id="922"/>
      <w:r>
        <w:rPr>
          <w:rFonts w:hint="eastAsia" w:ascii="宋体" w:hAnsi="宋体" w:cs="宋体"/>
          <w:color w:val="auto"/>
          <w:lang w:val="en-US" w:eastAsia="zh-CN"/>
        </w:rPr>
        <w:t>。</w:t>
      </w:r>
    </w:p>
    <w:p w14:paraId="1D9C05F5">
      <w:pPr>
        <w:keepNext/>
        <w:keepLines/>
        <w:numPr>
          <w:ilvl w:val="0"/>
          <w:numId w:val="5"/>
        </w:numPr>
        <w:spacing w:line="360" w:lineRule="auto"/>
        <w:jc w:val="center"/>
        <w:outlineLvl w:val="0"/>
        <w:rPr>
          <w:rFonts w:hint="default" w:ascii="宋体" w:hAnsi="宋体" w:eastAsia="宋体" w:cs="宋体"/>
          <w:b/>
          <w:bCs/>
          <w:color w:val="auto"/>
          <w:kern w:val="44"/>
          <w:sz w:val="32"/>
          <w:szCs w:val="44"/>
          <w:lang w:val="en-US" w:eastAsia="zh-CN"/>
        </w:rPr>
      </w:pPr>
      <w:r>
        <w:rPr>
          <w:rFonts w:hint="eastAsia" w:ascii="宋体" w:hAnsi="宋体" w:eastAsia="宋体" w:cs="宋体"/>
          <w:b/>
          <w:bCs/>
          <w:color w:val="auto"/>
          <w:kern w:val="44"/>
          <w:sz w:val="32"/>
          <w:szCs w:val="44"/>
        </w:rPr>
        <w:t xml:space="preserve"> 技术标准和要求</w:t>
      </w:r>
    </w:p>
    <w:p w14:paraId="295976DA">
      <w:pPr>
        <w:numPr>
          <w:ilvl w:val="0"/>
          <w:numId w:val="0"/>
        </w:numPr>
        <w:jc w:val="center"/>
        <w:outlineLvl w:val="1"/>
        <w:rPr>
          <w:rFonts w:hint="eastAsia" w:ascii="宋体" w:hAnsi="宋体" w:eastAsia="宋体" w:cs="宋体"/>
          <w:color w:val="auto"/>
        </w:rPr>
      </w:pPr>
      <w:r>
        <w:rPr>
          <w:rFonts w:hint="eastAsia" w:ascii="宋体" w:hAnsi="宋体" w:eastAsia="宋体" w:cs="宋体"/>
          <w:color w:val="auto"/>
          <w:lang w:val="en-US" w:eastAsia="zh-CN"/>
        </w:rPr>
        <w:t>图纸和工程量清单中的所有内容</w:t>
      </w:r>
      <w:r>
        <w:rPr>
          <w:rFonts w:hint="eastAsia" w:ascii="宋体" w:hAnsi="宋体" w:cs="宋体"/>
          <w:color w:val="auto"/>
          <w:lang w:val="en-US" w:eastAsia="zh-CN"/>
        </w:rPr>
        <w:t>。</w:t>
      </w:r>
    </w:p>
    <w:bookmarkEnd w:id="863"/>
    <w:bookmarkEnd w:id="864"/>
    <w:bookmarkEnd w:id="865"/>
    <w:bookmarkEnd w:id="866"/>
    <w:p w14:paraId="28384113">
      <w:pPr>
        <w:numPr>
          <w:ilvl w:val="0"/>
          <w:numId w:val="0"/>
        </w:numPr>
        <w:jc w:val="center"/>
        <w:outlineLvl w:val="1"/>
        <w:rPr>
          <w:rFonts w:hint="eastAsia" w:ascii="宋体" w:hAnsi="宋体" w:eastAsia="宋体" w:cs="宋体"/>
          <w:color w:val="auto"/>
        </w:rPr>
      </w:pPr>
    </w:p>
    <w:p w14:paraId="3A3DFD1F">
      <w:pPr>
        <w:pStyle w:val="44"/>
        <w:spacing w:beforeLines="50" w:afterLines="50" w:line="440" w:lineRule="exact"/>
        <w:rPr>
          <w:bCs/>
          <w:szCs w:val="32"/>
          <w:highlight w:val="none"/>
        </w:rPr>
      </w:pPr>
      <w:bookmarkStart w:id="923" w:name="_Toc324404888"/>
      <w:bookmarkStart w:id="924" w:name="_Toc152042575"/>
      <w:bookmarkStart w:id="925" w:name="_Toc35424970"/>
      <w:bookmarkStart w:id="926" w:name="_Toc15058934"/>
      <w:bookmarkStart w:id="927" w:name="_Toc246997097"/>
      <w:bookmarkStart w:id="928" w:name="_Toc179632806"/>
      <w:bookmarkStart w:id="929" w:name="_Toc506107340"/>
      <w:bookmarkStart w:id="930" w:name="_Toc78803398"/>
      <w:bookmarkStart w:id="931" w:name="_Toc144974855"/>
      <w:bookmarkStart w:id="932" w:name="_Toc247085872"/>
      <w:bookmarkStart w:id="933" w:name="_Toc246996354"/>
      <w:bookmarkStart w:id="934" w:name="_Toc152045786"/>
      <w:bookmarkStart w:id="935" w:name="_Toc35425136"/>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九</w:t>
      </w:r>
      <w:r>
        <w:rPr>
          <w:rFonts w:hint="eastAsia"/>
          <w:bCs/>
          <w:szCs w:val="32"/>
          <w:highlight w:val="none"/>
        </w:rPr>
        <w:t>章  投标文件格式</w:t>
      </w:r>
      <w:bookmarkEnd w:id="923"/>
      <w:bookmarkEnd w:id="924"/>
      <w:bookmarkEnd w:id="925"/>
      <w:bookmarkEnd w:id="926"/>
      <w:bookmarkEnd w:id="927"/>
      <w:bookmarkEnd w:id="928"/>
      <w:bookmarkEnd w:id="929"/>
      <w:bookmarkEnd w:id="930"/>
      <w:bookmarkEnd w:id="931"/>
      <w:bookmarkEnd w:id="932"/>
      <w:bookmarkEnd w:id="933"/>
      <w:bookmarkEnd w:id="934"/>
      <w:bookmarkEnd w:id="935"/>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2"/>
        <w:ind w:firstLine="420"/>
        <w:rPr>
          <w:rFonts w:ascii="Times New Roman"/>
          <w:szCs w:val="24"/>
          <w:highlight w:val="none"/>
        </w:rPr>
      </w:pPr>
    </w:p>
    <w:p w14:paraId="3062FE47">
      <w:pPr>
        <w:rPr>
          <w:rFonts w:ascii="Times New Roman"/>
          <w:szCs w:val="24"/>
          <w:highlight w:val="none"/>
        </w:rPr>
      </w:pPr>
    </w:p>
    <w:p w14:paraId="78F93F73">
      <w:pPr>
        <w:pStyle w:val="2"/>
        <w:rPr>
          <w:rFonts w:ascii="Times New Roman"/>
          <w:szCs w:val="24"/>
          <w:highlight w:val="none"/>
        </w:rPr>
      </w:pPr>
    </w:p>
    <w:p w14:paraId="1E9D0BD8">
      <w:pPr>
        <w:rPr>
          <w:rFonts w:ascii="Times New Roman"/>
          <w:szCs w:val="24"/>
          <w:highlight w:val="none"/>
        </w:rPr>
      </w:pPr>
    </w:p>
    <w:p w14:paraId="13AFD6AD">
      <w:pPr>
        <w:pStyle w:val="2"/>
      </w:pPr>
    </w:p>
    <w:p w14:paraId="0799C826">
      <w:pPr>
        <w:pStyle w:val="2"/>
        <w:ind w:firstLine="420"/>
        <w:rPr>
          <w:highlight w:val="none"/>
        </w:rPr>
      </w:pPr>
    </w:p>
    <w:p w14:paraId="63F5BB9B">
      <w:pPr>
        <w:rPr>
          <w:rFonts w:eastAsia="黑体"/>
          <w:sz w:val="28"/>
          <w:szCs w:val="28"/>
          <w:highlight w:val="none"/>
        </w:rPr>
      </w:pPr>
    </w:p>
    <w:p w14:paraId="6ECEBDFF">
      <w:pPr>
        <w:keepNext w:val="0"/>
        <w:keepLines w:val="0"/>
        <w:pageBreakBefore w:val="0"/>
        <w:widowControl w:val="0"/>
        <w:kinsoku/>
        <w:wordWrap/>
        <w:overflowPunct/>
        <w:topLinePunct w:val="0"/>
        <w:autoSpaceDE/>
        <w:autoSpaceDN/>
        <w:bidi w:val="0"/>
        <w:adjustRightInd/>
        <w:snapToGrid/>
        <w:spacing w:line="720" w:lineRule="auto"/>
        <w:textAlignment w:val="auto"/>
        <w:rPr>
          <w:rFonts w:eastAsia="黑体"/>
          <w:sz w:val="28"/>
          <w:szCs w:val="28"/>
          <w:highlight w:val="none"/>
        </w:rPr>
      </w:pPr>
    </w:p>
    <w:p w14:paraId="6252277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097218C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211A5D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7802AEA0">
      <w:pPr>
        <w:rPr>
          <w:highlight w:val="none"/>
        </w:rPr>
      </w:pPr>
      <w:bookmarkStart w:id="936" w:name="_Toc12683"/>
      <w:bookmarkStart w:id="937" w:name="_Toc35425137"/>
      <w:bookmarkStart w:id="938" w:name="_Toc35424971"/>
    </w:p>
    <w:p w14:paraId="0EBCA57C">
      <w:pPr>
        <w:spacing w:beforeLines="50" w:afterLines="50" w:line="440" w:lineRule="exact"/>
        <w:ind w:firstLine="643" w:firstLineChars="200"/>
        <w:jc w:val="left"/>
        <w:rPr>
          <w:rFonts w:ascii="宋体" w:hAnsi="宋体" w:cs="宋体"/>
          <w:b/>
          <w:sz w:val="28"/>
          <w:szCs w:val="28"/>
          <w:highlight w:val="none"/>
        </w:rPr>
      </w:pPr>
      <w:bookmarkStart w:id="939" w:name="_Toc78803399"/>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936"/>
      <w:bookmarkEnd w:id="937"/>
      <w:bookmarkEnd w:id="938"/>
      <w:bookmarkEnd w:id="939"/>
      <w:r>
        <w:rPr>
          <w:rFonts w:hint="eastAsia" w:ascii="宋体" w:hAnsi="宋体" w:cs="宋体"/>
          <w:b/>
          <w:sz w:val="28"/>
          <w:szCs w:val="28"/>
          <w:highlight w:val="none"/>
        </w:rPr>
        <w:t>：资信证明文件目录</w:t>
      </w:r>
    </w:p>
    <w:p w14:paraId="649C76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50C7D52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4E5CBE1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4DBAE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r>
        <w:rPr>
          <w:rFonts w:hint="eastAsia" w:ascii="宋体" w:hAnsi="宋体" w:cs="宋体"/>
          <w:szCs w:val="21"/>
          <w:highlight w:val="none"/>
          <w:lang w:val="en-US" w:eastAsia="zh-CN"/>
        </w:rPr>
        <w:t>及</w:t>
      </w:r>
      <w:r>
        <w:rPr>
          <w:rFonts w:hint="eastAsia" w:ascii="宋体" w:hAnsi="宋体" w:cs="宋体"/>
          <w:color w:val="000000"/>
          <w:szCs w:val="21"/>
        </w:rPr>
        <w:t>企业安全生产许可证</w:t>
      </w:r>
      <w:r>
        <w:rPr>
          <w:rFonts w:hint="eastAsia" w:ascii="宋体" w:hAnsi="宋体" w:cs="宋体"/>
          <w:szCs w:val="21"/>
          <w:highlight w:val="none"/>
        </w:rPr>
        <w:t>；</w:t>
      </w:r>
    </w:p>
    <w:p w14:paraId="548842A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rPr>
        <w:t>项目经理（建造师）有效身份证、注册证书以及安全生产考核合格证书（B证）</w:t>
      </w:r>
      <w:r>
        <w:rPr>
          <w:rFonts w:hint="eastAsia" w:ascii="宋体" w:hAnsi="宋体" w:cs="宋体"/>
          <w:szCs w:val="21"/>
          <w:highlight w:val="none"/>
        </w:rPr>
        <w:t>；</w:t>
      </w:r>
    </w:p>
    <w:p w14:paraId="01EE252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lang w:eastAsia="zh-CN"/>
        </w:rPr>
        <w:t>；</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rPr>
        <w:t>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940" w:name="_Toc503196197"/>
      <w:bookmarkStart w:id="941" w:name="_Toc26598"/>
      <w:bookmarkStart w:id="942" w:name="_Toc506107356"/>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666987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1DB5A0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1B9326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5287610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sz w:val="28"/>
          <w:szCs w:val="28"/>
          <w:highlight w:val="none"/>
        </w:rPr>
      </w:pPr>
      <w:r>
        <w:rPr>
          <w:rFonts w:hint="eastAsia"/>
          <w:b/>
          <w:sz w:val="28"/>
          <w:szCs w:val="28"/>
          <w:highlight w:val="none"/>
        </w:rPr>
        <w:t>（2）诚信投标承诺书</w:t>
      </w:r>
      <w:bookmarkEnd w:id="940"/>
      <w:bookmarkEnd w:id="941"/>
      <w:bookmarkEnd w:id="942"/>
    </w:p>
    <w:p w14:paraId="4F449F9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42A349F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（企业名称）或</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或拟派项目经理（负责人）      没有下列情形：</w:t>
      </w:r>
      <w:bookmarkStart w:id="943" w:name="OLE_LINK134"/>
      <w:bookmarkStart w:id="944" w:name="OLE_LINK133"/>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43"/>
      <w:bookmarkEnd w:id="944"/>
      <w:r>
        <w:rPr>
          <w:rFonts w:hint="eastAsia" w:ascii="宋体" w:hAnsi="宋体" w:eastAsia="宋体" w:cs="Times New Roman"/>
          <w:szCs w:val="21"/>
          <w:highlight w:val="none"/>
        </w:rPr>
        <w:t>若招标文件对投标人所属分公司、办事处等分支机构有上述1-10项信誉要求，在此一并承诺我公司所属分公司、办事处等分支机构没有上述1-10项情形）</w:t>
      </w:r>
    </w:p>
    <w:p w14:paraId="007134E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5F54C7E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p>
    <w:p w14:paraId="635156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80" w:lineRule="exact"/>
        <w:ind w:firstLine="5250" w:firstLineChars="2500"/>
        <w:textAlignment w:val="auto"/>
        <w:rPr>
          <w:highlight w:val="none"/>
        </w:rPr>
      </w:pPr>
      <w:r>
        <w:rPr>
          <w:rFonts w:hint="eastAsia" w:ascii="宋体" w:hAnsi="宋体"/>
          <w:szCs w:val="21"/>
          <w:highlight w:val="none"/>
        </w:rPr>
        <w:t>日期：    年   月   日</w:t>
      </w:r>
    </w:p>
    <w:p w14:paraId="364DDAFB">
      <w:pPr>
        <w:rPr>
          <w:rFonts w:eastAsia="黑体"/>
          <w:sz w:val="28"/>
          <w:szCs w:val="28"/>
          <w:highlight w:val="none"/>
          <w:u w:val="single"/>
        </w:rPr>
      </w:pPr>
      <w:r>
        <w:rPr>
          <w:rFonts w:hint="eastAsia" w:ascii="宋体" w:hAnsi="宋体"/>
          <w:b/>
          <w:sz w:val="32"/>
          <w:szCs w:val="32"/>
          <w:highlight w:val="none"/>
        </w:rPr>
        <w:br w:type="page"/>
      </w:r>
    </w:p>
    <w:p w14:paraId="7E41CCC7">
      <w:pPr>
        <w:rPr>
          <w:highlight w:val="none"/>
        </w:rPr>
      </w:pPr>
    </w:p>
    <w:p w14:paraId="15A2C948">
      <w:pPr>
        <w:pStyle w:val="2"/>
        <w:rPr>
          <w:highlight w:val="none"/>
        </w:rPr>
      </w:pPr>
    </w:p>
    <w:p w14:paraId="37AFF5C8">
      <w:pPr>
        <w:rPr>
          <w:highlight w:val="none"/>
        </w:rPr>
      </w:pPr>
    </w:p>
    <w:p w14:paraId="10A94BA1">
      <w:pPr>
        <w:pStyle w:val="2"/>
      </w:pPr>
    </w:p>
    <w:p w14:paraId="50582D72"/>
    <w:p w14:paraId="4408DAAE">
      <w:pPr>
        <w:pStyle w:val="2"/>
      </w:pPr>
    </w:p>
    <w:p w14:paraId="1ADCBC81"/>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hint="eastAsia" w:eastAsia="黑体"/>
          <w:sz w:val="44"/>
          <w:szCs w:val="44"/>
          <w:highlight w:val="none"/>
          <w:lang w:eastAsia="zh-CN"/>
        </w:rPr>
      </w:pPr>
      <w:r>
        <w:rPr>
          <w:rFonts w:eastAsia="黑体"/>
          <w:sz w:val="44"/>
          <w:szCs w:val="44"/>
          <w:highlight w:val="none"/>
        </w:rPr>
        <w:t>投  标  文  件</w:t>
      </w:r>
      <w:r>
        <w:rPr>
          <w:rFonts w:hint="eastAsia" w:eastAsia="黑体"/>
          <w:sz w:val="44"/>
          <w:szCs w:val="44"/>
          <w:highlight w:val="none"/>
        </w:rPr>
        <w:t xml:space="preserve">  </w:t>
      </w:r>
      <w:r>
        <w:rPr>
          <w:rFonts w:hint="eastAsia" w:eastAsia="黑体"/>
          <w:sz w:val="44"/>
          <w:szCs w:val="44"/>
          <w:highlight w:val="none"/>
          <w:lang w:val="en-US" w:eastAsia="zh-CN"/>
        </w:rPr>
        <w:t>二</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6F4198FD">
      <w:pPr>
        <w:rPr>
          <w:rFonts w:eastAsia="黑体"/>
          <w:sz w:val="28"/>
          <w:szCs w:val="28"/>
          <w:highlight w:val="none"/>
        </w:rPr>
      </w:pPr>
    </w:p>
    <w:p w14:paraId="18D553B1">
      <w:pPr>
        <w:rPr>
          <w:rFonts w:eastAsia="黑体"/>
          <w:sz w:val="28"/>
          <w:szCs w:val="28"/>
          <w:highlight w:val="none"/>
        </w:rPr>
      </w:pPr>
    </w:p>
    <w:p w14:paraId="0E5FE50F">
      <w:pPr>
        <w:rPr>
          <w:rFonts w:eastAsia="黑体"/>
          <w:sz w:val="28"/>
          <w:szCs w:val="28"/>
          <w:highlight w:val="none"/>
        </w:rPr>
      </w:pPr>
    </w:p>
    <w:p w14:paraId="74AFA9E2">
      <w:pPr>
        <w:rPr>
          <w:rFonts w:eastAsia="黑体"/>
          <w:sz w:val="28"/>
          <w:szCs w:val="28"/>
          <w:highlight w:val="none"/>
        </w:rPr>
      </w:pPr>
    </w:p>
    <w:p w14:paraId="078AB10D">
      <w:pPr>
        <w:rPr>
          <w:rFonts w:eastAsia="黑体"/>
          <w:sz w:val="28"/>
          <w:szCs w:val="28"/>
          <w:highlight w:val="none"/>
        </w:rPr>
      </w:pPr>
    </w:p>
    <w:p w14:paraId="5C03182B">
      <w:pPr>
        <w:rPr>
          <w:rFonts w:eastAsia="黑体"/>
          <w:sz w:val="28"/>
          <w:szCs w:val="28"/>
          <w:highlight w:val="none"/>
        </w:rPr>
      </w:pPr>
    </w:p>
    <w:p w14:paraId="50FB798D">
      <w:pPr>
        <w:rPr>
          <w:rFonts w:eastAsia="黑体"/>
          <w:sz w:val="28"/>
          <w:szCs w:val="28"/>
          <w:highlight w:val="none"/>
        </w:rPr>
      </w:pPr>
    </w:p>
    <w:p w14:paraId="3118FFCA">
      <w:pPr>
        <w:pStyle w:val="2"/>
        <w:rPr>
          <w:rFonts w:eastAsia="黑体"/>
          <w:sz w:val="28"/>
          <w:szCs w:val="28"/>
          <w:highlight w:val="none"/>
        </w:rPr>
      </w:pPr>
    </w:p>
    <w:p w14:paraId="01BE5E84">
      <w:pPr>
        <w:rPr>
          <w:rFonts w:eastAsia="黑体"/>
          <w:sz w:val="28"/>
          <w:szCs w:val="28"/>
          <w:highlight w:val="none"/>
        </w:rPr>
      </w:pPr>
    </w:p>
    <w:p w14:paraId="2FE9E756">
      <w:pPr>
        <w:pStyle w:val="2"/>
        <w:rPr>
          <w:rFonts w:eastAsia="黑体"/>
          <w:sz w:val="28"/>
          <w:szCs w:val="28"/>
          <w:highlight w:val="none"/>
        </w:rPr>
      </w:pPr>
    </w:p>
    <w:p w14:paraId="67B6F8F9">
      <w:pPr>
        <w:rPr>
          <w:rFonts w:eastAsia="黑体"/>
          <w:sz w:val="28"/>
          <w:szCs w:val="28"/>
          <w:highlight w:val="none"/>
        </w:rPr>
      </w:pPr>
    </w:p>
    <w:p w14:paraId="3C7498B7">
      <w:pPr>
        <w:pStyle w:val="2"/>
        <w:rPr>
          <w:rFonts w:eastAsia="黑体"/>
          <w:sz w:val="28"/>
          <w:szCs w:val="28"/>
          <w:highlight w:val="none"/>
        </w:rPr>
      </w:pPr>
    </w:p>
    <w:p w14:paraId="34079401">
      <w:pPr>
        <w:rPr>
          <w:rFonts w:eastAsia="黑体"/>
          <w:sz w:val="28"/>
          <w:szCs w:val="28"/>
          <w:highlight w:val="none"/>
        </w:rPr>
      </w:pPr>
    </w:p>
    <w:p w14:paraId="794B988D">
      <w:pPr>
        <w:pStyle w:val="2"/>
      </w:pPr>
    </w:p>
    <w:p w14:paraId="0682BFC9">
      <w:pPr>
        <w:rPr>
          <w:rFonts w:eastAsia="黑体"/>
          <w:sz w:val="28"/>
          <w:szCs w:val="28"/>
          <w:highlight w:val="none"/>
        </w:rPr>
      </w:pPr>
    </w:p>
    <w:p w14:paraId="68117E32">
      <w:pPr>
        <w:rPr>
          <w:rFonts w:eastAsia="黑体"/>
          <w:sz w:val="28"/>
          <w:szCs w:val="28"/>
          <w:highlight w:val="none"/>
        </w:rPr>
      </w:pPr>
    </w:p>
    <w:p w14:paraId="038F9E3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4CAB06D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350C1BB2">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2"/>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45" w:name="_Toc35425139"/>
      <w:bookmarkStart w:id="946" w:name="_Toc35424973"/>
      <w:bookmarkStart w:id="947" w:name="_Toc19174"/>
      <w:bookmarkStart w:id="948" w:name="_Toc78803401"/>
      <w:r>
        <w:rPr>
          <w:rStyle w:val="120"/>
          <w:rFonts w:hint="eastAsia" w:ascii="宋体" w:hAnsi="宋体" w:cs="宋体"/>
          <w:sz w:val="32"/>
          <w:highlight w:val="none"/>
        </w:rPr>
        <w:t>投标文件</w:t>
      </w:r>
      <w:bookmarkEnd w:id="945"/>
      <w:bookmarkEnd w:id="946"/>
      <w:bookmarkEnd w:id="947"/>
      <w:r>
        <w:rPr>
          <w:rStyle w:val="120"/>
          <w:rFonts w:hint="eastAsia" w:ascii="宋体" w:hAnsi="宋体" w:cs="宋体"/>
          <w:sz w:val="32"/>
          <w:highlight w:val="none"/>
          <w:lang w:val="en-US"/>
        </w:rPr>
        <w:t>二</w:t>
      </w:r>
      <w:r>
        <w:rPr>
          <w:rStyle w:val="120"/>
          <w:rFonts w:hint="eastAsia" w:ascii="宋体" w:hAnsi="宋体" w:cs="宋体"/>
          <w:sz w:val="32"/>
          <w:highlight w:val="none"/>
        </w:rPr>
        <w:t>：商务标目录</w:t>
      </w:r>
      <w:bookmarkEnd w:id="948"/>
    </w:p>
    <w:p w14:paraId="4402BDA9">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（1）投标函；</w:t>
      </w:r>
    </w:p>
    <w:p w14:paraId="0A358BA2">
      <w:pPr>
        <w:adjustRightInd w:val="0"/>
        <w:snapToGrid w:val="0"/>
        <w:spacing w:line="560" w:lineRule="exact"/>
        <w:ind w:firstLine="420" w:firstLineChars="200"/>
        <w:rPr>
          <w:color w:val="000000"/>
        </w:rPr>
      </w:pPr>
      <w:r>
        <w:rPr>
          <w:rFonts w:hint="eastAsia" w:ascii="宋体" w:hAnsi="宋体"/>
          <w:color w:val="000000"/>
          <w:szCs w:val="21"/>
        </w:rPr>
        <w:t>（2）工程量清单报价书；</w:t>
      </w:r>
    </w:p>
    <w:p w14:paraId="2F74FC6F">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（3）全国建筑市场监管公共服务平台</w:t>
      </w:r>
      <w:r>
        <w:rPr>
          <w:rFonts w:hint="eastAsia" w:ascii="宋体" w:hAnsi="宋体"/>
          <w:color w:val="000000"/>
          <w:szCs w:val="21"/>
          <w:lang w:eastAsia="zh-CN"/>
        </w:rPr>
        <w:t>（</w:t>
      </w:r>
      <w:r>
        <w:rPr>
          <w:rFonts w:hint="eastAsia" w:ascii="宋体" w:hAnsi="宋体"/>
          <w:color w:val="000000"/>
          <w:szCs w:val="21"/>
        </w:rPr>
        <w:t>四库一平台</w:t>
      </w:r>
      <w:r>
        <w:rPr>
          <w:rFonts w:hint="eastAsia" w:ascii="宋体" w:hAnsi="宋体"/>
          <w:color w:val="000000"/>
          <w:szCs w:val="21"/>
          <w:lang w:eastAsia="zh-CN"/>
        </w:rPr>
        <w:t>）</w:t>
      </w:r>
      <w:r>
        <w:rPr>
          <w:rFonts w:hint="eastAsia" w:ascii="宋体" w:hAnsi="宋体"/>
          <w:color w:val="000000"/>
          <w:szCs w:val="21"/>
        </w:rPr>
        <w:t>企业注册人员网页截图；</w:t>
      </w:r>
    </w:p>
    <w:p w14:paraId="11B63892">
      <w:pPr>
        <w:adjustRightInd w:val="0"/>
        <w:snapToGrid w:val="0"/>
        <w:spacing w:line="560" w:lineRule="exact"/>
        <w:ind w:firstLine="420" w:firstLineChars="200"/>
        <w:rPr>
          <w:rFonts w:hint="eastAsia"/>
          <w:color w:val="000000"/>
        </w:rPr>
      </w:pP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）详细评审所需其他材料。</w:t>
      </w:r>
    </w:p>
    <w:p w14:paraId="1B8DADD4">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rPr>
      </w:pPr>
      <w:bookmarkStart w:id="949" w:name="_Toc35425140"/>
      <w:bookmarkStart w:id="950" w:name="_Toc35424974"/>
      <w:bookmarkStart w:id="951" w:name="_Toc15058950"/>
      <w:bookmarkStart w:id="952" w:name="_Toc506107366"/>
      <w:r>
        <w:rPr>
          <w:rFonts w:hint="eastAsia" w:ascii="宋体" w:hAnsi="宋体" w:eastAsia="宋体" w:cs="宋体"/>
          <w:b/>
          <w:bCs/>
          <w:color w:val="auto"/>
        </w:rPr>
        <w:t>致 ：</w:t>
      </w:r>
      <w:r>
        <w:rPr>
          <w:rFonts w:hint="eastAsia" w:ascii="宋体" w:hAnsi="宋体" w:eastAsia="宋体" w:cs="宋体"/>
          <w:b/>
          <w:bCs/>
          <w:color w:val="auto"/>
          <w:u w:val="single"/>
          <w:lang w:val="en-US" w:eastAsia="zh-CN"/>
        </w:rPr>
        <w:t xml:space="preserve">       （招标人） </w:t>
      </w:r>
      <w:r>
        <w:rPr>
          <w:rFonts w:hint="eastAsia" w:ascii="宋体" w:hAnsi="宋体" w:eastAsia="宋体" w:cs="宋体"/>
          <w:color w:val="auto"/>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lang w:eastAsia="zh-CN"/>
        </w:rPr>
      </w:pPr>
      <w:r>
        <w:rPr>
          <w:rFonts w:hint="eastAsia" w:ascii="宋体" w:hAnsi="宋体" w:eastAsia="宋体" w:cs="宋体"/>
          <w:color w:val="auto"/>
        </w:rPr>
        <w:t>我们决定参加贵单位组织的“</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rPr>
        <w:t xml:space="preserve">”的项目。我方授权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none"/>
        </w:rPr>
        <w:t>姓名和职务</w:t>
      </w:r>
      <w:r>
        <w:rPr>
          <w:rFonts w:hint="eastAsia" w:ascii="宋体" w:hAnsi="宋体" w:eastAsia="宋体" w:cs="宋体"/>
          <w:color w:val="auto"/>
        </w:rPr>
        <w:t xml:space="preserve">)代表我方 </w:t>
      </w:r>
      <w:r>
        <w:rPr>
          <w:rFonts w:hint="eastAsia" w:ascii="宋体" w:hAnsi="宋体" w:eastAsia="宋体" w:cs="宋体"/>
          <w:color w:val="auto"/>
          <w:u w:val="single"/>
        </w:rPr>
        <w:t xml:space="preserve">             </w:t>
      </w:r>
      <w:r>
        <w:rPr>
          <w:rFonts w:hint="eastAsia" w:ascii="宋体" w:hAnsi="宋体" w:eastAsia="宋体" w:cs="宋体"/>
          <w:color w:val="auto"/>
        </w:rPr>
        <w:t xml:space="preserve">（投标单位的名称）全权处理本项目投标的有关事宜 </w:t>
      </w:r>
      <w:r>
        <w:rPr>
          <w:rFonts w:hint="eastAsia" w:ascii="宋体" w:hAnsi="宋体" w:eastAsia="宋体" w:cs="宋体"/>
          <w:color w:val="auto"/>
          <w:lang w:eastAsia="zh-CN"/>
        </w:rPr>
        <w:t>。</w:t>
      </w:r>
    </w:p>
    <w:p w14:paraId="031A56B9">
      <w:pPr>
        <w:spacing w:line="440" w:lineRule="exact"/>
        <w:ind w:firstLine="420" w:firstLineChars="200"/>
        <w:jc w:val="left"/>
        <w:rPr>
          <w:rFonts w:ascii="宋体" w:hAnsi="宋体"/>
          <w:color w:val="auto"/>
          <w:szCs w:val="21"/>
        </w:rPr>
      </w:pPr>
      <w:r>
        <w:rPr>
          <w:rFonts w:hint="eastAsia" w:ascii="宋体" w:hAnsi="宋体" w:cs="宋体"/>
          <w:color w:val="auto"/>
          <w:lang w:val="en-US" w:eastAsia="zh-CN"/>
        </w:rPr>
        <w:t>1.</w:t>
      </w:r>
      <w:r>
        <w:rPr>
          <w:rFonts w:hint="eastAsia" w:ascii="宋体" w:hAnsi="宋体" w:eastAsia="宋体" w:cs="宋体"/>
          <w:color w:val="auto"/>
        </w:rPr>
        <w:t>我们已仔细地研究了</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rPr>
        <w:t>规定的合同范围，工作要求，并考虑到了潜在所有风险。</w:t>
      </w:r>
      <w:r>
        <w:rPr>
          <w:rFonts w:hint="eastAsia" w:ascii="宋体" w:hAnsi="宋体"/>
          <w:color w:val="auto"/>
          <w:szCs w:val="21"/>
        </w:rPr>
        <w:t>我方愿以</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元</w:t>
      </w:r>
      <w:r>
        <w:rPr>
          <w:rFonts w:hint="eastAsia" w:ascii="宋体" w:hAnsi="宋体"/>
          <w:color w:val="auto"/>
          <w:szCs w:val="21"/>
        </w:rPr>
        <w:t>的投标报价承包上述项目，并承担任何质量缺陷保修责任。</w:t>
      </w:r>
    </w:p>
    <w:p w14:paraId="4CDABD9D">
      <w:pPr>
        <w:numPr>
          <w:ilvl w:val="0"/>
          <w:numId w:val="0"/>
        </w:numPr>
        <w:spacing w:line="440" w:lineRule="exact"/>
        <w:ind w:leftChars="200"/>
        <w:jc w:val="left"/>
        <w:rPr>
          <w:rFonts w:ascii="宋体" w:hAnsi="宋体"/>
          <w:color w:val="auto"/>
          <w:spacing w:val="-4"/>
          <w:szCs w:val="21"/>
        </w:rPr>
      </w:pPr>
      <w:r>
        <w:rPr>
          <w:rFonts w:hint="eastAsia" w:ascii="宋体" w:hAnsi="宋体"/>
          <w:color w:val="auto"/>
          <w:spacing w:val="-4"/>
          <w:szCs w:val="21"/>
          <w:lang w:val="en-US" w:eastAsia="zh-CN"/>
        </w:rPr>
        <w:t>2.</w:t>
      </w:r>
      <w:r>
        <w:rPr>
          <w:rFonts w:hint="eastAsia" w:ascii="宋体" w:hAnsi="宋体"/>
          <w:color w:val="auto"/>
          <w:spacing w:val="-4"/>
          <w:szCs w:val="21"/>
        </w:rPr>
        <w:t>我方已详细审核全部招标文件及有关附件，承诺招标文件及有关附件中所有条款。</w:t>
      </w:r>
    </w:p>
    <w:p w14:paraId="06C7E94A">
      <w:pPr>
        <w:spacing w:line="440" w:lineRule="exact"/>
        <w:ind w:firstLine="420" w:firstLineChars="200"/>
        <w:jc w:val="left"/>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一旦我方中标，我方将派出</w:t>
      </w:r>
      <w:r>
        <w:rPr>
          <w:rFonts w:hint="eastAsia" w:ascii="宋体" w:hAnsi="宋体"/>
          <w:color w:val="auto"/>
          <w:szCs w:val="21"/>
          <w:u w:val="single"/>
        </w:rPr>
        <w:t xml:space="preserve">      </w:t>
      </w:r>
      <w:r>
        <w:rPr>
          <w:rFonts w:hint="eastAsia" w:ascii="宋体" w:hAnsi="宋体"/>
          <w:color w:val="auto"/>
          <w:szCs w:val="21"/>
        </w:rPr>
        <w:t>为本项目的项目负责人，保证按照招标人要求开始实施本项目，按招标文件要求的时间内完成本合同的施工，并移交整个项目，项目质量达到</w:t>
      </w:r>
      <w:r>
        <w:rPr>
          <w:rFonts w:ascii="宋体" w:hAnsi="宋体"/>
          <w:color w:val="auto"/>
          <w:szCs w:val="21"/>
          <w:u w:val="single"/>
        </w:rPr>
        <w:t xml:space="preserve">   </w:t>
      </w:r>
      <w:r>
        <w:rPr>
          <w:rFonts w:hint="eastAsia" w:ascii="宋体" w:hAnsi="宋体"/>
          <w:color w:val="auto"/>
          <w:szCs w:val="21"/>
          <w:u w:val="single"/>
        </w:rPr>
        <w:t>合格</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标准。</w:t>
      </w:r>
    </w:p>
    <w:p w14:paraId="2F719ABD">
      <w:pPr>
        <w:spacing w:line="440" w:lineRule="exact"/>
        <w:ind w:firstLine="420" w:firstLineChars="200"/>
        <w:jc w:val="left"/>
        <w:rPr>
          <w:rFonts w:hint="eastAsia" w:ascii="宋体" w:hAnsi="宋体" w:eastAsia="宋体" w:cs="宋体"/>
          <w:color w:val="auto"/>
        </w:rPr>
      </w:pPr>
      <w:r>
        <w:rPr>
          <w:rFonts w:hint="eastAsia" w:ascii="宋体" w:hAnsi="宋体" w:eastAsia="宋体"/>
          <w:color w:val="auto"/>
          <w:szCs w:val="21"/>
          <w:lang w:val="en-US" w:eastAsia="zh-CN"/>
        </w:rPr>
        <w:t>4.</w:t>
      </w:r>
      <w:r>
        <w:rPr>
          <w:rFonts w:hint="eastAsia" w:ascii="宋体" w:hAnsi="宋体" w:eastAsia="宋体" w:cs="宋体"/>
          <w:color w:val="auto"/>
        </w:rPr>
        <w:t>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30BD36D7">
      <w:pPr>
        <w:spacing w:line="440" w:lineRule="exact"/>
        <w:ind w:firstLine="420" w:firstLineChars="200"/>
        <w:jc w:val="left"/>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如果我方在本投标书有效期内撤回投标书，或在中标通知书下达后</w:t>
      </w:r>
      <w:r>
        <w:rPr>
          <w:rFonts w:ascii="宋体" w:hAnsi="宋体"/>
          <w:color w:val="auto"/>
          <w:szCs w:val="21"/>
          <w:u w:val="single"/>
        </w:rPr>
        <w:t xml:space="preserve">  </w:t>
      </w:r>
      <w:r>
        <w:rPr>
          <w:rFonts w:hint="eastAsia" w:ascii="宋体" w:hAnsi="宋体"/>
          <w:color w:val="auto"/>
          <w:szCs w:val="21"/>
          <w:u w:val="single"/>
        </w:rPr>
        <w:t>30</w:t>
      </w:r>
      <w:r>
        <w:rPr>
          <w:rFonts w:ascii="宋体" w:hAnsi="宋体"/>
          <w:color w:val="auto"/>
          <w:szCs w:val="21"/>
          <w:u w:val="single"/>
        </w:rPr>
        <w:t xml:space="preserve"> </w:t>
      </w:r>
      <w:r>
        <w:rPr>
          <w:rFonts w:hint="eastAsia" w:ascii="宋体" w:hAnsi="宋体"/>
          <w:color w:val="auto"/>
          <w:szCs w:val="21"/>
        </w:rPr>
        <w:t>天内未能或拒绝签订合同书，或自行转标，贵单位有权另选中标单位。</w:t>
      </w:r>
    </w:p>
    <w:p w14:paraId="39C14C69">
      <w:pPr>
        <w:spacing w:line="440" w:lineRule="exact"/>
        <w:ind w:firstLine="420" w:firstLineChars="200"/>
        <w:jc w:val="left"/>
        <w:rPr>
          <w:rFonts w:hint="eastAsia" w:ascii="宋体" w:hAnsi="宋体"/>
          <w:szCs w:val="21"/>
        </w:rPr>
      </w:pPr>
      <w:r>
        <w:rPr>
          <w:rFonts w:hint="eastAsia" w:ascii="宋体" w:hAnsi="宋体"/>
          <w:szCs w:val="21"/>
          <w:lang w:val="en-US" w:eastAsia="zh-CN"/>
        </w:rPr>
        <w:t>6.</w:t>
      </w:r>
      <w:r>
        <w:rPr>
          <w:rFonts w:hint="eastAsia" w:ascii="宋体" w:hAnsi="宋体"/>
          <w:szCs w:val="21"/>
        </w:rPr>
        <w:t>如果我方中标我方将按照招标文件的规定提交</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none"/>
          <w:lang w:val="en-US" w:eastAsia="zh-CN"/>
        </w:rPr>
        <w:t>万</w:t>
      </w:r>
      <w:r>
        <w:rPr>
          <w:rFonts w:hint="eastAsia" w:ascii="宋体" w:hAnsi="宋体"/>
          <w:szCs w:val="21"/>
        </w:rPr>
        <w:t>元作为履约担保。项目验收合格后，方可退还。</w:t>
      </w:r>
    </w:p>
    <w:p w14:paraId="29ED317A">
      <w:pPr>
        <w:spacing w:line="440" w:lineRule="exact"/>
        <w:ind w:firstLine="420" w:firstLineChars="200"/>
        <w:jc w:val="left"/>
        <w:rPr>
          <w:rFonts w:hint="eastAsia" w:ascii="宋体" w:hAnsi="宋体"/>
          <w:szCs w:val="21"/>
        </w:rPr>
      </w:pPr>
      <w:r>
        <w:rPr>
          <w:rFonts w:hint="eastAsia" w:ascii="宋体" w:hAnsi="宋体"/>
          <w:szCs w:val="21"/>
          <w:lang w:val="en-US" w:eastAsia="zh-CN"/>
        </w:rPr>
        <w:t>7.</w:t>
      </w:r>
      <w:r>
        <w:rPr>
          <w:rFonts w:hint="eastAsia" w:ascii="宋体" w:hAnsi="宋体"/>
          <w:szCs w:val="21"/>
        </w:rPr>
        <w:t>投标有效期为</w:t>
      </w:r>
      <w:r>
        <w:rPr>
          <w:rFonts w:hint="eastAsia" w:ascii="宋体" w:hAnsi="宋体"/>
          <w:szCs w:val="21"/>
          <w:u w:val="single"/>
        </w:rPr>
        <w:t xml:space="preserve"> 90</w:t>
      </w:r>
      <w:r>
        <w:rPr>
          <w:rFonts w:hint="eastAsia" w:ascii="宋体" w:hAnsi="宋体"/>
          <w:szCs w:val="21"/>
        </w:rPr>
        <w:t>日历天（从投标截止之日算起）。</w:t>
      </w:r>
    </w:p>
    <w:p w14:paraId="2E1A98A0">
      <w:pPr>
        <w:spacing w:line="440" w:lineRule="exact"/>
        <w:ind w:firstLine="420" w:firstLineChars="200"/>
        <w:jc w:val="left"/>
        <w:rPr>
          <w:rFonts w:hint="eastAsia" w:ascii="宋体" w:hAnsi="宋体"/>
          <w:szCs w:val="21"/>
        </w:rPr>
      </w:pPr>
      <w:r>
        <w:rPr>
          <w:rFonts w:hint="eastAsia" w:ascii="宋体" w:hAnsi="宋体"/>
          <w:szCs w:val="21"/>
          <w:lang w:val="en-US" w:eastAsia="zh-CN"/>
        </w:rPr>
        <w:t>8.</w:t>
      </w:r>
      <w:r>
        <w:rPr>
          <w:rFonts w:hint="eastAsia" w:ascii="宋体" w:hAnsi="宋体"/>
          <w:szCs w:val="21"/>
        </w:rPr>
        <w:t>我单位提供如下通讯地址：</w:t>
      </w:r>
      <w:r>
        <w:rPr>
          <w:rFonts w:hint="eastAsia" w:ascii="宋体" w:hAnsi="宋体"/>
          <w:szCs w:val="21"/>
          <w:u w:val="single"/>
        </w:rPr>
        <w:t xml:space="preserve">                </w:t>
      </w:r>
      <w:r>
        <w:rPr>
          <w:rFonts w:hint="eastAsia" w:ascii="宋体" w:hAnsi="宋体"/>
          <w:szCs w:val="21"/>
        </w:rPr>
        <w:t>电子邮箱（地址），确认本项目相关法律文书均通过提供的以上地址送达，相关文书只要发送至以上电子邮箱（地址）即视为送达，投标人愿意承担一切法律后果。</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盖</w:t>
      </w:r>
      <w:r>
        <w:rPr>
          <w:rFonts w:hint="eastAsia" w:ascii="宋体" w:hAnsi="宋体" w:eastAsia="宋体" w:cs="宋体"/>
          <w:color w:val="auto"/>
          <w:szCs w:val="21"/>
          <w:u w:val="single"/>
        </w:rPr>
        <w:t xml:space="preserve">章）   </w:t>
      </w:r>
    </w:p>
    <w:p w14:paraId="41B57621">
      <w:pPr>
        <w:spacing w:line="600" w:lineRule="exact"/>
        <w:ind w:firstLine="2310" w:firstLineChars="1100"/>
        <w:jc w:val="left"/>
        <w:rPr>
          <w:rFonts w:ascii="宋体" w:hAnsi="宋体"/>
          <w:szCs w:val="21"/>
        </w:rPr>
      </w:pPr>
      <w:r>
        <w:rPr>
          <w:rFonts w:hint="eastAsia" w:ascii="宋体" w:hAnsi="宋体"/>
          <w:szCs w:val="21"/>
        </w:rPr>
        <w:t>法定代表人</w:t>
      </w:r>
      <w:r>
        <w:rPr>
          <w:rFonts w:hint="eastAsia" w:ascii="宋体" w:hAnsi="宋体"/>
          <w:szCs w:val="21"/>
          <w:lang w:val="en-US" w:eastAsia="zh-CN"/>
        </w:rPr>
        <w:t>或委托代理人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u w:val="single"/>
          <w:lang w:val="en-US" w:eastAsia="zh-CN"/>
        </w:rPr>
        <w:t>签字或盖章</w:t>
      </w:r>
      <w:r>
        <w:rPr>
          <w:rFonts w:hint="eastAsia" w:ascii="宋体" w:hAnsi="宋体"/>
          <w:szCs w:val="21"/>
          <w:u w:val="single"/>
        </w:rPr>
        <w:t>）</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单位地址：</w:t>
      </w:r>
      <w:r>
        <w:rPr>
          <w:rFonts w:hint="eastAsia" w:ascii="宋体" w:hAnsi="宋体" w:eastAsia="宋体" w:cs="宋体"/>
          <w:color w:val="auto"/>
          <w:szCs w:val="21"/>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年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6809622B">
      <w:pPr>
        <w:pStyle w:val="8"/>
        <w:adjustRightInd w:val="0"/>
        <w:snapToGrid w:val="0"/>
        <w:spacing w:before="0" w:after="0" w:line="560" w:lineRule="exact"/>
        <w:jc w:val="center"/>
        <w:rPr>
          <w:rFonts w:hint="eastAsia"/>
          <w:color w:val="000000"/>
        </w:rPr>
      </w:pPr>
      <w:r>
        <w:rPr>
          <w:rFonts w:hint="eastAsia"/>
          <w:sz w:val="32"/>
          <w:szCs w:val="32"/>
          <w:highlight w:val="none"/>
        </w:rPr>
        <w:br w:type="page"/>
      </w:r>
      <w:bookmarkEnd w:id="7"/>
      <w:bookmarkEnd w:id="8"/>
      <w:bookmarkEnd w:id="9"/>
      <w:bookmarkEnd w:id="10"/>
      <w:bookmarkEnd w:id="11"/>
      <w:bookmarkEnd w:id="949"/>
      <w:bookmarkEnd w:id="950"/>
      <w:bookmarkEnd w:id="951"/>
      <w:bookmarkEnd w:id="952"/>
      <w:bookmarkStart w:id="953" w:name="_Toc78803402"/>
      <w:r>
        <w:rPr>
          <w:rFonts w:hint="eastAsia"/>
          <w:color w:val="000000"/>
        </w:rPr>
        <w:t>（2）工程量清单报价书</w:t>
      </w:r>
    </w:p>
    <w:p w14:paraId="7D855F0A">
      <w:pPr>
        <w:jc w:val="center"/>
        <w:rPr>
          <w:rFonts w:ascii="Calibri" w:hAnsi="Calibri"/>
          <w:sz w:val="32"/>
          <w:szCs w:val="32"/>
        </w:rPr>
      </w:pPr>
    </w:p>
    <w:p w14:paraId="2528277B">
      <w:pPr>
        <w:jc w:val="center"/>
        <w:rPr>
          <w:rFonts w:ascii="Calibri" w:hAnsi="Calibri"/>
          <w:sz w:val="32"/>
          <w:szCs w:val="32"/>
        </w:rPr>
      </w:pPr>
      <w:r>
        <w:rPr>
          <w:rFonts w:hint="eastAsia" w:ascii="仿宋_GB2312" w:hAnsi="Calibri" w:eastAsia="仿宋_GB2312"/>
          <w:b/>
          <w:sz w:val="36"/>
          <w:szCs w:val="36"/>
        </w:rPr>
        <w:t>①</w:t>
      </w:r>
      <w:r>
        <w:rPr>
          <w:rFonts w:hint="eastAsia" w:ascii="Calibri" w:hAnsi="Calibri"/>
          <w:b/>
          <w:sz w:val="36"/>
          <w:szCs w:val="36"/>
        </w:rPr>
        <w:t>工程量清单报价书（封面）</w:t>
      </w:r>
      <w:r>
        <w:rPr>
          <w:rFonts w:hint="eastAsia" w:ascii="Calibri" w:hAnsi="Calibri"/>
          <w:sz w:val="32"/>
          <w:szCs w:val="32"/>
          <w:vertAlign w:val="superscript"/>
        </w:rPr>
        <w:t>1</w:t>
      </w:r>
    </w:p>
    <w:p w14:paraId="3D7A056C">
      <w:pPr>
        <w:jc w:val="center"/>
        <w:rPr>
          <w:rFonts w:ascii="Calibri" w:hAnsi="Calibri"/>
          <w:b/>
          <w:sz w:val="32"/>
          <w:szCs w:val="32"/>
        </w:rPr>
      </w:pPr>
    </w:p>
    <w:p w14:paraId="5262813B">
      <w:pPr>
        <w:ind w:firstLine="643" w:firstLineChars="200"/>
        <w:jc w:val="center"/>
        <w:rPr>
          <w:rFonts w:ascii="Calibri" w:hAnsi="Calibri"/>
          <w:b/>
          <w:sz w:val="32"/>
          <w:szCs w:val="32"/>
        </w:rPr>
      </w:pPr>
      <w:r>
        <w:rPr>
          <w:rFonts w:hint="eastAsia" w:ascii="Calibri" w:hAnsi="Calibri"/>
          <w:b/>
          <w:sz w:val="32"/>
          <w:szCs w:val="32"/>
        </w:rPr>
        <w:t>投标总价</w:t>
      </w:r>
    </w:p>
    <w:p w14:paraId="51772B8A">
      <w:pPr>
        <w:spacing w:line="800" w:lineRule="exact"/>
        <w:ind w:firstLine="640" w:firstLineChars="200"/>
        <w:rPr>
          <w:rFonts w:ascii="Calibri" w:hAnsi="Calibri"/>
          <w:sz w:val="32"/>
          <w:szCs w:val="32"/>
          <w:u w:val="single"/>
        </w:rPr>
      </w:pPr>
      <w:r>
        <w:rPr>
          <w:rFonts w:hint="eastAsia" w:ascii="Calibri" w:hAnsi="Calibri"/>
          <w:sz w:val="32"/>
          <w:szCs w:val="32"/>
        </w:rPr>
        <w:t>招标人：</w:t>
      </w:r>
      <w:r>
        <w:rPr>
          <w:rFonts w:hint="eastAsia" w:ascii="Calibri" w:hAnsi="Calibri"/>
          <w:sz w:val="32"/>
          <w:szCs w:val="32"/>
          <w:u w:val="single"/>
        </w:rPr>
        <w:t xml:space="preserve">                                                 </w:t>
      </w:r>
    </w:p>
    <w:p w14:paraId="55501C58">
      <w:pPr>
        <w:spacing w:line="800" w:lineRule="exact"/>
        <w:ind w:firstLine="640" w:firstLineChars="200"/>
        <w:rPr>
          <w:rFonts w:ascii="Calibri" w:hAnsi="Calibri"/>
          <w:sz w:val="32"/>
          <w:szCs w:val="32"/>
        </w:rPr>
      </w:pPr>
      <w:r>
        <w:rPr>
          <w:rFonts w:hint="eastAsia" w:ascii="Calibri" w:hAnsi="Calibri"/>
          <w:sz w:val="32"/>
          <w:szCs w:val="32"/>
        </w:rPr>
        <w:t>工程名称：</w:t>
      </w:r>
      <w:r>
        <w:rPr>
          <w:rFonts w:hint="eastAsia" w:ascii="Calibri" w:hAnsi="Calibri"/>
          <w:sz w:val="32"/>
          <w:szCs w:val="32"/>
          <w:u w:val="single"/>
        </w:rPr>
        <w:t xml:space="preserve">                                               </w:t>
      </w:r>
    </w:p>
    <w:p w14:paraId="0A224365">
      <w:pPr>
        <w:spacing w:line="800" w:lineRule="exact"/>
        <w:ind w:firstLine="640" w:firstLineChars="200"/>
        <w:rPr>
          <w:rFonts w:ascii="Calibri" w:hAnsi="Calibri"/>
          <w:sz w:val="32"/>
          <w:szCs w:val="32"/>
          <w:u w:val="single"/>
        </w:rPr>
      </w:pPr>
      <w:r>
        <w:rPr>
          <w:rFonts w:hint="eastAsia" w:ascii="Calibri" w:hAnsi="Calibri"/>
          <w:sz w:val="32"/>
          <w:szCs w:val="32"/>
        </w:rPr>
        <w:t>投标总价（小写）：</w:t>
      </w:r>
      <w:r>
        <w:rPr>
          <w:rFonts w:hint="eastAsia" w:ascii="Calibri" w:hAnsi="Calibri"/>
          <w:sz w:val="32"/>
          <w:szCs w:val="32"/>
          <w:u w:val="single"/>
        </w:rPr>
        <w:t xml:space="preserve">                                       </w:t>
      </w:r>
    </w:p>
    <w:p w14:paraId="6243B7A2">
      <w:pPr>
        <w:spacing w:line="800" w:lineRule="exact"/>
        <w:ind w:firstLine="1920" w:firstLineChars="600"/>
        <w:rPr>
          <w:rFonts w:ascii="Calibri" w:hAnsi="Calibri"/>
          <w:sz w:val="32"/>
          <w:szCs w:val="32"/>
        </w:rPr>
      </w:pPr>
      <w:r>
        <w:rPr>
          <w:rFonts w:hint="eastAsia" w:ascii="Calibri" w:hAnsi="Calibri"/>
          <w:sz w:val="32"/>
          <w:szCs w:val="32"/>
        </w:rPr>
        <w:t>（大写）：</w:t>
      </w:r>
      <w:r>
        <w:rPr>
          <w:rFonts w:hint="eastAsia" w:ascii="Calibri" w:hAnsi="Calibri"/>
          <w:sz w:val="32"/>
          <w:szCs w:val="32"/>
          <w:u w:val="single"/>
        </w:rPr>
        <w:t xml:space="preserve">                                       </w:t>
      </w:r>
    </w:p>
    <w:p w14:paraId="7A25A46B">
      <w:pPr>
        <w:spacing w:line="800" w:lineRule="exact"/>
        <w:ind w:firstLine="640" w:firstLineChars="200"/>
        <w:rPr>
          <w:rFonts w:ascii="Calibri" w:hAnsi="Calibri"/>
          <w:sz w:val="32"/>
          <w:szCs w:val="32"/>
        </w:rPr>
      </w:pPr>
    </w:p>
    <w:p w14:paraId="7DB1D3AF">
      <w:pPr>
        <w:spacing w:line="800" w:lineRule="exact"/>
        <w:ind w:firstLine="640" w:firstLineChars="200"/>
        <w:rPr>
          <w:rFonts w:ascii="Calibri" w:hAnsi="Calibri"/>
          <w:sz w:val="32"/>
          <w:szCs w:val="32"/>
        </w:rPr>
      </w:pPr>
      <w:r>
        <w:rPr>
          <w:rFonts w:hint="eastAsia" w:ascii="Calibri" w:hAnsi="Calibri"/>
          <w:sz w:val="32"/>
          <w:szCs w:val="32"/>
        </w:rPr>
        <w:t>投 标 人：</w:t>
      </w:r>
      <w:r>
        <w:rPr>
          <w:rFonts w:hint="eastAsia" w:ascii="Calibri" w:hAnsi="Calibri"/>
          <w:sz w:val="32"/>
          <w:szCs w:val="32"/>
          <w:u w:val="single"/>
        </w:rPr>
        <w:t xml:space="preserve">                                     </w:t>
      </w:r>
      <w:r>
        <w:rPr>
          <w:rFonts w:hint="eastAsia" w:ascii="Calibri" w:hAnsi="Calibri"/>
          <w:sz w:val="32"/>
          <w:szCs w:val="32"/>
        </w:rPr>
        <w:t xml:space="preserve"> (单位盖章)</w:t>
      </w:r>
    </w:p>
    <w:p w14:paraId="2923CD59">
      <w:pPr>
        <w:spacing w:line="800" w:lineRule="exact"/>
        <w:ind w:firstLine="640" w:firstLineChars="200"/>
        <w:rPr>
          <w:rFonts w:ascii="Calibri" w:hAnsi="Calibri"/>
          <w:sz w:val="32"/>
          <w:szCs w:val="32"/>
        </w:rPr>
      </w:pPr>
    </w:p>
    <w:p w14:paraId="27258875">
      <w:pPr>
        <w:spacing w:line="800" w:lineRule="exact"/>
        <w:ind w:firstLine="640" w:firstLineChars="200"/>
        <w:rPr>
          <w:rFonts w:ascii="Calibri" w:hAnsi="Calibri"/>
          <w:sz w:val="32"/>
          <w:szCs w:val="32"/>
        </w:rPr>
      </w:pPr>
      <w:r>
        <w:rPr>
          <w:rFonts w:hint="eastAsia" w:ascii="Calibri" w:hAnsi="Calibri"/>
          <w:sz w:val="32"/>
          <w:szCs w:val="32"/>
        </w:rPr>
        <w:t>法定代表人：</w:t>
      </w:r>
      <w:r>
        <w:rPr>
          <w:rFonts w:hint="eastAsia" w:ascii="Calibri" w:hAnsi="Calibri"/>
          <w:sz w:val="32"/>
          <w:szCs w:val="32"/>
          <w:u w:val="single"/>
        </w:rPr>
        <w:t xml:space="preserve">                                 </w:t>
      </w:r>
      <w:r>
        <w:rPr>
          <w:rFonts w:hint="eastAsia" w:ascii="Calibri" w:hAnsi="Calibri"/>
          <w:sz w:val="32"/>
          <w:szCs w:val="32"/>
        </w:rPr>
        <w:t xml:space="preserve"> (签字或盖章)</w:t>
      </w:r>
    </w:p>
    <w:p w14:paraId="4925F3C8">
      <w:pPr>
        <w:spacing w:line="800" w:lineRule="exact"/>
        <w:ind w:firstLine="640" w:firstLineChars="200"/>
        <w:rPr>
          <w:rFonts w:ascii="Calibri" w:hAnsi="Calibri"/>
          <w:sz w:val="32"/>
          <w:szCs w:val="32"/>
        </w:rPr>
      </w:pPr>
    </w:p>
    <w:p w14:paraId="22B76E0B">
      <w:pPr>
        <w:spacing w:line="800" w:lineRule="exact"/>
        <w:ind w:firstLine="640" w:firstLineChars="200"/>
        <w:rPr>
          <w:rFonts w:ascii="Calibri" w:hAnsi="Calibri"/>
          <w:sz w:val="32"/>
          <w:szCs w:val="32"/>
          <w:u w:val="single"/>
        </w:rPr>
      </w:pPr>
      <w:r>
        <w:rPr>
          <w:rFonts w:hint="eastAsia" w:ascii="Calibri" w:hAnsi="Calibri"/>
          <w:sz w:val="32"/>
          <w:szCs w:val="32"/>
        </w:rPr>
        <w:t>编制人：</w:t>
      </w:r>
      <w:r>
        <w:rPr>
          <w:rFonts w:hint="eastAsia" w:ascii="Calibri" w:hAnsi="Calibri"/>
          <w:sz w:val="32"/>
          <w:szCs w:val="32"/>
          <w:u w:val="single"/>
        </w:rPr>
        <w:t xml:space="preserve">                                                 </w:t>
      </w:r>
    </w:p>
    <w:p w14:paraId="7BBAE3CA">
      <w:pPr>
        <w:spacing w:line="800" w:lineRule="exact"/>
        <w:ind w:firstLine="2720" w:firstLineChars="850"/>
        <w:rPr>
          <w:rFonts w:ascii="Calibri" w:hAnsi="Calibri"/>
          <w:sz w:val="32"/>
          <w:szCs w:val="32"/>
          <w:u w:val="single"/>
        </w:rPr>
      </w:pPr>
      <w:r>
        <w:rPr>
          <w:rFonts w:hint="eastAsia" w:ascii="Calibri" w:hAnsi="Calibri"/>
          <w:sz w:val="32"/>
          <w:szCs w:val="32"/>
        </w:rPr>
        <w:t xml:space="preserve"> (注册造价工程师签字并盖执业专用章)</w:t>
      </w:r>
    </w:p>
    <w:p w14:paraId="0D1E8CE0">
      <w:pPr>
        <w:spacing w:line="800" w:lineRule="exact"/>
        <w:ind w:firstLine="640" w:firstLineChars="200"/>
        <w:rPr>
          <w:rFonts w:ascii="Calibri" w:hAnsi="Calibri"/>
          <w:sz w:val="32"/>
          <w:szCs w:val="32"/>
        </w:rPr>
      </w:pPr>
    </w:p>
    <w:p w14:paraId="2768937A">
      <w:pPr>
        <w:spacing w:line="800" w:lineRule="exact"/>
        <w:ind w:firstLine="640" w:firstLineChars="200"/>
        <w:rPr>
          <w:rFonts w:ascii="Calibri" w:hAnsi="Calibri"/>
          <w:sz w:val="32"/>
          <w:szCs w:val="32"/>
        </w:rPr>
      </w:pPr>
      <w:r>
        <w:rPr>
          <w:rFonts w:hint="eastAsia" w:ascii="Calibri" w:hAnsi="Calibri"/>
          <w:sz w:val="32"/>
          <w:szCs w:val="32"/>
        </w:rPr>
        <w:t>编制时间：</w:t>
      </w:r>
      <w:r>
        <w:rPr>
          <w:rFonts w:hint="eastAsia" w:ascii="Calibri" w:hAnsi="Calibri"/>
          <w:sz w:val="32"/>
          <w:szCs w:val="32"/>
          <w:u w:val="single"/>
        </w:rPr>
        <w:t xml:space="preserve">             </w:t>
      </w:r>
      <w:r>
        <w:rPr>
          <w:rFonts w:hint="eastAsia" w:ascii="Calibri" w:hAnsi="Calibri"/>
          <w:sz w:val="32"/>
          <w:szCs w:val="32"/>
        </w:rPr>
        <w:t>年</w:t>
      </w:r>
      <w:r>
        <w:rPr>
          <w:rFonts w:hint="eastAsia" w:ascii="Calibri" w:hAnsi="Calibri"/>
          <w:sz w:val="32"/>
          <w:szCs w:val="32"/>
          <w:u w:val="single"/>
        </w:rPr>
        <w:t xml:space="preserve">          </w:t>
      </w:r>
      <w:r>
        <w:rPr>
          <w:rFonts w:hint="eastAsia" w:ascii="Calibri" w:hAnsi="Calibri"/>
          <w:sz w:val="32"/>
          <w:szCs w:val="32"/>
        </w:rPr>
        <w:t>月</w:t>
      </w:r>
      <w:r>
        <w:rPr>
          <w:rFonts w:hint="eastAsia" w:ascii="Calibri" w:hAnsi="Calibri"/>
          <w:sz w:val="32"/>
          <w:szCs w:val="32"/>
          <w:u w:val="single"/>
        </w:rPr>
        <w:t xml:space="preserve">          </w:t>
      </w:r>
      <w:r>
        <w:rPr>
          <w:rFonts w:hint="eastAsia" w:ascii="Calibri" w:hAnsi="Calibri"/>
          <w:sz w:val="32"/>
          <w:szCs w:val="32"/>
        </w:rPr>
        <w:t>日</w:t>
      </w:r>
    </w:p>
    <w:p w14:paraId="0E20567A">
      <w:pPr>
        <w:rPr>
          <w:rFonts w:ascii="Calibri" w:hAnsi="Calibri"/>
          <w:sz w:val="32"/>
          <w:szCs w:val="32"/>
        </w:rPr>
      </w:pPr>
    </w:p>
    <w:p w14:paraId="25DA0702">
      <w:pPr>
        <w:rPr>
          <w:rFonts w:ascii="宋体" w:hAnsi="宋体"/>
          <w:sz w:val="18"/>
          <w:szCs w:val="18"/>
        </w:rPr>
      </w:pPr>
      <w:r>
        <w:rPr>
          <w:rFonts w:hint="eastAsia" w:ascii="宋体" w:hAnsi="宋体"/>
          <w:sz w:val="18"/>
          <w:szCs w:val="18"/>
        </w:rPr>
        <w:t>1注：投标文件格式中工程量清单报价书（封面）及投标报价编制人信息表与投标文件制作工具导出文件不一致的，以投标文件格式文件为准。</w:t>
      </w:r>
    </w:p>
    <w:p w14:paraId="158AF5EF">
      <w:pPr>
        <w:jc w:val="center"/>
        <w:rPr>
          <w:rFonts w:hint="eastAsia" w:ascii="宋体" w:hAnsi="宋体"/>
          <w:sz w:val="32"/>
          <w:szCs w:val="32"/>
        </w:rPr>
      </w:pPr>
    </w:p>
    <w:p w14:paraId="3E802F3D">
      <w:pPr>
        <w:rPr>
          <w:rFonts w:hint="eastAsia" w:ascii="宋体" w:hAnsi="宋体"/>
          <w:sz w:val="32"/>
          <w:szCs w:val="32"/>
        </w:rPr>
      </w:pPr>
    </w:p>
    <w:p w14:paraId="73C8E6C7">
      <w:pPr>
        <w:jc w:val="center"/>
        <w:rPr>
          <w:rFonts w:ascii="宋体" w:hAnsi="宋体"/>
          <w:sz w:val="32"/>
          <w:szCs w:val="32"/>
        </w:rPr>
        <w:sectPr>
          <w:footerReference r:id="rId6" w:type="default"/>
          <w:pgSz w:w="11910" w:h="16840"/>
          <w:pgMar w:top="1060" w:right="660" w:bottom="1020" w:left="1120" w:header="0" w:footer="833" w:gutter="0"/>
          <w:pgNumType w:start="1"/>
          <w:cols w:space="720" w:num="1"/>
        </w:sectPr>
      </w:pPr>
    </w:p>
    <w:p w14:paraId="6BE3DC7D">
      <w:pPr>
        <w:jc w:val="center"/>
        <w:rPr>
          <w:rFonts w:hint="eastAsia" w:ascii="宋体" w:hAnsi="宋体"/>
          <w:sz w:val="32"/>
          <w:szCs w:val="32"/>
        </w:rPr>
      </w:pPr>
    </w:p>
    <w:p w14:paraId="4FFA3562">
      <w:pPr>
        <w:jc w:val="center"/>
        <w:rPr>
          <w:rFonts w:ascii="Calibri" w:hAnsi="Calibri"/>
          <w:sz w:val="32"/>
          <w:szCs w:val="32"/>
        </w:rPr>
      </w:pPr>
      <w:r>
        <w:rPr>
          <w:rFonts w:hint="eastAsia" w:ascii="宋体" w:hAnsi="宋体"/>
          <w:sz w:val="32"/>
          <w:szCs w:val="32"/>
        </w:rPr>
        <w:t>②</w:t>
      </w:r>
      <w:r>
        <w:rPr>
          <w:rFonts w:hint="eastAsia" w:ascii="Calibri" w:hAnsi="Calibri"/>
          <w:sz w:val="32"/>
          <w:szCs w:val="32"/>
        </w:rPr>
        <w:t>投标报价编制人信息表</w:t>
      </w:r>
      <w:r>
        <w:rPr>
          <w:rFonts w:hint="eastAsia" w:ascii="Calibri" w:hAnsi="Calibri"/>
          <w:sz w:val="32"/>
          <w:szCs w:val="32"/>
          <w:vertAlign w:val="superscript"/>
        </w:rPr>
        <w:t>1</w:t>
      </w:r>
    </w:p>
    <w:p w14:paraId="4E0FE831">
      <w:pPr>
        <w:jc w:val="center"/>
        <w:rPr>
          <w:rFonts w:ascii="Calibri" w:hAnsi="Calibri"/>
          <w:sz w:val="32"/>
          <w:szCs w:val="32"/>
        </w:rPr>
      </w:pPr>
    </w:p>
    <w:tbl>
      <w:tblPr>
        <w:tblStyle w:val="47"/>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16"/>
        <w:gridCol w:w="2951"/>
        <w:gridCol w:w="1737"/>
        <w:gridCol w:w="1563"/>
        <w:gridCol w:w="1967"/>
      </w:tblGrid>
      <w:tr w14:paraId="734C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27" w:type="dxa"/>
            <w:noWrap w:val="0"/>
            <w:vAlign w:val="center"/>
          </w:tcPr>
          <w:p w14:paraId="76C3EEF7">
            <w:pPr>
              <w:jc w:val="center"/>
              <w:rPr>
                <w:rFonts w:ascii="Calibri" w:hAnsi="Calibri"/>
                <w:szCs w:val="22"/>
              </w:rPr>
            </w:pPr>
            <w:r>
              <w:rPr>
                <w:rFonts w:hint="eastAsia" w:ascii="Calibri" w:hAnsi="Calibri"/>
                <w:szCs w:val="22"/>
              </w:rPr>
              <w:t>序号</w:t>
            </w:r>
          </w:p>
        </w:tc>
        <w:tc>
          <w:tcPr>
            <w:tcW w:w="1216" w:type="dxa"/>
            <w:noWrap w:val="0"/>
            <w:vAlign w:val="center"/>
          </w:tcPr>
          <w:p w14:paraId="2EAD4517">
            <w:pPr>
              <w:jc w:val="center"/>
              <w:rPr>
                <w:rFonts w:ascii="Calibri" w:hAnsi="Calibri"/>
                <w:szCs w:val="22"/>
              </w:rPr>
            </w:pPr>
            <w:r>
              <w:rPr>
                <w:rFonts w:hint="eastAsia" w:ascii="Calibri" w:hAnsi="Calibri"/>
                <w:szCs w:val="22"/>
              </w:rPr>
              <w:t>姓名</w:t>
            </w:r>
          </w:p>
        </w:tc>
        <w:tc>
          <w:tcPr>
            <w:tcW w:w="2951" w:type="dxa"/>
            <w:noWrap w:val="0"/>
            <w:vAlign w:val="center"/>
          </w:tcPr>
          <w:p w14:paraId="2519E21A">
            <w:pPr>
              <w:jc w:val="center"/>
              <w:rPr>
                <w:rFonts w:ascii="Calibri" w:hAnsi="Calibri"/>
                <w:szCs w:val="22"/>
              </w:rPr>
            </w:pPr>
            <w:r>
              <w:rPr>
                <w:rFonts w:hint="eastAsia" w:ascii="Calibri" w:hAnsi="Calibri"/>
                <w:szCs w:val="22"/>
              </w:rPr>
              <w:t>身份证号码</w:t>
            </w:r>
          </w:p>
        </w:tc>
        <w:tc>
          <w:tcPr>
            <w:tcW w:w="1737" w:type="dxa"/>
            <w:noWrap w:val="0"/>
            <w:vAlign w:val="center"/>
          </w:tcPr>
          <w:p w14:paraId="29F76927">
            <w:pPr>
              <w:jc w:val="center"/>
              <w:rPr>
                <w:rFonts w:ascii="Calibri" w:hAnsi="Calibri"/>
                <w:szCs w:val="22"/>
              </w:rPr>
            </w:pPr>
            <w:r>
              <w:rPr>
                <w:rFonts w:hint="eastAsia" w:ascii="Calibri" w:hAnsi="Calibri"/>
                <w:szCs w:val="22"/>
              </w:rPr>
              <w:t>手机号码</w:t>
            </w:r>
          </w:p>
        </w:tc>
        <w:tc>
          <w:tcPr>
            <w:tcW w:w="1563" w:type="dxa"/>
            <w:noWrap w:val="0"/>
            <w:vAlign w:val="center"/>
          </w:tcPr>
          <w:p w14:paraId="0498F078">
            <w:pPr>
              <w:jc w:val="center"/>
              <w:rPr>
                <w:rFonts w:ascii="Calibri" w:hAnsi="Calibri"/>
                <w:szCs w:val="22"/>
              </w:rPr>
            </w:pPr>
            <w:r>
              <w:rPr>
                <w:rFonts w:hint="eastAsia" w:ascii="Calibri" w:hAnsi="Calibri"/>
                <w:szCs w:val="22"/>
              </w:rPr>
              <w:t>单位名称</w:t>
            </w:r>
          </w:p>
        </w:tc>
        <w:tc>
          <w:tcPr>
            <w:tcW w:w="1967" w:type="dxa"/>
            <w:noWrap w:val="0"/>
            <w:vAlign w:val="center"/>
          </w:tcPr>
          <w:p w14:paraId="0B040D36">
            <w:pPr>
              <w:jc w:val="center"/>
              <w:rPr>
                <w:rFonts w:ascii="Calibri" w:hAnsi="Calibri"/>
                <w:szCs w:val="22"/>
              </w:rPr>
            </w:pPr>
            <w:r>
              <w:rPr>
                <w:rFonts w:hint="eastAsia" w:ascii="Calibri" w:hAnsi="Calibri"/>
                <w:szCs w:val="22"/>
              </w:rPr>
              <w:t>注册造价工程师注册证书号</w:t>
            </w:r>
          </w:p>
        </w:tc>
      </w:tr>
      <w:tr w14:paraId="0E2F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7" w:type="dxa"/>
            <w:noWrap w:val="0"/>
            <w:vAlign w:val="center"/>
          </w:tcPr>
          <w:p w14:paraId="64773D5B">
            <w:pPr>
              <w:jc w:val="center"/>
              <w:rPr>
                <w:rFonts w:ascii="Calibri" w:hAnsi="Calibri"/>
                <w:szCs w:val="22"/>
              </w:rPr>
            </w:pPr>
          </w:p>
        </w:tc>
        <w:tc>
          <w:tcPr>
            <w:tcW w:w="1216" w:type="dxa"/>
            <w:noWrap w:val="0"/>
            <w:vAlign w:val="center"/>
          </w:tcPr>
          <w:p w14:paraId="70AA3C12">
            <w:pPr>
              <w:jc w:val="center"/>
              <w:rPr>
                <w:rFonts w:ascii="Calibri" w:hAnsi="Calibri"/>
                <w:szCs w:val="22"/>
              </w:rPr>
            </w:pPr>
          </w:p>
        </w:tc>
        <w:tc>
          <w:tcPr>
            <w:tcW w:w="2951" w:type="dxa"/>
            <w:noWrap w:val="0"/>
            <w:vAlign w:val="center"/>
          </w:tcPr>
          <w:p w14:paraId="27D03DA0">
            <w:pPr>
              <w:jc w:val="center"/>
              <w:rPr>
                <w:rFonts w:ascii="Calibri" w:hAnsi="Calibri"/>
                <w:szCs w:val="22"/>
              </w:rPr>
            </w:pPr>
          </w:p>
        </w:tc>
        <w:tc>
          <w:tcPr>
            <w:tcW w:w="1737" w:type="dxa"/>
            <w:noWrap w:val="0"/>
            <w:vAlign w:val="center"/>
          </w:tcPr>
          <w:p w14:paraId="71B2152F">
            <w:pPr>
              <w:jc w:val="center"/>
              <w:rPr>
                <w:rFonts w:ascii="Calibri" w:hAnsi="Calibri"/>
                <w:szCs w:val="22"/>
              </w:rPr>
            </w:pPr>
          </w:p>
        </w:tc>
        <w:tc>
          <w:tcPr>
            <w:tcW w:w="1563" w:type="dxa"/>
            <w:noWrap w:val="0"/>
            <w:vAlign w:val="center"/>
          </w:tcPr>
          <w:p w14:paraId="56637195">
            <w:pPr>
              <w:jc w:val="center"/>
              <w:rPr>
                <w:rFonts w:ascii="Calibri" w:hAnsi="Calibri"/>
                <w:szCs w:val="22"/>
              </w:rPr>
            </w:pPr>
          </w:p>
        </w:tc>
        <w:tc>
          <w:tcPr>
            <w:tcW w:w="1967" w:type="dxa"/>
            <w:noWrap w:val="0"/>
            <w:vAlign w:val="center"/>
          </w:tcPr>
          <w:p w14:paraId="309B0DDF">
            <w:pPr>
              <w:jc w:val="center"/>
              <w:rPr>
                <w:rFonts w:ascii="Calibri" w:hAnsi="Calibri"/>
                <w:szCs w:val="22"/>
              </w:rPr>
            </w:pPr>
          </w:p>
        </w:tc>
      </w:tr>
      <w:tr w14:paraId="43C9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7" w:type="dxa"/>
            <w:noWrap w:val="0"/>
            <w:vAlign w:val="center"/>
          </w:tcPr>
          <w:p w14:paraId="73681B26">
            <w:pPr>
              <w:jc w:val="center"/>
              <w:rPr>
                <w:rFonts w:ascii="Calibri" w:hAnsi="Calibri"/>
                <w:szCs w:val="22"/>
              </w:rPr>
            </w:pPr>
          </w:p>
        </w:tc>
        <w:tc>
          <w:tcPr>
            <w:tcW w:w="1216" w:type="dxa"/>
            <w:noWrap w:val="0"/>
            <w:vAlign w:val="center"/>
          </w:tcPr>
          <w:p w14:paraId="24FDB299">
            <w:pPr>
              <w:jc w:val="center"/>
              <w:rPr>
                <w:rFonts w:ascii="Calibri" w:hAnsi="Calibri"/>
                <w:szCs w:val="22"/>
              </w:rPr>
            </w:pPr>
          </w:p>
        </w:tc>
        <w:tc>
          <w:tcPr>
            <w:tcW w:w="2951" w:type="dxa"/>
            <w:noWrap w:val="0"/>
            <w:vAlign w:val="center"/>
          </w:tcPr>
          <w:p w14:paraId="39C811F2">
            <w:pPr>
              <w:jc w:val="center"/>
              <w:rPr>
                <w:rFonts w:ascii="Calibri" w:hAnsi="Calibri"/>
                <w:szCs w:val="22"/>
              </w:rPr>
            </w:pPr>
          </w:p>
        </w:tc>
        <w:tc>
          <w:tcPr>
            <w:tcW w:w="1737" w:type="dxa"/>
            <w:noWrap w:val="0"/>
            <w:vAlign w:val="center"/>
          </w:tcPr>
          <w:p w14:paraId="561EFFBE">
            <w:pPr>
              <w:jc w:val="center"/>
              <w:rPr>
                <w:rFonts w:ascii="Calibri" w:hAnsi="Calibri"/>
                <w:szCs w:val="22"/>
              </w:rPr>
            </w:pPr>
          </w:p>
        </w:tc>
        <w:tc>
          <w:tcPr>
            <w:tcW w:w="1563" w:type="dxa"/>
            <w:noWrap w:val="0"/>
            <w:vAlign w:val="center"/>
          </w:tcPr>
          <w:p w14:paraId="03686129">
            <w:pPr>
              <w:jc w:val="center"/>
              <w:rPr>
                <w:rFonts w:ascii="Calibri" w:hAnsi="Calibri"/>
                <w:szCs w:val="22"/>
              </w:rPr>
            </w:pPr>
          </w:p>
        </w:tc>
        <w:tc>
          <w:tcPr>
            <w:tcW w:w="1967" w:type="dxa"/>
            <w:noWrap w:val="0"/>
            <w:vAlign w:val="center"/>
          </w:tcPr>
          <w:p w14:paraId="7663A0DE">
            <w:pPr>
              <w:jc w:val="center"/>
              <w:rPr>
                <w:rFonts w:ascii="Calibri" w:hAnsi="Calibri"/>
                <w:szCs w:val="22"/>
              </w:rPr>
            </w:pPr>
          </w:p>
        </w:tc>
      </w:tr>
    </w:tbl>
    <w:p w14:paraId="1C3498CD">
      <w:pPr>
        <w:rPr>
          <w:rFonts w:ascii="宋体" w:hAnsi="宋体"/>
          <w:b/>
          <w:sz w:val="24"/>
        </w:rPr>
      </w:pPr>
    </w:p>
    <w:p w14:paraId="0E3B9A49">
      <w:pPr>
        <w:spacing w:line="560" w:lineRule="exact"/>
        <w:rPr>
          <w:rFonts w:ascii="宋体" w:hAnsi="宋体"/>
          <w:b/>
          <w:sz w:val="24"/>
        </w:rPr>
      </w:pPr>
      <w:r>
        <w:rPr>
          <w:rFonts w:hint="eastAsia" w:ascii="宋体" w:hAnsi="宋体"/>
          <w:b/>
          <w:sz w:val="24"/>
        </w:rPr>
        <w:t>注：</w:t>
      </w:r>
    </w:p>
    <w:p w14:paraId="617A53C3">
      <w:pPr>
        <w:spacing w:line="560" w:lineRule="exact"/>
        <w:rPr>
          <w:rFonts w:ascii="宋体" w:hAnsi="宋体"/>
          <w:sz w:val="24"/>
        </w:rPr>
      </w:pPr>
      <w:r>
        <w:rPr>
          <w:rFonts w:hint="eastAsia" w:ascii="宋体" w:hAnsi="宋体"/>
          <w:sz w:val="24"/>
        </w:rPr>
        <w:t>1. 提供投标报价编制人员的注册造价工程师证书扫描件或影印件；</w:t>
      </w:r>
    </w:p>
    <w:p w14:paraId="6D22DC2A">
      <w:pPr>
        <w:spacing w:line="560" w:lineRule="exact"/>
        <w:rPr>
          <w:rFonts w:ascii="宋体" w:hAnsi="宋体"/>
          <w:sz w:val="24"/>
        </w:rPr>
      </w:pPr>
      <w:r>
        <w:rPr>
          <w:rFonts w:hint="eastAsia" w:ascii="宋体" w:hAnsi="宋体"/>
          <w:sz w:val="24"/>
        </w:rPr>
        <w:t>2. 若投标报价编制人员为投标人委托的造价咨询单位注册造价人员，须提供与造价咨询单位签订的委托协议。</w:t>
      </w:r>
    </w:p>
    <w:p w14:paraId="3614E8A5">
      <w:pPr>
        <w:spacing w:line="560" w:lineRule="exact"/>
        <w:rPr>
          <w:rFonts w:ascii="宋体" w:hAnsi="宋体"/>
          <w:sz w:val="24"/>
        </w:rPr>
      </w:pPr>
      <w:r>
        <w:rPr>
          <w:rFonts w:hint="eastAsia" w:ascii="宋体" w:hAnsi="宋体"/>
          <w:sz w:val="24"/>
        </w:rPr>
        <w:t>3. 表格内容将作为公安机关和行政主管部门调查串通投标、允许他人以自己名义从事工程造价业务等违法违规行为的重要依据。</w:t>
      </w:r>
    </w:p>
    <w:p w14:paraId="73668EF9">
      <w:pPr>
        <w:spacing w:line="560" w:lineRule="exact"/>
        <w:rPr>
          <w:rFonts w:ascii="宋体" w:hAnsi="宋体"/>
          <w:sz w:val="24"/>
        </w:rPr>
      </w:pPr>
      <w:r>
        <w:rPr>
          <w:rFonts w:hint="eastAsia" w:ascii="宋体" w:hAnsi="宋体"/>
          <w:sz w:val="24"/>
        </w:rPr>
        <w:t>4. 投标人填写内容务必真实准确，否则将承担投标失败、中标无效的风险。</w:t>
      </w:r>
    </w:p>
    <w:p w14:paraId="081E94DD">
      <w:pPr>
        <w:spacing w:line="560" w:lineRule="exact"/>
        <w:rPr>
          <w:rFonts w:ascii="宋体" w:hAnsi="宋体"/>
          <w:sz w:val="24"/>
        </w:rPr>
      </w:pPr>
    </w:p>
    <w:p w14:paraId="69A73CA9">
      <w:pPr>
        <w:spacing w:line="560" w:lineRule="exact"/>
        <w:rPr>
          <w:rFonts w:ascii="宋体" w:hAnsi="宋体"/>
          <w:sz w:val="24"/>
        </w:rPr>
      </w:pPr>
    </w:p>
    <w:p w14:paraId="3EBDA530">
      <w:pPr>
        <w:spacing w:line="560" w:lineRule="exact"/>
        <w:ind w:firstLine="480" w:firstLineChars="200"/>
        <w:rPr>
          <w:rFonts w:ascii="宋体" w:hAnsi="宋体"/>
          <w:sz w:val="24"/>
        </w:rPr>
      </w:pPr>
      <w:r>
        <w:rPr>
          <w:rFonts w:hint="eastAsia" w:ascii="宋体" w:hAnsi="宋体"/>
          <w:sz w:val="24"/>
        </w:rPr>
        <w:t>③工程量清单报价书正文格式：见2018版“工程量清单计价文件”格式，在滁州市公共资源交易中心网站下载招标文件后，使用投标文件制作工具导出“招标清单文件”，即为“工程量清单计价文件”正文格式。</w:t>
      </w:r>
    </w:p>
    <w:p w14:paraId="7ACE6453">
      <w:pPr>
        <w:pStyle w:val="8"/>
        <w:adjustRightInd w:val="0"/>
        <w:snapToGrid w:val="0"/>
        <w:spacing w:before="0" w:after="0" w:line="560" w:lineRule="exact"/>
        <w:jc w:val="center"/>
        <w:rPr>
          <w:rFonts w:hint="eastAsia"/>
          <w:color w:val="000000"/>
        </w:rPr>
      </w:pPr>
      <w:bookmarkStart w:id="954" w:name="_Toc95223546"/>
    </w:p>
    <w:bookmarkEnd w:id="954"/>
    <w:p w14:paraId="65A7D629">
      <w:pPr>
        <w:rPr>
          <w:rFonts w:hint="eastAsia"/>
          <w:bCs/>
          <w:szCs w:val="32"/>
          <w:highlight w:val="none"/>
        </w:rPr>
      </w:pPr>
      <w:r>
        <w:rPr>
          <w:rFonts w:hint="eastAsia"/>
          <w:bCs/>
          <w:szCs w:val="32"/>
          <w:highlight w:val="none"/>
        </w:rPr>
        <w:br w:type="page"/>
      </w:r>
    </w:p>
    <w:p w14:paraId="172B3F58">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十</w:t>
      </w:r>
      <w:r>
        <w:rPr>
          <w:rFonts w:hint="eastAsia"/>
          <w:bCs/>
          <w:szCs w:val="32"/>
          <w:highlight w:val="none"/>
        </w:rPr>
        <w:t>章  招标单位、招标代理机构对本招标文件的确认</w:t>
      </w:r>
      <w:bookmarkEnd w:id="953"/>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2025年度滁城充电基础设施项目（第三批次）施工</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滁州工投新能源开发有限公司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李工</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27CF026B">
            <w:pPr>
              <w:spacing w:line="560" w:lineRule="exac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eastAsia="宋体" w:cs="宋体"/>
                <w:sz w:val="28"/>
                <w:szCs w:val="28"/>
                <w:highlight w:val="none"/>
                <w:lang w:val="en-US" w:eastAsia="zh-CN"/>
              </w:rPr>
              <w:t>0550-3018358、19355082836</w:t>
            </w:r>
          </w:p>
          <w:p w14:paraId="01C3939A">
            <w:pPr>
              <w:adjustRightInd w:val="0"/>
              <w:snapToGrid w:val="0"/>
              <w:spacing w:line="560" w:lineRule="exact"/>
              <w:ind w:firstLine="560" w:firstLineChars="200"/>
              <w:rPr>
                <w:rFonts w:hint="eastAsia" w:ascii="宋体" w:hAnsi="宋体" w:eastAsia="宋体" w:cs="Times New Roman"/>
                <w:color w:val="auto"/>
                <w:sz w:val="28"/>
                <w:szCs w:val="28"/>
                <w:highlight w:val="none"/>
                <w:lang w:val="en-US" w:eastAsia="zh-CN"/>
              </w:rPr>
            </w:pPr>
          </w:p>
          <w:p w14:paraId="01C406FE">
            <w:pPr>
              <w:wordWrap w:val="0"/>
              <w:spacing w:line="560" w:lineRule="exact"/>
              <w:ind w:firstLine="560" w:firstLineChars="200"/>
              <w:rPr>
                <w:rFonts w:ascii="宋体" w:hAnsi="宋体"/>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2BCF4FCB">
            <w:pPr>
              <w:wordWrap w:val="0"/>
              <w:spacing w:line="560" w:lineRule="exact"/>
              <w:ind w:firstLine="560" w:firstLineChars="200"/>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7</w:t>
            </w:r>
            <w:r>
              <w:rPr>
                <w:rFonts w:hint="eastAsia" w:ascii="宋体" w:hAnsi="宋体"/>
                <w:sz w:val="28"/>
                <w:szCs w:val="28"/>
                <w:highlight w:val="none"/>
              </w:rPr>
              <w:t>月</w:t>
            </w:r>
          </w:p>
          <w:p w14:paraId="72A7FF77">
            <w:pPr>
              <w:pStyle w:val="2"/>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7</w:t>
            </w:r>
            <w:r>
              <w:rPr>
                <w:rFonts w:hint="eastAsia" w:ascii="宋体" w:hAnsi="宋体"/>
                <w:sz w:val="28"/>
                <w:szCs w:val="28"/>
                <w:highlight w:val="none"/>
              </w:rPr>
              <w:t>月</w:t>
            </w:r>
          </w:p>
          <w:p w14:paraId="4EDF8AEB">
            <w:pPr>
              <w:pStyle w:val="2"/>
              <w:ind w:firstLine="420"/>
              <w:rPr>
                <w:highlight w:val="none"/>
              </w:rPr>
            </w:pPr>
          </w:p>
        </w:tc>
      </w:tr>
    </w:tbl>
    <w:p w14:paraId="2D7DD9E9">
      <w:r>
        <w:br w:type="page"/>
      </w:r>
    </w:p>
    <w:p w14:paraId="034D9A8E">
      <w:pPr>
        <w:keepNext/>
        <w:keepLines/>
        <w:spacing w:before="200" w:after="200" w:line="600" w:lineRule="exact"/>
        <w:outlineLvl w:val="0"/>
        <w:rPr>
          <w:rFonts w:ascii="黑体" w:hAnsi="黑体" w:eastAsia="黑体"/>
          <w:b/>
          <w:bCs/>
          <w:color w:val="000000"/>
          <w:kern w:val="44"/>
          <w:sz w:val="28"/>
          <w:szCs w:val="28"/>
        </w:rPr>
      </w:pPr>
      <w:bookmarkStart w:id="955" w:name="OLE_LINK25"/>
      <w:bookmarkStart w:id="956" w:name="OLE_LINK24"/>
      <w:r>
        <w:rPr>
          <w:rFonts w:hint="eastAsia" w:ascii="黑体" w:hAnsi="黑体" w:eastAsia="黑体"/>
          <w:b/>
          <w:bCs/>
          <w:color w:val="000000"/>
          <w:kern w:val="44"/>
          <w:sz w:val="36"/>
          <w:szCs w:val="28"/>
        </w:rPr>
        <w:t>附件1 关于联合惩戒失信行为加强信用查询管理的通知</w:t>
      </w:r>
    </w:p>
    <w:p w14:paraId="7D78D1E5">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一、失信行为联合惩戒的范围和查询渠道</w:t>
      </w:r>
    </w:p>
    <w:p w14:paraId="2BD71219">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在我市公共资源交易活动中对存在下列失信行为的投标人、法定代表人及其项目经理（建造师）实施联合惩戒，禁止参与我市公共资源交易活动。</w:t>
      </w:r>
    </w:p>
    <w:p w14:paraId="28C6AAAB">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（一）工程建设项目</w:t>
      </w:r>
    </w:p>
    <w:bookmarkEnd w:id="955"/>
    <w:bookmarkEnd w:id="956"/>
    <w:p w14:paraId="7F29E750">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1、“信用中国”网站（www.creditchina.gov.cn）查询</w:t>
      </w:r>
      <w:bookmarkStart w:id="957" w:name="OLE_LINK93"/>
      <w:bookmarkStart w:id="958" w:name="OLE_LINK92"/>
      <w:bookmarkStart w:id="959" w:name="OLE_LINK91"/>
      <w:bookmarkStart w:id="960" w:name="OLE_LINK103"/>
      <w:r>
        <w:rPr>
          <w:rFonts w:hint="eastAsia" w:ascii="仿宋_GB2312" w:hAnsi="宋体" w:eastAsia="仿宋_GB2312"/>
          <w:color w:val="000000"/>
          <w:sz w:val="28"/>
          <w:szCs w:val="28"/>
        </w:rPr>
        <w:t>投标人、法定代表人及其项目经理(建造师)</w:t>
      </w:r>
      <w:bookmarkEnd w:id="957"/>
      <w:bookmarkEnd w:id="958"/>
      <w:bookmarkEnd w:id="959"/>
      <w:bookmarkEnd w:id="960"/>
      <w:r>
        <w:rPr>
          <w:rFonts w:hint="eastAsia" w:ascii="仿宋_GB2312" w:hAnsi="宋体" w:eastAsia="仿宋_GB2312"/>
          <w:color w:val="000000"/>
          <w:sz w:val="28"/>
          <w:szCs w:val="28"/>
        </w:rPr>
        <w:t>以下失信行为：</w:t>
      </w:r>
    </w:p>
    <w:p w14:paraId="39E02CAC">
      <w:pPr>
        <w:adjustRightInd w:val="0"/>
        <w:snapToGrid w:val="0"/>
        <w:spacing w:line="560" w:lineRule="exact"/>
        <w:ind w:firstLine="560" w:firstLineChars="200"/>
        <w:rPr>
          <w:rFonts w:hint="eastAsia" w:ascii="仿宋_GB2312" w:hAnsi="宋体" w:eastAsia="仿宋_GB2312"/>
          <w:color w:val="000000"/>
          <w:sz w:val="28"/>
          <w:szCs w:val="28"/>
        </w:rPr>
      </w:pPr>
      <w:bookmarkStart w:id="961" w:name="OLE_LINK119"/>
      <w:bookmarkStart w:id="962" w:name="OLE_LINK87"/>
      <w:bookmarkStart w:id="963" w:name="OLE_LINK94"/>
      <w:bookmarkStart w:id="964" w:name="OLE_LINK86"/>
      <w:bookmarkStart w:id="965" w:name="OLE_LINK21"/>
      <w:r>
        <w:rPr>
          <w:rFonts w:hint="eastAsia" w:ascii="仿宋_GB2312" w:hAnsi="宋体" w:eastAsia="仿宋_GB2312"/>
          <w:color w:val="000000"/>
          <w:sz w:val="28"/>
          <w:szCs w:val="28"/>
        </w:rPr>
        <w:t>①被列入“失信被执行人”的;</w:t>
      </w:r>
    </w:p>
    <w:p w14:paraId="7047C0E8">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②被列入</w:t>
      </w:r>
      <w:bookmarkStart w:id="966" w:name="OLE_LINK117"/>
      <w:bookmarkStart w:id="967" w:name="OLE_LINK116"/>
      <w:bookmarkStart w:id="968" w:name="OLE_LINK115"/>
      <w:bookmarkStart w:id="969" w:name="OLE_LINK118"/>
      <w:r>
        <w:rPr>
          <w:rFonts w:hint="eastAsia" w:ascii="仿宋_GB2312" w:hAnsi="宋体" w:eastAsia="仿宋_GB2312"/>
          <w:color w:val="000000"/>
          <w:sz w:val="28"/>
          <w:szCs w:val="28"/>
        </w:rPr>
        <w:t>“重大税收违法失信主体”</w:t>
      </w:r>
      <w:bookmarkEnd w:id="966"/>
      <w:bookmarkEnd w:id="967"/>
      <w:bookmarkEnd w:id="968"/>
      <w:bookmarkEnd w:id="969"/>
      <w:r>
        <w:rPr>
          <w:rFonts w:hint="eastAsia" w:ascii="仿宋_GB2312" w:hAnsi="宋体" w:eastAsia="仿宋_GB2312"/>
          <w:color w:val="000000"/>
          <w:sz w:val="28"/>
          <w:szCs w:val="28"/>
        </w:rPr>
        <w:t>的；</w:t>
      </w:r>
    </w:p>
    <w:p w14:paraId="7DC992D2">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③被列入“拖欠</w:t>
      </w:r>
      <w:bookmarkStart w:id="970" w:name="OLE_LINK84"/>
      <w:bookmarkStart w:id="971" w:name="OLE_LINK85"/>
      <w:r>
        <w:rPr>
          <w:rFonts w:hint="eastAsia" w:ascii="仿宋_GB2312" w:hAnsi="宋体" w:eastAsia="仿宋_GB2312"/>
          <w:color w:val="000000"/>
          <w:sz w:val="28"/>
          <w:szCs w:val="28"/>
        </w:rPr>
        <w:t>农民工工资失信联合惩戒对象</w:t>
      </w:r>
      <w:bookmarkEnd w:id="970"/>
      <w:bookmarkEnd w:id="971"/>
      <w:r>
        <w:rPr>
          <w:rFonts w:hint="eastAsia" w:ascii="仿宋_GB2312" w:hAnsi="宋体" w:eastAsia="仿宋_GB2312"/>
          <w:color w:val="000000"/>
          <w:sz w:val="28"/>
          <w:szCs w:val="28"/>
        </w:rPr>
        <w:t>名单”的；</w:t>
      </w:r>
    </w:p>
    <w:p w14:paraId="43D5EFC6">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④被列入 “严重失信主体名单”的；</w:t>
      </w:r>
    </w:p>
    <w:p w14:paraId="7F86043F">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⑤在“信用中国”网站上披露的仍在公示期的严重失信行为(具体行为类别及判定依据见附件2)的。</w:t>
      </w:r>
    </w:p>
    <w:bookmarkEnd w:id="961"/>
    <w:bookmarkEnd w:id="962"/>
    <w:bookmarkEnd w:id="963"/>
    <w:bookmarkEnd w:id="964"/>
    <w:bookmarkEnd w:id="965"/>
    <w:p w14:paraId="1B61F2E2">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w:t>
      </w:r>
      <w:bookmarkStart w:id="972" w:name="OLE_LINK130"/>
      <w:r>
        <w:rPr>
          <w:rFonts w:hint="eastAsia" w:ascii="仿宋_GB2312" w:hAnsi="宋体" w:eastAsia="仿宋_GB2312"/>
          <w:color w:val="000000"/>
          <w:sz w:val="28"/>
          <w:szCs w:val="28"/>
        </w:rPr>
        <w:t>国家企业信用信息公示系统网站</w:t>
      </w:r>
      <w:bookmarkEnd w:id="972"/>
      <w:r>
        <w:rPr>
          <w:rFonts w:hint="eastAsia" w:ascii="仿宋_GB2312" w:hAnsi="宋体" w:eastAsia="仿宋_GB2312"/>
          <w:color w:val="000000"/>
          <w:sz w:val="28"/>
          <w:szCs w:val="28"/>
        </w:rPr>
        <w:t>（</w:t>
      </w:r>
      <w:r>
        <w:rPr>
          <w:color w:val="000000"/>
        </w:rPr>
        <w:fldChar w:fldCharType="begin"/>
      </w:r>
      <w:r>
        <w:rPr>
          <w:color w:val="000000"/>
        </w:rPr>
        <w:instrText xml:space="preserve"> </w:instrText>
      </w:r>
      <w:r>
        <w:rPr>
          <w:rFonts w:hint="eastAsia"/>
          <w:color w:val="000000"/>
        </w:rPr>
        <w:instrText xml:space="preserve">HYPERLINK "http://www.gsxt.gov.cn）查询"</w:instrText>
      </w:r>
      <w:r>
        <w:rPr>
          <w:color w:val="000000"/>
        </w:rPr>
        <w:instrText xml:space="preserve"> </w:instrText>
      </w:r>
      <w:r>
        <w:rPr>
          <w:color w:val="000000"/>
        </w:rPr>
        <w:fldChar w:fldCharType="separate"/>
      </w:r>
      <w:bookmarkStart w:id="973" w:name="OLE_LINK90"/>
      <w:bookmarkStart w:id="974" w:name="OLE_LINK89"/>
      <w:r>
        <w:rPr>
          <w:rStyle w:val="58"/>
          <w:rFonts w:hint="eastAsia" w:ascii="仿宋_GB2312" w:hAnsi="宋体" w:eastAsia="仿宋_GB2312"/>
          <w:color w:val="000000"/>
          <w:sz w:val="28"/>
          <w:szCs w:val="28"/>
        </w:rPr>
        <w:t>www.gsxt.gov.cn</w:t>
      </w:r>
      <w:bookmarkEnd w:id="973"/>
      <w:bookmarkEnd w:id="974"/>
      <w:r>
        <w:rPr>
          <w:rStyle w:val="58"/>
          <w:rFonts w:hint="eastAsia" w:ascii="仿宋_GB2312" w:hAnsi="宋体" w:eastAsia="仿宋_GB2312"/>
          <w:color w:val="000000"/>
          <w:sz w:val="28"/>
          <w:szCs w:val="28"/>
        </w:rPr>
        <w:t>）</w:t>
      </w:r>
      <w:r>
        <w:rPr>
          <w:color w:val="000000"/>
        </w:rPr>
        <w:fldChar w:fldCharType="end"/>
      </w:r>
      <w:r>
        <w:rPr>
          <w:rFonts w:hint="eastAsia" w:ascii="仿宋_GB2312" w:hAnsi="宋体" w:eastAsia="仿宋_GB2312"/>
          <w:color w:val="000000"/>
          <w:sz w:val="28"/>
          <w:szCs w:val="28"/>
        </w:rPr>
        <w:t>查询投标人以下失信行为：</w:t>
      </w:r>
    </w:p>
    <w:p w14:paraId="2345EFB3">
      <w:pPr>
        <w:adjustRightInd w:val="0"/>
        <w:snapToGrid w:val="0"/>
        <w:spacing w:line="560" w:lineRule="exact"/>
        <w:ind w:firstLine="560" w:firstLineChars="200"/>
        <w:rPr>
          <w:rFonts w:hint="eastAsia" w:ascii="仿宋_GB2312" w:hAnsi="宋体" w:eastAsia="仿宋_GB2312"/>
          <w:color w:val="000000"/>
          <w:sz w:val="28"/>
          <w:szCs w:val="28"/>
        </w:rPr>
      </w:pPr>
      <w:bookmarkStart w:id="975" w:name="OLE_LINK121"/>
      <w:bookmarkStart w:id="976" w:name="OLE_LINK120"/>
      <w:bookmarkStart w:id="977" w:name="OLE_LINK122"/>
      <w:r>
        <w:rPr>
          <w:rFonts w:hint="eastAsia" w:ascii="仿宋_GB2312" w:hAnsi="宋体" w:eastAsia="仿宋_GB2312"/>
          <w:color w:val="000000"/>
          <w:sz w:val="28"/>
          <w:szCs w:val="28"/>
        </w:rPr>
        <w:t>①被列入“经营异常名录”或者“严重违法失信名单”的。</w:t>
      </w:r>
      <w:bookmarkEnd w:id="975"/>
      <w:bookmarkEnd w:id="976"/>
      <w:bookmarkEnd w:id="977"/>
    </w:p>
    <w:p w14:paraId="034FA393">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3、由</w:t>
      </w:r>
      <w:r>
        <w:rPr>
          <w:rFonts w:hint="eastAsia" w:ascii="仿宋_GB2312" w:hAnsi="宋体" w:eastAsia="仿宋_GB2312"/>
          <w:color w:val="000000"/>
          <w:kern w:val="0"/>
          <w:sz w:val="28"/>
          <w:szCs w:val="28"/>
        </w:rPr>
        <w:t>投标人、法定代表人及其项目经理(建造师)</w:t>
      </w:r>
      <w:r>
        <w:rPr>
          <w:rFonts w:hint="eastAsia" w:ascii="仿宋_GB2312" w:hAnsi="宋体" w:eastAsia="仿宋_GB2312"/>
          <w:color w:val="000000"/>
          <w:sz w:val="28"/>
          <w:szCs w:val="28"/>
        </w:rPr>
        <w:t>进行承诺，不进行现场网上信用查询的失信行为：</w:t>
      </w:r>
    </w:p>
    <w:p w14:paraId="003358AB">
      <w:pPr>
        <w:adjustRightInd w:val="0"/>
        <w:snapToGrid w:val="0"/>
        <w:spacing w:line="560" w:lineRule="exact"/>
        <w:ind w:firstLine="560" w:firstLineChars="200"/>
        <w:rPr>
          <w:rFonts w:hint="eastAsia" w:ascii="仿宋_GB2312" w:hAnsi="宋体" w:eastAsia="仿宋_GB2312" w:cs="楷体"/>
          <w:color w:val="000000"/>
          <w:sz w:val="28"/>
          <w:szCs w:val="28"/>
        </w:rPr>
      </w:pPr>
      <w:bookmarkStart w:id="978" w:name="OLE_LINK123"/>
      <w:bookmarkStart w:id="979" w:name="OLE_LINK124"/>
      <w:r>
        <w:rPr>
          <w:rFonts w:hint="eastAsia" w:ascii="仿宋_GB2312" w:hAnsi="宋体" w:eastAsia="仿宋_GB2312"/>
          <w:color w:val="000000"/>
          <w:sz w:val="28"/>
          <w:szCs w:val="28"/>
        </w:rPr>
        <w:t>①</w:t>
      </w:r>
      <w:r>
        <w:rPr>
          <w:rFonts w:hint="eastAsia" w:ascii="仿宋_GB2312" w:hAnsi="宋体" w:eastAsia="仿宋_GB2312" w:cs="楷体"/>
          <w:color w:val="000000"/>
          <w:sz w:val="28"/>
          <w:szCs w:val="28"/>
        </w:rPr>
        <w:t>前三年有行贿犯罪行为的单位和个人；</w:t>
      </w:r>
    </w:p>
    <w:p w14:paraId="39670212">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②被滁州市县两级公管部门取消在一定期限内的投标资格且在取消期限内的；</w:t>
      </w:r>
    </w:p>
    <w:p w14:paraId="4FBE87EC">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③被滁州市县两级各行业主管部门取消在一定期限内的投标资格且在取消期限内的；</w:t>
      </w:r>
    </w:p>
    <w:p w14:paraId="5AD426C5">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④因拖欠农民工工资被</w:t>
      </w:r>
      <w:bookmarkStart w:id="980" w:name="OLE_LINK108"/>
      <w:bookmarkStart w:id="981" w:name="OLE_LINK107"/>
      <w:r>
        <w:rPr>
          <w:rFonts w:hint="eastAsia" w:ascii="仿宋_GB2312" w:hAnsi="宋体" w:eastAsia="仿宋_GB2312"/>
          <w:color w:val="000000"/>
          <w:sz w:val="28"/>
          <w:szCs w:val="28"/>
        </w:rPr>
        <w:t>县级及以上有关行政主管部门限制投标资格且在限制期限内的</w:t>
      </w:r>
      <w:bookmarkEnd w:id="980"/>
      <w:bookmarkEnd w:id="981"/>
      <w:r>
        <w:rPr>
          <w:rFonts w:hint="eastAsia" w:ascii="仿宋_GB2312" w:hAnsi="宋体" w:eastAsia="仿宋_GB2312"/>
          <w:color w:val="000000"/>
          <w:sz w:val="28"/>
          <w:szCs w:val="28"/>
        </w:rPr>
        <w:t>；</w:t>
      </w:r>
    </w:p>
    <w:p w14:paraId="3C3CBF73">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978"/>
    <w:bookmarkEnd w:id="979"/>
    <w:p w14:paraId="374AA87B">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（二）政府采购项目</w:t>
      </w:r>
    </w:p>
    <w:p w14:paraId="4C8C011D">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1、“信用中国”网站</w:t>
      </w:r>
      <w:r>
        <w:rPr>
          <w:rFonts w:hint="eastAsia" w:ascii="仿宋" w:hAnsi="仿宋" w:eastAsia="仿宋"/>
          <w:color w:val="000000"/>
          <w:sz w:val="28"/>
          <w:szCs w:val="28"/>
        </w:rPr>
        <w:t>（</w:t>
      </w:r>
      <w:r>
        <w:rPr>
          <w:rStyle w:val="58"/>
          <w:rFonts w:hint="eastAsia" w:ascii="仿宋" w:hAnsi="仿宋" w:eastAsia="仿宋"/>
          <w:color w:val="000000"/>
          <w:sz w:val="28"/>
          <w:szCs w:val="28"/>
        </w:rPr>
        <w:t>www.creditchina.gov.cn</w:t>
      </w:r>
      <w:r>
        <w:rPr>
          <w:rFonts w:hint="eastAsia" w:ascii="仿宋" w:hAnsi="仿宋" w:eastAsia="仿宋"/>
          <w:color w:val="000000"/>
          <w:sz w:val="28"/>
          <w:szCs w:val="28"/>
        </w:rPr>
        <w:t>）</w:t>
      </w:r>
      <w:r>
        <w:rPr>
          <w:rFonts w:hint="eastAsia" w:ascii="仿宋_GB2312" w:hAnsi="宋体" w:eastAsia="仿宋_GB2312"/>
          <w:color w:val="000000"/>
          <w:sz w:val="28"/>
          <w:szCs w:val="28"/>
        </w:rPr>
        <w:t>查询供应商、法定代表人及其项目负责人以下失信行为：</w:t>
      </w:r>
    </w:p>
    <w:p w14:paraId="66110A55">
      <w:pPr>
        <w:adjustRightInd w:val="0"/>
        <w:snapToGrid w:val="0"/>
        <w:spacing w:line="56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①被列入“失信被执行人”的;</w:t>
      </w:r>
    </w:p>
    <w:p w14:paraId="76905306">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②被列入“重大税收违法失信主体”的；</w:t>
      </w:r>
    </w:p>
    <w:p w14:paraId="224CBA47">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③被列入“拖欠农民工工资失信联合惩戒对象名单”的；</w:t>
      </w:r>
    </w:p>
    <w:p w14:paraId="19BC1919">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④被列入 “严重失信主体名单”的；</w:t>
      </w:r>
    </w:p>
    <w:p w14:paraId="2673F94A">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⑤在“信用中国”网站上披露的仍在公示期的严重失信行为(具体行为类别及判定依据见附件2)的。</w:t>
      </w:r>
    </w:p>
    <w:p w14:paraId="3F17E67C">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2、国家企业信用信息公示系统网站</w:t>
      </w:r>
      <w:r>
        <w:rPr>
          <w:rFonts w:hint="eastAsia" w:ascii="仿宋" w:hAnsi="仿宋" w:eastAsia="仿宋"/>
          <w:color w:val="000000"/>
          <w:sz w:val="28"/>
          <w:szCs w:val="28"/>
        </w:rPr>
        <w:t>（</w:t>
      </w:r>
      <w:r>
        <w:rPr>
          <w:color w:val="000000"/>
        </w:rPr>
        <w:fldChar w:fldCharType="begin"/>
      </w:r>
      <w:r>
        <w:rPr>
          <w:color w:val="000000"/>
        </w:rPr>
        <w:instrText xml:space="preserve"> </w:instrText>
      </w:r>
      <w:r>
        <w:rPr>
          <w:rFonts w:hint="eastAsia"/>
          <w:color w:val="000000"/>
        </w:rPr>
        <w:instrText xml:space="preserve">HYPERLINK "http://www.gsxt.gov.cn）查询"</w:instrText>
      </w:r>
      <w:r>
        <w:rPr>
          <w:color w:val="000000"/>
        </w:rPr>
        <w:instrText xml:space="preserve"> </w:instrText>
      </w:r>
      <w:r>
        <w:rPr>
          <w:color w:val="000000"/>
        </w:rPr>
        <w:fldChar w:fldCharType="separate"/>
      </w:r>
      <w:r>
        <w:rPr>
          <w:rStyle w:val="58"/>
          <w:rFonts w:hint="eastAsia" w:ascii="仿宋" w:hAnsi="仿宋" w:eastAsia="仿宋"/>
          <w:color w:val="000000"/>
          <w:sz w:val="28"/>
          <w:szCs w:val="28"/>
        </w:rPr>
        <w:t>www.gsxt.gov.cn）</w:t>
      </w:r>
      <w:r>
        <w:rPr>
          <w:color w:val="000000"/>
        </w:rPr>
        <w:fldChar w:fldCharType="end"/>
      </w:r>
      <w:r>
        <w:rPr>
          <w:rFonts w:hint="eastAsia" w:ascii="仿宋_GB2312" w:hAnsi="宋体" w:eastAsia="仿宋_GB2312"/>
          <w:color w:val="000000"/>
          <w:sz w:val="28"/>
          <w:szCs w:val="28"/>
        </w:rPr>
        <w:t>查询供应商以下失信行为：</w:t>
      </w:r>
    </w:p>
    <w:p w14:paraId="3D63D8A1">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①</w:t>
      </w:r>
      <w:bookmarkStart w:id="982" w:name="OLE_LINK101"/>
      <w:bookmarkStart w:id="983" w:name="OLE_LINK100"/>
      <w:bookmarkStart w:id="984" w:name="OLE_LINK102"/>
      <w:r>
        <w:rPr>
          <w:rFonts w:hint="eastAsia" w:ascii="仿宋_GB2312" w:hAnsi="宋体" w:eastAsia="仿宋_GB2312"/>
          <w:color w:val="000000"/>
          <w:sz w:val="28"/>
          <w:szCs w:val="28"/>
        </w:rPr>
        <w:t>被列入“经营异常名录”或者“严重违法失信名单”的</w:t>
      </w:r>
      <w:bookmarkEnd w:id="982"/>
      <w:bookmarkEnd w:id="983"/>
      <w:bookmarkEnd w:id="984"/>
      <w:r>
        <w:rPr>
          <w:rFonts w:hint="eastAsia" w:ascii="仿宋_GB2312" w:hAnsi="宋体" w:eastAsia="仿宋_GB2312"/>
          <w:color w:val="000000"/>
          <w:sz w:val="28"/>
          <w:szCs w:val="28"/>
        </w:rPr>
        <w:t>。</w:t>
      </w:r>
    </w:p>
    <w:p w14:paraId="5C07D31A">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3、中国政府采购网站</w:t>
      </w:r>
      <w:r>
        <w:rPr>
          <w:rFonts w:hint="eastAsia" w:ascii="仿宋" w:hAnsi="仿宋" w:eastAsia="仿宋"/>
          <w:color w:val="000000"/>
          <w:sz w:val="28"/>
          <w:szCs w:val="28"/>
        </w:rPr>
        <w:t>（</w:t>
      </w:r>
      <w:bookmarkStart w:id="985" w:name="OLE_LINK96"/>
      <w:bookmarkStart w:id="986" w:name="OLE_LINK95"/>
      <w:r>
        <w:rPr>
          <w:rFonts w:ascii="仿宋" w:hAnsi="仿宋" w:eastAsia="仿宋"/>
          <w:color w:val="000000"/>
          <w:sz w:val="28"/>
          <w:szCs w:val="28"/>
        </w:rPr>
        <w:fldChar w:fldCharType="begin"/>
      </w:r>
      <w:r>
        <w:rPr>
          <w:rFonts w:ascii="仿宋" w:hAnsi="仿宋" w:eastAsia="仿宋"/>
          <w:color w:val="000000"/>
          <w:sz w:val="28"/>
          <w:szCs w:val="28"/>
        </w:rPr>
        <w:instrText xml:space="preserve"> HYPERLINK "http://www.ccgp.gov.cn" </w:instrText>
      </w:r>
      <w:r>
        <w:rPr>
          <w:rFonts w:ascii="仿宋" w:hAnsi="仿宋" w:eastAsia="仿宋"/>
          <w:color w:val="000000"/>
          <w:sz w:val="28"/>
          <w:szCs w:val="28"/>
        </w:rPr>
        <w:fldChar w:fldCharType="separate"/>
      </w:r>
      <w:r>
        <w:rPr>
          <w:rStyle w:val="58"/>
          <w:rFonts w:hint="eastAsia" w:ascii="仿宋" w:hAnsi="仿宋" w:eastAsia="仿宋"/>
          <w:color w:val="000000"/>
          <w:sz w:val="28"/>
          <w:szCs w:val="28"/>
        </w:rPr>
        <w:t>www.ccgp.gov.cn</w:t>
      </w:r>
      <w:r>
        <w:rPr>
          <w:rFonts w:ascii="仿宋" w:hAnsi="仿宋" w:eastAsia="仿宋"/>
          <w:color w:val="000000"/>
          <w:sz w:val="28"/>
          <w:szCs w:val="28"/>
        </w:rPr>
        <w:fldChar w:fldCharType="end"/>
      </w:r>
      <w:bookmarkEnd w:id="985"/>
      <w:bookmarkEnd w:id="986"/>
      <w:r>
        <w:rPr>
          <w:rFonts w:hint="eastAsia" w:ascii="仿宋" w:hAnsi="仿宋" w:eastAsia="仿宋"/>
          <w:color w:val="000000"/>
          <w:sz w:val="28"/>
          <w:szCs w:val="28"/>
        </w:rPr>
        <w:t>）</w:t>
      </w:r>
      <w:r>
        <w:rPr>
          <w:rFonts w:hint="eastAsia" w:ascii="仿宋_GB2312" w:hAnsi="宋体" w:eastAsia="仿宋_GB2312"/>
          <w:color w:val="000000"/>
          <w:sz w:val="28"/>
          <w:szCs w:val="28"/>
        </w:rPr>
        <w:t>查询以下失信行为：</w:t>
      </w:r>
    </w:p>
    <w:p w14:paraId="2C0E0F88">
      <w:pPr>
        <w:adjustRightInd w:val="0"/>
        <w:snapToGrid w:val="0"/>
        <w:spacing w:line="560" w:lineRule="exact"/>
        <w:ind w:firstLine="560" w:firstLineChars="200"/>
        <w:rPr>
          <w:rFonts w:hint="eastAsia" w:ascii="仿宋_GB2312" w:hAnsi="宋体" w:eastAsia="仿宋_GB2312" w:cs="楷体"/>
          <w:color w:val="000000"/>
          <w:sz w:val="28"/>
          <w:szCs w:val="28"/>
        </w:rPr>
      </w:pPr>
      <w:r>
        <w:rPr>
          <w:rFonts w:hint="eastAsia" w:ascii="仿宋_GB2312" w:hAnsi="宋体" w:eastAsia="仿宋_GB2312"/>
          <w:color w:val="000000"/>
          <w:sz w:val="28"/>
          <w:szCs w:val="28"/>
        </w:rPr>
        <w:t>①</w:t>
      </w:r>
      <w:bookmarkStart w:id="987" w:name="OLE_LINK104"/>
      <w:bookmarkStart w:id="988" w:name="OLE_LINK105"/>
      <w:bookmarkStart w:id="989" w:name="OLE_LINK106"/>
      <w:r>
        <w:rPr>
          <w:rFonts w:hint="eastAsia" w:ascii="仿宋_GB2312" w:hAnsi="宋体" w:eastAsia="仿宋_GB2312"/>
          <w:color w:val="000000"/>
          <w:sz w:val="28"/>
          <w:szCs w:val="28"/>
        </w:rPr>
        <w:t>被列入“政府采购严重违法失信行为信息记录”的</w:t>
      </w:r>
      <w:bookmarkEnd w:id="987"/>
      <w:bookmarkEnd w:id="988"/>
      <w:bookmarkEnd w:id="989"/>
      <w:r>
        <w:rPr>
          <w:rFonts w:hint="eastAsia" w:ascii="仿宋_GB2312" w:hAnsi="宋体" w:eastAsia="仿宋_GB2312" w:cs="楷体"/>
          <w:color w:val="000000"/>
          <w:sz w:val="28"/>
          <w:szCs w:val="28"/>
        </w:rPr>
        <w:t>。</w:t>
      </w:r>
    </w:p>
    <w:p w14:paraId="3AE2308B">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4、由竞争主体进行承诺，不进行现场网上信用查询的失信行为：</w:t>
      </w:r>
    </w:p>
    <w:p w14:paraId="04F61849">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①</w:t>
      </w:r>
      <w:r>
        <w:rPr>
          <w:rFonts w:hint="eastAsia" w:ascii="仿宋_GB2312" w:hAnsi="宋体" w:eastAsia="仿宋_GB2312" w:cs="楷体"/>
          <w:color w:val="000000"/>
          <w:sz w:val="28"/>
          <w:szCs w:val="28"/>
        </w:rPr>
        <w:t>前三年有行贿犯罪行为的单位和个人</w:t>
      </w:r>
      <w:r>
        <w:rPr>
          <w:rFonts w:hint="eastAsia" w:ascii="仿宋_GB2312" w:hAnsi="宋体" w:eastAsia="仿宋_GB2312"/>
          <w:color w:val="000000"/>
          <w:sz w:val="28"/>
          <w:szCs w:val="28"/>
        </w:rPr>
        <w:t>。</w:t>
      </w:r>
    </w:p>
    <w:p w14:paraId="4C55428A">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二、在开评标活动中的查询程序</w:t>
      </w:r>
    </w:p>
    <w:p w14:paraId="1BF8CF45">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0E7CEF1">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D8223D8">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3、项目单位及其委托的代理机构应当做好信用查询结果截图和记录留存。</w:t>
      </w:r>
    </w:p>
    <w:p w14:paraId="3CA3F24E">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三、相关要求</w:t>
      </w:r>
    </w:p>
    <w:p w14:paraId="1E376C09">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1、参与公共资源交易活动的竞争主体根据上述范围查询的内容进行自查并承诺，出具《诚信投标承诺书》（诚信投标承诺书包括但不限于上述自查并承诺内容）并注明承诺日期（投标截止时间前5日内）。</w:t>
      </w:r>
    </w:p>
    <w:p w14:paraId="25F921B0">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3C0FF21">
      <w:pPr>
        <w:wordWrap w:val="0"/>
        <w:adjustRightInd w:val="0"/>
        <w:snapToGrid w:val="0"/>
        <w:spacing w:line="560" w:lineRule="exact"/>
        <w:ind w:firstLine="560" w:firstLineChars="200"/>
        <w:rPr>
          <w:rFonts w:hint="eastAsia"/>
          <w:color w:val="000000"/>
        </w:rPr>
      </w:pPr>
      <w:r>
        <w:rPr>
          <w:rFonts w:hint="eastAsia" w:ascii="仿宋_GB2312" w:hAnsi="宋体" w:eastAsia="仿宋_GB2312"/>
          <w:color w:val="000000"/>
          <w:sz w:val="28"/>
          <w:szCs w:val="28"/>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000000"/>
        </w:rPr>
        <w:fldChar w:fldCharType="begin"/>
      </w:r>
      <w:r>
        <w:rPr>
          <w:color w:val="000000"/>
        </w:rPr>
        <w:instrText xml:space="preserve"> HYPERLINK "https://credit.ah.gov.cn/xinyong-fuwu/xvbahv/index.html" </w:instrText>
      </w:r>
      <w:r>
        <w:rPr>
          <w:color w:val="000000"/>
        </w:rPr>
        <w:fldChar w:fldCharType="separate"/>
      </w:r>
      <w:r>
        <w:rPr>
          <w:rStyle w:val="58"/>
          <w:rFonts w:hint="eastAsia" w:ascii="仿宋_GB2312" w:hAnsi="宋体" w:eastAsia="仿宋_GB2312"/>
          <w:color w:val="000000"/>
          <w:sz w:val="28"/>
          <w:szCs w:val="28"/>
        </w:rPr>
        <w:t>https://credit.ah.gov.cn/xinyong-fuwu/xvbahv/index.html</w:t>
      </w:r>
      <w:r>
        <w:rPr>
          <w:color w:val="000000"/>
        </w:rPr>
        <w:fldChar w:fldCharType="end"/>
      </w:r>
      <w:r>
        <w:rPr>
          <w:rFonts w:hint="eastAsia" w:ascii="仿宋_GB2312" w:hAnsi="宋体" w:eastAsia="仿宋_GB2312"/>
          <w:color w:val="000000"/>
          <w:sz w:val="28"/>
          <w:szCs w:val="28"/>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BF6EE59">
      <w:pPr>
        <w:adjustRightInd w:val="0"/>
        <w:snapToGrid w:val="0"/>
        <w:spacing w:line="560" w:lineRule="exac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2、“信用中国”查询的严重失信行为判定依据为各行业主管部门下发的联合惩戒文件中规定的行为（按附件2执行）。</w:t>
      </w:r>
    </w:p>
    <w:p w14:paraId="0B921086">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3、资格预审的项目以递交资格预审申请文件截止时间查询为准；资格后审的项目以递交投标文件截止时间查询为准。</w:t>
      </w:r>
    </w:p>
    <w:p w14:paraId="249D7A08">
      <w:pPr>
        <w:ind w:right="960"/>
        <w:rPr>
          <w:rFonts w:hint="eastAsia" w:ascii="仿宋" w:hAnsi="仿宋" w:eastAsia="仿宋"/>
          <w:color w:val="000000"/>
          <w:sz w:val="32"/>
          <w:szCs w:val="32"/>
        </w:rPr>
      </w:pPr>
    </w:p>
    <w:p w14:paraId="6A4FB55B">
      <w:pPr>
        <w:ind w:right="960"/>
        <w:rPr>
          <w:rFonts w:hint="eastAsia" w:ascii="仿宋" w:hAnsi="仿宋" w:eastAsia="仿宋"/>
          <w:color w:val="000000"/>
          <w:sz w:val="32"/>
          <w:szCs w:val="32"/>
        </w:rPr>
      </w:pPr>
    </w:p>
    <w:p w14:paraId="249B4F5E">
      <w:pPr>
        <w:ind w:right="960"/>
        <w:rPr>
          <w:rFonts w:hint="eastAsia" w:ascii="仿宋" w:hAnsi="仿宋" w:eastAsia="仿宋"/>
          <w:color w:val="000000"/>
          <w:sz w:val="32"/>
          <w:szCs w:val="32"/>
        </w:rPr>
      </w:pPr>
    </w:p>
    <w:p w14:paraId="67A9ADF0">
      <w:pPr>
        <w:ind w:right="960"/>
        <w:rPr>
          <w:rFonts w:hint="eastAsia" w:ascii="仿宋" w:hAnsi="仿宋" w:eastAsia="仿宋"/>
          <w:color w:val="000000"/>
          <w:sz w:val="32"/>
          <w:szCs w:val="32"/>
        </w:rPr>
      </w:pPr>
    </w:p>
    <w:p w14:paraId="3FEE74D5">
      <w:pPr>
        <w:ind w:right="960"/>
        <w:rPr>
          <w:rFonts w:hint="eastAsia" w:ascii="仿宋" w:hAnsi="仿宋" w:eastAsia="仿宋"/>
          <w:color w:val="000000"/>
          <w:sz w:val="32"/>
          <w:szCs w:val="32"/>
        </w:rPr>
      </w:pPr>
    </w:p>
    <w:p w14:paraId="7AF46EEF">
      <w:pPr>
        <w:ind w:right="960"/>
        <w:rPr>
          <w:rFonts w:hint="eastAsia" w:ascii="仿宋" w:hAnsi="仿宋" w:eastAsia="仿宋"/>
          <w:color w:val="000000"/>
          <w:sz w:val="32"/>
          <w:szCs w:val="32"/>
        </w:rPr>
      </w:pPr>
    </w:p>
    <w:p w14:paraId="687E9AFF">
      <w:pPr>
        <w:ind w:right="960"/>
        <w:rPr>
          <w:rFonts w:hint="eastAsia" w:ascii="仿宋" w:hAnsi="仿宋" w:eastAsia="仿宋"/>
          <w:color w:val="000000"/>
          <w:sz w:val="32"/>
          <w:szCs w:val="32"/>
        </w:rPr>
      </w:pPr>
    </w:p>
    <w:p w14:paraId="0D7FF19D">
      <w:pPr>
        <w:ind w:right="960"/>
        <w:rPr>
          <w:rFonts w:hint="eastAsia" w:ascii="仿宋" w:hAnsi="仿宋" w:eastAsia="仿宋"/>
          <w:color w:val="000000"/>
          <w:sz w:val="32"/>
          <w:szCs w:val="32"/>
        </w:rPr>
      </w:pPr>
    </w:p>
    <w:p w14:paraId="061F0099">
      <w:pPr>
        <w:pStyle w:val="2"/>
        <w:rPr>
          <w:rFonts w:hint="eastAsia"/>
          <w:color w:val="000000"/>
        </w:rPr>
      </w:pPr>
    </w:p>
    <w:p w14:paraId="2100EB53">
      <w:pPr>
        <w:rPr>
          <w:color w:val="000000"/>
        </w:rPr>
      </w:pPr>
    </w:p>
    <w:p w14:paraId="2D5FFC9A">
      <w:pPr>
        <w:pStyle w:val="2"/>
        <w:rPr>
          <w:color w:val="000000"/>
        </w:rPr>
      </w:pPr>
    </w:p>
    <w:p w14:paraId="034683CA">
      <w:pPr>
        <w:rPr>
          <w:color w:val="000000"/>
        </w:rPr>
      </w:pPr>
    </w:p>
    <w:p w14:paraId="19A45D62">
      <w:pPr>
        <w:pStyle w:val="2"/>
        <w:rPr>
          <w:color w:val="000000"/>
        </w:rPr>
      </w:pPr>
    </w:p>
    <w:p w14:paraId="1927032A">
      <w:pPr>
        <w:rPr>
          <w:color w:val="000000"/>
        </w:rPr>
      </w:pPr>
    </w:p>
    <w:p w14:paraId="2F2382EE">
      <w:pPr>
        <w:pStyle w:val="2"/>
        <w:rPr>
          <w:color w:val="000000"/>
        </w:rPr>
      </w:pPr>
    </w:p>
    <w:p w14:paraId="55C6220E">
      <w:pPr>
        <w:rPr>
          <w:color w:val="000000"/>
        </w:rPr>
      </w:pPr>
    </w:p>
    <w:p w14:paraId="1FC6910E">
      <w:pPr>
        <w:ind w:right="960"/>
        <w:rPr>
          <w:rFonts w:ascii="仿宋" w:hAnsi="仿宋" w:eastAsia="仿宋"/>
          <w:color w:val="000000"/>
          <w:sz w:val="32"/>
          <w:szCs w:val="32"/>
        </w:rPr>
      </w:pPr>
    </w:p>
    <w:p w14:paraId="5C6A6E33">
      <w:pPr>
        <w:keepNext/>
        <w:keepLines/>
        <w:spacing w:before="200" w:after="200" w:line="600" w:lineRule="exact"/>
        <w:outlineLvl w:val="0"/>
        <w:rPr>
          <w:rFonts w:hint="eastAsia" w:ascii="黑体" w:hAnsi="黑体" w:eastAsia="黑体"/>
          <w:b/>
          <w:bCs/>
          <w:color w:val="000000"/>
          <w:kern w:val="44"/>
          <w:sz w:val="36"/>
          <w:szCs w:val="28"/>
        </w:rPr>
      </w:pPr>
      <w:bookmarkStart w:id="990" w:name="_Toc95223549"/>
      <w:bookmarkStart w:id="991" w:name="OLE_LINK31"/>
      <w:bookmarkStart w:id="992" w:name="OLE_LINK41"/>
      <w:r>
        <w:rPr>
          <w:rFonts w:hint="eastAsia" w:ascii="黑体" w:hAnsi="黑体" w:eastAsia="黑体"/>
          <w:b/>
          <w:bCs/>
          <w:color w:val="000000"/>
          <w:kern w:val="44"/>
          <w:sz w:val="36"/>
          <w:szCs w:val="28"/>
        </w:rPr>
        <w:t xml:space="preserve">附件2 </w:t>
      </w:r>
      <w:bookmarkStart w:id="993" w:name="OLE_LINK75"/>
      <w:bookmarkStart w:id="994" w:name="OLE_LINK74"/>
      <w:r>
        <w:rPr>
          <w:rFonts w:hint="eastAsia" w:ascii="黑体" w:hAnsi="黑体" w:eastAsia="黑体"/>
          <w:b/>
          <w:bCs/>
          <w:color w:val="000000"/>
          <w:kern w:val="44"/>
          <w:sz w:val="36"/>
          <w:szCs w:val="28"/>
        </w:rPr>
        <w:t>“信用中国”查询的严重失信行为</w:t>
      </w:r>
      <w:bookmarkStart w:id="995" w:name="OLE_LINK40"/>
      <w:bookmarkStart w:id="996" w:name="OLE_LINK38"/>
      <w:bookmarkStart w:id="997" w:name="OLE_LINK76"/>
      <w:bookmarkStart w:id="998" w:name="OLE_LINK39"/>
      <w:r>
        <w:rPr>
          <w:rFonts w:hint="eastAsia" w:ascii="黑体" w:hAnsi="黑体" w:eastAsia="黑体"/>
          <w:b/>
          <w:bCs/>
          <w:color w:val="000000"/>
          <w:kern w:val="44"/>
          <w:sz w:val="36"/>
          <w:szCs w:val="28"/>
        </w:rPr>
        <w:t>类别及判定依据</w:t>
      </w:r>
      <w:bookmarkEnd w:id="990"/>
      <w:bookmarkEnd w:id="993"/>
      <w:bookmarkEnd w:id="994"/>
      <w:bookmarkEnd w:id="995"/>
      <w:bookmarkEnd w:id="996"/>
      <w:bookmarkEnd w:id="997"/>
      <w:bookmarkEnd w:id="998"/>
    </w:p>
    <w:bookmarkEnd w:id="991"/>
    <w:bookmarkEnd w:id="992"/>
    <w:p w14:paraId="628BE8C0">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32"/>
          <w:szCs w:val="32"/>
        </w:rPr>
        <w:t>“</w:t>
      </w:r>
      <w:r>
        <w:rPr>
          <w:rFonts w:hint="eastAsia" w:ascii="仿宋_GB2312" w:hAnsi="宋体" w:eastAsia="仿宋_GB2312"/>
          <w:color w:val="000000"/>
          <w:sz w:val="28"/>
          <w:szCs w:val="28"/>
        </w:rPr>
        <w:t>信用中国”查询的严重失信行为判定依据为各行业主管部门下发的联合惩戒文件中规定的行为。下面将部分类别的严重失信行为列举如下：</w:t>
      </w:r>
    </w:p>
    <w:p w14:paraId="2F1F6A7C">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一、安全生产领域严重失信行为：</w:t>
      </w:r>
    </w:p>
    <w:p w14:paraId="25EB2755">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（一）下列发生生产安全事故的生产经营单位及其有关人员应当列入严重失信主体名单：</w:t>
      </w:r>
    </w:p>
    <w:p w14:paraId="00AB77BA">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1、发生特别重大、重大生产安全事故的生产经营单位及其主要负责人，以及经调查认定对该事故发生负有责任，应当列入名单的其他单位和人员；</w:t>
      </w:r>
    </w:p>
    <w:p w14:paraId="333E6C29">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2、12个月内累计发生2起以上较大生产安全事故的生产经营单位及其主要负责人；</w:t>
      </w:r>
    </w:p>
    <w:p w14:paraId="7B8C2E1C">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3、发生生产安全事故，情节特别严重、影响特别恶劣，依照《中华人民共和国安全生产法》第一百一十四条的规定被处以罚款数额2倍以上5倍以下罚款的生产经营单位及其主要负责人；</w:t>
      </w:r>
    </w:p>
    <w:p w14:paraId="7CCF81C5">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4、瞒报、谎报生产安全事故的生产经营单位及其有关责任人员；</w:t>
      </w:r>
    </w:p>
    <w:p w14:paraId="3783DCB7">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5、发生生产安全事故后，不立即组织抢救或者在事故调查处理期间擅离职守或者逃匿的生产经营单位主要负责人。</w:t>
      </w:r>
    </w:p>
    <w:p w14:paraId="4C878CCF">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（二）下列未发生生产安全事故，但因安全生产违法行为，受到行政处罚的生产经营单位或者机构及其有关人员，应当列入严重失信主体名单：</w:t>
      </w:r>
    </w:p>
    <w:p w14:paraId="7DF570C7">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1、未依法取得安全生产相关许可或者许可被暂扣、吊销期间从事相关生产经营活动的生产经营单位及其主要负责人；</w:t>
      </w:r>
    </w:p>
    <w:p w14:paraId="2923941C">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2、承担安全评价、认证、检测、检验职责的机构及其直接责任人员租借资质、挂靠、出具虚假报告或者证书的；</w:t>
      </w:r>
    </w:p>
    <w:p w14:paraId="5EF465D4">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3、在应急管理部门作出行政处罚后，有执行能力拒不执行或者逃避执行的生产经营单位及其主要负责人；</w:t>
      </w:r>
    </w:p>
    <w:p w14:paraId="531E6551">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4、其他违反安全生产法律法规受到行政处罚，且性质恶劣、情节严重的。</w:t>
      </w:r>
    </w:p>
    <w:p w14:paraId="3CA155C7">
      <w:pPr>
        <w:adjustRightInd w:val="0"/>
        <w:snapToGrid w:val="0"/>
        <w:spacing w:line="560" w:lineRule="exact"/>
        <w:ind w:firstLine="645"/>
        <w:jc w:val="left"/>
        <w:rPr>
          <w:rFonts w:hint="eastAsia" w:ascii="仿宋_GB2312" w:hAnsi="Calibri" w:eastAsia="仿宋_GB2312"/>
          <w:b/>
          <w:color w:val="000000"/>
          <w:sz w:val="28"/>
          <w:szCs w:val="28"/>
        </w:rPr>
      </w:pPr>
      <w:r>
        <w:rPr>
          <w:rFonts w:hint="eastAsia" w:ascii="仿宋_GB2312" w:hAnsi="宋体" w:eastAsia="仿宋_GB2312"/>
          <w:b/>
          <w:color w:val="000000"/>
          <w:sz w:val="28"/>
          <w:szCs w:val="28"/>
        </w:rPr>
        <w:t>依据：《安全生产严重失信主体名单管理办法》</w:t>
      </w:r>
      <w:r>
        <w:rPr>
          <w:rFonts w:hint="eastAsia" w:ascii="仿宋_GB2312" w:hAnsi="Calibri" w:eastAsia="仿宋_GB2312"/>
          <w:b/>
          <w:color w:val="000000"/>
          <w:sz w:val="28"/>
          <w:szCs w:val="28"/>
        </w:rPr>
        <w:t>（2023年8月8日应急管理部令第11号）</w:t>
      </w:r>
    </w:p>
    <w:p w14:paraId="7A1EC75C">
      <w:pPr>
        <w:adjustRightInd w:val="0"/>
        <w:snapToGrid w:val="0"/>
        <w:spacing w:line="560" w:lineRule="exact"/>
        <w:ind w:firstLine="645"/>
        <w:jc w:val="left"/>
        <w:rPr>
          <w:rFonts w:hint="eastAsia" w:ascii="仿宋_GB2312" w:hAnsi="宋体" w:eastAsia="仿宋_GB2312"/>
          <w:b/>
          <w:color w:val="000000"/>
          <w:sz w:val="28"/>
          <w:szCs w:val="28"/>
        </w:rPr>
      </w:pPr>
    </w:p>
    <w:p w14:paraId="51C84A1C">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二、环境保护领域严重失信行为：</w:t>
      </w:r>
    </w:p>
    <w:p w14:paraId="1F64C3A7">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（一）因为环境违法构成</w:t>
      </w:r>
      <w:r>
        <w:rPr>
          <w:color w:val="000000"/>
        </w:rPr>
        <w:fldChar w:fldCharType="begin"/>
      </w:r>
      <w:r>
        <w:rPr>
          <w:color w:val="000000"/>
        </w:rPr>
        <w:instrText xml:space="preserve"> HYPERLINK "https://baike.sogou.com/m/fullLemma?lid=10403954&amp;g_ut=3" \t "https://baike.sogou.com/m/_blank" </w:instrText>
      </w:r>
      <w:r>
        <w:rPr>
          <w:color w:val="000000"/>
        </w:rPr>
        <w:fldChar w:fldCharType="separate"/>
      </w:r>
      <w:r>
        <w:rPr>
          <w:rStyle w:val="58"/>
          <w:rFonts w:hint="eastAsia" w:ascii="仿宋_GB2312" w:hAnsi="宋体" w:eastAsia="仿宋_GB2312"/>
          <w:color w:val="000000"/>
          <w:sz w:val="28"/>
          <w:szCs w:val="28"/>
        </w:rPr>
        <w:t>环境犯罪</w:t>
      </w:r>
      <w:r>
        <w:rPr>
          <w:color w:val="000000"/>
        </w:rPr>
        <w:fldChar w:fldCharType="end"/>
      </w:r>
      <w:r>
        <w:rPr>
          <w:rFonts w:hint="eastAsia" w:ascii="仿宋_GB2312" w:hAnsi="宋体" w:eastAsia="仿宋_GB2312"/>
          <w:color w:val="000000"/>
          <w:sz w:val="28"/>
          <w:szCs w:val="28"/>
        </w:rPr>
        <w:t>的；</w:t>
      </w:r>
    </w:p>
    <w:p w14:paraId="24F90AF9">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（二）</w:t>
      </w:r>
      <w:r>
        <w:rPr>
          <w:color w:val="000000"/>
        </w:rPr>
        <w:fldChar w:fldCharType="begin"/>
      </w:r>
      <w:r>
        <w:rPr>
          <w:color w:val="000000"/>
        </w:rPr>
        <w:instrText xml:space="preserve"> HYPERLINK "https://baike.sogou.com/m/fullLemma?lid=76033123&amp;g_ut=3" \t "https://baike.sogou.com/m/_blank" </w:instrText>
      </w:r>
      <w:r>
        <w:rPr>
          <w:color w:val="000000"/>
        </w:rPr>
        <w:fldChar w:fldCharType="separate"/>
      </w:r>
      <w:r>
        <w:rPr>
          <w:rStyle w:val="58"/>
          <w:rFonts w:hint="eastAsia" w:ascii="仿宋_GB2312" w:hAnsi="宋体" w:eastAsia="仿宋_GB2312"/>
          <w:color w:val="000000"/>
          <w:sz w:val="28"/>
          <w:szCs w:val="28"/>
        </w:rPr>
        <w:t>建设项目环境影响评价</w:t>
      </w:r>
      <w:r>
        <w:rPr>
          <w:color w:val="000000"/>
        </w:rPr>
        <w:fldChar w:fldCharType="end"/>
      </w:r>
      <w:r>
        <w:rPr>
          <w:rFonts w:hint="eastAsia" w:ascii="仿宋_GB2312" w:hAnsi="宋体" w:eastAsia="仿宋_GB2312"/>
          <w:color w:val="000000"/>
          <w:sz w:val="28"/>
          <w:szCs w:val="28"/>
        </w:rPr>
        <w:t>文件未按规定通过审批，擅自开工建设的；</w:t>
      </w:r>
    </w:p>
    <w:p w14:paraId="289B4A6B">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（三）建设项目环保设施未建成、环保措施未落实、未通过</w:t>
      </w:r>
      <w:r>
        <w:rPr>
          <w:color w:val="000000"/>
        </w:rPr>
        <w:fldChar w:fldCharType="begin"/>
      </w:r>
      <w:r>
        <w:rPr>
          <w:color w:val="000000"/>
        </w:rPr>
        <w:instrText xml:space="preserve"> HYPERLINK "https://baike.sogou.com/m/fullLemma?lid=6470550&amp;g_ut=3" \t "https://baike.sogou.com/m/_blank" </w:instrText>
      </w:r>
      <w:r>
        <w:rPr>
          <w:color w:val="000000"/>
        </w:rPr>
        <w:fldChar w:fldCharType="separate"/>
      </w:r>
      <w:r>
        <w:rPr>
          <w:rStyle w:val="58"/>
          <w:rFonts w:hint="eastAsia" w:ascii="仿宋_GB2312" w:hAnsi="宋体" w:eastAsia="仿宋_GB2312"/>
          <w:color w:val="000000"/>
          <w:sz w:val="28"/>
          <w:szCs w:val="28"/>
        </w:rPr>
        <w:t>竣工环保验收</w:t>
      </w:r>
      <w:r>
        <w:rPr>
          <w:color w:val="000000"/>
        </w:rPr>
        <w:fldChar w:fldCharType="end"/>
      </w:r>
      <w:r>
        <w:rPr>
          <w:rFonts w:hint="eastAsia" w:ascii="仿宋_GB2312" w:hAnsi="宋体" w:eastAsia="仿宋_GB2312"/>
          <w:color w:val="000000"/>
          <w:sz w:val="28"/>
          <w:szCs w:val="28"/>
        </w:rPr>
        <w:t>或者验收不合格，主体工程正式投入生产或者使用的；</w:t>
      </w:r>
    </w:p>
    <w:p w14:paraId="7100E253">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（四）建设项目性质、规模、地点、采用的生产工艺或者防治污染、防止生态破坏的措施发生重大变动，未重新报批环境影响评价文件，擅自投入生产或者使用的；</w:t>
      </w:r>
    </w:p>
    <w:p w14:paraId="41C35C83">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（五）主要污染物排放总量超过控制指标的；</w:t>
      </w:r>
    </w:p>
    <w:p w14:paraId="6286EC39">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（六）私设暗管或者利用</w:t>
      </w:r>
      <w:r>
        <w:rPr>
          <w:color w:val="000000"/>
        </w:rPr>
        <w:fldChar w:fldCharType="begin"/>
      </w:r>
      <w:r>
        <w:rPr>
          <w:color w:val="000000"/>
        </w:rPr>
        <w:instrText xml:space="preserve"> HYPERLINK "https://baike.sogou.com/m/fullLemma?lid=41657319&amp;g_ut=3" \t "https://baike.sogou.com/m/_blank" </w:instrText>
      </w:r>
      <w:r>
        <w:rPr>
          <w:color w:val="000000"/>
        </w:rPr>
        <w:fldChar w:fldCharType="separate"/>
      </w:r>
      <w:r>
        <w:rPr>
          <w:rStyle w:val="58"/>
          <w:rFonts w:hint="eastAsia" w:ascii="仿宋_GB2312" w:hAnsi="宋体" w:eastAsia="仿宋_GB2312"/>
          <w:color w:val="000000"/>
          <w:sz w:val="28"/>
          <w:szCs w:val="28"/>
        </w:rPr>
        <w:t>渗井</w:t>
      </w:r>
      <w:r>
        <w:rPr>
          <w:color w:val="000000"/>
        </w:rPr>
        <w:fldChar w:fldCharType="end"/>
      </w:r>
      <w:r>
        <w:rPr>
          <w:rFonts w:hint="eastAsia" w:ascii="仿宋_GB2312" w:hAnsi="宋体" w:eastAsia="仿宋_GB2312"/>
          <w:color w:val="000000"/>
          <w:sz w:val="28"/>
          <w:szCs w:val="28"/>
        </w:rPr>
        <w:t>、渗坑、裂隙、溶洞等排放、倾倒、处置水污染物，或者通过私设旁路排放</w:t>
      </w:r>
      <w:r>
        <w:rPr>
          <w:color w:val="000000"/>
        </w:rPr>
        <w:fldChar w:fldCharType="begin"/>
      </w:r>
      <w:r>
        <w:rPr>
          <w:color w:val="000000"/>
        </w:rPr>
        <w:instrText xml:space="preserve"> HYPERLINK "https://baike.sogou.com/m/fullLemma?lid=7758328&amp;g_ut=3" \t "https://baike.sogou.com/m/_blank" </w:instrText>
      </w:r>
      <w:r>
        <w:rPr>
          <w:color w:val="000000"/>
        </w:rPr>
        <w:fldChar w:fldCharType="separate"/>
      </w:r>
      <w:r>
        <w:rPr>
          <w:rStyle w:val="58"/>
          <w:rFonts w:hint="eastAsia" w:ascii="仿宋_GB2312" w:hAnsi="宋体" w:eastAsia="仿宋_GB2312"/>
          <w:color w:val="000000"/>
          <w:sz w:val="28"/>
          <w:szCs w:val="28"/>
        </w:rPr>
        <w:t>大气污染物</w:t>
      </w:r>
      <w:r>
        <w:rPr>
          <w:color w:val="000000"/>
        </w:rPr>
        <w:fldChar w:fldCharType="end"/>
      </w:r>
      <w:r>
        <w:rPr>
          <w:rFonts w:hint="eastAsia" w:ascii="仿宋_GB2312" w:hAnsi="宋体" w:eastAsia="仿宋_GB2312"/>
          <w:color w:val="000000"/>
          <w:sz w:val="28"/>
          <w:szCs w:val="28"/>
        </w:rPr>
        <w:t>的；</w:t>
      </w:r>
    </w:p>
    <w:p w14:paraId="4D5E5040">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（七）非法排放、倾倒、处置危险废物，或者向无</w:t>
      </w:r>
      <w:r>
        <w:rPr>
          <w:color w:val="000000"/>
        </w:rPr>
        <w:fldChar w:fldCharType="begin"/>
      </w:r>
      <w:r>
        <w:rPr>
          <w:color w:val="000000"/>
        </w:rPr>
        <w:instrText xml:space="preserve"> HYPERLINK "https://baike.sogou.com/m/fullLemma?lid=5923292&amp;g_ut=3" \t "https://baike.sogou.com/m/_blank" </w:instrText>
      </w:r>
      <w:r>
        <w:rPr>
          <w:color w:val="000000"/>
        </w:rPr>
        <w:fldChar w:fldCharType="separate"/>
      </w:r>
      <w:r>
        <w:rPr>
          <w:rStyle w:val="58"/>
          <w:rFonts w:hint="eastAsia" w:ascii="仿宋_GB2312" w:hAnsi="宋体" w:eastAsia="仿宋_GB2312"/>
          <w:color w:val="000000"/>
          <w:sz w:val="28"/>
          <w:szCs w:val="28"/>
        </w:rPr>
        <w:t>经营许可证</w:t>
      </w:r>
      <w:r>
        <w:rPr>
          <w:color w:val="000000"/>
        </w:rPr>
        <w:fldChar w:fldCharType="end"/>
      </w:r>
      <w:r>
        <w:rPr>
          <w:rFonts w:hint="eastAsia" w:ascii="仿宋_GB2312" w:hAnsi="宋体" w:eastAsia="仿宋_GB2312"/>
          <w:color w:val="000000"/>
          <w:sz w:val="28"/>
          <w:szCs w:val="28"/>
        </w:rPr>
        <w:t>或者超出经营许可范围的单位或个人提供或者委托其收集、贮存、利用、处置危险废物的；</w:t>
      </w:r>
    </w:p>
    <w:p w14:paraId="4DD23927">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（八）</w:t>
      </w:r>
      <w:r>
        <w:rPr>
          <w:color w:val="000000"/>
        </w:rPr>
        <w:fldChar w:fldCharType="begin"/>
      </w:r>
      <w:r>
        <w:rPr>
          <w:color w:val="000000"/>
        </w:rPr>
        <w:instrText xml:space="preserve"> HYPERLINK "https://baike.sogou.com/m/fullLemma?lid=167759803&amp;g_ut=3" \t "https://baike.sogou.com/m/_blank" </w:instrText>
      </w:r>
      <w:r>
        <w:rPr>
          <w:color w:val="000000"/>
        </w:rPr>
        <w:fldChar w:fldCharType="separate"/>
      </w:r>
      <w:r>
        <w:rPr>
          <w:rStyle w:val="58"/>
          <w:rFonts w:hint="eastAsia" w:ascii="仿宋_GB2312" w:hAnsi="宋体" w:eastAsia="仿宋_GB2312"/>
          <w:color w:val="000000"/>
          <w:sz w:val="28"/>
          <w:szCs w:val="28"/>
        </w:rPr>
        <w:t>环境违法行为</w:t>
      </w:r>
      <w:r>
        <w:rPr>
          <w:color w:val="000000"/>
        </w:rPr>
        <w:fldChar w:fldCharType="end"/>
      </w:r>
      <w:r>
        <w:rPr>
          <w:rFonts w:hint="eastAsia" w:ascii="仿宋_GB2312" w:hAnsi="宋体" w:eastAsia="仿宋_GB2312"/>
          <w:color w:val="000000"/>
          <w:sz w:val="28"/>
          <w:szCs w:val="28"/>
        </w:rPr>
        <w:t>造成集中式生活饮用水水源取水中断的；</w:t>
      </w:r>
    </w:p>
    <w:p w14:paraId="64D91935">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（九）环境违法行为对生活饮用水水源保护区、自然保护区、</w:t>
      </w:r>
      <w:r>
        <w:rPr>
          <w:color w:val="000000"/>
        </w:rPr>
        <w:fldChar w:fldCharType="begin"/>
      </w:r>
      <w:r>
        <w:rPr>
          <w:color w:val="000000"/>
        </w:rPr>
        <w:instrText xml:space="preserve"> HYPERLINK "https://baike.sogou.com/m/fullLemma?lid=155199213&amp;g_ut=3" \t "https://baike.sogou.com/m/_blank" </w:instrText>
      </w:r>
      <w:r>
        <w:rPr>
          <w:color w:val="000000"/>
        </w:rPr>
        <w:fldChar w:fldCharType="separate"/>
      </w:r>
      <w:r>
        <w:rPr>
          <w:rStyle w:val="58"/>
          <w:rFonts w:hint="eastAsia" w:ascii="仿宋_GB2312" w:hAnsi="宋体" w:eastAsia="仿宋_GB2312"/>
          <w:color w:val="000000"/>
          <w:sz w:val="28"/>
          <w:szCs w:val="28"/>
        </w:rPr>
        <w:t>国家重点生态功能区</w:t>
      </w:r>
      <w:r>
        <w:rPr>
          <w:color w:val="000000"/>
        </w:rPr>
        <w:fldChar w:fldCharType="end"/>
      </w:r>
      <w:r>
        <w:rPr>
          <w:rFonts w:hint="eastAsia" w:ascii="仿宋_GB2312" w:hAnsi="宋体" w:eastAsia="仿宋_GB2312"/>
          <w:color w:val="000000"/>
          <w:sz w:val="28"/>
          <w:szCs w:val="28"/>
        </w:rPr>
        <w:t>、风景名胜区、居住功能区、</w:t>
      </w:r>
      <w:r>
        <w:rPr>
          <w:color w:val="000000"/>
        </w:rPr>
        <w:fldChar w:fldCharType="begin"/>
      </w:r>
      <w:r>
        <w:rPr>
          <w:color w:val="000000"/>
        </w:rPr>
        <w:instrText xml:space="preserve"> HYPERLINK "https://baike.sogou.com/m/fullLemma?lid=7757164&amp;g_ut=3" \t "https://baike.sogou.com/m/_blank" </w:instrText>
      </w:r>
      <w:r>
        <w:rPr>
          <w:color w:val="000000"/>
        </w:rPr>
        <w:fldChar w:fldCharType="separate"/>
      </w:r>
      <w:r>
        <w:rPr>
          <w:rStyle w:val="58"/>
          <w:rFonts w:hint="eastAsia" w:ascii="仿宋_GB2312" w:hAnsi="宋体" w:eastAsia="仿宋_GB2312"/>
          <w:color w:val="000000"/>
          <w:sz w:val="28"/>
          <w:szCs w:val="28"/>
        </w:rPr>
        <w:t>基本农田保护区</w:t>
      </w:r>
      <w:r>
        <w:rPr>
          <w:color w:val="000000"/>
        </w:rPr>
        <w:fldChar w:fldCharType="end"/>
      </w:r>
      <w:r>
        <w:rPr>
          <w:rFonts w:hint="eastAsia" w:ascii="仿宋_GB2312" w:hAnsi="宋体" w:eastAsia="仿宋_GB2312"/>
          <w:color w:val="000000"/>
          <w:sz w:val="28"/>
          <w:szCs w:val="28"/>
        </w:rPr>
        <w:t>等环境敏感区造成重大不利影响的；</w:t>
      </w:r>
    </w:p>
    <w:p w14:paraId="1075BC10">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（十）违法从事自然资源开发、交通基础设施建设，以及其他开发建设活动，造成严重生态破坏的；</w:t>
      </w:r>
    </w:p>
    <w:p w14:paraId="2E701397">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（十一）发生较大及以上突发环境事件的；</w:t>
      </w:r>
    </w:p>
    <w:p w14:paraId="283F36DD">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（十二）被环保部门挂牌督办，整改逾期未完成的；</w:t>
      </w:r>
    </w:p>
    <w:p w14:paraId="0A4ECC25">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（十三）以暴力、威胁等方式拒绝、阻挠环保部门工作人员现场检查的；</w:t>
      </w:r>
    </w:p>
    <w:p w14:paraId="0CC1D9A8">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（十四）违反重污染天气应急预案有关规定，对重污染天气响应不力的。</w:t>
      </w:r>
    </w:p>
    <w:p w14:paraId="29D35320">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依据：《关于对环境保护领域失信生产经营单位及其有关人员开展联合惩戒的合作备忘录》、《</w:t>
      </w:r>
      <w:bookmarkStart w:id="999" w:name="OLE_LINK12"/>
      <w:r>
        <w:rPr>
          <w:rFonts w:hint="eastAsia" w:ascii="仿宋_GB2312" w:hAnsi="宋体" w:eastAsia="仿宋_GB2312"/>
          <w:b/>
          <w:color w:val="000000"/>
          <w:sz w:val="28"/>
          <w:szCs w:val="28"/>
        </w:rPr>
        <w:t>企业环境信用评价办法（试行）</w:t>
      </w:r>
      <w:bookmarkEnd w:id="999"/>
      <w:r>
        <w:rPr>
          <w:rFonts w:hint="eastAsia" w:ascii="仿宋_GB2312" w:hAnsi="宋体" w:eastAsia="仿宋_GB2312"/>
          <w:b/>
          <w:color w:val="000000"/>
          <w:sz w:val="28"/>
          <w:szCs w:val="28"/>
        </w:rPr>
        <w:t>》（环发〔2013〕150号）</w:t>
      </w:r>
    </w:p>
    <w:p w14:paraId="40AE7F7B">
      <w:pPr>
        <w:adjustRightInd w:val="0"/>
        <w:snapToGrid w:val="0"/>
        <w:spacing w:line="560" w:lineRule="exact"/>
        <w:ind w:firstLine="645"/>
        <w:jc w:val="left"/>
        <w:rPr>
          <w:rFonts w:hint="eastAsia" w:ascii="仿宋_GB2312" w:hAnsi="宋体" w:eastAsia="仿宋_GB2312"/>
          <w:b/>
          <w:color w:val="000000"/>
          <w:sz w:val="28"/>
          <w:szCs w:val="28"/>
        </w:rPr>
      </w:pPr>
    </w:p>
    <w:p w14:paraId="2A4C250A">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三、</w:t>
      </w:r>
      <w:r>
        <w:rPr>
          <w:rFonts w:hint="eastAsia" w:ascii="仿宋_GB2312" w:hAnsi="宋体" w:eastAsia="仿宋_GB2312"/>
          <w:b/>
          <w:bCs/>
          <w:color w:val="000000"/>
          <w:sz w:val="28"/>
          <w:szCs w:val="28"/>
        </w:rPr>
        <w:t>公共资源交易领域严重失信行为</w:t>
      </w:r>
    </w:p>
    <w:p w14:paraId="728DBF8E">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（一）违反法律规定，必须进行招标的项目而不招标的，将必须进行招标的项目化整为零或者以其他任何方式规避招标的； </w:t>
      </w:r>
    </w:p>
    <w:p w14:paraId="667DBF9D">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（二）招标代理机构违反法律规定，泄露应当保密的与招标投标活动有关的情况和资料的，或者与招标人、投标人串通损害 国家利益、社会公共利益或者他人合法权益的；</w:t>
      </w:r>
    </w:p>
    <w:p w14:paraId="2E87BD1E">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（三）招标人以不合理的条件限制或者排斥潜在投标人的，对潜在投标人实行歧视待遇的，强制要求投标人组成联合体共同 投标的，或者限制投标人之间竞争的；</w:t>
      </w:r>
    </w:p>
    <w:p w14:paraId="4077E943">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（四）依法必须进行招标的项目的招标人向他人透露已获取招标文件的潜在投标人的名称、数量或者可能影响公平竞争的有 关招标投标的其他情况的，或者泄露标底的；</w:t>
      </w:r>
    </w:p>
    <w:p w14:paraId="3DFC823B">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（五）投标人相互串通投标或者与招标人串通投标的，投标人以向招标人或者评标委员会成员行贿的手段谋取中标的； </w:t>
      </w:r>
    </w:p>
    <w:p w14:paraId="0943AFF2">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（六）投标人以他人名义投标或者以其他方式弄虚作假，骗取中标的；</w:t>
      </w:r>
    </w:p>
    <w:p w14:paraId="315DDD54">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（七）依法必须进行招标的项目，招标人违反法律规定，与投标人就投标价格、投标方案等实质性内容进行谈判的；</w:t>
      </w:r>
    </w:p>
    <w:p w14:paraId="77131B66">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4AB2229C">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（九）招标人在评标委员会依法推荐的中标候选人以外确定中标人的，依法必须进行招标的项目在所有投标被评标委员会否 决后自行确定中标人的； </w:t>
      </w:r>
    </w:p>
    <w:p w14:paraId="168C24E3">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（十）中标人将中标项目转让给他人的，将中标项目肢解后分别转让给他人的，违反法律规定将中标项目的部分主体、关键 性工作分包给他人的，或者分包人再次分包的； </w:t>
      </w:r>
    </w:p>
    <w:p w14:paraId="27A6D6C8">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（十一）招标人与中标人不按照招标文件和中标人的投标文件订立合同的，或者招标人、中标人订立背离合同实质性内容的 协议的； </w:t>
      </w:r>
    </w:p>
    <w:p w14:paraId="7127FAC0">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（十二）中标人不按照与招标人订立的合同履行义务，情节严重的； </w:t>
      </w:r>
    </w:p>
    <w:p w14:paraId="344AB446">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033427C">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D627371">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 （十五）采购人对应当实行集中采购的政府采购项目，不委托集中采购机构实行集中采购的； </w:t>
      </w:r>
    </w:p>
    <w:p w14:paraId="3842F2E3">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（十六）采购人、采购代理机构违反法律规定隐匿、销毁应当保存的采购文件或者伪造、变造采购文件的； </w:t>
      </w:r>
    </w:p>
    <w:p w14:paraId="767271E7">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FD9B2F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（十八）疫苗生产企业向县级疾病预防控制机构以外的单位或者个人销售第二类疫苗的； </w:t>
      </w:r>
    </w:p>
    <w:p w14:paraId="5AEF4A25">
      <w:pPr>
        <w:adjustRightInd w:val="0"/>
        <w:snapToGrid w:val="0"/>
        <w:spacing w:line="560" w:lineRule="exact"/>
        <w:ind w:left="141" w:leftChars="67" w:firstLine="420" w:firstLineChars="150"/>
        <w:jc w:val="left"/>
        <w:rPr>
          <w:rFonts w:hint="eastAsia" w:ascii="仿宋_GB2312" w:hAnsi="宋体" w:eastAsia="仿宋_GB2312"/>
          <w:color w:val="000000"/>
          <w:sz w:val="28"/>
          <w:szCs w:val="28"/>
        </w:rPr>
      </w:pPr>
      <w:r>
        <w:rPr>
          <w:rFonts w:hint="eastAsia" w:ascii="仿宋_GB2312" w:hAnsi="Calibri" w:eastAsia="仿宋_GB2312"/>
          <w:color w:val="000000"/>
          <w:sz w:val="28"/>
          <w:szCs w:val="28"/>
        </w:rPr>
        <w:t>（十九）存在其他违反公共资源交易法律法规行为的。</w:t>
      </w:r>
    </w:p>
    <w:p w14:paraId="1DE2E9D9">
      <w:pPr>
        <w:adjustRightInd w:val="0"/>
        <w:snapToGrid w:val="0"/>
        <w:spacing w:line="560" w:lineRule="exact"/>
        <w:ind w:firstLine="894" w:firstLineChars="318"/>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依据：《</w:t>
      </w:r>
      <w:bookmarkStart w:id="1000" w:name="OLE_LINK13"/>
      <w:r>
        <w:rPr>
          <w:rFonts w:hint="eastAsia" w:ascii="仿宋_GB2312" w:hAnsi="宋体" w:eastAsia="仿宋_GB2312"/>
          <w:b/>
          <w:color w:val="000000"/>
          <w:sz w:val="28"/>
          <w:szCs w:val="28"/>
        </w:rPr>
        <w:t>关于对公共资源交易领域严重失信主体开展联合惩戒的备忘录</w:t>
      </w:r>
      <w:bookmarkEnd w:id="1000"/>
      <w:r>
        <w:rPr>
          <w:rFonts w:hint="eastAsia" w:ascii="仿宋_GB2312" w:hAnsi="宋体" w:eastAsia="仿宋_GB2312"/>
          <w:b/>
          <w:color w:val="000000"/>
          <w:sz w:val="28"/>
          <w:szCs w:val="28"/>
        </w:rPr>
        <w:t>》（发改法规〔2018〕457号）</w:t>
      </w:r>
    </w:p>
    <w:p w14:paraId="5F50F06C">
      <w:pPr>
        <w:adjustRightInd w:val="0"/>
        <w:snapToGrid w:val="0"/>
        <w:spacing w:line="560" w:lineRule="exact"/>
        <w:ind w:firstLine="645"/>
        <w:jc w:val="left"/>
        <w:rPr>
          <w:rFonts w:hint="eastAsia" w:ascii="仿宋_GB2312" w:hAnsi="宋体" w:eastAsia="仿宋_GB2312"/>
          <w:color w:val="000000"/>
          <w:sz w:val="28"/>
          <w:szCs w:val="28"/>
        </w:rPr>
      </w:pPr>
    </w:p>
    <w:p w14:paraId="7EABA4A8">
      <w:pPr>
        <w:adjustRightInd w:val="0"/>
        <w:snapToGrid w:val="0"/>
        <w:spacing w:line="560" w:lineRule="exact"/>
        <w:ind w:firstLine="645"/>
        <w:jc w:val="left"/>
        <w:rPr>
          <w:rFonts w:hint="eastAsia" w:ascii="仿宋_GB2312" w:hAnsi="宋体" w:eastAsia="仿宋_GB2312"/>
          <w:b/>
          <w:bCs/>
          <w:color w:val="000000"/>
          <w:sz w:val="28"/>
          <w:szCs w:val="28"/>
        </w:rPr>
      </w:pPr>
      <w:r>
        <w:rPr>
          <w:rFonts w:hint="eastAsia" w:ascii="仿宋_GB2312" w:hAnsi="宋体" w:eastAsia="仿宋_GB2312"/>
          <w:b/>
          <w:color w:val="000000"/>
          <w:sz w:val="28"/>
          <w:szCs w:val="28"/>
        </w:rPr>
        <w:t>四、</w:t>
      </w:r>
      <w:r>
        <w:rPr>
          <w:rFonts w:hint="eastAsia" w:ascii="仿宋_GB2312" w:hAnsi="宋体" w:eastAsia="仿宋_GB2312"/>
          <w:b/>
          <w:bCs/>
          <w:color w:val="000000"/>
          <w:sz w:val="28"/>
          <w:szCs w:val="28"/>
        </w:rPr>
        <w:t>社会保险领域严重失信行为</w:t>
      </w:r>
    </w:p>
    <w:p w14:paraId="45C93F7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（一）用人单位未按相关规定参加社会保险且拒不整改的； </w:t>
      </w:r>
    </w:p>
    <w:p w14:paraId="2EEC539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（二）用人单位未如实申报社会保险缴费基数且拒不整改的； </w:t>
      </w:r>
    </w:p>
    <w:p w14:paraId="7DF3259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（三）应缴纳社会保险费却拒不缴纳的； </w:t>
      </w:r>
    </w:p>
    <w:p w14:paraId="6AA46D6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（四）隐匿、转移、侵占、挪用社会保险费款、基金或者违规投资运营的；</w:t>
      </w:r>
    </w:p>
    <w:p w14:paraId="7ADBED04">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（五）以欺诈、伪造证明材料或者其他手段参加、申报社会保险和骗取社会保险基金支出或社会保险待遇的； </w:t>
      </w:r>
    </w:p>
    <w:p w14:paraId="0107A6C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（六）非法获取、出售或变相交易社会保险个人权益数据的； </w:t>
      </w:r>
    </w:p>
    <w:p w14:paraId="2378E82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（七）社会保险服务机构违反服务协议或相关规定的； </w:t>
      </w:r>
    </w:p>
    <w:p w14:paraId="688D696E">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（八）拒绝协助社会保险行政部门、经办机构对事故和问题进 行调查核实的；拒绝接受或协助税务部门对社会保险实施监督检查， 不如实提供与社会保险相关各项资料的； </w:t>
      </w:r>
    </w:p>
    <w:p w14:paraId="400396C9">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（九）其他违反法律法规规定的。</w:t>
      </w:r>
    </w:p>
    <w:p w14:paraId="787E64C2">
      <w:pPr>
        <w:adjustRightInd w:val="0"/>
        <w:snapToGrid w:val="0"/>
        <w:spacing w:line="560" w:lineRule="exact"/>
        <w:ind w:firstLine="551" w:firstLineChars="196"/>
        <w:jc w:val="left"/>
        <w:rPr>
          <w:rFonts w:hint="eastAsia" w:ascii="仿宋_GB2312" w:hAnsi="Calibri" w:eastAsia="仿宋_GB2312"/>
          <w:color w:val="000000"/>
          <w:sz w:val="28"/>
          <w:szCs w:val="28"/>
        </w:rPr>
      </w:pPr>
      <w:r>
        <w:rPr>
          <w:rFonts w:hint="eastAsia" w:ascii="仿宋_GB2312" w:hAnsi="Calibri" w:eastAsia="仿宋_GB2312"/>
          <w:b/>
          <w:color w:val="000000"/>
          <w:sz w:val="28"/>
          <w:szCs w:val="28"/>
        </w:rPr>
        <w:t>依据：《关于对社会保险领域严重失信企业及其有关人员实施联合惩戒的合作备忘录》（发改财金〔2018〕1704号）</w:t>
      </w:r>
    </w:p>
    <w:p w14:paraId="11D7DDFD">
      <w:pPr>
        <w:adjustRightInd w:val="0"/>
        <w:snapToGrid w:val="0"/>
        <w:spacing w:line="560" w:lineRule="exact"/>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w:t>
      </w:r>
    </w:p>
    <w:p w14:paraId="4070699D">
      <w:pPr>
        <w:adjustRightInd w:val="0"/>
        <w:snapToGrid w:val="0"/>
        <w:spacing w:line="560" w:lineRule="exact"/>
        <w:ind w:firstLine="562" w:firstLineChars="200"/>
        <w:jc w:val="left"/>
        <w:rPr>
          <w:rFonts w:hint="eastAsia" w:ascii="仿宋_GB2312" w:hAnsi="宋体" w:eastAsia="仿宋_GB2312"/>
          <w:b/>
          <w:bCs/>
          <w:color w:val="000000"/>
          <w:sz w:val="28"/>
          <w:szCs w:val="28"/>
        </w:rPr>
      </w:pPr>
      <w:r>
        <w:rPr>
          <w:rFonts w:hint="eastAsia" w:ascii="仿宋_GB2312" w:hAnsi="宋体" w:eastAsia="仿宋_GB2312"/>
          <w:b/>
          <w:color w:val="000000"/>
          <w:sz w:val="28"/>
          <w:szCs w:val="28"/>
        </w:rPr>
        <w:t>五、建筑市场领域</w:t>
      </w:r>
      <w:r>
        <w:rPr>
          <w:rFonts w:hint="eastAsia" w:ascii="仿宋_GB2312" w:hAnsi="宋体" w:eastAsia="仿宋_GB2312"/>
          <w:b/>
          <w:bCs/>
          <w:color w:val="000000"/>
          <w:sz w:val="28"/>
          <w:szCs w:val="28"/>
        </w:rPr>
        <w:t>严重失信行为</w:t>
      </w:r>
    </w:p>
    <w:p w14:paraId="2111A551">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（一）利用虚假材料、以欺骗手段取得企业资质的；</w:t>
      </w:r>
    </w:p>
    <w:p w14:paraId="78D31793">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（二）发生转包、出借资质，受到行政处罚的；</w:t>
      </w:r>
    </w:p>
    <w:p w14:paraId="1684216C">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（三）发生重大及以上工程质量安全事故，或1年内累计发生2次及以上较大工程质量安全事故，或发生性质恶劣、危害性严重、社会影响大的较大工程质量安全事故，受到行政处罚的；</w:t>
      </w:r>
    </w:p>
    <w:p w14:paraId="522B82F8">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（四）经法院判决或仲裁机构裁决，认定为拖欠工程款,且拒不履行生效法律文书确定的义务的。</w:t>
      </w:r>
    </w:p>
    <w:p w14:paraId="23450082">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各级住房城乡建设主管部门应当参照建筑市场主体“黑名单”，对被人力资源社会保障行政部门列入拖欠农民工工资“黑名单”的建筑市场各方主体加强监管。</w:t>
      </w:r>
    </w:p>
    <w:p w14:paraId="5A48083A">
      <w:pPr>
        <w:ind w:firstLine="562" w:firstLineChars="200"/>
        <w:jc w:val="left"/>
        <w:rPr>
          <w:rFonts w:hint="eastAsia" w:ascii="宋体" w:hAnsi="宋体"/>
          <w:color w:val="000000"/>
          <w:sz w:val="28"/>
          <w:szCs w:val="28"/>
        </w:rPr>
      </w:pPr>
      <w:r>
        <w:rPr>
          <w:rFonts w:hint="eastAsia" w:ascii="仿宋_GB2312" w:hAnsi="Calibri" w:eastAsia="仿宋_GB2312"/>
          <w:b/>
          <w:color w:val="000000"/>
          <w:sz w:val="28"/>
          <w:szCs w:val="28"/>
        </w:rPr>
        <w:t>依据：《</w:t>
      </w:r>
      <w:bookmarkStart w:id="1001" w:name="OLE_LINK18"/>
      <w:r>
        <w:rPr>
          <w:rFonts w:hint="eastAsia" w:ascii="仿宋_GB2312" w:hAnsi="Calibri" w:eastAsia="仿宋_GB2312"/>
          <w:b/>
          <w:color w:val="000000"/>
          <w:sz w:val="28"/>
          <w:szCs w:val="28"/>
        </w:rPr>
        <w:t>建筑市场信用管理暂行办法</w:t>
      </w:r>
      <w:bookmarkEnd w:id="1001"/>
      <w:r>
        <w:rPr>
          <w:rFonts w:hint="eastAsia" w:ascii="仿宋_GB2312" w:hAnsi="Calibri" w:eastAsia="仿宋_GB2312"/>
          <w:b/>
          <w:color w:val="000000"/>
          <w:sz w:val="28"/>
          <w:szCs w:val="28"/>
        </w:rPr>
        <w:t>》（建市〔2017〕241号）</w:t>
      </w:r>
    </w:p>
    <w:p w14:paraId="0AD755F2">
      <w:pPr>
        <w:adjustRightInd w:val="0"/>
        <w:snapToGrid w:val="0"/>
        <w:spacing w:line="560" w:lineRule="exact"/>
        <w:rPr>
          <w:rFonts w:hint="eastAsia" w:ascii="仿宋_GB2312" w:hAnsi="宋体" w:eastAsia="仿宋_GB2312"/>
          <w:b/>
          <w:color w:val="000000"/>
          <w:sz w:val="28"/>
          <w:szCs w:val="28"/>
        </w:rPr>
      </w:pPr>
    </w:p>
    <w:p w14:paraId="01F2BFBF">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六、</w:t>
      </w:r>
      <w:bookmarkStart w:id="1002" w:name="OLE_LINK20"/>
      <w:bookmarkStart w:id="1003" w:name="OLE_LINK19"/>
      <w:r>
        <w:rPr>
          <w:rFonts w:hint="eastAsia" w:ascii="仿宋_GB2312" w:hAnsi="宋体" w:eastAsia="仿宋_GB2312"/>
          <w:b/>
          <w:color w:val="000000"/>
          <w:sz w:val="28"/>
          <w:szCs w:val="28"/>
        </w:rPr>
        <w:t>政府采购严重失信行为</w:t>
      </w:r>
      <w:bookmarkEnd w:id="1002"/>
      <w:bookmarkEnd w:id="1003"/>
    </w:p>
    <w:p w14:paraId="28483B0E">
      <w:pPr>
        <w:adjustRightInd w:val="0"/>
        <w:snapToGrid w:val="0"/>
        <w:spacing w:line="560" w:lineRule="exact"/>
        <w:ind w:firstLine="615"/>
        <w:rPr>
          <w:rFonts w:hint="eastAsia" w:ascii="仿宋_GB2312" w:hAnsi="Calibri" w:eastAsia="仿宋_GB2312"/>
          <w:color w:val="000000"/>
          <w:sz w:val="28"/>
          <w:szCs w:val="28"/>
        </w:rPr>
      </w:pPr>
      <w:r>
        <w:rPr>
          <w:rFonts w:hint="eastAsia" w:ascii="仿宋_GB2312" w:hAnsi="Calibri" w:eastAsia="仿宋_GB2312"/>
          <w:color w:val="000000"/>
          <w:sz w:val="28"/>
          <w:szCs w:val="28"/>
        </w:rPr>
        <w:t>供应商、采购代理机构在三年内受到财政部门作出下列情形之一的行政处罚，列入政府采购严重违法失信行为记录名单。</w:t>
      </w:r>
      <w:r>
        <w:rPr>
          <w:rFonts w:hint="eastAsia" w:ascii="仿宋_GB2312" w:hAnsi="Calibri" w:eastAsia="仿宋_GB2312"/>
          <w:color w:val="000000"/>
          <w:sz w:val="28"/>
          <w:szCs w:val="28"/>
        </w:rPr>
        <w:br w:type="textWrapping"/>
      </w:r>
      <w:r>
        <w:rPr>
          <w:rFonts w:hint="eastAsia" w:ascii="仿宋_GB2312" w:hAnsi="Calibri" w:eastAsia="仿宋_GB2312"/>
          <w:color w:val="000000"/>
          <w:sz w:val="28"/>
          <w:szCs w:val="28"/>
        </w:rPr>
        <w:t>　　（一）三万元以上罚款；</w:t>
      </w:r>
      <w:r>
        <w:rPr>
          <w:rFonts w:hint="eastAsia" w:ascii="仿宋_GB2312" w:hAnsi="Calibri" w:eastAsia="仿宋_GB2312"/>
          <w:color w:val="000000"/>
          <w:sz w:val="28"/>
          <w:szCs w:val="28"/>
        </w:rPr>
        <w:br w:type="textWrapping"/>
      </w:r>
      <w:r>
        <w:rPr>
          <w:rFonts w:hint="eastAsia" w:ascii="仿宋_GB2312" w:hAnsi="Calibri" w:eastAsia="仿宋_GB2312"/>
          <w:color w:val="000000"/>
          <w:sz w:val="28"/>
          <w:szCs w:val="28"/>
        </w:rPr>
        <w:t>　　（二）在一至三年内禁止参加政府采购活动（处罚期限届满的除外）；</w:t>
      </w:r>
      <w:r>
        <w:rPr>
          <w:rFonts w:hint="eastAsia" w:ascii="仿宋_GB2312" w:hAnsi="Calibri" w:eastAsia="仿宋_GB2312"/>
          <w:color w:val="000000"/>
          <w:sz w:val="28"/>
          <w:szCs w:val="28"/>
        </w:rPr>
        <w:br w:type="textWrapping"/>
      </w:r>
      <w:r>
        <w:rPr>
          <w:rFonts w:hint="eastAsia" w:ascii="仿宋_GB2312" w:hAnsi="Calibri" w:eastAsia="仿宋_GB2312"/>
          <w:color w:val="000000"/>
          <w:sz w:val="28"/>
          <w:szCs w:val="28"/>
        </w:rPr>
        <w:t>　　（三）在一至三年内禁止代理政府采购业务（处罚期限届满的除外）；</w:t>
      </w:r>
      <w:r>
        <w:rPr>
          <w:rFonts w:hint="eastAsia" w:ascii="仿宋_GB2312" w:hAnsi="Calibri" w:eastAsia="仿宋_GB2312"/>
          <w:color w:val="000000"/>
          <w:sz w:val="28"/>
          <w:szCs w:val="28"/>
        </w:rPr>
        <w:br w:type="textWrapping"/>
      </w:r>
      <w:r>
        <w:rPr>
          <w:rFonts w:hint="eastAsia" w:ascii="仿宋_GB2312" w:hAnsi="宋体" w:eastAsia="仿宋_GB2312"/>
          <w:color w:val="000000"/>
          <w:sz w:val="28"/>
          <w:szCs w:val="28"/>
        </w:rPr>
        <w:t xml:space="preserve">　 </w:t>
      </w:r>
      <w:r>
        <w:rPr>
          <w:rFonts w:hint="eastAsia" w:ascii="仿宋_GB2312" w:hAnsi="Calibri" w:eastAsia="仿宋_GB2312"/>
          <w:color w:val="000000"/>
          <w:sz w:val="28"/>
          <w:szCs w:val="28"/>
        </w:rPr>
        <w:t>（四）撤销政府采购代理机构资格（仅针对《政府采购法》第78条修改前作出的处罚决定）。</w:t>
      </w:r>
    </w:p>
    <w:p w14:paraId="16A3FFB2">
      <w:pPr>
        <w:adjustRightInd w:val="0"/>
        <w:snapToGrid w:val="0"/>
        <w:spacing w:line="560" w:lineRule="exact"/>
        <w:ind w:firstLine="562" w:firstLineChars="200"/>
        <w:jc w:val="left"/>
        <w:rPr>
          <w:rFonts w:hint="eastAsia" w:ascii="仿宋_GB2312" w:hAnsi="Calibri" w:eastAsia="仿宋_GB2312"/>
          <w:b/>
          <w:color w:val="000000"/>
          <w:sz w:val="28"/>
          <w:szCs w:val="28"/>
        </w:rPr>
      </w:pPr>
      <w:r>
        <w:rPr>
          <w:rFonts w:hint="eastAsia" w:ascii="仿宋_GB2312" w:hAnsi="Calibri" w:eastAsia="仿宋_GB2312"/>
          <w:b/>
          <w:color w:val="000000"/>
          <w:sz w:val="28"/>
          <w:szCs w:val="28"/>
        </w:rPr>
        <w:t>依据：《关于报送政府采购严重违法失信行为信息记录的通知》</w:t>
      </w:r>
      <w:r>
        <w:rPr>
          <w:rFonts w:hint="eastAsia" w:ascii="Calibri" w:hAnsi="Calibri"/>
          <w:b/>
          <w:color w:val="000000"/>
          <w:sz w:val="28"/>
          <w:szCs w:val="28"/>
        </w:rPr>
        <w:t>（财办库〔</w:t>
      </w:r>
      <w:r>
        <w:rPr>
          <w:rFonts w:ascii="Calibri" w:hAnsi="Calibri"/>
          <w:b/>
          <w:color w:val="000000"/>
          <w:sz w:val="28"/>
          <w:szCs w:val="28"/>
        </w:rPr>
        <w:t>2014</w:t>
      </w:r>
      <w:r>
        <w:rPr>
          <w:rFonts w:hint="eastAsia" w:ascii="Calibri" w:hAnsi="Calibri"/>
          <w:b/>
          <w:color w:val="000000"/>
          <w:sz w:val="28"/>
          <w:szCs w:val="28"/>
        </w:rPr>
        <w:t>〕</w:t>
      </w:r>
      <w:r>
        <w:rPr>
          <w:rFonts w:ascii="Calibri" w:hAnsi="Calibri"/>
          <w:b/>
          <w:color w:val="000000"/>
          <w:sz w:val="28"/>
          <w:szCs w:val="28"/>
        </w:rPr>
        <w:t>526</w:t>
      </w:r>
      <w:r>
        <w:rPr>
          <w:rFonts w:hint="eastAsia" w:ascii="Calibri" w:hAnsi="Calibri"/>
          <w:b/>
          <w:color w:val="000000"/>
          <w:sz w:val="28"/>
          <w:szCs w:val="28"/>
        </w:rPr>
        <w:t>号）</w:t>
      </w:r>
    </w:p>
    <w:p w14:paraId="224FA00F">
      <w:pPr>
        <w:adjustRightInd w:val="0"/>
        <w:snapToGrid w:val="0"/>
        <w:spacing w:line="560" w:lineRule="exact"/>
        <w:rPr>
          <w:rFonts w:hint="eastAsia" w:ascii="仿宋_GB2312" w:hAnsi="宋体" w:eastAsia="仿宋_GB2312"/>
          <w:b/>
          <w:color w:val="000000"/>
          <w:sz w:val="28"/>
          <w:szCs w:val="28"/>
        </w:rPr>
      </w:pPr>
    </w:p>
    <w:p w14:paraId="0A91B9BD">
      <w:pPr>
        <w:adjustRightInd w:val="0"/>
        <w:snapToGrid w:val="0"/>
        <w:spacing w:line="560" w:lineRule="exact"/>
        <w:ind w:firstLine="615"/>
        <w:rPr>
          <w:rFonts w:hint="eastAsia" w:ascii="仿宋_GB2312" w:hAnsi="Calibri" w:eastAsia="仿宋_GB2312"/>
          <w:b/>
          <w:color w:val="000000"/>
          <w:sz w:val="32"/>
          <w:szCs w:val="32"/>
        </w:rPr>
      </w:pPr>
      <w:r>
        <w:rPr>
          <w:rFonts w:hint="eastAsia" w:ascii="仿宋_GB2312" w:hAnsi="宋体" w:eastAsia="仿宋_GB2312"/>
          <w:b/>
          <w:color w:val="000000"/>
          <w:sz w:val="28"/>
          <w:szCs w:val="28"/>
        </w:rPr>
        <w:t>未列出的其他类别严重失信行为，由招标人（代理机构）根据各类别行业主管部门下发的联合惩戒文件进行判</w:t>
      </w:r>
      <w:r>
        <w:rPr>
          <w:rFonts w:hint="eastAsia" w:ascii="仿宋_GB2312" w:hAnsi="宋体" w:eastAsia="仿宋_GB2312"/>
          <w:b/>
          <w:color w:val="000000"/>
          <w:sz w:val="32"/>
          <w:szCs w:val="32"/>
        </w:rPr>
        <w:t>断。</w:t>
      </w:r>
    </w:p>
    <w:p w14:paraId="715B92A1">
      <w:pPr>
        <w:pStyle w:val="2"/>
      </w:pPr>
    </w:p>
    <w:sectPr>
      <w:headerReference r:id="rId7" w:type="default"/>
      <w:footerReference r:id="rId8"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588D">
    <w:pPr>
      <w:pStyle w:val="29"/>
      <w:rPr>
        <w:rStyle w:val="5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F04E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8F04E6">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2441B96C">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0B1C5"/>
    <w:multiLevelType w:val="singleLevel"/>
    <w:tmpl w:val="84E0B1C5"/>
    <w:lvl w:ilvl="0" w:tentative="0">
      <w:start w:val="1"/>
      <w:numFmt w:val="decimal"/>
      <w:suff w:val="space"/>
      <w:lvlText w:val="（%1）"/>
      <w:lvlJc w:val="left"/>
    </w:lvl>
  </w:abstractNum>
  <w:abstractNum w:abstractNumId="1">
    <w:nsid w:val="00000002"/>
    <w:multiLevelType w:val="singleLevel"/>
    <w:tmpl w:val="00000002"/>
    <w:lvl w:ilvl="0" w:tentative="0">
      <w:start w:val="3"/>
      <w:numFmt w:val="chineseCounting"/>
      <w:suff w:val="nothing"/>
      <w:lvlText w:val="%1、"/>
      <w:lvlJc w:val="left"/>
      <w:pPr>
        <w:tabs>
          <w:tab w:val="left" w:pos="0"/>
        </w:tabs>
        <w:ind w:left="0" w:firstLine="0"/>
      </w:pPr>
      <w:rPr>
        <w:rFonts w:cs="Times New Roman"/>
      </w:rPr>
    </w:lvl>
  </w:abstractNum>
  <w:abstractNum w:abstractNumId="2">
    <w:nsid w:val="152B3C79"/>
    <w:multiLevelType w:val="singleLevel"/>
    <w:tmpl w:val="152B3C79"/>
    <w:lvl w:ilvl="0" w:tentative="0">
      <w:start w:val="1"/>
      <w:numFmt w:val="decimal"/>
      <w:suff w:val="nothing"/>
      <w:lvlText w:val="（%1）"/>
      <w:lvlJc w:val="left"/>
    </w:lvl>
  </w:abstractNum>
  <w:abstractNum w:abstractNumId="3">
    <w:nsid w:val="45A1E0C6"/>
    <w:multiLevelType w:val="singleLevel"/>
    <w:tmpl w:val="45A1E0C6"/>
    <w:lvl w:ilvl="0" w:tentative="0">
      <w:start w:val="10"/>
      <w:numFmt w:val="decimal"/>
      <w:suff w:val="nothing"/>
      <w:lvlText w:val="（%1）"/>
      <w:lvlJc w:val="left"/>
      <w:pPr>
        <w:tabs>
          <w:tab w:val="left" w:pos="0"/>
        </w:tabs>
        <w:ind w:left="0" w:firstLine="0"/>
      </w:pPr>
    </w:lvl>
  </w:abstractNum>
  <w:abstractNum w:abstractNumId="4">
    <w:nsid w:val="6E3C7851"/>
    <w:multiLevelType w:val="singleLevel"/>
    <w:tmpl w:val="6E3C7851"/>
    <w:lvl w:ilvl="0" w:tentative="0">
      <w:start w:val="6"/>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654138"/>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631998"/>
    <w:rsid w:val="0C6821F6"/>
    <w:rsid w:val="0C8170B4"/>
    <w:rsid w:val="0C990787"/>
    <w:rsid w:val="0C992D4F"/>
    <w:rsid w:val="0CAE3A50"/>
    <w:rsid w:val="0CBF15FF"/>
    <w:rsid w:val="0CC20F4F"/>
    <w:rsid w:val="0CD8398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8617D9"/>
    <w:rsid w:val="149258A7"/>
    <w:rsid w:val="149321EC"/>
    <w:rsid w:val="149834CA"/>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B3036"/>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5E3157"/>
    <w:rsid w:val="16673318"/>
    <w:rsid w:val="16700A7A"/>
    <w:rsid w:val="16734728"/>
    <w:rsid w:val="167D1103"/>
    <w:rsid w:val="1683572D"/>
    <w:rsid w:val="169E0BEA"/>
    <w:rsid w:val="16AF7EFC"/>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BF3122"/>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397563"/>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371F29"/>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EA427B"/>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B9400D"/>
    <w:rsid w:val="2AD81233"/>
    <w:rsid w:val="2AE63EFE"/>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5756FC"/>
    <w:rsid w:val="2D5D5591"/>
    <w:rsid w:val="2D74743A"/>
    <w:rsid w:val="2D7C11D4"/>
    <w:rsid w:val="2D7F4766"/>
    <w:rsid w:val="2D8D3A62"/>
    <w:rsid w:val="2DAF3E40"/>
    <w:rsid w:val="2DBE7F60"/>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4724FF"/>
    <w:rsid w:val="325066A8"/>
    <w:rsid w:val="32563FE3"/>
    <w:rsid w:val="325D3410"/>
    <w:rsid w:val="3260226B"/>
    <w:rsid w:val="3264169D"/>
    <w:rsid w:val="327652E9"/>
    <w:rsid w:val="327A5FF1"/>
    <w:rsid w:val="32A55CC0"/>
    <w:rsid w:val="32A937D2"/>
    <w:rsid w:val="32C95971"/>
    <w:rsid w:val="32CF5928"/>
    <w:rsid w:val="32D3678F"/>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E7950"/>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85657"/>
    <w:rsid w:val="48A95C04"/>
    <w:rsid w:val="48B22238"/>
    <w:rsid w:val="48B33076"/>
    <w:rsid w:val="48C4330A"/>
    <w:rsid w:val="48D55EB3"/>
    <w:rsid w:val="48DA0701"/>
    <w:rsid w:val="48DF324A"/>
    <w:rsid w:val="48E052EC"/>
    <w:rsid w:val="48E65AEE"/>
    <w:rsid w:val="48F80CE7"/>
    <w:rsid w:val="490177EE"/>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324F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C1B11"/>
    <w:rsid w:val="505F48A5"/>
    <w:rsid w:val="506472D4"/>
    <w:rsid w:val="50666C7A"/>
    <w:rsid w:val="507460A4"/>
    <w:rsid w:val="507B6DFE"/>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87AB4"/>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7525A"/>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86660"/>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5226F9"/>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924F0"/>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839B8"/>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23EE6"/>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359B2"/>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74C10"/>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20"/>
    <w:qFormat/>
    <w:uiPriority w:val="0"/>
    <w:pPr>
      <w:keepNext/>
      <w:keepLines/>
      <w:spacing w:line="440" w:lineRule="exact"/>
      <w:jc w:val="center"/>
      <w:outlineLvl w:val="0"/>
    </w:pPr>
    <w:rPr>
      <w:b/>
      <w:bCs/>
      <w:kern w:val="44"/>
      <w:sz w:val="44"/>
      <w:szCs w:val="44"/>
    </w:rPr>
  </w:style>
  <w:style w:type="paragraph" w:styleId="7">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3"/>
    <w:qFormat/>
    <w:uiPriority w:val="0"/>
    <w:pPr>
      <w:keepNext/>
      <w:keepLines/>
      <w:spacing w:line="415" w:lineRule="auto"/>
      <w:outlineLvl w:val="2"/>
    </w:pPr>
    <w:rPr>
      <w:b/>
      <w:bCs/>
      <w:kern w:val="0"/>
      <w:sz w:val="32"/>
      <w:szCs w:val="32"/>
    </w:rPr>
  </w:style>
  <w:style w:type="paragraph" w:styleId="9">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29"/>
    <w:qFormat/>
    <w:uiPriority w:val="0"/>
    <w:pPr>
      <w:keepNext/>
      <w:keepLines/>
      <w:spacing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5">
    <w:name w:val="table of authorities"/>
    <w:basedOn w:val="1"/>
    <w:next w:val="1"/>
    <w:unhideWhenUsed/>
    <w:qFormat/>
    <w:uiPriority w:val="0"/>
    <w:pPr>
      <w:ind w:left="420" w:leftChars="200"/>
    </w:pPr>
  </w:style>
  <w:style w:type="paragraph" w:styleId="16">
    <w:name w:val="Normal Indent"/>
    <w:basedOn w:val="1"/>
    <w:next w:val="2"/>
    <w:qFormat/>
    <w:uiPriority w:val="0"/>
    <w:pPr>
      <w:ind w:firstLine="420" w:firstLineChars="200"/>
    </w:p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next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8"/>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6"/>
    <w:qFormat/>
    <w:uiPriority w:val="0"/>
    <w:pPr>
      <w:jc w:val="left"/>
    </w:pPr>
    <w:rPr>
      <w:rFonts w:ascii="黑体" w:hAnsi="黑体" w:eastAsia="黑体"/>
      <w:sz w:val="21"/>
    </w:rPr>
  </w:style>
  <w:style w:type="paragraph" w:customStyle="1" w:styleId="77">
    <w:name w:val="样式4"/>
    <w:basedOn w:val="8"/>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6"/>
    <w:qFormat/>
    <w:uiPriority w:val="0"/>
    <w:pPr>
      <w:spacing w:line="400" w:lineRule="exact"/>
    </w:pPr>
    <w:rPr>
      <w:rFonts w:ascii="黑体" w:hAnsi="黑体" w:eastAsia="黑体" w:cs="宋体"/>
      <w:b w:val="0"/>
      <w:bCs w:val="0"/>
      <w:sz w:val="32"/>
      <w:szCs w:val="20"/>
    </w:rPr>
  </w:style>
  <w:style w:type="paragraph" w:customStyle="1" w:styleId="82">
    <w:name w:val="_Style 78"/>
    <w:basedOn w:val="6"/>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8"/>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7"/>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8"/>
    <w:qFormat/>
    <w:uiPriority w:val="0"/>
    <w:rPr>
      <w:rFonts w:eastAsia="Arial"/>
    </w:rPr>
  </w:style>
  <w:style w:type="paragraph" w:customStyle="1" w:styleId="95">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6"/>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10"/>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8"/>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7"/>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79</Pages>
  <Words>20476</Words>
  <Characters>21714</Characters>
  <Lines>411</Lines>
  <Paragraphs>115</Paragraphs>
  <TotalTime>260</TotalTime>
  <ScaleCrop>false</ScaleCrop>
  <LinksUpToDate>false</LinksUpToDate>
  <CharactersWithSpaces>23394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2025-07-11T00:47:00Z</cp:lastPrinted>
  <dcterms:modified xsi:type="dcterms:W3CDTF">2025-07-15T00:47:12Z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3E37166E933D4B56AF059194D704A7C6_13</vt:lpwstr>
  </property>
  <property fmtid="{D5CDD505-2E9C-101B-9397-08002B2CF9AE}" pid="4" name="KSOTemplateDocerSaveRecord">
    <vt:lpwstr>eyJoZGlkIjoiMTljMDcwYWJmYjExZWQzNTVmZDAzZTYwM2JlMzJmZDYiLCJ1c2VySWQiOiIzODU2Mzk2OTQifQ==</vt:lpwstr>
  </property>
</Properties>
</file>