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68967">
      <w:pPr>
        <w:pStyle w:val="12"/>
        <w:shd w:val="clear"/>
        <w:ind w:left="0" w:leftChars="0" w:firstLineChars="0"/>
        <w:jc w:val="center"/>
        <w:rPr>
          <w:rFonts w:hint="eastAsia" w:ascii="宋体" w:hAnsi="宋体" w:eastAsia="宋体" w:cs="宋体"/>
          <w:b/>
          <w:color w:val="auto"/>
          <w:sz w:val="44"/>
          <w:szCs w:val="44"/>
          <w:highlight w:val="none"/>
        </w:rPr>
      </w:pPr>
      <w:bookmarkStart w:id="0" w:name="OLE_LINK1"/>
      <w:bookmarkStart w:id="121" w:name="_GoBack"/>
    </w:p>
    <w:p w14:paraId="0F02CA9C">
      <w:pPr>
        <w:shd w:val="clear"/>
        <w:spacing w:beforeLines="100" w:afterLines="100" w:line="840" w:lineRule="exact"/>
        <w:jc w:val="center"/>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sz w:val="44"/>
          <w:szCs w:val="44"/>
          <w:highlight w:val="none"/>
          <w:lang w:val="en-US" w:eastAsia="zh-CN"/>
        </w:rPr>
        <w:t>明巢、来六、滁合高速“手机+”无卡便捷通行升级改造项目</w:t>
      </w:r>
    </w:p>
    <w:p w14:paraId="1B798401">
      <w:pPr>
        <w:shd w:val="clear"/>
        <w:spacing w:beforeLines="50" w:afterLines="50"/>
        <w:ind w:left="-850" w:leftChars="-405" w:right="-625"/>
        <w:jc w:val="center"/>
        <w:rPr>
          <w:rFonts w:hint="eastAsia" w:ascii="宋体" w:hAnsi="宋体" w:eastAsia="宋体" w:cs="宋体"/>
          <w:color w:val="auto"/>
          <w:sz w:val="40"/>
          <w:szCs w:val="36"/>
          <w:highlight w:val="none"/>
        </w:rPr>
      </w:pPr>
      <w:r>
        <w:rPr>
          <w:rFonts w:hint="eastAsia" w:ascii="宋体" w:hAnsi="宋体" w:eastAsia="宋体" w:cs="宋体"/>
          <w:color w:val="auto"/>
          <w:sz w:val="40"/>
          <w:szCs w:val="36"/>
          <w:highlight w:val="none"/>
        </w:rPr>
        <w:t>（电子招标投标）</w:t>
      </w:r>
    </w:p>
    <w:p w14:paraId="4F5A90E1">
      <w:pPr>
        <w:pStyle w:val="12"/>
        <w:shd w:val="clear"/>
        <w:ind w:left="0" w:leftChars="0" w:firstLine="2880" w:firstLineChars="1200"/>
        <w:rPr>
          <w:rFonts w:hint="eastAsia" w:ascii="宋体" w:hAnsi="宋体" w:eastAsia="宋体" w:cs="宋体"/>
          <w:color w:val="auto"/>
          <w:sz w:val="24"/>
          <w:highlight w:val="none"/>
        </w:rPr>
      </w:pPr>
    </w:p>
    <w:p w14:paraId="7575B6D5">
      <w:pPr>
        <w:pStyle w:val="12"/>
        <w:shd w:val="clear"/>
        <w:ind w:left="0" w:leftChars="0" w:firstLine="2880" w:firstLineChars="1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项目编号：czsjqt202608-015</w:t>
      </w:r>
      <w:r>
        <w:rPr>
          <w:rFonts w:hint="eastAsia" w:ascii="宋体" w:hAnsi="宋体" w:cs="宋体"/>
          <w:color w:val="auto"/>
          <w:sz w:val="24"/>
          <w:highlight w:val="none"/>
          <w:lang w:val="en-US" w:eastAsia="zh-CN"/>
        </w:rPr>
        <w:t xml:space="preserve"> </w:t>
      </w:r>
    </w:p>
    <w:p w14:paraId="21DC0F54">
      <w:pPr>
        <w:pStyle w:val="12"/>
        <w:shd w:val="clear"/>
        <w:rPr>
          <w:rFonts w:hint="eastAsia" w:ascii="宋体" w:hAnsi="宋体" w:eastAsia="宋体" w:cs="宋体"/>
          <w:color w:val="auto"/>
          <w:sz w:val="24"/>
          <w:highlight w:val="none"/>
          <w:lang w:val="en-US"/>
        </w:rPr>
      </w:pPr>
    </w:p>
    <w:p w14:paraId="179EFCC0">
      <w:pPr>
        <w:pStyle w:val="12"/>
        <w:shd w:val="clear"/>
        <w:ind w:left="0" w:leftChars="0" w:firstLine="2880" w:firstLineChars="1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  </w:t>
      </w:r>
    </w:p>
    <w:p w14:paraId="0EB0CBD0">
      <w:pPr>
        <w:pStyle w:val="54"/>
        <w:shd w:val="clear"/>
        <w:ind w:firstLine="0" w:firstLineChars="0"/>
        <w:rPr>
          <w:rFonts w:hint="eastAsia" w:ascii="宋体" w:hAnsi="宋体" w:eastAsia="宋体" w:cs="宋体"/>
          <w:color w:val="auto"/>
          <w:highlight w:val="none"/>
        </w:rPr>
      </w:pPr>
    </w:p>
    <w:p w14:paraId="52AA32CA">
      <w:pPr>
        <w:pStyle w:val="54"/>
        <w:shd w:val="clear"/>
        <w:ind w:firstLine="480"/>
        <w:rPr>
          <w:rFonts w:hint="eastAsia" w:ascii="宋体" w:hAnsi="宋体" w:eastAsia="宋体" w:cs="宋体"/>
          <w:color w:val="auto"/>
          <w:highlight w:val="none"/>
        </w:rPr>
      </w:pPr>
    </w:p>
    <w:p w14:paraId="68787B14">
      <w:pPr>
        <w:shd w:val="clear"/>
        <w:rPr>
          <w:rFonts w:hint="eastAsia" w:ascii="宋体" w:hAnsi="宋体" w:eastAsia="宋体" w:cs="宋体"/>
          <w:bCs/>
          <w:color w:val="auto"/>
          <w:szCs w:val="21"/>
          <w:highlight w:val="none"/>
        </w:rPr>
      </w:pPr>
    </w:p>
    <w:p w14:paraId="70D1C16A">
      <w:pPr>
        <w:shd w:val="clear"/>
        <w:spacing w:line="312"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招 标 文 件</w:t>
      </w:r>
    </w:p>
    <w:p w14:paraId="7033419E">
      <w:pPr>
        <w:shd w:val="clear"/>
        <w:rPr>
          <w:rFonts w:hint="eastAsia" w:ascii="宋体" w:hAnsi="宋体" w:eastAsia="宋体" w:cs="宋体"/>
          <w:bCs/>
          <w:color w:val="auto"/>
          <w:szCs w:val="21"/>
          <w:highlight w:val="none"/>
        </w:rPr>
      </w:pPr>
    </w:p>
    <w:p w14:paraId="2F28F6ED">
      <w:pPr>
        <w:shd w:val="clea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 xml:space="preserve"> </w:t>
      </w:r>
    </w:p>
    <w:p w14:paraId="58A751C8">
      <w:pPr>
        <w:shd w:val="clear"/>
        <w:spacing w:beforeLines="100" w:afterLines="100" w:line="360" w:lineRule="auto"/>
        <w:jc w:val="left"/>
        <w:rPr>
          <w:rFonts w:hint="eastAsia" w:ascii="宋体" w:hAnsi="宋体" w:eastAsia="宋体" w:cs="宋体"/>
          <w:b/>
          <w:color w:val="auto"/>
          <w:sz w:val="32"/>
          <w:szCs w:val="32"/>
          <w:highlight w:val="none"/>
        </w:rPr>
      </w:pPr>
    </w:p>
    <w:p w14:paraId="289CD838">
      <w:pPr>
        <w:pStyle w:val="12"/>
        <w:shd w:val="clear"/>
        <w:ind w:firstLine="400"/>
        <w:rPr>
          <w:rFonts w:hint="eastAsia" w:ascii="宋体" w:hAnsi="宋体" w:eastAsia="宋体" w:cs="宋体"/>
          <w:color w:val="auto"/>
          <w:highlight w:val="none"/>
        </w:rPr>
      </w:pPr>
    </w:p>
    <w:p w14:paraId="032BC327">
      <w:pPr>
        <w:shd w:val="clear"/>
        <w:spacing w:beforeLines="100" w:afterLines="100" w:line="480" w:lineRule="auto"/>
        <w:ind w:firstLine="964" w:firstLineChars="300"/>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招</w:t>
      </w:r>
      <w:r>
        <w:rPr>
          <w:rFonts w:hint="eastAsia" w:ascii="宋体" w:hAnsi="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标</w:t>
      </w:r>
      <w:r>
        <w:rPr>
          <w:rFonts w:hint="eastAsia" w:ascii="宋体" w:hAnsi="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人：</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single"/>
          <w:lang w:eastAsia="zh-CN"/>
        </w:rPr>
        <w:t>滁州市城投交通控股有限公司</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（盖单位章）</w:t>
      </w:r>
    </w:p>
    <w:p w14:paraId="44A980C8">
      <w:pPr>
        <w:shd w:val="clear"/>
        <w:spacing w:beforeLines="100" w:afterLines="100" w:line="480" w:lineRule="auto"/>
        <w:ind w:firstLine="964" w:firstLineChars="300"/>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代理机构：</w:t>
      </w:r>
      <w:r>
        <w:rPr>
          <w:rFonts w:hint="eastAsia" w:ascii="宋体" w:hAnsi="宋体" w:eastAsia="宋体" w:cs="宋体"/>
          <w:b/>
          <w:color w:val="auto"/>
          <w:sz w:val="32"/>
          <w:szCs w:val="32"/>
          <w:highlight w:val="none"/>
          <w:u w:val="single"/>
        </w:rPr>
        <w:t>滁州市城投工程咨询管理有限公司</w:t>
      </w:r>
      <w:r>
        <w:rPr>
          <w:rFonts w:hint="eastAsia" w:ascii="宋体" w:hAnsi="宋体" w:eastAsia="宋体" w:cs="宋体"/>
          <w:b/>
          <w:color w:val="auto"/>
          <w:sz w:val="32"/>
          <w:szCs w:val="32"/>
          <w:highlight w:val="none"/>
        </w:rPr>
        <w:t>（盖单位章）</w:t>
      </w:r>
    </w:p>
    <w:p w14:paraId="638AFC35">
      <w:pPr>
        <w:shd w:val="clear"/>
        <w:spacing w:beforeLines="100" w:afterLines="100" w:line="48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u w:val="single"/>
        </w:rPr>
        <w:t>202</w:t>
      </w:r>
      <w:r>
        <w:rPr>
          <w:rFonts w:hint="eastAsia" w:ascii="宋体" w:hAnsi="宋体" w:eastAsia="宋体" w:cs="宋体"/>
          <w:b/>
          <w:color w:val="auto"/>
          <w:sz w:val="32"/>
          <w:szCs w:val="32"/>
          <w:highlight w:val="none"/>
          <w:u w:val="single"/>
          <w:lang w:val="en-US" w:eastAsia="zh-CN"/>
        </w:rPr>
        <w:t>6</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u w:val="single"/>
          <w:lang w:val="en-US" w:eastAsia="zh-CN"/>
        </w:rPr>
        <w:t>0</w:t>
      </w:r>
      <w:r>
        <w:rPr>
          <w:rFonts w:hint="eastAsia" w:ascii="宋体" w:hAnsi="宋体" w:cs="宋体"/>
          <w:b/>
          <w:color w:val="auto"/>
          <w:sz w:val="32"/>
          <w:szCs w:val="32"/>
          <w:highlight w:val="none"/>
          <w:u w:val="single"/>
          <w:lang w:val="en-US" w:eastAsia="zh-CN"/>
        </w:rPr>
        <w:t>8</w:t>
      </w:r>
      <w:r>
        <w:rPr>
          <w:rFonts w:hint="eastAsia" w:ascii="宋体" w:hAnsi="宋体" w:eastAsia="宋体" w:cs="宋体"/>
          <w:b/>
          <w:color w:val="auto"/>
          <w:sz w:val="32"/>
          <w:szCs w:val="32"/>
          <w:highlight w:val="none"/>
        </w:rPr>
        <w:t>月</w:t>
      </w:r>
    </w:p>
    <w:p w14:paraId="4CB6D157">
      <w:pPr>
        <w:shd w:val="clear"/>
        <w:spacing w:line="360" w:lineRule="exact"/>
        <w:rPr>
          <w:rFonts w:hint="eastAsia" w:ascii="宋体" w:hAnsi="宋体" w:eastAsia="宋体" w:cs="宋体"/>
          <w:b/>
          <w:color w:val="auto"/>
          <w:sz w:val="36"/>
          <w:highlight w:val="none"/>
        </w:rPr>
      </w:pPr>
    </w:p>
    <w:p w14:paraId="3213DC9A">
      <w:pPr>
        <w:pStyle w:val="13"/>
        <w:shd w:val="clear"/>
        <w:ind w:left="0" w:leftChars="0"/>
        <w:rPr>
          <w:rFonts w:hint="eastAsia" w:ascii="宋体" w:hAnsi="宋体" w:eastAsia="宋体" w:cs="宋体"/>
          <w:color w:val="auto"/>
          <w:highlight w:val="none"/>
        </w:rPr>
      </w:pPr>
    </w:p>
    <w:p w14:paraId="5E457507">
      <w:pPr>
        <w:pStyle w:val="14"/>
        <w:shd w:val="clear"/>
        <w:rPr>
          <w:rFonts w:hint="eastAsia" w:ascii="宋体" w:hAnsi="宋体" w:eastAsia="宋体" w:cs="宋体"/>
          <w:color w:val="auto"/>
          <w:highlight w:val="none"/>
        </w:rPr>
      </w:pPr>
    </w:p>
    <w:p w14:paraId="068DA86A">
      <w:pPr>
        <w:shd w:val="clear"/>
        <w:spacing w:line="360" w:lineRule="exact"/>
        <w:jc w:val="center"/>
        <w:rPr>
          <w:rFonts w:hint="eastAsia" w:ascii="宋体" w:hAnsi="宋体" w:eastAsia="宋体" w:cs="宋体"/>
          <w:b/>
          <w:color w:val="auto"/>
          <w:sz w:val="36"/>
          <w:highlight w:val="none"/>
        </w:rPr>
      </w:pPr>
    </w:p>
    <w:p w14:paraId="41AC21CE">
      <w:pPr>
        <w:shd w:val="clear"/>
        <w:spacing w:line="360" w:lineRule="auto"/>
        <w:jc w:val="center"/>
        <w:rPr>
          <w:rFonts w:hint="eastAsia" w:ascii="宋体" w:hAnsi="宋体" w:eastAsia="宋体" w:cs="宋体"/>
          <w:b/>
          <w:color w:val="auto"/>
          <w:sz w:val="44"/>
          <w:szCs w:val="32"/>
          <w:highlight w:val="none"/>
        </w:rPr>
      </w:pPr>
      <w:r>
        <w:rPr>
          <w:rFonts w:hint="eastAsia" w:ascii="宋体" w:hAnsi="宋体" w:eastAsia="宋体" w:cs="宋体"/>
          <w:b/>
          <w:color w:val="auto"/>
          <w:sz w:val="44"/>
          <w:szCs w:val="32"/>
          <w:highlight w:val="none"/>
        </w:rPr>
        <w:t>目  录</w:t>
      </w:r>
    </w:p>
    <w:p w14:paraId="0421470E">
      <w:pPr>
        <w:shd w:val="clear"/>
        <w:spacing w:line="720" w:lineRule="auto"/>
        <w:jc w:val="center"/>
        <w:rPr>
          <w:rFonts w:hint="eastAsia" w:ascii="宋体" w:hAnsi="宋体" w:eastAsia="宋体" w:cs="宋体"/>
          <w:b/>
          <w:color w:val="auto"/>
          <w:sz w:val="36"/>
          <w:highlight w:val="none"/>
        </w:rPr>
      </w:pPr>
    </w:p>
    <w:p w14:paraId="2CC8D2ED">
      <w:pPr>
        <w:pStyle w:val="25"/>
        <w:shd w:val="clear"/>
        <w:tabs>
          <w:tab w:val="right" w:leader="dot" w:pos="9072"/>
        </w:tabs>
        <w:spacing w:line="70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TOC \o "1-3" \h \z \u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"_Toc17328" </w:instrText>
      </w:r>
      <w:r>
        <w:rPr>
          <w:rFonts w:hint="eastAsia" w:ascii="宋体" w:hAnsi="宋体" w:eastAsia="宋体" w:cs="宋体"/>
          <w:color w:val="auto"/>
          <w:highlight w:val="none"/>
        </w:rPr>
        <w:fldChar w:fldCharType="separate"/>
      </w:r>
      <w:r>
        <w:rPr>
          <w:rFonts w:hint="eastAsia" w:ascii="宋体" w:hAnsi="宋体" w:eastAsia="宋体" w:cs="宋体"/>
          <w:bCs/>
          <w:color w:val="auto"/>
          <w:sz w:val="30"/>
          <w:szCs w:val="30"/>
          <w:highlight w:val="none"/>
        </w:rPr>
        <w:t>第一章 招标公告</w:t>
      </w:r>
      <w:r>
        <w:rPr>
          <w:rFonts w:hint="eastAsia" w:ascii="宋体" w:hAnsi="宋体" w:eastAsia="宋体" w:cs="宋体"/>
          <w:color w:val="auto"/>
          <w:sz w:val="30"/>
          <w:szCs w:val="30"/>
          <w:highlight w:val="none"/>
        </w:rPr>
        <w:tab/>
      </w:r>
      <w:r>
        <w:rPr>
          <w:rFonts w:hint="eastAsia" w:ascii="宋体" w:hAnsi="宋体" w:cs="宋体"/>
          <w:color w:val="auto"/>
          <w:sz w:val="30"/>
          <w:szCs w:val="30"/>
          <w:highlight w:val="none"/>
          <w:lang w:val="en-US" w:eastAsia="zh-CN"/>
        </w:rPr>
        <w:t>1</w:t>
      </w:r>
      <w:r>
        <w:rPr>
          <w:rFonts w:hint="eastAsia" w:ascii="宋体" w:hAnsi="宋体" w:eastAsia="宋体" w:cs="宋体"/>
          <w:color w:val="auto"/>
          <w:sz w:val="30"/>
          <w:szCs w:val="30"/>
          <w:highlight w:val="none"/>
        </w:rPr>
        <w:fldChar w:fldCharType="end"/>
      </w:r>
    </w:p>
    <w:p w14:paraId="25E80064">
      <w:pPr>
        <w:pStyle w:val="25"/>
        <w:shd w:val="clear"/>
        <w:tabs>
          <w:tab w:val="right" w:leader="dot" w:pos="9072"/>
        </w:tabs>
        <w:spacing w:line="700" w:lineRule="exact"/>
        <w:rPr>
          <w:rFonts w:hint="eastAsia" w:ascii="宋体" w:hAnsi="宋体" w:eastAsia="宋体" w:cs="宋体"/>
          <w:color w:val="auto"/>
          <w:sz w:val="30"/>
          <w:szCs w:val="3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"_Toc20364" </w:instrText>
      </w:r>
      <w:r>
        <w:rPr>
          <w:rFonts w:hint="eastAsia" w:ascii="宋体" w:hAnsi="宋体" w:eastAsia="宋体" w:cs="宋体"/>
          <w:color w:val="auto"/>
          <w:highlight w:val="none"/>
        </w:rPr>
        <w:fldChar w:fldCharType="separate"/>
      </w:r>
      <w:r>
        <w:rPr>
          <w:rFonts w:hint="eastAsia" w:ascii="宋体" w:hAnsi="宋体" w:eastAsia="宋体" w:cs="宋体"/>
          <w:color w:val="auto"/>
          <w:sz w:val="30"/>
          <w:szCs w:val="30"/>
          <w:highlight w:val="none"/>
        </w:rPr>
        <w:t>第二章 投标人须知</w:t>
      </w:r>
      <w:r>
        <w:rPr>
          <w:rFonts w:hint="eastAsia" w:ascii="宋体" w:hAnsi="宋体" w:eastAsia="宋体" w:cs="宋体"/>
          <w:color w:val="auto"/>
          <w:sz w:val="30"/>
          <w:szCs w:val="30"/>
          <w:highlight w:val="none"/>
        </w:rPr>
        <w:tab/>
      </w:r>
      <w:r>
        <w:rPr>
          <w:rFonts w:hint="eastAsia" w:ascii="宋体" w:hAnsi="宋体" w:cs="宋体"/>
          <w:color w:val="auto"/>
          <w:sz w:val="30"/>
          <w:szCs w:val="30"/>
          <w:highlight w:val="none"/>
          <w:lang w:val="en-US" w:eastAsia="zh-CN"/>
        </w:rPr>
        <w:t>6</w:t>
      </w:r>
      <w:r>
        <w:rPr>
          <w:rFonts w:hint="eastAsia" w:ascii="宋体" w:hAnsi="宋体" w:eastAsia="宋体" w:cs="宋体"/>
          <w:color w:val="auto"/>
          <w:sz w:val="30"/>
          <w:szCs w:val="30"/>
          <w:highlight w:val="none"/>
        </w:rPr>
        <w:fldChar w:fldCharType="end"/>
      </w:r>
    </w:p>
    <w:p w14:paraId="01A8707E">
      <w:pPr>
        <w:pStyle w:val="25"/>
        <w:shd w:val="clear"/>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"_Toc28871" </w:instrText>
      </w:r>
      <w:r>
        <w:rPr>
          <w:rFonts w:hint="eastAsia" w:ascii="宋体" w:hAnsi="宋体" w:eastAsia="宋体" w:cs="宋体"/>
          <w:color w:val="auto"/>
          <w:highlight w:val="none"/>
        </w:rPr>
        <w:fldChar w:fldCharType="separate"/>
      </w:r>
      <w:r>
        <w:rPr>
          <w:rFonts w:hint="eastAsia" w:ascii="宋体" w:hAnsi="宋体" w:eastAsia="宋体" w:cs="宋体"/>
          <w:color w:val="auto"/>
          <w:sz w:val="30"/>
          <w:szCs w:val="30"/>
          <w:highlight w:val="none"/>
        </w:rPr>
        <w:t>第三章 评标办法（综合评分法）</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t>2</w:t>
      </w:r>
      <w:r>
        <w:rPr>
          <w:rFonts w:hint="eastAsia" w:ascii="宋体" w:hAnsi="宋体" w:eastAsia="宋体" w:cs="宋体"/>
          <w:color w:val="auto"/>
          <w:sz w:val="30"/>
          <w:szCs w:val="30"/>
          <w:highlight w:val="none"/>
        </w:rPr>
        <w:fldChar w:fldCharType="end"/>
      </w:r>
      <w:r>
        <w:rPr>
          <w:rFonts w:hint="eastAsia" w:ascii="宋体" w:hAnsi="宋体" w:cs="宋体"/>
          <w:color w:val="auto"/>
          <w:sz w:val="30"/>
          <w:szCs w:val="30"/>
          <w:highlight w:val="none"/>
          <w:lang w:val="en-US" w:eastAsia="zh-CN"/>
        </w:rPr>
        <w:t>4</w:t>
      </w:r>
    </w:p>
    <w:p w14:paraId="7A0DB756">
      <w:pPr>
        <w:pStyle w:val="25"/>
        <w:shd w:val="clear"/>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"_Toc28444" </w:instrText>
      </w:r>
      <w:r>
        <w:rPr>
          <w:rFonts w:hint="eastAsia" w:ascii="宋体" w:hAnsi="宋体" w:eastAsia="宋体" w:cs="宋体"/>
          <w:color w:val="auto"/>
          <w:highlight w:val="none"/>
        </w:rPr>
        <w:fldChar w:fldCharType="separate"/>
      </w:r>
      <w:r>
        <w:rPr>
          <w:rFonts w:hint="eastAsia" w:ascii="宋体" w:hAnsi="宋体" w:eastAsia="宋体" w:cs="宋体"/>
          <w:color w:val="auto"/>
          <w:sz w:val="30"/>
          <w:szCs w:val="30"/>
          <w:highlight w:val="none"/>
        </w:rPr>
        <w:t>第四章 采购内容及技术要求</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lang w:val="en-US" w:eastAsia="zh-CN"/>
        </w:rPr>
        <w:t>3</w:t>
      </w:r>
      <w:r>
        <w:rPr>
          <w:rFonts w:hint="eastAsia" w:ascii="宋体" w:hAnsi="宋体" w:cs="宋体"/>
          <w:color w:val="auto"/>
          <w:sz w:val="30"/>
          <w:szCs w:val="30"/>
          <w:highlight w:val="none"/>
          <w:lang w:val="en-US" w:eastAsia="zh-CN"/>
        </w:rPr>
        <w:t>4</w:t>
      </w:r>
    </w:p>
    <w:p w14:paraId="6817492C">
      <w:pPr>
        <w:pStyle w:val="25"/>
        <w:shd w:val="clear"/>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"_Toc22340" </w:instrText>
      </w:r>
      <w:r>
        <w:rPr>
          <w:rFonts w:hint="eastAsia" w:ascii="宋体" w:hAnsi="宋体" w:eastAsia="宋体" w:cs="宋体"/>
          <w:color w:val="auto"/>
          <w:highlight w:val="none"/>
        </w:rPr>
        <w:fldChar w:fldCharType="separate"/>
      </w:r>
      <w:r>
        <w:rPr>
          <w:rFonts w:hint="eastAsia" w:ascii="宋体" w:hAnsi="宋体" w:eastAsia="宋体" w:cs="宋体"/>
          <w:color w:val="auto"/>
          <w:sz w:val="30"/>
          <w:szCs w:val="30"/>
          <w:highlight w:val="none"/>
        </w:rPr>
        <w:t>第五章 合同条款及格式</w:t>
      </w:r>
      <w:r>
        <w:rPr>
          <w:rFonts w:hint="eastAsia" w:ascii="宋体" w:hAnsi="宋体" w:eastAsia="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eastAsia="宋体" w:cs="宋体"/>
          <w:color w:val="auto"/>
          <w:sz w:val="30"/>
          <w:szCs w:val="30"/>
          <w:highlight w:val="none"/>
        </w:rPr>
        <w:fldChar w:fldCharType="end"/>
      </w:r>
      <w:r>
        <w:rPr>
          <w:rFonts w:hint="eastAsia" w:ascii="宋体" w:hAnsi="宋体" w:cs="宋体"/>
          <w:color w:val="auto"/>
          <w:sz w:val="30"/>
          <w:szCs w:val="30"/>
          <w:highlight w:val="none"/>
          <w:lang w:val="en-US" w:eastAsia="zh-CN"/>
        </w:rPr>
        <w:t>8</w:t>
      </w:r>
    </w:p>
    <w:p w14:paraId="7D657701">
      <w:pPr>
        <w:pStyle w:val="25"/>
        <w:shd w:val="clear"/>
        <w:tabs>
          <w:tab w:val="right" w:leader="dot" w:pos="9072"/>
        </w:tabs>
        <w:spacing w:line="700" w:lineRule="exact"/>
        <w:rPr>
          <w:rFonts w:hint="default" w:ascii="宋体" w:hAnsi="宋体" w:eastAsia="宋体" w:cs="宋体"/>
          <w:color w:val="auto"/>
          <w:sz w:val="30"/>
          <w:szCs w:val="30"/>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"_Toc8628" </w:instrText>
      </w:r>
      <w:r>
        <w:rPr>
          <w:rFonts w:hint="eastAsia" w:ascii="宋体" w:hAnsi="宋体" w:eastAsia="宋体" w:cs="宋体"/>
          <w:color w:val="auto"/>
          <w:highlight w:val="none"/>
        </w:rPr>
        <w:fldChar w:fldCharType="separate"/>
      </w:r>
      <w:r>
        <w:rPr>
          <w:rFonts w:hint="eastAsia" w:ascii="宋体" w:hAnsi="宋体" w:eastAsia="宋体" w:cs="宋体"/>
          <w:color w:val="auto"/>
          <w:sz w:val="30"/>
          <w:szCs w:val="30"/>
          <w:highlight w:val="none"/>
        </w:rPr>
        <w:t>第六章 投标文件格式</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end"/>
      </w:r>
      <w:r>
        <w:rPr>
          <w:rFonts w:hint="eastAsia" w:ascii="宋体" w:hAnsi="宋体" w:cs="宋体"/>
          <w:color w:val="auto"/>
          <w:sz w:val="30"/>
          <w:szCs w:val="30"/>
          <w:highlight w:val="none"/>
          <w:lang w:val="en-US" w:eastAsia="zh-CN"/>
        </w:rPr>
        <w:t>45</w:t>
      </w:r>
    </w:p>
    <w:p w14:paraId="026D94FD">
      <w:pPr>
        <w:pStyle w:val="25"/>
        <w:shd w:val="clear"/>
        <w:tabs>
          <w:tab w:val="right" w:leader="dot" w:pos="9072"/>
        </w:tabs>
        <w:spacing w:line="700" w:lineRule="exact"/>
        <w:rPr>
          <w:rFonts w:hint="default"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rPr>
        <w:t xml:space="preserve">第七章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"_Toc25631" </w:instrText>
      </w:r>
      <w:r>
        <w:rPr>
          <w:rFonts w:hint="eastAsia" w:ascii="宋体" w:hAnsi="宋体" w:eastAsia="宋体" w:cs="宋体"/>
          <w:color w:val="auto"/>
          <w:highlight w:val="none"/>
        </w:rPr>
        <w:fldChar w:fldCharType="separate"/>
      </w:r>
      <w:r>
        <w:rPr>
          <w:rFonts w:hint="eastAsia" w:ascii="宋体" w:hAnsi="宋体" w:eastAsia="宋体" w:cs="宋体"/>
          <w:color w:val="auto"/>
          <w:sz w:val="30"/>
          <w:szCs w:val="30"/>
          <w:highlight w:val="none"/>
        </w:rPr>
        <w:t>招标人、招标代理机构对本招标文件的确认</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end"/>
      </w:r>
      <w:r>
        <w:rPr>
          <w:rFonts w:hint="eastAsia" w:ascii="宋体" w:hAnsi="宋体" w:cs="宋体"/>
          <w:color w:val="auto"/>
          <w:sz w:val="30"/>
          <w:szCs w:val="30"/>
          <w:highlight w:val="none"/>
          <w:lang w:val="en-US" w:eastAsia="zh-CN"/>
        </w:rPr>
        <w:t>61</w:t>
      </w:r>
    </w:p>
    <w:p w14:paraId="29FB8797">
      <w:pPr>
        <w:pStyle w:val="25"/>
        <w:shd w:val="clear"/>
        <w:tabs>
          <w:tab w:val="right" w:leader="dot" w:pos="8296"/>
        </w:tabs>
        <w:adjustRightInd w:val="0"/>
        <w:snapToGrid w:val="0"/>
        <w:spacing w:line="700" w:lineRule="exact"/>
        <w:ind w:left="150" w:hanging="150" w:hangingChars="50"/>
        <w:jc w:val="center"/>
        <w:rPr>
          <w:rFonts w:hint="eastAsia" w:ascii="宋体" w:hAnsi="宋体" w:eastAsia="宋体" w:cs="宋体"/>
          <w:b/>
          <w:bCs/>
          <w:color w:val="auto"/>
          <w:sz w:val="30"/>
          <w:szCs w:val="30"/>
          <w:highlight w:val="none"/>
        </w:rPr>
        <w:sectPr>
          <w:headerReference r:id="rId3" w:type="default"/>
          <w:footerReference r:id="rId4" w:type="default"/>
          <w:pgSz w:w="11906" w:h="16838"/>
          <w:pgMar w:top="1361" w:right="1361" w:bottom="1361" w:left="1361" w:header="851" w:footer="992" w:gutter="0"/>
          <w:pgNumType w:start="1"/>
          <w:cols w:space="0" w:num="1"/>
          <w:rtlGutter w:val="0"/>
          <w:docGrid w:type="lines" w:linePitch="312" w:charSpace="0"/>
        </w:sectPr>
      </w:pPr>
      <w:r>
        <w:rPr>
          <w:rFonts w:hint="eastAsia" w:ascii="宋体" w:hAnsi="宋体" w:eastAsia="宋体" w:cs="宋体"/>
          <w:color w:val="auto"/>
          <w:sz w:val="30"/>
          <w:szCs w:val="30"/>
          <w:highlight w:val="none"/>
        </w:rPr>
        <w:fldChar w:fldCharType="end"/>
      </w:r>
    </w:p>
    <w:p w14:paraId="30DB0F1A">
      <w:pPr>
        <w:pStyle w:val="3"/>
        <w:shd w:val="clear"/>
        <w:tabs>
          <w:tab w:val="left" w:pos="0"/>
          <w:tab w:val="left" w:pos="3165"/>
          <w:tab w:val="center" w:pos="4153"/>
        </w:tabs>
        <w:autoSpaceDE w:val="0"/>
        <w:autoSpaceDN w:val="0"/>
        <w:adjustRightInd w:val="0"/>
        <w:spacing w:before="0" w:after="0" w:line="240" w:lineRule="auto"/>
        <w:rPr>
          <w:rFonts w:hint="eastAsia" w:ascii="宋体" w:hAnsi="宋体" w:eastAsia="宋体" w:cs="宋体"/>
          <w:b w:val="0"/>
          <w:color w:val="auto"/>
          <w:sz w:val="28"/>
          <w:szCs w:val="28"/>
          <w:highlight w:val="none"/>
        </w:rPr>
      </w:pPr>
      <w:bookmarkStart w:id="1" w:name="_Toc17328"/>
      <w:r>
        <w:rPr>
          <w:rFonts w:hint="eastAsia" w:ascii="宋体" w:hAnsi="宋体" w:eastAsia="宋体" w:cs="宋体"/>
          <w:color w:val="auto"/>
          <w:highlight w:val="none"/>
        </w:rPr>
        <w:t xml:space="preserve">第一章 </w:t>
      </w:r>
      <w:bookmarkEnd w:id="1"/>
      <w:r>
        <w:rPr>
          <w:rFonts w:hint="eastAsia" w:ascii="宋体" w:hAnsi="宋体" w:eastAsia="宋体" w:cs="宋体"/>
          <w:color w:val="auto"/>
          <w:highlight w:val="none"/>
        </w:rPr>
        <w:t>招标公告</w:t>
      </w:r>
      <w:bookmarkStart w:id="2" w:name="_Toc28359079"/>
      <w:bookmarkStart w:id="3" w:name="_Toc35393621"/>
      <w:bookmarkStart w:id="4" w:name="_Toc28359002"/>
      <w:bookmarkStart w:id="5" w:name="_Toc35393790"/>
      <w:bookmarkStart w:id="6" w:name="_Hlk24379207"/>
    </w:p>
    <w:p w14:paraId="5E63901A">
      <w:pPr>
        <w:keepNext/>
        <w:keepLines/>
        <w:pageBreakBefore w:val="0"/>
        <w:widowControl w:val="0"/>
        <w:shd w:val="clear"/>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243A01A7">
      <w:pPr>
        <w:keepNext/>
        <w:keepLines/>
        <w:pageBreakBefore w:val="0"/>
        <w:widowControl w:val="0"/>
        <w:shd w:val="clear"/>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明巢、来六、滁合高速“手机+”无卡便捷通行升级改造项目</w:t>
      </w:r>
      <w:r>
        <w:rPr>
          <w:rFonts w:hint="eastAsia" w:ascii="宋体" w:hAnsi="宋体" w:eastAsia="宋体" w:cs="宋体"/>
          <w:color w:val="auto"/>
          <w:sz w:val="24"/>
          <w:szCs w:val="24"/>
          <w:highlight w:val="none"/>
        </w:rPr>
        <w:t>招标项目的潜在投标人应在</w:t>
      </w:r>
      <w:r>
        <w:rPr>
          <w:rFonts w:hint="eastAsia" w:ascii="宋体" w:hAnsi="宋体" w:eastAsia="宋体" w:cs="宋体"/>
          <w:color w:val="auto"/>
          <w:sz w:val="24"/>
          <w:szCs w:val="24"/>
          <w:highlight w:val="none"/>
          <w:u w:val="single"/>
        </w:rPr>
        <w:t>滁州市公共资源交易中心网（http：//ggzy.chuzhou.gov.cn/）</w:t>
      </w:r>
      <w:r>
        <w:rPr>
          <w:rFonts w:hint="eastAsia" w:ascii="宋体" w:hAnsi="宋体" w:eastAsia="宋体" w:cs="宋体"/>
          <w:color w:val="auto"/>
          <w:sz w:val="24"/>
          <w:szCs w:val="24"/>
          <w:highlight w:val="none"/>
        </w:rPr>
        <w:t>获取招标文件，并于</w:t>
      </w:r>
      <w:r>
        <w:rPr>
          <w:rFonts w:hint="eastAsia" w:ascii="宋体" w:hAnsi="宋体" w:eastAsia="宋体" w:cs="宋体"/>
          <w:color w:val="auto"/>
          <w:sz w:val="24"/>
          <w:szCs w:val="24"/>
          <w:highlight w:val="none"/>
          <w:u w:val="single"/>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点</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0分</w:t>
      </w:r>
      <w:r>
        <w:rPr>
          <w:rFonts w:hint="eastAsia" w:ascii="宋体" w:hAnsi="宋体" w:eastAsia="宋体" w:cs="宋体"/>
          <w:color w:val="auto"/>
          <w:sz w:val="24"/>
          <w:szCs w:val="24"/>
          <w:highlight w:val="none"/>
        </w:rPr>
        <w:t>（北京时间）前递交投标文件。</w:t>
      </w:r>
    </w:p>
    <w:p w14:paraId="66A92A0A">
      <w:pPr>
        <w:keepNext/>
        <w:keepLines/>
        <w:pageBreakBefore w:val="0"/>
        <w:widowControl w:val="0"/>
        <w:kinsoku/>
        <w:wordWrap w:val="0"/>
        <w:overflowPunct/>
        <w:topLinePunct w:val="0"/>
        <w:autoSpaceDE/>
        <w:autoSpaceDN/>
        <w:bidi w:val="0"/>
        <w:adjustRightInd/>
        <w:snapToGrid/>
        <w:spacing w:before="157" w:beforeLines="50" w:after="157" w:afterLines="50" w:line="500" w:lineRule="exact"/>
        <w:textAlignment w:val="auto"/>
        <w:outlineLvl w:val="1"/>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3C953EA8">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项目编号：czsjqt202608-015</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23E7749">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项目名称：</w:t>
      </w:r>
      <w:bookmarkEnd w:id="6"/>
      <w:r>
        <w:rPr>
          <w:rFonts w:hint="eastAsia" w:ascii="宋体" w:hAnsi="宋体" w:eastAsia="宋体" w:cs="宋体"/>
          <w:color w:val="auto"/>
          <w:sz w:val="24"/>
          <w:szCs w:val="24"/>
          <w:highlight w:val="none"/>
          <w:lang w:val="en-US" w:eastAsia="zh-CN"/>
        </w:rPr>
        <w:t>明巢、来六、滁合高速“手机+”无卡便捷通行升级改造项目</w:t>
      </w:r>
    </w:p>
    <w:p w14:paraId="3A3DF840">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6</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0000元</w:t>
      </w:r>
    </w:p>
    <w:p w14:paraId="2B5F6F52">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总价最高投标限价6</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0000元，综合单价最高投标限价详见</w:t>
      </w:r>
      <w:r>
        <w:rPr>
          <w:rFonts w:hint="eastAsia" w:ascii="宋体" w:hAnsi="宋体" w:cs="宋体"/>
          <w:color w:val="auto"/>
          <w:sz w:val="24"/>
          <w:szCs w:val="24"/>
          <w:highlight w:val="none"/>
          <w:lang w:val="en-US" w:eastAsia="zh-CN"/>
        </w:rPr>
        <w:t>分项报价清单</w:t>
      </w:r>
      <w:r>
        <w:rPr>
          <w:rFonts w:hint="eastAsia" w:ascii="宋体" w:hAnsi="宋体" w:eastAsia="宋体" w:cs="宋体"/>
          <w:color w:val="auto"/>
          <w:sz w:val="24"/>
          <w:szCs w:val="24"/>
          <w:highlight w:val="none"/>
          <w:lang w:val="en-US" w:eastAsia="zh-CN"/>
        </w:rPr>
        <w:t>。投标人报价不得高于最高投标限价，否则按无</w:t>
      </w:r>
      <w:r>
        <w:rPr>
          <w:rFonts w:hint="eastAsia" w:ascii="宋体" w:hAnsi="宋体" w:cs="宋体"/>
          <w:color w:val="auto"/>
          <w:sz w:val="24"/>
          <w:szCs w:val="24"/>
          <w:highlight w:val="none"/>
          <w:lang w:val="en-US" w:eastAsia="zh-CN"/>
        </w:rPr>
        <w:t>效投</w:t>
      </w:r>
      <w:r>
        <w:rPr>
          <w:rFonts w:hint="eastAsia" w:ascii="宋体" w:hAnsi="宋体" w:eastAsia="宋体" w:cs="宋体"/>
          <w:color w:val="auto"/>
          <w:sz w:val="24"/>
          <w:szCs w:val="24"/>
          <w:highlight w:val="none"/>
          <w:lang w:val="en-US" w:eastAsia="zh-CN"/>
        </w:rPr>
        <w:t>标处理。</w:t>
      </w:r>
    </w:p>
    <w:p w14:paraId="2A7EAB57">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lang w:val="en-US" w:eastAsia="zh-CN"/>
        </w:rPr>
        <w:t>详见《</w:t>
      </w:r>
      <w:r>
        <w:rPr>
          <w:rFonts w:hint="eastAsia" w:ascii="宋体" w:hAnsi="宋体" w:cs="宋体"/>
          <w:color w:val="auto"/>
          <w:sz w:val="24"/>
          <w:szCs w:val="24"/>
          <w:highlight w:val="none"/>
          <w:lang w:val="en-US" w:eastAsia="zh-CN"/>
        </w:rPr>
        <w:t>采购内容及技术要求</w:t>
      </w:r>
      <w:r>
        <w:rPr>
          <w:rFonts w:hint="eastAsia" w:ascii="宋体" w:hAnsi="宋体" w:eastAsia="宋体" w:cs="宋体"/>
          <w:color w:val="auto"/>
          <w:sz w:val="24"/>
          <w:szCs w:val="24"/>
          <w:highlight w:val="none"/>
          <w:lang w:val="en-US" w:eastAsia="zh-CN"/>
        </w:rPr>
        <w:t>》和合同条款内容</w:t>
      </w:r>
      <w:r>
        <w:rPr>
          <w:rFonts w:hint="eastAsia" w:ascii="宋体" w:hAnsi="宋体" w:cs="宋体"/>
          <w:color w:val="auto"/>
          <w:sz w:val="24"/>
          <w:szCs w:val="24"/>
          <w:highlight w:val="none"/>
          <w:lang w:val="en-US" w:eastAsia="zh-CN"/>
        </w:rPr>
        <w:t>。</w:t>
      </w:r>
    </w:p>
    <w:p w14:paraId="030EF2A5">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合同履行期限：</w:t>
      </w:r>
      <w:r>
        <w:rPr>
          <w:rFonts w:hint="eastAsia" w:ascii="宋体" w:hAnsi="宋体" w:cs="宋体"/>
          <w:color w:val="auto"/>
          <w:sz w:val="24"/>
          <w:szCs w:val="24"/>
          <w:highlight w:val="none"/>
          <w:lang w:val="en-US" w:eastAsia="zh-CN"/>
        </w:rPr>
        <w:t>2026年9月底前完成出入口站级系统软硬件改造，具备开展相关业务处理能力和测试条件；</w:t>
      </w:r>
      <w:r>
        <w:rPr>
          <w:rFonts w:hint="eastAsia" w:ascii="宋体" w:hAnsi="宋体" w:eastAsia="宋体" w:cs="宋体"/>
          <w:color w:val="auto"/>
          <w:sz w:val="24"/>
          <w:szCs w:val="24"/>
          <w:highlight w:val="none"/>
          <w:lang w:val="en-US" w:eastAsia="zh-CN"/>
        </w:rPr>
        <w:t>2026年</w:t>
      </w:r>
      <w:r>
        <w:rPr>
          <w:rFonts w:hint="eastAsia" w:ascii="宋体" w:hAnsi="宋体" w:eastAsia="宋体" w:cs="宋体"/>
          <w:color w:val="auto"/>
          <w:sz w:val="24"/>
          <w:szCs w:val="24"/>
          <w:highlight w:val="none"/>
        </w:rPr>
        <w:t>10月底完成省内联网调试；</w:t>
      </w:r>
      <w:r>
        <w:rPr>
          <w:rFonts w:hint="eastAsia" w:ascii="宋体" w:hAnsi="宋体" w:eastAsia="宋体" w:cs="宋体"/>
          <w:color w:val="auto"/>
          <w:sz w:val="24"/>
          <w:szCs w:val="24"/>
          <w:highlight w:val="none"/>
          <w:lang w:val="en-US" w:eastAsia="zh-CN"/>
        </w:rPr>
        <w:t>2026年</w:t>
      </w:r>
      <w:r>
        <w:rPr>
          <w:rFonts w:hint="eastAsia" w:ascii="宋体" w:hAnsi="宋体" w:eastAsia="宋体" w:cs="宋体"/>
          <w:color w:val="auto"/>
          <w:sz w:val="24"/>
          <w:szCs w:val="24"/>
          <w:highlight w:val="none"/>
        </w:rPr>
        <w:t>11月底具备全国并网测试能力，开展相关培训；</w:t>
      </w:r>
      <w:r>
        <w:rPr>
          <w:rFonts w:hint="eastAsia" w:ascii="宋体" w:hAnsi="宋体" w:eastAsia="宋体" w:cs="宋体"/>
          <w:color w:val="auto"/>
          <w:sz w:val="24"/>
          <w:szCs w:val="24"/>
          <w:highlight w:val="none"/>
          <w:lang w:val="en-US" w:eastAsia="zh-CN"/>
        </w:rPr>
        <w:t>2026年</w:t>
      </w:r>
      <w:r>
        <w:rPr>
          <w:rFonts w:hint="eastAsia" w:ascii="宋体" w:hAnsi="宋体" w:eastAsia="宋体" w:cs="宋体"/>
          <w:color w:val="auto"/>
          <w:sz w:val="24"/>
          <w:szCs w:val="24"/>
          <w:highlight w:val="none"/>
        </w:rPr>
        <w:t>12月底配合部级层面测试评估，正式上线运行。</w:t>
      </w:r>
    </w:p>
    <w:p w14:paraId="4947B9AF">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本项目不接受联合体投标。</w:t>
      </w:r>
    </w:p>
    <w:p w14:paraId="45607310">
      <w:pPr>
        <w:keepNext/>
        <w:keepLines/>
        <w:pageBreakBefore w:val="0"/>
        <w:widowControl w:val="0"/>
        <w:kinsoku/>
        <w:wordWrap w:val="0"/>
        <w:overflowPunct/>
        <w:topLinePunct w:val="0"/>
        <w:autoSpaceDE/>
        <w:autoSpaceDN/>
        <w:bidi w:val="0"/>
        <w:adjustRightInd/>
        <w:snapToGrid/>
        <w:spacing w:before="157" w:beforeLines="50" w:after="157" w:afterLines="50" w:line="500" w:lineRule="exact"/>
        <w:textAlignment w:val="auto"/>
        <w:outlineLvl w:val="1"/>
        <w:rPr>
          <w:rFonts w:hint="eastAsia" w:ascii="黑体" w:hAnsi="黑体" w:eastAsia="黑体" w:cs="黑体"/>
          <w:color w:val="auto"/>
          <w:sz w:val="28"/>
          <w:szCs w:val="28"/>
          <w:highlight w:val="none"/>
        </w:rPr>
      </w:pPr>
      <w:bookmarkStart w:id="7" w:name="_Toc35393622"/>
      <w:bookmarkStart w:id="8" w:name="_Toc35393791"/>
      <w:bookmarkStart w:id="9" w:name="_Toc28359080"/>
      <w:bookmarkStart w:id="10" w:name="_Toc28359003"/>
      <w:r>
        <w:rPr>
          <w:rFonts w:hint="eastAsia" w:ascii="黑体" w:hAnsi="黑体" w:eastAsia="黑体" w:cs="黑体"/>
          <w:color w:val="auto"/>
          <w:sz w:val="28"/>
          <w:szCs w:val="28"/>
          <w:highlight w:val="none"/>
        </w:rPr>
        <w:t>二、申请人的资格要求</w:t>
      </w:r>
      <w:bookmarkEnd w:id="7"/>
      <w:bookmarkEnd w:id="8"/>
      <w:bookmarkEnd w:id="9"/>
      <w:bookmarkEnd w:id="10"/>
    </w:p>
    <w:p w14:paraId="226F8D75">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val="en-US" w:eastAsia="zh-CN"/>
        </w:rPr>
      </w:pPr>
      <w:bookmarkStart w:id="11" w:name="_Toc35393623"/>
      <w:bookmarkStart w:id="12" w:name="_Toc28359004"/>
      <w:bookmarkStart w:id="13" w:name="_Toc28359081"/>
      <w:bookmarkStart w:id="14" w:name="_Toc35393792"/>
      <w:r>
        <w:rPr>
          <w:rFonts w:hint="eastAsia" w:ascii="宋体" w:hAnsi="宋体" w:eastAsia="宋体" w:cs="宋体"/>
          <w:color w:val="auto"/>
          <w:sz w:val="24"/>
          <w:szCs w:val="24"/>
          <w:highlight w:val="none"/>
          <w:lang w:val="en-US" w:eastAsia="zh-CN"/>
        </w:rPr>
        <w:t>1.投标人资格要求：具备独立承担民事责任能力同时具有有效的公路交通工程专业承包一级资质（公路机电工程分项）；</w:t>
      </w:r>
    </w:p>
    <w:p w14:paraId="656A584D">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信誉要求：投标人不得存在以下情形：</w:t>
      </w:r>
    </w:p>
    <w:p w14:paraId="34F6094B">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①被列入“信用中国”网站（www.creditchina.gov.cn）“失信被执行人”的</w:t>
      </w:r>
      <w:r>
        <w:rPr>
          <w:rFonts w:hint="eastAsia" w:ascii="宋体" w:hAnsi="宋体" w:eastAsia="宋体" w:cs="宋体"/>
          <w:color w:val="auto"/>
          <w:sz w:val="24"/>
          <w:szCs w:val="24"/>
          <w:highlight w:val="none"/>
          <w:lang w:eastAsia="zh-CN"/>
        </w:rPr>
        <w:t>；</w:t>
      </w:r>
    </w:p>
    <w:p w14:paraId="79489EA5">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②被列入“信用中国”网站（www.creditchina.gov.cn）“重大税收违法失信主体”的；</w:t>
      </w:r>
    </w:p>
    <w:p w14:paraId="5728D006">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③被列入“信用中国”网站（www.creditchina.gov.cn）“拖欠农民工工资失信联合惩戒对象名单”的；</w:t>
      </w:r>
    </w:p>
    <w:p w14:paraId="6523CAEF">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④被列入“信用中国”网站（www.creditchina.gov.cn） “</w:t>
      </w:r>
      <w:r>
        <w:rPr>
          <w:rFonts w:hint="eastAsia" w:ascii="宋体" w:hAnsi="宋体" w:eastAsia="宋体" w:cs="宋体"/>
          <w:color w:val="auto"/>
          <w:sz w:val="24"/>
          <w:szCs w:val="24"/>
          <w:highlight w:val="none"/>
          <w:lang w:eastAsia="zh-CN"/>
        </w:rPr>
        <w:t>安全生产严重失信主体名单</w:t>
      </w:r>
      <w:r>
        <w:rPr>
          <w:rFonts w:hint="eastAsia" w:ascii="宋体" w:hAnsi="宋体" w:eastAsia="宋体" w:cs="宋体"/>
          <w:color w:val="auto"/>
          <w:sz w:val="24"/>
          <w:szCs w:val="24"/>
          <w:highlight w:val="none"/>
        </w:rPr>
        <w:t>”的；</w:t>
      </w:r>
    </w:p>
    <w:p w14:paraId="63BA84CE">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w:t>
      </w:r>
      <w:bookmarkStart w:id="15" w:name="OLE_LINK113"/>
      <w:bookmarkStart w:id="16" w:name="OLE_LINK114"/>
      <w:r>
        <w:rPr>
          <w:rFonts w:hint="eastAsia" w:ascii="宋体" w:hAnsi="宋体" w:eastAsia="宋体" w:cs="宋体"/>
          <w:color w:val="auto"/>
          <w:sz w:val="24"/>
          <w:szCs w:val="24"/>
          <w:highlight w:val="none"/>
        </w:rPr>
        <w:t>被列入国家企业信用信息公示系统网站（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"http://www.gsxt.gov.cn）查询"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www.gsxt.gov.cn）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“严重违法失信名单”的</w:t>
      </w:r>
      <w:bookmarkEnd w:id="15"/>
      <w:bookmarkEnd w:id="16"/>
      <w:r>
        <w:rPr>
          <w:rFonts w:hint="eastAsia" w:ascii="宋体" w:hAnsi="宋体" w:eastAsia="宋体" w:cs="宋体"/>
          <w:color w:val="auto"/>
          <w:sz w:val="24"/>
          <w:szCs w:val="24"/>
          <w:highlight w:val="none"/>
        </w:rPr>
        <w:t>；</w:t>
      </w:r>
    </w:p>
    <w:p w14:paraId="7C1A02BA">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.投标人所属分公司、办事处等分支机构存在第</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款信誉要求①-⑤项情形之一的，接受投标人参加本项目。</w:t>
      </w:r>
    </w:p>
    <w:p w14:paraId="355EE675">
      <w:pPr>
        <w:keepNext/>
        <w:keepLines/>
        <w:pageBreakBefore w:val="0"/>
        <w:widowControl w:val="0"/>
        <w:kinsoku/>
        <w:wordWrap w:val="0"/>
        <w:overflowPunct/>
        <w:topLinePunct w:val="0"/>
        <w:autoSpaceDE/>
        <w:autoSpaceDN/>
        <w:bidi w:val="0"/>
        <w:adjustRightInd/>
        <w:snapToGrid/>
        <w:spacing w:before="157" w:beforeLines="50" w:after="157" w:afterLines="50" w:line="500" w:lineRule="exact"/>
        <w:textAlignment w:val="auto"/>
        <w:outlineLvl w:val="1"/>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0BFB42E8">
      <w:pPr>
        <w:keepNext w:val="0"/>
        <w:keepLines w:val="0"/>
        <w:pageBreakBefore w:val="0"/>
        <w:widowControl w:val="0"/>
        <w:shd w:val="clear"/>
        <w:kinsoku/>
        <w:wordWrap/>
        <w:overflowPunct/>
        <w:topLinePunct w:val="0"/>
        <w:autoSpaceDE/>
        <w:autoSpaceDN/>
        <w:bidi w:val="0"/>
        <w:adjustRightInd/>
        <w:snapToGrid/>
        <w:spacing w:line="500" w:lineRule="exact"/>
        <w:ind w:firstLine="539"/>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20</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xml:space="preserve"> 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日</w:t>
      </w:r>
      <w:r>
        <w:rPr>
          <w:rFonts w:hint="eastAsia" w:ascii="宋体" w:hAnsi="宋体" w:eastAsia="宋体" w:cs="宋体"/>
          <w:iCs/>
          <w:color w:val="auto"/>
          <w:sz w:val="24"/>
          <w:szCs w:val="24"/>
          <w:highlight w:val="none"/>
          <w:u w:val="single"/>
        </w:rPr>
        <w:t>（提供期限自本公告发布之日起不得少于5个工作日）</w:t>
      </w:r>
    </w:p>
    <w:p w14:paraId="1189E151">
      <w:pPr>
        <w:keepNext w:val="0"/>
        <w:keepLines w:val="0"/>
        <w:pageBreakBefore w:val="0"/>
        <w:widowControl w:val="0"/>
        <w:shd w:val="clear"/>
        <w:kinsoku/>
        <w:wordWrap/>
        <w:overflowPunct/>
        <w:topLinePunct w:val="0"/>
        <w:autoSpaceDE/>
        <w:autoSpaceDN/>
        <w:bidi w:val="0"/>
        <w:adjustRightInd/>
        <w:snapToGrid/>
        <w:spacing w:line="500" w:lineRule="exact"/>
        <w:ind w:firstLine="539"/>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地点：滁州市公共资源交易中心网</w:t>
      </w:r>
    </w:p>
    <w:p w14:paraId="467C9853">
      <w:pPr>
        <w:keepNext w:val="0"/>
        <w:keepLines w:val="0"/>
        <w:pageBreakBefore w:val="0"/>
        <w:widowControl w:val="0"/>
        <w:shd w:val="clear"/>
        <w:kinsoku/>
        <w:wordWrap/>
        <w:overflowPunct/>
        <w:topLinePunct w:val="0"/>
        <w:autoSpaceDE/>
        <w:autoSpaceDN/>
        <w:bidi w:val="0"/>
        <w:adjustRightInd/>
        <w:snapToGrid/>
        <w:spacing w:line="500" w:lineRule="exact"/>
        <w:ind w:firstLine="539"/>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方式：网上下载</w:t>
      </w:r>
    </w:p>
    <w:p w14:paraId="6462F083">
      <w:pPr>
        <w:keepNext w:val="0"/>
        <w:keepLines w:val="0"/>
        <w:pageBreakBefore w:val="0"/>
        <w:widowControl w:val="0"/>
        <w:shd w:val="clear"/>
        <w:kinsoku/>
        <w:wordWrap/>
        <w:overflowPunct/>
        <w:topLinePunct w:val="0"/>
        <w:autoSpaceDE/>
        <w:autoSpaceDN/>
        <w:bidi w:val="0"/>
        <w:adjustRightInd/>
        <w:snapToGrid/>
        <w:spacing w:line="500" w:lineRule="exact"/>
        <w:ind w:firstLine="53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售价：0元</w:t>
      </w:r>
    </w:p>
    <w:p w14:paraId="53883F6C">
      <w:pPr>
        <w:keepNext/>
        <w:keepLines/>
        <w:pageBreakBefore w:val="0"/>
        <w:widowControl w:val="0"/>
        <w:kinsoku/>
        <w:wordWrap w:val="0"/>
        <w:overflowPunct/>
        <w:topLinePunct w:val="0"/>
        <w:autoSpaceDE/>
        <w:autoSpaceDN/>
        <w:bidi w:val="0"/>
        <w:adjustRightInd/>
        <w:snapToGrid/>
        <w:spacing w:before="157" w:beforeLines="50" w:after="157" w:afterLines="50" w:line="500" w:lineRule="exact"/>
        <w:textAlignment w:val="auto"/>
        <w:outlineLvl w:val="1"/>
        <w:rPr>
          <w:rFonts w:hint="eastAsia" w:ascii="黑体" w:hAnsi="黑体" w:eastAsia="黑体" w:cs="黑体"/>
          <w:color w:val="auto"/>
          <w:sz w:val="28"/>
          <w:szCs w:val="28"/>
          <w:highlight w:val="none"/>
        </w:rPr>
      </w:pPr>
      <w:bookmarkStart w:id="17" w:name="_Toc28359082"/>
      <w:bookmarkStart w:id="18" w:name="_Toc28359005"/>
      <w:bookmarkStart w:id="19" w:name="_Toc35393793"/>
      <w:bookmarkStart w:id="20" w:name="_Toc35393624"/>
      <w:r>
        <w:rPr>
          <w:rFonts w:hint="eastAsia" w:ascii="黑体" w:hAnsi="黑体" w:eastAsia="黑体" w:cs="黑体"/>
          <w:color w:val="auto"/>
          <w:sz w:val="28"/>
          <w:szCs w:val="28"/>
          <w:highlight w:val="none"/>
        </w:rPr>
        <w:t>四、提交投标文件</w:t>
      </w:r>
      <w:bookmarkEnd w:id="17"/>
      <w:bookmarkEnd w:id="18"/>
      <w:r>
        <w:rPr>
          <w:rFonts w:hint="eastAsia" w:ascii="黑体" w:hAnsi="黑体" w:eastAsia="黑体" w:cs="黑体"/>
          <w:color w:val="auto"/>
          <w:sz w:val="28"/>
          <w:szCs w:val="28"/>
          <w:highlight w:val="none"/>
        </w:rPr>
        <w:t>截止时间、开标时间和地点</w:t>
      </w:r>
      <w:bookmarkEnd w:id="19"/>
      <w:bookmarkEnd w:id="20"/>
    </w:p>
    <w:p w14:paraId="5E1996B5">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iCs/>
          <w:color w:val="auto"/>
          <w:sz w:val="24"/>
          <w:szCs w:val="24"/>
          <w:highlight w:val="none"/>
        </w:rPr>
      </w:pPr>
      <w:r>
        <w:rPr>
          <w:rFonts w:hint="eastAsia" w:ascii="宋体" w:hAnsi="宋体" w:eastAsia="宋体" w:cs="宋体"/>
          <w:bCs/>
          <w:color w:val="auto"/>
          <w:sz w:val="24"/>
          <w:szCs w:val="24"/>
          <w:highlight w:val="none"/>
          <w:u w:val="single"/>
        </w:rPr>
        <w:t>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rPr>
        <w:t>日</w:t>
      </w:r>
      <w:r>
        <w:rPr>
          <w:rFonts w:hint="eastAsia" w:ascii="宋体" w:hAnsi="宋体" w:cs="宋体"/>
          <w:bCs/>
          <w:color w:val="auto"/>
          <w:sz w:val="24"/>
          <w:szCs w:val="24"/>
          <w:highlight w:val="none"/>
          <w:u w:val="single"/>
          <w:lang w:val="en-US" w:eastAsia="zh-CN"/>
        </w:rPr>
        <w:t>09</w:t>
      </w:r>
      <w:r>
        <w:rPr>
          <w:rFonts w:hint="eastAsia" w:ascii="宋体" w:hAnsi="宋体" w:eastAsia="宋体" w:cs="宋体"/>
          <w:bCs/>
          <w:color w:val="auto"/>
          <w:sz w:val="24"/>
          <w:szCs w:val="24"/>
          <w:highlight w:val="none"/>
          <w:u w:val="single"/>
        </w:rPr>
        <w:t>点</w:t>
      </w:r>
      <w:r>
        <w:rPr>
          <w:rFonts w:hint="eastAsia" w:ascii="宋体" w:hAnsi="宋体"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rPr>
        <w:t>分</w:t>
      </w:r>
      <w:r>
        <w:rPr>
          <w:rFonts w:hint="eastAsia" w:ascii="宋体" w:hAnsi="宋体" w:eastAsia="宋体" w:cs="宋体"/>
          <w:bCs/>
          <w:color w:val="auto"/>
          <w:sz w:val="24"/>
          <w:szCs w:val="24"/>
          <w:highlight w:val="none"/>
        </w:rPr>
        <w:t>（北京时间）</w:t>
      </w:r>
      <w:r>
        <w:rPr>
          <w:rFonts w:hint="eastAsia" w:ascii="宋体" w:hAnsi="宋体" w:eastAsia="宋体" w:cs="宋体"/>
          <w:iCs/>
          <w:color w:val="auto"/>
          <w:sz w:val="24"/>
          <w:szCs w:val="24"/>
          <w:highlight w:val="none"/>
          <w:u w:val="single"/>
        </w:rPr>
        <w:t>（自招标文件开始发出之日起至投标人提交投标文件截止之日止，不得少于20日）</w:t>
      </w:r>
    </w:p>
    <w:p w14:paraId="619FA813">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地点：网上开标（滁州市公共资源交易中心网）</w:t>
      </w:r>
    </w:p>
    <w:p w14:paraId="057DC34A">
      <w:pPr>
        <w:keepNext/>
        <w:keepLines/>
        <w:pageBreakBefore w:val="0"/>
        <w:widowControl w:val="0"/>
        <w:kinsoku/>
        <w:wordWrap w:val="0"/>
        <w:overflowPunct/>
        <w:topLinePunct w:val="0"/>
        <w:autoSpaceDE/>
        <w:autoSpaceDN/>
        <w:bidi w:val="0"/>
        <w:adjustRightInd/>
        <w:snapToGrid/>
        <w:spacing w:before="157" w:beforeLines="50" w:after="157" w:afterLines="50" w:line="500" w:lineRule="exact"/>
        <w:textAlignment w:val="auto"/>
        <w:outlineLvl w:val="1"/>
        <w:rPr>
          <w:rFonts w:hint="eastAsia" w:ascii="黑体" w:hAnsi="黑体" w:eastAsia="黑体" w:cs="黑体"/>
          <w:color w:val="auto"/>
          <w:sz w:val="28"/>
          <w:szCs w:val="28"/>
          <w:highlight w:val="none"/>
        </w:rPr>
      </w:pPr>
      <w:bookmarkStart w:id="21" w:name="_Toc35393794"/>
      <w:bookmarkStart w:id="22" w:name="_Toc28359007"/>
      <w:bookmarkStart w:id="23" w:name="_Toc28359084"/>
      <w:bookmarkStart w:id="24" w:name="_Toc35393625"/>
      <w:r>
        <w:rPr>
          <w:rFonts w:hint="eastAsia" w:ascii="黑体" w:hAnsi="黑体" w:eastAsia="黑体" w:cs="黑体"/>
          <w:color w:val="auto"/>
          <w:sz w:val="28"/>
          <w:szCs w:val="28"/>
          <w:highlight w:val="none"/>
        </w:rPr>
        <w:t>五、公告期限</w:t>
      </w:r>
      <w:bookmarkEnd w:id="21"/>
      <w:bookmarkEnd w:id="22"/>
      <w:bookmarkEnd w:id="23"/>
      <w:bookmarkEnd w:id="24"/>
    </w:p>
    <w:p w14:paraId="53C3B979">
      <w:pPr>
        <w:shd w:val="clea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自本公告发布之日起5个工作日。</w:t>
      </w:r>
    </w:p>
    <w:p w14:paraId="39A089B0">
      <w:pPr>
        <w:keepNext/>
        <w:keepLines/>
        <w:pageBreakBefore w:val="0"/>
        <w:widowControl w:val="0"/>
        <w:kinsoku/>
        <w:wordWrap w:val="0"/>
        <w:overflowPunct/>
        <w:topLinePunct w:val="0"/>
        <w:autoSpaceDE/>
        <w:autoSpaceDN/>
        <w:bidi w:val="0"/>
        <w:adjustRightInd/>
        <w:snapToGrid/>
        <w:spacing w:before="157" w:beforeLines="50" w:after="157" w:afterLines="50" w:line="500" w:lineRule="exact"/>
        <w:textAlignment w:val="auto"/>
        <w:outlineLvl w:val="1"/>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37BBEC4A">
      <w:pPr>
        <w:pStyle w:val="121"/>
        <w:shd w:val="clear"/>
        <w:rPr>
          <w:rFonts w:hint="eastAsia" w:ascii="宋体" w:hAnsi="宋体" w:eastAsia="宋体" w:cs="宋体"/>
          <w:color w:val="auto"/>
          <w:highlight w:val="none"/>
        </w:rPr>
      </w:pPr>
      <w:bookmarkStart w:id="25" w:name="_Toc35393795"/>
      <w:bookmarkStart w:id="26" w:name="_Toc35393626"/>
      <w:r>
        <w:rPr>
          <w:rFonts w:hint="eastAsia" w:ascii="宋体" w:hAnsi="宋体" w:eastAsia="宋体" w:cs="宋体"/>
          <w:color w:val="auto"/>
          <w:highlight w:val="none"/>
        </w:rPr>
        <w:t>窗体顶端</w:t>
      </w:r>
    </w:p>
    <w:p w14:paraId="2994FD1D">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1.投标保证金收取：投标保证金的金额：</w:t>
      </w:r>
      <w:r>
        <w:rPr>
          <w:rFonts w:hint="eastAsia" w:cs="宋体"/>
          <w:color w:val="auto"/>
          <w:sz w:val="24"/>
          <w:szCs w:val="24"/>
          <w:highlight w:val="none"/>
          <w:lang w:val="en-US" w:eastAsia="zh-CN"/>
        </w:rPr>
        <w:t>1.2</w:t>
      </w:r>
      <w:r>
        <w:rPr>
          <w:rFonts w:hint="eastAsia" w:ascii="宋体" w:hAnsi="宋体" w:eastAsia="宋体" w:cs="宋体"/>
          <w:color w:val="auto"/>
          <w:sz w:val="24"/>
          <w:szCs w:val="24"/>
          <w:highlight w:val="none"/>
        </w:rPr>
        <w:t>万元，要求投标人提交投标保证金。</w:t>
      </w:r>
    </w:p>
    <w:p w14:paraId="02A0FDEE">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2.投标保证金形式：支持现金（银行转账、银行电汇等）、非现金形式（支票、银行汇票、本票等）、纸质银行保函。</w:t>
      </w:r>
    </w:p>
    <w:p w14:paraId="00C14801">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3.接收投标保证金的账户信息：</w:t>
      </w:r>
    </w:p>
    <w:p w14:paraId="4E53915C">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现金形式的，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如下（选择任何一家银行提交即可）：</w:t>
      </w:r>
    </w:p>
    <w:p w14:paraId="3AA702A9">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①户名：滁州市公共资源交易中心</w:t>
      </w:r>
    </w:p>
    <w:p w14:paraId="28A38202">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开户行：中国银行滁州分行</w:t>
      </w:r>
    </w:p>
    <w:p w14:paraId="50FF7660">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lang w:val="en-US" w:eastAsia="zh-CN"/>
        </w:rPr>
        <w:t>185727795716</w:t>
      </w:r>
    </w:p>
    <w:p w14:paraId="54F324B8">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②户名：滁州市公共资源交易中心</w:t>
      </w:r>
    </w:p>
    <w:p w14:paraId="0F7F7639">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开户行：中国建设银行股份有限公司滁州南谯支行</w:t>
      </w:r>
    </w:p>
    <w:p w14:paraId="1EEE1286">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lang w:val="en-US" w:eastAsia="zh-CN"/>
        </w:rPr>
        <w:t>6232811720000044714</w:t>
      </w:r>
    </w:p>
    <w:p w14:paraId="144EF7A6">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③户名：滁州市公共资源交易中心</w:t>
      </w:r>
    </w:p>
    <w:p w14:paraId="593194E4">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开户行：中国农业银行滁州中都支行</w:t>
      </w:r>
    </w:p>
    <w:p w14:paraId="5D2FD846">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lang w:val="en-US" w:eastAsia="zh-CN"/>
        </w:rPr>
        <w:t>123340010400044210000001106</w:t>
      </w:r>
    </w:p>
    <w:p w14:paraId="46EA0741">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采用现金形式缴纳保证金时须在交易附言中注明：“czsjqt202608-015项目投标保证金”。</w:t>
      </w:r>
    </w:p>
    <w:p w14:paraId="0A27A906">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支票、银行汇票、本票等非现金形式提交投标保证金时，投标人应在付款人开户行申请书附言处注明“czsjqt202608-015项目投标保证金”字样，应确保收款人开户行进账单完整反映交易附言内容，由此导致无法识别投标保证金对应的投标项目，其后果由投标人负责。</w:t>
      </w:r>
    </w:p>
    <w:p w14:paraId="642901B3">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3)采用纸质银行保函形式具体要求如下：</w:t>
      </w:r>
    </w:p>
    <w:p w14:paraId="4B1C62F6">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①应为投标人基本账户开户银行出具的不可撤销、不可转让的见索即付独立保函,所需费用由投标人承担。</w:t>
      </w:r>
    </w:p>
    <w:p w14:paraId="7866B714">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②投标人在投标文件中必须提供基本存款账户证明（如基本存款账户开户许可证或基本存款账户信息），同时将纸质保函扫描件提供在投标文件中。</w:t>
      </w:r>
    </w:p>
    <w:p w14:paraId="73A71E7E">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③投标人在投标文件中必须提供明确有效的查询途径（网址链接及查询方式），否则该纸质银行保函无效。</w:t>
      </w:r>
    </w:p>
    <w:p w14:paraId="75A3CA44">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中标候选人须在中标候选人公示期间将其开具至本招标项目的保函原件提交招标人（或招标代理机构），且原件须与投标文件中提供的扫描件一致，如存在未按照规定提交或提交内容不一致的，招标人有权取消其中标候选人资格；发现弄虚作假的，招标人（或招标代理机构）应报公共资源交易监管部门依法处理。</w:t>
      </w:r>
    </w:p>
    <w:p w14:paraId="4CAD306C">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4.本次招标失败，再次进行招标的，投标人须按照新的账户重新缴纳投标保证金。</w:t>
      </w:r>
    </w:p>
    <w:p w14:paraId="7EB26717">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5.投标人为联合体投标的，由牵头人基本账户转出投标保证金或由牵头人办理保函。</w:t>
      </w:r>
    </w:p>
    <w:p w14:paraId="3BA810A2">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6.是否适用免缴投标保证金政策：不适用。</w:t>
      </w:r>
    </w:p>
    <w:p w14:paraId="01814087">
      <w:pPr>
        <w:pStyle w:val="122"/>
        <w:shd w:val="clear"/>
        <w:rPr>
          <w:rFonts w:hint="eastAsia" w:ascii="宋体" w:hAnsi="宋体" w:eastAsia="宋体" w:cs="宋体"/>
          <w:color w:val="auto"/>
          <w:highlight w:val="none"/>
        </w:rPr>
      </w:pPr>
      <w:r>
        <w:rPr>
          <w:rFonts w:hint="eastAsia" w:ascii="宋体" w:hAnsi="宋体" w:eastAsia="宋体" w:cs="宋体"/>
          <w:color w:val="auto"/>
          <w:sz w:val="28"/>
          <w:szCs w:val="28"/>
          <w:highlight w:val="none"/>
        </w:rPr>
        <w:t>本项目不缴纳投标保证金条款仅针对在投标过程中未违反本招标文件第二章“投标人须知”中第23.4项约定的投标人。如在投标过程中投标人存在本招标文件第二章“投标人须知”中第23.4项约定情形，则无条件按招标人要求的金额、时间、账号缴纳投标保证金。</w:t>
      </w:r>
      <w:r>
        <w:rPr>
          <w:rFonts w:hint="eastAsia" w:ascii="宋体" w:hAnsi="宋体" w:eastAsia="宋体" w:cs="宋体"/>
          <w:color w:val="auto"/>
          <w:highlight w:val="none"/>
        </w:rPr>
        <w:t>窗体底端</w:t>
      </w:r>
    </w:p>
    <w:p w14:paraId="5D2C63F9">
      <w:pPr>
        <w:keepNext/>
        <w:keepLines/>
        <w:pageBreakBefore w:val="0"/>
        <w:widowControl w:val="0"/>
        <w:kinsoku/>
        <w:wordWrap w:val="0"/>
        <w:overflowPunct/>
        <w:topLinePunct w:val="0"/>
        <w:autoSpaceDE/>
        <w:autoSpaceDN/>
        <w:bidi w:val="0"/>
        <w:adjustRightInd/>
        <w:snapToGrid/>
        <w:spacing w:before="157" w:beforeLines="50" w:after="157" w:afterLines="50" w:line="500" w:lineRule="exact"/>
        <w:textAlignment w:val="auto"/>
        <w:outlineLvl w:val="1"/>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5"/>
      <w:bookmarkEnd w:id="26"/>
    </w:p>
    <w:p w14:paraId="654E962B">
      <w:pPr>
        <w:keepNext w:val="0"/>
        <w:keepLines w:val="0"/>
        <w:pageBreakBefore w:val="0"/>
        <w:widowControl w:val="0"/>
        <w:shd w:val="clear"/>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CA数字证书有关问题：安徽CA客服</w:t>
      </w:r>
      <w:r>
        <w:rPr>
          <w:rFonts w:hint="eastAsia" w:ascii="宋体" w:hAnsi="宋体" w:eastAsia="宋体" w:cs="宋体"/>
          <w:color w:val="auto"/>
          <w:sz w:val="24"/>
          <w:szCs w:val="24"/>
          <w:highlight w:val="none"/>
          <w:lang w:val="en-US" w:eastAsia="zh-CN"/>
        </w:rPr>
        <w:t>400-615-8899</w:t>
      </w:r>
      <w:r>
        <w:rPr>
          <w:rFonts w:hint="eastAsia" w:ascii="宋体" w:hAnsi="宋体" w:eastAsia="宋体" w:cs="宋体"/>
          <w:color w:val="auto"/>
          <w:sz w:val="24"/>
          <w:szCs w:val="24"/>
          <w:highlight w:val="none"/>
        </w:rPr>
        <w:t>、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0DF598EC">
      <w:pPr>
        <w:keepNext w:val="0"/>
        <w:keepLines w:val="0"/>
        <w:pageBreakBefore w:val="0"/>
        <w:widowControl w:val="0"/>
        <w:shd w:val="clea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2.请投标人登录滁州市公共资源交易中心网站查看参加本项目的程序（具体操作步骤和程序请参见服务指南&gt;交易须知&gt;投标人填写投标信息、下载文件及网上提问操作手册）。</w:t>
      </w:r>
    </w:p>
    <w:p w14:paraId="6BB5F853">
      <w:pPr>
        <w:keepNext w:val="0"/>
        <w:keepLines w:val="0"/>
        <w:pageBreakBefore w:val="0"/>
        <w:widowControl w:val="0"/>
        <w:shd w:val="clear"/>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65A7E833">
      <w:pPr>
        <w:keepNext w:val="0"/>
        <w:keepLines w:val="0"/>
        <w:pageBreakBefore w:val="0"/>
        <w:widowControl w:val="0"/>
        <w:shd w:val="clear"/>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4.投标文件格式、内容和制作要求以招标文件为准，投标文件制作工具中提供的相关格式及内容仅供参考，投标企业可根据招标文件要求自行调整。</w:t>
      </w:r>
    </w:p>
    <w:p w14:paraId="074C7AF2">
      <w:pPr>
        <w:keepNext w:val="0"/>
        <w:keepLines w:val="0"/>
        <w:pageBreakBefore w:val="0"/>
        <w:widowControl w:val="0"/>
        <w:shd w:val="clear"/>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5.投标人提出异议的截止时间及方式：如投标人对招标文件有异议，请于202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rPr>
        <w:t>（投标截止10日）前在滁州市公共资源交易中心网电子交易系统中进行异议，具体操作步骤和程序请参见服务指南&gt;交易须知&gt;在线异议、质疑和投诉操作手册。</w:t>
      </w:r>
    </w:p>
    <w:p w14:paraId="472C9D6B">
      <w:pPr>
        <w:keepNext w:val="0"/>
        <w:keepLines w:val="0"/>
        <w:pageBreakBefore w:val="0"/>
        <w:widowControl w:val="0"/>
        <w:shd w:val="clear"/>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6.受理异议的联系人及联系方式：</w:t>
      </w:r>
      <w:r>
        <w:rPr>
          <w:rFonts w:hint="eastAsia" w:ascii="宋体" w:hAnsi="宋体" w:eastAsia="宋体" w:cs="宋体"/>
          <w:color w:val="auto"/>
          <w:sz w:val="24"/>
          <w:szCs w:val="24"/>
          <w:highlight w:val="none"/>
          <w:lang w:val="en-US" w:eastAsia="zh-CN"/>
        </w:rPr>
        <w:t>孙</w:t>
      </w:r>
      <w:r>
        <w:rPr>
          <w:rFonts w:hint="eastAsia" w:ascii="宋体" w:hAnsi="宋体" w:cs="宋体"/>
          <w:color w:val="auto"/>
          <w:sz w:val="24"/>
          <w:szCs w:val="24"/>
          <w:highlight w:val="none"/>
          <w:lang w:val="en-US" w:eastAsia="zh-CN"/>
        </w:rPr>
        <w:t>经理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0"/>
          <w:sz w:val="24"/>
          <w:szCs w:val="24"/>
          <w:highlight w:val="none"/>
          <w:u w:color="000000"/>
          <w:lang w:val="en-US" w:eastAsia="zh-CN"/>
        </w:rPr>
        <w:t>0550-3500336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关勤勤</w:t>
      </w:r>
      <w:r>
        <w:rPr>
          <w:rFonts w:hint="eastAsia" w:ascii="宋体" w:hAnsi="宋体" w:eastAsia="宋体" w:cs="宋体"/>
          <w:color w:val="auto"/>
          <w:sz w:val="24"/>
          <w:szCs w:val="24"/>
          <w:highlight w:val="none"/>
        </w:rPr>
        <w:t>0550-3519590。</w:t>
      </w:r>
    </w:p>
    <w:p w14:paraId="0F692B9D">
      <w:pPr>
        <w:keepNext/>
        <w:keepLines/>
        <w:pageBreakBefore w:val="0"/>
        <w:widowControl w:val="0"/>
        <w:kinsoku/>
        <w:wordWrap w:val="0"/>
        <w:overflowPunct/>
        <w:topLinePunct w:val="0"/>
        <w:autoSpaceDE/>
        <w:autoSpaceDN/>
        <w:bidi w:val="0"/>
        <w:adjustRightInd/>
        <w:snapToGrid/>
        <w:spacing w:before="157" w:beforeLines="50" w:after="157" w:afterLines="50" w:line="500" w:lineRule="exact"/>
        <w:textAlignment w:val="auto"/>
        <w:outlineLvl w:val="1"/>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0CC82A51">
      <w:pPr>
        <w:pStyle w:val="2"/>
        <w:pageBreakBefore w:val="0"/>
        <w:widowControl w:val="0"/>
        <w:numPr>
          <w:ilvl w:val="0"/>
          <w:numId w:val="0"/>
        </w:numPr>
        <w:shd w:val="clear"/>
        <w:kinsoku/>
        <w:wordWrap/>
        <w:overflowPunct/>
        <w:topLinePunct w:val="0"/>
        <w:autoSpaceDE/>
        <w:autoSpaceDN/>
        <w:bidi w:val="0"/>
        <w:adjustRightInd/>
        <w:snapToGrid/>
        <w:spacing w:line="480" w:lineRule="exact"/>
        <w:ind w:firstLine="720" w:firstLineChars="300"/>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1.招标人信息</w:t>
      </w:r>
    </w:p>
    <w:p w14:paraId="0401545F">
      <w:pPr>
        <w:pageBreakBefore w:val="0"/>
        <w:widowControl w:val="0"/>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lang w:eastAsia="zh-CN"/>
        </w:rPr>
        <w:t>滁州市城投交通控股有限公司</w:t>
      </w:r>
      <w:r>
        <w:rPr>
          <w:rFonts w:hint="eastAsia" w:ascii="宋体" w:hAnsi="宋体" w:eastAsia="宋体" w:cs="宋体"/>
          <w:color w:val="auto"/>
          <w:sz w:val="24"/>
          <w:szCs w:val="24"/>
          <w:highlight w:val="none"/>
          <w:u w:val="single"/>
        </w:rPr>
        <w:t xml:space="preserve">  </w:t>
      </w:r>
    </w:p>
    <w:p w14:paraId="3DCA736A">
      <w:pPr>
        <w:pageBreakBefore w:val="0"/>
        <w:widowControl w:val="0"/>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lang w:val="en-US" w:eastAsia="zh-CN"/>
        </w:rPr>
        <w:t>滁州市中都大道1598号15层</w:t>
      </w:r>
    </w:p>
    <w:p w14:paraId="08056FCB">
      <w:pPr>
        <w:pageBreakBefore w:val="0"/>
        <w:widowControl w:val="0"/>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u w:val="single"/>
          <w:lang w:val="en-US" w:eastAsia="zh-CN"/>
        </w:rPr>
        <w:t xml:space="preserve">0550-3500336   </w:t>
      </w:r>
      <w:r>
        <w:rPr>
          <w:rFonts w:hint="eastAsia" w:ascii="宋体" w:hAnsi="宋体" w:eastAsia="宋体" w:cs="宋体"/>
          <w:color w:val="auto"/>
          <w:sz w:val="24"/>
          <w:szCs w:val="24"/>
          <w:highlight w:val="none"/>
          <w:u w:val="single"/>
        </w:rPr>
        <w:t xml:space="preserve">                 </w:t>
      </w:r>
    </w:p>
    <w:p w14:paraId="249116B2">
      <w:pPr>
        <w:pStyle w:val="2"/>
        <w:pageBreakBefore w:val="0"/>
        <w:widowControl w:val="0"/>
        <w:numPr>
          <w:ilvl w:val="0"/>
          <w:numId w:val="0"/>
        </w:numPr>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2.代理机构信息</w:t>
      </w:r>
    </w:p>
    <w:p w14:paraId="70760C51">
      <w:pPr>
        <w:pageBreakBefore w:val="0"/>
        <w:widowControl w:val="0"/>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滁州市城投工程咨询管理有限公司</w:t>
      </w:r>
    </w:p>
    <w:p w14:paraId="7D000023">
      <w:pPr>
        <w:pageBreakBefore w:val="0"/>
        <w:widowControl w:val="0"/>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滁州市龙蟠大道109号房产大厦6楼</w:t>
      </w:r>
    </w:p>
    <w:p w14:paraId="5C96A8C6">
      <w:pPr>
        <w:pageBreakBefore w:val="0"/>
        <w:widowControl w:val="0"/>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u w:val="single"/>
        </w:rPr>
        <w:t>0550-3519590、</w:t>
      </w:r>
      <w:r>
        <w:rPr>
          <w:rFonts w:hint="eastAsia" w:ascii="宋体" w:hAnsi="宋体" w:eastAsia="宋体" w:cs="宋体"/>
          <w:color w:val="auto"/>
          <w:sz w:val="24"/>
          <w:szCs w:val="24"/>
          <w:highlight w:val="none"/>
          <w:u w:val="single"/>
          <w:lang w:val="en-US" w:eastAsia="zh-CN"/>
        </w:rPr>
        <w:t>18909605753</w:t>
      </w:r>
    </w:p>
    <w:p w14:paraId="541ED5B8">
      <w:pPr>
        <w:pStyle w:val="2"/>
        <w:pageBreakBefore w:val="0"/>
        <w:widowControl w:val="0"/>
        <w:numPr>
          <w:ilvl w:val="0"/>
          <w:numId w:val="0"/>
        </w:numPr>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3.项目联系方式</w:t>
      </w:r>
    </w:p>
    <w:p w14:paraId="57C5BAD5">
      <w:pPr>
        <w:pStyle w:val="19"/>
        <w:pageBreakBefore w:val="0"/>
        <w:widowControl w:val="0"/>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u w:val="single"/>
          <w:lang w:val="en-US" w:eastAsia="zh-CN"/>
        </w:rPr>
        <w:t>孙</w:t>
      </w:r>
      <w:r>
        <w:rPr>
          <w:rFonts w:hint="eastAsia" w:hAnsi="宋体" w:cs="宋体"/>
          <w:color w:val="auto"/>
          <w:sz w:val="24"/>
          <w:szCs w:val="24"/>
          <w:highlight w:val="none"/>
          <w:u w:val="single"/>
          <w:lang w:val="en-US" w:eastAsia="zh-CN"/>
        </w:rPr>
        <w:t>经理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关勤勤</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p>
    <w:p w14:paraId="28E7B289">
      <w:pPr>
        <w:pageBreakBefore w:val="0"/>
        <w:widowControl w:val="0"/>
        <w:shd w:val="clear"/>
        <w:kinsoku/>
        <w:wordWrap/>
        <w:overflowPunct/>
        <w:topLinePunct w:val="0"/>
        <w:autoSpaceDE/>
        <w:autoSpaceDN/>
        <w:bidi w:val="0"/>
        <w:adjustRightInd/>
        <w:snapToGrid/>
        <w:spacing w:line="480" w:lineRule="exact"/>
        <w:ind w:left="0" w:leftChars="0" w:firstLine="720" w:firstLineChars="3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kern w:val="0"/>
          <w:sz w:val="24"/>
          <w:szCs w:val="24"/>
          <w:highlight w:val="none"/>
          <w:u w:val="single" w:color="auto"/>
          <w:lang w:val="en-US" w:eastAsia="zh-CN"/>
        </w:rPr>
        <w:t>0550-3500336</w:t>
      </w:r>
      <w:r>
        <w:rPr>
          <w:rFonts w:hint="eastAsia" w:ascii="宋体" w:hAnsi="宋体" w:eastAsia="宋体" w:cs="宋体"/>
          <w:color w:val="auto"/>
          <w:sz w:val="24"/>
          <w:szCs w:val="24"/>
          <w:highlight w:val="none"/>
          <w:u w:val="single" w:color="auto"/>
        </w:rPr>
        <w:t>、</w:t>
      </w:r>
      <w:r>
        <w:rPr>
          <w:rFonts w:hint="eastAsia" w:ascii="宋体" w:hAnsi="宋体" w:eastAsia="宋体" w:cs="宋体"/>
          <w:color w:val="auto"/>
          <w:sz w:val="24"/>
          <w:szCs w:val="24"/>
          <w:highlight w:val="none"/>
          <w:u w:val="single"/>
        </w:rPr>
        <w:t xml:space="preserve">0550-3519590 </w:t>
      </w:r>
    </w:p>
    <w:p w14:paraId="292B10E7">
      <w:pPr>
        <w:rPr>
          <w:rFonts w:hint="eastAsia" w:ascii="宋体" w:hAnsi="宋体" w:eastAsia="宋体" w:cs="宋体"/>
          <w:color w:val="auto"/>
          <w:highlight w:val="none"/>
        </w:rPr>
      </w:pPr>
      <w:bookmarkStart w:id="27" w:name="_Toc20364"/>
      <w:r>
        <w:rPr>
          <w:rFonts w:hint="eastAsia" w:ascii="宋体" w:hAnsi="宋体" w:eastAsia="宋体" w:cs="宋体"/>
          <w:color w:val="auto"/>
          <w:highlight w:val="none"/>
        </w:rPr>
        <w:br w:type="page"/>
      </w:r>
    </w:p>
    <w:p w14:paraId="32C05E22">
      <w:pPr>
        <w:pStyle w:val="3"/>
        <w:keepNext/>
        <w:keepLines/>
        <w:pageBreakBefore w:val="0"/>
        <w:widowControl w:val="0"/>
        <w:shd w:val="clear"/>
        <w:kinsoku/>
        <w:wordWrap/>
        <w:overflowPunct/>
        <w:topLinePunct w:val="0"/>
        <w:autoSpaceDE/>
        <w:autoSpaceDN/>
        <w:bidi w:val="0"/>
        <w:adjustRightInd/>
        <w:snapToGrid/>
        <w:spacing w:beforeLines="50" w:afterLines="50" w:line="520" w:lineRule="exact"/>
        <w:textAlignment w:val="auto"/>
        <w:rPr>
          <w:rFonts w:hint="eastAsia" w:ascii="宋体" w:hAnsi="宋体" w:eastAsia="宋体" w:cs="宋体"/>
          <w:b w:val="0"/>
          <w:color w:val="auto"/>
          <w:szCs w:val="32"/>
          <w:highlight w:val="none"/>
        </w:rPr>
      </w:pPr>
      <w:r>
        <w:rPr>
          <w:rFonts w:hint="eastAsia" w:ascii="宋体" w:hAnsi="宋体" w:eastAsia="宋体" w:cs="宋体"/>
          <w:color w:val="auto"/>
          <w:highlight w:val="none"/>
        </w:rPr>
        <w:t>第二章 投标人须知</w:t>
      </w:r>
      <w:bookmarkEnd w:id="27"/>
    </w:p>
    <w:p w14:paraId="340B4472">
      <w:pPr>
        <w:shd w:val="clear"/>
        <w:snapToGrid w:val="0"/>
        <w:spacing w:line="440" w:lineRule="exact"/>
        <w:jc w:val="center"/>
        <w:outlineLvl w:val="1"/>
        <w:rPr>
          <w:rFonts w:hint="eastAsia" w:ascii="宋体" w:hAnsi="宋体" w:eastAsia="宋体" w:cs="宋体"/>
          <w:b/>
          <w:color w:val="auto"/>
          <w:sz w:val="28"/>
          <w:szCs w:val="28"/>
          <w:highlight w:val="none"/>
        </w:rPr>
      </w:pPr>
      <w:bookmarkStart w:id="28" w:name="_Toc1019"/>
      <w:bookmarkStart w:id="29" w:name="_Toc58430314"/>
      <w:bookmarkStart w:id="30" w:name="_Toc449028865"/>
      <w:r>
        <w:rPr>
          <w:rFonts w:hint="eastAsia" w:ascii="宋体" w:hAnsi="宋体" w:eastAsia="宋体" w:cs="宋体"/>
          <w:b/>
          <w:color w:val="auto"/>
          <w:sz w:val="32"/>
          <w:szCs w:val="32"/>
          <w:highlight w:val="none"/>
        </w:rPr>
        <w:t>一、</w:t>
      </w:r>
      <w:r>
        <w:rPr>
          <w:rFonts w:hint="eastAsia" w:ascii="宋体" w:hAnsi="宋体" w:eastAsia="宋体" w:cs="宋体"/>
          <w:b/>
          <w:color w:val="auto"/>
          <w:sz w:val="28"/>
          <w:szCs w:val="28"/>
          <w:highlight w:val="none"/>
        </w:rPr>
        <w:t>投标人须知前附表</w:t>
      </w:r>
      <w:bookmarkEnd w:id="28"/>
      <w:bookmarkEnd w:id="29"/>
      <w:bookmarkEnd w:id="30"/>
    </w:p>
    <w:tbl>
      <w:tblPr>
        <w:tblStyle w:val="35"/>
        <w:tblW w:w="10107"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48"/>
        <w:gridCol w:w="878"/>
        <w:gridCol w:w="1262"/>
        <w:gridCol w:w="6919"/>
      </w:tblGrid>
      <w:tr w14:paraId="4919BC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1048" w:type="dxa"/>
            <w:vAlign w:val="center"/>
          </w:tcPr>
          <w:p w14:paraId="7959D60F">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2140" w:type="dxa"/>
            <w:gridSpan w:val="2"/>
            <w:vAlign w:val="center"/>
          </w:tcPr>
          <w:p w14:paraId="01326B29">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c>
          <w:tcPr>
            <w:tcW w:w="6919" w:type="dxa"/>
            <w:vAlign w:val="center"/>
          </w:tcPr>
          <w:p w14:paraId="7D47AF78">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说明与要求</w:t>
            </w:r>
          </w:p>
        </w:tc>
      </w:tr>
      <w:tr w14:paraId="7B175F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trPr>
        <w:tc>
          <w:tcPr>
            <w:tcW w:w="1048" w:type="dxa"/>
            <w:vAlign w:val="center"/>
          </w:tcPr>
          <w:p w14:paraId="44548235">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140" w:type="dxa"/>
            <w:gridSpan w:val="2"/>
            <w:vAlign w:val="center"/>
          </w:tcPr>
          <w:p w14:paraId="66E0A56A">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919" w:type="dxa"/>
            <w:vAlign w:val="center"/>
          </w:tcPr>
          <w:p w14:paraId="2A7A73AB">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明巢、来六、滁合高速“手机+”无卡便捷通行升级改造项目</w:t>
            </w:r>
          </w:p>
        </w:tc>
      </w:tr>
      <w:tr w14:paraId="2C908A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1048" w:type="dxa"/>
            <w:vAlign w:val="center"/>
          </w:tcPr>
          <w:p w14:paraId="5B829123">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140" w:type="dxa"/>
            <w:gridSpan w:val="2"/>
            <w:vAlign w:val="center"/>
          </w:tcPr>
          <w:p w14:paraId="2CEC1A84">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tc>
        <w:tc>
          <w:tcPr>
            <w:tcW w:w="6919" w:type="dxa"/>
            <w:vAlign w:val="center"/>
          </w:tcPr>
          <w:p w14:paraId="05A8D5EC">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czsjqt202608-015</w:t>
            </w:r>
          </w:p>
        </w:tc>
      </w:tr>
      <w:tr w14:paraId="7C264E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1048" w:type="dxa"/>
            <w:vAlign w:val="center"/>
          </w:tcPr>
          <w:p w14:paraId="0655D082">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140" w:type="dxa"/>
            <w:gridSpan w:val="2"/>
            <w:vAlign w:val="center"/>
          </w:tcPr>
          <w:p w14:paraId="59331298">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合同履行期限</w:t>
            </w:r>
          </w:p>
        </w:tc>
        <w:tc>
          <w:tcPr>
            <w:tcW w:w="6919" w:type="dxa"/>
            <w:vAlign w:val="center"/>
          </w:tcPr>
          <w:p w14:paraId="4186B73C">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2026年9月底前完成出入口站级系统软硬件改造，具备开展相关业务处理能力和测试条件；2026年</w:t>
            </w:r>
            <w:r>
              <w:rPr>
                <w:rFonts w:hint="eastAsia" w:ascii="宋体" w:hAnsi="宋体" w:eastAsia="宋体" w:cs="宋体"/>
                <w:color w:val="auto"/>
                <w:sz w:val="24"/>
                <w:szCs w:val="24"/>
                <w:highlight w:val="none"/>
              </w:rPr>
              <w:t>10月底完成省内联网调试；</w:t>
            </w:r>
            <w:r>
              <w:rPr>
                <w:rFonts w:hint="eastAsia" w:ascii="宋体" w:hAnsi="宋体" w:eastAsia="宋体" w:cs="宋体"/>
                <w:color w:val="auto"/>
                <w:sz w:val="24"/>
                <w:szCs w:val="24"/>
                <w:highlight w:val="none"/>
                <w:lang w:val="en-US" w:eastAsia="zh-CN"/>
              </w:rPr>
              <w:t>2026年</w:t>
            </w:r>
            <w:r>
              <w:rPr>
                <w:rFonts w:hint="eastAsia" w:ascii="宋体" w:hAnsi="宋体" w:eastAsia="宋体" w:cs="宋体"/>
                <w:color w:val="auto"/>
                <w:sz w:val="24"/>
                <w:szCs w:val="24"/>
                <w:highlight w:val="none"/>
              </w:rPr>
              <w:t>11月底具备全国并网测试能力，开展相关培训；</w:t>
            </w:r>
            <w:r>
              <w:rPr>
                <w:rFonts w:hint="eastAsia" w:ascii="宋体" w:hAnsi="宋体" w:eastAsia="宋体" w:cs="宋体"/>
                <w:color w:val="auto"/>
                <w:sz w:val="24"/>
                <w:szCs w:val="24"/>
                <w:highlight w:val="none"/>
                <w:lang w:val="en-US" w:eastAsia="zh-CN"/>
              </w:rPr>
              <w:t>2026年</w:t>
            </w:r>
            <w:r>
              <w:rPr>
                <w:rFonts w:hint="eastAsia" w:ascii="宋体" w:hAnsi="宋体" w:eastAsia="宋体" w:cs="宋体"/>
                <w:color w:val="auto"/>
                <w:sz w:val="24"/>
                <w:szCs w:val="24"/>
                <w:highlight w:val="none"/>
              </w:rPr>
              <w:t>12月底配合部级层面测试评估，正式上线运行</w:t>
            </w:r>
            <w:r>
              <w:rPr>
                <w:rFonts w:hint="eastAsia" w:ascii="宋体" w:hAnsi="宋体" w:eastAsia="宋体" w:cs="宋体"/>
                <w:color w:val="auto"/>
                <w:sz w:val="24"/>
                <w:szCs w:val="24"/>
                <w:highlight w:val="none"/>
                <w:lang w:eastAsia="zh-CN"/>
              </w:rPr>
              <w:t>。</w:t>
            </w:r>
          </w:p>
        </w:tc>
      </w:tr>
      <w:tr w14:paraId="4C73D5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1048" w:type="dxa"/>
            <w:vAlign w:val="center"/>
          </w:tcPr>
          <w:p w14:paraId="0E6224D0">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140" w:type="dxa"/>
            <w:gridSpan w:val="2"/>
            <w:vAlign w:val="center"/>
          </w:tcPr>
          <w:p w14:paraId="2D964F7C">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服务地点</w:t>
            </w:r>
          </w:p>
        </w:tc>
        <w:tc>
          <w:tcPr>
            <w:tcW w:w="6919" w:type="dxa"/>
            <w:vAlign w:val="center"/>
          </w:tcPr>
          <w:p w14:paraId="1B36716C">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滁州市</w:t>
            </w:r>
          </w:p>
        </w:tc>
      </w:tr>
      <w:tr w14:paraId="2EDB6F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1048" w:type="dxa"/>
            <w:vAlign w:val="center"/>
          </w:tcPr>
          <w:p w14:paraId="2143E42D">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140" w:type="dxa"/>
            <w:gridSpan w:val="2"/>
            <w:vAlign w:val="center"/>
          </w:tcPr>
          <w:p w14:paraId="7C738029">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招标人联系人及电话</w:t>
            </w:r>
          </w:p>
        </w:tc>
        <w:tc>
          <w:tcPr>
            <w:tcW w:w="6919" w:type="dxa"/>
            <w:vAlign w:val="center"/>
          </w:tcPr>
          <w:p w14:paraId="6DF838C8">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孙</w:t>
            </w:r>
            <w:r>
              <w:rPr>
                <w:rFonts w:hint="eastAsia" w:hAnsi="宋体" w:cs="宋体"/>
                <w:color w:val="auto"/>
                <w:sz w:val="24"/>
                <w:szCs w:val="24"/>
                <w:highlight w:val="none"/>
                <w:lang w:val="en-US" w:eastAsia="zh-CN"/>
              </w:rPr>
              <w:t>经理</w:t>
            </w:r>
            <w:r>
              <w:rPr>
                <w:rFonts w:hint="eastAsia" w:ascii="宋体" w:hAnsi="宋体" w:eastAsia="宋体" w:cs="宋体"/>
                <w:color w:val="auto"/>
                <w:sz w:val="24"/>
                <w:szCs w:val="24"/>
                <w:highlight w:val="none"/>
              </w:rPr>
              <w:t xml:space="preserve">        电话：</w:t>
            </w:r>
            <w:r>
              <w:rPr>
                <w:rFonts w:hint="eastAsia" w:ascii="宋体" w:hAnsi="宋体" w:eastAsia="宋体" w:cs="宋体"/>
                <w:color w:val="auto"/>
                <w:sz w:val="24"/>
                <w:szCs w:val="24"/>
                <w:highlight w:val="none"/>
                <w:lang w:val="en-US" w:eastAsia="zh-CN"/>
              </w:rPr>
              <w:t>0550-3500336</w:t>
            </w:r>
          </w:p>
        </w:tc>
      </w:tr>
      <w:tr w14:paraId="48EA6B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1048" w:type="dxa"/>
            <w:vAlign w:val="center"/>
          </w:tcPr>
          <w:p w14:paraId="055236AD">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140" w:type="dxa"/>
            <w:gridSpan w:val="2"/>
            <w:vAlign w:val="center"/>
          </w:tcPr>
          <w:p w14:paraId="785EA7E4">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采购代理机构联系人及电话</w:t>
            </w:r>
          </w:p>
        </w:tc>
        <w:tc>
          <w:tcPr>
            <w:tcW w:w="6919" w:type="dxa"/>
            <w:vAlign w:val="center"/>
          </w:tcPr>
          <w:p w14:paraId="754529F4">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关勤勤</w:t>
            </w:r>
            <w:r>
              <w:rPr>
                <w:rFonts w:hint="eastAsia" w:ascii="宋体" w:hAnsi="宋体" w:eastAsia="宋体" w:cs="宋体"/>
                <w:color w:val="auto"/>
                <w:sz w:val="24"/>
                <w:szCs w:val="24"/>
                <w:highlight w:val="none"/>
              </w:rPr>
              <w:t xml:space="preserve">      电话0550-3519590   </w:t>
            </w:r>
            <w:r>
              <w:rPr>
                <w:rFonts w:hint="eastAsia" w:ascii="宋体" w:hAnsi="宋体" w:eastAsia="宋体" w:cs="宋体"/>
                <w:color w:val="auto"/>
                <w:sz w:val="24"/>
                <w:szCs w:val="24"/>
                <w:highlight w:val="none"/>
                <w:lang w:val="en-US" w:eastAsia="zh-CN"/>
              </w:rPr>
              <w:t>18909605753</w:t>
            </w:r>
          </w:p>
        </w:tc>
      </w:tr>
      <w:tr w14:paraId="1D9103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7" w:hRule="atLeast"/>
        </w:trPr>
        <w:tc>
          <w:tcPr>
            <w:tcW w:w="1048" w:type="dxa"/>
            <w:vAlign w:val="center"/>
          </w:tcPr>
          <w:p w14:paraId="05C0347A">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140" w:type="dxa"/>
            <w:gridSpan w:val="2"/>
            <w:vAlign w:val="center"/>
          </w:tcPr>
          <w:p w14:paraId="6A80AAAE">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资金来源                                                                                                                                                                 </w:t>
            </w:r>
          </w:p>
        </w:tc>
        <w:tc>
          <w:tcPr>
            <w:tcW w:w="6919" w:type="dxa"/>
            <w:vAlign w:val="center"/>
          </w:tcPr>
          <w:p w14:paraId="1D5D45BB">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自筹资金</w:t>
            </w:r>
          </w:p>
        </w:tc>
      </w:tr>
      <w:tr w14:paraId="24F297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1048" w:type="dxa"/>
            <w:vAlign w:val="center"/>
          </w:tcPr>
          <w:p w14:paraId="0BA22E9B">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140" w:type="dxa"/>
            <w:gridSpan w:val="2"/>
            <w:vAlign w:val="center"/>
          </w:tcPr>
          <w:p w14:paraId="7CEE53D0">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预算</w:t>
            </w:r>
          </w:p>
        </w:tc>
        <w:tc>
          <w:tcPr>
            <w:tcW w:w="6919" w:type="dxa"/>
            <w:vAlign w:val="center"/>
          </w:tcPr>
          <w:p w14:paraId="1B1FD111">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0000元</w:t>
            </w:r>
          </w:p>
        </w:tc>
      </w:tr>
      <w:tr w14:paraId="1ADBE2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6ED05298">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140" w:type="dxa"/>
            <w:gridSpan w:val="2"/>
            <w:vAlign w:val="center"/>
          </w:tcPr>
          <w:p w14:paraId="1795133E">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p>
        </w:tc>
        <w:tc>
          <w:tcPr>
            <w:tcW w:w="6919" w:type="dxa"/>
            <w:vAlign w:val="center"/>
          </w:tcPr>
          <w:p w14:paraId="7B127086">
            <w:pPr>
              <w:keepNext w:val="0"/>
              <w:keepLines w:val="0"/>
              <w:pageBreakBefore w:val="0"/>
              <w:shd w:val="clear"/>
              <w:kinsoku/>
              <w:wordWrap/>
              <w:overflowPunct/>
              <w:autoSpaceDE/>
              <w:autoSpaceDN/>
              <w:bidi w:val="0"/>
              <w:adjustRightInd w:val="0"/>
              <w:snapToGrid w:val="0"/>
              <w:spacing w:line="480" w:lineRule="exact"/>
              <w:textAlignment w:val="auto"/>
              <w:rPr>
                <w:rFonts w:hint="eastAsia" w:ascii="宋体" w:hAnsi="宋体" w:eastAsia="宋体" w:cs="宋体"/>
                <w:b/>
                <w:bCs/>
                <w:color w:val="auto"/>
                <w:sz w:val="24"/>
                <w:szCs w:val="24"/>
                <w:highlight w:val="none"/>
                <w:u w:color="000000"/>
                <w:lang w:val="en-US" w:eastAsia="zh-CN"/>
              </w:rPr>
            </w:pPr>
            <w:r>
              <w:rPr>
                <w:rFonts w:hint="eastAsia" w:ascii="宋体" w:hAnsi="宋体" w:eastAsia="宋体" w:cs="宋体"/>
                <w:b/>
                <w:bCs w:val="0"/>
                <w:color w:val="auto"/>
                <w:kern w:val="0"/>
                <w:sz w:val="24"/>
                <w:szCs w:val="24"/>
                <w:highlight w:val="none"/>
                <w:u w:val="none"/>
                <w:lang w:val="en-US" w:eastAsia="zh-CN" w:bidi="ar-SA"/>
              </w:rPr>
              <w:t>总价最高投标限价6</w:t>
            </w:r>
            <w:r>
              <w:rPr>
                <w:rFonts w:hint="eastAsia" w:ascii="宋体" w:hAnsi="宋体" w:cs="宋体"/>
                <w:b/>
                <w:bCs w:val="0"/>
                <w:color w:val="auto"/>
                <w:kern w:val="0"/>
                <w:sz w:val="24"/>
                <w:szCs w:val="24"/>
                <w:highlight w:val="none"/>
                <w:u w:val="none"/>
                <w:lang w:val="en-US" w:eastAsia="zh-CN" w:bidi="ar-SA"/>
              </w:rPr>
              <w:t>3</w:t>
            </w:r>
            <w:r>
              <w:rPr>
                <w:rFonts w:hint="eastAsia" w:ascii="宋体" w:hAnsi="宋体" w:eastAsia="宋体" w:cs="宋体"/>
                <w:b/>
                <w:bCs w:val="0"/>
                <w:color w:val="auto"/>
                <w:kern w:val="0"/>
                <w:sz w:val="24"/>
                <w:szCs w:val="24"/>
                <w:highlight w:val="none"/>
                <w:u w:val="none"/>
                <w:lang w:val="en-US" w:eastAsia="zh-CN" w:bidi="ar-SA"/>
              </w:rPr>
              <w:t>0000元，综合单价最高投标限价详见</w:t>
            </w:r>
            <w:r>
              <w:rPr>
                <w:rFonts w:hint="eastAsia" w:ascii="宋体" w:hAnsi="宋体" w:cs="宋体"/>
                <w:b/>
                <w:bCs w:val="0"/>
                <w:color w:val="auto"/>
                <w:kern w:val="0"/>
                <w:sz w:val="24"/>
                <w:szCs w:val="24"/>
                <w:highlight w:val="none"/>
                <w:u w:val="none"/>
                <w:lang w:val="en-US" w:eastAsia="zh-CN" w:bidi="ar-SA"/>
              </w:rPr>
              <w:t>分项报价清单</w:t>
            </w:r>
            <w:r>
              <w:rPr>
                <w:rFonts w:hint="eastAsia" w:ascii="宋体" w:hAnsi="宋体" w:eastAsia="宋体" w:cs="宋体"/>
                <w:b/>
                <w:bCs w:val="0"/>
                <w:color w:val="auto"/>
                <w:kern w:val="0"/>
                <w:sz w:val="24"/>
                <w:szCs w:val="24"/>
                <w:highlight w:val="none"/>
                <w:u w:val="none"/>
                <w:lang w:val="en-US" w:eastAsia="zh-CN" w:bidi="ar-SA"/>
              </w:rPr>
              <w:t>。投标人报价不得高于最高投标限价，否则按无效标处理。</w:t>
            </w:r>
          </w:p>
        </w:tc>
      </w:tr>
      <w:tr w14:paraId="096633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1048" w:type="dxa"/>
            <w:vAlign w:val="center"/>
          </w:tcPr>
          <w:p w14:paraId="250A6041">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140" w:type="dxa"/>
            <w:gridSpan w:val="2"/>
            <w:vAlign w:val="center"/>
          </w:tcPr>
          <w:p w14:paraId="5BC21E71">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采购内容</w:t>
            </w:r>
          </w:p>
        </w:tc>
        <w:tc>
          <w:tcPr>
            <w:tcW w:w="6919" w:type="dxa"/>
            <w:vAlign w:val="center"/>
          </w:tcPr>
          <w:p w14:paraId="14447CC0">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具体</w:t>
            </w:r>
            <w:r>
              <w:rPr>
                <w:rFonts w:hint="eastAsia" w:ascii="宋体" w:hAnsi="宋体" w:eastAsia="宋体" w:cs="宋体"/>
                <w:b/>
                <w:color w:val="auto"/>
                <w:kern w:val="0"/>
                <w:sz w:val="24"/>
                <w:szCs w:val="24"/>
                <w:highlight w:val="none"/>
                <w:lang w:val="en-US" w:eastAsia="zh-CN"/>
              </w:rPr>
              <w:t>详见《采购内容及技术要求》和合同条款内容</w:t>
            </w:r>
          </w:p>
        </w:tc>
      </w:tr>
      <w:tr w14:paraId="3F58B8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7C55ADD8">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2140" w:type="dxa"/>
            <w:gridSpan w:val="2"/>
            <w:vAlign w:val="center"/>
          </w:tcPr>
          <w:p w14:paraId="117551AB">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段</w:t>
            </w:r>
            <w:r>
              <w:rPr>
                <w:rFonts w:hint="eastAsia" w:ascii="宋体" w:hAnsi="宋体" w:eastAsia="宋体" w:cs="宋体"/>
                <w:color w:val="auto"/>
                <w:sz w:val="24"/>
                <w:szCs w:val="24"/>
                <w:highlight w:val="none"/>
              </w:rPr>
              <w:t>划分</w:t>
            </w:r>
          </w:p>
        </w:tc>
        <w:tc>
          <w:tcPr>
            <w:tcW w:w="6919" w:type="dxa"/>
            <w:vAlign w:val="center"/>
          </w:tcPr>
          <w:p w14:paraId="2A5597AC">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本项目划分为</w:t>
            </w:r>
            <w:r>
              <w:rPr>
                <w:rFonts w:hint="eastAsia" w:ascii="宋体" w:hAnsi="宋体" w:eastAsia="宋体" w:cs="宋体"/>
                <w:color w:val="auto"/>
                <w:sz w:val="24"/>
                <w:szCs w:val="24"/>
                <w:highlight w:val="none"/>
                <w:u w:val="single"/>
              </w:rPr>
              <w:t xml:space="preserve"> 1</w:t>
            </w:r>
            <w:r>
              <w:rPr>
                <w:rFonts w:hint="eastAsia" w:ascii="宋体" w:hAnsi="宋体" w:eastAsia="宋体" w:cs="宋体"/>
                <w:color w:val="auto"/>
                <w:sz w:val="24"/>
                <w:szCs w:val="24"/>
                <w:highlight w:val="none"/>
              </w:rPr>
              <w:t>个标</w:t>
            </w:r>
            <w:r>
              <w:rPr>
                <w:rFonts w:hint="eastAsia" w:ascii="宋体" w:hAnsi="宋体" w:eastAsia="宋体" w:cs="宋体"/>
                <w:color w:val="auto"/>
                <w:sz w:val="24"/>
                <w:szCs w:val="24"/>
                <w:highlight w:val="none"/>
                <w:lang w:val="en-US" w:eastAsia="zh-CN"/>
              </w:rPr>
              <w:t>段</w:t>
            </w:r>
          </w:p>
        </w:tc>
      </w:tr>
      <w:tr w14:paraId="01350C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048" w:type="dxa"/>
            <w:vAlign w:val="center"/>
          </w:tcPr>
          <w:p w14:paraId="33DB9270">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2140" w:type="dxa"/>
            <w:gridSpan w:val="2"/>
            <w:vAlign w:val="center"/>
          </w:tcPr>
          <w:p w14:paraId="4C0D8CE5">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招标方式</w:t>
            </w:r>
          </w:p>
        </w:tc>
        <w:tc>
          <w:tcPr>
            <w:tcW w:w="6919" w:type="dxa"/>
            <w:vAlign w:val="center"/>
          </w:tcPr>
          <w:p w14:paraId="5D2EF253">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14:paraId="20D077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1048" w:type="dxa"/>
            <w:vAlign w:val="center"/>
          </w:tcPr>
          <w:p w14:paraId="20A72F57">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1</w:t>
            </w:r>
          </w:p>
        </w:tc>
        <w:tc>
          <w:tcPr>
            <w:tcW w:w="2140" w:type="dxa"/>
            <w:gridSpan w:val="2"/>
            <w:vAlign w:val="center"/>
          </w:tcPr>
          <w:p w14:paraId="7AA1F7BB">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投标人资格条件及其他要求</w:t>
            </w:r>
          </w:p>
        </w:tc>
        <w:tc>
          <w:tcPr>
            <w:tcW w:w="6919" w:type="dxa"/>
            <w:vAlign w:val="center"/>
          </w:tcPr>
          <w:p w14:paraId="021339A2">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详见第一章“招标公告”</w:t>
            </w:r>
          </w:p>
        </w:tc>
      </w:tr>
      <w:tr w14:paraId="1384DD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03BC3A78">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2140" w:type="dxa"/>
            <w:gridSpan w:val="2"/>
            <w:vAlign w:val="center"/>
          </w:tcPr>
          <w:p w14:paraId="6785A945">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踏勘现场</w:t>
            </w:r>
          </w:p>
        </w:tc>
        <w:tc>
          <w:tcPr>
            <w:tcW w:w="6919" w:type="dxa"/>
            <w:vAlign w:val="center"/>
          </w:tcPr>
          <w:p w14:paraId="2EC8505A">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不组织,投标人自行踏勘。</w:t>
            </w:r>
          </w:p>
        </w:tc>
      </w:tr>
      <w:tr w14:paraId="388661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39774B29">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2140" w:type="dxa"/>
            <w:gridSpan w:val="2"/>
            <w:vAlign w:val="center"/>
          </w:tcPr>
          <w:p w14:paraId="49BEE084">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投标预备会</w:t>
            </w:r>
          </w:p>
        </w:tc>
        <w:tc>
          <w:tcPr>
            <w:tcW w:w="6919" w:type="dxa"/>
            <w:vAlign w:val="center"/>
          </w:tcPr>
          <w:p w14:paraId="78E797DA">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不召开</w:t>
            </w:r>
          </w:p>
        </w:tc>
      </w:tr>
      <w:tr w14:paraId="3C675E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1865D638">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2140" w:type="dxa"/>
            <w:gridSpan w:val="2"/>
            <w:vAlign w:val="center"/>
          </w:tcPr>
          <w:p w14:paraId="7B98E6C8">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招标代理费</w:t>
            </w:r>
          </w:p>
        </w:tc>
        <w:tc>
          <w:tcPr>
            <w:tcW w:w="6919" w:type="dxa"/>
            <w:vAlign w:val="center"/>
          </w:tcPr>
          <w:p w14:paraId="38AA695A">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代理服务费金额：</w:t>
            </w:r>
            <w:r>
              <w:rPr>
                <w:rFonts w:hint="eastAsia" w:ascii="宋体" w:hAnsi="宋体" w:cs="宋体"/>
                <w:color w:val="auto"/>
                <w:sz w:val="24"/>
                <w:szCs w:val="24"/>
                <w:highlight w:val="none"/>
                <w:lang w:val="en-US" w:eastAsia="zh-CN"/>
              </w:rPr>
              <w:t>4500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eastAsia="zh-CN"/>
              </w:rPr>
              <w:t>(参考计价格[2002]1980号文件50%)</w:t>
            </w:r>
            <w:r>
              <w:rPr>
                <w:rFonts w:hint="eastAsia" w:ascii="宋体" w:hAnsi="宋体" w:eastAsia="宋体" w:cs="宋体"/>
                <w:color w:val="auto"/>
                <w:sz w:val="24"/>
                <w:szCs w:val="24"/>
                <w:highlight w:val="none"/>
              </w:rPr>
              <w:t>。</w:t>
            </w:r>
          </w:p>
          <w:p w14:paraId="5289A2C3">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代理服务费支付主体：中标单位。</w:t>
            </w:r>
          </w:p>
          <w:p w14:paraId="0CA95AB5">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专家评审费支付主体：</w:t>
            </w:r>
            <w:r>
              <w:rPr>
                <w:rFonts w:hint="eastAsia" w:ascii="宋体" w:hAnsi="宋体" w:eastAsia="宋体" w:cs="宋体"/>
                <w:color w:val="auto"/>
                <w:sz w:val="24"/>
                <w:szCs w:val="24"/>
                <w:highlight w:val="none"/>
                <w:lang w:val="en-US" w:eastAsia="zh-CN"/>
              </w:rPr>
              <w:t>招标单位</w:t>
            </w:r>
            <w:r>
              <w:rPr>
                <w:rFonts w:hint="eastAsia" w:ascii="宋体" w:hAnsi="宋体" w:eastAsia="宋体" w:cs="宋体"/>
                <w:color w:val="auto"/>
                <w:sz w:val="24"/>
                <w:szCs w:val="24"/>
                <w:highlight w:val="none"/>
              </w:rPr>
              <w:t>。</w:t>
            </w:r>
          </w:p>
        </w:tc>
      </w:tr>
      <w:tr w14:paraId="35729B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1048" w:type="dxa"/>
            <w:vAlign w:val="center"/>
          </w:tcPr>
          <w:p w14:paraId="6C10CCB2">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w:t>
            </w:r>
          </w:p>
        </w:tc>
        <w:tc>
          <w:tcPr>
            <w:tcW w:w="2140" w:type="dxa"/>
            <w:gridSpan w:val="2"/>
            <w:vAlign w:val="center"/>
          </w:tcPr>
          <w:p w14:paraId="0295400A">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投标人提出疑问的截止时间及方式</w:t>
            </w:r>
          </w:p>
        </w:tc>
        <w:tc>
          <w:tcPr>
            <w:tcW w:w="6919" w:type="dxa"/>
            <w:vAlign w:val="center"/>
          </w:tcPr>
          <w:p w14:paraId="6217100C">
            <w:pPr>
              <w:pStyle w:val="19"/>
              <w:keepNext w:val="0"/>
              <w:keepLines w:val="0"/>
              <w:pageBreakBefore w:val="0"/>
              <w:widowControl w:val="0"/>
              <w:shd w:val="clear"/>
              <w:kinsoku/>
              <w:wordWrap w:val="0"/>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如投标人对招标文件有疑问，请于</w:t>
            </w:r>
            <w:r>
              <w:rPr>
                <w:rFonts w:hint="eastAsia" w:ascii="宋体" w:hAnsi="宋体" w:eastAsia="宋体" w:cs="宋体"/>
                <w:b/>
                <w:bCs/>
                <w:color w:val="auto"/>
                <w:sz w:val="24"/>
                <w:szCs w:val="24"/>
                <w:highlight w:val="none"/>
              </w:rPr>
              <w:t>202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月</w:t>
            </w:r>
            <w:r>
              <w:rPr>
                <w:rFonts w:hint="eastAsia" w:hAnsi="宋体" w:cs="宋体"/>
                <w:b/>
                <w:bCs/>
                <w:color w:val="auto"/>
                <w:sz w:val="24"/>
                <w:szCs w:val="24"/>
                <w:highlight w:val="none"/>
                <w:lang w:val="en-US" w:eastAsia="zh-CN"/>
              </w:rPr>
              <w:t>31</w:t>
            </w: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0</w:t>
            </w:r>
            <w:r>
              <w:rPr>
                <w:rFonts w:hint="eastAsia"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时</w:t>
            </w:r>
            <w:r>
              <w:rPr>
                <w:rFonts w:hint="eastAsia"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0分</w:t>
            </w:r>
            <w:r>
              <w:rPr>
                <w:rFonts w:hint="eastAsia" w:ascii="宋体" w:hAnsi="宋体" w:eastAsia="宋体" w:cs="宋体"/>
                <w:color w:val="auto"/>
                <w:sz w:val="24"/>
                <w:szCs w:val="24"/>
                <w:highlight w:val="none"/>
              </w:rPr>
              <w:t xml:space="preserve">（投标截止10日）前在滁州市公共资源交易中心网电子交易系统中进行异议（质疑），具体操作步骤和程序请参见服务指南&gt;交易须知&gt;在线异议、质疑和投诉操作手册。 </w:t>
            </w:r>
          </w:p>
        </w:tc>
      </w:tr>
      <w:tr w14:paraId="31195C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1048" w:type="dxa"/>
            <w:vAlign w:val="center"/>
          </w:tcPr>
          <w:p w14:paraId="26F159C1">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16.4</w:t>
            </w:r>
          </w:p>
        </w:tc>
        <w:tc>
          <w:tcPr>
            <w:tcW w:w="2140" w:type="dxa"/>
            <w:gridSpan w:val="2"/>
            <w:vAlign w:val="center"/>
          </w:tcPr>
          <w:p w14:paraId="7BF75BD0">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招标人澄清的时间及方式</w:t>
            </w:r>
          </w:p>
        </w:tc>
        <w:tc>
          <w:tcPr>
            <w:tcW w:w="6919" w:type="dxa"/>
            <w:vAlign w:val="center"/>
          </w:tcPr>
          <w:p w14:paraId="734C1AB6">
            <w:pPr>
              <w:keepNext w:val="0"/>
              <w:keepLines w:val="0"/>
              <w:pageBreakBefore w:val="0"/>
              <w:widowControl w:val="0"/>
              <w:shd w:val="clear"/>
              <w:kinsoku/>
              <w:wordWrap w:val="0"/>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u w:color="000000"/>
              </w:rPr>
              <w:t>202</w:t>
            </w:r>
            <w:r>
              <w:rPr>
                <w:rFonts w:hint="eastAsia" w:ascii="宋体" w:hAnsi="宋体" w:eastAsia="宋体" w:cs="宋体"/>
                <w:b/>
                <w:bCs/>
                <w:color w:val="auto"/>
                <w:sz w:val="24"/>
                <w:szCs w:val="24"/>
                <w:highlight w:val="none"/>
                <w:u w:color="000000"/>
                <w:lang w:val="en-US" w:eastAsia="zh-CN"/>
              </w:rPr>
              <w:t>6</w:t>
            </w:r>
            <w:r>
              <w:rPr>
                <w:rFonts w:hint="eastAsia" w:ascii="宋体" w:hAnsi="宋体" w:eastAsia="宋体" w:cs="宋体"/>
                <w:b/>
                <w:bCs/>
                <w:color w:val="auto"/>
                <w:sz w:val="24"/>
                <w:szCs w:val="24"/>
                <w:highlight w:val="none"/>
                <w:u w:color="000000"/>
              </w:rPr>
              <w:t>年</w:t>
            </w:r>
            <w:r>
              <w:rPr>
                <w:rFonts w:hint="eastAsia" w:ascii="宋体" w:hAnsi="宋体" w:cs="宋体"/>
                <w:b/>
                <w:bCs/>
                <w:color w:val="auto"/>
                <w:sz w:val="24"/>
                <w:szCs w:val="24"/>
                <w:highlight w:val="none"/>
                <w:u w:color="000000"/>
                <w:lang w:val="en-US" w:eastAsia="zh-CN"/>
              </w:rPr>
              <w:t>9</w:t>
            </w:r>
            <w:r>
              <w:rPr>
                <w:rFonts w:hint="eastAsia" w:ascii="宋体" w:hAnsi="宋体" w:eastAsia="宋体" w:cs="宋体"/>
                <w:b/>
                <w:bCs/>
                <w:color w:val="auto"/>
                <w:sz w:val="24"/>
                <w:szCs w:val="24"/>
                <w:highlight w:val="none"/>
                <w:u w:color="000000"/>
              </w:rPr>
              <w:t>月</w:t>
            </w:r>
            <w:r>
              <w:rPr>
                <w:rFonts w:hint="eastAsia" w:ascii="宋体" w:hAnsi="宋体" w:cs="宋体"/>
                <w:b/>
                <w:bCs/>
                <w:color w:val="auto"/>
                <w:sz w:val="24"/>
                <w:szCs w:val="24"/>
                <w:highlight w:val="none"/>
                <w:u w:color="000000"/>
                <w:lang w:val="en-US" w:eastAsia="zh-CN"/>
              </w:rPr>
              <w:t>1</w:t>
            </w:r>
            <w:r>
              <w:rPr>
                <w:rFonts w:hint="eastAsia" w:ascii="宋体" w:hAnsi="宋体" w:eastAsia="宋体" w:cs="宋体"/>
                <w:b/>
                <w:bCs/>
                <w:color w:val="auto"/>
                <w:sz w:val="24"/>
                <w:szCs w:val="24"/>
                <w:highlight w:val="none"/>
                <w:u w:color="000000"/>
              </w:rPr>
              <w:t>日17时</w:t>
            </w:r>
            <w:r>
              <w:rPr>
                <w:rFonts w:hint="eastAsia" w:ascii="宋体" w:hAnsi="宋体" w:eastAsia="宋体" w:cs="宋体"/>
                <w:b/>
                <w:bCs/>
                <w:color w:val="auto"/>
                <w:sz w:val="24"/>
                <w:szCs w:val="24"/>
                <w:highlight w:val="none"/>
              </w:rPr>
              <w:t>前</w:t>
            </w:r>
            <w:r>
              <w:rPr>
                <w:rFonts w:hint="eastAsia" w:ascii="宋体" w:hAnsi="宋体" w:eastAsia="宋体" w:cs="宋体"/>
                <w:color w:val="auto"/>
                <w:sz w:val="24"/>
                <w:szCs w:val="24"/>
                <w:highlight w:val="none"/>
              </w:rPr>
              <w:t>以澄清公告形式在滁州市公共资源交易网（http://ggzy.chuzhou.gov.cn /）“答疑澄清文件”栏目予以公告。</w:t>
            </w:r>
          </w:p>
        </w:tc>
      </w:tr>
      <w:tr w14:paraId="7482F4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74773649">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w:t>
            </w:r>
          </w:p>
        </w:tc>
        <w:tc>
          <w:tcPr>
            <w:tcW w:w="2140" w:type="dxa"/>
            <w:gridSpan w:val="2"/>
            <w:vAlign w:val="center"/>
          </w:tcPr>
          <w:p w14:paraId="77FD3CA6">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6919" w:type="dxa"/>
            <w:vAlign w:val="center"/>
          </w:tcPr>
          <w:p w14:paraId="5540C305">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投标有效期为</w:t>
            </w:r>
            <w:r>
              <w:rPr>
                <w:rFonts w:hint="eastAsia" w:ascii="宋体" w:hAnsi="宋体" w:eastAsia="宋体" w:cs="宋体"/>
                <w:color w:val="auto"/>
                <w:sz w:val="24"/>
                <w:szCs w:val="24"/>
                <w:highlight w:val="none"/>
                <w:u w:val="single"/>
              </w:rPr>
              <w:t xml:space="preserve"> 90 </w:t>
            </w:r>
            <w:r>
              <w:rPr>
                <w:rFonts w:hint="eastAsia" w:ascii="宋体" w:hAnsi="宋体" w:eastAsia="宋体" w:cs="宋体"/>
                <w:color w:val="auto"/>
                <w:sz w:val="24"/>
                <w:szCs w:val="24"/>
                <w:highlight w:val="none"/>
              </w:rPr>
              <w:t>日历天（从投标截止之日算起）。在此期限内，凡符合本招标文件要求的投标文件均保持有效。</w:t>
            </w:r>
          </w:p>
        </w:tc>
      </w:tr>
      <w:tr w14:paraId="1BD461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1048" w:type="dxa"/>
            <w:vAlign w:val="center"/>
          </w:tcPr>
          <w:p w14:paraId="66C28A3F">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140" w:type="dxa"/>
            <w:gridSpan w:val="2"/>
            <w:vAlign w:val="center"/>
          </w:tcPr>
          <w:p w14:paraId="0C8B6233">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6919" w:type="dxa"/>
          </w:tcPr>
          <w:p w14:paraId="19395677">
            <w:pPr>
              <w:keepNext w:val="0"/>
              <w:keepLines w:val="0"/>
              <w:pageBreakBefore w:val="0"/>
              <w:widowControl/>
              <w:shd w:val="clear" w:color="auto"/>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详见第一章“招标公告”</w:t>
            </w:r>
          </w:p>
        </w:tc>
      </w:tr>
      <w:tr w14:paraId="480A8B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24923DFF">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w:t>
            </w:r>
          </w:p>
        </w:tc>
        <w:tc>
          <w:tcPr>
            <w:tcW w:w="2140" w:type="dxa"/>
            <w:gridSpan w:val="2"/>
            <w:vAlign w:val="center"/>
          </w:tcPr>
          <w:p w14:paraId="0E517D6F">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投标文件数量</w:t>
            </w:r>
          </w:p>
        </w:tc>
        <w:tc>
          <w:tcPr>
            <w:tcW w:w="6919" w:type="dxa"/>
            <w:vAlign w:val="center"/>
          </w:tcPr>
          <w:p w14:paraId="5794973B">
            <w:pPr>
              <w:keepNext w:val="0"/>
              <w:keepLines w:val="0"/>
              <w:pageBreakBefore w:val="0"/>
              <w:widowControl/>
              <w:shd w:val="clear"/>
              <w:kinsoku/>
              <w:overflowPunct/>
              <w:autoSpaceDE/>
              <w:autoSpaceDN/>
              <w:bidi w:val="0"/>
              <w:spacing w:line="480" w:lineRule="exact"/>
              <w:ind w:firstLine="100" w:firstLineChars="42"/>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网上递交的电子投标文件：一份。以投标人在投标截止时间前网上递交的电子投标文件为准，逾期提交的，投标文件将被拒绝。</w:t>
            </w:r>
          </w:p>
          <w:p w14:paraId="6EF76A6F">
            <w:pPr>
              <w:keepNext w:val="0"/>
              <w:keepLines w:val="0"/>
              <w:pageBreakBefore w:val="0"/>
              <w:widowControl/>
              <w:shd w:val="clear"/>
              <w:kinsoku/>
              <w:overflowPunct/>
              <w:autoSpaceDE/>
              <w:autoSpaceDN/>
              <w:bidi w:val="0"/>
              <w:spacing w:line="480" w:lineRule="exact"/>
              <w:ind w:firstLine="100" w:firstLineChars="42"/>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（投标单位中标后须递交与网上电子投标文件完全一致的纸质版投标文件，并按要求加盖公章；份数：正本1份，副本2份；中标单位领取中标通知书时，一并递交给代理机构）</w:t>
            </w:r>
          </w:p>
        </w:tc>
      </w:tr>
      <w:tr w14:paraId="42EE8F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31677B3C">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w:t>
            </w:r>
          </w:p>
        </w:tc>
        <w:tc>
          <w:tcPr>
            <w:tcW w:w="2140" w:type="dxa"/>
            <w:gridSpan w:val="2"/>
            <w:vAlign w:val="center"/>
          </w:tcPr>
          <w:p w14:paraId="46655E2E">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签字或盖章要求</w:t>
            </w:r>
          </w:p>
        </w:tc>
        <w:tc>
          <w:tcPr>
            <w:tcW w:w="6919" w:type="dxa"/>
            <w:vAlign w:val="center"/>
          </w:tcPr>
          <w:p w14:paraId="3BD525D3">
            <w:pPr>
              <w:keepNext w:val="0"/>
              <w:keepLines w:val="0"/>
              <w:pageBreakBefore w:val="0"/>
              <w:widowControl/>
              <w:shd w:val="clear"/>
              <w:kinsoku/>
              <w:overflowPunct/>
              <w:autoSpaceDE/>
              <w:autoSpaceDN/>
              <w:bidi w:val="0"/>
              <w:spacing w:line="480" w:lineRule="exact"/>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电子投标文件须按格式文件要求签字或盖章（电子签章），招标文件格式中要求“签章”部位，指电子签章或盖章后扫描上传均可。</w:t>
            </w:r>
          </w:p>
          <w:p w14:paraId="109A3BBA">
            <w:pPr>
              <w:keepNext w:val="0"/>
              <w:keepLines w:val="0"/>
              <w:pageBreakBefore w:val="0"/>
              <w:widowControl/>
              <w:shd w:val="clear"/>
              <w:kinsoku/>
              <w:overflowPunct/>
              <w:autoSpaceDE/>
              <w:autoSpaceDN/>
              <w:bidi w:val="0"/>
              <w:spacing w:line="480" w:lineRule="exact"/>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否则经评委会一致认定且经过招投标监管部门批准后，按照无效投标处理。</w:t>
            </w:r>
          </w:p>
        </w:tc>
      </w:tr>
      <w:tr w14:paraId="7E1EF6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 w:hRule="atLeast"/>
        </w:trPr>
        <w:tc>
          <w:tcPr>
            <w:tcW w:w="1048" w:type="dxa"/>
            <w:vAlign w:val="center"/>
          </w:tcPr>
          <w:p w14:paraId="7BAC04FC">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w:t>
            </w:r>
          </w:p>
        </w:tc>
        <w:tc>
          <w:tcPr>
            <w:tcW w:w="2140" w:type="dxa"/>
            <w:gridSpan w:val="2"/>
            <w:vAlign w:val="center"/>
          </w:tcPr>
          <w:p w14:paraId="061F7399">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投标文件提交截止时间</w:t>
            </w:r>
          </w:p>
        </w:tc>
        <w:tc>
          <w:tcPr>
            <w:tcW w:w="6919" w:type="dxa"/>
            <w:vAlign w:val="center"/>
          </w:tcPr>
          <w:p w14:paraId="6C62444C">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网上递交投标文件截止时间：</w:t>
            </w:r>
            <w:r>
              <w:rPr>
                <w:rFonts w:hint="eastAsia" w:ascii="宋体" w:hAnsi="宋体" w:eastAsia="宋体" w:cs="宋体"/>
                <w:b/>
                <w:bCs/>
                <w:color w:val="auto"/>
                <w:sz w:val="24"/>
                <w:szCs w:val="24"/>
                <w:highlight w:val="none"/>
              </w:rPr>
              <w:t>202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0分（北京时间）</w:t>
            </w:r>
          </w:p>
          <w:p w14:paraId="2EFCEA5D">
            <w:pPr>
              <w:keepNext w:val="0"/>
              <w:keepLines w:val="0"/>
              <w:pageBreakBefore w:val="0"/>
              <w:shd w:val="clear"/>
              <w:kinsoku/>
              <w:overflowPunct/>
              <w:autoSpaceDE/>
              <w:autoSpaceDN/>
              <w:bidi w:val="0"/>
              <w:spacing w:line="480" w:lineRule="exact"/>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注：以投标人在投标截止时间前网上递交的电子投标文件为准，逾期提交的，投标文件将被拒绝。</w:t>
            </w:r>
          </w:p>
          <w:p w14:paraId="0C116C23">
            <w:pPr>
              <w:keepNext w:val="0"/>
              <w:keepLines w:val="0"/>
              <w:pageBreakBefore w:val="0"/>
              <w:shd w:val="clear"/>
              <w:kinsoku/>
              <w:wordWrap w:val="0"/>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1.解密程序开始后60分钟内（以本项目网上招投标系统解密倒计时为准）。</w:t>
            </w:r>
          </w:p>
          <w:p w14:paraId="50E733F0">
            <w:pPr>
              <w:keepNext w:val="0"/>
              <w:keepLines w:val="0"/>
              <w:pageBreakBefore w:val="0"/>
              <w:shd w:val="clear"/>
              <w:kinsoku/>
              <w:wordWrap w:val="0"/>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2.解密时间为202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0</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0分至202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0分。</w:t>
            </w:r>
          </w:p>
        </w:tc>
      </w:tr>
      <w:tr w14:paraId="0AF05A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0E80AE6E">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w:t>
            </w:r>
          </w:p>
        </w:tc>
        <w:tc>
          <w:tcPr>
            <w:tcW w:w="2140" w:type="dxa"/>
            <w:gridSpan w:val="2"/>
            <w:vAlign w:val="center"/>
          </w:tcPr>
          <w:p w14:paraId="1A1347DE">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开标时间及地点</w:t>
            </w:r>
          </w:p>
        </w:tc>
        <w:tc>
          <w:tcPr>
            <w:tcW w:w="6919" w:type="dxa"/>
            <w:vAlign w:val="center"/>
          </w:tcPr>
          <w:p w14:paraId="549FE70E">
            <w:pPr>
              <w:keepNext w:val="0"/>
              <w:keepLines w:val="0"/>
              <w:pageBreakBefore w:val="0"/>
              <w:shd w:val="clear"/>
              <w:kinsoku/>
              <w:overflowPunct/>
              <w:autoSpaceDE/>
              <w:autoSpaceDN/>
              <w:bidi w:val="0"/>
              <w:spacing w:line="48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开标时间：</w:t>
            </w:r>
            <w:r>
              <w:rPr>
                <w:rFonts w:hint="eastAsia" w:ascii="宋体" w:hAnsi="宋体" w:eastAsia="宋体" w:cs="宋体"/>
                <w:b/>
                <w:bCs/>
                <w:color w:val="auto"/>
                <w:sz w:val="24"/>
                <w:szCs w:val="24"/>
                <w:highlight w:val="none"/>
              </w:rPr>
              <w:t>202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0分（北京时间）</w:t>
            </w:r>
          </w:p>
          <w:p w14:paraId="7DF892C9">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开标地点：滁州市公共资源交易中心(滁州市龙蟠大道109号房产商务大厦二楼)</w:t>
            </w:r>
          </w:p>
        </w:tc>
      </w:tr>
      <w:tr w14:paraId="4A5AC7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48" w:type="dxa"/>
            <w:vAlign w:val="center"/>
          </w:tcPr>
          <w:p w14:paraId="0E552998">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.3</w:t>
            </w:r>
          </w:p>
        </w:tc>
        <w:tc>
          <w:tcPr>
            <w:tcW w:w="2140" w:type="dxa"/>
            <w:gridSpan w:val="2"/>
            <w:vAlign w:val="center"/>
          </w:tcPr>
          <w:p w14:paraId="2CE51403">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开标程序</w:t>
            </w:r>
          </w:p>
        </w:tc>
        <w:tc>
          <w:tcPr>
            <w:tcW w:w="6919" w:type="dxa"/>
            <w:vAlign w:val="center"/>
          </w:tcPr>
          <w:p w14:paraId="3AD06AA7">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开标顺序：解密电子投标文件后，由评标委员会评审。</w:t>
            </w:r>
          </w:p>
        </w:tc>
      </w:tr>
      <w:tr w14:paraId="7E0B1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1048" w:type="dxa"/>
            <w:vAlign w:val="center"/>
          </w:tcPr>
          <w:p w14:paraId="2326C1DB">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.1</w:t>
            </w:r>
          </w:p>
        </w:tc>
        <w:tc>
          <w:tcPr>
            <w:tcW w:w="2140" w:type="dxa"/>
            <w:gridSpan w:val="2"/>
            <w:vAlign w:val="center"/>
          </w:tcPr>
          <w:p w14:paraId="3CCD0D37">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评标委员会的组建</w:t>
            </w:r>
          </w:p>
        </w:tc>
        <w:tc>
          <w:tcPr>
            <w:tcW w:w="6919" w:type="dxa"/>
          </w:tcPr>
          <w:p w14:paraId="2AFB3A49">
            <w:pPr>
              <w:keepNext w:val="0"/>
              <w:keepLines w:val="0"/>
              <w:pageBreakBefore w:val="0"/>
              <w:kinsoku/>
              <w:wordWrap w:val="0"/>
              <w:overflowPunct/>
              <w:topLinePunct w:val="0"/>
              <w:autoSpaceDE/>
              <w:autoSpaceDN/>
              <w:bidi w:val="0"/>
              <w:adjustRightIn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评标委员会构成：</w:t>
            </w:r>
            <w:r>
              <w:rPr>
                <w:rFonts w:hint="eastAsia" w:ascii="宋体" w:hAnsi="宋体" w:eastAsia="宋体" w:cs="宋体"/>
                <w:color w:val="auto"/>
                <w:sz w:val="24"/>
                <w:szCs w:val="24"/>
                <w:highlight w:val="none"/>
                <w:lang w:val="en-US" w:eastAsia="zh-CN"/>
              </w:rPr>
              <w:t>招标人依法组建</w:t>
            </w:r>
            <w:r>
              <w:rPr>
                <w:rFonts w:hint="eastAsia" w:ascii="宋体" w:hAnsi="宋体" w:eastAsia="宋体" w:cs="宋体"/>
                <w:color w:val="auto"/>
                <w:sz w:val="24"/>
                <w:szCs w:val="24"/>
                <w:highlight w:val="none"/>
              </w:rPr>
              <w:t>。</w:t>
            </w:r>
          </w:p>
          <w:p w14:paraId="652A9BEE">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评标专家确定方式：</w:t>
            </w:r>
            <w:r>
              <w:rPr>
                <w:rFonts w:hint="eastAsia" w:ascii="宋体" w:hAnsi="宋体" w:eastAsia="宋体" w:cs="宋体"/>
                <w:color w:val="auto"/>
                <w:sz w:val="24"/>
                <w:szCs w:val="24"/>
                <w:highlight w:val="none"/>
                <w:lang w:eastAsia="zh-CN"/>
              </w:rPr>
              <w:t>评标专家由招标人在评标活动开始前</w:t>
            </w:r>
            <w:r>
              <w:rPr>
                <w:rFonts w:hint="eastAsia" w:ascii="宋体" w:hAnsi="宋体" w:eastAsia="宋体" w:cs="宋体"/>
                <w:color w:val="auto"/>
                <w:sz w:val="24"/>
                <w:szCs w:val="24"/>
                <w:highlight w:val="none"/>
                <w:lang w:val="en-US" w:eastAsia="zh-CN"/>
              </w:rPr>
              <w:t>24小时内，通过抽取终端从专家库中随机抽取</w:t>
            </w:r>
            <w:r>
              <w:rPr>
                <w:rFonts w:hint="eastAsia" w:ascii="宋体" w:hAnsi="宋体" w:eastAsia="宋体" w:cs="宋体"/>
                <w:color w:val="auto"/>
                <w:sz w:val="24"/>
                <w:szCs w:val="24"/>
                <w:highlight w:val="none"/>
              </w:rPr>
              <w:t>。</w:t>
            </w:r>
          </w:p>
        </w:tc>
      </w:tr>
      <w:tr w14:paraId="1BCE86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48" w:type="dxa"/>
            <w:vAlign w:val="center"/>
          </w:tcPr>
          <w:p w14:paraId="61A4D817">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32.1.1</w:t>
            </w:r>
          </w:p>
        </w:tc>
        <w:tc>
          <w:tcPr>
            <w:tcW w:w="2140" w:type="dxa"/>
            <w:gridSpan w:val="2"/>
            <w:vAlign w:val="center"/>
          </w:tcPr>
          <w:p w14:paraId="0FE5EC0D">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是否授权评标委员会确定中标候选人</w:t>
            </w:r>
          </w:p>
        </w:tc>
        <w:tc>
          <w:tcPr>
            <w:tcW w:w="6919" w:type="dxa"/>
            <w:vAlign w:val="center"/>
          </w:tcPr>
          <w:p w14:paraId="2A245155">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是，评标委员会推荐3名中标候选人。</w:t>
            </w:r>
          </w:p>
        </w:tc>
      </w:tr>
      <w:tr w14:paraId="4D7BBF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1048" w:type="dxa"/>
            <w:vAlign w:val="center"/>
          </w:tcPr>
          <w:p w14:paraId="0BF41B2E">
            <w:pPr>
              <w:pStyle w:val="19"/>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32.1.2</w:t>
            </w:r>
          </w:p>
        </w:tc>
        <w:tc>
          <w:tcPr>
            <w:tcW w:w="2140" w:type="dxa"/>
            <w:gridSpan w:val="2"/>
            <w:vAlign w:val="center"/>
          </w:tcPr>
          <w:p w14:paraId="186885AA">
            <w:pPr>
              <w:pStyle w:val="19"/>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中标结果公告媒介及期限</w:t>
            </w:r>
          </w:p>
        </w:tc>
        <w:tc>
          <w:tcPr>
            <w:tcW w:w="6919" w:type="dxa"/>
          </w:tcPr>
          <w:p w14:paraId="16AED702">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公示媒介：同招标公告发布媒介</w:t>
            </w:r>
          </w:p>
          <w:p w14:paraId="49212326">
            <w:pPr>
              <w:pStyle w:val="19"/>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z w:val="24"/>
                <w:szCs w:val="24"/>
                <w:highlight w:val="none"/>
              </w:rPr>
              <w:t>公示期限：公示发布次日起3日（如公示第三日为休息日或节假日，则顺延至休息日或节假日后第一个工作日）</w:t>
            </w:r>
          </w:p>
        </w:tc>
      </w:tr>
      <w:tr w14:paraId="00503D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restart"/>
            <w:vAlign w:val="center"/>
          </w:tcPr>
          <w:p w14:paraId="49554EAB">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w:t>
            </w:r>
          </w:p>
        </w:tc>
        <w:tc>
          <w:tcPr>
            <w:tcW w:w="2140" w:type="dxa"/>
            <w:gridSpan w:val="2"/>
            <w:vAlign w:val="center"/>
          </w:tcPr>
          <w:p w14:paraId="4084D845">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w:t>
            </w:r>
          </w:p>
        </w:tc>
        <w:tc>
          <w:tcPr>
            <w:tcW w:w="6919" w:type="dxa"/>
            <w:vAlign w:val="center"/>
          </w:tcPr>
          <w:p w14:paraId="2C71C974">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中标通知书须加盖公共资源交易中心见证章后方可发出。</w:t>
            </w:r>
          </w:p>
        </w:tc>
      </w:tr>
      <w:tr w14:paraId="788762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continue"/>
            <w:vAlign w:val="center"/>
          </w:tcPr>
          <w:p w14:paraId="7FDC9494">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p>
        </w:tc>
        <w:tc>
          <w:tcPr>
            <w:tcW w:w="2140" w:type="dxa"/>
            <w:gridSpan w:val="2"/>
            <w:vAlign w:val="center"/>
          </w:tcPr>
          <w:p w14:paraId="68550CCF">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中标通知书发出形式</w:t>
            </w:r>
          </w:p>
        </w:tc>
        <w:tc>
          <w:tcPr>
            <w:tcW w:w="6919" w:type="dxa"/>
            <w:vAlign w:val="center"/>
          </w:tcPr>
          <w:p w14:paraId="2547DFDF">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数据电文</w:t>
            </w:r>
          </w:p>
        </w:tc>
      </w:tr>
      <w:tr w14:paraId="7AF683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1048" w:type="dxa"/>
            <w:vAlign w:val="center"/>
          </w:tcPr>
          <w:p w14:paraId="542601D6">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2140" w:type="dxa"/>
            <w:gridSpan w:val="2"/>
            <w:vAlign w:val="center"/>
          </w:tcPr>
          <w:p w14:paraId="716A3183">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履约担保</w:t>
            </w:r>
          </w:p>
        </w:tc>
        <w:tc>
          <w:tcPr>
            <w:tcW w:w="6919" w:type="dxa"/>
            <w:vAlign w:val="center"/>
          </w:tcPr>
          <w:p w14:paraId="5760E3BE">
            <w:pPr>
              <w:keepNext w:val="0"/>
              <w:keepLines w:val="0"/>
              <w:pageBreakBefore w:val="0"/>
              <w:shd w:val="clear"/>
              <w:tabs>
                <w:tab w:val="left" w:pos="5034"/>
              </w:tabs>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是否收取履约担保：收取</w:t>
            </w:r>
          </w:p>
          <w:p w14:paraId="40B1309B">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履约担保的形式：支持银行转账、银行电汇、银行保函、担保机构担保、保证保险使用 </w:t>
            </w:r>
          </w:p>
          <w:p w14:paraId="7E6A3EA8">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履约担保的金额：</w:t>
            </w:r>
            <w:r>
              <w:rPr>
                <w:rFonts w:hint="eastAsia" w:ascii="宋体" w:hAnsi="宋体" w:eastAsia="宋体" w:cs="宋体"/>
                <w:color w:val="auto"/>
                <w:sz w:val="24"/>
                <w:szCs w:val="24"/>
                <w:highlight w:val="none"/>
                <w:lang w:val="en-US" w:eastAsia="zh-CN"/>
              </w:rPr>
              <w:t>中标价</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×2%，千位取整</w:t>
            </w:r>
          </w:p>
          <w:p w14:paraId="6D0EC168">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收款单位：另行通知</w:t>
            </w:r>
          </w:p>
          <w:p w14:paraId="7537DFA8">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开户行、账号：另行通知</w:t>
            </w:r>
          </w:p>
          <w:p w14:paraId="5FA9CA10">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缴纳时间：签订合同前缴纳。</w:t>
            </w:r>
          </w:p>
          <w:p w14:paraId="37BAE66A">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履约保证金退还方式：</w:t>
            </w:r>
            <w:r>
              <w:rPr>
                <w:rFonts w:hint="eastAsia" w:ascii="宋体" w:hAnsi="宋体" w:cs="宋体"/>
                <w:color w:val="auto"/>
                <w:sz w:val="24"/>
                <w:szCs w:val="24"/>
                <w:highlight w:val="none"/>
                <w:lang w:val="en-US" w:eastAsia="zh-CN"/>
              </w:rPr>
              <w:t>验收合格</w:t>
            </w:r>
            <w:r>
              <w:rPr>
                <w:rFonts w:hint="eastAsia" w:ascii="宋体" w:hAnsi="宋体" w:eastAsia="宋体" w:cs="宋体"/>
                <w:color w:val="auto"/>
                <w:sz w:val="24"/>
                <w:szCs w:val="24"/>
                <w:highlight w:val="none"/>
              </w:rPr>
              <w:t>后一次性退还。</w:t>
            </w:r>
          </w:p>
          <w:p w14:paraId="3AF19EE3">
            <w:pPr>
              <w:keepNext w:val="0"/>
              <w:keepLines w:val="0"/>
              <w:pageBreakBefore w:val="0"/>
              <w:shd w:val="clear"/>
              <w:kinsoku/>
              <w:overflow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其他相关要求：保函内容及格式等均须经招标人认可。</w:t>
            </w:r>
          </w:p>
        </w:tc>
      </w:tr>
      <w:tr w14:paraId="120850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57336682">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招标文件获取方式和时间</w:t>
            </w:r>
          </w:p>
        </w:tc>
        <w:tc>
          <w:tcPr>
            <w:tcW w:w="8181" w:type="dxa"/>
            <w:gridSpan w:val="2"/>
          </w:tcPr>
          <w:p w14:paraId="2E967195">
            <w:pPr>
              <w:keepNext w:val="0"/>
              <w:keepLines w:val="0"/>
              <w:pageBreakBefore w:val="0"/>
              <w:shd w:val="clear"/>
              <w:kinsoku/>
              <w:overflowPunct/>
              <w:topLine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招标文件获取方式：网上下载；</w:t>
            </w:r>
          </w:p>
          <w:p w14:paraId="49654C59">
            <w:pPr>
              <w:keepNext w:val="0"/>
              <w:keepLines w:val="0"/>
              <w:pageBreakBefore w:val="0"/>
              <w:shd w:val="clear"/>
              <w:kinsoku/>
              <w:overflowPunct/>
              <w:topLinePunct/>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获取时间：招标文件发布至投标截止时间。</w:t>
            </w:r>
          </w:p>
        </w:tc>
      </w:tr>
      <w:tr w14:paraId="02C1D3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5D746F94">
            <w:pPr>
              <w:keepNext w:val="0"/>
              <w:keepLines w:val="0"/>
              <w:pageBreakBefore w:val="0"/>
              <w:shd w:val="clear"/>
              <w:kinsoku/>
              <w:overflowPunct/>
              <w:autoSpaceDE/>
              <w:autoSpaceDN/>
              <w:bidi w:val="0"/>
              <w:adjustRightInd w:val="0"/>
              <w:snapToGrid w:val="0"/>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w:t>
            </w:r>
          </w:p>
        </w:tc>
        <w:tc>
          <w:tcPr>
            <w:tcW w:w="8181" w:type="dxa"/>
            <w:gridSpan w:val="2"/>
            <w:shd w:val="clear" w:color="auto" w:fill="auto"/>
          </w:tcPr>
          <w:p w14:paraId="7130C23A">
            <w:pPr>
              <w:keepNext w:val="0"/>
              <w:keepLines w:val="0"/>
              <w:pageBreakBefore w:val="0"/>
              <w:widowControl w:val="0"/>
              <w:shd w:val="clear"/>
              <w:kinsoku/>
              <w:wordWrap w:val="0"/>
              <w:overflowPunct/>
              <w:topLinePunct w:val="0"/>
              <w:autoSpaceDE/>
              <w:autoSpaceDN/>
              <w:bidi w:val="0"/>
              <w:adjustRightInd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投标人或者其他利害关系人认为招标投标活动违反法律、法规和规章规定的，有权向相关行政监督部门投诉。在线投诉具体步骤和程序请参照服务指南&gt;投诉渠道 </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"https://ggzy.chuzhou.gov.cn/fwzn/011001/serviceGuide.html"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https://ggzy.chuzhou.gov.cn/fwzn/011001/serviceGuide.html</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；投诉书格式等内容参见服务指南&gt;办事指南&gt;投标人服务&gt;投诉受理一次告知书https://ggzy.chuzhou.gov.cn/fwzn/011001/011001001/011001001003/20211022/4b7d87ec-2c58-49b0-b76c-3a6277377930.html。</w:t>
            </w:r>
          </w:p>
        </w:tc>
      </w:tr>
      <w:tr w14:paraId="64BB76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0585019D">
            <w:pPr>
              <w:keepNext w:val="0"/>
              <w:keepLines w:val="0"/>
              <w:pageBreakBefore w:val="0"/>
              <w:widowControl/>
              <w:shd w:val="clear"/>
              <w:kinsoku/>
              <w:overflowPunct/>
              <w:autoSpaceDE/>
              <w:autoSpaceDN/>
              <w:bidi w:val="0"/>
              <w:spacing w:line="48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特别提示</w:t>
            </w:r>
          </w:p>
        </w:tc>
        <w:tc>
          <w:tcPr>
            <w:tcW w:w="8181" w:type="dxa"/>
            <w:gridSpan w:val="2"/>
            <w:shd w:val="clear" w:color="auto" w:fill="auto"/>
          </w:tcPr>
          <w:p w14:paraId="5ACE32A8">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1.本项目投标保证金、履约保证金、工程质量保证金、农民工工资保证金均支持保函使用。以现金形式提交保证金的，应当同时退还保证金本金和银行同期存款利息。</w:t>
            </w:r>
          </w:p>
          <w:p w14:paraId="4D7F3A8A">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2.投标人应填写投标信息并下载招标文件，否则无法上传投标文件。</w:t>
            </w:r>
          </w:p>
          <w:p w14:paraId="32185517">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color w:val="auto"/>
                <w:sz w:val="24"/>
                <w:szCs w:val="24"/>
                <w:highlight w:val="none"/>
                <w:lang w:val="en-US" w:eastAsia="zh-CN"/>
              </w:rPr>
              <w:t>400-615-8899</w:t>
            </w:r>
            <w:r>
              <w:rPr>
                <w:rFonts w:hint="eastAsia" w:ascii="宋体" w:hAnsi="宋体" w:eastAsia="宋体" w:cs="宋体"/>
                <w:color w:val="auto"/>
                <w:sz w:val="24"/>
                <w:szCs w:val="24"/>
                <w:highlight w:val="none"/>
              </w:rPr>
              <w:t>。</w:t>
            </w:r>
          </w:p>
          <w:p w14:paraId="3F57DAE3">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4.如果过程中出现招标文件更改，应以最后发布的招标答疑澄清文件中的模板制作本项目最新投标文件。</w:t>
            </w:r>
          </w:p>
          <w:p w14:paraId="5A7B4FF1">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5.投标人应当用本单位CA数字证书制作投标文件，制作成功后进行投标文件上传。 </w:t>
            </w:r>
          </w:p>
          <w:p w14:paraId="0B792A9B">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6F1E7AB5">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7.请投标人注意加密投标文件CA数字证书的有效期，不在有效期的CA数字证书无法解密投标文件。</w:t>
            </w:r>
          </w:p>
          <w:p w14:paraId="0A3201D0">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8.投标人投标MAC地址一致或申请开具电子保函MAC地址一致的，由评标委员会否决其投标。</w:t>
            </w:r>
          </w:p>
          <w:p w14:paraId="27DD9AE7">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9.投标人投标文件中单方面出现其他投标人材料的（依法组成联合体投标的除外），由评标委员会否决其投标。</w:t>
            </w:r>
          </w:p>
          <w:p w14:paraId="1E9854EB">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5CC3E954">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11.若存在不予退还投标人投标保证金的情形，银行转账的，由市公共资源交易中心代为收缴，递交保函的，由招标人予以追缴。</w:t>
            </w:r>
          </w:p>
          <w:p w14:paraId="652A552B">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12.投标人以联合体名义投标的，其异议投诉应当由联合体全体成员共同提出。联合体成员单独进行异议投诉的，应当书面征得联合体其他成员同意，联合体成员之间投诉的除外。</w:t>
            </w:r>
          </w:p>
          <w:p w14:paraId="3748731D">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13.投标人联系人或联系电话相同的，由评标委员会否决其投标，并报告监管部门作不良行为处理和进一步调查。</w:t>
            </w:r>
          </w:p>
          <w:p w14:paraId="34D8BB41">
            <w:pPr>
              <w:keepNext w:val="0"/>
              <w:keepLines w:val="0"/>
              <w:pageBreakBefore w:val="0"/>
              <w:shd w:val="clear"/>
              <w:kinsoku/>
              <w:overflowPunct/>
              <w:autoSpaceDE/>
              <w:autoSpaceDN/>
              <w:bidi w:val="0"/>
              <w:spacing w:line="48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r w14:paraId="4C2EA0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6F439700">
            <w:pPr>
              <w:keepNext w:val="0"/>
              <w:keepLines w:val="0"/>
              <w:pageBreakBefore w:val="0"/>
              <w:shd w:val="clear"/>
              <w:kinsoku/>
              <w:overflowPunct/>
              <w:autoSpaceDE/>
              <w:autoSpaceDN/>
              <w:bidi w:val="0"/>
              <w:spacing w:line="48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其他</w:t>
            </w:r>
          </w:p>
        </w:tc>
        <w:tc>
          <w:tcPr>
            <w:tcW w:w="8181" w:type="dxa"/>
            <w:gridSpan w:val="2"/>
            <w:shd w:val="clear" w:color="auto" w:fill="auto"/>
          </w:tcPr>
          <w:p w14:paraId="77C11388">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1.中标人未履行下述义务的，滁州市公共资源交易监督管理局将依法对中标人进行处理，追究相关责任：</w:t>
            </w:r>
          </w:p>
          <w:p w14:paraId="329D9B69">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①中标人无正当理由不与招标人订立合同，在签订合同时向招标人提出附加条件，或者不按照招标文件要求提交履约保证金的，招标人有权取消中标人中标资格，并将相关违约行为报送监管部门处理；</w:t>
            </w:r>
          </w:p>
          <w:p w14:paraId="7E7BB3FF">
            <w:pPr>
              <w:keepNext w:val="0"/>
              <w:keepLines w:val="0"/>
              <w:pageBreakBefore w:val="0"/>
              <w:shd w:val="clear"/>
              <w:kinsoku/>
              <w:overflowPunct/>
              <w:autoSpaceDE/>
              <w:autoSpaceDN/>
              <w:bidi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②合同签订后，中标人存在规定时间内不组织人员进场开工、不履行供货安装义务等情况，招标人有权解除合同，并追究违约责任，同时将相关违约行为报送监管部门，记不良行为记录， 实施信用惩戒。</w:t>
            </w:r>
          </w:p>
        </w:tc>
      </w:tr>
      <w:tr w14:paraId="497C2A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687BE7B5">
            <w:pPr>
              <w:keepNext w:val="0"/>
              <w:keepLines w:val="0"/>
              <w:pageBreakBefore w:val="0"/>
              <w:shd w:val="clear"/>
              <w:kinsoku/>
              <w:overflowPunct/>
              <w:autoSpaceDE/>
              <w:autoSpaceDN/>
              <w:bidi w:val="0"/>
              <w:adjustRightInd w:val="0"/>
              <w:snapToGrid w:val="0"/>
              <w:spacing w:line="48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变更招标方式</w:t>
            </w:r>
          </w:p>
        </w:tc>
        <w:tc>
          <w:tcPr>
            <w:tcW w:w="8181" w:type="dxa"/>
            <w:gridSpan w:val="2"/>
            <w:shd w:val="clear" w:color="auto" w:fill="auto"/>
            <w:vAlign w:val="center"/>
          </w:tcPr>
          <w:p w14:paraId="5D394EDF">
            <w:pPr>
              <w:pStyle w:val="17"/>
              <w:keepNext w:val="0"/>
              <w:keepLines w:val="0"/>
              <w:pageBreakBefore w:val="0"/>
              <w:shd w:val="clear"/>
              <w:kinsoku/>
              <w:overflowPunct/>
              <w:autoSpaceDE/>
              <w:autoSpaceDN/>
              <w:bidi w:val="0"/>
              <w:adjustRightInd w:val="0"/>
              <w:snapToGrid w:val="0"/>
              <w:spacing w:after="0"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按照滁州市公共资源交易监督管理局现行规定执行。</w:t>
            </w:r>
          </w:p>
        </w:tc>
      </w:tr>
    </w:tbl>
    <w:p w14:paraId="50703F8E">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p>
    <w:p w14:paraId="7A7B4042">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p>
    <w:p w14:paraId="65D89041">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p>
    <w:p w14:paraId="6A211DF6">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p>
    <w:p w14:paraId="0AD6476A">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p>
    <w:p w14:paraId="1A5C89D1">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二、投标人须知</w:t>
      </w:r>
    </w:p>
    <w:p w14:paraId="5C3CC863">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bookmarkStart w:id="31" w:name="_Toc449028867"/>
      <w:r>
        <w:rPr>
          <w:rFonts w:hint="eastAsia" w:ascii="宋体" w:hAnsi="宋体" w:eastAsia="宋体" w:cs="宋体"/>
          <w:b/>
          <w:color w:val="auto"/>
          <w:sz w:val="28"/>
          <w:szCs w:val="28"/>
          <w:highlight w:val="none"/>
        </w:rPr>
        <w:t>（一）总  则</w:t>
      </w:r>
      <w:bookmarkEnd w:id="31"/>
    </w:p>
    <w:p w14:paraId="30DDF07D">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1.项目概况</w:t>
      </w:r>
    </w:p>
    <w:p w14:paraId="1D758039">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1.1本次招标项目名称：见投标人须知前附表。</w:t>
      </w:r>
    </w:p>
    <w:p w14:paraId="2BB1F285">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项目编号：见投标人须知前附表。</w:t>
      </w:r>
    </w:p>
    <w:p w14:paraId="6BE129B6">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招标人：见投标人须知前附表。</w:t>
      </w:r>
    </w:p>
    <w:p w14:paraId="47DCFA30">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合同履行期</w:t>
      </w:r>
      <w:r>
        <w:rPr>
          <w:rFonts w:hint="eastAsia" w:ascii="宋体" w:hAnsi="宋体" w:eastAsia="宋体" w:cs="宋体"/>
          <w:color w:val="auto"/>
          <w:sz w:val="24"/>
          <w:szCs w:val="24"/>
          <w:highlight w:val="none"/>
        </w:rPr>
        <w:t>：见投标人须知前附表。</w:t>
      </w:r>
    </w:p>
    <w:p w14:paraId="2D3F4BF1">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供货</w:t>
      </w:r>
      <w:r>
        <w:rPr>
          <w:rFonts w:hint="eastAsia" w:ascii="宋体" w:hAnsi="宋体" w:eastAsia="宋体" w:cs="宋体"/>
          <w:color w:val="auto"/>
          <w:sz w:val="24"/>
          <w:szCs w:val="24"/>
          <w:highlight w:val="none"/>
        </w:rPr>
        <w:t>地点：见投标人须知前附表。</w:t>
      </w:r>
    </w:p>
    <w:p w14:paraId="40CB3F65">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1.2招标人及联系人: 见投标人须知前附表。</w:t>
      </w:r>
    </w:p>
    <w:p w14:paraId="44191BDF">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代理机构及联系人：见投标人须知前附表。</w:t>
      </w:r>
    </w:p>
    <w:p w14:paraId="507A5E0A">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1.3资金来源：见投标人须知前附表。</w:t>
      </w:r>
    </w:p>
    <w:p w14:paraId="4F4B6FCE">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1.4本项目预算：见投标人须知前附表。</w:t>
      </w:r>
    </w:p>
    <w:p w14:paraId="4D0F5F0C">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1.5本项目最高限价：见投标人须知前附表。</w:t>
      </w:r>
    </w:p>
    <w:p w14:paraId="5098E02E">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2.招标范围：</w:t>
      </w:r>
    </w:p>
    <w:p w14:paraId="458EA95A">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2.1 采购内容：详见《</w:t>
      </w:r>
      <w:r>
        <w:rPr>
          <w:rFonts w:hint="eastAsia" w:ascii="宋体" w:hAnsi="宋体" w:cs="宋体"/>
          <w:color w:val="auto"/>
          <w:sz w:val="24"/>
          <w:szCs w:val="24"/>
          <w:highlight w:val="none"/>
          <w:lang w:val="en-US" w:eastAsia="zh-CN"/>
        </w:rPr>
        <w:t>采购内容及技术要求</w:t>
      </w:r>
      <w:r>
        <w:rPr>
          <w:rFonts w:hint="eastAsia" w:ascii="宋体" w:hAnsi="宋体" w:eastAsia="宋体" w:cs="宋体"/>
          <w:color w:val="auto"/>
          <w:sz w:val="24"/>
          <w:szCs w:val="24"/>
          <w:highlight w:val="none"/>
        </w:rPr>
        <w:t>》。</w:t>
      </w:r>
    </w:p>
    <w:p w14:paraId="7931DE94">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技术要求：详见《</w:t>
      </w:r>
      <w:r>
        <w:rPr>
          <w:rFonts w:hint="eastAsia" w:ascii="宋体" w:hAnsi="宋体" w:cs="宋体"/>
          <w:color w:val="auto"/>
          <w:sz w:val="24"/>
          <w:szCs w:val="24"/>
          <w:highlight w:val="none"/>
          <w:lang w:val="en-US" w:eastAsia="zh-CN"/>
        </w:rPr>
        <w:t>采购内容及技术要求</w:t>
      </w:r>
      <w:r>
        <w:rPr>
          <w:rFonts w:hint="eastAsia" w:ascii="宋体" w:hAnsi="宋体" w:eastAsia="宋体" w:cs="宋体"/>
          <w:color w:val="auto"/>
          <w:sz w:val="24"/>
          <w:szCs w:val="24"/>
          <w:highlight w:val="none"/>
        </w:rPr>
        <w:t>》。</w:t>
      </w:r>
    </w:p>
    <w:p w14:paraId="196C9EBA">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3.标包划分：</w:t>
      </w:r>
    </w:p>
    <w:p w14:paraId="3FA4CAAA">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3.1本项目划分：见投标人须知前附表。</w:t>
      </w:r>
    </w:p>
    <w:p w14:paraId="75A8800B">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4.招标方式：</w:t>
      </w:r>
    </w:p>
    <w:p w14:paraId="5B019EB2">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4.1本项目招标方式：见投标人须知前附表。</w:t>
      </w:r>
    </w:p>
    <w:p w14:paraId="5CA8B9A2">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5.计价方式：</w:t>
      </w:r>
    </w:p>
    <w:p w14:paraId="742417EB">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5.1本次招标项目合同采用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固定单价</w:t>
      </w:r>
      <w:r>
        <w:rPr>
          <w:rFonts w:hint="eastAsia" w:ascii="宋体" w:hAnsi="宋体" w:eastAsia="宋体" w:cs="宋体"/>
          <w:color w:val="auto"/>
          <w:sz w:val="24"/>
          <w:szCs w:val="24"/>
          <w:highlight w:val="none"/>
          <w:u w:val="single"/>
        </w:rPr>
        <w:t xml:space="preserve"> 。</w:t>
      </w:r>
    </w:p>
    <w:p w14:paraId="59898711">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6.评标办法：</w:t>
      </w:r>
    </w:p>
    <w:p w14:paraId="526C073E">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6.1本次招标评标采用</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综合评分法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（详见第</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w:t>
      </w:r>
      <w:r>
        <w:rPr>
          <w:rFonts w:hint="eastAsia" w:ascii="宋体" w:hAnsi="宋体" w:eastAsia="宋体" w:cs="宋体"/>
          <w:color w:val="auto"/>
          <w:sz w:val="24"/>
          <w:szCs w:val="24"/>
          <w:highlight w:val="none"/>
          <w:lang w:eastAsia="zh-CN"/>
        </w:rPr>
        <w:t>。</w:t>
      </w:r>
    </w:p>
    <w:p w14:paraId="5EAD2306">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7.投标人资格：</w:t>
      </w:r>
    </w:p>
    <w:p w14:paraId="6BE26A5A">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7.1详见投标人须知前附表。</w:t>
      </w:r>
    </w:p>
    <w:p w14:paraId="3229B958">
      <w:pPr>
        <w:keepNext w:val="0"/>
        <w:keepLines w:val="0"/>
        <w:pageBreakBefore w:val="0"/>
        <w:widowControl w:val="0"/>
        <w:kinsoku/>
        <w:wordWrap w:val="0"/>
        <w:overflowPunct/>
        <w:topLinePunct w:val="0"/>
        <w:autoSpaceDE/>
        <w:autoSpaceDN/>
        <w:bidi w:val="0"/>
        <w:adjustRightIn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 投标费用</w:t>
      </w:r>
    </w:p>
    <w:p w14:paraId="415BA09F">
      <w:pPr>
        <w:keepNext w:val="0"/>
        <w:keepLines w:val="0"/>
        <w:pageBreakBefore w:val="0"/>
        <w:widowControl w:val="0"/>
        <w:kinsoku/>
        <w:wordWrap w:val="0"/>
        <w:overflowPunct/>
        <w:topLinePunct w:val="0"/>
        <w:autoSpaceDE/>
        <w:autoSpaceDN/>
        <w:bidi w:val="0"/>
        <w:adjustRightInd/>
        <w:snapToGrid w:val="0"/>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8.1投标人准备和参加投标活动发生费用的自理。</w:t>
      </w:r>
    </w:p>
    <w:p w14:paraId="6381C1A8">
      <w:pPr>
        <w:keepNext w:val="0"/>
        <w:keepLines w:val="0"/>
        <w:pageBreakBefore w:val="0"/>
        <w:widowControl w:val="0"/>
        <w:kinsoku/>
        <w:wordWrap w:val="0"/>
        <w:overflowPunct/>
        <w:topLinePunct w:val="0"/>
        <w:autoSpaceDE/>
        <w:autoSpaceDN/>
        <w:bidi w:val="0"/>
        <w:adjustRightIn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w:t>
      </w:r>
      <w:bookmarkStart w:id="32" w:name="_Toc152045539"/>
      <w:bookmarkStart w:id="33" w:name="_Toc144974507"/>
      <w:bookmarkStart w:id="34" w:name="_Toc247592876"/>
      <w:bookmarkStart w:id="35" w:name="_Toc152042315"/>
      <w:bookmarkStart w:id="36" w:name="_Toc247527563"/>
      <w:bookmarkStart w:id="37" w:name="_Toc296602429"/>
      <w:bookmarkStart w:id="38" w:name="_Toc247513962"/>
      <w:r>
        <w:rPr>
          <w:rFonts w:hint="eastAsia" w:ascii="宋体" w:hAnsi="宋体" w:eastAsia="宋体" w:cs="宋体"/>
          <w:b/>
          <w:color w:val="auto"/>
          <w:sz w:val="24"/>
          <w:szCs w:val="24"/>
          <w:highlight w:val="none"/>
        </w:rPr>
        <w:t xml:space="preserve"> 踏勘现场</w:t>
      </w:r>
      <w:bookmarkEnd w:id="32"/>
      <w:bookmarkEnd w:id="33"/>
      <w:bookmarkEnd w:id="34"/>
      <w:bookmarkEnd w:id="35"/>
      <w:bookmarkEnd w:id="36"/>
      <w:bookmarkEnd w:id="37"/>
      <w:bookmarkEnd w:id="38"/>
    </w:p>
    <w:p w14:paraId="51C99CB2">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bookmarkStart w:id="39" w:name="_Toc247592877"/>
      <w:bookmarkStart w:id="40" w:name="_Toc144974508"/>
      <w:bookmarkStart w:id="41" w:name="_Toc296602430"/>
      <w:bookmarkStart w:id="42" w:name="_Toc247527564"/>
      <w:bookmarkStart w:id="43" w:name="_Toc247513963"/>
      <w:bookmarkStart w:id="44" w:name="_Toc152042316"/>
      <w:bookmarkStart w:id="45" w:name="_Toc152045540"/>
      <w:r>
        <w:rPr>
          <w:rFonts w:hint="eastAsia" w:ascii="宋体" w:hAnsi="宋体" w:eastAsia="宋体" w:cs="宋体"/>
          <w:color w:val="auto"/>
          <w:sz w:val="24"/>
          <w:szCs w:val="24"/>
          <w:highlight w:val="none"/>
        </w:rPr>
        <w:t xml:space="preserve">9.1 投标人须知前附表规定组织踏勘现场的，招标人按投标人须知前附表规定的时间、地点组织投标人踏勘项目现场。 </w:t>
      </w:r>
    </w:p>
    <w:p w14:paraId="07EA6D32">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投标人踏勘现场发生的费用自理。</w:t>
      </w:r>
    </w:p>
    <w:p w14:paraId="585FB609">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 除招标人的原因外，投标人自行负责在踏勘现场中所发生的人员伤亡和财产损失。</w:t>
      </w:r>
    </w:p>
    <w:p w14:paraId="071E463D">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 招标人在踏勘现场中介绍的场地和相关的周边环境情况，供投标人在编制投标文件时参考，招标人不对投标人据此作出的判断和决策负责。</w:t>
      </w:r>
    </w:p>
    <w:p w14:paraId="321E3E5C">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9.5无论投标人是否到现场实地踏勘，中标后签订合同时和履约过程中，投标人不得以不完全了解现场情况或现场情况与招标文件描述不一致等为由，提出任何形式的增加</w:t>
      </w:r>
      <w:r>
        <w:rPr>
          <w:rFonts w:hint="eastAsia" w:ascii="宋体" w:hAnsi="宋体" w:eastAsia="宋体" w:cs="宋体"/>
          <w:color w:val="auto"/>
          <w:sz w:val="24"/>
          <w:szCs w:val="24"/>
          <w:highlight w:val="none"/>
          <w:lang w:val="en-US" w:eastAsia="zh-CN"/>
        </w:rPr>
        <w:t>合同价</w:t>
      </w:r>
      <w:r>
        <w:rPr>
          <w:rFonts w:hint="eastAsia" w:ascii="宋体" w:hAnsi="宋体" w:eastAsia="宋体" w:cs="宋体"/>
          <w:color w:val="auto"/>
          <w:sz w:val="24"/>
          <w:szCs w:val="24"/>
          <w:highlight w:val="none"/>
        </w:rPr>
        <w:t>或索赔的要求。</w:t>
      </w:r>
    </w:p>
    <w:p w14:paraId="488ED471">
      <w:pPr>
        <w:keepNext w:val="0"/>
        <w:keepLines w:val="0"/>
        <w:pageBreakBefore w:val="0"/>
        <w:widowControl w:val="0"/>
        <w:kinsoku/>
        <w:wordWrap w:val="0"/>
        <w:overflowPunct/>
        <w:topLinePunct w:val="0"/>
        <w:autoSpaceDE/>
        <w:autoSpaceDN/>
        <w:bidi w:val="0"/>
        <w:adjustRightIn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 投标预备会</w:t>
      </w:r>
      <w:bookmarkEnd w:id="39"/>
      <w:bookmarkEnd w:id="40"/>
      <w:bookmarkEnd w:id="41"/>
      <w:bookmarkEnd w:id="42"/>
      <w:bookmarkEnd w:id="43"/>
      <w:bookmarkEnd w:id="44"/>
      <w:bookmarkEnd w:id="45"/>
      <w:r>
        <w:rPr>
          <w:rFonts w:hint="eastAsia" w:ascii="宋体" w:hAnsi="宋体" w:eastAsia="宋体" w:cs="宋体"/>
          <w:b/>
          <w:color w:val="auto"/>
          <w:sz w:val="24"/>
          <w:szCs w:val="24"/>
          <w:highlight w:val="none"/>
        </w:rPr>
        <w:t>（本项目不采用）</w:t>
      </w:r>
    </w:p>
    <w:p w14:paraId="1E52D0E3">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10.1投标人须知前附表规定召开投标预备会的，招标人按投标人须知前附表规定的时间和地点召开投标预备会，澄清投标人提出的问题。</w:t>
      </w:r>
    </w:p>
    <w:p w14:paraId="2429F51E">
      <w:pPr>
        <w:keepNext w:val="0"/>
        <w:keepLines w:val="0"/>
        <w:pageBreakBefore w:val="0"/>
        <w:widowControl w:val="0"/>
        <w:kinsoku/>
        <w:wordWrap w:val="0"/>
        <w:overflowPunct/>
        <w:topLinePunct w:val="0"/>
        <w:autoSpaceDE/>
        <w:autoSpaceDN/>
        <w:bidi w:val="0"/>
        <w:adjustRightIn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11.联合投标</w:t>
      </w:r>
    </w:p>
    <w:p w14:paraId="2B69FA50">
      <w:pPr>
        <w:pStyle w:val="13"/>
        <w:keepNext w:val="0"/>
        <w:keepLines w:val="0"/>
        <w:pageBreakBefore w:val="0"/>
        <w:widowControl w:val="0"/>
        <w:kinsoku/>
        <w:wordWrap w:val="0"/>
        <w:overflowPunct/>
        <w:topLinePunct w:val="0"/>
        <w:autoSpaceDE/>
        <w:autoSpaceDN/>
        <w:bidi w:val="0"/>
        <w:adjustRightInd/>
        <w:spacing w:after="0" w:line="480" w:lineRule="exact"/>
        <w:ind w:left="0" w:leftChars="0" w:firstLine="480" w:firstLineChars="200"/>
        <w:textAlignment w:val="auto"/>
        <w:outlineLvl w:val="4"/>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11.1</w:t>
      </w:r>
      <w:r>
        <w:rPr>
          <w:rFonts w:hint="eastAsia" w:ascii="宋体" w:hAnsi="宋体" w:eastAsia="宋体" w:cs="宋体"/>
          <w:color w:val="auto"/>
          <w:sz w:val="24"/>
          <w:szCs w:val="24"/>
          <w:highlight w:val="none"/>
        </w:rPr>
        <w:t>详见投标人须知前附表</w:t>
      </w:r>
      <w:r>
        <w:rPr>
          <w:rFonts w:hint="eastAsia" w:ascii="宋体" w:hAnsi="宋体" w:eastAsia="宋体" w:cs="宋体"/>
          <w:bCs/>
          <w:color w:val="auto"/>
          <w:sz w:val="24"/>
          <w:szCs w:val="24"/>
          <w:highlight w:val="none"/>
        </w:rPr>
        <w:t xml:space="preserve">。 </w:t>
      </w:r>
    </w:p>
    <w:p w14:paraId="7157FD07">
      <w:pPr>
        <w:keepNext w:val="0"/>
        <w:keepLines w:val="0"/>
        <w:pageBreakBefore w:val="0"/>
        <w:widowControl w:val="0"/>
        <w:kinsoku/>
        <w:wordWrap w:val="0"/>
        <w:overflowPunct/>
        <w:topLinePunct w:val="0"/>
        <w:autoSpaceDE/>
        <w:autoSpaceDN/>
        <w:bidi w:val="0"/>
        <w:adjustRightIn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12.招标代理服务费和专家评审劳务费</w:t>
      </w:r>
    </w:p>
    <w:p w14:paraId="5914372D">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本项目的招标代理服务费详见投标人须知前附表。</w:t>
      </w:r>
    </w:p>
    <w:p w14:paraId="7E27BB00">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12.2本项目的专家评审劳务费详见投标人须知前附表。</w:t>
      </w:r>
    </w:p>
    <w:p w14:paraId="2C12BBC3">
      <w:pPr>
        <w:keepNext w:val="0"/>
        <w:keepLines w:val="0"/>
        <w:pageBreakBefore w:val="0"/>
        <w:widowControl w:val="0"/>
        <w:kinsoku/>
        <w:wordWrap w:val="0"/>
        <w:overflowPunct/>
        <w:topLinePunct w:val="0"/>
        <w:autoSpaceDE/>
        <w:autoSpaceDN/>
        <w:bidi w:val="0"/>
        <w:adjustRightIn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13.投标人应注意的事项</w:t>
      </w:r>
    </w:p>
    <w:p w14:paraId="59DDAAA0">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38F1CC34">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13.2投标人对采购内容中规定的</w:t>
      </w:r>
      <w:r>
        <w:rPr>
          <w:rFonts w:hint="eastAsia" w:ascii="宋体" w:hAnsi="宋体" w:eastAsia="宋体" w:cs="宋体"/>
          <w:color w:val="auto"/>
          <w:sz w:val="24"/>
          <w:szCs w:val="24"/>
          <w:highlight w:val="none"/>
          <w:lang w:eastAsia="zh-CN"/>
        </w:rPr>
        <w:t>采购需求及服务要求</w:t>
      </w:r>
      <w:r>
        <w:rPr>
          <w:rFonts w:hint="eastAsia" w:ascii="宋体" w:hAnsi="宋体" w:eastAsia="宋体" w:cs="宋体"/>
          <w:color w:val="auto"/>
          <w:sz w:val="24"/>
          <w:szCs w:val="24"/>
          <w:highlight w:val="none"/>
        </w:rPr>
        <w:t>等必须满足招标文件的相关要求。</w:t>
      </w:r>
    </w:p>
    <w:p w14:paraId="7B304D94">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13.3 所有投标人的投标保证金都应在招标文件规定的投标保证金缴纳截止日期前缴纳，银行转账形式的以资金到账时间为准。</w:t>
      </w:r>
    </w:p>
    <w:p w14:paraId="3176867E">
      <w:pPr>
        <w:keepNext w:val="0"/>
        <w:keepLines w:val="0"/>
        <w:pageBreakBefore w:val="0"/>
        <w:widowControl w:val="0"/>
        <w:kinsoku/>
        <w:wordWrap w:val="0"/>
        <w:overflowPunct/>
        <w:topLinePunct w:val="0"/>
        <w:autoSpaceDE/>
        <w:autoSpaceDN/>
        <w:bidi w:val="0"/>
        <w:adjustRightIn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4</w:t>
      </w:r>
      <w:r>
        <w:rPr>
          <w:rFonts w:hint="eastAsia" w:ascii="宋体" w:hAnsi="宋体" w:eastAsia="宋体" w:cs="宋体"/>
          <w:bCs/>
          <w:color w:val="auto"/>
          <w:sz w:val="24"/>
          <w:szCs w:val="24"/>
          <w:highlight w:val="none"/>
        </w:rPr>
        <w:t>单位负责人为同一人或者存在直接控股、管理关系的不同投标人</w:t>
      </w:r>
      <w:r>
        <w:rPr>
          <w:rFonts w:hint="eastAsia" w:ascii="宋体" w:hAnsi="宋体" w:eastAsia="宋体" w:cs="宋体"/>
          <w:bCs/>
          <w:color w:val="auto"/>
          <w:sz w:val="24"/>
          <w:szCs w:val="24"/>
          <w:highlight w:val="none"/>
          <w:lang w:val="en-US" w:eastAsia="zh-CN"/>
        </w:rPr>
        <w:t>（包含法定代表人为同一个人的两个及两个以上法人，母公司、全资子公司及其控股公司）</w:t>
      </w:r>
      <w:r>
        <w:rPr>
          <w:rFonts w:hint="eastAsia" w:ascii="宋体" w:hAnsi="宋体" w:eastAsia="宋体" w:cs="宋体"/>
          <w:bCs/>
          <w:color w:val="auto"/>
          <w:sz w:val="24"/>
          <w:szCs w:val="24"/>
          <w:highlight w:val="none"/>
        </w:rPr>
        <w:t>，不得参加同一合同项下的采购活动。</w:t>
      </w:r>
      <w:r>
        <w:rPr>
          <w:rFonts w:hint="eastAsia" w:ascii="宋体" w:hAnsi="宋体" w:eastAsia="宋体" w:cs="宋体"/>
          <w:color w:val="auto"/>
          <w:sz w:val="24"/>
          <w:szCs w:val="24"/>
          <w:highlight w:val="none"/>
        </w:rPr>
        <w:t>为采购项目提供整体设计、规范编制或者项目管理、监理、检测等服务的投标人，不得再参加该采购项目的其他采购活动。</w:t>
      </w:r>
    </w:p>
    <w:p w14:paraId="7F47966D">
      <w:pPr>
        <w:keepNext w:val="0"/>
        <w:keepLines w:val="0"/>
        <w:pageBreakBefore w:val="0"/>
        <w:widowControl w:val="0"/>
        <w:kinsoku/>
        <w:wordWrap w:val="0"/>
        <w:overflowPunct/>
        <w:topLinePunct w:val="0"/>
        <w:autoSpaceDE/>
        <w:autoSpaceDN/>
        <w:bidi w:val="0"/>
        <w:adjustRightIn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13.5投标人被视为充分熟悉本招标项目所在地的与履行合同有关的各种情况，包括但不限于：</w:t>
      </w:r>
    </w:p>
    <w:p w14:paraId="5CB60E44">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（1）国家对本次投标货物和服务的生产、安装调试、验收、维修等有关法律、法规及行业管理标准；</w:t>
      </w:r>
    </w:p>
    <w:p w14:paraId="25A24885">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（2）安徽省及滁州市等有关管理部门的相关规定；</w:t>
      </w:r>
    </w:p>
    <w:p w14:paraId="655D8710">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（3）招标人的相关场地情况、基础建设、电力供应情况及相关设计标准。</w:t>
      </w:r>
    </w:p>
    <w:p w14:paraId="42DB41A3">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本招标文件不再对上述情况进行描述。</w:t>
      </w:r>
    </w:p>
    <w:p w14:paraId="14EDD162">
      <w:pPr>
        <w:keepNext w:val="0"/>
        <w:keepLines w:val="0"/>
        <w:pageBreakBefore w:val="0"/>
        <w:widowControl w:val="0"/>
        <w:kinsoku/>
        <w:wordWrap w:val="0"/>
        <w:overflowPunct/>
        <w:topLinePunct w:val="0"/>
        <w:autoSpaceDE/>
        <w:autoSpaceDN/>
        <w:bidi w:val="0"/>
        <w:adjustRightIn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 凡投标人在我市公共资源交易活动中出现违法违规、破坏市场秩序等不良行为且被监管部门处罚的，一律在滁州市公共资源交易网等相关网站曝光。</w:t>
      </w:r>
    </w:p>
    <w:p w14:paraId="1F89E23E">
      <w:pPr>
        <w:keepNext w:val="0"/>
        <w:keepLines w:val="0"/>
        <w:pageBreakBefore w:val="0"/>
        <w:widowControl w:val="0"/>
        <w:kinsoku/>
        <w:wordWrap w:val="0"/>
        <w:overflowPunct/>
        <w:topLinePunct w:val="0"/>
        <w:autoSpaceDE/>
        <w:autoSpaceDN/>
        <w:bidi w:val="0"/>
        <w:adjustRightIn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 投标人的不良行为、失信行为及行政处罚等效力不因企业名称的变更而改变。</w:t>
      </w:r>
    </w:p>
    <w:p w14:paraId="3E4D9409">
      <w:pPr>
        <w:keepNext w:val="0"/>
        <w:keepLines w:val="0"/>
        <w:pageBreakBefore w:val="0"/>
        <w:widowControl w:val="0"/>
        <w:kinsoku/>
        <w:wordWrap w:val="0"/>
        <w:overflowPunct/>
        <w:topLinePunct w:val="0"/>
        <w:autoSpaceDE/>
        <w:autoSpaceDN/>
        <w:bidi w:val="0"/>
        <w:adjustRightIn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14.保密</w:t>
      </w:r>
    </w:p>
    <w:p w14:paraId="51BADE8E">
      <w:pPr>
        <w:pStyle w:val="12"/>
        <w:keepNext w:val="0"/>
        <w:keepLines w:val="0"/>
        <w:pageBreakBefore w:val="0"/>
        <w:widowControl w:val="0"/>
        <w:kinsoku/>
        <w:wordWrap w:val="0"/>
        <w:overflowPunct/>
        <w:topLinePunct w:val="0"/>
        <w:autoSpaceDE/>
        <w:autoSpaceDN/>
        <w:bidi w:val="0"/>
        <w:adjustRightInd/>
        <w:spacing w:after="0" w:line="480" w:lineRule="exact"/>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参与招标投标活动的各方应对招标文件和投标文件中的商业和技术等秘密保密，违者应对由此造成的后果承担法律责任。 </w:t>
      </w:r>
    </w:p>
    <w:p w14:paraId="58B48058">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bookmarkStart w:id="46" w:name="_Toc449028868"/>
      <w:r>
        <w:rPr>
          <w:rFonts w:hint="eastAsia" w:ascii="宋体" w:hAnsi="宋体" w:eastAsia="宋体" w:cs="宋体"/>
          <w:b/>
          <w:color w:val="auto"/>
          <w:sz w:val="28"/>
          <w:szCs w:val="28"/>
          <w:highlight w:val="none"/>
        </w:rPr>
        <w:t>（二）</w:t>
      </w:r>
      <w:bookmarkEnd w:id="46"/>
      <w:r>
        <w:rPr>
          <w:rFonts w:hint="eastAsia" w:ascii="宋体" w:hAnsi="宋体" w:eastAsia="宋体" w:cs="宋体"/>
          <w:b/>
          <w:color w:val="auto"/>
          <w:sz w:val="28"/>
          <w:szCs w:val="28"/>
          <w:highlight w:val="none"/>
        </w:rPr>
        <w:t>招标文件</w:t>
      </w:r>
    </w:p>
    <w:p w14:paraId="0027A16E">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 招标文件的编制依据</w:t>
      </w:r>
    </w:p>
    <w:p w14:paraId="13B0B48A">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根据《中华人民共和国招标投标法》、《中华人民共和国招标投标法实施条例》和《中华人民共和国民法典》</w:t>
      </w:r>
      <w:r>
        <w:rPr>
          <w:rFonts w:hint="eastAsia" w:ascii="宋体" w:hAnsi="宋体" w:eastAsia="宋体" w:cs="宋体"/>
          <w:color w:val="auto"/>
          <w:spacing w:val="-2"/>
          <w:sz w:val="24"/>
          <w:szCs w:val="24"/>
          <w:highlight w:val="none"/>
        </w:rPr>
        <w:t>等相关法律法规和规章及部、省、市级规范性文件的规定，编制本招标文件。</w:t>
      </w:r>
    </w:p>
    <w:p w14:paraId="385D3B0B">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 招标文件的组成</w:t>
      </w:r>
    </w:p>
    <w:p w14:paraId="6F797A01">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招标文件包括内容：</w:t>
      </w:r>
    </w:p>
    <w:p w14:paraId="2671137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第一章  招标公告</w:t>
      </w:r>
    </w:p>
    <w:p w14:paraId="754F1C1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  投标人须知</w:t>
      </w:r>
    </w:p>
    <w:p w14:paraId="7CEF56E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第三章  评标办法</w:t>
      </w:r>
    </w:p>
    <w:p w14:paraId="58CFF9DF">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 xml:space="preserve">章  </w:t>
      </w:r>
      <w:r>
        <w:rPr>
          <w:rFonts w:hint="eastAsia" w:ascii="宋体" w:hAnsi="宋体" w:cs="宋体"/>
          <w:color w:val="auto"/>
          <w:sz w:val="24"/>
          <w:szCs w:val="24"/>
          <w:highlight w:val="none"/>
          <w:lang w:val="en-US" w:eastAsia="zh-CN"/>
        </w:rPr>
        <w:t>采购内容及技术要求</w:t>
      </w:r>
    </w:p>
    <w:p w14:paraId="7A6C21F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章  合同条款及格式</w:t>
      </w:r>
    </w:p>
    <w:p w14:paraId="2800122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rPr>
        <w:t>章  投标文件格式</w:t>
      </w:r>
    </w:p>
    <w:p w14:paraId="06F0958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rPr>
        <w:t>章  招标单位、招标代理机构对本招标文件的确认</w:t>
      </w:r>
    </w:p>
    <w:p w14:paraId="35BCF40F">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除16.1款内容外，招标答疑亦为招标文件的组成部分，对招标人和投标人起约束作用。</w:t>
      </w:r>
    </w:p>
    <w:p w14:paraId="5D44C0C5">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16.3投标人应仔细阅读和检查招标文件的全部内容。如发现缺页或附件不全，应及时向招标人提出，以便补齐。</w:t>
      </w:r>
    </w:p>
    <w:p w14:paraId="31A36B3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当招标文件、招标文件的澄清或修改等在同一内容的表述上不一致时，以最后发出的文件为准。</w:t>
      </w:r>
    </w:p>
    <w:p w14:paraId="15A0950E">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 招标文件的异议、澄清</w:t>
      </w:r>
    </w:p>
    <w:p w14:paraId="5808696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17.1投标人或其他利害关系人投标人应仔细阅读和检查招标文件的全部内容，对招标文件有异议的，应在投标截止时间10日前以以投标人须知前附表规定的网上留言或书面形式提出。招标人将在收到异议之日起3日内作出答复；作出答复前，将暂停招标投标活动。</w:t>
      </w:r>
    </w:p>
    <w:p w14:paraId="72B364B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17.2 招标人可以澄清招标文件，并以以投标人须知前附表规定澄清的方式在滁州市公共资源交易中心网站发布。但如果修改招标文件的时间距投标截止时间不足15天，并且修改内容影响投标文件编制的，将相应延长投标截止时间。</w:t>
      </w:r>
    </w:p>
    <w:p w14:paraId="65B76F57">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 招标文件的发出</w:t>
      </w:r>
    </w:p>
    <w:p w14:paraId="1871AC2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bookmarkStart w:id="47" w:name="_Toc449028869"/>
      <w:r>
        <w:rPr>
          <w:rFonts w:hint="eastAsia" w:ascii="宋体" w:hAnsi="宋体" w:eastAsia="宋体" w:cs="宋体"/>
          <w:color w:val="auto"/>
          <w:sz w:val="24"/>
          <w:szCs w:val="24"/>
          <w:highlight w:val="none"/>
        </w:rPr>
        <w:t>18.1招标文件、招标文件的澄清、修改、补充及招标答疑等均应报公共资源交易监督管理机构备案后，方可发出。</w:t>
      </w:r>
    </w:p>
    <w:p w14:paraId="661DCFC9">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（三）投标文件的编制</w:t>
      </w:r>
      <w:bookmarkEnd w:id="47"/>
    </w:p>
    <w:p w14:paraId="6FB3E67E">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19</w:t>
      </w:r>
      <w:r>
        <w:rPr>
          <w:rFonts w:hint="eastAsia" w:ascii="宋体" w:hAnsi="宋体" w:eastAsia="宋体" w:cs="宋体"/>
          <w:b/>
          <w:color w:val="auto"/>
          <w:sz w:val="24"/>
          <w:szCs w:val="24"/>
          <w:highlight w:val="none"/>
        </w:rPr>
        <w:t>. 投标的语言及度量衡单位</w:t>
      </w:r>
    </w:p>
    <w:p w14:paraId="7649C1C8">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19</w:t>
      </w:r>
      <w:r>
        <w:rPr>
          <w:rFonts w:hint="eastAsia" w:ascii="宋体" w:hAnsi="宋体" w:eastAsia="宋体" w:cs="宋体"/>
          <w:color w:val="auto"/>
          <w:sz w:val="24"/>
          <w:szCs w:val="24"/>
          <w:highlight w:val="none"/>
        </w:rPr>
        <w:t>.1投标人的投标文件、以及投标人与招标人就投标的所有往来函电，均须使用简体中文。</w:t>
      </w:r>
    </w:p>
    <w:p w14:paraId="2FC1A9AD">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.2除招标文件中另有规定外，投标文件所使用的度量衡均须采用法定计量单位。</w:t>
      </w:r>
    </w:p>
    <w:p w14:paraId="26AB3A44">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20</w:t>
      </w:r>
      <w:r>
        <w:rPr>
          <w:rFonts w:hint="eastAsia" w:ascii="宋体" w:hAnsi="宋体" w:eastAsia="宋体" w:cs="宋体"/>
          <w:b/>
          <w:color w:val="auto"/>
          <w:sz w:val="24"/>
          <w:szCs w:val="24"/>
          <w:highlight w:val="none"/>
        </w:rPr>
        <w:t xml:space="preserve">. </w:t>
      </w:r>
      <w:r>
        <w:rPr>
          <w:rFonts w:hint="eastAsia" w:ascii="宋体" w:hAnsi="宋体" w:eastAsia="宋体" w:cs="宋体"/>
          <w:b/>
          <w:bCs/>
          <w:color w:val="auto"/>
          <w:sz w:val="24"/>
          <w:szCs w:val="24"/>
          <w:highlight w:val="none"/>
        </w:rPr>
        <w:t>投标文件的组成、编制</w:t>
      </w:r>
    </w:p>
    <w:p w14:paraId="777D9332">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20</w:t>
      </w:r>
      <w:r>
        <w:rPr>
          <w:rFonts w:hint="eastAsia" w:ascii="宋体" w:hAnsi="宋体" w:eastAsia="宋体" w:cs="宋体"/>
          <w:b/>
          <w:color w:val="auto"/>
          <w:sz w:val="24"/>
          <w:szCs w:val="24"/>
          <w:highlight w:val="none"/>
        </w:rPr>
        <w:t>.1投标文件的组成</w:t>
      </w:r>
    </w:p>
    <w:p w14:paraId="2F9D8B3B">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投标文件具体详见第</w:t>
      </w:r>
      <w:r>
        <w:rPr>
          <w:rFonts w:hint="eastAsia" w:ascii="宋体" w:hAnsi="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章投标文件格式内容。</w:t>
      </w:r>
    </w:p>
    <w:p w14:paraId="4BF7BD5F">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4"/>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20</w:t>
      </w:r>
      <w:r>
        <w:rPr>
          <w:rFonts w:hint="eastAsia" w:ascii="宋体" w:hAnsi="宋体" w:eastAsia="宋体" w:cs="宋体"/>
          <w:b/>
          <w:color w:val="auto"/>
          <w:sz w:val="24"/>
          <w:szCs w:val="24"/>
          <w:highlight w:val="none"/>
        </w:rPr>
        <w:t>.2投标文件的编制</w:t>
      </w:r>
    </w:p>
    <w:p w14:paraId="3F6E309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.2.1投标文件应按第</w:t>
      </w: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rPr>
        <w:t>章“投标文件格式”进行编写，如有必要，可以增加附页，作为投标文件的组成部分。其中，投标函在满足招标文件实质性要求的基础上，可以提出比招标文件要求更有利于招标人的承诺。</w:t>
      </w:r>
    </w:p>
    <w:p w14:paraId="46B0D0D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.2.2本次投标不需要提供纸质投标文件，投标人应按照电子招标投标的要求，在投标人的电子系统中制作、签章、上传加密的电子投标文件。</w:t>
      </w:r>
    </w:p>
    <w:p w14:paraId="710C938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.2.3投标文件应当对招标文件有关</w:t>
      </w:r>
      <w:r>
        <w:rPr>
          <w:rFonts w:hint="eastAsia" w:ascii="宋体" w:hAnsi="宋体" w:eastAsia="宋体" w:cs="宋体"/>
          <w:color w:val="auto"/>
          <w:sz w:val="24"/>
          <w:szCs w:val="24"/>
          <w:highlight w:val="none"/>
          <w:lang w:val="en-US" w:eastAsia="zh-CN"/>
        </w:rPr>
        <w:t>服务期</w:t>
      </w:r>
      <w:r>
        <w:rPr>
          <w:rFonts w:hint="eastAsia" w:ascii="宋体" w:hAnsi="宋体" w:eastAsia="宋体" w:cs="宋体"/>
          <w:color w:val="auto"/>
          <w:sz w:val="24"/>
          <w:szCs w:val="24"/>
          <w:highlight w:val="none"/>
        </w:rPr>
        <w:t>、投标有效期、质量要求、技术标准和要求、招标范围等实质性内容作出响应。</w:t>
      </w:r>
    </w:p>
    <w:p w14:paraId="127CDD9F">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2.4招标人有权核查投标人在投标文件中提供的资料，若在评标期间发现投标人提供了虚假资料，其投标将被否决；若在签订合同前发现作为中标候选人的投标人提供了虚假资料，招标人有权取消其中标资格；如果签订合同后发现中标人提供了虚假材料，招标人有权解除合同。同时招标人将投标人上述弄虚作假行为上报公共资源交易监督管理部门处理。</w:t>
      </w:r>
    </w:p>
    <w:p w14:paraId="2953148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.2.5投标文件的制作应满足以下规定：</w:t>
      </w:r>
    </w:p>
    <w:p w14:paraId="76E2819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（1）投标文件由投标人使用电子交易系统提供的“投标文件制作工具”制作生成。“投标文件制作工具”可以通过电子交易系统下载。</w:t>
      </w:r>
    </w:p>
    <w:p w14:paraId="3574143F">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（2）招标文件中“签章”是指签字或盖章。在第</w:t>
      </w: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rPr>
        <w:t>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投标文件由联合体牵头人按上述规定加盖联合体牵头人单位电子印章和法定代表人的个人电子印章/电子签名章或直接上传加盖联合体牵头人单位印章和法定代表人的印章（或签字）的原件彩色扫描件。</w:t>
      </w:r>
    </w:p>
    <w:p w14:paraId="77AC24F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1268219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（4）投标文件制作的具体方法详见“投标文件制作工具”中的帮助文档。</w:t>
      </w:r>
    </w:p>
    <w:p w14:paraId="74883A5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.2.6 因投标人自身原因而导致投标文件无法导入电子交易系统电子开标、评标系统，该投标视为无效投标，投标人自行承担由此导致的全部责任。</w:t>
      </w:r>
    </w:p>
    <w:p w14:paraId="7C1A545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.2.7 投标人中标后须递交与网上电子投标文件完全一致的纸质版投标文件，在领取中标通知书时，一并递交给招标代理机构。</w:t>
      </w:r>
    </w:p>
    <w:p w14:paraId="569F9F9B">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21</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投标报价</w:t>
      </w:r>
    </w:p>
    <w:p w14:paraId="130BEA42">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.1投标报价文件中的单价和总价全部采用人民币表示。投标人的报价应含有</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、利润、税金、政策性文件规定及合同包含的所有风险、责任、义务等，即为完成招标文件要求的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内容所包含的一切应有费用，</w:t>
      </w:r>
      <w:r>
        <w:rPr>
          <w:rFonts w:hint="eastAsia" w:ascii="宋体" w:hAnsi="宋体" w:eastAsia="宋体" w:cs="宋体"/>
          <w:color w:val="auto"/>
          <w:sz w:val="24"/>
          <w:szCs w:val="24"/>
          <w:highlight w:val="none"/>
          <w:lang w:val="en-US" w:eastAsia="zh-CN"/>
        </w:rPr>
        <w:t>中标价格除合同约定调整内容以外的</w:t>
      </w:r>
      <w:r>
        <w:rPr>
          <w:rFonts w:hint="eastAsia" w:ascii="宋体" w:hAnsi="宋体" w:eastAsia="宋体" w:cs="宋体"/>
          <w:color w:val="auto"/>
          <w:sz w:val="24"/>
          <w:szCs w:val="24"/>
          <w:highlight w:val="none"/>
        </w:rPr>
        <w:t>今后将不作任何调整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后期不再追加费用，投标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自行考虑投标风险。</w:t>
      </w:r>
    </w:p>
    <w:p w14:paraId="1A863FF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.2投标人只允许有一个方案、一个报价。</w:t>
      </w:r>
    </w:p>
    <w:p w14:paraId="5525CFF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.3投标报价是完成项目全部内容（包括后期的相关服务）交付验收的</w:t>
      </w:r>
      <w:r>
        <w:rPr>
          <w:rFonts w:hint="eastAsia" w:ascii="宋体" w:hAnsi="宋体" w:eastAsia="宋体" w:cs="宋体"/>
          <w:color w:val="auto"/>
          <w:sz w:val="24"/>
          <w:szCs w:val="24"/>
          <w:highlight w:val="none"/>
          <w:lang w:val="en-US" w:eastAsia="zh-CN"/>
        </w:rPr>
        <w:t>价格</w:t>
      </w:r>
      <w:r>
        <w:rPr>
          <w:rFonts w:hint="eastAsia" w:ascii="宋体" w:hAnsi="宋体" w:eastAsia="宋体" w:cs="宋体"/>
          <w:color w:val="auto"/>
          <w:sz w:val="24"/>
          <w:szCs w:val="24"/>
          <w:highlight w:val="none"/>
        </w:rPr>
        <w:t>，其</w:t>
      </w: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价即为履行合同的固定</w:t>
      </w:r>
      <w:r>
        <w:rPr>
          <w:rFonts w:hint="eastAsia" w:ascii="宋体" w:hAnsi="宋体" w:eastAsia="宋体" w:cs="宋体"/>
          <w:color w:val="auto"/>
          <w:sz w:val="24"/>
          <w:szCs w:val="24"/>
          <w:highlight w:val="none"/>
          <w:lang w:val="en-US" w:eastAsia="zh-CN"/>
        </w:rPr>
        <w:t>单价</w:t>
      </w:r>
      <w:r>
        <w:rPr>
          <w:rFonts w:hint="eastAsia" w:ascii="宋体" w:hAnsi="宋体" w:eastAsia="宋体" w:cs="宋体"/>
          <w:color w:val="auto"/>
          <w:sz w:val="24"/>
          <w:szCs w:val="24"/>
          <w:highlight w:val="none"/>
        </w:rPr>
        <w:t>。</w:t>
      </w:r>
    </w:p>
    <w:p w14:paraId="4F46D99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.4投标报价应由法定代表人或被授权人签署。</w:t>
      </w:r>
    </w:p>
    <w:p w14:paraId="2BBD7C6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w:t>
      </w:r>
      <w:r>
        <w:rPr>
          <w:rFonts w:hint="eastAsia" w:ascii="宋体" w:hAnsi="宋体" w:eastAsia="宋体" w:cs="宋体"/>
          <w:bCs/>
          <w:color w:val="auto"/>
          <w:sz w:val="24"/>
          <w:szCs w:val="24"/>
          <w:highlight w:val="none"/>
        </w:rPr>
        <w:t>投标人的报价不得高于本次招标最高限价</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否则将作为无效投标处理。</w:t>
      </w:r>
    </w:p>
    <w:p w14:paraId="3D73893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.6如投标文件中未列明全面实现投标货物功能而必须配置的配套或辅助设施及相应技术措施的费用，这些费用将被视为已包含在总投标价中。</w:t>
      </w:r>
    </w:p>
    <w:p w14:paraId="24465A9B">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.7投标价中不得包含招标文件要求以外的内容，否则，在评标时不予核减，但在授予合同时，招标人有权将这部分价格从其中标价格中扣除。</w:t>
      </w:r>
    </w:p>
    <w:p w14:paraId="28BEECA2">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2</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.8</w:t>
      </w:r>
      <w:r>
        <w:rPr>
          <w:rFonts w:hint="eastAsia" w:ascii="宋体" w:hAnsi="宋体" w:eastAsia="宋体" w:cs="宋体"/>
          <w:color w:val="auto"/>
          <w:sz w:val="24"/>
          <w:szCs w:val="24"/>
          <w:highlight w:val="none"/>
        </w:rPr>
        <w:t>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2A05B75A">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22</w:t>
      </w:r>
      <w:r>
        <w:rPr>
          <w:rFonts w:hint="eastAsia" w:ascii="宋体" w:hAnsi="宋体" w:eastAsia="宋体" w:cs="宋体"/>
          <w:b/>
          <w:color w:val="auto"/>
          <w:sz w:val="24"/>
          <w:szCs w:val="24"/>
          <w:highlight w:val="none"/>
        </w:rPr>
        <w:t>. 投标有效期</w:t>
      </w:r>
    </w:p>
    <w:p w14:paraId="79EC7EA8">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22</w:t>
      </w:r>
      <w:r>
        <w:rPr>
          <w:rFonts w:hint="eastAsia" w:ascii="宋体" w:hAnsi="宋体" w:eastAsia="宋体" w:cs="宋体"/>
          <w:color w:val="auto"/>
          <w:sz w:val="24"/>
          <w:szCs w:val="24"/>
          <w:highlight w:val="none"/>
        </w:rPr>
        <w:t>.1 投标有效期见投标人须知前附表。</w:t>
      </w:r>
    </w:p>
    <w:p w14:paraId="287051E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22</w:t>
      </w:r>
      <w:r>
        <w:rPr>
          <w:rFonts w:hint="eastAsia" w:ascii="宋体" w:hAnsi="宋体" w:eastAsia="宋体" w:cs="宋体"/>
          <w:color w:val="auto"/>
          <w:sz w:val="24"/>
          <w:szCs w:val="24"/>
          <w:highlight w:val="none"/>
        </w:rPr>
        <w:t>.2在投标有效期内，投标人撤销或修改其投标文件的，应承担招标文件和法律规定的责任。</w:t>
      </w:r>
    </w:p>
    <w:p w14:paraId="7E80780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22</w:t>
      </w:r>
      <w:r>
        <w:rPr>
          <w:rFonts w:hint="eastAsia" w:ascii="宋体" w:hAnsi="宋体" w:eastAsia="宋体" w:cs="宋体"/>
          <w:color w:val="auto"/>
          <w:sz w:val="24"/>
          <w:szCs w:val="24"/>
          <w:highlight w:val="none"/>
        </w:rPr>
        <w:t>.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676653B8">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23</w:t>
      </w:r>
      <w:r>
        <w:rPr>
          <w:rFonts w:hint="eastAsia" w:ascii="宋体" w:hAnsi="宋体" w:eastAsia="宋体" w:cs="宋体"/>
          <w:b/>
          <w:color w:val="auto"/>
          <w:sz w:val="24"/>
          <w:szCs w:val="24"/>
          <w:highlight w:val="none"/>
        </w:rPr>
        <w:t>. 投标保证金</w:t>
      </w:r>
    </w:p>
    <w:p w14:paraId="6A2A2E5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bookmarkStart w:id="48" w:name="_Toc449028870"/>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.1投标人须知前附表规定递交投标保证金的，投标人在递交投标文件的同时，应按投标人须知前附表规定的金额、担保形式和第</w:t>
      </w: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rPr>
        <w:t>章“投标文件格式”规定的或者事先经过招标人认可的保证金格式递交保证金，并作为其投标文件的组成部分。联合体投标的，其投标保证金由牵头人递交，并应符合投标人须知前附表的规定。</w:t>
      </w:r>
    </w:p>
    <w:p w14:paraId="10C0FB7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无论采取何种形式的投标保证金，投标保证金有效期均应与投标有效期一致（采用投标电子保函的保证期截止时间不得早于该项目投标有效期的截止时间）。招标人如果按本章第2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.3项的规定延长了投标有效期，则投标保证金的有效期也相应延长。</w:t>
      </w:r>
    </w:p>
    <w:p w14:paraId="0A2F9F5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.2投标人不按本章第2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.1项要求提交投标保证金的，评标委员会将否决其投标。</w:t>
      </w:r>
    </w:p>
    <w:p w14:paraId="719E820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6593AEA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.4有下列情形之一的，投标保证金将不予退还： </w:t>
      </w:r>
    </w:p>
    <w:p w14:paraId="10D9E8AB">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（1）投标截止后投标人撤销投标文件的；</w:t>
      </w:r>
    </w:p>
    <w:p w14:paraId="1B922C42">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（2）中标人无正当理由不与招标人订立合同，在签订合同时向招标人提出附加条件，或者不按照招标文件要求提交履约保证金的。</w:t>
      </w:r>
    </w:p>
    <w:p w14:paraId="31EEBEB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.5投标保证金按《</w:t>
      </w:r>
      <w:r>
        <w:rPr>
          <w:rFonts w:hint="eastAsia" w:ascii="宋体" w:hAnsi="宋体" w:eastAsia="宋体" w:cs="宋体"/>
          <w:color w:val="auto"/>
          <w:sz w:val="24"/>
          <w:szCs w:val="24"/>
          <w:highlight w:val="none"/>
          <w:u w:val="none"/>
        </w:rPr>
        <w:t>滁州市公共资源交易投标保证金管理规定</w:t>
      </w:r>
      <w:r>
        <w:rPr>
          <w:rFonts w:hint="eastAsia" w:ascii="宋体" w:hAnsi="宋体" w:eastAsia="宋体" w:cs="宋体"/>
          <w:color w:val="auto"/>
          <w:sz w:val="24"/>
          <w:szCs w:val="24"/>
          <w:highlight w:val="none"/>
        </w:rPr>
        <w:t>》（滁公管〔2021〕7号）规定执行。</w:t>
      </w:r>
    </w:p>
    <w:p w14:paraId="45A4FAD7">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（四）投标文件的递交</w:t>
      </w:r>
      <w:bookmarkEnd w:id="48"/>
    </w:p>
    <w:p w14:paraId="0C04D2F3">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24</w:t>
      </w:r>
      <w:r>
        <w:rPr>
          <w:rFonts w:hint="eastAsia" w:ascii="宋体" w:hAnsi="宋体" w:eastAsia="宋体" w:cs="宋体"/>
          <w:b/>
          <w:color w:val="auto"/>
          <w:sz w:val="24"/>
          <w:szCs w:val="24"/>
          <w:highlight w:val="none"/>
        </w:rPr>
        <w:t>.投标文件的密封和标记</w:t>
      </w:r>
    </w:p>
    <w:p w14:paraId="6693D198">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eastAsia="zh-CN"/>
        </w:rPr>
      </w:pPr>
      <w:bookmarkStart w:id="49" w:name="_Toc449028871"/>
      <w:r>
        <w:rPr>
          <w:rFonts w:hint="eastAsia" w:ascii="宋体" w:hAnsi="宋体" w:eastAsia="宋体" w:cs="宋体"/>
          <w:color w:val="auto"/>
          <w:sz w:val="24"/>
          <w:szCs w:val="24"/>
          <w:highlight w:val="none"/>
          <w:lang w:eastAsia="zh-CN"/>
        </w:rPr>
        <w:t>24.1投标文件应按照本章第2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.2.5项要求制作并加密，未按要求加密的投标文件将被拒绝接收。以投标人在投标截止时间前网上递交的电子投标文件为准。</w:t>
      </w:r>
    </w:p>
    <w:p w14:paraId="2E82EAFD">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25</w:t>
      </w:r>
      <w:r>
        <w:rPr>
          <w:rFonts w:hint="eastAsia" w:ascii="宋体" w:hAnsi="宋体" w:eastAsia="宋体" w:cs="宋体"/>
          <w:b/>
          <w:color w:val="auto"/>
          <w:sz w:val="24"/>
          <w:szCs w:val="24"/>
          <w:highlight w:val="none"/>
        </w:rPr>
        <w:t>. 投标文件上传</w:t>
      </w:r>
    </w:p>
    <w:p w14:paraId="7473381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lang w:eastAsia="zh-CN"/>
        </w:rPr>
        <w:t>.1请投标人通过系统下载投标工具制作投标文件，并利用CA数字证书进行上传投标文件，上传已加密的投标文件，务必通过此方式上传投标文件。</w:t>
      </w:r>
    </w:p>
    <w:p w14:paraId="14957C6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25.2</w:t>
      </w:r>
      <w:r>
        <w:rPr>
          <w:rFonts w:hint="eastAsia" w:ascii="宋体" w:hAnsi="宋体" w:eastAsia="宋体" w:cs="宋体"/>
          <w:color w:val="auto"/>
          <w:sz w:val="24"/>
          <w:szCs w:val="24"/>
          <w:highlight w:val="none"/>
          <w:lang w:eastAsia="zh-CN"/>
        </w:rPr>
        <w:t>投标人在投标文件编制、签章、上传过程中如有任何操作的疑问请及时联系技术支持，电话：0550-3801701。</w:t>
      </w:r>
    </w:p>
    <w:p w14:paraId="364B74B2">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26</w:t>
      </w:r>
      <w:r>
        <w:rPr>
          <w:rFonts w:hint="eastAsia" w:ascii="宋体" w:hAnsi="宋体" w:eastAsia="宋体" w:cs="宋体"/>
          <w:b/>
          <w:color w:val="auto"/>
          <w:sz w:val="24"/>
          <w:szCs w:val="24"/>
          <w:highlight w:val="none"/>
        </w:rPr>
        <w:t>．投标文件的递交</w:t>
      </w:r>
    </w:p>
    <w:p w14:paraId="27889FEF">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.1 投标人应当在第一章“招标公告”规定的投标截止时间前，将加密投标文件上传至电子交易系统。</w:t>
      </w:r>
    </w:p>
    <w:p w14:paraId="3A40212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.2 除投标人须知前附表另有规定外，投标人所递交的投标文件不予退还。</w:t>
      </w:r>
    </w:p>
    <w:p w14:paraId="5C58DBE0">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.3 投标人应当在投标截止时间前完成投标文件的网上递交，并可以补充、修改或者撤回投标文件。投标截止时间前未完成投标文件网上递交的，视为撤回投标文件。未按规定加密或投标截止时间后通过网上招标投标系统递交电子投标文件的，电子交易系统应当拒收，投标无效。</w:t>
      </w:r>
    </w:p>
    <w:p w14:paraId="59A65B1A">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27</w:t>
      </w:r>
      <w:r>
        <w:rPr>
          <w:rFonts w:hint="eastAsia" w:ascii="宋体" w:hAnsi="宋体" w:eastAsia="宋体" w:cs="宋体"/>
          <w:b/>
          <w:color w:val="auto"/>
          <w:sz w:val="24"/>
          <w:szCs w:val="24"/>
          <w:highlight w:val="none"/>
        </w:rPr>
        <w:t>.投标文件的修改与撤回</w:t>
      </w:r>
    </w:p>
    <w:p w14:paraId="66E280A0">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.1在第一章“招标公告”规定的投标截止时间前，投标人可以自行从网上招投标系统撤回已递交的投标文件，并可修改后重新加密上传，开标时以投标截止时间前投标人最终上传的投标文件为准。</w:t>
      </w:r>
    </w:p>
    <w:p w14:paraId="5C999B15">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.偏离</w:t>
      </w:r>
    </w:p>
    <w:p w14:paraId="0A490C86">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.1投标文件偏离招标文件某些要求，视为投标文件存在偏差。偏差包括重大偏差和细微偏差。</w:t>
      </w:r>
    </w:p>
    <w:p w14:paraId="5DE849ED">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.1.1投标文件应对招标文件的实质性要求和条件作出满足性或更有利于招标人的响应，否则，视为投标文件存在重大偏差，投标人的投标将被否决。</w:t>
      </w:r>
    </w:p>
    <w:p w14:paraId="6E73B1C9">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投标文件存在第</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章“评标办法”中所列任一无效投标情形的，均属于存在重大偏差。</w:t>
      </w:r>
    </w:p>
    <w:p w14:paraId="1C02BF72">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.1.2投标文件中的下列偏差为细微偏差：</w:t>
      </w:r>
    </w:p>
    <w:p w14:paraId="6A23A1AF">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（1）在按照第</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章“评标办法”的规定对投标价进行算术性错误修正及其他错误修正后，最终投标报价未超过最高投标限价（如有）或未被否决投标的情况下，出现第</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章“评标办法”规定的算术性错误和投标报价的其他错误；</w:t>
      </w:r>
    </w:p>
    <w:p w14:paraId="3391FA10">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（2）投标文件个别文字有遗漏错误等不影响投标文件实质性内容的偏差。</w:t>
      </w:r>
    </w:p>
    <w:p w14:paraId="32D37E94">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.1.3评标委员会对投标文件中的细微偏差按如下规定处理：</w:t>
      </w:r>
    </w:p>
    <w:p w14:paraId="3ECFDE34">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对于本章第</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.1.2 项（1）目所述的细微偏差，按照第</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章“评标办法”的规定予以修正并要求投标人进行澄清；</w:t>
      </w:r>
    </w:p>
    <w:p w14:paraId="2688EC33">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对于本章第</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.1.2 项（2）目所述的细微偏差，可要求投标人对细微偏差进行澄清。</w:t>
      </w:r>
    </w:p>
    <w:p w14:paraId="77F74337">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（五）开标和评标</w:t>
      </w:r>
      <w:bookmarkEnd w:id="49"/>
    </w:p>
    <w:p w14:paraId="01090C61">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29</w:t>
      </w:r>
      <w:r>
        <w:rPr>
          <w:rFonts w:hint="eastAsia" w:ascii="宋体" w:hAnsi="宋体" w:eastAsia="宋体" w:cs="宋体"/>
          <w:b/>
          <w:color w:val="auto"/>
          <w:sz w:val="24"/>
          <w:szCs w:val="24"/>
          <w:highlight w:val="none"/>
        </w:rPr>
        <w:t>. 开标</w:t>
      </w:r>
    </w:p>
    <w:p w14:paraId="5D620E4F">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.1 开标的时间和地点</w:t>
      </w:r>
    </w:p>
    <w:p w14:paraId="3C9C1676">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.1.1招标人在第一章“招标公告”规定的投标截止时间前（开标时间）和地点通过电子交易系统公开开标。</w:t>
      </w:r>
    </w:p>
    <w:p w14:paraId="7087F77E">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.2开标程序</w:t>
      </w:r>
    </w:p>
    <w:p w14:paraId="73162B70">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.2.1主持人按下列程序进行开标：</w:t>
      </w:r>
    </w:p>
    <w:p w14:paraId="689C4A41">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（1）公布在投标截止时间前通过电子交易系统完成投标文件递交的投标人名称；</w:t>
      </w:r>
    </w:p>
    <w:p w14:paraId="591439C8">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（2）投标人在投标截止时间后在投标人须知前附表规定的解密时间内完成投标文件的解密工作；</w:t>
      </w:r>
    </w:p>
    <w:p w14:paraId="453120C9">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（3）招标人或招标代理机构完成解密工作，导入并读取所有成功解密的投标文件；</w:t>
      </w:r>
    </w:p>
    <w:p w14:paraId="66D590B6">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（4）按投标人须知前附表规定公布投标人名称、标段名称、投标报价、质量目标、工期及其他内容；</w:t>
      </w:r>
    </w:p>
    <w:p w14:paraId="0512B007">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（5）开标结束。</w:t>
      </w:r>
    </w:p>
    <w:p w14:paraId="7D649818">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.3开标异议</w:t>
      </w:r>
    </w:p>
    <w:p w14:paraId="77FAF369">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.3.1投标人对开标有异议的，应当在开标过程中提出，招标人在开标过程中作出答复，并制作记录。异议与答复应通过电子交易系统进行。</w:t>
      </w:r>
    </w:p>
    <w:p w14:paraId="35299798">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.评标委员会</w:t>
      </w:r>
    </w:p>
    <w:p w14:paraId="00F35BB7">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7159AAA4">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.2 评标委员会成员有下列情形之一的，应当回避：</w:t>
      </w:r>
    </w:p>
    <w:p w14:paraId="0F9C2A2F">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（1）投标人或投标人主要负责人的近亲属；</w:t>
      </w:r>
    </w:p>
    <w:p w14:paraId="1B452B94">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（2）项目主管部门或者行政监督部门的人员；</w:t>
      </w:r>
    </w:p>
    <w:p w14:paraId="1A238691">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（3）与投标人有经济利益关系；</w:t>
      </w:r>
    </w:p>
    <w:p w14:paraId="14E826BF">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（4）曾因在招标、评标以及其他与招标投标有关活动中从事违法行为而受过行政处罚或刑事处罚的；</w:t>
      </w:r>
    </w:p>
    <w:p w14:paraId="562D2709">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（5）与投标人有其他利害关系。</w:t>
      </w:r>
    </w:p>
    <w:p w14:paraId="544BB892">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项目实施主体及其子公司、下属单位、上级主管部门或者控股公司的工作人员或者退休人员不得以专家身份参与本单位或者代理项目的评标评审。 </w:t>
      </w:r>
    </w:p>
    <w:p w14:paraId="25F00B30">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 xml:space="preserve">评标委员会或评审机构成员有前两款规定情形的，应当主动提出回避；已经进入的应当更换，被更换的成员评标评审意见无效。 </w:t>
      </w:r>
    </w:p>
    <w:p w14:paraId="533E5B8A">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42535C5D">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val="en-US" w:eastAsia="zh-CN"/>
        </w:rPr>
        <w:t>0</w:t>
      </w:r>
      <w:r>
        <w:rPr>
          <w:rFonts w:hint="eastAsia" w:ascii="宋体" w:hAnsi="宋体" w:eastAsia="宋体" w:cs="宋体"/>
          <w:b/>
          <w:color w:val="auto"/>
          <w:sz w:val="24"/>
          <w:szCs w:val="24"/>
          <w:highlight w:val="none"/>
        </w:rPr>
        <w:t>.评标原则</w:t>
      </w:r>
    </w:p>
    <w:p w14:paraId="56C5A9CB">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.1评标活动遵循公平、公正、科学和择优的原则。</w:t>
      </w:r>
    </w:p>
    <w:p w14:paraId="23680C65">
      <w:pPr>
        <w:keepNext w:val="0"/>
        <w:keepLines w:val="0"/>
        <w:pageBreakBefore w:val="0"/>
        <w:widowControl w:val="0"/>
        <w:kinsoku/>
        <w:wordWrap w:val="0"/>
        <w:overflowPunct/>
        <w:topLinePunct w:val="0"/>
        <w:autoSpaceDE/>
        <w:autoSpaceDN/>
        <w:bidi w:val="0"/>
        <w:adjustRightInd/>
        <w:snapToGrid/>
        <w:spacing w:line="480" w:lineRule="exact"/>
        <w:ind w:left="0" w:right="0" w:rightChars="0"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.评标</w:t>
      </w:r>
    </w:p>
    <w:p w14:paraId="33ADBD2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w:t>
      </w:r>
      <w:bookmarkStart w:id="50" w:name="_Toc449028873"/>
      <w:r>
        <w:rPr>
          <w:rFonts w:hint="eastAsia" w:ascii="宋体" w:hAnsi="宋体" w:eastAsia="宋体" w:cs="宋体"/>
          <w:color w:val="auto"/>
          <w:sz w:val="24"/>
          <w:szCs w:val="24"/>
          <w:highlight w:val="none"/>
        </w:rPr>
        <w:t>评标委员会按照第</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章“评标办法”规定的方法、评审因素、标准和程序对投标文件进行评审。第</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章“评标办法”没有规定的方法、评审因素和标准，不作为评标依据。</w:t>
      </w:r>
    </w:p>
    <w:p w14:paraId="224B4852">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.2评标完成后，评标委员会应向招标人提交书面评标报告和中标候选人名单。评标委员会推荐中标候选人的人数见投标人须知前附表。</w:t>
      </w:r>
    </w:p>
    <w:p w14:paraId="26D13EE6">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（六）合同授予</w:t>
      </w:r>
      <w:bookmarkEnd w:id="50"/>
    </w:p>
    <w:p w14:paraId="4636B96D">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bookmarkStart w:id="51" w:name="_Toc449028874"/>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.中标公示</w:t>
      </w:r>
    </w:p>
    <w:p w14:paraId="568E5602">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.1招标人在收到评标报告之日起3日内，按照投标人须知前附表规定的公示媒介和期限依法公示。公示期不得少于3日。</w:t>
      </w:r>
    </w:p>
    <w:p w14:paraId="02295EEA">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33.</w:t>
      </w:r>
      <w:r>
        <w:rPr>
          <w:rFonts w:hint="eastAsia" w:ascii="宋体" w:hAnsi="宋体" w:eastAsia="宋体" w:cs="宋体"/>
          <w:b/>
          <w:color w:val="auto"/>
          <w:sz w:val="24"/>
          <w:szCs w:val="24"/>
          <w:highlight w:val="none"/>
        </w:rPr>
        <w:t>评标结果异议</w:t>
      </w:r>
    </w:p>
    <w:p w14:paraId="69234AB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.1投标人或其他利害关系人对评标结果有异议的，应在公示期内提出。招标人将在收到异议之日起3日内作出答复；作出答复前，将暂停招标投标活动。</w:t>
      </w:r>
    </w:p>
    <w:p w14:paraId="365352A6">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34.</w:t>
      </w:r>
      <w:r>
        <w:rPr>
          <w:rFonts w:hint="eastAsia" w:ascii="宋体" w:hAnsi="宋体" w:eastAsia="宋体" w:cs="宋体"/>
          <w:b/>
          <w:color w:val="auto"/>
          <w:sz w:val="24"/>
          <w:szCs w:val="24"/>
          <w:highlight w:val="none"/>
        </w:rPr>
        <w:t>中标候选人履约能力审查</w:t>
      </w:r>
    </w:p>
    <w:p w14:paraId="081FB1E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.1中标候选人的经营、财务状况发生较大变化或者存在违法行为，招标人认为可能影响其履约能力的，应当在发出中标通知书前由原评标委员会按照招标文件规定的标准和方法审查确认。</w:t>
      </w:r>
    </w:p>
    <w:p w14:paraId="7F9C4509">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35.</w:t>
      </w:r>
      <w:r>
        <w:rPr>
          <w:rFonts w:hint="eastAsia" w:ascii="宋体" w:hAnsi="宋体" w:eastAsia="宋体" w:cs="宋体"/>
          <w:b/>
          <w:color w:val="auto"/>
          <w:sz w:val="24"/>
          <w:szCs w:val="24"/>
          <w:highlight w:val="none"/>
        </w:rPr>
        <w:t>业绩公示</w:t>
      </w:r>
    </w:p>
    <w:p w14:paraId="771F4BCB">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.1招标人对中标人的得分业绩进行公示。</w:t>
      </w:r>
    </w:p>
    <w:p w14:paraId="56FFBD3C">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36.</w:t>
      </w:r>
      <w:r>
        <w:rPr>
          <w:rFonts w:hint="eastAsia" w:ascii="宋体" w:hAnsi="宋体" w:eastAsia="宋体" w:cs="宋体"/>
          <w:b/>
          <w:color w:val="auto"/>
          <w:sz w:val="24"/>
          <w:szCs w:val="24"/>
          <w:highlight w:val="none"/>
        </w:rPr>
        <w:t>定标</w:t>
      </w:r>
    </w:p>
    <w:p w14:paraId="1B1C5EA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685F399">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37.</w:t>
      </w:r>
      <w:r>
        <w:rPr>
          <w:rFonts w:hint="eastAsia" w:ascii="宋体" w:hAnsi="宋体" w:eastAsia="宋体" w:cs="宋体"/>
          <w:b/>
          <w:color w:val="auto"/>
          <w:sz w:val="24"/>
          <w:szCs w:val="24"/>
          <w:highlight w:val="none"/>
        </w:rPr>
        <w:t>中标通知</w:t>
      </w:r>
    </w:p>
    <w:p w14:paraId="4A5D538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.1在本招标文件规定的投标有效期内，招标人以数据电文向中标人发出中标通知书，同时将中标结果通知未中标的投标人。</w:t>
      </w:r>
    </w:p>
    <w:p w14:paraId="41B418CA">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38.</w:t>
      </w:r>
      <w:r>
        <w:rPr>
          <w:rFonts w:hint="eastAsia" w:ascii="宋体" w:hAnsi="宋体" w:eastAsia="宋体" w:cs="宋体"/>
          <w:b/>
          <w:color w:val="auto"/>
          <w:sz w:val="24"/>
          <w:szCs w:val="24"/>
          <w:highlight w:val="none"/>
        </w:rPr>
        <w:t>履约担保</w:t>
      </w:r>
    </w:p>
    <w:p w14:paraId="559875E8">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1在签订合同前，中标人应按投标人须知前附表规定的担保形式和招标文件第六章“合同条款及格式”规定的或者事先经过招标人书面认可的履约担保格式向招标人提交履约担保。联合体中标的，其履约担保应符合投标人须知前附表规定的金额、担保形式和招标文件第六章“合同条款及格式”规定的履约担保格式要求。</w:t>
      </w:r>
    </w:p>
    <w:p w14:paraId="522C2A1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.2中标人不能按本章第</w:t>
      </w: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.1项要求提交履约担保的，视为放弃中标，其投标保证金不予退还，给招标人造成的损失超过投标保证金数额的，中标人还应当对超过部分予以赔偿。</w:t>
      </w:r>
    </w:p>
    <w:p w14:paraId="714716C8">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39.</w:t>
      </w:r>
      <w:r>
        <w:rPr>
          <w:rFonts w:hint="eastAsia" w:ascii="宋体" w:hAnsi="宋体" w:eastAsia="宋体" w:cs="宋体"/>
          <w:b/>
          <w:color w:val="auto"/>
          <w:sz w:val="24"/>
          <w:szCs w:val="24"/>
          <w:highlight w:val="none"/>
        </w:rPr>
        <w:t>签订合同</w:t>
      </w:r>
    </w:p>
    <w:p w14:paraId="30514238">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r>
        <w:rPr>
          <w:rFonts w:hint="eastAsia" w:ascii="宋体" w:hAnsi="宋体" w:eastAsia="宋体" w:cs="宋体"/>
          <w:color w:val="auto"/>
          <w:sz w:val="24"/>
          <w:szCs w:val="24"/>
          <w:highlight w:val="none"/>
        </w:rPr>
        <w:t>.1本项目合同将授予按本须知第</w:t>
      </w: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款规定所确定的中标人。</w:t>
      </w:r>
    </w:p>
    <w:p w14:paraId="07827BB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r>
        <w:rPr>
          <w:rFonts w:hint="eastAsia" w:ascii="宋体" w:hAnsi="宋体" w:eastAsia="宋体" w:cs="宋体"/>
          <w:color w:val="auto"/>
          <w:sz w:val="24"/>
          <w:szCs w:val="24"/>
          <w:highlight w:val="none"/>
        </w:rPr>
        <w:t>.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其投标保证金不予退还；给招标人造成的损失超过投标保证金数额的，中标人还应当对超过部分予以赔偿。</w:t>
      </w:r>
    </w:p>
    <w:p w14:paraId="290FBC6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r>
        <w:rPr>
          <w:rFonts w:hint="eastAsia" w:ascii="宋体" w:hAnsi="宋体" w:eastAsia="宋体" w:cs="宋体"/>
          <w:color w:val="auto"/>
          <w:sz w:val="24"/>
          <w:szCs w:val="24"/>
          <w:highlight w:val="none"/>
        </w:rPr>
        <w:t>.3发出中标通知书后，招标人无正当理由拒签合同的，招标人向中标人退还投标保证金；给中标人造成损失的，还应当赔偿损失。</w:t>
      </w:r>
    </w:p>
    <w:p w14:paraId="72486D3B">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r>
        <w:rPr>
          <w:rFonts w:hint="eastAsia" w:ascii="宋体" w:hAnsi="宋体" w:eastAsia="宋体" w:cs="宋体"/>
          <w:color w:val="auto"/>
          <w:sz w:val="24"/>
          <w:szCs w:val="24"/>
          <w:highlight w:val="none"/>
        </w:rPr>
        <w:t>.4 除法定情形外，建设工程合同履行期间项目经理（建造师）不得更换。项目经理（建造师）确需变更的，应根据招标文件要求，变更后的项目经理（建造师）不低于投标文件中拟派项目经理（建造师）的资格条件。</w:t>
      </w:r>
    </w:p>
    <w:p w14:paraId="58E4699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r>
        <w:rPr>
          <w:rFonts w:hint="eastAsia" w:ascii="宋体" w:hAnsi="宋体" w:eastAsia="宋体" w:cs="宋体"/>
          <w:color w:val="auto"/>
          <w:sz w:val="24"/>
          <w:szCs w:val="24"/>
          <w:highlight w:val="none"/>
        </w:rPr>
        <w:t>.5联合体中标的，联合体各方应当共同与招标人签订合同，就中标项目向招标人承担连带责任。</w:t>
      </w:r>
    </w:p>
    <w:p w14:paraId="52E4472B">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40.</w:t>
      </w:r>
      <w:r>
        <w:rPr>
          <w:rFonts w:hint="eastAsia" w:ascii="宋体" w:hAnsi="宋体" w:eastAsia="宋体" w:cs="宋体"/>
          <w:b/>
          <w:color w:val="auto"/>
          <w:sz w:val="24"/>
          <w:szCs w:val="24"/>
          <w:highlight w:val="none"/>
        </w:rPr>
        <w:t>重新招标和不再招标</w:t>
      </w:r>
    </w:p>
    <w:p w14:paraId="1E131DF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4"/>
        <w:rPr>
          <w:rFonts w:hint="eastAsia" w:ascii="宋体" w:hAnsi="宋体" w:eastAsia="宋体" w:cs="宋体"/>
          <w:color w:val="auto"/>
          <w:sz w:val="24"/>
          <w:szCs w:val="24"/>
          <w:highlight w:val="none"/>
        </w:rPr>
      </w:pPr>
      <w:bookmarkStart w:id="52" w:name="_Toc152045572"/>
      <w:bookmarkStart w:id="53" w:name="_Toc60061479"/>
      <w:bookmarkStart w:id="54" w:name="_Toc83301733"/>
      <w:bookmarkStart w:id="55" w:name="_Toc144974540"/>
      <w:bookmarkStart w:id="56" w:name="_Toc95223382"/>
      <w:bookmarkStart w:id="57" w:name="_Toc152042348"/>
      <w:bookmarkStart w:id="58" w:name="_Toc179632590"/>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 重新招标</w:t>
      </w:r>
      <w:bookmarkEnd w:id="52"/>
      <w:bookmarkEnd w:id="53"/>
      <w:bookmarkEnd w:id="54"/>
      <w:bookmarkEnd w:id="55"/>
      <w:bookmarkEnd w:id="56"/>
      <w:bookmarkEnd w:id="57"/>
      <w:bookmarkEnd w:id="58"/>
    </w:p>
    <w:p w14:paraId="22E3163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.1.1依法必须招标的项目有下列情形之一的，招标人将重新招标：</w:t>
      </w:r>
    </w:p>
    <w:p w14:paraId="28D0EC3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（1）投标截止时间止，投标人少于3个的；</w:t>
      </w:r>
    </w:p>
    <w:p w14:paraId="73FF38E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（2）经评标委员会评审后否决所有投标的；</w:t>
      </w:r>
    </w:p>
    <w:p w14:paraId="0320336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（3）中标候选人均未与招标人签订合同的；</w:t>
      </w:r>
    </w:p>
    <w:p w14:paraId="7698396F">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（4）法律、法规规定的其他情形。</w:t>
      </w:r>
    </w:p>
    <w:p w14:paraId="45FDAF2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4"/>
        <w:rPr>
          <w:rFonts w:hint="eastAsia" w:ascii="宋体" w:hAnsi="宋体" w:eastAsia="宋体" w:cs="宋体"/>
          <w:color w:val="auto"/>
          <w:sz w:val="24"/>
          <w:szCs w:val="24"/>
          <w:highlight w:val="none"/>
        </w:rPr>
      </w:pPr>
      <w:bookmarkStart w:id="59" w:name="_Toc60061480"/>
      <w:bookmarkStart w:id="60" w:name="_Toc144974541"/>
      <w:bookmarkStart w:id="61" w:name="_Toc152045573"/>
      <w:bookmarkStart w:id="62" w:name="_Toc83301734"/>
      <w:bookmarkStart w:id="63" w:name="_Toc95223383"/>
      <w:bookmarkStart w:id="64" w:name="_Toc152042349"/>
      <w:bookmarkStart w:id="65" w:name="_Toc179632591"/>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.2 不再招标</w:t>
      </w:r>
      <w:bookmarkEnd w:id="59"/>
      <w:bookmarkEnd w:id="60"/>
      <w:bookmarkEnd w:id="61"/>
      <w:bookmarkEnd w:id="62"/>
      <w:bookmarkEnd w:id="63"/>
      <w:bookmarkEnd w:id="64"/>
      <w:bookmarkEnd w:id="65"/>
    </w:p>
    <w:p w14:paraId="4760FEC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rPr>
        <w:t>.2.1重新招标后投标人仍少于3个或者所有投标被否决的，属于必须审批或核准的工程建设项目，经原审批或核准部门批准后不再进行招标。</w:t>
      </w:r>
    </w:p>
    <w:p w14:paraId="0567F33D">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（七）纪律和监督</w:t>
      </w:r>
      <w:bookmarkEnd w:id="51"/>
    </w:p>
    <w:p w14:paraId="5228FBB9">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41.</w:t>
      </w:r>
      <w:r>
        <w:rPr>
          <w:rFonts w:hint="eastAsia" w:ascii="宋体" w:hAnsi="宋体" w:eastAsia="宋体" w:cs="宋体"/>
          <w:b/>
          <w:color w:val="auto"/>
          <w:sz w:val="24"/>
          <w:szCs w:val="24"/>
          <w:highlight w:val="none"/>
        </w:rPr>
        <w:t xml:space="preserve">对招标人的纪律要求 </w:t>
      </w:r>
    </w:p>
    <w:p w14:paraId="4D21C0A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.1招标人不得泄漏招标投标活动中应当保密的情况和资料，不得与投标人串通损害国家利益、社会公共利益或者他人合法权益。</w:t>
      </w:r>
    </w:p>
    <w:p w14:paraId="227A8D31">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42.</w:t>
      </w:r>
      <w:r>
        <w:rPr>
          <w:rFonts w:hint="eastAsia" w:ascii="宋体" w:hAnsi="宋体" w:eastAsia="宋体" w:cs="宋体"/>
          <w:b/>
          <w:color w:val="auto"/>
          <w:sz w:val="24"/>
          <w:szCs w:val="24"/>
          <w:highlight w:val="none"/>
        </w:rPr>
        <w:t xml:space="preserve">对投标人的纪律要求 </w:t>
      </w:r>
    </w:p>
    <w:p w14:paraId="597D9998">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4AF56EB7">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43.</w:t>
      </w:r>
      <w:r>
        <w:rPr>
          <w:rFonts w:hint="eastAsia" w:ascii="宋体" w:hAnsi="宋体" w:eastAsia="宋体" w:cs="宋体"/>
          <w:b/>
          <w:color w:val="auto"/>
          <w:sz w:val="24"/>
          <w:szCs w:val="24"/>
          <w:highlight w:val="none"/>
        </w:rPr>
        <w:t xml:space="preserve">对评标委员会成员的纪律要求 </w:t>
      </w:r>
    </w:p>
    <w:p w14:paraId="082DD567">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章“评标办法”没有规定的评审因素和标准进行评标。</w:t>
      </w:r>
    </w:p>
    <w:p w14:paraId="1EF15B87">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44.</w:t>
      </w:r>
      <w:r>
        <w:rPr>
          <w:rFonts w:hint="eastAsia" w:ascii="宋体" w:hAnsi="宋体" w:eastAsia="宋体" w:cs="宋体"/>
          <w:b/>
          <w:color w:val="auto"/>
          <w:sz w:val="24"/>
          <w:szCs w:val="24"/>
          <w:highlight w:val="none"/>
        </w:rPr>
        <w:t xml:space="preserve">对与评标活动有关的工作人员的纪律要求 </w:t>
      </w:r>
    </w:p>
    <w:p w14:paraId="1C1F263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bookmarkStart w:id="66" w:name="_Toc152042355"/>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6"/>
    </w:p>
    <w:p w14:paraId="2E11900B">
      <w:pPr>
        <w:keepNext w:val="0"/>
        <w:keepLines w:val="0"/>
        <w:pageBreakBefore w:val="0"/>
        <w:widowControl w:val="0"/>
        <w:kinsoku/>
        <w:wordWrap w:val="0"/>
        <w:overflowPunct/>
        <w:topLinePunct w:val="0"/>
        <w:autoSpaceDE/>
        <w:autoSpaceDN/>
        <w:bidi w:val="0"/>
        <w:adjustRightInd/>
        <w:snapToGrid/>
        <w:spacing w:before="157" w:beforeLines="50" w:after="157" w:afterLines="50" w:line="520" w:lineRule="exact"/>
        <w:ind w:right="0" w:rightChars="0"/>
        <w:jc w:val="center"/>
        <w:textAlignment w:val="auto"/>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（八）投诉</w:t>
      </w:r>
    </w:p>
    <w:p w14:paraId="5D9A1662">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left"/>
        <w:textAlignment w:val="auto"/>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w:t>
      </w: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 投诉</w:t>
      </w:r>
    </w:p>
    <w:p w14:paraId="7C554752">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.1投标人或者其他利害关系人认为招标投标活动违反法律、法规和规章规定的，有权向相关行政监督部门投诉。投诉应当有明确的请求和必要的证明材料。</w:t>
      </w:r>
    </w:p>
    <w:p w14:paraId="2277CC3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.2投标人和其他利害关系人对招标文件、开标和评标结果事项投诉的，应当按照投标人须知的规定先向招标人提出异议。异议答复期间不计算在第4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.1项规定的期限内。</w:t>
      </w:r>
    </w:p>
    <w:p w14:paraId="53B0BCC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2AE14ED">
      <w:pPr>
        <w:pStyle w:val="3"/>
        <w:keepNext/>
        <w:keepLines/>
        <w:pageBreakBefore w:val="0"/>
        <w:widowControl w:val="0"/>
        <w:shd w:val="clear"/>
        <w:kinsoku/>
        <w:wordWrap/>
        <w:overflowPunct/>
        <w:topLinePunct w:val="0"/>
        <w:autoSpaceDE/>
        <w:autoSpaceDN/>
        <w:bidi w:val="0"/>
        <w:adjustRightInd/>
        <w:snapToGrid/>
        <w:spacing w:before="0" w:beforeLines="100" w:after="0" w:afterLines="100" w:line="440" w:lineRule="exact"/>
        <w:textAlignment w:val="auto"/>
        <w:rPr>
          <w:rFonts w:hint="eastAsia" w:ascii="宋体" w:hAnsi="宋体" w:eastAsia="宋体" w:cs="宋体"/>
          <w:b w:val="0"/>
          <w:color w:val="auto"/>
          <w:szCs w:val="32"/>
          <w:highlight w:val="none"/>
        </w:rPr>
      </w:pPr>
      <w:bookmarkStart w:id="67" w:name="_Toc28871"/>
      <w:r>
        <w:rPr>
          <w:rFonts w:hint="eastAsia" w:ascii="宋体" w:hAnsi="宋体" w:eastAsia="宋体" w:cs="宋体"/>
          <w:bCs w:val="0"/>
          <w:color w:val="auto"/>
          <w:szCs w:val="32"/>
          <w:highlight w:val="none"/>
        </w:rPr>
        <w:t>第三章 评标办法（综合评分法）</w:t>
      </w:r>
      <w:bookmarkEnd w:id="67"/>
    </w:p>
    <w:p w14:paraId="348C11CE">
      <w:pPr>
        <w:shd w:val="clear"/>
        <w:spacing w:beforeLines="50" w:afterLines="50" w:line="500" w:lineRule="exact"/>
        <w:jc w:val="center"/>
        <w:outlineLvl w:val="1"/>
        <w:rPr>
          <w:rFonts w:hint="eastAsia" w:ascii="宋体" w:hAnsi="宋体" w:eastAsia="宋体" w:cs="宋体"/>
          <w:b/>
          <w:color w:val="auto"/>
          <w:sz w:val="28"/>
          <w:szCs w:val="28"/>
          <w:highlight w:val="none"/>
        </w:rPr>
      </w:pPr>
      <w:bookmarkStart w:id="68" w:name="_Toc20697"/>
      <w:bookmarkStart w:id="69" w:name="_Toc449028877"/>
      <w:bookmarkStart w:id="70" w:name="_Toc362983801"/>
      <w:bookmarkStart w:id="71" w:name="_Toc58430317"/>
      <w:bookmarkStart w:id="72" w:name="_Toc267320058"/>
      <w:bookmarkStart w:id="73" w:name="_Toc363135205"/>
      <w:r>
        <w:rPr>
          <w:rFonts w:hint="eastAsia" w:ascii="宋体" w:hAnsi="宋体" w:eastAsia="宋体" w:cs="宋体"/>
          <w:b/>
          <w:color w:val="auto"/>
          <w:sz w:val="28"/>
          <w:szCs w:val="28"/>
          <w:highlight w:val="none"/>
        </w:rPr>
        <w:t>一、总则</w:t>
      </w:r>
      <w:bookmarkEnd w:id="68"/>
      <w:bookmarkEnd w:id="69"/>
      <w:bookmarkEnd w:id="70"/>
      <w:bookmarkEnd w:id="71"/>
    </w:p>
    <w:p w14:paraId="2C80926C">
      <w:pPr>
        <w:keepNext w:val="0"/>
        <w:keepLines w:val="0"/>
        <w:pageBreakBefore w:val="0"/>
        <w:widowControl w:val="0"/>
        <w:shd w:val="clear"/>
        <w:kinsoku/>
        <w:overflowPunct/>
        <w:topLinePunct w:val="0"/>
        <w:autoSpaceDE/>
        <w:autoSpaceDN/>
        <w:bidi w:val="0"/>
        <w:adjustRightInd/>
        <w:snapToGrid/>
        <w:spacing w:line="480" w:lineRule="exact"/>
        <w:ind w:firstLine="361" w:firstLineChars="15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1. 本次评标采用综合评分法</w:t>
      </w:r>
    </w:p>
    <w:p w14:paraId="38C34B81">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1.1综合评分法是指投标文件满足招标文件全部实质性要求且按照评审因素的量化指标评审总得分从高到低的供应商为中标候选人的评标方法。</w:t>
      </w:r>
    </w:p>
    <w:p w14:paraId="24DBA1B5">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1.2综合评分法一般适用于较为复杂、评价指标难以量化且价格为非主要因素的非标准定制商品和非通用服务项目的项目评审。</w:t>
      </w:r>
    </w:p>
    <w:p w14:paraId="713CB7B3">
      <w:pPr>
        <w:keepNext w:val="0"/>
        <w:keepLines w:val="0"/>
        <w:pageBreakBefore w:val="0"/>
        <w:widowControl w:val="0"/>
        <w:shd w:val="clear"/>
        <w:kinsoku/>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2．评标程序</w:t>
      </w:r>
    </w:p>
    <w:p w14:paraId="34002D7B">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2.1投标文件的初审</w:t>
      </w:r>
    </w:p>
    <w:p w14:paraId="3B647AB6">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2.1.1资格性检查。依据法律法规和招标文件的规定，对投标文件中的资格证明、投标保证金等进行审查，以确定投标人是否具备投标资格。 </w:t>
      </w:r>
    </w:p>
    <w:p w14:paraId="41F2CBEA">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2.1.2符合性检查。依据招标文件的规定，从投标文件的有效性、完整性和对招标文件的响应程度进行审查，以确定投标人是否对招标文件的实质性要求作出响应。</w:t>
      </w:r>
    </w:p>
    <w:p w14:paraId="14C19F54">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2.2投标文件的澄清</w:t>
      </w:r>
    </w:p>
    <w:p w14:paraId="6B0601F9">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417BE671">
      <w:pPr>
        <w:keepNext w:val="0"/>
        <w:keepLines w:val="0"/>
        <w:pageBreakBefore w:val="0"/>
        <w:widowControl w:val="0"/>
        <w:shd w:val="clear"/>
        <w:kinsoku/>
        <w:wordWrap w:val="0"/>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本项目采用远程开标，具体操作方法详见服务指南&gt;交易须知&gt;开标大厅远程解密、质疑(异议)及回复以及评标过程中询标流程操作手册。</w:t>
      </w:r>
    </w:p>
    <w:p w14:paraId="2F15415F">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0D631D55">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  招标人不接受投标人主动提出的澄清。</w:t>
      </w:r>
    </w:p>
    <w:p w14:paraId="527F6D2A">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2.3比较与评价</w:t>
      </w:r>
    </w:p>
    <w:p w14:paraId="7199208D">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 xml:space="preserve">3.1按招标文件中规定的评标方法和标准，对资格性检查和符合性检查合格的投标文件进行资信、商务和技术评估，综合比较与评价。 </w:t>
      </w:r>
    </w:p>
    <w:p w14:paraId="12D59651">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2.4推荐中标候选人名单</w:t>
      </w:r>
    </w:p>
    <w:p w14:paraId="258869D8">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2.4.1中标候选人数量应当根据采购需要确定，但必须按顺序排列中标候选人。</w:t>
      </w:r>
    </w:p>
    <w:p w14:paraId="5A9B7028">
      <w:pPr>
        <w:keepNext w:val="0"/>
        <w:keepLines w:val="0"/>
        <w:pageBreakBefore w:val="0"/>
        <w:widowControl w:val="0"/>
        <w:shd w:val="clear"/>
        <w:kinsoku/>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2.5在投标文件的审查、澄清、评价和比较以及授予合同过程中，投标人对招标人和评标委员会成员施加影响的任何行为，都将导致取消其中标资格。</w:t>
      </w:r>
      <w:bookmarkStart w:id="74" w:name="_Toc58430318"/>
      <w:bookmarkStart w:id="75" w:name="_Toc449028878"/>
      <w:bookmarkStart w:id="76" w:name="_Toc362983802"/>
    </w:p>
    <w:p w14:paraId="72F28CDE">
      <w:pPr>
        <w:shd w:val="clear"/>
        <w:spacing w:beforeLines="50" w:afterLines="50" w:line="500" w:lineRule="exact"/>
        <w:jc w:val="cente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二、投标文件初审</w:t>
      </w:r>
      <w:bookmarkEnd w:id="74"/>
      <w:bookmarkEnd w:id="75"/>
      <w:bookmarkEnd w:id="76"/>
    </w:p>
    <w:p w14:paraId="401C8BDC">
      <w:pPr>
        <w:keepNext w:val="0"/>
        <w:keepLines w:val="0"/>
        <w:pageBreakBefore w:val="0"/>
        <w:shd w:val="clear"/>
        <w:kinsoku/>
        <w:wordWrap/>
        <w:overflowPunct/>
        <w:topLinePunct w:val="0"/>
        <w:autoSpaceDE/>
        <w:autoSpaceDN/>
        <w:bidi w:val="0"/>
        <w:adjustRightInd/>
        <w:snapToGrid/>
        <w:spacing w:line="480" w:lineRule="exact"/>
        <w:ind w:firstLine="354" w:firstLineChars="147"/>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3.资格性审查:</w:t>
      </w:r>
    </w:p>
    <w:p w14:paraId="012D69DD">
      <w:pPr>
        <w:keepNext w:val="0"/>
        <w:keepLines w:val="0"/>
        <w:pageBreakBefore w:val="0"/>
        <w:shd w:val="clear"/>
        <w:kinsoku/>
        <w:wordWrap/>
        <w:overflowPunct/>
        <w:topLinePunct w:val="0"/>
        <w:autoSpaceDE/>
        <w:autoSpaceDN/>
        <w:bidi w:val="0"/>
        <w:adjustRightInd/>
        <w:snapToGrid/>
        <w:spacing w:line="480" w:lineRule="exact"/>
        <w:ind w:firstLine="352" w:firstLineChars="147"/>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3.1评审细则</w:t>
      </w:r>
    </w:p>
    <w:tbl>
      <w:tblPr>
        <w:tblStyle w:val="35"/>
        <w:tblW w:w="9744"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222"/>
        <w:gridCol w:w="4018"/>
        <w:gridCol w:w="3793"/>
      </w:tblGrid>
      <w:tr w14:paraId="52DE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11" w:type="dxa"/>
            <w:vAlign w:val="center"/>
          </w:tcPr>
          <w:p w14:paraId="66380ACF">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5240" w:type="dxa"/>
            <w:gridSpan w:val="2"/>
            <w:vAlign w:val="center"/>
          </w:tcPr>
          <w:p w14:paraId="518FA2C1">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评审因素</w:t>
            </w:r>
          </w:p>
        </w:tc>
        <w:tc>
          <w:tcPr>
            <w:tcW w:w="3793" w:type="dxa"/>
            <w:vAlign w:val="center"/>
          </w:tcPr>
          <w:p w14:paraId="0140E1BD">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评审标准</w:t>
            </w:r>
          </w:p>
        </w:tc>
      </w:tr>
      <w:tr w14:paraId="7C28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11" w:type="dxa"/>
            <w:vAlign w:val="center"/>
          </w:tcPr>
          <w:p w14:paraId="5A4E5503">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22" w:type="dxa"/>
            <w:vAlign w:val="center"/>
          </w:tcPr>
          <w:p w14:paraId="4A47BFC9">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重要要求</w:t>
            </w:r>
          </w:p>
        </w:tc>
        <w:tc>
          <w:tcPr>
            <w:tcW w:w="4018" w:type="dxa"/>
            <w:vAlign w:val="center"/>
          </w:tcPr>
          <w:p w14:paraId="2D13D32A">
            <w:pPr>
              <w:keepNext w:val="0"/>
              <w:keepLines w:val="0"/>
              <w:pageBreakBefore w:val="0"/>
              <w:shd w:val="clea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（1）法定代表人身份证明和本人有效身份证(或法定代表人授权委托书和委托代理人有效身份证)</w:t>
            </w:r>
          </w:p>
        </w:tc>
        <w:tc>
          <w:tcPr>
            <w:tcW w:w="3793" w:type="dxa"/>
            <w:vAlign w:val="center"/>
          </w:tcPr>
          <w:p w14:paraId="0CD3C436">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检验电子标书</w:t>
            </w:r>
          </w:p>
        </w:tc>
      </w:tr>
      <w:tr w14:paraId="1AA7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11" w:type="dxa"/>
            <w:vMerge w:val="restart"/>
            <w:vAlign w:val="center"/>
          </w:tcPr>
          <w:p w14:paraId="5D11E7C3">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22" w:type="dxa"/>
            <w:vMerge w:val="restart"/>
            <w:vAlign w:val="center"/>
          </w:tcPr>
          <w:p w14:paraId="74A553A0">
            <w:pPr>
              <w:keepNext w:val="0"/>
              <w:keepLines w:val="0"/>
              <w:pageBreakBefore w:val="0"/>
              <w:shd w:val="clea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投标人应符合的基本资格条件</w:t>
            </w:r>
          </w:p>
        </w:tc>
        <w:tc>
          <w:tcPr>
            <w:tcW w:w="4018" w:type="dxa"/>
            <w:vAlign w:val="center"/>
          </w:tcPr>
          <w:p w14:paraId="30837AA4">
            <w:pPr>
              <w:keepNext w:val="0"/>
              <w:keepLines w:val="0"/>
              <w:pageBreakBefore w:val="0"/>
              <w:shd w:val="clea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（2）具有独立承担民事责任的能力</w:t>
            </w:r>
          </w:p>
        </w:tc>
        <w:tc>
          <w:tcPr>
            <w:tcW w:w="3793" w:type="dxa"/>
            <w:vAlign w:val="center"/>
          </w:tcPr>
          <w:p w14:paraId="2E1F418C">
            <w:pPr>
              <w:keepNext w:val="0"/>
              <w:keepLines w:val="0"/>
              <w:pageBreakBefore w:val="0"/>
              <w:shd w:val="clea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评审核验电子标书中的下列证书、证明材料：</w:t>
            </w:r>
          </w:p>
          <w:p w14:paraId="7544395C">
            <w:pPr>
              <w:keepNext w:val="0"/>
              <w:keepLines w:val="0"/>
              <w:pageBreakBefore w:val="0"/>
              <w:shd w:val="clea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为企业的，应提供</w:t>
            </w:r>
            <w:r>
              <w:rPr>
                <w:rFonts w:hint="eastAsia" w:ascii="宋体" w:hAnsi="宋体" w:eastAsia="宋体" w:cs="宋体"/>
                <w:color w:val="auto"/>
                <w:sz w:val="24"/>
                <w:szCs w:val="24"/>
                <w:highlight w:val="none"/>
              </w:rPr>
              <w:t>有效的营业执照、税务登记证、组织机构码证（或“三证合一证书”）</w:t>
            </w:r>
          </w:p>
          <w:p w14:paraId="3343F016">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投标人</w:t>
            </w:r>
            <w:r>
              <w:rPr>
                <w:rFonts w:hint="eastAsia" w:ascii="宋体" w:hAnsi="宋体" w:eastAsia="宋体" w:cs="宋体"/>
                <w:bCs/>
                <w:color w:val="auto"/>
                <w:sz w:val="24"/>
                <w:szCs w:val="24"/>
                <w:highlight w:val="none"/>
              </w:rPr>
              <w:t>为事业单位的，应提供有效的“事业单位法人证书”；</w:t>
            </w:r>
          </w:p>
        </w:tc>
      </w:tr>
      <w:tr w14:paraId="7F93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1" w:type="dxa"/>
            <w:vMerge w:val="continue"/>
            <w:vAlign w:val="center"/>
          </w:tcPr>
          <w:p w14:paraId="3D6FEE1C">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p>
        </w:tc>
        <w:tc>
          <w:tcPr>
            <w:tcW w:w="1222" w:type="dxa"/>
            <w:vMerge w:val="continue"/>
            <w:vAlign w:val="center"/>
          </w:tcPr>
          <w:p w14:paraId="6CB3CED5">
            <w:pPr>
              <w:keepNext w:val="0"/>
              <w:keepLines w:val="0"/>
              <w:pageBreakBefore w:val="0"/>
              <w:shd w:val="clea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p>
        </w:tc>
        <w:tc>
          <w:tcPr>
            <w:tcW w:w="4018" w:type="dxa"/>
            <w:vAlign w:val="center"/>
          </w:tcPr>
          <w:p w14:paraId="4911A218">
            <w:pPr>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资质证书</w:t>
            </w:r>
          </w:p>
        </w:tc>
        <w:tc>
          <w:tcPr>
            <w:tcW w:w="3793" w:type="dxa"/>
            <w:vAlign w:val="center"/>
          </w:tcPr>
          <w:p w14:paraId="72FA1C98">
            <w:pPr>
              <w:keepNext w:val="0"/>
              <w:keepLines w:val="0"/>
              <w:pageBreakBefore w:val="0"/>
              <w:shd w:val="clea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检验电子标书</w:t>
            </w:r>
          </w:p>
        </w:tc>
      </w:tr>
      <w:tr w14:paraId="2E04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711" w:type="dxa"/>
            <w:vMerge w:val="continue"/>
            <w:vAlign w:val="center"/>
          </w:tcPr>
          <w:p w14:paraId="1C718D20">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p>
        </w:tc>
        <w:tc>
          <w:tcPr>
            <w:tcW w:w="1222" w:type="dxa"/>
            <w:vMerge w:val="continue"/>
            <w:vAlign w:val="center"/>
          </w:tcPr>
          <w:p w14:paraId="0FE8E69B">
            <w:pPr>
              <w:keepNext w:val="0"/>
              <w:keepLines w:val="0"/>
              <w:pageBreakBefore w:val="0"/>
              <w:shd w:val="clea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p>
        </w:tc>
        <w:tc>
          <w:tcPr>
            <w:tcW w:w="4018" w:type="dxa"/>
            <w:vAlign w:val="center"/>
          </w:tcPr>
          <w:p w14:paraId="51779800">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）诚信投标承诺书或公共信用信息报告（无违法违规证明版或核查版）</w:t>
            </w:r>
          </w:p>
        </w:tc>
        <w:tc>
          <w:tcPr>
            <w:tcW w:w="3793" w:type="dxa"/>
            <w:vAlign w:val="center"/>
          </w:tcPr>
          <w:p w14:paraId="110E06A2">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格式见附件，检验电子标书</w:t>
            </w:r>
          </w:p>
        </w:tc>
      </w:tr>
    </w:tbl>
    <w:p w14:paraId="6289B29C">
      <w:pPr>
        <w:keepNext w:val="0"/>
        <w:keepLines w:val="0"/>
        <w:pageBreakBefore w:val="0"/>
        <w:shd w:val="clear"/>
        <w:kinsoku/>
        <w:wordWrap/>
        <w:overflowPunct/>
        <w:topLinePunct w:val="0"/>
        <w:autoSpaceDE/>
        <w:autoSpaceDN/>
        <w:bidi w:val="0"/>
        <w:adjustRightInd/>
        <w:snapToGrid/>
        <w:spacing w:line="480" w:lineRule="exact"/>
        <w:ind w:right="-164" w:rightChars="-78" w:firstLine="581" w:firstLineChars="241"/>
        <w:jc w:val="left"/>
        <w:textAlignment w:val="auto"/>
        <w:rPr>
          <w:rFonts w:hint="eastAsia" w:ascii="宋体" w:hAnsi="宋体" w:eastAsia="宋体" w:cs="宋体"/>
          <w:color w:val="auto"/>
          <w:sz w:val="24"/>
          <w:szCs w:val="24"/>
          <w:highlight w:val="none"/>
        </w:rPr>
      </w:pPr>
      <w:bookmarkStart w:id="77" w:name="_Toc60061491"/>
      <w:bookmarkStart w:id="78" w:name="_Toc15058904"/>
      <w:bookmarkStart w:id="79" w:name="_Toc95223394"/>
      <w:bookmarkStart w:id="80" w:name="_Toc324404866"/>
      <w:bookmarkStart w:id="81" w:name="_Toc506107319"/>
      <w:r>
        <w:rPr>
          <w:rFonts w:hint="eastAsia" w:ascii="宋体" w:hAnsi="宋体" w:eastAsia="宋体" w:cs="宋体"/>
          <w:b/>
          <w:color w:val="auto"/>
          <w:sz w:val="24"/>
          <w:szCs w:val="24"/>
          <w:highlight w:val="none"/>
        </w:rPr>
        <w:t>重要提示：</w:t>
      </w:r>
    </w:p>
    <w:p w14:paraId="588487EB">
      <w:pPr>
        <w:keepNext w:val="0"/>
        <w:keepLines w:val="0"/>
        <w:pageBreakBefore w:val="0"/>
        <w:shd w:val="clear"/>
        <w:kinsoku/>
        <w:wordWrap/>
        <w:overflowPunct/>
        <w:topLinePunct w:val="0"/>
        <w:autoSpaceDE/>
        <w:autoSpaceDN/>
        <w:bidi w:val="0"/>
        <w:adjustRightInd/>
        <w:snapToGrid/>
        <w:spacing w:line="480" w:lineRule="exact"/>
        <w:ind w:right="36" w:rightChars="17" w:firstLine="578" w:firstLineChars="241"/>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资格审查材料可以选择①上传到安徽省公共资源交易市场主体库中，制作投标文件时插上CA数字证书，从安徽省公共资源交易市场主体库中挑选相关材料，或按招标文件要求上传至指定位置；若所需材料无对应栏目，则将该材料上传至“其他所需材料”里，做电子投标文件时从“其他所需材料”里获取。请各投标人自行完善安徽省公共资源交易市场主体库中的单位信息，保证信息最新且有效。②或使用国家企业信用信息公示系统和全国建筑市场监管公共服务平台接口获取营业执照、建设工程相关证书等政务数据，投标人自行核验政务数据的准确性，对引用的政务数据承担责任。</w:t>
      </w:r>
    </w:p>
    <w:p w14:paraId="036A581F">
      <w:pPr>
        <w:keepNext w:val="0"/>
        <w:keepLines w:val="0"/>
        <w:pageBreakBefore w:val="0"/>
        <w:shd w:val="clear"/>
        <w:kinsoku/>
        <w:wordWrap/>
        <w:overflowPunct/>
        <w:topLinePunct w:val="0"/>
        <w:autoSpaceDE/>
        <w:autoSpaceDN/>
        <w:bidi w:val="0"/>
        <w:adjustRightInd/>
        <w:snapToGrid/>
        <w:spacing w:line="480" w:lineRule="exact"/>
        <w:ind w:right="36" w:rightChars="17" w:firstLine="578" w:firstLineChars="241"/>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（2）评标专家在检验电子投标文件过程中，如果由于投标人自身原因导致评标专家无法查看并检验电子投标文件中相关资料的，视为无效标处理。即使投标人将原件携带至现场的，同样按无效标处理。</w:t>
      </w:r>
    </w:p>
    <w:bookmarkEnd w:id="77"/>
    <w:bookmarkEnd w:id="78"/>
    <w:bookmarkEnd w:id="79"/>
    <w:bookmarkEnd w:id="80"/>
    <w:bookmarkEnd w:id="81"/>
    <w:p w14:paraId="2B2D3B7F">
      <w:pPr>
        <w:keepNext w:val="0"/>
        <w:keepLines w:val="0"/>
        <w:pageBreakBefore w:val="0"/>
        <w:shd w:val="clear"/>
        <w:kinsoku/>
        <w:wordWrap/>
        <w:overflowPunct/>
        <w:topLinePunct w:val="0"/>
        <w:autoSpaceDE/>
        <w:autoSpaceDN/>
        <w:bidi w:val="0"/>
        <w:adjustRightInd/>
        <w:snapToGrid/>
        <w:spacing w:line="480" w:lineRule="exact"/>
        <w:ind w:firstLine="354" w:firstLineChars="147"/>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4.符合性审查</w:t>
      </w:r>
    </w:p>
    <w:p w14:paraId="7E6C777E">
      <w:pPr>
        <w:keepNext w:val="0"/>
        <w:keepLines w:val="0"/>
        <w:pageBreakBefore w:val="0"/>
        <w:shd w:val="clear"/>
        <w:kinsoku/>
        <w:wordWrap/>
        <w:overflowPunct/>
        <w:topLinePunct w:val="0"/>
        <w:autoSpaceDE/>
        <w:autoSpaceDN/>
        <w:bidi w:val="0"/>
        <w:adjustRightInd/>
        <w:snapToGrid/>
        <w:spacing w:line="480" w:lineRule="exact"/>
        <w:ind w:firstLine="360" w:firstLineChars="15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4.1评审细则</w:t>
      </w:r>
    </w:p>
    <w:tbl>
      <w:tblPr>
        <w:tblStyle w:val="35"/>
        <w:tblW w:w="9615"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3049"/>
        <w:gridCol w:w="4513"/>
      </w:tblGrid>
      <w:tr w14:paraId="41E5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vAlign w:val="center"/>
          </w:tcPr>
          <w:p w14:paraId="461AF6F6">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4367" w:type="dxa"/>
            <w:gridSpan w:val="2"/>
            <w:vAlign w:val="center"/>
          </w:tcPr>
          <w:p w14:paraId="44B1B613">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审查因素</w:t>
            </w:r>
          </w:p>
        </w:tc>
        <w:tc>
          <w:tcPr>
            <w:tcW w:w="4513" w:type="dxa"/>
            <w:vAlign w:val="center"/>
          </w:tcPr>
          <w:p w14:paraId="5B6289DE">
            <w:pPr>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r>
      <w:tr w14:paraId="12F7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vAlign w:val="center"/>
          </w:tcPr>
          <w:p w14:paraId="6B605502">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18" w:type="dxa"/>
            <w:vMerge w:val="restart"/>
            <w:vAlign w:val="center"/>
          </w:tcPr>
          <w:p w14:paraId="308B9786">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投标文件的有效性</w:t>
            </w:r>
          </w:p>
        </w:tc>
        <w:tc>
          <w:tcPr>
            <w:tcW w:w="3049" w:type="dxa"/>
            <w:vAlign w:val="center"/>
          </w:tcPr>
          <w:p w14:paraId="630D96C2">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（1）投标文件签署</w:t>
            </w:r>
          </w:p>
        </w:tc>
        <w:tc>
          <w:tcPr>
            <w:tcW w:w="4513" w:type="dxa"/>
            <w:vAlign w:val="center"/>
          </w:tcPr>
          <w:p w14:paraId="58B2E965">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签字、盖章符合要求。</w:t>
            </w:r>
          </w:p>
          <w:p w14:paraId="544EA62F">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w:t>
            </w:r>
            <w:r>
              <w:rPr>
                <w:rFonts w:hint="eastAsia" w:ascii="宋体" w:hAnsi="宋体" w:eastAsia="宋体" w:cs="宋体"/>
                <w:b/>
                <w:bCs/>
                <w:color w:val="auto"/>
                <w:sz w:val="24"/>
                <w:szCs w:val="24"/>
                <w:highlight w:val="none"/>
              </w:rPr>
              <w:t>注：技术标采用暗标，无需签字、盖章）</w:t>
            </w:r>
          </w:p>
        </w:tc>
      </w:tr>
      <w:tr w14:paraId="167B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vAlign w:val="center"/>
          </w:tcPr>
          <w:p w14:paraId="4DD229F9">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1318" w:type="dxa"/>
            <w:vMerge w:val="continue"/>
            <w:vAlign w:val="center"/>
          </w:tcPr>
          <w:p w14:paraId="40533F9E">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3049" w:type="dxa"/>
            <w:vAlign w:val="center"/>
          </w:tcPr>
          <w:p w14:paraId="75826FC9">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（2）投标方案</w:t>
            </w:r>
          </w:p>
        </w:tc>
        <w:tc>
          <w:tcPr>
            <w:tcW w:w="4513" w:type="dxa"/>
            <w:vAlign w:val="center"/>
          </w:tcPr>
          <w:p w14:paraId="1EC48AE4">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每个分包只能有一个方案投标。</w:t>
            </w:r>
          </w:p>
        </w:tc>
      </w:tr>
      <w:tr w14:paraId="519E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vAlign w:val="center"/>
          </w:tcPr>
          <w:p w14:paraId="6FAC2FDE">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1318" w:type="dxa"/>
            <w:vMerge w:val="continue"/>
            <w:vAlign w:val="center"/>
          </w:tcPr>
          <w:p w14:paraId="41F9A22C">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3049" w:type="dxa"/>
            <w:vAlign w:val="center"/>
          </w:tcPr>
          <w:p w14:paraId="06EBEA00">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（3）报价唯一</w:t>
            </w:r>
          </w:p>
        </w:tc>
        <w:tc>
          <w:tcPr>
            <w:tcW w:w="4513" w:type="dxa"/>
            <w:vAlign w:val="center"/>
          </w:tcPr>
          <w:p w14:paraId="2D33A63C">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只能在限价范围内报价，</w:t>
            </w:r>
            <w:r>
              <w:rPr>
                <w:rFonts w:hint="eastAsia" w:ascii="宋体" w:hAnsi="宋体" w:eastAsia="宋体" w:cs="宋体"/>
                <w:color w:val="auto"/>
                <w:sz w:val="24"/>
                <w:szCs w:val="24"/>
                <w:highlight w:val="none"/>
              </w:rPr>
              <w:t>只能有一个有效报价，不得提交选择性报价。</w:t>
            </w:r>
          </w:p>
        </w:tc>
      </w:tr>
      <w:tr w14:paraId="238A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vAlign w:val="center"/>
          </w:tcPr>
          <w:p w14:paraId="1769C82E">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1318" w:type="dxa"/>
            <w:vMerge w:val="continue"/>
            <w:vAlign w:val="center"/>
          </w:tcPr>
          <w:p w14:paraId="697578BC">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3049" w:type="dxa"/>
            <w:vAlign w:val="center"/>
          </w:tcPr>
          <w:p w14:paraId="645100D4">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 投标文件的有效期</w:t>
            </w:r>
          </w:p>
        </w:tc>
        <w:tc>
          <w:tcPr>
            <w:tcW w:w="4513" w:type="dxa"/>
            <w:vAlign w:val="center"/>
          </w:tcPr>
          <w:p w14:paraId="3ECC4C21">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完全响应。</w:t>
            </w:r>
          </w:p>
        </w:tc>
      </w:tr>
      <w:tr w14:paraId="1A6F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vAlign w:val="center"/>
          </w:tcPr>
          <w:p w14:paraId="29F1DDE7">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18" w:type="dxa"/>
            <w:vMerge w:val="restart"/>
            <w:vAlign w:val="center"/>
          </w:tcPr>
          <w:p w14:paraId="52DB7871">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投标文件的完整性</w:t>
            </w:r>
          </w:p>
        </w:tc>
        <w:tc>
          <w:tcPr>
            <w:tcW w:w="3049" w:type="dxa"/>
            <w:vAlign w:val="center"/>
          </w:tcPr>
          <w:p w14:paraId="3EF33D95">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（5）投标文件份数</w:t>
            </w:r>
          </w:p>
        </w:tc>
        <w:tc>
          <w:tcPr>
            <w:tcW w:w="4513" w:type="dxa"/>
            <w:vAlign w:val="center"/>
          </w:tcPr>
          <w:p w14:paraId="541851D7">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网上递交的电子投标文件：一份； </w:t>
            </w:r>
          </w:p>
        </w:tc>
      </w:tr>
      <w:tr w14:paraId="760E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vAlign w:val="center"/>
          </w:tcPr>
          <w:p w14:paraId="04BCBF31">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1318" w:type="dxa"/>
            <w:vMerge w:val="continue"/>
            <w:vAlign w:val="center"/>
          </w:tcPr>
          <w:p w14:paraId="41CD1179">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3049" w:type="dxa"/>
            <w:vAlign w:val="center"/>
          </w:tcPr>
          <w:p w14:paraId="0A1C1249">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（6）投标文件形式内容</w:t>
            </w:r>
          </w:p>
        </w:tc>
        <w:tc>
          <w:tcPr>
            <w:tcW w:w="4513" w:type="dxa"/>
            <w:vAlign w:val="center"/>
          </w:tcPr>
          <w:p w14:paraId="1D49BC1B">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投标文件内容清晰、齐全无遗漏。</w:t>
            </w:r>
          </w:p>
        </w:tc>
      </w:tr>
      <w:tr w14:paraId="327D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vAlign w:val="center"/>
          </w:tcPr>
          <w:p w14:paraId="5AE02637">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18" w:type="dxa"/>
            <w:vMerge w:val="restart"/>
            <w:vAlign w:val="center"/>
          </w:tcPr>
          <w:p w14:paraId="4B484432">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投标文件的响应程度</w:t>
            </w:r>
          </w:p>
        </w:tc>
        <w:tc>
          <w:tcPr>
            <w:tcW w:w="3049" w:type="dxa"/>
            <w:vAlign w:val="center"/>
          </w:tcPr>
          <w:p w14:paraId="72BE59D5">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（7）技术参数响应程度</w:t>
            </w:r>
          </w:p>
        </w:tc>
        <w:tc>
          <w:tcPr>
            <w:tcW w:w="4513" w:type="dxa"/>
            <w:vAlign w:val="center"/>
          </w:tcPr>
          <w:p w14:paraId="0FDFFF15">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最大限度响应</w:t>
            </w:r>
            <w:r>
              <w:rPr>
                <w:rFonts w:hint="eastAsia" w:ascii="宋体" w:hAnsi="宋体" w:eastAsia="宋体" w:cs="宋体"/>
                <w:color w:val="auto"/>
                <w:sz w:val="24"/>
                <w:szCs w:val="24"/>
                <w:highlight w:val="none"/>
                <w:lang w:val="zh-CN"/>
              </w:rPr>
              <w:t>招标文件要求。</w:t>
            </w:r>
          </w:p>
        </w:tc>
      </w:tr>
      <w:tr w14:paraId="020E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vAlign w:val="center"/>
          </w:tcPr>
          <w:p w14:paraId="176F5255">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1318" w:type="dxa"/>
            <w:vMerge w:val="continue"/>
            <w:vAlign w:val="center"/>
          </w:tcPr>
          <w:p w14:paraId="6324ACE2">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rPr>
            </w:pPr>
          </w:p>
        </w:tc>
        <w:tc>
          <w:tcPr>
            <w:tcW w:w="3049" w:type="dxa"/>
            <w:vAlign w:val="center"/>
          </w:tcPr>
          <w:p w14:paraId="456AD78D">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（8）商务条款响应程度（包括不限于业绩、</w:t>
            </w:r>
            <w:r>
              <w:rPr>
                <w:rFonts w:hint="eastAsia" w:ascii="宋体" w:hAnsi="宋体" w:eastAsia="宋体" w:cs="宋体"/>
                <w:color w:val="auto"/>
                <w:sz w:val="24"/>
                <w:szCs w:val="24"/>
                <w:highlight w:val="none"/>
              </w:rPr>
              <w:t>供货</w:t>
            </w:r>
            <w:r>
              <w:rPr>
                <w:rFonts w:hint="eastAsia" w:ascii="宋体" w:hAnsi="宋体" w:eastAsia="宋体" w:cs="宋体"/>
                <w:color w:val="auto"/>
                <w:sz w:val="24"/>
                <w:szCs w:val="24"/>
                <w:highlight w:val="none"/>
                <w:lang w:val="zh-CN"/>
              </w:rPr>
              <w:t>期、售后服务、技术培训等）</w:t>
            </w:r>
          </w:p>
        </w:tc>
        <w:tc>
          <w:tcPr>
            <w:tcW w:w="4513" w:type="dxa"/>
            <w:vAlign w:val="center"/>
          </w:tcPr>
          <w:p w14:paraId="59CC08D4">
            <w:pPr>
              <w:keepNext w:val="0"/>
              <w:keepLines w:val="0"/>
              <w:pageBreakBefore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响应招标文件要求。</w:t>
            </w:r>
          </w:p>
        </w:tc>
      </w:tr>
    </w:tbl>
    <w:p w14:paraId="75B0F63E">
      <w:pPr>
        <w:keepNext w:val="0"/>
        <w:keepLines w:val="0"/>
        <w:pageBreakBefore w:val="0"/>
        <w:shd w:val="clear"/>
        <w:kinsoku/>
        <w:wordWrap/>
        <w:overflowPunct/>
        <w:topLinePunct w:val="0"/>
        <w:autoSpaceDE/>
        <w:autoSpaceDN/>
        <w:bidi w:val="0"/>
        <w:adjustRightInd/>
        <w:snapToGrid/>
        <w:spacing w:line="480" w:lineRule="exact"/>
        <w:ind w:right="36" w:rightChars="17" w:firstLine="578" w:firstLineChars="241"/>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4.2资格审查及评分细则中涉及的有关证明材料及相关证书，电子投标文件中须按招标文件要求上传</w:t>
      </w:r>
      <w:r>
        <w:rPr>
          <w:rFonts w:hint="eastAsia" w:ascii="宋体" w:hAnsi="宋体" w:eastAsia="宋体" w:cs="宋体"/>
          <w:b/>
          <w:color w:val="auto"/>
          <w:sz w:val="24"/>
          <w:szCs w:val="24"/>
          <w:highlight w:val="none"/>
        </w:rPr>
        <w:t>扫描件</w:t>
      </w:r>
      <w:r>
        <w:rPr>
          <w:rFonts w:hint="eastAsia" w:ascii="宋体" w:hAnsi="宋体" w:eastAsia="宋体" w:cs="宋体"/>
          <w:color w:val="auto"/>
          <w:sz w:val="24"/>
          <w:szCs w:val="24"/>
          <w:highlight w:val="none"/>
        </w:rPr>
        <w:t>，以供审查。</w:t>
      </w:r>
    </w:p>
    <w:p w14:paraId="3CA00520">
      <w:pPr>
        <w:keepNext w:val="0"/>
        <w:keepLines w:val="0"/>
        <w:pageBreakBefore w:val="0"/>
        <w:shd w:val="clear"/>
        <w:kinsoku/>
        <w:wordWrap/>
        <w:overflowPunct/>
        <w:topLinePunct w:val="0"/>
        <w:autoSpaceDE/>
        <w:autoSpaceDN/>
        <w:bidi w:val="0"/>
        <w:adjustRightInd/>
        <w:snapToGrid/>
        <w:spacing w:line="480" w:lineRule="exact"/>
        <w:ind w:right="36" w:rightChars="17" w:firstLine="578" w:firstLineChars="241"/>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4.3．评标委员会判定投标文件的响应性只根据投标文件本身的内容，而不寻求外部的证据，但投标有不真实不正确的内容时除外。</w:t>
      </w:r>
    </w:p>
    <w:p w14:paraId="13924DB5">
      <w:pPr>
        <w:keepNext w:val="0"/>
        <w:keepLines w:val="0"/>
        <w:pageBreakBefore w:val="0"/>
        <w:shd w:val="clear"/>
        <w:kinsoku/>
        <w:wordWrap/>
        <w:overflowPunct/>
        <w:topLinePunct w:val="0"/>
        <w:autoSpaceDE/>
        <w:autoSpaceDN/>
        <w:bidi w:val="0"/>
        <w:adjustRightInd/>
        <w:snapToGrid/>
        <w:spacing w:line="480" w:lineRule="exact"/>
        <w:ind w:right="36" w:rightChars="17" w:firstLine="578" w:firstLineChars="241"/>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4.4如果投标文件实质上没有响应招标文件的要求，评标委员会将予以拒绝，投标人不得通过修正或撤销不符合要求的偏离或保留，而使其投标成为实质上响应的投标。</w:t>
      </w:r>
    </w:p>
    <w:p w14:paraId="5AB98D78">
      <w:pPr>
        <w:keepNext w:val="0"/>
        <w:keepLines w:val="0"/>
        <w:pageBreakBefore w:val="0"/>
        <w:shd w:val="clear"/>
        <w:kinsoku/>
        <w:wordWrap/>
        <w:overflowPunct/>
        <w:topLinePunct w:val="0"/>
        <w:autoSpaceDE/>
        <w:autoSpaceDN/>
        <w:bidi w:val="0"/>
        <w:adjustRightInd/>
        <w:snapToGrid/>
        <w:spacing w:line="480" w:lineRule="exact"/>
        <w:ind w:right="36" w:rightChars="17"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4.5投标人可在现场20分钟内对评标委员会的评审结论提出质疑，评标委员会根据招标文件及有关规定对投标人的质疑进行复议。</w:t>
      </w:r>
    </w:p>
    <w:p w14:paraId="77F0BFDB">
      <w:pPr>
        <w:keepNext w:val="0"/>
        <w:keepLines w:val="0"/>
        <w:pageBreakBefore w:val="0"/>
        <w:shd w:val="clear"/>
        <w:kinsoku/>
        <w:wordWrap/>
        <w:overflowPunct/>
        <w:topLinePunct w:val="0"/>
        <w:autoSpaceDE/>
        <w:autoSpaceDN/>
        <w:bidi w:val="0"/>
        <w:adjustRightInd/>
        <w:snapToGrid/>
        <w:spacing w:line="480" w:lineRule="exact"/>
        <w:ind w:right="36" w:rightChars="17" w:firstLine="600" w:firstLineChars="25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4.6只有通过初审的投标人才能进入下一步程序。</w:t>
      </w:r>
    </w:p>
    <w:p w14:paraId="391518F5">
      <w:pPr>
        <w:keepNext w:val="0"/>
        <w:keepLines w:val="0"/>
        <w:pageBreakBefore w:val="0"/>
        <w:shd w:val="clear"/>
        <w:kinsoku/>
        <w:wordWrap/>
        <w:overflowPunct/>
        <w:topLinePunct w:val="0"/>
        <w:autoSpaceDE/>
        <w:autoSpaceDN/>
        <w:bidi w:val="0"/>
        <w:adjustRightInd/>
        <w:snapToGrid/>
        <w:spacing w:line="480" w:lineRule="exact"/>
        <w:ind w:right="36" w:rightChars="17"/>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温馨提示：1.请各投标人自行完善安徽省公共资源交易市场主体库中的单位基本信息，保证信息最新且有效。</w:t>
      </w:r>
    </w:p>
    <w:p w14:paraId="4F187FD5">
      <w:pPr>
        <w:keepNext w:val="0"/>
        <w:keepLines w:val="0"/>
        <w:pageBreakBefore w:val="0"/>
        <w:shd w:val="clear"/>
        <w:kinsoku/>
        <w:wordWrap/>
        <w:overflowPunct/>
        <w:topLinePunct w:val="0"/>
        <w:autoSpaceDE/>
        <w:autoSpaceDN/>
        <w:bidi w:val="0"/>
        <w:adjustRightInd/>
        <w:snapToGrid/>
        <w:spacing w:line="480" w:lineRule="exact"/>
        <w:ind w:right="36" w:rightChars="17"/>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49195413">
      <w:pPr>
        <w:shd w:val="clear"/>
        <w:spacing w:beforeLines="50" w:afterLines="50" w:line="500" w:lineRule="exact"/>
        <w:jc w:val="center"/>
        <w:outlineLvl w:val="1"/>
        <w:rPr>
          <w:rFonts w:hint="eastAsia" w:ascii="宋体" w:hAnsi="宋体" w:eastAsia="宋体" w:cs="宋体"/>
          <w:b/>
          <w:color w:val="auto"/>
          <w:sz w:val="28"/>
          <w:szCs w:val="28"/>
          <w:highlight w:val="none"/>
        </w:rPr>
      </w:pPr>
      <w:bookmarkStart w:id="82" w:name="_Toc14002"/>
      <w:bookmarkStart w:id="83" w:name="_Toc449028879"/>
      <w:bookmarkStart w:id="84" w:name="_Toc362983803"/>
      <w:bookmarkStart w:id="85" w:name="_Toc58430319"/>
      <w:r>
        <w:rPr>
          <w:rFonts w:hint="eastAsia" w:ascii="宋体" w:hAnsi="宋体" w:eastAsia="宋体" w:cs="宋体"/>
          <w:b/>
          <w:color w:val="auto"/>
          <w:sz w:val="28"/>
          <w:szCs w:val="28"/>
          <w:highlight w:val="none"/>
        </w:rPr>
        <w:t>三、投标文件的澄清和补正</w:t>
      </w:r>
      <w:bookmarkEnd w:id="82"/>
      <w:bookmarkEnd w:id="83"/>
      <w:bookmarkEnd w:id="84"/>
      <w:bookmarkEnd w:id="85"/>
    </w:p>
    <w:p w14:paraId="035499CA">
      <w:pPr>
        <w:shd w:val="clear"/>
        <w:spacing w:line="500" w:lineRule="exact"/>
        <w:ind w:right="36" w:rightChars="17"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eastAsia="宋体" w:cs="宋体"/>
          <w:b/>
          <w:bCs/>
          <w:color w:val="auto"/>
          <w:szCs w:val="21"/>
          <w:highlight w:val="none"/>
        </w:rPr>
        <w:t>如因投标人未参加开标导致开评标过程中无法澄清、说明或补正的，视同投标人放弃该权利。</w:t>
      </w:r>
    </w:p>
    <w:p w14:paraId="35142ED8">
      <w:pPr>
        <w:shd w:val="clear"/>
        <w:spacing w:line="500" w:lineRule="exact"/>
        <w:ind w:right="36" w:rightChars="17" w:firstLine="525" w:firstLine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本项目采用远程开标，投标人的澄清、说明或者补正应当在系统进行，但不得超出投标书的范围或者改变投标书的实质性内容。具体操作方法详见服务指南&gt;交易须知&gt;开标大厅远程解密、质疑(异议)及回复以及评标过程中询标流程操作手册。</w:t>
      </w:r>
    </w:p>
    <w:p w14:paraId="6CB3DD03">
      <w:pPr>
        <w:shd w:val="clear"/>
        <w:spacing w:line="500" w:lineRule="exact"/>
        <w:ind w:right="36" w:rightChars="17" w:firstLine="525" w:firstLine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5.3评委会修正错误的原则：</w:t>
      </w:r>
    </w:p>
    <w:p w14:paraId="447B8A24">
      <w:pPr>
        <w:shd w:val="clear"/>
        <w:spacing w:line="500" w:lineRule="exact"/>
        <w:ind w:right="36" w:rightChars="17" w:firstLine="525" w:firstLine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ADE800">
      <w:pPr>
        <w:shd w:val="clear"/>
        <w:spacing w:line="500" w:lineRule="exact"/>
        <w:ind w:right="36" w:rightChars="17" w:firstLine="525" w:firstLineChars="2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023B27E0">
      <w:pPr>
        <w:shd w:val="clear"/>
        <w:spacing w:line="500" w:lineRule="exact"/>
        <w:ind w:right="36" w:rightChars="17" w:firstLine="403" w:firstLineChars="19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72"/>
    <w:p w14:paraId="0EF8C6F4">
      <w:pPr>
        <w:shd w:val="clear"/>
        <w:spacing w:beforeLines="50" w:afterLines="50" w:line="500" w:lineRule="exact"/>
        <w:jc w:val="center"/>
        <w:outlineLvl w:val="1"/>
        <w:rPr>
          <w:rFonts w:hint="eastAsia" w:ascii="宋体" w:hAnsi="宋体" w:eastAsia="宋体" w:cs="宋体"/>
          <w:b/>
          <w:color w:val="auto"/>
          <w:sz w:val="28"/>
          <w:szCs w:val="28"/>
          <w:highlight w:val="none"/>
        </w:rPr>
      </w:pPr>
      <w:bookmarkStart w:id="86" w:name="_Toc58430320"/>
      <w:bookmarkStart w:id="87" w:name="_Toc449028880"/>
      <w:bookmarkStart w:id="88" w:name="_Toc3630"/>
      <w:bookmarkStart w:id="89" w:name="_Hlk101517174"/>
      <w:r>
        <w:rPr>
          <w:rFonts w:hint="eastAsia" w:ascii="宋体" w:hAnsi="宋体" w:eastAsia="宋体" w:cs="宋体"/>
          <w:b/>
          <w:color w:val="auto"/>
          <w:sz w:val="28"/>
          <w:szCs w:val="28"/>
          <w:highlight w:val="none"/>
        </w:rPr>
        <w:t>四、比较与评价</w:t>
      </w:r>
      <w:bookmarkEnd w:id="86"/>
      <w:bookmarkEnd w:id="87"/>
      <w:bookmarkEnd w:id="88"/>
    </w:p>
    <w:p w14:paraId="79861084">
      <w:pPr>
        <w:shd w:val="clear"/>
        <w:spacing w:line="500" w:lineRule="exact"/>
        <w:ind w:right="36" w:rightChars="17" w:firstLine="417" w:firstLineChars="198"/>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6.</w:t>
      </w:r>
      <w:bookmarkStart w:id="90" w:name="_Toc362983805"/>
      <w:r>
        <w:rPr>
          <w:rFonts w:hint="eastAsia" w:ascii="宋体" w:hAnsi="宋体" w:eastAsia="宋体" w:cs="宋体"/>
          <w:b/>
          <w:color w:val="auto"/>
          <w:szCs w:val="21"/>
          <w:highlight w:val="none"/>
        </w:rPr>
        <w:t>详细评审即按招标文件中规定的评标方法和标准，评标委员会将对通过初审的投标文件，进行资信、技术和商务部分评估、综合比较与评价。</w:t>
      </w:r>
    </w:p>
    <w:p w14:paraId="063381AF">
      <w:pPr>
        <w:shd w:val="clear"/>
        <w:spacing w:line="500" w:lineRule="exact"/>
        <w:ind w:right="36" w:rightChars="17" w:firstLine="417" w:firstLineChars="198"/>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6.1资信标评分细则（</w:t>
      </w:r>
      <w:r>
        <w:rPr>
          <w:rFonts w:hint="eastAsia" w:ascii="宋体" w:hAnsi="宋体" w:cs="宋体"/>
          <w:b/>
          <w:bCs/>
          <w:color w:val="auto"/>
          <w:szCs w:val="21"/>
          <w:highlight w:val="none"/>
          <w:lang w:val="en-US" w:eastAsia="zh-CN"/>
        </w:rPr>
        <w:t>50分</w:t>
      </w:r>
      <w:r>
        <w:rPr>
          <w:rFonts w:hint="eastAsia" w:ascii="宋体" w:hAnsi="宋体" w:eastAsia="宋体" w:cs="宋体"/>
          <w:b/>
          <w:bCs/>
          <w:color w:val="auto"/>
          <w:szCs w:val="21"/>
          <w:highlight w:val="none"/>
        </w:rPr>
        <w:t>）</w:t>
      </w:r>
    </w:p>
    <w:tbl>
      <w:tblPr>
        <w:tblStyle w:val="35"/>
        <w:tblW w:w="9785"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51"/>
        <w:gridCol w:w="861"/>
        <w:gridCol w:w="7076"/>
      </w:tblGrid>
      <w:tr w14:paraId="035E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4EDDBDCF">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151" w:type="dxa"/>
            <w:vAlign w:val="center"/>
          </w:tcPr>
          <w:p w14:paraId="5C2F01E3">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评分因素</w:t>
            </w:r>
          </w:p>
        </w:tc>
        <w:tc>
          <w:tcPr>
            <w:tcW w:w="861" w:type="dxa"/>
            <w:vAlign w:val="center"/>
          </w:tcPr>
          <w:p w14:paraId="06071A15">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分值</w:t>
            </w:r>
          </w:p>
        </w:tc>
        <w:tc>
          <w:tcPr>
            <w:tcW w:w="7076" w:type="dxa"/>
            <w:vAlign w:val="center"/>
          </w:tcPr>
          <w:p w14:paraId="673F96E5">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评审细则</w:t>
            </w:r>
          </w:p>
        </w:tc>
      </w:tr>
      <w:tr w14:paraId="0E21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0F5429D3">
            <w:pPr>
              <w:pStyle w:val="17"/>
              <w:keepNext w:val="0"/>
              <w:keepLines w:val="0"/>
              <w:pageBreakBefore w:val="0"/>
              <w:shd w:val="clear"/>
              <w:kinsoku/>
              <w:wordWrap/>
              <w:overflowPunct/>
              <w:topLinePunct w:val="0"/>
              <w:autoSpaceDE/>
              <w:autoSpaceDN/>
              <w:bidi w:val="0"/>
              <w:adjustRightInd/>
              <w:snapToGrid/>
              <w:spacing w:after="0" w:line="440" w:lineRule="exact"/>
              <w:jc w:val="center"/>
              <w:textAlignment w:val="auto"/>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1</w:t>
            </w:r>
          </w:p>
        </w:tc>
        <w:tc>
          <w:tcPr>
            <w:tcW w:w="1151" w:type="dxa"/>
            <w:vAlign w:val="center"/>
          </w:tcPr>
          <w:p w14:paraId="0088E6A7">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企业业绩</w:t>
            </w:r>
          </w:p>
        </w:tc>
        <w:tc>
          <w:tcPr>
            <w:tcW w:w="861" w:type="dxa"/>
            <w:vAlign w:val="center"/>
          </w:tcPr>
          <w:p w14:paraId="16504C93">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15</w:t>
            </w:r>
            <w:r>
              <w:rPr>
                <w:rFonts w:hint="eastAsia" w:ascii="宋体" w:hAnsi="宋体" w:eastAsia="宋体" w:cs="宋体"/>
                <w:b w:val="0"/>
                <w:bCs w:val="0"/>
                <w:color w:val="auto"/>
                <w:szCs w:val="21"/>
                <w:highlight w:val="none"/>
              </w:rPr>
              <w:t>分</w:t>
            </w:r>
          </w:p>
        </w:tc>
        <w:tc>
          <w:tcPr>
            <w:tcW w:w="7076" w:type="dxa"/>
            <w:vAlign w:val="center"/>
          </w:tcPr>
          <w:p w14:paraId="01FC005C">
            <w:pPr>
              <w:keepNext w:val="0"/>
              <w:keepLines w:val="0"/>
              <w:pageBreakBefore w:val="0"/>
              <w:widowControl w:val="0"/>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auto"/>
                <w:highlight w:val="none"/>
              </w:rPr>
            </w:pPr>
            <w:r>
              <w:rPr>
                <w:rFonts w:hint="eastAsia" w:ascii="宋体" w:hAnsi="宋体" w:eastAsia="宋体" w:cs="宋体"/>
                <w:b w:val="0"/>
                <w:bCs w:val="0"/>
                <w:color w:val="auto"/>
                <w:szCs w:val="21"/>
                <w:highlight w:val="none"/>
                <w:lang w:val="en-US" w:eastAsia="zh-CN"/>
              </w:rPr>
              <w:t>自</w:t>
            </w:r>
            <w:r>
              <w:rPr>
                <w:rFonts w:hint="eastAsia" w:ascii="宋体" w:hAnsi="宋体" w:eastAsia="宋体" w:cs="宋体"/>
                <w:b w:val="0"/>
                <w:bCs w:val="0"/>
                <w:color w:val="auto"/>
                <w:szCs w:val="21"/>
                <w:highlight w:val="none"/>
              </w:rPr>
              <w:t>20</w:t>
            </w:r>
            <w:r>
              <w:rPr>
                <w:rFonts w:hint="eastAsia" w:ascii="宋体" w:hAnsi="宋体" w:eastAsia="宋体" w:cs="宋体"/>
                <w:b w:val="0"/>
                <w:bCs w:val="0"/>
                <w:color w:val="auto"/>
                <w:szCs w:val="21"/>
                <w:highlight w:val="none"/>
                <w:lang w:val="en-US" w:eastAsia="zh-CN"/>
              </w:rPr>
              <w:t>2</w:t>
            </w: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月1日至投标截止时间，</w:t>
            </w:r>
            <w:r>
              <w:rPr>
                <w:rFonts w:hint="eastAsia" w:ascii="宋体" w:hAnsi="宋体" w:eastAsia="宋体" w:cs="宋体"/>
                <w:b w:val="0"/>
                <w:bCs w:val="0"/>
                <w:color w:val="auto"/>
                <w:szCs w:val="21"/>
                <w:highlight w:val="none"/>
                <w:lang w:val="en-US" w:eastAsia="zh-CN"/>
              </w:rPr>
              <w:t>投标人具有</w:t>
            </w:r>
            <w:r>
              <w:rPr>
                <w:rFonts w:hint="eastAsia" w:ascii="宋体" w:hAnsi="宋体" w:cs="宋体"/>
                <w:color w:val="auto"/>
                <w:szCs w:val="21"/>
                <w:highlight w:val="none"/>
              </w:rPr>
              <w:t>高速公路机电项目业绩</w:t>
            </w:r>
            <w:r>
              <w:rPr>
                <w:rFonts w:hint="eastAsia" w:ascii="宋体" w:hAnsi="宋体" w:eastAsia="宋体" w:cs="宋体"/>
                <w:b w:val="0"/>
                <w:bCs w:val="0"/>
                <w:color w:val="auto"/>
                <w:szCs w:val="21"/>
                <w:highlight w:val="none"/>
                <w:lang w:val="en-US" w:eastAsia="zh-CN"/>
              </w:rPr>
              <w:t>的</w:t>
            </w:r>
            <w:r>
              <w:rPr>
                <w:rFonts w:hint="eastAsia" w:ascii="宋体" w:hAnsi="宋体" w:eastAsia="宋体" w:cs="宋体"/>
                <w:b w:val="0"/>
                <w:bCs w:val="0"/>
                <w:color w:val="auto"/>
                <w:szCs w:val="21"/>
                <w:highlight w:val="none"/>
              </w:rPr>
              <w:t>得</w:t>
            </w:r>
            <w:r>
              <w:rPr>
                <w:rFonts w:hint="eastAsia" w:ascii="宋体" w:hAnsi="宋体" w:cs="宋体"/>
                <w:b w:val="0"/>
                <w:bCs w:val="0"/>
                <w:color w:val="auto"/>
                <w:szCs w:val="21"/>
                <w:highlight w:val="none"/>
                <w:lang w:val="en-US" w:eastAsia="zh-CN"/>
              </w:rPr>
              <w:t>7</w:t>
            </w:r>
            <w:r>
              <w:rPr>
                <w:rFonts w:hint="eastAsia" w:ascii="宋体" w:hAnsi="宋体" w:eastAsia="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分，满分为</w:t>
            </w:r>
            <w:r>
              <w:rPr>
                <w:rFonts w:hint="eastAsia" w:ascii="宋体" w:hAnsi="宋体" w:cs="宋体"/>
                <w:b w:val="0"/>
                <w:bCs w:val="0"/>
                <w:color w:val="auto"/>
                <w:szCs w:val="21"/>
                <w:highlight w:val="none"/>
                <w:lang w:val="en-US" w:eastAsia="zh-CN"/>
              </w:rPr>
              <w:t>15</w:t>
            </w:r>
            <w:r>
              <w:rPr>
                <w:rFonts w:hint="eastAsia" w:ascii="宋体" w:hAnsi="宋体" w:eastAsia="宋体" w:cs="宋体"/>
                <w:b w:val="0"/>
                <w:bCs w:val="0"/>
                <w:color w:val="auto"/>
                <w:szCs w:val="21"/>
                <w:highlight w:val="none"/>
              </w:rPr>
              <w:t>分。</w:t>
            </w:r>
          </w:p>
          <w:p w14:paraId="75547079">
            <w:pPr>
              <w:keepNext w:val="0"/>
              <w:keepLines w:val="0"/>
              <w:pageBreakBefore w:val="0"/>
              <w:widowControl w:val="0"/>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highlight w:val="none"/>
              </w:rPr>
              <w:t>注：</w:t>
            </w:r>
            <w:r>
              <w:rPr>
                <w:rFonts w:hint="eastAsia" w:ascii="宋体" w:hAnsi="宋体" w:eastAsia="宋体" w:cs="宋体"/>
                <w:b/>
                <w:bCs/>
                <w:color w:val="auto"/>
                <w:highlight w:val="none"/>
                <w:lang w:eastAsia="zh-CN"/>
              </w:rPr>
              <w:t>提供</w:t>
            </w:r>
            <w:r>
              <w:rPr>
                <w:rFonts w:hint="eastAsia" w:ascii="宋体" w:hAnsi="宋体" w:eastAsia="宋体" w:cs="宋体"/>
                <w:b/>
                <w:bCs/>
                <w:color w:val="auto"/>
                <w:szCs w:val="21"/>
                <w:highlight w:val="none"/>
                <w:lang w:val="en-US" w:eastAsia="zh-CN"/>
              </w:rPr>
              <w:t>合同扫描件。</w:t>
            </w:r>
          </w:p>
          <w:p w14:paraId="3E4D6737">
            <w:pPr>
              <w:keepNext w:val="0"/>
              <w:keepLines w:val="0"/>
              <w:pageBreakBefore w:val="0"/>
              <w:widowControl w:val="0"/>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lang w:val="en-US" w:eastAsia="zh-CN"/>
              </w:rPr>
              <w:t>如合同不能够充分有效证明该业绩的服务内容、公路等级等关键评审因素的，还须另外提供建设单位出具的加盖建设单位公章的证明材料，不符合要求，不得分。业绩</w:t>
            </w:r>
            <w:r>
              <w:rPr>
                <w:rFonts w:hint="eastAsia" w:ascii="宋体" w:hAnsi="宋体" w:eastAsia="宋体" w:cs="宋体"/>
                <w:b/>
                <w:bCs/>
                <w:color w:val="auto"/>
                <w:szCs w:val="21"/>
                <w:highlight w:val="none"/>
              </w:rPr>
              <w:t>时间以合同签订时间为准</w:t>
            </w:r>
            <w:r>
              <w:rPr>
                <w:rFonts w:hint="eastAsia" w:ascii="宋体" w:hAnsi="宋体" w:eastAsia="宋体" w:cs="宋体"/>
                <w:b/>
                <w:bCs/>
                <w:color w:val="auto"/>
                <w:szCs w:val="21"/>
                <w:highlight w:val="none"/>
                <w:lang w:eastAsia="zh-CN"/>
              </w:rPr>
              <w:t>。</w:t>
            </w:r>
            <w:r>
              <w:rPr>
                <w:rFonts w:hint="eastAsia" w:ascii="宋体" w:hAnsi="宋体" w:eastAsia="宋体" w:cs="宋体"/>
                <w:b w:val="0"/>
                <w:bCs w:val="0"/>
                <w:color w:val="auto"/>
                <w:highlight w:val="none"/>
                <w:lang w:val="en-US" w:eastAsia="zh-CN"/>
              </w:rPr>
              <w:t xml:space="preserve"> </w:t>
            </w:r>
          </w:p>
        </w:tc>
      </w:tr>
      <w:tr w14:paraId="5351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6804838D">
            <w:pPr>
              <w:pStyle w:val="17"/>
              <w:keepNext w:val="0"/>
              <w:keepLines w:val="0"/>
              <w:pageBreakBefore w:val="0"/>
              <w:shd w:val="clear"/>
              <w:kinsoku/>
              <w:wordWrap/>
              <w:overflowPunct/>
              <w:topLinePunct w:val="0"/>
              <w:autoSpaceDE/>
              <w:autoSpaceDN/>
              <w:bidi w:val="0"/>
              <w:adjustRightInd/>
              <w:snapToGrid/>
              <w:spacing w:after="0" w:line="440" w:lineRule="exact"/>
              <w:jc w:val="center"/>
              <w:textAlignment w:val="auto"/>
              <w:rPr>
                <w:rFonts w:hint="eastAsia" w:ascii="宋体" w:hAnsi="宋体" w:eastAsia="宋体" w:cs="宋体"/>
                <w:b w:val="0"/>
                <w:bCs w:val="0"/>
                <w:color w:val="auto"/>
                <w:highlight w:val="none"/>
                <w:lang w:val="en-US" w:eastAsia="zh-CN"/>
              </w:rPr>
            </w:pPr>
            <w:r>
              <w:rPr>
                <w:rFonts w:hint="eastAsia" w:ascii="宋体" w:hAnsi="宋体" w:cs="宋体"/>
                <w:b w:val="0"/>
                <w:bCs w:val="0"/>
                <w:color w:val="auto"/>
                <w:highlight w:val="none"/>
                <w:lang w:val="en-US" w:eastAsia="zh-CN"/>
              </w:rPr>
              <w:t>2</w:t>
            </w:r>
          </w:p>
        </w:tc>
        <w:tc>
          <w:tcPr>
            <w:tcW w:w="1151" w:type="dxa"/>
            <w:vAlign w:val="center"/>
          </w:tcPr>
          <w:p w14:paraId="18667CF3">
            <w:pPr>
              <w:keepNext w:val="0"/>
              <w:keepLines w:val="0"/>
              <w:pageBreakBefore w:val="0"/>
              <w:widowControl w:val="0"/>
              <w:shd w:val="clear"/>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val="0"/>
                <w:bCs w:val="0"/>
                <w:color w:val="auto"/>
                <w:szCs w:val="21"/>
                <w:highlight w:val="none"/>
              </w:rPr>
            </w:pPr>
            <w:r>
              <w:rPr>
                <w:rFonts w:hint="eastAsia" w:ascii="宋体" w:hAnsi="宋体" w:cs="宋体"/>
                <w:color w:val="auto"/>
                <w:szCs w:val="21"/>
                <w:highlight w:val="none"/>
              </w:rPr>
              <w:t>产品技术参数</w:t>
            </w:r>
          </w:p>
        </w:tc>
        <w:tc>
          <w:tcPr>
            <w:tcW w:w="861" w:type="dxa"/>
            <w:vAlign w:val="center"/>
          </w:tcPr>
          <w:p w14:paraId="4335CFB2">
            <w:pPr>
              <w:keepNext w:val="0"/>
              <w:keepLines w:val="0"/>
              <w:pageBreakBefore w:val="0"/>
              <w:widowControl w:val="0"/>
              <w:shd w:val="clear"/>
              <w:kinsoku/>
              <w:wordWrap/>
              <w:overflowPunct/>
              <w:topLinePunct w:val="0"/>
              <w:autoSpaceDE/>
              <w:autoSpaceDN/>
              <w:bidi w:val="0"/>
              <w:adjustRightInd/>
              <w:snapToGrid/>
              <w:spacing w:line="460" w:lineRule="exact"/>
              <w:ind w:right="0" w:rightChars="0" w:firstLine="0" w:firstLineChars="0"/>
              <w:jc w:val="both"/>
              <w:textAlignment w:val="auto"/>
              <w:rPr>
                <w:rFonts w:hint="eastAsia" w:ascii="宋体" w:hAnsi="宋体" w:cs="宋体"/>
                <w:b w:val="0"/>
                <w:bCs w:val="0"/>
                <w:color w:val="auto"/>
                <w:szCs w:val="21"/>
                <w:highlight w:val="none"/>
                <w:lang w:val="en-US" w:eastAsia="zh-CN"/>
              </w:rPr>
            </w:pP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rPr>
              <w:t>分</w:t>
            </w:r>
          </w:p>
        </w:tc>
        <w:tc>
          <w:tcPr>
            <w:tcW w:w="7076" w:type="dxa"/>
            <w:vAlign w:val="center"/>
          </w:tcPr>
          <w:p w14:paraId="56660000">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根据投标人所提供货物参数，对应招标文件中采购清单中要求进行评分：</w:t>
            </w:r>
          </w:p>
          <w:p w14:paraId="3FF37788">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1.采购清单中标注“▲”参数每满足或优于一项指标，得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分，共</w:t>
            </w:r>
            <w:r>
              <w:rPr>
                <w:rFonts w:hint="eastAsia" w:ascii="宋体" w:hAnsi="宋体" w:cs="宋体"/>
                <w:color w:val="auto"/>
                <w:szCs w:val="21"/>
                <w:highlight w:val="none"/>
                <w:lang w:val="en-US" w:eastAsia="zh-CN"/>
              </w:rPr>
              <w:t>35</w:t>
            </w:r>
            <w:r>
              <w:rPr>
                <w:rFonts w:hint="eastAsia" w:ascii="宋体" w:hAnsi="宋体" w:cs="宋体"/>
                <w:color w:val="auto"/>
                <w:szCs w:val="21"/>
                <w:highlight w:val="none"/>
              </w:rPr>
              <w:t>项，共计</w:t>
            </w:r>
            <w:r>
              <w:rPr>
                <w:rFonts w:hint="eastAsia" w:ascii="宋体" w:hAnsi="宋体" w:cs="宋体"/>
                <w:color w:val="auto"/>
                <w:szCs w:val="21"/>
                <w:highlight w:val="none"/>
                <w:lang w:val="en-US" w:eastAsia="zh-CN"/>
              </w:rPr>
              <w:t>35</w:t>
            </w:r>
            <w:r>
              <w:rPr>
                <w:rFonts w:hint="eastAsia" w:ascii="宋体" w:hAnsi="宋体" w:cs="宋体"/>
                <w:color w:val="auto"/>
                <w:szCs w:val="21"/>
                <w:highlight w:val="none"/>
              </w:rPr>
              <w:t>分。</w:t>
            </w:r>
          </w:p>
          <w:p w14:paraId="56A828E8">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2.未标符号的为一般参数，投标文件中无需列明，但在合同签订后将作为履约验收的依据，投标人在投标文件中提供相关承诺函，承诺完全满足参数要求或逐条响应均可，承诺函格式自拟，否则投标无效。</w:t>
            </w:r>
          </w:p>
          <w:p w14:paraId="436FB30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注：如某项参数中包含多个小条技术参数或要求，则该项参数所含内容均需满足或优于招标文件要求，方可计分。</w:t>
            </w:r>
          </w:p>
          <w:p w14:paraId="2F4A4B71">
            <w:pPr>
              <w:keepNext w:val="0"/>
              <w:keepLines w:val="0"/>
              <w:pageBreakBefore w:val="0"/>
              <w:widowControl w:val="0"/>
              <w:shd w:val="clear"/>
              <w:kinsoku/>
              <w:wordWrap/>
              <w:overflowPunct/>
              <w:topLinePunct w:val="0"/>
              <w:autoSpaceDE/>
              <w:autoSpaceDN/>
              <w:bidi w:val="0"/>
              <w:adjustRightInd/>
              <w:snapToGrid/>
              <w:spacing w:line="460" w:lineRule="exact"/>
              <w:ind w:right="0" w:rightChars="0"/>
              <w:jc w:val="left"/>
              <w:textAlignment w:val="auto"/>
              <w:rPr>
                <w:rFonts w:hint="eastAsia" w:ascii="宋体" w:hAnsi="宋体" w:eastAsia="宋体" w:cs="宋体"/>
                <w:b/>
                <w:bCs/>
                <w:color w:val="auto"/>
                <w:highlight w:val="none"/>
                <w:lang w:val="en-US" w:eastAsia="zh-CN"/>
              </w:rPr>
            </w:pPr>
            <w:r>
              <w:rPr>
                <w:rFonts w:hint="eastAsia" w:ascii="宋体" w:hAnsi="宋体" w:cs="宋体"/>
                <w:color w:val="auto"/>
                <w:szCs w:val="21"/>
                <w:highlight w:val="none"/>
              </w:rPr>
              <w:t>技术参数响应情况投标人须依据所投产品如实填写，若自填响应或正偏离，供货时实际产品不响应或负偏离，弄虚作假谋取中标资格的，招标人有权上报相关部门。</w:t>
            </w:r>
          </w:p>
        </w:tc>
      </w:tr>
      <w:bookmarkEnd w:id="89"/>
    </w:tbl>
    <w:p w14:paraId="3E947C90">
      <w:pPr>
        <w:keepNext w:val="0"/>
        <w:keepLines w:val="0"/>
        <w:pageBreakBefore w:val="0"/>
        <w:widowControl w:val="0"/>
        <w:shd w:val="clear"/>
        <w:kinsoku/>
        <w:wordWrap/>
        <w:overflowPunct/>
        <w:topLinePunct w:val="0"/>
        <w:autoSpaceDE/>
        <w:autoSpaceDN/>
        <w:bidi w:val="0"/>
        <w:adjustRightInd w:val="0"/>
        <w:snapToGrid w:val="0"/>
        <w:spacing w:before="157" w:beforeLines="50" w:after="157" w:afterLines="50" w:line="500" w:lineRule="exact"/>
        <w:ind w:firstLine="422" w:firstLineChars="200"/>
        <w:jc w:val="lef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6.2技术标评审细则（</w:t>
      </w:r>
      <w:r>
        <w:rPr>
          <w:rFonts w:hint="eastAsia" w:ascii="宋体" w:hAnsi="宋体" w:cs="宋体"/>
          <w:b/>
          <w:bCs/>
          <w:color w:val="auto"/>
          <w:szCs w:val="21"/>
          <w:highlight w:val="none"/>
          <w:lang w:val="en-US" w:eastAsia="zh-CN"/>
        </w:rPr>
        <w:t>20</w:t>
      </w:r>
      <w:r>
        <w:rPr>
          <w:rFonts w:hint="eastAsia" w:ascii="宋体" w:hAnsi="宋体" w:eastAsia="宋体" w:cs="宋体"/>
          <w:b/>
          <w:bCs/>
          <w:color w:val="auto"/>
          <w:szCs w:val="21"/>
          <w:highlight w:val="none"/>
        </w:rPr>
        <w:t>分）</w:t>
      </w:r>
    </w:p>
    <w:tbl>
      <w:tblPr>
        <w:tblStyle w:val="35"/>
        <w:tblW w:w="9785"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332"/>
        <w:gridCol w:w="750"/>
        <w:gridCol w:w="7006"/>
      </w:tblGrid>
      <w:tr w14:paraId="25E8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3FECA773">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332" w:type="dxa"/>
            <w:vAlign w:val="center"/>
          </w:tcPr>
          <w:p w14:paraId="4E93F01A">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评分因素</w:t>
            </w:r>
          </w:p>
        </w:tc>
        <w:tc>
          <w:tcPr>
            <w:tcW w:w="750" w:type="dxa"/>
            <w:vAlign w:val="center"/>
          </w:tcPr>
          <w:p w14:paraId="103756A1">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分值</w:t>
            </w:r>
          </w:p>
        </w:tc>
        <w:tc>
          <w:tcPr>
            <w:tcW w:w="7006" w:type="dxa"/>
            <w:vAlign w:val="center"/>
          </w:tcPr>
          <w:p w14:paraId="119AB06B">
            <w:pPr>
              <w:keepNext w:val="0"/>
              <w:keepLines w:val="0"/>
              <w:pageBreakBefore w:val="0"/>
              <w:shd w:val="clea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评审细则</w:t>
            </w:r>
          </w:p>
        </w:tc>
      </w:tr>
      <w:tr w14:paraId="35A2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23CD9DD6">
            <w:pPr>
              <w:pStyle w:val="17"/>
              <w:keepNext w:val="0"/>
              <w:keepLines w:val="0"/>
              <w:pageBreakBefore w:val="0"/>
              <w:widowControl w:val="0"/>
              <w:shd w:val="clear"/>
              <w:kinsoku/>
              <w:wordWrap/>
              <w:overflowPunct/>
              <w:topLinePunct w:val="0"/>
              <w:autoSpaceDE/>
              <w:autoSpaceDN/>
              <w:bidi w:val="0"/>
              <w:adjustRightInd/>
              <w:snapToGrid/>
              <w:spacing w:after="0" w:line="460" w:lineRule="exact"/>
              <w:ind w:right="0" w:rightChars="0"/>
              <w:jc w:val="center"/>
              <w:textAlignment w:val="auto"/>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lang w:val="en-US" w:eastAsia="zh-CN"/>
              </w:rPr>
              <w:t>1</w:t>
            </w:r>
          </w:p>
        </w:tc>
        <w:tc>
          <w:tcPr>
            <w:tcW w:w="1332" w:type="dxa"/>
            <w:vAlign w:val="center"/>
          </w:tcPr>
          <w:p w14:paraId="348F5D74">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供货方案</w:t>
            </w:r>
          </w:p>
        </w:tc>
        <w:tc>
          <w:tcPr>
            <w:tcW w:w="750" w:type="dxa"/>
            <w:vAlign w:val="center"/>
          </w:tcPr>
          <w:p w14:paraId="67F867D1">
            <w:pPr>
              <w:keepNext w:val="0"/>
              <w:keepLines w:val="0"/>
              <w:pageBreakBefore w:val="0"/>
              <w:widowControl w:val="0"/>
              <w:shd w:val="clear"/>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分</w:t>
            </w:r>
          </w:p>
        </w:tc>
        <w:tc>
          <w:tcPr>
            <w:tcW w:w="7006" w:type="dxa"/>
            <w:vAlign w:val="center"/>
          </w:tcPr>
          <w:p w14:paraId="01272601">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根据投标人投标文件中提供的供货安装方案（包括项目供货安装方案、</w:t>
            </w:r>
            <w:r>
              <w:rPr>
                <w:rFonts w:hint="eastAsia"/>
                <w:color w:val="auto"/>
                <w:highlight w:val="none"/>
              </w:rPr>
              <w:t>包装运输和验收方案</w:t>
            </w:r>
            <w:r>
              <w:rPr>
                <w:rFonts w:hint="eastAsia" w:ascii="宋体" w:hAnsi="宋体" w:cs="宋体"/>
                <w:color w:val="auto"/>
                <w:szCs w:val="21"/>
                <w:highlight w:val="none"/>
              </w:rPr>
              <w:t>）、</w:t>
            </w:r>
            <w:r>
              <w:rPr>
                <w:rFonts w:hint="eastAsia"/>
                <w:color w:val="auto"/>
                <w:highlight w:val="none"/>
              </w:rPr>
              <w:t>质量控制保障体系、质量控制措施</w:t>
            </w:r>
            <w:r>
              <w:rPr>
                <w:rFonts w:hint="eastAsia" w:ascii="宋体" w:hAnsi="宋体" w:cs="宋体"/>
                <w:color w:val="auto"/>
                <w:szCs w:val="21"/>
                <w:highlight w:val="none"/>
              </w:rPr>
              <w:t>，由评标委员会根据上述内容进行综合评审：</w:t>
            </w:r>
          </w:p>
          <w:p w14:paraId="76382E95">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1.货物生产供货方案完善，可行性高，针对性强，工期安排高效，进度计划完善，过程中控制措施完整可行的得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3CD23A1C">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2.货物生产供货方案合理，工期安排合理，有进度计划，具有可行性、针对性，过程中控制措施清晰、无明显逻辑错误的得</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p w14:paraId="541F1E9A">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3.货物生产供货方案简单，工期安排有疏忽，进度计划空洞，过程中控制措施实施性不高且出现非专门针对本项目特性内容，可行性、实用性有待改善的得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105479FB">
            <w:pPr>
              <w:spacing w:line="440" w:lineRule="exact"/>
              <w:jc w:val="left"/>
              <w:rPr>
                <w:rFonts w:hint="eastAsia" w:ascii="宋体" w:hAnsi="宋体" w:eastAsia="宋体" w:cs="宋体"/>
                <w:color w:val="auto"/>
                <w:highlight w:val="none"/>
              </w:rPr>
            </w:pPr>
            <w:r>
              <w:rPr>
                <w:rFonts w:hint="eastAsia" w:ascii="宋体" w:hAnsi="宋体" w:cs="宋体"/>
                <w:color w:val="auto"/>
                <w:szCs w:val="21"/>
                <w:highlight w:val="none"/>
              </w:rPr>
              <w:t>4.未提供不得分。</w:t>
            </w:r>
          </w:p>
        </w:tc>
      </w:tr>
      <w:tr w14:paraId="18EB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7F9E4020">
            <w:pPr>
              <w:pStyle w:val="17"/>
              <w:keepNext w:val="0"/>
              <w:keepLines w:val="0"/>
              <w:pageBreakBefore w:val="0"/>
              <w:widowControl w:val="0"/>
              <w:shd w:val="clear"/>
              <w:kinsoku/>
              <w:wordWrap/>
              <w:overflowPunct/>
              <w:topLinePunct w:val="0"/>
              <w:autoSpaceDE/>
              <w:autoSpaceDN/>
              <w:bidi w:val="0"/>
              <w:adjustRightInd/>
              <w:snapToGrid/>
              <w:spacing w:after="0" w:line="460" w:lineRule="exact"/>
              <w:ind w:right="0" w:rightChars="0"/>
              <w:jc w:val="center"/>
              <w:textAlignment w:val="auto"/>
              <w:rPr>
                <w:rFonts w:hint="eastAsia"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w:t>
            </w:r>
          </w:p>
        </w:tc>
        <w:tc>
          <w:tcPr>
            <w:tcW w:w="1332" w:type="dxa"/>
            <w:vAlign w:val="center"/>
          </w:tcPr>
          <w:p w14:paraId="77C1D647">
            <w:pPr>
              <w:spacing w:line="4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售后服务方案</w:t>
            </w:r>
          </w:p>
        </w:tc>
        <w:tc>
          <w:tcPr>
            <w:tcW w:w="750" w:type="dxa"/>
            <w:vAlign w:val="center"/>
          </w:tcPr>
          <w:p w14:paraId="38B6567A">
            <w:pPr>
              <w:keepNext w:val="0"/>
              <w:keepLines w:val="0"/>
              <w:pageBreakBefore w:val="0"/>
              <w:widowControl w:val="0"/>
              <w:shd w:val="clear"/>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分</w:t>
            </w:r>
          </w:p>
        </w:tc>
        <w:tc>
          <w:tcPr>
            <w:tcW w:w="7006" w:type="dxa"/>
            <w:vAlign w:val="center"/>
          </w:tcPr>
          <w:p w14:paraId="4C471440">
            <w:pPr>
              <w:widowControl w:val="0"/>
              <w:autoSpaceDE w:val="0"/>
              <w:autoSpaceDN w:val="0"/>
              <w:adjustRightInd w:val="0"/>
              <w:spacing w:line="360" w:lineRule="exact"/>
              <w:jc w:val="left"/>
              <w:textAlignment w:val="auto"/>
              <w:rPr>
                <w:rFonts w:hint="eastAsia" w:ascii="宋体" w:hAnsi="宋体" w:cs="宋体"/>
                <w:color w:val="auto"/>
                <w:highlight w:val="none"/>
              </w:rPr>
            </w:pPr>
            <w:r>
              <w:rPr>
                <w:rFonts w:hint="eastAsia" w:ascii="宋体" w:hAnsi="宋体" w:cs="宋体"/>
                <w:color w:val="auto"/>
                <w:highlight w:val="none"/>
              </w:rPr>
              <w:t>根据投标人投标文件中提供的售后服务与维保方案（包括售后服务内容、报修后响应时间及上门时间等要素）情况，评标委员会根据上述内容进行综合评审：</w:t>
            </w:r>
          </w:p>
          <w:p w14:paraId="0791D9B8">
            <w:pPr>
              <w:widowControl w:val="0"/>
              <w:autoSpaceDE w:val="0"/>
              <w:autoSpaceDN w:val="0"/>
              <w:adjustRightInd w:val="0"/>
              <w:spacing w:line="360" w:lineRule="exact"/>
              <w:jc w:val="left"/>
              <w:textAlignment w:val="auto"/>
              <w:rPr>
                <w:rFonts w:hint="eastAsia" w:ascii="宋体" w:hAnsi="宋体" w:cs="宋体"/>
                <w:color w:val="auto"/>
                <w:highlight w:val="none"/>
              </w:rPr>
            </w:pPr>
            <w:r>
              <w:rPr>
                <w:rFonts w:hint="eastAsia" w:ascii="宋体" w:hAnsi="宋体" w:cs="宋体"/>
                <w:color w:val="auto"/>
                <w:highlight w:val="none"/>
              </w:rPr>
              <w:t>1.方案切合实际情况，各部分有深入的表述，解决方案快捷高效、有具体切实可行的保障措施，售后人员配备充足、售后方案设计完整、安全、切实可行，措施得力的得</w:t>
            </w:r>
            <w:r>
              <w:rPr>
                <w:rFonts w:hint="eastAsia" w:ascii="宋体" w:hAnsi="宋体" w:cs="宋体"/>
                <w:color w:val="auto"/>
                <w:highlight w:val="none"/>
                <w:lang w:val="en-US" w:eastAsia="zh-CN"/>
              </w:rPr>
              <w:t>10</w:t>
            </w:r>
            <w:r>
              <w:rPr>
                <w:rFonts w:hint="eastAsia" w:ascii="宋体" w:hAnsi="宋体" w:cs="宋体"/>
                <w:color w:val="auto"/>
                <w:highlight w:val="none"/>
              </w:rPr>
              <w:t>分；</w:t>
            </w:r>
          </w:p>
          <w:p w14:paraId="0944522A">
            <w:pPr>
              <w:widowControl w:val="0"/>
              <w:autoSpaceDE w:val="0"/>
              <w:autoSpaceDN w:val="0"/>
              <w:adjustRightInd w:val="0"/>
              <w:spacing w:line="360" w:lineRule="exact"/>
              <w:jc w:val="left"/>
              <w:textAlignment w:val="auto"/>
              <w:rPr>
                <w:rFonts w:hint="eastAsia" w:ascii="宋体" w:hAnsi="宋体" w:cs="宋体"/>
                <w:color w:val="auto"/>
                <w:highlight w:val="none"/>
              </w:rPr>
            </w:pPr>
            <w:r>
              <w:rPr>
                <w:rFonts w:hint="eastAsia" w:ascii="宋体" w:hAnsi="宋体" w:cs="宋体"/>
                <w:color w:val="auto"/>
                <w:highlight w:val="none"/>
              </w:rPr>
              <w:t>2.方案基本符合实际情况，内容完整、表述清晰，有保障措施，配备了售后服务人员，解决方案基本符合项目要求的得</w:t>
            </w:r>
            <w:r>
              <w:rPr>
                <w:rFonts w:hint="eastAsia" w:ascii="宋体" w:hAnsi="宋体" w:cs="宋体"/>
                <w:color w:val="auto"/>
                <w:highlight w:val="none"/>
                <w:lang w:val="en-US" w:eastAsia="zh-CN"/>
              </w:rPr>
              <w:t>8</w:t>
            </w:r>
            <w:r>
              <w:rPr>
                <w:rFonts w:hint="eastAsia" w:ascii="宋体" w:hAnsi="宋体" w:cs="宋体"/>
                <w:color w:val="auto"/>
                <w:highlight w:val="none"/>
              </w:rPr>
              <w:t>分；</w:t>
            </w:r>
          </w:p>
          <w:p w14:paraId="5F7456BF">
            <w:pPr>
              <w:widowControl w:val="0"/>
              <w:autoSpaceDE w:val="0"/>
              <w:autoSpaceDN w:val="0"/>
              <w:adjustRightInd w:val="0"/>
              <w:spacing w:line="360" w:lineRule="exact"/>
              <w:jc w:val="left"/>
              <w:textAlignment w:val="auto"/>
              <w:rPr>
                <w:rFonts w:hint="eastAsia" w:ascii="宋体" w:hAnsi="宋体" w:cs="宋体"/>
                <w:color w:val="auto"/>
                <w:highlight w:val="none"/>
              </w:rPr>
            </w:pPr>
            <w:r>
              <w:rPr>
                <w:rFonts w:hint="eastAsia" w:ascii="宋体" w:hAnsi="宋体" w:cs="宋体"/>
                <w:color w:val="auto"/>
                <w:highlight w:val="none"/>
              </w:rPr>
              <w:t>3.方案基本满足项目要求但有一定的矛盾点、可行性受影响，对各个环节的保障措施、解决方案等缺项或关键点缺失的得</w:t>
            </w:r>
            <w:r>
              <w:rPr>
                <w:rFonts w:hint="eastAsia" w:ascii="宋体" w:hAnsi="宋体" w:cs="宋体"/>
                <w:color w:val="auto"/>
                <w:highlight w:val="none"/>
                <w:lang w:val="en-US" w:eastAsia="zh-CN"/>
              </w:rPr>
              <w:t>6</w:t>
            </w:r>
            <w:r>
              <w:rPr>
                <w:rFonts w:hint="eastAsia" w:ascii="宋体" w:hAnsi="宋体" w:cs="宋体"/>
                <w:color w:val="auto"/>
                <w:highlight w:val="none"/>
              </w:rPr>
              <w:t>分；</w:t>
            </w:r>
          </w:p>
          <w:p w14:paraId="370E2770">
            <w:pPr>
              <w:spacing w:line="360" w:lineRule="auto"/>
              <w:jc w:val="left"/>
              <w:rPr>
                <w:rFonts w:hint="eastAsia" w:ascii="宋体" w:hAnsi="宋体" w:eastAsia="宋体" w:cs="宋体"/>
                <w:color w:val="auto"/>
                <w:highlight w:val="none"/>
              </w:rPr>
            </w:pPr>
            <w:r>
              <w:rPr>
                <w:rFonts w:hint="eastAsia" w:ascii="宋体" w:hAnsi="宋体" w:cs="宋体"/>
                <w:color w:val="auto"/>
                <w:highlight w:val="none"/>
              </w:rPr>
              <w:t>4.未提供不得分。</w:t>
            </w:r>
          </w:p>
        </w:tc>
      </w:tr>
      <w:tr w14:paraId="4B07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785" w:type="dxa"/>
            <w:gridSpan w:val="4"/>
            <w:vAlign w:val="center"/>
          </w:tcPr>
          <w:p w14:paraId="2C4C9339">
            <w:pPr>
              <w:keepNext w:val="0"/>
              <w:keepLines w:val="0"/>
              <w:pageBreakBefore w:val="0"/>
              <w:widowControl/>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注：1.各投标人技术标总得分为各评委评分的平均值为最终得分。取两位小数，小数点后第三位四舍五入。</w:t>
            </w:r>
          </w:p>
          <w:p w14:paraId="5662BD99">
            <w:pPr>
              <w:keepNext w:val="0"/>
              <w:keepLines w:val="0"/>
              <w:pageBreakBefore w:val="0"/>
              <w:widowControl/>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该评分点作零分处理。</w:t>
            </w:r>
          </w:p>
          <w:p w14:paraId="23294304">
            <w:pPr>
              <w:keepNext w:val="0"/>
              <w:keepLines w:val="0"/>
              <w:pageBreakBefore w:val="0"/>
              <w:widowControl/>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 技术标暗标不设空白页。技术标投标文件封面不出现投标人、法定代表人签章内容，格式以系统设置为准。正文必须按招标文件要求的顺序进行排版；</w:t>
            </w:r>
          </w:p>
          <w:p w14:paraId="21FCAFEF">
            <w:pPr>
              <w:keepNext w:val="0"/>
              <w:keepLines w:val="0"/>
              <w:pageBreakBefore w:val="0"/>
              <w:widowControl/>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技术标暗标正文文字排版统一使用中文宋体字体，文字为白底黑色，图表采用黑白灰色（不得采用彩色）；文字部分不得插入任何图表（可以用“见附图x”或“见附表x”说明）。所有附图、附表必须依次附在各章对应评分点内容的文末，计算在页数要求内；</w:t>
            </w:r>
          </w:p>
          <w:p w14:paraId="241C1049">
            <w:pPr>
              <w:keepNext w:val="0"/>
              <w:keepLines w:val="0"/>
              <w:pageBreakBefore w:val="0"/>
              <w:widowControl/>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 正文采用宋体四号常规字，字符间距设为标准值，行距为单倍行距，不勾选“如果定义了文档网格，则对齐到网格”；正文统一设为左对齐，章、节标题、及段落首行缩进2个汉字，段落前后不设空行；正文版面不加页眉、页脚、边框、下划线等标志，正文页码用小五号阿拉伯数字，居中。单位符号中有上下角标要求的，必须在相应位置做角标；</w:t>
            </w:r>
          </w:p>
          <w:p w14:paraId="489DF803">
            <w:pPr>
              <w:keepNext w:val="0"/>
              <w:keepLines w:val="0"/>
              <w:pageBreakBefore w:val="0"/>
              <w:widowControl/>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3.技术标暗标文件的格式、制作不符合上述要求的，每一分项扣0.2分。技术标实行暗标的，对技术标（暗标）部分不予澄清、说明或者补正。</w:t>
            </w:r>
          </w:p>
          <w:p w14:paraId="2459598C">
            <w:pPr>
              <w:keepNext w:val="0"/>
              <w:keepLines w:val="0"/>
              <w:pageBreakBefore w:val="0"/>
              <w:widowControl/>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b/>
                <w:bCs/>
                <w:color w:val="auto"/>
                <w:kern w:val="0"/>
                <w:szCs w:val="21"/>
                <w:highlight w:val="none"/>
              </w:rPr>
              <w:t>技术标的</w:t>
            </w:r>
            <w:r>
              <w:rPr>
                <w:rFonts w:hint="eastAsia" w:ascii="宋体" w:hAnsi="宋体" w:eastAsia="宋体" w:cs="宋体"/>
                <w:b/>
                <w:bCs/>
                <w:color w:val="auto"/>
                <w:kern w:val="0"/>
                <w:szCs w:val="21"/>
                <w:highlight w:val="none"/>
                <w:lang w:val="en-US" w:eastAsia="zh-CN"/>
              </w:rPr>
              <w:t>每个评分点</w:t>
            </w:r>
            <w:r>
              <w:rPr>
                <w:rFonts w:hint="eastAsia" w:ascii="宋体" w:hAnsi="宋体" w:eastAsia="宋体" w:cs="宋体"/>
                <w:b/>
                <w:bCs/>
                <w:color w:val="auto"/>
                <w:kern w:val="0"/>
                <w:szCs w:val="21"/>
                <w:highlight w:val="none"/>
              </w:rPr>
              <w:t>页数不多于</w:t>
            </w:r>
            <w:r>
              <w:rPr>
                <w:rFonts w:hint="eastAsia" w:ascii="宋体" w:hAnsi="宋体" w:eastAsia="宋体" w:cs="宋体"/>
                <w:b/>
                <w:bCs/>
                <w:color w:val="auto"/>
                <w:kern w:val="0"/>
                <w:szCs w:val="21"/>
                <w:highlight w:val="none"/>
                <w:lang w:val="en-US" w:eastAsia="zh-CN"/>
              </w:rPr>
              <w:t>50</w:t>
            </w:r>
            <w:r>
              <w:rPr>
                <w:rFonts w:hint="eastAsia" w:ascii="宋体" w:hAnsi="宋体" w:eastAsia="宋体" w:cs="宋体"/>
                <w:b/>
                <w:bCs/>
                <w:color w:val="auto"/>
                <w:kern w:val="0"/>
                <w:szCs w:val="21"/>
                <w:highlight w:val="none"/>
              </w:rPr>
              <w:t>页</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含附图、附表</w:t>
            </w:r>
            <w:r>
              <w:rPr>
                <w:rFonts w:hint="eastAsia" w:ascii="宋体" w:hAnsi="宋体" w:eastAsia="宋体" w:cs="宋体"/>
                <w:b/>
                <w:bCs/>
                <w:color w:val="auto"/>
                <w:kern w:val="0"/>
                <w:szCs w:val="21"/>
                <w:highlight w:val="none"/>
                <w:lang w:eastAsia="zh-CN"/>
              </w:rPr>
              <w:t>）</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具体篇幅(字数)要求及扣分标准（扣分值为0.</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分）。偏离规定标准的，评标委员会应酌情扣分。</w:t>
            </w:r>
          </w:p>
          <w:p w14:paraId="221A5AB5">
            <w:pPr>
              <w:keepNext w:val="0"/>
              <w:keepLines w:val="0"/>
              <w:pageBreakBefore w:val="0"/>
              <w:widowControl/>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r>
              <w:rPr>
                <w:rFonts w:hint="eastAsia" w:ascii="宋体" w:hAnsi="宋体" w:eastAsia="宋体" w:cs="宋体"/>
                <w:color w:val="auto"/>
                <w:szCs w:val="21"/>
                <w:highlight w:val="none"/>
              </w:rPr>
              <w:t>暗标评审仅限评标环节。评标结束后，如出现质疑、投诉、举报等，经认定评标错误的，由评标委员会纠正错误或重新评分，此时不再受暗标评审约束，但在纠正错误或重新评分中发现投标企业技术标出现可能泄露投标人单位及个人信息的文字、图片、图表（技术标不得签章）等有关表述的，对应技术标评分点仍按零分处理。</w:t>
            </w:r>
          </w:p>
          <w:p w14:paraId="1E5566D5">
            <w:pPr>
              <w:keepNext w:val="0"/>
              <w:keepLines w:val="0"/>
              <w:pageBreakBefore w:val="0"/>
              <w:shd w:val="clear"/>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6.</w:t>
            </w:r>
            <w:r>
              <w:rPr>
                <w:rFonts w:hint="eastAsia" w:ascii="宋体" w:hAnsi="宋体" w:eastAsia="宋体" w:cs="宋体"/>
                <w:color w:val="auto"/>
                <w:szCs w:val="21"/>
                <w:highlight w:val="none"/>
              </w:rPr>
              <w:t>如所有投标企业技术标都出现能反映企业信息等相关内容的，该项目流标。</w:t>
            </w:r>
          </w:p>
        </w:tc>
      </w:tr>
    </w:tbl>
    <w:p w14:paraId="0F9BB553">
      <w:pPr>
        <w:keepNext w:val="0"/>
        <w:keepLines w:val="0"/>
        <w:pageBreakBefore w:val="0"/>
        <w:widowControl w:val="0"/>
        <w:shd w:val="clear"/>
        <w:kinsoku/>
        <w:wordWrap/>
        <w:overflowPunct/>
        <w:topLinePunct w:val="0"/>
        <w:autoSpaceDE/>
        <w:autoSpaceDN/>
        <w:bidi w:val="0"/>
        <w:adjustRightInd w:val="0"/>
        <w:snapToGrid w:val="0"/>
        <w:spacing w:before="313" w:beforeLines="100" w:after="313" w:afterLines="100" w:line="50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6.3商务标评审细则（</w:t>
      </w:r>
      <w:r>
        <w:rPr>
          <w:rFonts w:hint="eastAsia" w:ascii="宋体" w:hAnsi="宋体" w:cs="宋体"/>
          <w:b/>
          <w:bCs/>
          <w:color w:val="auto"/>
          <w:szCs w:val="21"/>
          <w:highlight w:val="none"/>
          <w:lang w:val="en-US" w:eastAsia="zh-CN"/>
        </w:rPr>
        <w:t>30</w:t>
      </w:r>
      <w:r>
        <w:rPr>
          <w:rFonts w:hint="eastAsia" w:ascii="宋体" w:hAnsi="宋体" w:eastAsia="宋体" w:cs="宋体"/>
          <w:b/>
          <w:bCs/>
          <w:color w:val="auto"/>
          <w:szCs w:val="21"/>
          <w:highlight w:val="none"/>
        </w:rPr>
        <w:t>分）</w:t>
      </w:r>
    </w:p>
    <w:tbl>
      <w:tblPr>
        <w:tblStyle w:val="35"/>
        <w:tblW w:w="9929" w:type="dxa"/>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8584"/>
      </w:tblGrid>
      <w:tr w14:paraId="609F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14:paraId="42B08E22">
            <w:pPr>
              <w:shd w:val="clear"/>
              <w:spacing w:line="500" w:lineRule="exact"/>
              <w:jc w:val="center"/>
              <w:rPr>
                <w:rFonts w:hint="eastAsia" w:ascii="宋体" w:hAnsi="宋体" w:eastAsia="宋体" w:cs="宋体"/>
                <w:b/>
                <w:bCs/>
                <w:color w:val="auto"/>
                <w:highlight w:val="none"/>
              </w:rPr>
            </w:pPr>
            <w:bookmarkStart w:id="91" w:name="_Toc58430321"/>
            <w:bookmarkStart w:id="92" w:name="_Toc449028881"/>
            <w:bookmarkStart w:id="93" w:name="_Toc23311"/>
            <w:r>
              <w:rPr>
                <w:rFonts w:hint="eastAsia" w:ascii="宋体" w:hAnsi="宋体" w:eastAsia="宋体" w:cs="宋体"/>
                <w:b/>
                <w:bCs/>
                <w:color w:val="auto"/>
                <w:highlight w:val="none"/>
              </w:rPr>
              <w:t>评分因素</w:t>
            </w:r>
          </w:p>
        </w:tc>
        <w:tc>
          <w:tcPr>
            <w:tcW w:w="8584" w:type="dxa"/>
            <w:vAlign w:val="center"/>
          </w:tcPr>
          <w:p w14:paraId="65B3C38C">
            <w:pPr>
              <w:shd w:val="clear"/>
              <w:spacing w:line="500" w:lineRule="exact"/>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评审细则</w:t>
            </w:r>
          </w:p>
        </w:tc>
      </w:tr>
      <w:tr w14:paraId="0CC4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45" w:type="dxa"/>
            <w:vAlign w:val="center"/>
          </w:tcPr>
          <w:p w14:paraId="7C699C20">
            <w:pPr>
              <w:shd w:val="clear"/>
              <w:spacing w:line="5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商务标</w:t>
            </w:r>
          </w:p>
          <w:p w14:paraId="5AC233B1">
            <w:pPr>
              <w:shd w:val="clear"/>
              <w:spacing w:line="5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分）</w:t>
            </w:r>
          </w:p>
        </w:tc>
        <w:tc>
          <w:tcPr>
            <w:tcW w:w="8584" w:type="dxa"/>
          </w:tcPr>
          <w:p w14:paraId="4DA7EAE9">
            <w:pPr>
              <w:shd w:val="clear"/>
              <w:tabs>
                <w:tab w:val="left" w:pos="1080"/>
              </w:tabs>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招标人设置投标报价最高限价，各投标人有效报价不得高于最高限价，否则，其投标文件按无效标处理。</w:t>
            </w:r>
          </w:p>
          <w:p w14:paraId="2B3C4012">
            <w:pPr>
              <w:shd w:val="clear"/>
              <w:tabs>
                <w:tab w:val="left" w:pos="1080"/>
              </w:tabs>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1、评审基准价=所有有效投标人的最低报价；其得分为</w:t>
            </w:r>
            <w:r>
              <w:rPr>
                <w:rFonts w:hint="eastAsia" w:ascii="宋体" w:hAnsi="宋体" w:cs="宋体"/>
                <w:color w:val="auto"/>
                <w:szCs w:val="21"/>
                <w:highlight w:val="none"/>
                <w:lang w:val="en-US" w:eastAsia="zh-CN"/>
              </w:rPr>
              <w:t>30分</w:t>
            </w:r>
            <w:r>
              <w:rPr>
                <w:rFonts w:hint="eastAsia" w:ascii="宋体" w:hAnsi="宋体" w:eastAsia="宋体" w:cs="宋体"/>
                <w:color w:val="auto"/>
                <w:szCs w:val="21"/>
                <w:highlight w:val="none"/>
              </w:rPr>
              <w:t>；</w:t>
            </w:r>
          </w:p>
          <w:p w14:paraId="70D0C48F">
            <w:pPr>
              <w:shd w:val="clear"/>
              <w:tabs>
                <w:tab w:val="left" w:pos="1080"/>
              </w:tabs>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2、其它报价得分=评审基准价/投标报价*</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，小数点后保留两位小数，第三位四舍五入；</w:t>
            </w:r>
          </w:p>
          <w:p w14:paraId="33B79FC5">
            <w:pPr>
              <w:shd w:val="clea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3、本项分值由评审委员会负责组织计算。</w:t>
            </w:r>
          </w:p>
        </w:tc>
      </w:tr>
    </w:tbl>
    <w:p w14:paraId="6F7E997E">
      <w:pPr>
        <w:shd w:val="clear"/>
        <w:spacing w:beforeLines="50" w:afterLines="50" w:line="500" w:lineRule="exact"/>
        <w:jc w:val="cente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五、推荐中标候选人</w:t>
      </w:r>
      <w:bookmarkEnd w:id="90"/>
      <w:bookmarkEnd w:id="91"/>
      <w:bookmarkEnd w:id="92"/>
      <w:bookmarkEnd w:id="93"/>
    </w:p>
    <w:p w14:paraId="3AB9AD19">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7.评标委员会按资信、技术及商务三部分得分之和从高到低按顺序，推荐3名中标候选人。 </w:t>
      </w:r>
    </w:p>
    <w:p w14:paraId="06F3F443">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7.1总得分相同的，按报价由低到高顺序排列。总得分且报价相同的并列，由招标人现场采取随机摇号的方式确定中标候选人。</w:t>
      </w:r>
    </w:p>
    <w:p w14:paraId="568010D1">
      <w:pPr>
        <w:shd w:val="clear"/>
        <w:snapToGrid w:val="0"/>
        <w:spacing w:line="500" w:lineRule="exact"/>
        <w:ind w:right="-212" w:rightChars="-101"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7.2</w:t>
      </w:r>
      <w:r>
        <w:rPr>
          <w:rFonts w:hint="eastAsia" w:ascii="宋体" w:hAnsi="宋体" w:cs="宋体"/>
          <w:b/>
          <w:bCs/>
          <w:color w:val="auto"/>
          <w:szCs w:val="21"/>
          <w:highlight w:val="none"/>
        </w:rPr>
        <w:t>根据评标委员会评审初步结论，项目单位（代理机构）对预中标候选人</w:t>
      </w:r>
      <w:r>
        <w:rPr>
          <w:rFonts w:hint="eastAsia" w:ascii="Times New Roman" w:hAnsi="Times New Roman"/>
          <w:b/>
          <w:bCs/>
          <w:smallCaps w:val="0"/>
          <w:color w:val="auto"/>
          <w:highlight w:val="none"/>
        </w:rPr>
        <w:t>（包括联合体各成员）</w:t>
      </w:r>
      <w:r>
        <w:rPr>
          <w:rFonts w:hint="eastAsia" w:ascii="宋体" w:hAnsi="宋体" w:cs="宋体"/>
          <w:b/>
          <w:bCs/>
          <w:color w:val="auto"/>
          <w:szCs w:val="21"/>
          <w:highlight w:val="none"/>
        </w:rPr>
        <w:t>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w:t>
      </w:r>
      <w:r>
        <w:rPr>
          <w:rFonts w:hint="eastAsia" w:ascii="Times New Roman" w:hAnsi="Times New Roman"/>
          <w:b/>
          <w:bCs/>
          <w:smallCaps w:val="0"/>
          <w:color w:val="auto"/>
          <w:highlight w:val="none"/>
        </w:rPr>
        <w:t>（包括联合体各成员）</w:t>
      </w:r>
      <w:r>
        <w:rPr>
          <w:rFonts w:hint="eastAsia" w:ascii="宋体" w:hAnsi="宋体" w:cs="宋体"/>
          <w:b/>
          <w:bCs/>
          <w:color w:val="auto"/>
          <w:szCs w:val="21"/>
          <w:highlight w:val="none"/>
        </w:rPr>
        <w:t>存在信誉问题，则组织评标委员会重新启动复核程序。核查结果不改变原评标基准价</w:t>
      </w:r>
      <w:r>
        <w:rPr>
          <w:rFonts w:hint="eastAsia" w:ascii="宋体" w:hAnsi="宋体" w:eastAsia="宋体" w:cs="宋体"/>
          <w:b/>
          <w:bCs/>
          <w:color w:val="auto"/>
          <w:szCs w:val="21"/>
          <w:highlight w:val="none"/>
        </w:rPr>
        <w:t>。</w:t>
      </w:r>
    </w:p>
    <w:p w14:paraId="36FAF708">
      <w:pPr>
        <w:shd w:val="clear"/>
        <w:snapToGrid w:val="0"/>
        <w:spacing w:line="500" w:lineRule="exact"/>
        <w:ind w:right="-212" w:rightChars="-101"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8.无效投标条款</w:t>
      </w:r>
    </w:p>
    <w:p w14:paraId="130990FF">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8.1投标文件有下列情形之一的,其投标文件拒收:</w:t>
      </w:r>
    </w:p>
    <w:p w14:paraId="5165CF2A">
      <w:pPr>
        <w:shd w:val="clear"/>
        <w:spacing w:line="500" w:lineRule="exact"/>
        <w:ind w:right="-212" w:rightChars="-101"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）未在开标截止时间前通过网上招标投标系统递交有效电子投标文件的，开标系统不予接收，投标将被拒绝。</w:t>
      </w:r>
    </w:p>
    <w:p w14:paraId="0FE6C475">
      <w:pPr>
        <w:shd w:val="clear"/>
        <w:spacing w:line="500" w:lineRule="exact"/>
        <w:ind w:right="-212" w:rightChars="-101"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60分钟，否则投标文件将被拒绝。</w:t>
      </w:r>
    </w:p>
    <w:p w14:paraId="1A36FF33">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8.2投标人有下列情形之一的,资格审查后其投标作无效投标处理：</w:t>
      </w:r>
    </w:p>
    <w:p w14:paraId="45EFCD6E">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投标人为本项目提供招标代理服务的；</w:t>
      </w:r>
    </w:p>
    <w:p w14:paraId="54EA7389">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投标人与在本项目代理机构存在相互任职或工作的；</w:t>
      </w:r>
    </w:p>
    <w:p w14:paraId="601EB877">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评标专家无法查看并检验电子投标文件中相关资料的；</w:t>
      </w:r>
    </w:p>
    <w:p w14:paraId="5E2499ED">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联合体投标未提交联合体协议的；</w:t>
      </w:r>
    </w:p>
    <w:p w14:paraId="3CF309A9">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被暂停营业的；</w:t>
      </w:r>
    </w:p>
    <w:p w14:paraId="3AC80866">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被暂停或取消投标资格的；</w:t>
      </w:r>
    </w:p>
    <w:p w14:paraId="35930E2B">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财产被接管或冻结的；</w:t>
      </w:r>
    </w:p>
    <w:p w14:paraId="632C9DC1">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投标人单位负责人为同一人或者存在控股、管理关系的不同单位的；</w:t>
      </w:r>
    </w:p>
    <w:p w14:paraId="3FA8F645">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保证金不按第二章“投标人须知”及其前附表要求提交投标保证金的；</w:t>
      </w:r>
    </w:p>
    <w:p w14:paraId="683E9871">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10</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投标人未办理省主体库登记入库手续的；</w:t>
      </w:r>
    </w:p>
    <w:p w14:paraId="11A931DD">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11</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投标人申请开具电子保函 MAC 地址一致的；</w:t>
      </w:r>
    </w:p>
    <w:p w14:paraId="71B40EAF">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12</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投标人基本资格条件和特定资格条件中有一项及以上不符合要求的；</w:t>
      </w:r>
    </w:p>
    <w:p w14:paraId="4EA6908E">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13</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1D27A1D9">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14</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其它情形，经评标委员会提出按无效投标处理，并经公共资源交易监督部门核准的；</w:t>
      </w:r>
    </w:p>
    <w:p w14:paraId="5AE98000">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15</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投标人投标MAC地址或投标人联系人或联系电话相同的，由评标委员会否决其投标，并报告监管部门作不良行为处理和进一步调查；</w:t>
      </w:r>
    </w:p>
    <w:p w14:paraId="5D824182">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16</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投标人单方面出现其他投标人材料的；</w:t>
      </w:r>
    </w:p>
    <w:p w14:paraId="62EFCAC2">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17</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招标文件规定的其它无效投标情形。</w:t>
      </w:r>
    </w:p>
    <w:p w14:paraId="0570C6F6">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8.3 投标人有下列情形之一的,符合性审查后其投标按无效投标处理：</w:t>
      </w:r>
    </w:p>
    <w:p w14:paraId="4FCDE3E5">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投标文件签字、盖章不全，经评标委员会一致认定对开评标内容有实质性影响并经公共资源交易监督部门核准的；</w:t>
      </w:r>
    </w:p>
    <w:p w14:paraId="142F0696">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未按规定的格式填写导致实质性内容不全以及实质上不响应，或者关键字迹模糊、无法辨认； 经公共资源交易监督部门核准的；</w:t>
      </w:r>
    </w:p>
    <w:p w14:paraId="0E724ADA">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）同一投标人提交两个以上不同的投标文件或者投标报价，但招标文件规定提交备选方案的除外；</w:t>
      </w:r>
    </w:p>
    <w:p w14:paraId="13196FBA">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）投标文件没有对招标文件的实质性要求和条件作出响应;</w:t>
      </w:r>
    </w:p>
    <w:p w14:paraId="79EAFA4E">
      <w:pPr>
        <w:shd w:val="clear"/>
        <w:spacing w:line="500" w:lineRule="exact"/>
        <w:ind w:right="-212" w:rightChars="-101" w:firstLine="420" w:firstLineChars="200"/>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）投标报价超出规定的投标限价或公布的采购预算的或投标人的投标报价各项单价高于招标文件给定的</w:t>
      </w:r>
      <w:r>
        <w:rPr>
          <w:rFonts w:hint="eastAsia" w:ascii="宋体" w:hAnsi="宋体" w:cs="宋体"/>
          <w:color w:val="auto"/>
          <w:szCs w:val="21"/>
          <w:highlight w:val="none"/>
          <w:lang w:val="en-US" w:eastAsia="zh-CN"/>
        </w:rPr>
        <w:t>对应</w:t>
      </w:r>
      <w:r>
        <w:rPr>
          <w:rFonts w:hint="eastAsia" w:ascii="宋体" w:hAnsi="宋体" w:eastAsia="宋体" w:cs="宋体"/>
          <w:color w:val="auto"/>
          <w:szCs w:val="21"/>
          <w:highlight w:val="none"/>
        </w:rPr>
        <w:t>单价最高限价；</w:t>
      </w:r>
    </w:p>
    <w:p w14:paraId="462AFF5D">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）不按评标委员会要求澄清、说明或补正的，或者评标委员会根据招标文件的规定对招标文件的计算错误进行修正后，投标人不接受修正的投标报价的。</w:t>
      </w:r>
    </w:p>
    <w:p w14:paraId="06CAA607">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）其它情形，经评标委员会提出按无效投标处理，并经公共资源交易监督部门核准的；</w:t>
      </w:r>
    </w:p>
    <w:p w14:paraId="45654798">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）投标文件含有招标人不能接受的附加条件的;</w:t>
      </w:r>
    </w:p>
    <w:p w14:paraId="38A03649">
      <w:pPr>
        <w:shd w:val="clear"/>
        <w:tabs>
          <w:tab w:val="left" w:pos="1123"/>
        </w:tabs>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（9）招标文件规定的其它无效投标情形。</w:t>
      </w:r>
    </w:p>
    <w:p w14:paraId="507D2E54">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8.4 投标人有下列情形之一的, 详细评审后其投标按无效投标处理：</w:t>
      </w:r>
    </w:p>
    <w:p w14:paraId="2297EBF5">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）投标产品不符合必须强制执行的国家标准的；</w:t>
      </w:r>
    </w:p>
    <w:p w14:paraId="5AE41712">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）投标人有串通投标、弄虚作假、行贿等违法行为；</w:t>
      </w:r>
    </w:p>
    <w:p w14:paraId="2563CFBE">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）投标文件含有违反国家法律、法规的内容，或附有招标人不能接受的条件的；</w:t>
      </w:r>
    </w:p>
    <w:p w14:paraId="4E720782">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（4）报价明显低于其他投标人，且不能证明报价合理性的投标无效；</w:t>
      </w:r>
    </w:p>
    <w:p w14:paraId="0FE27F1E">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（5）拒不确认评标委员会评审修正的投标无效；</w:t>
      </w:r>
    </w:p>
    <w:p w14:paraId="2CB56FEA">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（6）其它情形，经评标委员会提出按无效投标处理，并经公共资源交易监督部门核准的；</w:t>
      </w:r>
    </w:p>
    <w:p w14:paraId="14EBBF72">
      <w:pPr>
        <w:shd w:val="clear"/>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）招标文件规定的其它无效投标情形。</w:t>
      </w:r>
    </w:p>
    <w:bookmarkEnd w:id="73"/>
    <w:p w14:paraId="32B9D1CD">
      <w:pPr>
        <w:numPr>
          <w:ilvl w:val="0"/>
          <w:numId w:val="8"/>
        </w:numPr>
        <w:shd w:val="clear"/>
        <w:snapToGrid w:val="0"/>
        <w:spacing w:line="440" w:lineRule="exact"/>
        <w:ind w:left="-10" w:leftChars="-5" w:right="-334" w:rightChars="-159" w:firstLine="14"/>
        <w:jc w:val="both"/>
        <w:outlineLvl w:val="0"/>
        <w:rPr>
          <w:rFonts w:hint="eastAsia" w:ascii="宋体" w:hAnsi="宋体" w:eastAsia="宋体" w:cs="宋体"/>
          <w:b/>
          <w:bCs/>
          <w:color w:val="auto"/>
          <w:sz w:val="32"/>
          <w:szCs w:val="32"/>
          <w:highlight w:val="none"/>
        </w:rPr>
      </w:pPr>
      <w:bookmarkStart w:id="94" w:name="_Toc30417"/>
      <w:bookmarkStart w:id="95" w:name="_Toc22340"/>
      <w:bookmarkStart w:id="96" w:name="_Toc449028945"/>
      <w:r>
        <w:rPr>
          <w:rFonts w:hint="eastAsia" w:ascii="宋体" w:hAnsi="宋体" w:eastAsia="宋体" w:cs="宋体"/>
          <w:b/>
          <w:color w:val="auto"/>
          <w:sz w:val="32"/>
          <w:szCs w:val="32"/>
          <w:highlight w:val="none"/>
        </w:rPr>
        <w:br w:type="page"/>
      </w:r>
      <w:bookmarkEnd w:id="94"/>
    </w:p>
    <w:p w14:paraId="67C41BEB">
      <w:pPr>
        <w:spacing w:before="156" w:beforeLines="50" w:after="156" w:afterLines="50"/>
        <w:jc w:val="center"/>
        <w:outlineLvl w:val="0"/>
        <w:rPr>
          <w:rFonts w:hint="eastAsia" w:ascii="宋体" w:hAnsi="宋体" w:eastAsia="宋体" w:cs="宋体"/>
          <w:b/>
          <w:color w:val="auto"/>
          <w:sz w:val="32"/>
          <w:szCs w:val="32"/>
          <w:highlight w:val="none"/>
          <w:lang w:eastAsia="zh-CN"/>
        </w:rPr>
      </w:pPr>
      <w:bookmarkStart w:id="97" w:name="_Toc86071714"/>
      <w:r>
        <w:rPr>
          <w:rFonts w:hint="eastAsia" w:ascii="宋体" w:hAnsi="宋体" w:eastAsia="宋体" w:cs="宋体"/>
          <w:b/>
          <w:color w:val="auto"/>
          <w:sz w:val="32"/>
          <w:szCs w:val="32"/>
          <w:highlight w:val="none"/>
        </w:rPr>
        <w:t xml:space="preserve">第四章 </w:t>
      </w:r>
      <w:bookmarkEnd w:id="97"/>
      <w:r>
        <w:rPr>
          <w:rFonts w:hint="eastAsia" w:ascii="宋体" w:hAnsi="宋体" w:cs="宋体"/>
          <w:b/>
          <w:color w:val="auto"/>
          <w:sz w:val="32"/>
          <w:szCs w:val="32"/>
          <w:highlight w:val="none"/>
          <w:lang w:eastAsia="zh-CN"/>
        </w:rPr>
        <w:t>采购内容及技术要求</w:t>
      </w:r>
    </w:p>
    <w:p w14:paraId="6573E9C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ind w:right="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一、项目概况</w:t>
      </w:r>
    </w:p>
    <w:p w14:paraId="020372FF">
      <w:pPr>
        <w:keepNext w:val="0"/>
        <w:keepLines w:val="0"/>
        <w:pageBreakBefore w:val="0"/>
        <w:widowControl w:val="0"/>
        <w:kinsoku/>
        <w:wordWrap/>
        <w:overflowPunct/>
        <w:topLinePunct w:val="0"/>
        <w:autoSpaceDE/>
        <w:autoSpaceDN/>
        <w:bidi w:val="0"/>
        <w:adjustRightInd/>
        <w:snapToGrid/>
        <w:spacing w:line="480" w:lineRule="exact"/>
        <w:ind w:right="0"/>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1.1 项目背景</w:t>
      </w:r>
    </w:p>
    <w:p w14:paraId="3A222AEE">
      <w:pPr>
        <w:keepNext w:val="0"/>
        <w:keepLines w:val="0"/>
        <w:pageBreakBefore w:val="0"/>
        <w:widowControl w:val="0"/>
        <w:kinsoku/>
        <w:wordWrap/>
        <w:overflowPunct/>
        <w:topLinePunct w:val="0"/>
        <w:autoSpaceDE/>
        <w:autoSpaceDN/>
        <w:bidi w:val="0"/>
        <w:adjustRightInd/>
        <w:snapToGrid/>
        <w:spacing w:line="480" w:lineRule="exact"/>
        <w:ind w:right="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当前安徽省高速公路ETC、MTC车道通行以实体ETC卡、现金、移动支付为主，无卡线上行程码通行模式尚未全线落地。明巢、来六、滁合三条高速现有收费车道、门架识别设备、收费站后台收费系统不满足交通运输部“手机 +”无卡便捷通行规范要求，存在入口无动态二维码展示、门架后向车牌识别缺失、收费系统不支持手机行程码核销计费问题。为落实全国高速公路无卡化通行改造政策，实现车辆无需实体ETC卡，仅通过手机展示动态行程码完成入口登记、途中门架路径拟合、出口自动计费扣费全流程通行，对三条高速全线车道硬件、门架识别设备、收费站收费系统、后台服务器、配套运维培训实施一体化升级改造。</w:t>
      </w:r>
    </w:p>
    <w:p w14:paraId="25CE3FB4">
      <w:pPr>
        <w:keepNext w:val="0"/>
        <w:keepLines w:val="0"/>
        <w:pageBreakBefore w:val="0"/>
        <w:widowControl w:val="0"/>
        <w:kinsoku/>
        <w:wordWrap/>
        <w:overflowPunct/>
        <w:topLinePunct w:val="0"/>
        <w:autoSpaceDE/>
        <w:autoSpaceDN/>
        <w:bidi w:val="0"/>
        <w:adjustRightInd/>
        <w:snapToGrid/>
        <w:spacing w:line="480" w:lineRule="exact"/>
        <w:ind w:right="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1.2 覆盖路段范围</w:t>
      </w:r>
    </w:p>
    <w:p w14:paraId="1EE432E7">
      <w:pPr>
        <w:keepNext w:val="0"/>
        <w:keepLines w:val="0"/>
        <w:pageBreakBefore w:val="0"/>
        <w:widowControl w:val="0"/>
        <w:kinsoku/>
        <w:wordWrap/>
        <w:overflowPunct/>
        <w:topLinePunct w:val="0"/>
        <w:autoSpaceDE/>
        <w:autoSpaceDN/>
        <w:bidi w:val="0"/>
        <w:adjustRightInd/>
        <w:snapToGrid/>
        <w:spacing w:line="480" w:lineRule="exact"/>
        <w:ind w:right="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明巢高速</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来六高速</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滁合高速。</w:t>
      </w:r>
    </w:p>
    <w:p w14:paraId="4F53BEC3">
      <w:pPr>
        <w:keepNext w:val="0"/>
        <w:keepLines w:val="0"/>
        <w:pageBreakBefore w:val="0"/>
        <w:widowControl w:val="0"/>
        <w:kinsoku/>
        <w:wordWrap/>
        <w:overflowPunct/>
        <w:topLinePunct w:val="0"/>
        <w:autoSpaceDE/>
        <w:autoSpaceDN/>
        <w:bidi w:val="0"/>
        <w:adjustRightInd/>
        <w:snapToGrid/>
        <w:spacing w:line="480" w:lineRule="exact"/>
        <w:ind w:right="0"/>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1.3 项目整体工期要求</w:t>
      </w:r>
    </w:p>
    <w:p w14:paraId="69BEEBEE">
      <w:pPr>
        <w:keepNext w:val="0"/>
        <w:keepLines w:val="0"/>
        <w:pageBreakBefore w:val="0"/>
        <w:widowControl w:val="0"/>
        <w:kinsoku/>
        <w:wordWrap/>
        <w:overflowPunct/>
        <w:topLinePunct w:val="0"/>
        <w:autoSpaceDE/>
        <w:autoSpaceDN/>
        <w:bidi w:val="0"/>
        <w:adjustRightInd/>
        <w:snapToGrid/>
        <w:spacing w:line="480" w:lineRule="exact"/>
        <w:ind w:right="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2026年9月底：完成出入口站级系统软硬件改造，具备开展相关业务处理能力和测试条件；</w:t>
      </w:r>
    </w:p>
    <w:p w14:paraId="540B87D7">
      <w:pPr>
        <w:keepNext w:val="0"/>
        <w:keepLines w:val="0"/>
        <w:pageBreakBefore w:val="0"/>
        <w:widowControl w:val="0"/>
        <w:kinsoku/>
        <w:wordWrap/>
        <w:overflowPunct/>
        <w:topLinePunct w:val="0"/>
        <w:autoSpaceDE/>
        <w:autoSpaceDN/>
        <w:bidi w:val="0"/>
        <w:adjustRightInd/>
        <w:snapToGrid/>
        <w:spacing w:line="480" w:lineRule="exact"/>
        <w:ind w:right="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2026年</w:t>
      </w:r>
      <w:r>
        <w:rPr>
          <w:rFonts w:hint="eastAsia" w:ascii="宋体" w:hAnsi="宋体" w:eastAsia="宋体" w:cs="宋体"/>
          <w:b w:val="0"/>
          <w:bCs/>
          <w:strike w:val="0"/>
          <w:dstrike w:val="0"/>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月底：实现省内路网联网联调</w:t>
      </w:r>
      <w:r>
        <w:rPr>
          <w:rFonts w:hint="eastAsia" w:ascii="宋体" w:hAnsi="宋体" w:cs="宋体"/>
          <w:b w:val="0"/>
          <w:bCs/>
          <w:color w:val="auto"/>
          <w:sz w:val="21"/>
          <w:szCs w:val="21"/>
          <w:highlight w:val="none"/>
          <w:lang w:val="en-US" w:eastAsia="zh-CN"/>
        </w:rPr>
        <w:t>，迭代系统功能和优化配置站级系统资源，开展实车测试，为全国并网测试做好准备</w:t>
      </w:r>
      <w:r>
        <w:rPr>
          <w:rFonts w:hint="eastAsia" w:ascii="宋体" w:hAnsi="宋体" w:eastAsia="宋体" w:cs="宋体"/>
          <w:b w:val="0"/>
          <w:bCs/>
          <w:color w:val="auto"/>
          <w:sz w:val="21"/>
          <w:szCs w:val="21"/>
          <w:highlight w:val="none"/>
          <w:lang w:val="en-US" w:eastAsia="zh-CN"/>
        </w:rPr>
        <w:t>；</w:t>
      </w:r>
    </w:p>
    <w:p w14:paraId="7A5BAF9C">
      <w:pPr>
        <w:keepNext w:val="0"/>
        <w:keepLines w:val="0"/>
        <w:pageBreakBefore w:val="0"/>
        <w:widowControl w:val="0"/>
        <w:kinsoku/>
        <w:wordWrap/>
        <w:overflowPunct/>
        <w:topLinePunct w:val="0"/>
        <w:autoSpaceDE/>
        <w:autoSpaceDN/>
        <w:bidi w:val="0"/>
        <w:adjustRightInd/>
        <w:snapToGrid/>
        <w:spacing w:line="480" w:lineRule="exact"/>
        <w:ind w:right="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2026年11月底：完成全线收费、门架系统培训，系统具备全国并网测试条件；</w:t>
      </w:r>
    </w:p>
    <w:p w14:paraId="7AAEBB35">
      <w:pPr>
        <w:keepNext w:val="0"/>
        <w:keepLines w:val="0"/>
        <w:pageBreakBefore w:val="0"/>
        <w:widowControl w:val="0"/>
        <w:kinsoku/>
        <w:wordWrap/>
        <w:overflowPunct/>
        <w:topLinePunct w:val="0"/>
        <w:autoSpaceDE/>
        <w:autoSpaceDN/>
        <w:bidi w:val="0"/>
        <w:adjustRightInd/>
        <w:snapToGrid/>
        <w:spacing w:line="480" w:lineRule="exact"/>
        <w:ind w:right="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2026年12月底：配合交通运输部完成全流程测试评估，“手机 +”无卡通行功能正式上线稳定运行。</w:t>
      </w:r>
    </w:p>
    <w:p w14:paraId="40C55B55">
      <w:pPr>
        <w:keepNext w:val="0"/>
        <w:keepLines w:val="0"/>
        <w:pageBreakBefore w:val="0"/>
        <w:widowControl w:val="0"/>
        <w:kinsoku/>
        <w:wordWrap/>
        <w:overflowPunct/>
        <w:topLinePunct w:val="0"/>
        <w:autoSpaceDE/>
        <w:autoSpaceDN/>
        <w:bidi w:val="0"/>
        <w:adjustRightInd/>
        <w:snapToGrid/>
        <w:spacing w:line="480" w:lineRule="exact"/>
        <w:ind w:right="0"/>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1.4 项目实施边界</w:t>
      </w:r>
    </w:p>
    <w:p w14:paraId="777C588C">
      <w:pPr>
        <w:keepNext w:val="0"/>
        <w:keepLines w:val="0"/>
        <w:pageBreakBefore w:val="0"/>
        <w:widowControl w:val="0"/>
        <w:kinsoku/>
        <w:wordWrap/>
        <w:overflowPunct/>
        <w:topLinePunct w:val="0"/>
        <w:autoSpaceDE/>
        <w:autoSpaceDN/>
        <w:bidi w:val="0"/>
        <w:adjustRightInd/>
        <w:snapToGrid/>
        <w:spacing w:line="480" w:lineRule="exact"/>
        <w:ind w:right="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本项目为交钥匙一体化改造工程，包含硬件设备供货、运输、安装、布线、调试、软件系统升级、服务器利旧改造、网络开通、联调测试、人员培训、系统切换保障、3年免费质保，不含收费站土建、机房装修、电力主线扩容，原有电力、机房基础环境由招标人提供。</w:t>
      </w:r>
    </w:p>
    <w:p w14:paraId="1893F825">
      <w:pPr>
        <w:keepNext w:val="0"/>
        <w:keepLines w:val="0"/>
        <w:pageBreakBefore w:val="0"/>
        <w:widowControl w:val="0"/>
        <w:numPr>
          <w:ilvl w:val="0"/>
          <w:numId w:val="9"/>
        </w:numPr>
        <w:kinsoku/>
        <w:wordWrap/>
        <w:overflowPunct/>
        <w:topLinePunct w:val="0"/>
        <w:autoSpaceDE/>
        <w:autoSpaceDN/>
        <w:bidi w:val="0"/>
        <w:adjustRightInd/>
        <w:snapToGrid/>
        <w:spacing w:before="157" w:beforeLines="50" w:after="157" w:afterLines="50" w:line="480" w:lineRule="exact"/>
        <w:ind w:right="0"/>
        <w:textAlignment w:val="auto"/>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采购内容</w:t>
      </w:r>
    </w:p>
    <w:p w14:paraId="263B3A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ind w:right="0" w:rightChars="0"/>
        <w:jc w:val="center"/>
        <w:textAlignment w:val="auto"/>
        <w:rPr>
          <w:rFonts w:hint="eastAsia" w:ascii="宋体" w:hAnsi="宋体" w:cs="宋体"/>
          <w:b/>
          <w:bCs/>
          <w:color w:val="auto"/>
          <w:sz w:val="28"/>
          <w:szCs w:val="28"/>
          <w:highlight w:val="none"/>
          <w:lang w:val="en-US" w:eastAsia="zh-CN"/>
        </w:rPr>
      </w:pPr>
    </w:p>
    <w:p w14:paraId="6EBD2E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ind w:right="0" w:rightChars="0"/>
        <w:jc w:val="center"/>
        <w:textAlignment w:val="auto"/>
        <w:rPr>
          <w:rFonts w:hint="eastAsia" w:ascii="宋体" w:hAnsi="宋体" w:cs="宋体"/>
          <w:b/>
          <w:bCs/>
          <w:color w:val="auto"/>
          <w:sz w:val="28"/>
          <w:szCs w:val="28"/>
          <w:highlight w:val="none"/>
          <w:lang w:val="en-US" w:eastAsia="zh-CN"/>
        </w:rPr>
      </w:pPr>
    </w:p>
    <w:p w14:paraId="5154C1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ind w:right="0" w:rightChars="0"/>
        <w:jc w:val="center"/>
        <w:textAlignment w:val="auto"/>
        <w:rPr>
          <w:rFonts w:hint="eastAsia" w:ascii="宋体" w:hAnsi="宋体" w:cs="宋体"/>
          <w:b/>
          <w:bCs/>
          <w:color w:val="auto"/>
          <w:sz w:val="28"/>
          <w:szCs w:val="28"/>
          <w:highlight w:val="none"/>
          <w:lang w:val="en-US" w:eastAsia="zh-CN"/>
        </w:rPr>
      </w:pPr>
    </w:p>
    <w:p w14:paraId="2D2C58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ind w:right="0" w:rightChars="0"/>
        <w:jc w:val="center"/>
        <w:textAlignment w:val="auto"/>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《采购清单》</w:t>
      </w:r>
    </w:p>
    <w:tbl>
      <w:tblPr>
        <w:tblStyle w:val="35"/>
        <w:tblW w:w="10181"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600"/>
        <w:gridCol w:w="4818"/>
        <w:gridCol w:w="655"/>
        <w:gridCol w:w="675"/>
        <w:gridCol w:w="1762"/>
      </w:tblGrid>
      <w:tr w14:paraId="3F59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671" w:type="dxa"/>
            <w:shd w:val="clear" w:color="auto" w:fill="D0CECE"/>
            <w:noWrap w:val="0"/>
            <w:vAlign w:val="center"/>
          </w:tcPr>
          <w:p w14:paraId="4AD192A6">
            <w:pPr>
              <w:keepNext w:val="0"/>
              <w:keepLines w:val="0"/>
              <w:pageBreakBefore w:val="0"/>
              <w:kinsoku/>
              <w:wordWrap w:val="0"/>
              <w:overflowPunct/>
              <w:topLinePunct w:val="0"/>
              <w:autoSpaceDE/>
              <w:autoSpaceDN/>
              <w:bidi w:val="0"/>
              <w:adjustRightInd/>
              <w:snapToGrid/>
              <w:spacing w:line="440" w:lineRule="exact"/>
              <w:jc w:val="center"/>
              <w:textAlignment w:val="center"/>
              <w:rPr>
                <w:rFonts w:ascii="微软雅黑" w:hAnsi="微软雅黑" w:eastAsia="微软雅黑" w:cs="微软雅黑"/>
                <w:b/>
                <w:bCs/>
                <w:color w:val="auto"/>
                <w:szCs w:val="21"/>
                <w:highlight w:val="none"/>
              </w:rPr>
            </w:pPr>
            <w:r>
              <w:rPr>
                <w:rFonts w:hint="eastAsia" w:ascii="微软雅黑" w:hAnsi="微软雅黑" w:eastAsia="微软雅黑" w:cs="微软雅黑"/>
                <w:b/>
                <w:bCs/>
                <w:color w:val="auto"/>
                <w:szCs w:val="21"/>
                <w:highlight w:val="none"/>
                <w:lang w:bidi="ar"/>
              </w:rPr>
              <w:t>序号</w:t>
            </w:r>
          </w:p>
        </w:tc>
        <w:tc>
          <w:tcPr>
            <w:tcW w:w="1600" w:type="dxa"/>
            <w:shd w:val="clear" w:color="auto" w:fill="D0CECE"/>
            <w:noWrap/>
            <w:vAlign w:val="center"/>
          </w:tcPr>
          <w:p w14:paraId="663F8B8D">
            <w:pPr>
              <w:keepNext w:val="0"/>
              <w:keepLines w:val="0"/>
              <w:pageBreakBefore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szCs w:val="21"/>
                <w:highlight w:val="none"/>
                <w:lang w:bidi="ar"/>
              </w:rPr>
              <w:t>产品</w:t>
            </w:r>
          </w:p>
        </w:tc>
        <w:tc>
          <w:tcPr>
            <w:tcW w:w="4818" w:type="dxa"/>
            <w:shd w:val="clear" w:color="auto" w:fill="D0CECE"/>
            <w:noWrap/>
            <w:vAlign w:val="center"/>
          </w:tcPr>
          <w:p w14:paraId="33C8AFE1">
            <w:pPr>
              <w:keepNext w:val="0"/>
              <w:keepLines w:val="0"/>
              <w:pageBreakBefore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szCs w:val="21"/>
                <w:highlight w:val="none"/>
                <w:lang w:bidi="ar"/>
              </w:rPr>
              <w:t>技术参数</w:t>
            </w:r>
          </w:p>
        </w:tc>
        <w:tc>
          <w:tcPr>
            <w:tcW w:w="655" w:type="dxa"/>
            <w:shd w:val="clear" w:color="auto" w:fill="D0CECE"/>
            <w:noWrap/>
            <w:vAlign w:val="center"/>
          </w:tcPr>
          <w:p w14:paraId="72AFD418">
            <w:pPr>
              <w:keepNext w:val="0"/>
              <w:keepLines w:val="0"/>
              <w:pageBreakBefore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szCs w:val="21"/>
                <w:highlight w:val="none"/>
              </w:rPr>
              <w:t>单位</w:t>
            </w:r>
          </w:p>
        </w:tc>
        <w:tc>
          <w:tcPr>
            <w:tcW w:w="675" w:type="dxa"/>
            <w:shd w:val="clear" w:color="auto" w:fill="D0CECE"/>
            <w:noWrap/>
            <w:vAlign w:val="center"/>
          </w:tcPr>
          <w:p w14:paraId="57DB0E33">
            <w:pPr>
              <w:keepNext w:val="0"/>
              <w:keepLines w:val="0"/>
              <w:pageBreakBefore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bCs/>
                <w:color w:val="auto"/>
                <w:szCs w:val="21"/>
                <w:highlight w:val="none"/>
              </w:rPr>
            </w:pPr>
            <w:r>
              <w:rPr>
                <w:rFonts w:hint="eastAsia" w:ascii="微软雅黑" w:hAnsi="微软雅黑" w:eastAsia="微软雅黑" w:cs="微软雅黑"/>
                <w:b/>
                <w:bCs/>
                <w:color w:val="auto"/>
                <w:szCs w:val="21"/>
                <w:highlight w:val="none"/>
                <w:lang w:bidi="ar"/>
              </w:rPr>
              <w:t>数量</w:t>
            </w:r>
          </w:p>
        </w:tc>
        <w:tc>
          <w:tcPr>
            <w:tcW w:w="1762" w:type="dxa"/>
            <w:shd w:val="clear" w:color="auto" w:fill="D0CECE"/>
            <w:noWrap/>
            <w:vAlign w:val="center"/>
          </w:tcPr>
          <w:p w14:paraId="4BAF6AC8">
            <w:pPr>
              <w:keepNext w:val="0"/>
              <w:keepLines w:val="0"/>
              <w:pageBreakBefore w:val="0"/>
              <w:kinsoku/>
              <w:wordWrap w:val="0"/>
              <w:overflowPunct/>
              <w:topLinePunct w:val="0"/>
              <w:autoSpaceDE/>
              <w:autoSpaceDN/>
              <w:bidi w:val="0"/>
              <w:adjustRightInd/>
              <w:snapToGrid/>
              <w:spacing w:line="440" w:lineRule="exact"/>
              <w:jc w:val="center"/>
              <w:textAlignment w:val="center"/>
              <w:rPr>
                <w:rFonts w:ascii="微软雅黑" w:hAnsi="微软雅黑" w:eastAsia="微软雅黑" w:cs="微软雅黑"/>
                <w:b/>
                <w:bCs/>
                <w:color w:val="auto"/>
                <w:szCs w:val="21"/>
                <w:highlight w:val="none"/>
                <w:lang w:bidi="ar"/>
              </w:rPr>
            </w:pPr>
            <w:r>
              <w:rPr>
                <w:rFonts w:hint="eastAsia" w:ascii="微软雅黑" w:hAnsi="微软雅黑" w:eastAsia="微软雅黑" w:cs="微软雅黑"/>
                <w:b/>
                <w:bCs/>
                <w:color w:val="auto"/>
                <w:szCs w:val="21"/>
                <w:highlight w:val="none"/>
                <w:lang w:bidi="ar"/>
              </w:rPr>
              <w:t>备注</w:t>
            </w:r>
          </w:p>
        </w:tc>
      </w:tr>
      <w:tr w14:paraId="4E5C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0181" w:type="dxa"/>
            <w:gridSpan w:val="6"/>
            <w:shd w:val="clear" w:color="auto" w:fill="D0CECE"/>
            <w:noWrap w:val="0"/>
            <w:vAlign w:val="center"/>
          </w:tcPr>
          <w:p w14:paraId="7DF35320">
            <w:pPr>
              <w:keepNext w:val="0"/>
              <w:keepLines w:val="0"/>
              <w:pageBreakBefore w:val="0"/>
              <w:tabs>
                <w:tab w:val="left" w:pos="9403"/>
              </w:tabs>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bCs/>
                <w:color w:val="auto"/>
                <w:szCs w:val="21"/>
                <w:highlight w:val="none"/>
                <w:lang w:bidi="ar"/>
              </w:rPr>
            </w:pPr>
            <w:r>
              <w:rPr>
                <w:rFonts w:hint="eastAsia" w:ascii="微软雅黑" w:hAnsi="微软雅黑" w:eastAsia="微软雅黑" w:cs="微软雅黑"/>
                <w:b/>
                <w:bCs/>
                <w:color w:val="auto"/>
                <w:szCs w:val="21"/>
                <w:highlight w:val="none"/>
                <w:lang w:val="en-US" w:eastAsia="zh-CN" w:bidi="ar"/>
              </w:rPr>
              <w:t>一、</w:t>
            </w:r>
            <w:r>
              <w:rPr>
                <w:rFonts w:hint="eastAsia" w:ascii="微软雅黑" w:hAnsi="微软雅黑" w:eastAsia="微软雅黑" w:cs="微软雅黑"/>
                <w:b/>
                <w:bCs/>
                <w:color w:val="auto"/>
                <w:szCs w:val="21"/>
                <w:highlight w:val="none"/>
                <w:lang w:bidi="ar"/>
              </w:rPr>
              <w:t>车道设备</w:t>
            </w:r>
          </w:p>
        </w:tc>
      </w:tr>
      <w:tr w14:paraId="7B2D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2763CAC4">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600" w:type="dxa"/>
            <w:noWrap/>
            <w:vAlign w:val="center"/>
          </w:tcPr>
          <w:p w14:paraId="773571FE">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入口发卡机手机+业务升级</w:t>
            </w:r>
          </w:p>
        </w:tc>
        <w:tc>
          <w:tcPr>
            <w:tcW w:w="4818" w:type="dxa"/>
            <w:noWrap/>
            <w:vAlign w:val="center"/>
          </w:tcPr>
          <w:p w14:paraId="556D1D8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top"/>
              <w:rPr>
                <w:rFonts w:hint="eastAsia"/>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对入口发卡机固件升级进行改造，完成软件适配、接口联调和显示优化，使外屏支持显示动态二维码。</w:t>
            </w:r>
          </w:p>
        </w:tc>
        <w:tc>
          <w:tcPr>
            <w:tcW w:w="655" w:type="dxa"/>
            <w:noWrap/>
            <w:vAlign w:val="center"/>
          </w:tcPr>
          <w:p w14:paraId="10FE092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75" w:type="dxa"/>
            <w:noWrap w:val="0"/>
            <w:vAlign w:val="center"/>
          </w:tcPr>
          <w:p w14:paraId="4B0EEA46">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762" w:type="dxa"/>
            <w:noWrap w:val="0"/>
            <w:vAlign w:val="top"/>
          </w:tcPr>
          <w:p w14:paraId="19508F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cs="宋体"/>
                <w:color w:val="auto"/>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明巢3台、来六4台、滁合2台</w:t>
            </w:r>
          </w:p>
        </w:tc>
      </w:tr>
      <w:tr w14:paraId="5C8E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6C21FB1C">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600" w:type="dxa"/>
            <w:noWrap/>
            <w:vAlign w:val="center"/>
          </w:tcPr>
          <w:p w14:paraId="69595B66">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自助交费机手机+业务升级</w:t>
            </w:r>
          </w:p>
        </w:tc>
        <w:tc>
          <w:tcPr>
            <w:tcW w:w="4818" w:type="dxa"/>
            <w:noWrap/>
            <w:vAlign w:val="center"/>
          </w:tcPr>
          <w:p w14:paraId="420A9B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top"/>
              <w:rPr>
                <w:rFonts w:hint="eastAsia"/>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对自助缴费机固件进行升级改造，设备在支持移动支付的同时，支持识别手机+用户展示的行程码。</w:t>
            </w:r>
          </w:p>
        </w:tc>
        <w:tc>
          <w:tcPr>
            <w:tcW w:w="655" w:type="dxa"/>
            <w:noWrap/>
            <w:vAlign w:val="center"/>
          </w:tcPr>
          <w:p w14:paraId="2643284D">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75" w:type="dxa"/>
            <w:noWrap w:val="0"/>
            <w:vAlign w:val="center"/>
          </w:tcPr>
          <w:p w14:paraId="5BB33CF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762" w:type="dxa"/>
            <w:noWrap w:val="0"/>
            <w:vAlign w:val="center"/>
          </w:tcPr>
          <w:p w14:paraId="0B0B2A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cs="宋体"/>
                <w:color w:val="auto"/>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明巢3台、来六4台、滁合2台</w:t>
            </w:r>
          </w:p>
        </w:tc>
      </w:tr>
      <w:tr w14:paraId="2E76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1B88D63A">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600" w:type="dxa"/>
            <w:noWrap/>
            <w:vAlign w:val="center"/>
          </w:tcPr>
          <w:p w14:paraId="2B57F115">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车道手机+二维码展示设备</w:t>
            </w:r>
          </w:p>
        </w:tc>
        <w:tc>
          <w:tcPr>
            <w:tcW w:w="4818" w:type="dxa"/>
            <w:noWrap/>
            <w:vAlign w:val="top"/>
          </w:tcPr>
          <w:p w14:paraId="68D3F3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支持GB/T 18284二维码显示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二维码分辨率应不小于 256×256px</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二维码尺寸宜 不小于 16×16cm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显示屏亮度应不小于1000cd/m²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支持亮度根据光照强度动态调整</w:t>
            </w:r>
          </w:p>
        </w:tc>
        <w:tc>
          <w:tcPr>
            <w:tcW w:w="655" w:type="dxa"/>
            <w:noWrap/>
            <w:vAlign w:val="center"/>
          </w:tcPr>
          <w:p w14:paraId="2CF3C89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75" w:type="dxa"/>
            <w:noWrap w:val="0"/>
            <w:vAlign w:val="center"/>
          </w:tcPr>
          <w:p w14:paraId="17FFE458">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762" w:type="dxa"/>
            <w:noWrap w:val="0"/>
            <w:vAlign w:val="center"/>
          </w:tcPr>
          <w:p w14:paraId="1E39F3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cs="宋体"/>
                <w:color w:val="auto"/>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明巢3台</w:t>
            </w:r>
          </w:p>
        </w:tc>
      </w:tr>
      <w:tr w14:paraId="4CE9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3CCD2009">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1600" w:type="dxa"/>
            <w:noWrap/>
            <w:vAlign w:val="center"/>
          </w:tcPr>
          <w:p w14:paraId="22F1F4A0">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车道高清车牌识别设备</w:t>
            </w:r>
          </w:p>
        </w:tc>
        <w:tc>
          <w:tcPr>
            <w:tcW w:w="4818" w:type="dxa"/>
            <w:noWrap/>
            <w:vAlign w:val="top"/>
          </w:tcPr>
          <w:p w14:paraId="23CF9B96">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图像颜色：彩色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车辆捕获率不小于 100%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车道牌识准确率应不小于99.5%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输出信息：1张或2张车辆大图（可设置）、车牌彩色小图、车牌二值图、车牌颜色、车牌号码、附加信息文本等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传输接口：2个100M/1000M自适应，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平均无故障时间：MTBF≥30000h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防护等级：IP65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功耗：≤30W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工作环境温度：-40℃～+55℃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工作环境相对湿度：&lt;95%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像素≥800万；有效像素≥3840×2160</w:t>
            </w:r>
          </w:p>
        </w:tc>
        <w:tc>
          <w:tcPr>
            <w:tcW w:w="655" w:type="dxa"/>
            <w:noWrap/>
            <w:vAlign w:val="center"/>
          </w:tcPr>
          <w:p w14:paraId="0B484F22">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75" w:type="dxa"/>
            <w:noWrap w:val="0"/>
            <w:vAlign w:val="center"/>
          </w:tcPr>
          <w:p w14:paraId="1AD5947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cs="宋体"/>
                <w:i w:val="0"/>
                <w:iCs w:val="0"/>
                <w:color w:val="auto"/>
                <w:kern w:val="0"/>
                <w:sz w:val="21"/>
                <w:szCs w:val="21"/>
                <w:highlight w:val="none"/>
                <w:u w:val="none"/>
                <w:lang w:val="en-US" w:eastAsia="zh-CN" w:bidi="ar"/>
              </w:rPr>
              <w:t>6</w:t>
            </w:r>
          </w:p>
        </w:tc>
        <w:tc>
          <w:tcPr>
            <w:tcW w:w="1762" w:type="dxa"/>
            <w:noWrap w:val="0"/>
            <w:vAlign w:val="center"/>
          </w:tcPr>
          <w:p w14:paraId="2FE862C6">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来六</w:t>
            </w: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台、滁合</w:t>
            </w: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台</w:t>
            </w:r>
          </w:p>
        </w:tc>
      </w:tr>
      <w:tr w14:paraId="1BB5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56388A4A">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1600" w:type="dxa"/>
            <w:noWrap/>
            <w:vAlign w:val="center"/>
          </w:tcPr>
          <w:p w14:paraId="57884107">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扫码枪</w:t>
            </w:r>
          </w:p>
        </w:tc>
        <w:tc>
          <w:tcPr>
            <w:tcW w:w="4818" w:type="dxa"/>
            <w:noWrap/>
            <w:vAlign w:val="top"/>
          </w:tcPr>
          <w:p w14:paraId="4A49DF91">
            <w:pPr>
              <w:keepNext w:val="0"/>
              <w:keepLines w:val="0"/>
              <w:pageBreakBefore w:val="0"/>
              <w:widowControl/>
              <w:kinsoku/>
              <w:wordWrap/>
              <w:overflowPunct/>
              <w:topLinePunct w:val="0"/>
              <w:autoSpaceDE/>
              <w:autoSpaceDN/>
              <w:bidi w:val="0"/>
              <w:adjustRightInd/>
              <w:snapToGrid/>
              <w:spacing w:line="280" w:lineRule="exact"/>
              <w:jc w:val="left"/>
              <w:rPr>
                <w:rFonts w:hint="eastAsia"/>
                <w:color w:val="auto"/>
                <w:sz w:val="21"/>
                <w:szCs w:val="21"/>
                <w:highlight w:val="none"/>
              </w:rPr>
            </w:pPr>
            <w:r>
              <w:rPr>
                <w:rFonts w:hint="eastAsia"/>
                <w:color w:val="auto"/>
                <w:sz w:val="21"/>
                <w:szCs w:val="21"/>
                <w:highlight w:val="none"/>
              </w:rPr>
              <w:t>分辨率：200 万像素；扫码距离：0.2-1.0m</w:t>
            </w:r>
          </w:p>
          <w:p w14:paraId="360DD9BE">
            <w:pPr>
              <w:keepNext w:val="0"/>
              <w:keepLines w:val="0"/>
              <w:pageBreakBefore w:val="0"/>
              <w:widowControl/>
              <w:kinsoku/>
              <w:wordWrap/>
              <w:overflowPunct/>
              <w:topLinePunct w:val="0"/>
              <w:autoSpaceDE/>
              <w:autoSpaceDN/>
              <w:bidi w:val="0"/>
              <w:adjustRightInd/>
              <w:snapToGrid/>
              <w:spacing w:line="280" w:lineRule="exact"/>
              <w:jc w:val="left"/>
              <w:rPr>
                <w:rFonts w:hint="eastAsia"/>
                <w:color w:val="auto"/>
                <w:sz w:val="21"/>
                <w:szCs w:val="21"/>
                <w:highlight w:val="none"/>
              </w:rPr>
            </w:pPr>
            <w:r>
              <w:rPr>
                <w:rFonts w:hint="eastAsia"/>
                <w:color w:val="auto"/>
                <w:sz w:val="21"/>
                <w:szCs w:val="21"/>
                <w:highlight w:val="none"/>
              </w:rPr>
              <w:t>支持移动支付的同时，需支持识别手机+用户展示的行程码。</w:t>
            </w:r>
          </w:p>
        </w:tc>
        <w:tc>
          <w:tcPr>
            <w:tcW w:w="655" w:type="dxa"/>
            <w:noWrap/>
            <w:vAlign w:val="center"/>
          </w:tcPr>
          <w:p w14:paraId="05E2AF8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75" w:type="dxa"/>
            <w:noWrap w:val="0"/>
            <w:vAlign w:val="center"/>
          </w:tcPr>
          <w:p w14:paraId="5B38FA8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762" w:type="dxa"/>
            <w:noWrap w:val="0"/>
            <w:vAlign w:val="center"/>
          </w:tcPr>
          <w:p w14:paraId="5F1C3C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cs="宋体"/>
                <w:color w:val="auto"/>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明巢6台、滁合1台、来六4台</w:t>
            </w:r>
          </w:p>
        </w:tc>
      </w:tr>
      <w:tr w14:paraId="2CC5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42ED1B15">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1600" w:type="dxa"/>
            <w:noWrap/>
            <w:vAlign w:val="center"/>
          </w:tcPr>
          <w:p w14:paraId="3EE2B209">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移动支付机具升级</w:t>
            </w:r>
          </w:p>
        </w:tc>
        <w:tc>
          <w:tcPr>
            <w:tcW w:w="4818" w:type="dxa"/>
            <w:noWrap/>
            <w:vAlign w:val="top"/>
          </w:tcPr>
          <w:p w14:paraId="6D5C21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支持移动支付的同时，需支持识别手机+用户展示的行程码。</w:t>
            </w:r>
          </w:p>
        </w:tc>
        <w:tc>
          <w:tcPr>
            <w:tcW w:w="655" w:type="dxa"/>
            <w:noWrap/>
            <w:vAlign w:val="center"/>
          </w:tcPr>
          <w:p w14:paraId="66898BF4">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75" w:type="dxa"/>
            <w:noWrap w:val="0"/>
            <w:vAlign w:val="center"/>
          </w:tcPr>
          <w:p w14:paraId="6F4C7B0C">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1762" w:type="dxa"/>
            <w:noWrap w:val="0"/>
            <w:vAlign w:val="center"/>
          </w:tcPr>
          <w:p w14:paraId="65D1F6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cs="宋体"/>
                <w:color w:val="auto"/>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滁合1台、明巢6台、来六4台</w:t>
            </w:r>
          </w:p>
        </w:tc>
      </w:tr>
      <w:tr w14:paraId="0A25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0181" w:type="dxa"/>
            <w:gridSpan w:val="6"/>
            <w:noWrap/>
            <w:vAlign w:val="center"/>
          </w:tcPr>
          <w:p w14:paraId="7C42F0F6">
            <w:pPr>
              <w:keepNext w:val="0"/>
              <w:keepLines w:val="0"/>
              <w:pageBreakBefore w:val="0"/>
              <w:tabs>
                <w:tab w:val="left" w:pos="9403"/>
              </w:tabs>
              <w:kinsoku/>
              <w:wordWrap w:val="0"/>
              <w:overflowPunct/>
              <w:topLinePunct w:val="0"/>
              <w:autoSpaceDE/>
              <w:autoSpaceDN/>
              <w:bidi w:val="0"/>
              <w:adjustRightInd/>
              <w:snapToGrid/>
              <w:spacing w:line="440" w:lineRule="exact"/>
              <w:jc w:val="center"/>
              <w:textAlignment w:val="center"/>
              <w:rPr>
                <w:rFonts w:hint="default" w:ascii="宋体" w:hAnsi="宋体" w:eastAsia="宋体" w:cs="宋体"/>
                <w:color w:val="auto"/>
                <w:szCs w:val="21"/>
                <w:highlight w:val="none"/>
                <w:lang w:val="en-US" w:eastAsia="zh-CN"/>
              </w:rPr>
            </w:pPr>
            <w:r>
              <w:rPr>
                <w:rFonts w:hint="eastAsia" w:ascii="微软雅黑" w:hAnsi="微软雅黑" w:eastAsia="微软雅黑" w:cs="微软雅黑"/>
                <w:b/>
                <w:bCs/>
                <w:color w:val="auto"/>
                <w:szCs w:val="21"/>
                <w:highlight w:val="none"/>
                <w:shd w:val="clear" w:color="FFFFFF" w:fill="D9D9D9"/>
                <w:lang w:val="en-US" w:eastAsia="zh-CN" w:bidi="ar"/>
              </w:rPr>
              <w:t>二、门架设备</w:t>
            </w:r>
          </w:p>
        </w:tc>
      </w:tr>
      <w:tr w14:paraId="0340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086A625E">
            <w:pPr>
              <w:keepNext w:val="0"/>
              <w:keepLines w:val="0"/>
              <w:pageBreakBefore w:val="0"/>
              <w:kinsoku/>
              <w:overflowPunct/>
              <w:topLinePunct w:val="0"/>
              <w:autoSpaceDE/>
              <w:autoSpaceDN/>
              <w:bidi w:val="0"/>
              <w:adjustRightInd/>
              <w:snapToGrid/>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600" w:type="dxa"/>
            <w:noWrap/>
            <w:vAlign w:val="center"/>
          </w:tcPr>
          <w:p w14:paraId="3B58843B">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门架高清车牌识别设备（后向）</w:t>
            </w:r>
          </w:p>
        </w:tc>
        <w:tc>
          <w:tcPr>
            <w:tcW w:w="4818" w:type="dxa"/>
            <w:noWrap/>
            <w:vAlign w:val="center"/>
          </w:tcPr>
          <w:p w14:paraId="58696C8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1.具备车牌图像识别功能；</w:t>
            </w:r>
          </w:p>
          <w:p w14:paraId="059F8A4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2.输出图片类型 :全景图、车牌图、二值图；</w:t>
            </w:r>
          </w:p>
          <w:p w14:paraId="686893C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3.触发方式 :视频触发、RS-485 触发、外部 I/O 触发、网络触发；</w:t>
            </w:r>
          </w:p>
          <w:p w14:paraId="1B3F04B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4.支持对工作状态检测的应答；</w:t>
            </w:r>
          </w:p>
          <w:p w14:paraId="1391527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5.支持补光灯同步补光；</w:t>
            </w:r>
          </w:p>
          <w:p w14:paraId="1F29981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6.支持补光灯状态检测；</w:t>
            </w:r>
          </w:p>
          <w:p w14:paraId="348F510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7.支持断网时本地存储；</w:t>
            </w:r>
          </w:p>
          <w:p w14:paraId="3CA168F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8.内嵌实时时钟，具备远程校时功能；</w:t>
            </w:r>
          </w:p>
          <w:p w14:paraId="7716ED5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9.含有电源、网络等接口防雷模块；</w:t>
            </w:r>
          </w:p>
          <w:p w14:paraId="43C031B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10.宜支持车辆特征检测，如车身颜色、车辆品牌标志等。</w:t>
            </w:r>
          </w:p>
          <w:p w14:paraId="24102A0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11.车牌图像识别设备应满足以下性能要求：</w:t>
            </w:r>
          </w:p>
          <w:p w14:paraId="4C1DBB3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图像颜色：彩色</w:t>
            </w:r>
          </w:p>
          <w:p w14:paraId="7D287F4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像素： ≥900 万</w:t>
            </w:r>
          </w:p>
          <w:p w14:paraId="5A24BD4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抓拍图像及车牌识别时间： ≤0.1s</w:t>
            </w:r>
          </w:p>
          <w:p w14:paraId="76AA373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车辆捕获率： ≥100%</w:t>
            </w:r>
          </w:p>
          <w:p w14:paraId="09BF11C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车牌图像识别准确率： ≥98%；</w:t>
            </w:r>
          </w:p>
          <w:p w14:paraId="4F7516B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传输接口：RJ45，100M/1000M 自适应， 以太网；</w:t>
            </w:r>
          </w:p>
          <w:p w14:paraId="2A422E4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平均无故障时间：MTBF≥30000h；</w:t>
            </w:r>
          </w:p>
          <w:p w14:paraId="595D32B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防护等级：IP65；</w:t>
            </w:r>
          </w:p>
          <w:p w14:paraId="7D2B647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工作环境温度：-40℃~+55℃;</w:t>
            </w:r>
          </w:p>
          <w:p w14:paraId="69B31ED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同时应具备以下高清视频监控功能：</w:t>
            </w:r>
          </w:p>
          <w:p w14:paraId="376750F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断面车流视频监控；</w:t>
            </w:r>
          </w:p>
          <w:p w14:paraId="6CAD184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在视频图像中可有效辨识车牌；</w:t>
            </w:r>
          </w:p>
          <w:p w14:paraId="1E485AD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具备字符叠加功能，包括时间、摄像机编号、ETC 门架编号等；</w:t>
            </w:r>
          </w:p>
        </w:tc>
        <w:tc>
          <w:tcPr>
            <w:tcW w:w="655" w:type="dxa"/>
            <w:noWrap/>
            <w:vAlign w:val="center"/>
          </w:tcPr>
          <w:p w14:paraId="2A73BE3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75" w:type="dxa"/>
            <w:noWrap w:val="0"/>
            <w:vAlign w:val="center"/>
          </w:tcPr>
          <w:p w14:paraId="73E07FB4">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762" w:type="dxa"/>
            <w:noWrap w:val="0"/>
            <w:vAlign w:val="center"/>
          </w:tcPr>
          <w:p w14:paraId="704189A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明巢4套、来六6套（其中4套为省界门架）、滁合2套</w:t>
            </w:r>
          </w:p>
        </w:tc>
      </w:tr>
      <w:tr w14:paraId="4C7D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52FBB690">
            <w:pPr>
              <w:keepNext w:val="0"/>
              <w:keepLines w:val="0"/>
              <w:pageBreakBefore w:val="0"/>
              <w:kinsoku/>
              <w:overflowPunct/>
              <w:topLinePunct w:val="0"/>
              <w:autoSpaceDE/>
              <w:autoSpaceDN/>
              <w:bidi w:val="0"/>
              <w:adjustRightInd/>
              <w:snapToGrid/>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600" w:type="dxa"/>
            <w:noWrap/>
            <w:vAlign w:val="center"/>
          </w:tcPr>
          <w:p w14:paraId="19C7ACF4">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后车牌补光灯</w:t>
            </w:r>
          </w:p>
        </w:tc>
        <w:tc>
          <w:tcPr>
            <w:tcW w:w="4818" w:type="dxa"/>
            <w:noWrap/>
            <w:vAlign w:val="center"/>
          </w:tcPr>
          <w:p w14:paraId="523AF346">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采用LED补光灯，补光灯光辐射安全性应符合《视频监控系统主动照明部件光辐射安全要求》（GB/T 37958-2019）规定的0类或1类危险安全要求</w:t>
            </w:r>
            <w:r>
              <w:rPr>
                <w:rFonts w:hint="eastAsia" w:ascii="宋体" w:hAnsi="宋体" w:eastAsia="宋体" w:cs="宋体"/>
                <w:color w:val="auto"/>
                <w:sz w:val="21"/>
                <w:szCs w:val="21"/>
                <w:highlight w:val="none"/>
                <w:lang w:eastAsia="zh-CN"/>
              </w:rPr>
              <w:t>。</w:t>
            </w:r>
          </w:p>
          <w:p w14:paraId="5FC5BF3E">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采用低色温LED光源，支持频闪、LED爆闪功能，不采用气体爆闪。</w:t>
            </w:r>
          </w:p>
          <w:p w14:paraId="533DD448">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色温：2800～ 5500K</w:t>
            </w:r>
          </w:p>
          <w:p w14:paraId="15FC9ADE">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具有频率及占空比保护功能</w:t>
            </w:r>
          </w:p>
          <w:p w14:paraId="21C0798B">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具备过温保护和误触发保护功能</w:t>
            </w:r>
          </w:p>
          <w:p w14:paraId="494126E8">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eastAsia="宋体" w:cs="宋体"/>
                <w:color w:val="auto"/>
                <w:sz w:val="21"/>
                <w:szCs w:val="21"/>
                <w:highlight w:val="none"/>
                <w:lang w:eastAsia="zh-CN"/>
              </w:rPr>
              <w:t>触发方式：电平量</w:t>
            </w:r>
          </w:p>
          <w:p w14:paraId="62839C5A">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eastAsia="宋体" w:cs="宋体"/>
                <w:color w:val="auto"/>
                <w:sz w:val="21"/>
                <w:szCs w:val="21"/>
                <w:highlight w:val="none"/>
                <w:lang w:eastAsia="zh-CN"/>
              </w:rPr>
              <w:t>控制接口：1路爆闪信号输入、1路频闪信号输入</w:t>
            </w:r>
          </w:p>
          <w:p w14:paraId="55609850">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eastAsia="宋体" w:cs="宋体"/>
                <w:color w:val="auto"/>
                <w:sz w:val="21"/>
                <w:szCs w:val="21"/>
                <w:highlight w:val="none"/>
                <w:lang w:eastAsia="zh-CN"/>
              </w:rPr>
              <w:t>供电电压及适应范围：AC220V±20%</w:t>
            </w:r>
          </w:p>
          <w:p w14:paraId="458E68C0">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功耗：≤30W</w:t>
            </w:r>
          </w:p>
          <w:p w14:paraId="6DBEE344">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eastAsia="宋体" w:cs="宋体"/>
                <w:color w:val="auto"/>
                <w:sz w:val="21"/>
                <w:szCs w:val="21"/>
                <w:highlight w:val="none"/>
                <w:lang w:eastAsia="zh-CN"/>
              </w:rPr>
              <w:t>防护等级：IP65</w:t>
            </w:r>
          </w:p>
          <w:p w14:paraId="20F971E2">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eastAsia="宋体" w:cs="宋体"/>
                <w:color w:val="auto"/>
                <w:sz w:val="21"/>
                <w:szCs w:val="21"/>
                <w:highlight w:val="none"/>
                <w:lang w:eastAsia="zh-CN"/>
              </w:rPr>
              <w:t>工作环境温度：-40℃～+70℃</w:t>
            </w:r>
          </w:p>
          <w:p w14:paraId="773A605A">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eastAsia="宋体" w:cs="宋体"/>
                <w:color w:val="auto"/>
                <w:sz w:val="21"/>
                <w:szCs w:val="21"/>
                <w:highlight w:val="none"/>
                <w:lang w:eastAsia="zh-CN"/>
              </w:rPr>
              <w:t>工作环境湿度：＜90%（无凝结）</w:t>
            </w:r>
          </w:p>
          <w:p w14:paraId="2F43372B">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eastAsia="宋体" w:cs="宋体"/>
                <w:color w:val="auto"/>
                <w:sz w:val="21"/>
                <w:szCs w:val="21"/>
                <w:highlight w:val="none"/>
                <w:lang w:eastAsia="zh-CN"/>
              </w:rPr>
              <w:t>支持车牌识别摄像机信号控制。</w:t>
            </w:r>
          </w:p>
          <w:p w14:paraId="5A0CA0B6">
            <w:pPr>
              <w:keepNext w:val="0"/>
              <w:keepLines w:val="0"/>
              <w:pageBreakBefore w:val="0"/>
              <w:widowControl w:val="0"/>
              <w:kinsoku/>
              <w:wordWrap/>
              <w:overflowPunct/>
              <w:topLinePunct w:val="0"/>
              <w:autoSpaceDE/>
              <w:autoSpaceDN/>
              <w:bidi w:val="0"/>
              <w:adjustRightInd/>
              <w:snapToGrid/>
              <w:spacing w:line="280" w:lineRule="exact"/>
              <w:jc w:val="left"/>
              <w:rPr>
                <w:rFonts w:hint="eastAsia" w:ascii="宋体" w:hAnsi="宋体" w:eastAsia="宋体" w:cs="宋体"/>
                <w:color w:val="auto"/>
                <w:sz w:val="21"/>
                <w:szCs w:val="21"/>
                <w:highlight w:val="none"/>
                <w:lang w:eastAsia="zh-CN"/>
              </w:rPr>
            </w:pPr>
          </w:p>
        </w:tc>
        <w:tc>
          <w:tcPr>
            <w:tcW w:w="655" w:type="dxa"/>
            <w:noWrap/>
            <w:vAlign w:val="center"/>
          </w:tcPr>
          <w:p w14:paraId="53D0BA6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75" w:type="dxa"/>
            <w:noWrap w:val="0"/>
            <w:vAlign w:val="center"/>
          </w:tcPr>
          <w:p w14:paraId="278D1E4D">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762" w:type="dxa"/>
            <w:noWrap w:val="0"/>
            <w:vAlign w:val="center"/>
          </w:tcPr>
          <w:p w14:paraId="7B41828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后后车牌识别每个车道配置一个补光灯，明巢12台、来六24台、滁合6台</w:t>
            </w:r>
          </w:p>
        </w:tc>
      </w:tr>
      <w:tr w14:paraId="2798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181" w:type="dxa"/>
            <w:gridSpan w:val="6"/>
            <w:noWrap/>
            <w:vAlign w:val="center"/>
          </w:tcPr>
          <w:p w14:paraId="15125164">
            <w:pPr>
              <w:keepNext w:val="0"/>
              <w:keepLines w:val="0"/>
              <w:pageBreakBefore w:val="0"/>
              <w:tabs>
                <w:tab w:val="left" w:pos="9403"/>
              </w:tabs>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微软雅黑" w:hAnsi="微软雅黑" w:eastAsia="微软雅黑" w:cs="微软雅黑"/>
                <w:b/>
                <w:bCs/>
                <w:color w:val="auto"/>
                <w:szCs w:val="21"/>
                <w:highlight w:val="none"/>
                <w:shd w:val="clear" w:color="FFFFFF" w:fill="D9D9D9"/>
                <w:lang w:val="en-US" w:eastAsia="zh-CN" w:bidi="ar"/>
              </w:rPr>
              <w:t>三、收费系统手机+改造</w:t>
            </w:r>
          </w:p>
        </w:tc>
      </w:tr>
      <w:tr w14:paraId="066C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2776FB44">
            <w:pPr>
              <w:keepNext w:val="0"/>
              <w:keepLines w:val="0"/>
              <w:pageBreakBefore w:val="0"/>
              <w:kinsoku/>
              <w:overflowPunct/>
              <w:topLinePunct w:val="0"/>
              <w:autoSpaceDE/>
              <w:autoSpaceDN/>
              <w:bidi w:val="0"/>
              <w:adjustRightInd/>
              <w:snapToGrid/>
              <w:spacing w:line="44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600" w:type="dxa"/>
            <w:noWrap/>
            <w:vAlign w:val="center"/>
          </w:tcPr>
          <w:p w14:paraId="57C34BD2">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超融合集群资源重构实施</w:t>
            </w:r>
          </w:p>
        </w:tc>
        <w:tc>
          <w:tcPr>
            <w:tcW w:w="4818" w:type="dxa"/>
            <w:noWrap/>
            <w:vAlign w:val="center"/>
          </w:tcPr>
          <w:p w14:paraId="152F7F9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top"/>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复用原有超融合服务器，节点纳管、资源重构、虚拟机定制搭建。用于部署部级手机+应用模块及可行计费凭证模块，开通站省、站部网络权限。</w:t>
            </w:r>
          </w:p>
        </w:tc>
        <w:tc>
          <w:tcPr>
            <w:tcW w:w="655" w:type="dxa"/>
            <w:noWrap/>
            <w:vAlign w:val="center"/>
          </w:tcPr>
          <w:p w14:paraId="4C6C544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站</w:t>
            </w:r>
          </w:p>
        </w:tc>
        <w:tc>
          <w:tcPr>
            <w:tcW w:w="675" w:type="dxa"/>
            <w:noWrap w:val="0"/>
            <w:vAlign w:val="center"/>
          </w:tcPr>
          <w:p w14:paraId="2188EEF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762" w:type="dxa"/>
            <w:noWrap w:val="0"/>
            <w:vAlign w:val="center"/>
          </w:tcPr>
          <w:p w14:paraId="6BEA8A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滁合1台</w:t>
            </w:r>
          </w:p>
        </w:tc>
      </w:tr>
      <w:tr w14:paraId="021D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4BA4FD90">
            <w:pPr>
              <w:keepNext w:val="0"/>
              <w:keepLines w:val="0"/>
              <w:pageBreakBefore w:val="0"/>
              <w:kinsoku/>
              <w:overflowPunct/>
              <w:topLinePunct w:val="0"/>
              <w:autoSpaceDE/>
              <w:autoSpaceDN/>
              <w:bidi w:val="0"/>
              <w:adjustRightInd/>
              <w:snapToGrid/>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600" w:type="dxa"/>
            <w:noWrap/>
            <w:vAlign w:val="center"/>
          </w:tcPr>
          <w:p w14:paraId="27AFD1BF">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服务器利旧承载部级业务系统改造服务</w:t>
            </w:r>
          </w:p>
        </w:tc>
        <w:tc>
          <w:tcPr>
            <w:tcW w:w="4818" w:type="dxa"/>
            <w:noWrap/>
            <w:vAlign w:val="center"/>
          </w:tcPr>
          <w:p w14:paraId="6A419D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top"/>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现有服务器利旧，复用收费站现有服务器算力资源，部署部级手机+应用模块及可行计费凭证模块。</w:t>
            </w:r>
          </w:p>
        </w:tc>
        <w:tc>
          <w:tcPr>
            <w:tcW w:w="655" w:type="dxa"/>
            <w:noWrap/>
            <w:vAlign w:val="center"/>
          </w:tcPr>
          <w:p w14:paraId="11D1153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站</w:t>
            </w:r>
          </w:p>
        </w:tc>
        <w:tc>
          <w:tcPr>
            <w:tcW w:w="675" w:type="dxa"/>
            <w:noWrap w:val="0"/>
            <w:vAlign w:val="center"/>
          </w:tcPr>
          <w:p w14:paraId="6F19CB06">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762" w:type="dxa"/>
            <w:noWrap w:val="0"/>
            <w:vAlign w:val="center"/>
          </w:tcPr>
          <w:p w14:paraId="547E576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明巢3台、来六2台</w:t>
            </w:r>
          </w:p>
        </w:tc>
      </w:tr>
      <w:tr w14:paraId="5BBE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3DAE6F8E">
            <w:pPr>
              <w:keepNext w:val="0"/>
              <w:keepLines w:val="0"/>
              <w:pageBreakBefore w:val="0"/>
              <w:kinsoku/>
              <w:overflowPunct/>
              <w:topLinePunct w:val="0"/>
              <w:autoSpaceDE/>
              <w:autoSpaceDN/>
              <w:bidi w:val="0"/>
              <w:adjustRightInd/>
              <w:snapToGrid/>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600" w:type="dxa"/>
            <w:noWrap/>
            <w:vAlign w:val="center"/>
          </w:tcPr>
          <w:p w14:paraId="49CDA5AC">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ETC专用车道系统实施</w:t>
            </w:r>
          </w:p>
        </w:tc>
        <w:tc>
          <w:tcPr>
            <w:tcW w:w="4818" w:type="dxa"/>
            <w:noWrap/>
            <w:vAlign w:val="center"/>
          </w:tcPr>
          <w:p w14:paraId="4A6A5A2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top"/>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按部、省规范调整系统软件及实施部署。</w:t>
            </w:r>
          </w:p>
        </w:tc>
        <w:tc>
          <w:tcPr>
            <w:tcW w:w="655" w:type="dxa"/>
            <w:noWrap/>
            <w:vAlign w:val="center"/>
          </w:tcPr>
          <w:p w14:paraId="7B84518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w:t>
            </w:r>
          </w:p>
        </w:tc>
        <w:tc>
          <w:tcPr>
            <w:tcW w:w="675" w:type="dxa"/>
            <w:noWrap w:val="0"/>
            <w:vAlign w:val="center"/>
          </w:tcPr>
          <w:p w14:paraId="1C0157CF">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762" w:type="dxa"/>
            <w:noWrap w:val="0"/>
            <w:vAlign w:val="center"/>
          </w:tcPr>
          <w:p w14:paraId="79725A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明巢8套、来六4套、滁合4套</w:t>
            </w:r>
          </w:p>
        </w:tc>
      </w:tr>
      <w:tr w14:paraId="152A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1A1D5D66">
            <w:pPr>
              <w:keepNext w:val="0"/>
              <w:keepLines w:val="0"/>
              <w:pageBreakBefore w:val="0"/>
              <w:kinsoku/>
              <w:overflowPunct/>
              <w:topLinePunct w:val="0"/>
              <w:autoSpaceDE/>
              <w:autoSpaceDN/>
              <w:bidi w:val="0"/>
              <w:adjustRightInd/>
              <w:snapToGrid/>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1600" w:type="dxa"/>
            <w:noWrap/>
            <w:vAlign w:val="center"/>
          </w:tcPr>
          <w:p w14:paraId="31ABD026">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ETC/MTC混合车道系统实施</w:t>
            </w:r>
          </w:p>
        </w:tc>
        <w:tc>
          <w:tcPr>
            <w:tcW w:w="4818" w:type="dxa"/>
            <w:noWrap/>
            <w:vAlign w:val="center"/>
          </w:tcPr>
          <w:p w14:paraId="0EE8CE1F">
            <w:pPr>
              <w:jc w:val="both"/>
              <w:rPr>
                <w:rFonts w:hint="eastAsia" w:ascii="宋体" w:hAnsi="宋体" w:cs="宋体"/>
                <w:color w:val="auto"/>
                <w:szCs w:val="21"/>
                <w:highlight w:val="none"/>
              </w:rPr>
            </w:pPr>
            <w:r>
              <w:rPr>
                <w:rFonts w:hint="eastAsia" w:ascii="宋体" w:hAnsi="宋体" w:cs="宋体"/>
                <w:color w:val="auto"/>
                <w:sz w:val="21"/>
                <w:szCs w:val="21"/>
                <w:highlight w:val="none"/>
              </w:rPr>
              <w:t>按部、省规范调整系统软件及实施部署。</w:t>
            </w:r>
          </w:p>
        </w:tc>
        <w:tc>
          <w:tcPr>
            <w:tcW w:w="655" w:type="dxa"/>
            <w:noWrap/>
            <w:vAlign w:val="center"/>
          </w:tcPr>
          <w:p w14:paraId="0F4AD79F">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w:t>
            </w:r>
          </w:p>
        </w:tc>
        <w:tc>
          <w:tcPr>
            <w:tcW w:w="675" w:type="dxa"/>
            <w:noWrap w:val="0"/>
            <w:vAlign w:val="center"/>
          </w:tcPr>
          <w:p w14:paraId="2382339F">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762" w:type="dxa"/>
            <w:noWrap w:val="0"/>
            <w:vAlign w:val="center"/>
          </w:tcPr>
          <w:p w14:paraId="5C55967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明巢12套、来六8套、滁合4套</w:t>
            </w:r>
          </w:p>
        </w:tc>
      </w:tr>
      <w:tr w14:paraId="62F2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2A34EF7C">
            <w:pPr>
              <w:keepNext w:val="0"/>
              <w:keepLines w:val="0"/>
              <w:pageBreakBefore w:val="0"/>
              <w:kinsoku/>
              <w:overflowPunct/>
              <w:topLinePunct w:val="0"/>
              <w:autoSpaceDE/>
              <w:autoSpaceDN/>
              <w:bidi w:val="0"/>
              <w:adjustRightInd/>
              <w:snapToGrid/>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1600" w:type="dxa"/>
            <w:noWrap/>
            <w:vAlign w:val="center"/>
          </w:tcPr>
          <w:p w14:paraId="2A0E6B74">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自助发卡车道系统实施</w:t>
            </w:r>
          </w:p>
        </w:tc>
        <w:tc>
          <w:tcPr>
            <w:tcW w:w="4818" w:type="dxa"/>
            <w:noWrap/>
            <w:vAlign w:val="center"/>
          </w:tcPr>
          <w:p w14:paraId="04B13B6C">
            <w:pPr>
              <w:jc w:val="both"/>
              <w:rPr>
                <w:rFonts w:hint="eastAsia" w:ascii="宋体" w:hAnsi="宋体" w:cs="宋体"/>
                <w:color w:val="auto"/>
                <w:szCs w:val="21"/>
                <w:highlight w:val="none"/>
              </w:rPr>
            </w:pPr>
            <w:r>
              <w:rPr>
                <w:rFonts w:hint="eastAsia" w:ascii="宋体" w:hAnsi="宋体" w:cs="宋体"/>
                <w:color w:val="auto"/>
                <w:sz w:val="21"/>
                <w:szCs w:val="21"/>
                <w:highlight w:val="none"/>
              </w:rPr>
              <w:t>按部、省规范调整系统软件及实施部署。</w:t>
            </w:r>
          </w:p>
        </w:tc>
        <w:tc>
          <w:tcPr>
            <w:tcW w:w="655" w:type="dxa"/>
            <w:noWrap/>
            <w:vAlign w:val="center"/>
          </w:tcPr>
          <w:p w14:paraId="4062E02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w:t>
            </w:r>
          </w:p>
        </w:tc>
        <w:tc>
          <w:tcPr>
            <w:tcW w:w="675" w:type="dxa"/>
            <w:noWrap w:val="0"/>
            <w:vAlign w:val="center"/>
          </w:tcPr>
          <w:p w14:paraId="326871C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762" w:type="dxa"/>
            <w:noWrap w:val="0"/>
            <w:vAlign w:val="center"/>
          </w:tcPr>
          <w:p w14:paraId="2300F0B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明巢3套、来六4套、滁合2套</w:t>
            </w:r>
          </w:p>
        </w:tc>
      </w:tr>
      <w:tr w14:paraId="1D92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76407EA0">
            <w:pPr>
              <w:keepNext w:val="0"/>
              <w:keepLines w:val="0"/>
              <w:pageBreakBefore w:val="0"/>
              <w:kinsoku/>
              <w:overflowPunct/>
              <w:topLinePunct w:val="0"/>
              <w:autoSpaceDE/>
              <w:autoSpaceDN/>
              <w:bidi w:val="0"/>
              <w:adjustRightInd/>
              <w:snapToGrid/>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1600" w:type="dxa"/>
            <w:noWrap/>
            <w:vAlign w:val="center"/>
          </w:tcPr>
          <w:p w14:paraId="40988DCE">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自助缴费车道系统实施</w:t>
            </w:r>
          </w:p>
        </w:tc>
        <w:tc>
          <w:tcPr>
            <w:tcW w:w="4818" w:type="dxa"/>
            <w:noWrap/>
            <w:vAlign w:val="center"/>
          </w:tcPr>
          <w:p w14:paraId="63BAE022">
            <w:pPr>
              <w:jc w:val="both"/>
              <w:rPr>
                <w:rFonts w:hint="eastAsia" w:ascii="宋体" w:hAnsi="宋体" w:cs="宋体"/>
                <w:color w:val="auto"/>
                <w:szCs w:val="21"/>
                <w:highlight w:val="none"/>
              </w:rPr>
            </w:pPr>
            <w:r>
              <w:rPr>
                <w:rFonts w:hint="eastAsia" w:ascii="宋体" w:hAnsi="宋体" w:cs="宋体"/>
                <w:color w:val="auto"/>
                <w:sz w:val="21"/>
                <w:szCs w:val="21"/>
                <w:highlight w:val="none"/>
              </w:rPr>
              <w:t>按部、省规范调整系统软件及实施部署。</w:t>
            </w:r>
          </w:p>
        </w:tc>
        <w:tc>
          <w:tcPr>
            <w:tcW w:w="655" w:type="dxa"/>
            <w:noWrap/>
            <w:vAlign w:val="center"/>
          </w:tcPr>
          <w:p w14:paraId="25BB583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w:t>
            </w:r>
          </w:p>
        </w:tc>
        <w:tc>
          <w:tcPr>
            <w:tcW w:w="675" w:type="dxa"/>
            <w:noWrap w:val="0"/>
            <w:vAlign w:val="center"/>
          </w:tcPr>
          <w:p w14:paraId="3AF24A9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762" w:type="dxa"/>
            <w:noWrap w:val="0"/>
            <w:vAlign w:val="center"/>
          </w:tcPr>
          <w:p w14:paraId="2FC419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明巢3套、来六4套、滁合2套</w:t>
            </w:r>
          </w:p>
        </w:tc>
      </w:tr>
      <w:tr w14:paraId="2650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608B7F2D">
            <w:pPr>
              <w:keepNext w:val="0"/>
              <w:keepLines w:val="0"/>
              <w:pageBreakBefore w:val="0"/>
              <w:kinsoku/>
              <w:overflowPunct/>
              <w:topLinePunct w:val="0"/>
              <w:autoSpaceDE/>
              <w:autoSpaceDN/>
              <w:bidi w:val="0"/>
              <w:adjustRightInd/>
              <w:snapToGrid/>
              <w:spacing w:line="44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1600" w:type="dxa"/>
            <w:noWrap/>
            <w:vAlign w:val="center"/>
          </w:tcPr>
          <w:p w14:paraId="219AB67B">
            <w:pPr>
              <w:keepNext w:val="0"/>
              <w:keepLines w:val="0"/>
              <w:widowControl/>
              <w:suppressLineNumbers w:val="0"/>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手持式应急收费系统实施</w:t>
            </w:r>
          </w:p>
        </w:tc>
        <w:tc>
          <w:tcPr>
            <w:tcW w:w="4818" w:type="dxa"/>
            <w:noWrap/>
            <w:vAlign w:val="center"/>
          </w:tcPr>
          <w:p w14:paraId="23454B56">
            <w:pPr>
              <w:jc w:val="both"/>
              <w:rPr>
                <w:rFonts w:hint="eastAsia" w:ascii="宋体" w:hAnsi="宋体" w:cs="宋体"/>
                <w:color w:val="auto"/>
                <w:szCs w:val="21"/>
                <w:highlight w:val="none"/>
              </w:rPr>
            </w:pPr>
            <w:r>
              <w:rPr>
                <w:rFonts w:hint="eastAsia" w:ascii="宋体" w:hAnsi="宋体" w:cs="宋体"/>
                <w:color w:val="auto"/>
                <w:sz w:val="21"/>
                <w:szCs w:val="21"/>
                <w:highlight w:val="none"/>
              </w:rPr>
              <w:t>按部、省规范调整系统软件及实施部署。</w:t>
            </w:r>
          </w:p>
        </w:tc>
        <w:tc>
          <w:tcPr>
            <w:tcW w:w="655" w:type="dxa"/>
            <w:noWrap/>
            <w:vAlign w:val="center"/>
          </w:tcPr>
          <w:p w14:paraId="09BE4C61">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w:t>
            </w:r>
          </w:p>
        </w:tc>
        <w:tc>
          <w:tcPr>
            <w:tcW w:w="675" w:type="dxa"/>
            <w:noWrap w:val="0"/>
            <w:vAlign w:val="center"/>
          </w:tcPr>
          <w:p w14:paraId="4D786B3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762" w:type="dxa"/>
            <w:noWrap w:val="0"/>
            <w:vAlign w:val="center"/>
          </w:tcPr>
          <w:p w14:paraId="0AB3C24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明巢3套、来六4套、滁合1套</w:t>
            </w:r>
          </w:p>
        </w:tc>
      </w:tr>
      <w:tr w14:paraId="6540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42203ECE">
            <w:pPr>
              <w:keepNext w:val="0"/>
              <w:keepLines w:val="0"/>
              <w:pageBreakBefore w:val="0"/>
              <w:tabs>
                <w:tab w:val="left" w:pos="409"/>
              </w:tabs>
              <w:kinsoku/>
              <w:overflowPunct/>
              <w:topLinePunct w:val="0"/>
              <w:autoSpaceDE/>
              <w:autoSpaceDN/>
              <w:bidi w:val="0"/>
              <w:adjustRightInd/>
              <w:snapToGrid/>
              <w:spacing w:line="44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1600" w:type="dxa"/>
            <w:noWrap/>
            <w:vAlign w:val="center"/>
          </w:tcPr>
          <w:p w14:paraId="2FB563B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ETC门架系统部署</w:t>
            </w:r>
          </w:p>
        </w:tc>
        <w:tc>
          <w:tcPr>
            <w:tcW w:w="4818" w:type="dxa"/>
            <w:noWrap/>
            <w:vAlign w:val="center"/>
          </w:tcPr>
          <w:p w14:paraId="1A2D68C2">
            <w:pPr>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新设备接入调试，支持后车牌设备接入、去重等。</w:t>
            </w:r>
          </w:p>
        </w:tc>
        <w:tc>
          <w:tcPr>
            <w:tcW w:w="655" w:type="dxa"/>
            <w:noWrap/>
            <w:vAlign w:val="center"/>
          </w:tcPr>
          <w:p w14:paraId="271C397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套</w:t>
            </w:r>
          </w:p>
        </w:tc>
        <w:tc>
          <w:tcPr>
            <w:tcW w:w="675" w:type="dxa"/>
            <w:noWrap w:val="0"/>
            <w:vAlign w:val="center"/>
          </w:tcPr>
          <w:p w14:paraId="6BEDC91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12</w:t>
            </w:r>
          </w:p>
        </w:tc>
        <w:tc>
          <w:tcPr>
            <w:tcW w:w="1762" w:type="dxa"/>
            <w:noWrap w:val="0"/>
            <w:vAlign w:val="center"/>
          </w:tcPr>
          <w:p w14:paraId="6511EA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明巢4套、来六6套（其中4套为省界门架）、滁合2套</w:t>
            </w:r>
          </w:p>
        </w:tc>
      </w:tr>
      <w:tr w14:paraId="05A0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0181" w:type="dxa"/>
            <w:gridSpan w:val="6"/>
            <w:noWrap/>
            <w:vAlign w:val="center"/>
          </w:tcPr>
          <w:p w14:paraId="47CFC60D">
            <w:pPr>
              <w:keepNext w:val="0"/>
              <w:keepLines w:val="0"/>
              <w:pageBreakBefore w:val="0"/>
              <w:tabs>
                <w:tab w:val="left" w:pos="9403"/>
              </w:tabs>
              <w:kinsoku/>
              <w:wordWrap w:val="0"/>
              <w:overflowPunct/>
              <w:topLinePunct w:val="0"/>
              <w:autoSpaceDE/>
              <w:autoSpaceDN/>
              <w:bidi w:val="0"/>
              <w:adjustRightInd/>
              <w:snapToGrid/>
              <w:spacing w:line="440" w:lineRule="exact"/>
              <w:jc w:val="center"/>
              <w:textAlignment w:val="center"/>
              <w:rPr>
                <w:rFonts w:hint="default" w:ascii="宋体" w:hAnsi="宋体" w:eastAsia="宋体" w:cs="宋体"/>
                <w:color w:val="auto"/>
                <w:szCs w:val="21"/>
                <w:highlight w:val="none"/>
                <w:lang w:val="en-US" w:eastAsia="zh-CN"/>
              </w:rPr>
            </w:pPr>
            <w:r>
              <w:rPr>
                <w:rFonts w:hint="eastAsia" w:ascii="微软雅黑" w:hAnsi="微软雅黑" w:eastAsia="微软雅黑" w:cs="微软雅黑"/>
                <w:b/>
                <w:bCs/>
                <w:color w:val="auto"/>
                <w:szCs w:val="21"/>
                <w:highlight w:val="none"/>
                <w:shd w:val="clear" w:color="FFFFFF" w:fill="D9D9D9"/>
                <w:lang w:val="en-US" w:eastAsia="zh-CN" w:bidi="ar"/>
              </w:rPr>
              <w:t>四、其他</w:t>
            </w:r>
          </w:p>
        </w:tc>
      </w:tr>
      <w:tr w14:paraId="286E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71" w:type="dxa"/>
            <w:noWrap/>
            <w:vAlign w:val="center"/>
          </w:tcPr>
          <w:p w14:paraId="085E41A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600" w:type="dxa"/>
            <w:noWrap/>
            <w:vAlign w:val="center"/>
          </w:tcPr>
          <w:p w14:paraId="24F7C4E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系统培训</w:t>
            </w:r>
          </w:p>
        </w:tc>
        <w:tc>
          <w:tcPr>
            <w:tcW w:w="4818" w:type="dxa"/>
            <w:noWrap/>
            <w:vAlign w:val="center"/>
          </w:tcPr>
          <w:p w14:paraId="1F39A79E">
            <w:pPr>
              <w:keepNext w:val="0"/>
              <w:keepLines w:val="0"/>
              <w:pageBreakBefore w:val="0"/>
              <w:widowControl w:val="0"/>
              <w:kinsoku/>
              <w:wordWrap/>
              <w:overflowPunct/>
              <w:topLinePunct w:val="0"/>
              <w:autoSpaceDE/>
              <w:autoSpaceDN/>
              <w:bidi w:val="0"/>
              <w:adjustRightInd/>
              <w:snapToGrid/>
              <w:spacing w:line="280" w:lineRule="exact"/>
              <w:jc w:val="lef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对收费员、班长、监控员、票管、系统管理员等进行系统操作与运维培训。</w:t>
            </w:r>
          </w:p>
        </w:tc>
        <w:tc>
          <w:tcPr>
            <w:tcW w:w="655" w:type="dxa"/>
            <w:noWrap/>
            <w:vAlign w:val="center"/>
          </w:tcPr>
          <w:p w14:paraId="4F7004D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站</w:t>
            </w:r>
          </w:p>
        </w:tc>
        <w:tc>
          <w:tcPr>
            <w:tcW w:w="675" w:type="dxa"/>
            <w:noWrap w:val="0"/>
            <w:vAlign w:val="center"/>
          </w:tcPr>
          <w:p w14:paraId="399F2D0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762" w:type="dxa"/>
            <w:noWrap w:val="0"/>
            <w:vAlign w:val="center"/>
          </w:tcPr>
          <w:p w14:paraId="6D3C1A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明巢3站、来六2站、滁合1站</w:t>
            </w:r>
          </w:p>
        </w:tc>
      </w:tr>
      <w:tr w14:paraId="28DD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1AF14B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600" w:type="dxa"/>
            <w:noWrap/>
            <w:vAlign w:val="center"/>
          </w:tcPr>
          <w:p w14:paraId="7B3AE32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系统数据维护费</w:t>
            </w:r>
          </w:p>
        </w:tc>
        <w:tc>
          <w:tcPr>
            <w:tcW w:w="4818" w:type="dxa"/>
            <w:noWrap/>
            <w:vAlign w:val="center"/>
          </w:tcPr>
          <w:p w14:paraId="0A36F5FF">
            <w:pPr>
              <w:keepNext w:val="0"/>
              <w:keepLines w:val="0"/>
              <w:pageBreakBefore w:val="0"/>
              <w:kinsoku/>
              <w:overflowPunct/>
              <w:topLinePunct w:val="0"/>
              <w:autoSpaceDE/>
              <w:autoSpaceDN/>
              <w:bidi w:val="0"/>
              <w:adjustRightInd/>
              <w:snapToGrid/>
              <w:spacing w:line="440" w:lineRule="exact"/>
              <w:jc w:val="left"/>
              <w:textAlignment w:val="center"/>
              <w:rPr>
                <w:rFonts w:hint="eastAsia" w:ascii="宋体" w:hAnsi="宋体" w:cs="宋体"/>
                <w:color w:val="auto"/>
                <w:sz w:val="21"/>
                <w:szCs w:val="21"/>
                <w:highlight w:val="none"/>
              </w:rPr>
            </w:pPr>
            <w:r>
              <w:rPr>
                <w:rFonts w:hint="eastAsia" w:ascii="宋体" w:hAnsi="宋体" w:cs="宋体"/>
                <w:color w:val="auto"/>
                <w:sz w:val="21"/>
                <w:szCs w:val="21"/>
                <w:highlight w:val="none"/>
              </w:rPr>
              <w:t>系统升级切换过度期间，各收费站对系统数据、系统功能使用情况等进行跟踪分析，并及时处理相关问题，从而保证系统的稳定、持续运行。</w:t>
            </w:r>
          </w:p>
        </w:tc>
        <w:tc>
          <w:tcPr>
            <w:tcW w:w="655" w:type="dxa"/>
            <w:noWrap/>
            <w:vAlign w:val="center"/>
          </w:tcPr>
          <w:p w14:paraId="3B7F31B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站</w:t>
            </w:r>
          </w:p>
        </w:tc>
        <w:tc>
          <w:tcPr>
            <w:tcW w:w="675" w:type="dxa"/>
            <w:noWrap w:val="0"/>
            <w:vAlign w:val="center"/>
          </w:tcPr>
          <w:p w14:paraId="6C2B6AC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762" w:type="dxa"/>
            <w:noWrap w:val="0"/>
            <w:vAlign w:val="center"/>
          </w:tcPr>
          <w:p w14:paraId="0C684C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明巢3站、来六2站、滁合1站</w:t>
            </w:r>
          </w:p>
        </w:tc>
      </w:tr>
      <w:tr w14:paraId="541F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71" w:type="dxa"/>
            <w:noWrap/>
            <w:vAlign w:val="center"/>
          </w:tcPr>
          <w:p w14:paraId="54A059E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p>
        </w:tc>
        <w:tc>
          <w:tcPr>
            <w:tcW w:w="1600" w:type="dxa"/>
            <w:noWrap/>
            <w:vAlign w:val="center"/>
          </w:tcPr>
          <w:p w14:paraId="3E70690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安全措施费</w:t>
            </w:r>
          </w:p>
        </w:tc>
        <w:tc>
          <w:tcPr>
            <w:tcW w:w="4818" w:type="dxa"/>
            <w:noWrap/>
            <w:vAlign w:val="center"/>
          </w:tcPr>
          <w:p w14:paraId="62343FF4">
            <w:pPr>
              <w:keepNext w:val="0"/>
              <w:keepLines w:val="0"/>
              <w:pageBreakBefore w:val="0"/>
              <w:kinsoku/>
              <w:overflowPunct/>
              <w:topLinePunct w:val="0"/>
              <w:autoSpaceDE/>
              <w:autoSpaceDN/>
              <w:bidi w:val="0"/>
              <w:adjustRightInd/>
              <w:snapToGrid/>
              <w:spacing w:line="440" w:lineRule="exact"/>
              <w:jc w:val="left"/>
              <w:textAlignment w:val="center"/>
              <w:rPr>
                <w:rFonts w:hint="eastAsia" w:ascii="宋体" w:hAnsi="宋体" w:cs="宋体"/>
                <w:color w:val="auto"/>
                <w:sz w:val="21"/>
                <w:szCs w:val="21"/>
                <w:highlight w:val="none"/>
              </w:rPr>
            </w:pPr>
            <w:r>
              <w:rPr>
                <w:rFonts w:hint="eastAsia" w:ascii="宋体" w:hAnsi="宋体" w:cs="宋体"/>
                <w:color w:val="auto"/>
                <w:sz w:val="21"/>
                <w:szCs w:val="21"/>
                <w:highlight w:val="none"/>
              </w:rPr>
              <w:t>ETC 门架牌识、补光灯设备安装施工期间安全防护布控。</w:t>
            </w:r>
          </w:p>
        </w:tc>
        <w:tc>
          <w:tcPr>
            <w:tcW w:w="655" w:type="dxa"/>
            <w:noWrap/>
            <w:vAlign w:val="center"/>
          </w:tcPr>
          <w:p w14:paraId="0E82DE0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路段</w:t>
            </w:r>
          </w:p>
        </w:tc>
        <w:tc>
          <w:tcPr>
            <w:tcW w:w="675" w:type="dxa"/>
            <w:noWrap w:val="0"/>
            <w:vAlign w:val="center"/>
          </w:tcPr>
          <w:p w14:paraId="7358964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p>
        </w:tc>
        <w:tc>
          <w:tcPr>
            <w:tcW w:w="1762" w:type="dxa"/>
            <w:noWrap w:val="0"/>
            <w:vAlign w:val="center"/>
          </w:tcPr>
          <w:p w14:paraId="2CDB83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bl>
    <w:p w14:paraId="2C286076">
      <w:pPr>
        <w:spacing w:line="360" w:lineRule="auto"/>
        <w:ind w:firstLine="437"/>
        <w:outlineLvl w:val="1"/>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注：标</w:t>
      </w: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项投标时需提供第三方权威检测机构出具的检测报告扫描件或产品彩页或产品说明书或官网参数截图，如投标人提供虚假材料谋取中标的，招标人将上报相关部门严肃处理。</w:t>
      </w:r>
    </w:p>
    <w:p w14:paraId="73ECE80A">
      <w:pPr>
        <w:spacing w:line="360" w:lineRule="auto"/>
        <w:ind w:firstLine="437"/>
        <w:outlineLvl w:val="1"/>
        <w:rPr>
          <w:rFonts w:hint="eastAsia" w:ascii="宋体" w:hAnsi="宋体" w:cs="宋体"/>
          <w:b/>
          <w:bCs/>
          <w:color w:val="auto"/>
          <w:szCs w:val="21"/>
          <w:highlight w:val="none"/>
        </w:rPr>
      </w:pPr>
      <w:r>
        <w:rPr>
          <w:rFonts w:hint="eastAsia" w:ascii="宋体" w:hAnsi="宋体" w:cs="宋体"/>
          <w:b/>
          <w:bCs/>
          <w:color w:val="auto"/>
          <w:szCs w:val="21"/>
          <w:highlight w:val="none"/>
        </w:rPr>
        <w:t>三、报价要求</w:t>
      </w:r>
    </w:p>
    <w:p w14:paraId="60FABBAB">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投标报价包括对应本项目需求的全部货物及所需附件购置费、包装费、运输费、人工费、保险费、安装调试费、各种税费、资料费、售后服务费及完成项目应有的全部费用，投标报价今后将不作任何调整。采购人后期不予追加任何费用，请投标人综合考虑各种风险，谨慎报价。</w:t>
      </w:r>
    </w:p>
    <w:p w14:paraId="1FDF309F">
      <w:pPr>
        <w:spacing w:line="360" w:lineRule="auto"/>
        <w:ind w:firstLine="437"/>
        <w:outlineLvl w:val="1"/>
        <w:rPr>
          <w:rFonts w:hint="eastAsia" w:ascii="宋体" w:hAnsi="宋体" w:cs="宋体"/>
          <w:b/>
          <w:bCs/>
          <w:color w:val="auto"/>
          <w:szCs w:val="21"/>
          <w:highlight w:val="none"/>
        </w:rPr>
      </w:pPr>
      <w:bookmarkStart w:id="98" w:name="_Toc14698"/>
      <w:bookmarkStart w:id="99" w:name="_Toc15293"/>
      <w:r>
        <w:rPr>
          <w:rFonts w:hint="eastAsia" w:ascii="宋体" w:hAnsi="宋体" w:cs="宋体"/>
          <w:b/>
          <w:bCs/>
          <w:color w:val="auto"/>
          <w:szCs w:val="21"/>
          <w:highlight w:val="none"/>
        </w:rPr>
        <w:t>四、其他要求</w:t>
      </w:r>
      <w:bookmarkEnd w:id="98"/>
      <w:bookmarkEnd w:id="99"/>
    </w:p>
    <w:p w14:paraId="16C0693C">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1、在产品进场和验收时，中标单位提供合格的辅证材料，采购人有权组织专家评委验收，采购人有权对照投标响应参数进行产品验收，如出现负偏离或偏差，采购人有权上报主管部门，所产生的损失均由中标人承担。</w:t>
      </w:r>
    </w:p>
    <w:p w14:paraId="7A878E8A">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2、产品验收前必须保证合格；按甲方要求送检，甲方有权委托第三方进行产品质量、规格要求等检测，检测不合格的更换所有产品并承担违约责任及损失。</w:t>
      </w:r>
    </w:p>
    <w:p w14:paraId="1E16FFF7">
      <w:pPr>
        <w:pStyle w:val="17"/>
        <w:keepNext w:val="0"/>
        <w:keepLines w:val="0"/>
        <w:pageBreakBefore w:val="0"/>
        <w:widowControl w:val="0"/>
        <w:kinsoku/>
        <w:wordWrap/>
        <w:overflowPunct/>
        <w:topLinePunct w:val="0"/>
        <w:autoSpaceDE/>
        <w:autoSpaceDN/>
        <w:bidi w:val="0"/>
        <w:adjustRightInd/>
        <w:snapToGrid/>
        <w:spacing w:after="0" w:line="480" w:lineRule="exact"/>
        <w:ind w:left="0" w:right="0"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3、中标人中标后需要按投标承诺的供货方案、售后服务方案实施，所需费用均包含在投标报价中。</w:t>
      </w:r>
    </w:p>
    <w:p w14:paraId="13A6FF56">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4、中标单位中标后须在规定时间内签订采购合同，若因中标单位原因导致未按时签订合同的，采购人有权上报相关监管部门。</w:t>
      </w:r>
    </w:p>
    <w:p w14:paraId="070CA2C9">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5、本项目涉及所有费用均已包含在各项单价中，投标人报价时自行考虑此项费用，结算时不予调整；</w:t>
      </w:r>
    </w:p>
    <w:p w14:paraId="14857850">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6、采购内容中涉及须满足国家强制性产品认证的，在供货时需提供认证证书（强制采购节能产品投标时须提供证书），否则不予接收。</w:t>
      </w:r>
    </w:p>
    <w:p w14:paraId="2EACC0A5">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7、货物的生产、安装、维修、检验、验收等按照以下原则执行：有国家标准的执行国家标准；无国家标准的执行行业标准；无行业标准的执行地方标准；无地方标准的执行企业标准。</w:t>
      </w:r>
    </w:p>
    <w:p w14:paraId="17221759">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8、如果在技术参数或配置中标明了品牌或产地，则仅供参考，并非指定，但投标人提供的货物必须满足主要技术参数及配置要求，投标人可以选用替代的方案，但这种替代整体上要优于或相当于招标文件的相关要求。</w:t>
      </w:r>
    </w:p>
    <w:p w14:paraId="63A06D2C">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9、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 (厂家出具的合格证书供货时提供。)</w:t>
      </w:r>
    </w:p>
    <w:p w14:paraId="49B78535">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10、技术支持</w:t>
      </w:r>
    </w:p>
    <w:p w14:paraId="5303C904">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（1）中标人应向采购人提供全方位、及时而有效的技术支持和服务。</w:t>
      </w:r>
    </w:p>
    <w:p w14:paraId="1BBA952F">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（2）中标人负责供货、安装、调试。</w:t>
      </w:r>
    </w:p>
    <w:p w14:paraId="02281D66">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3）中标人负责将货物的全部有关技术文件（外文应提供中文翻译资料，下同）、施工图纸、资料、测试、验收报告等汇集成册交付采购人，涉及进口的产品或部件配件软件等须提供中国海关进口货物报关单、完税证明及商检证明等材料。</w:t>
      </w:r>
    </w:p>
    <w:p w14:paraId="471048A3">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11、质保及售后服务：</w:t>
      </w:r>
    </w:p>
    <w:p w14:paraId="6910E4D3">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
          <w:color w:val="auto"/>
          <w:szCs w:val="21"/>
          <w:highlight w:val="none"/>
        </w:rPr>
        <w:t>中标人须提供至少</w:t>
      </w:r>
      <w:r>
        <w:rPr>
          <w:rFonts w:hint="eastAsia" w:ascii="宋体" w:hAnsi="宋体" w:cs="宋体"/>
          <w:b/>
          <w:color w:val="auto"/>
          <w:szCs w:val="21"/>
          <w:highlight w:val="none"/>
          <w:u w:val="single"/>
        </w:rPr>
        <w:t xml:space="preserve"> </w:t>
      </w:r>
      <w:r>
        <w:rPr>
          <w:rFonts w:hint="eastAsia" w:ascii="宋体" w:hAnsi="宋体" w:cs="宋体"/>
          <w:b/>
          <w:strike w:val="0"/>
          <w:dstrike w:val="0"/>
          <w:color w:val="auto"/>
          <w:szCs w:val="21"/>
          <w:highlight w:val="none"/>
          <w:u w:val="single"/>
        </w:rPr>
        <w:t>3</w:t>
      </w:r>
      <w:r>
        <w:rPr>
          <w:rFonts w:hint="eastAsia" w:ascii="宋体" w:hAnsi="宋体" w:cs="宋体"/>
          <w:b/>
          <w:color w:val="auto"/>
          <w:szCs w:val="21"/>
          <w:highlight w:val="none"/>
        </w:rPr>
        <w:t>年的免费质保服务</w:t>
      </w:r>
      <w:r>
        <w:rPr>
          <w:rFonts w:hint="eastAsia" w:ascii="宋体" w:hAnsi="宋体" w:cs="宋体"/>
          <w:bCs/>
          <w:color w:val="auto"/>
          <w:szCs w:val="21"/>
          <w:highlight w:val="none"/>
        </w:rPr>
        <w:t>，所有质保费用均已包含在投标报价中，质保期满后，应提供优先的有偿售后服务及按不高于投标文件中清单所报价格供应。</w:t>
      </w:r>
    </w:p>
    <w:p w14:paraId="5E563F83">
      <w:pPr>
        <w:pStyle w:val="17"/>
        <w:keepNext w:val="0"/>
        <w:keepLines w:val="0"/>
        <w:pageBreakBefore w:val="0"/>
        <w:widowControl w:val="0"/>
        <w:kinsoku/>
        <w:wordWrap/>
        <w:overflowPunct/>
        <w:topLinePunct w:val="0"/>
        <w:autoSpaceDE/>
        <w:autoSpaceDN/>
        <w:bidi w:val="0"/>
        <w:adjustRightInd/>
        <w:snapToGrid/>
        <w:spacing w:after="0" w:line="480" w:lineRule="exact"/>
        <w:ind w:left="0" w:right="0" w:firstLine="420" w:firstLineChars="200"/>
        <w:textAlignment w:val="auto"/>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cs="宋体"/>
          <w:bCs/>
          <w:color w:val="auto"/>
          <w:szCs w:val="21"/>
          <w:highlight w:val="none"/>
        </w:rPr>
        <w:t>（2）中标人须设有售后服务电话，负责解答用户在货物使用中遇到的问题，及时提出解决问题的建议和操作方法</w:t>
      </w:r>
      <w:r>
        <w:rPr>
          <w:rFonts w:hint="eastAsia" w:ascii="宋体" w:hAnsi="宋体" w:eastAsia="宋体" w:cs="宋体"/>
          <w:b w:val="0"/>
          <w:bCs w:val="0"/>
          <w:strike w:val="0"/>
          <w:dstrike w:val="0"/>
          <w:color w:val="auto"/>
          <w:kern w:val="2"/>
          <w:sz w:val="21"/>
          <w:szCs w:val="21"/>
          <w:highlight w:val="none"/>
          <w:lang w:val="en-US" w:eastAsia="zh-CN" w:bidi="ar-SA"/>
        </w:rPr>
        <w:t>。</w:t>
      </w:r>
    </w:p>
    <w:p w14:paraId="391A5A59">
      <w:pPr>
        <w:spacing w:line="360" w:lineRule="auto"/>
        <w:ind w:firstLine="437"/>
        <w:rPr>
          <w:rFonts w:hint="eastAsia" w:ascii="宋体" w:hAnsi="宋体" w:cs="宋体"/>
          <w:bCs/>
          <w:color w:val="auto"/>
          <w:szCs w:val="21"/>
          <w:highlight w:val="none"/>
        </w:rPr>
      </w:pPr>
      <w:r>
        <w:rPr>
          <w:rFonts w:hint="eastAsia" w:ascii="宋体" w:hAnsi="宋体" w:cs="宋体"/>
          <w:bCs/>
          <w:color w:val="auto"/>
          <w:szCs w:val="21"/>
          <w:highlight w:val="none"/>
        </w:rPr>
        <w:t>（3）售后服务响应时间：中标人必须为采购人提供上门服务，中标人须自接到报修后4小时内组织实施维修。若不能及时响应并开展维修，可由采购人直接派员进行处理，若确属中标人原因造成，则所需费用自合同款项余额中扣除。如果中标人在收到报修通知后24小时内没有弥补缺陷，采购人可采取必要的补救措施，但费用和风险由中标人承担。其中产生的拆除、运输、包装、安装、配件等相关的所有费用由中标人自行承担。</w:t>
      </w:r>
    </w:p>
    <w:p w14:paraId="559D979F">
      <w:pPr>
        <w:pStyle w:val="17"/>
        <w:keepNext w:val="0"/>
        <w:keepLines w:val="0"/>
        <w:pageBreakBefore w:val="0"/>
        <w:widowControl w:val="0"/>
        <w:kinsoku/>
        <w:wordWrap/>
        <w:overflowPunct/>
        <w:topLinePunct w:val="0"/>
        <w:autoSpaceDE/>
        <w:autoSpaceDN/>
        <w:bidi w:val="0"/>
        <w:adjustRightInd/>
        <w:snapToGrid/>
        <w:spacing w:after="0" w:line="480" w:lineRule="exact"/>
        <w:ind w:left="0" w:right="0" w:firstLine="420" w:firstLineChars="200"/>
        <w:textAlignment w:val="auto"/>
        <w:rPr>
          <w:rFonts w:hint="eastAsia" w:ascii="宋体" w:hAnsi="宋体" w:eastAsia="宋体" w:cs="宋体"/>
          <w:b w:val="0"/>
          <w:bCs w:val="0"/>
          <w:strike w:val="0"/>
          <w:dstrike w:val="0"/>
          <w:color w:val="auto"/>
          <w:kern w:val="2"/>
          <w:sz w:val="21"/>
          <w:szCs w:val="21"/>
          <w:highlight w:val="none"/>
          <w:lang w:val="en-US" w:eastAsia="zh-CN" w:bidi="ar-SA"/>
        </w:rPr>
      </w:pPr>
    </w:p>
    <w:p w14:paraId="318F0161">
      <w:pPr>
        <w:pStyle w:val="17"/>
        <w:keepNext w:val="0"/>
        <w:keepLines w:val="0"/>
        <w:pageBreakBefore w:val="0"/>
        <w:widowControl w:val="0"/>
        <w:kinsoku/>
        <w:wordWrap/>
        <w:overflowPunct/>
        <w:topLinePunct w:val="0"/>
        <w:autoSpaceDE/>
        <w:autoSpaceDN/>
        <w:bidi w:val="0"/>
        <w:adjustRightInd/>
        <w:snapToGrid/>
        <w:spacing w:after="0" w:line="480" w:lineRule="exact"/>
        <w:ind w:left="0" w:right="0" w:firstLine="420" w:firstLineChars="200"/>
        <w:textAlignment w:val="auto"/>
        <w:rPr>
          <w:rFonts w:hint="eastAsia" w:ascii="宋体" w:hAnsi="宋体" w:eastAsia="宋体" w:cs="宋体"/>
          <w:b w:val="0"/>
          <w:bCs w:val="0"/>
          <w:strike w:val="0"/>
          <w:dstrike w:val="0"/>
          <w:color w:val="auto"/>
          <w:kern w:val="2"/>
          <w:sz w:val="21"/>
          <w:szCs w:val="21"/>
          <w:highlight w:val="none"/>
          <w:lang w:val="en-US" w:eastAsia="zh-CN" w:bidi="ar-SA"/>
        </w:rPr>
      </w:pPr>
    </w:p>
    <w:p w14:paraId="5F6B7CA5">
      <w:pPr>
        <w:pStyle w:val="17"/>
        <w:keepNext w:val="0"/>
        <w:keepLines w:val="0"/>
        <w:pageBreakBefore w:val="0"/>
        <w:widowControl w:val="0"/>
        <w:kinsoku/>
        <w:wordWrap/>
        <w:overflowPunct/>
        <w:topLinePunct w:val="0"/>
        <w:autoSpaceDE/>
        <w:autoSpaceDN/>
        <w:bidi w:val="0"/>
        <w:adjustRightInd/>
        <w:snapToGrid/>
        <w:spacing w:after="0" w:line="480" w:lineRule="exact"/>
        <w:ind w:left="0" w:right="0" w:firstLine="420" w:firstLineChars="200"/>
        <w:textAlignment w:val="auto"/>
        <w:rPr>
          <w:rFonts w:hint="eastAsia" w:ascii="宋体" w:hAnsi="宋体" w:eastAsia="宋体" w:cs="宋体"/>
          <w:b w:val="0"/>
          <w:bCs w:val="0"/>
          <w:strike w:val="0"/>
          <w:dstrike w:val="0"/>
          <w:color w:val="auto"/>
          <w:kern w:val="2"/>
          <w:sz w:val="21"/>
          <w:szCs w:val="21"/>
          <w:highlight w:val="none"/>
          <w:lang w:val="en-US" w:eastAsia="zh-CN" w:bidi="ar-SA"/>
        </w:rPr>
      </w:pPr>
    </w:p>
    <w:p w14:paraId="19E4E9A0">
      <w:pPr>
        <w:pStyle w:val="17"/>
        <w:keepNext w:val="0"/>
        <w:keepLines w:val="0"/>
        <w:pageBreakBefore w:val="0"/>
        <w:widowControl w:val="0"/>
        <w:kinsoku/>
        <w:wordWrap/>
        <w:overflowPunct/>
        <w:topLinePunct w:val="0"/>
        <w:autoSpaceDE/>
        <w:autoSpaceDN/>
        <w:bidi w:val="0"/>
        <w:adjustRightInd/>
        <w:snapToGrid/>
        <w:spacing w:after="0" w:line="480" w:lineRule="exact"/>
        <w:ind w:left="0" w:right="0" w:firstLine="420" w:firstLineChars="200"/>
        <w:textAlignment w:val="auto"/>
        <w:rPr>
          <w:rFonts w:hint="eastAsia" w:ascii="宋体" w:hAnsi="宋体" w:eastAsia="宋体" w:cs="宋体"/>
          <w:b w:val="0"/>
          <w:bCs w:val="0"/>
          <w:strike w:val="0"/>
          <w:dstrike w:val="0"/>
          <w:color w:val="auto"/>
          <w:kern w:val="2"/>
          <w:sz w:val="21"/>
          <w:szCs w:val="21"/>
          <w:highlight w:val="none"/>
          <w:lang w:val="en-US" w:eastAsia="zh-CN" w:bidi="ar-SA"/>
        </w:rPr>
      </w:pPr>
    </w:p>
    <w:p w14:paraId="63177123">
      <w:pPr>
        <w:shd w:val="clear"/>
        <w:spacing w:line="440" w:lineRule="exact"/>
        <w:jc w:val="center"/>
        <w:rPr>
          <w:rFonts w:hint="eastAsia" w:ascii="宋体" w:hAnsi="宋体" w:eastAsia="宋体" w:cs="宋体"/>
          <w:color w:val="auto"/>
          <w:highlight w:val="none"/>
        </w:rPr>
      </w:pPr>
      <w:r>
        <w:rPr>
          <w:rFonts w:hint="eastAsia" w:ascii="宋体" w:hAnsi="宋体" w:eastAsia="宋体" w:cs="宋体"/>
          <w:b/>
          <w:bCs/>
          <w:color w:val="auto"/>
          <w:sz w:val="36"/>
          <w:szCs w:val="52"/>
          <w:highlight w:val="none"/>
        </w:rPr>
        <w:t>第五章  合同条款及格式</w:t>
      </w:r>
      <w:bookmarkEnd w:id="95"/>
      <w:bookmarkEnd w:id="96"/>
      <w:bookmarkStart w:id="100" w:name="_Toc8628"/>
      <w:bookmarkStart w:id="101" w:name="_Toc449028948"/>
    </w:p>
    <w:p w14:paraId="68002165">
      <w:pPr>
        <w:spacing w:line="440" w:lineRule="exact"/>
        <w:ind w:left="360"/>
        <w:jc w:val="center"/>
        <w:outlineLvl w:val="1"/>
        <w:rPr>
          <w:rFonts w:hint="eastAsia" w:ascii="黑体" w:eastAsia="黑体"/>
          <w:b/>
          <w:color w:val="auto"/>
          <w:sz w:val="30"/>
          <w:szCs w:val="30"/>
          <w:highlight w:val="none"/>
        </w:rPr>
      </w:pPr>
      <w:bookmarkStart w:id="102" w:name="bookmark5"/>
      <w:bookmarkEnd w:id="102"/>
      <w:r>
        <w:rPr>
          <w:rFonts w:hint="eastAsia" w:ascii="宋体"/>
          <w:b/>
          <w:color w:val="auto"/>
          <w:sz w:val="30"/>
          <w:szCs w:val="30"/>
          <w:highlight w:val="none"/>
        </w:rPr>
        <w:t>一、合同协议书（格式）</w:t>
      </w:r>
    </w:p>
    <w:p w14:paraId="0CF0EA1F">
      <w:pPr>
        <w:spacing w:line="440" w:lineRule="exact"/>
        <w:ind w:firstLine="3795" w:firstLineChars="1350"/>
        <w:rPr>
          <w:rFonts w:hint="eastAsia" w:ascii="宋体"/>
          <w:color w:val="auto"/>
          <w:sz w:val="28"/>
          <w:szCs w:val="28"/>
          <w:highlight w:val="none"/>
        </w:rPr>
      </w:pPr>
      <w:r>
        <w:rPr>
          <w:rFonts w:hint="eastAsia" w:ascii="宋体"/>
          <w:b/>
          <w:color w:val="auto"/>
          <w:sz w:val="28"/>
          <w:szCs w:val="28"/>
          <w:highlight w:val="none"/>
        </w:rPr>
        <w:t xml:space="preserve">合同名称   </w:t>
      </w:r>
      <w:r>
        <w:rPr>
          <w:rFonts w:hint="eastAsia" w:ascii="宋体"/>
          <w:color w:val="auto"/>
          <w:sz w:val="28"/>
          <w:szCs w:val="28"/>
          <w:highlight w:val="none"/>
        </w:rPr>
        <w:t xml:space="preserve">          编号</w:t>
      </w:r>
    </w:p>
    <w:p w14:paraId="10E28F9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    方：                                   乙    方：</w:t>
      </w:r>
    </w:p>
    <w:p w14:paraId="2F4F2CF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    话：                                   电    话：</w:t>
      </w:r>
    </w:p>
    <w:p w14:paraId="17909D17">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住    所：                                   住    所：                       </w:t>
      </w:r>
    </w:p>
    <w:p w14:paraId="170F809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依据交通运输部《高速公路“手机+”无卡便捷通行实施方案（2026-2028年）》及安徽省相关工作部署，甲方</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（高速运营单位）与</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乙方（承建单位）就辖区收费站（项目名称），订立本合同。</w:t>
      </w:r>
    </w:p>
    <w:p w14:paraId="7446F04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一、本合同文件</w:t>
      </w:r>
    </w:p>
    <w:p w14:paraId="377403FB">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3FB9B06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1.本合同及其补充合同、变更协议；</w:t>
      </w:r>
    </w:p>
    <w:p w14:paraId="3F4DA69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2.中标通知书；</w:t>
      </w:r>
    </w:p>
    <w:p w14:paraId="78F9A4EB">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3.招标文件（含澄清或者修改文件）；</w:t>
      </w:r>
    </w:p>
    <w:p w14:paraId="174EDB23">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4.投标文件（含澄清或者说明文件）；</w:t>
      </w:r>
    </w:p>
    <w:p w14:paraId="7314DB02">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5.经双方签字盖章的补充协议、会议纪要等其他合同文件。</w:t>
      </w:r>
    </w:p>
    <w:p w14:paraId="50F813C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以上文件相互补充，如有不明确或不一致之处，以上列次序在先者为准；同一类文件，以最新签署的为准。</w:t>
      </w:r>
    </w:p>
    <w:p w14:paraId="1760A88E">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采购标的、数量、质量要求</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u w:val="single"/>
          <w:lang w:val="en-US" w:eastAsia="zh-CN"/>
        </w:rPr>
        <w:t xml:space="preserve">                                         。</w:t>
      </w:r>
    </w:p>
    <w:p w14:paraId="221B77A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三、合同总价</w:t>
      </w:r>
    </w:p>
    <w:p w14:paraId="010D10B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合同总价为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元人民币，分项价格详见分项报价清单。最终费用以实际供货据实结算。</w:t>
      </w:r>
    </w:p>
    <w:p w14:paraId="0F2BC73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付款方式：</w:t>
      </w:r>
      <w:r>
        <w:rPr>
          <w:rFonts w:hint="eastAsia" w:ascii="宋体" w:hAnsi="宋体" w:eastAsia="宋体" w:cs="宋体"/>
          <w:b/>
          <w:bCs/>
          <w:color w:val="auto"/>
          <w:sz w:val="21"/>
          <w:szCs w:val="21"/>
          <w:highlight w:val="none"/>
          <w:lang w:val="en-US" w:eastAsia="zh-CN"/>
        </w:rPr>
        <w:t>实施</w:t>
      </w:r>
      <w:r>
        <w:rPr>
          <w:rFonts w:hint="eastAsia" w:ascii="宋体" w:hAnsi="宋体" w:eastAsia="宋体" w:cs="宋体"/>
          <w:b/>
          <w:bCs/>
          <w:color w:val="auto"/>
          <w:sz w:val="21"/>
          <w:szCs w:val="21"/>
          <w:highlight w:val="none"/>
        </w:rPr>
        <w:t>完成并经招标人验收合格后付至结算价款的98%，余款质保期满</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无遗留质量问题</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无息</w:t>
      </w:r>
      <w:r>
        <w:rPr>
          <w:rFonts w:hint="eastAsia" w:ascii="宋体" w:hAnsi="宋体" w:eastAsia="宋体" w:cs="宋体"/>
          <w:b/>
          <w:bCs/>
          <w:color w:val="auto"/>
          <w:sz w:val="21"/>
          <w:szCs w:val="21"/>
          <w:highlight w:val="none"/>
        </w:rPr>
        <w:t>一次性付清。</w:t>
      </w:r>
    </w:p>
    <w:p w14:paraId="15ED4471">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本合同由滁州市城投交通控股有限公司统一组织招标并签订。以下三家项目公司根据实际采购升级改造数量分别结算并支付：安徽来六高速公路开发有限公司、安徽明巢高速公路开发有限公司、安徽滁合高速公路开发有限公司</w:t>
      </w:r>
    </w:p>
    <w:p w14:paraId="57F94B48">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乙方应按照三家项目公司各自应付的费用金额，分别向对应项目公司开具合法有效的增值税专用发票。各项目公司收到发票后，按合同约定的支付期限支付相应费用。</w:t>
      </w:r>
    </w:p>
    <w:p w14:paraId="58C1DBEC">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各项目公司仅对自己应付的费用承担支付义务，相互之间不承担连带责任。乙方不得以任一项目公司未支付为由，要求其他项目公司代为支付或暂停服务。</w:t>
      </w:r>
    </w:p>
    <w:p w14:paraId="5D5446CF">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若乙方未按约定分别开具发票，或开票信息错误导致项目公司无法及时支付的，视为乙方未提交有效支付申请，项目公司有权顺延支付且不承担逾期付款责任。</w:t>
      </w:r>
    </w:p>
    <w:p w14:paraId="6C74376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合同供货（服务）期限</w:t>
      </w:r>
    </w:p>
    <w:p w14:paraId="04993A71">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1.2026年9月底：完成出入口站级系统软硬件改造，具备开展相关业务处理能力和测试条件；</w:t>
      </w:r>
    </w:p>
    <w:p w14:paraId="24481906">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2.2026年10月底：实现省内路网联网联调，迭代系统功能和优化配置站级系统资源，开展实车测试，为全国并网测试做好准备；</w:t>
      </w:r>
    </w:p>
    <w:p w14:paraId="43066581">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3.2026年11月底：完成全线收费、门架系统培训，系统具备全国并网测试条件；</w:t>
      </w:r>
    </w:p>
    <w:p w14:paraId="3E08DAC5">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4.2026年12月底：配合交通运输部完成全流程测试评估，“手机 +”无卡通行功能正式上线稳定运行。</w:t>
      </w:r>
    </w:p>
    <w:p w14:paraId="500246DA">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5.缺陷责任期：自交工验收合格之日起36个月，缺陷责任期内乙方负责免费维修、升级、故障处置。</w:t>
      </w:r>
    </w:p>
    <w:p w14:paraId="5B1580E0">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验收要求</w:t>
      </w:r>
    </w:p>
    <w:p w14:paraId="037A4D4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1.货物运至指定地点后，甲乙双方应共同开箱清点数量、检查外观及核对型号规格，签署《到货接收单》。安装调试完成后，进入[30]日的试运行期。试运行期满无重大问题，双方进行验收，签署《验收报告》。</w:t>
      </w:r>
    </w:p>
    <w:p w14:paraId="7989A2E3">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2.货物在验收时，投标人应提供制造厂家出具的产品合格证书、装箱清单等,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投标人提供的必要文件。</w:t>
      </w:r>
    </w:p>
    <w:p w14:paraId="5E988D98">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3.验收标准。除符合《采购需求及技术参数要求》外，还应符合本合同引用的国家标准、行业标准或制造商公开承诺的更优标准（以严格者为准）。</w:t>
      </w:r>
    </w:p>
    <w:p w14:paraId="0DB07B9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项目完工后，乙方提交完整竣工资料，甲方组织交工验收，须满足：车道无卡通行业务正常、车牌识别可靠、计费清算准确、与省联网平台数据交互正常，通过联网主管部门业务测试等，方可视为验收合格。试运行期间如发生重大功能缺陷或系统故障，试运行期自问题修复并经甲方确认后重新起算，直至连续稳定运行满30日。</w:t>
      </w:r>
    </w:p>
    <w:p w14:paraId="7D7EC6FB">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七、双方主要责任</w:t>
      </w:r>
    </w:p>
    <w:p w14:paraId="7B27183C">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w:t>
      </w:r>
    </w:p>
    <w:p w14:paraId="64097D3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1.提供现场施工条件，协调收费站现场配合施工、测试工作；</w:t>
      </w:r>
    </w:p>
    <w:p w14:paraId="41E5CAED">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2.按合同约定审核并支付工程款项；</w:t>
      </w:r>
    </w:p>
    <w:p w14:paraId="561151C7">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3.组织项目阶段测试、交工验收，对接省联网管理单位开展联调。</w:t>
      </w:r>
    </w:p>
    <w:p w14:paraId="407E91C8">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w:t>
      </w:r>
    </w:p>
    <w:p w14:paraId="213DFEF6">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1.严格执行交通运输部、安徽省高速收费技术标准，确保系统兼容现有收费平台，计费准确、通行稳定、数据完整上传；</w:t>
      </w:r>
    </w:p>
    <w:p w14:paraId="137DF77F">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2.落实网络安全、数据安全要求，做好用户通行数据保护，杜绝信息泄露风险 ；</w:t>
      </w:r>
    </w:p>
    <w:p w14:paraId="4031374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3.负责施工安全，承担施工期间安全事故全部责任；</w:t>
      </w:r>
    </w:p>
    <w:p w14:paraId="4D7C935E">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4.负责甲方收费人员业务操作培训，提供完整竣工资料；</w:t>
      </w:r>
    </w:p>
    <w:p w14:paraId="44309FB7">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5.缺陷责任期7×24小时技术响应，接到故障报修后及时到场处置。</w:t>
      </w:r>
    </w:p>
    <w:p w14:paraId="1320619D">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 因本项目升级改造所产生的系统软件、应用程序及定制化功能模块的知识产权，归甲方所有。乙方须向甲方交付完整的源代码及相关技术文档，不得设置任何技术壁垒或使用限制。</w:t>
      </w:r>
    </w:p>
    <w:p w14:paraId="5AF6DB82">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八、安全生产专项条款</w:t>
      </w:r>
    </w:p>
    <w:p w14:paraId="3247FADB">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1.安全主体责任</w:t>
      </w:r>
    </w:p>
    <w:p w14:paraId="2491119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（1）乙方为本项目安全生产第一责任方，全面承担项目施工、调试、试运行全过程的人身安全、设备安全、道路通行安全、网络信息安全及消防安全全部责任，承担一切安全事故的处置、赔偿及法律责任。</w:t>
      </w:r>
    </w:p>
    <w:p w14:paraId="0F767D2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（2）乙方须严格遵守《安全生产法》及甲方安全生产、涉路施工、封闭管控相关管理制度。</w:t>
      </w:r>
    </w:p>
    <w:p w14:paraId="22B0EFD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2.施工安全管理</w:t>
      </w:r>
    </w:p>
    <w:p w14:paraId="28571DE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（1）乙方进场前须完成全员安全教育、安全技术交底，特种作业人员、机电施工人员必须持证上岗，严禁无证作业、违规作业、违章指挥；</w:t>
      </w:r>
    </w:p>
    <w:p w14:paraId="06C7032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涉车道、收费大棚、机房施工作业，须提前向甲方报备施工计划、作业时段、安全防护方案，严格按照高速涉路施工标准布设警示标志、围挡、防护设施，做好车流疏导、现场值守，严禁影响正常高速通行秩序；</w:t>
      </w:r>
    </w:p>
    <w:p w14:paraId="0E9B3830">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（3）施工期间严禁私拉乱接电线、违规动火、带电违章操作，做好机电设备、线路、机房设备防护，杜绝触电、火灾、设备损毁等安全事故。</w:t>
      </w:r>
    </w:p>
    <w:p w14:paraId="60BDDEDB">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3.通行与现场安全</w:t>
      </w:r>
    </w:p>
    <w:p w14:paraId="31978D9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（1）乙方施工必须避让车流高峰，合理规划作业窗口，严控占道施工时长，杜绝因施工不当造成车道拥堵、车辆剐蹭、交通事故；</w:t>
      </w:r>
    </w:p>
    <w:p w14:paraId="668DF54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（2）施工现场做到工完场清、物料规整，严禁杂物、设备遗留车道及通行区域，消除道路安全隐患。</w:t>
      </w:r>
    </w:p>
    <w:p w14:paraId="12B53C2C">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4.网络与信息安全</w:t>
      </w:r>
    </w:p>
    <w:p w14:paraId="31E3CCE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（1）乙方严格遵守网络安全、数据安全、保密管理规定，不得越权访问、拷贝、留存、外传高速收费数据、用户通行信息、系统后台数据；</w:t>
      </w:r>
    </w:p>
    <w:p w14:paraId="386009DF">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（2）施工调试过程中严禁擅自篡改系统参数、后台配置，不得植入病毒、后门程序，保障收费系统网络安全、运行安全；若造成网络安全事件、系统瘫痪、数据丢失泄露，乙方承担全部法律责任和经济损失。</w:t>
      </w:r>
    </w:p>
    <w:p w14:paraId="6E49532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5.事故处置与追责</w:t>
      </w:r>
    </w:p>
    <w:p w14:paraId="73D5538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（1）项目施工、调试期间若发生人身伤害、设备损毁、交通事故、网络安全事故，乙方须第一时间处置、上报甲方，积极配合调查取证；</w:t>
      </w:r>
    </w:p>
    <w:p w14:paraId="4CDEF9B6">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凡因乙方管理疏漏、违规作业、安全措施不到位引发的一切安全事故、行政处罚、经济赔偿、舆情影响，均由乙方全权承担，甲方不承担任何连带责任，同时甲方有权根据情节轻重扣除履约保证金、追究违约责任。</w:t>
      </w:r>
    </w:p>
    <w:p w14:paraId="241C5A3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6.安全履约要求</w:t>
      </w:r>
    </w:p>
    <w:p w14:paraId="2905A67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乙方须全程落实安全文明施工标准化要求，接受甲方日常安全巡查，对甲方提出的安全隐患问题须限时闭环整改，拒不整改或整改不到位的，甲方有权暂停施工、暂停款项支付。</w:t>
      </w:r>
    </w:p>
    <w:p w14:paraId="1A2B3C3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bookmarkStart w:id="103" w:name="_Toc28375"/>
      <w:bookmarkStart w:id="104" w:name="_Toc16021"/>
      <w:bookmarkStart w:id="105" w:name="_Toc15583"/>
      <w:r>
        <w:rPr>
          <w:rFonts w:hint="eastAsia" w:ascii="宋体" w:hAnsi="宋体" w:eastAsia="宋体" w:cs="宋体"/>
          <w:color w:val="auto"/>
          <w:sz w:val="21"/>
          <w:szCs w:val="21"/>
          <w:highlight w:val="none"/>
          <w:lang w:val="en-US" w:eastAsia="zh-CN"/>
        </w:rPr>
        <w:t>九、合同争议的解决</w:t>
      </w:r>
      <w:bookmarkEnd w:id="103"/>
      <w:bookmarkEnd w:id="104"/>
      <w:bookmarkEnd w:id="105"/>
    </w:p>
    <w:p w14:paraId="64CE3A6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本合同履行过程中发生的任何争议，双方当事人均可通过和解或者调解解决；不愿和解、调解或者和解、调解不成的，可以选择下列第 （2） 种方式解决：</w:t>
      </w:r>
    </w:p>
    <w:p w14:paraId="0DEB9BD0">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1.将争议提交滁州仲裁委员会依申请仲裁时其现行有效的仲裁规则裁决；</w:t>
      </w:r>
    </w:p>
    <w:p w14:paraId="1821DE9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2.向甲方住所地有管辖权的人民法院起诉。</w:t>
      </w:r>
    </w:p>
    <w:p w14:paraId="1FACB8F2">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十、</w:t>
      </w:r>
      <w:r>
        <w:rPr>
          <w:rFonts w:hint="eastAsia" w:ascii="宋体" w:hAnsi="宋体" w:eastAsia="宋体" w:cs="宋体"/>
          <w:color w:val="auto"/>
          <w:sz w:val="21"/>
          <w:szCs w:val="21"/>
          <w:highlight w:val="none"/>
        </w:rPr>
        <w:t>合同的生效</w:t>
      </w:r>
    </w:p>
    <w:p w14:paraId="5F14E322">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本合同一式肆份，双方各执贰份。本合同自双方签字、盖章时生效。</w:t>
      </w:r>
    </w:p>
    <w:p w14:paraId="5514F473">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买  方：                          卖  方：</w:t>
      </w:r>
    </w:p>
    <w:p w14:paraId="69EA92B6">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称：（盖章）                  名  称：（盖章）</w:t>
      </w:r>
    </w:p>
    <w:p w14:paraId="4F6F2C8F">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      法定代表人（或委托代理人）：</w:t>
      </w:r>
    </w:p>
    <w:p w14:paraId="0404EA2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                        （签字）</w:t>
      </w:r>
    </w:p>
    <w:p w14:paraId="7A35C19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                        地    址：</w:t>
      </w:r>
    </w:p>
    <w:p w14:paraId="1760C12F">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                        邮政编码：</w:t>
      </w:r>
    </w:p>
    <w:p w14:paraId="77A6573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                        电    话：</w:t>
      </w:r>
    </w:p>
    <w:p w14:paraId="3C01668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                        开户银行：</w:t>
      </w:r>
    </w:p>
    <w:p w14:paraId="400E8C9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帐    号：                        帐    号：</w:t>
      </w:r>
    </w:p>
    <w:p w14:paraId="35BE43D5">
      <w:pPr>
        <w:pageBreakBefore w:val="0"/>
        <w:kinsoku/>
        <w:wordWrap/>
        <w:topLinePunct w:val="0"/>
        <w:autoSpaceDE/>
        <w:bidi w:val="0"/>
        <w:snapToGrid/>
        <w:spacing w:line="480" w:lineRule="exact"/>
        <w:ind w:left="0" w:leftChars="0" w:right="0" w:rightChars="0" w:firstLine="422" w:firstLineChars="200"/>
        <w:jc w:val="center"/>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二、合同条款</w:t>
      </w:r>
    </w:p>
    <w:p w14:paraId="52BBE8C6">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 合同文件</w:t>
      </w:r>
    </w:p>
    <w:p w14:paraId="1C6BA87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1.合同文件适用法律</w:t>
      </w:r>
    </w:p>
    <w:p w14:paraId="493649A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适用于合同文件的法律是中华人民共和国现行法律、法规及采购人所在地的地方性法规。</w:t>
      </w:r>
    </w:p>
    <w:p w14:paraId="0B669E98">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2.合同文件组成和解释顺序</w:t>
      </w:r>
    </w:p>
    <w:p w14:paraId="1673CE62">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(1)合同文件的组成和解释顺序如下：</w:t>
      </w:r>
    </w:p>
    <w:p w14:paraId="6AE9E8A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&lt;1&gt;合同的主要条款；</w:t>
      </w:r>
    </w:p>
    <w:p w14:paraId="2CFD456B">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&lt;2&gt;合同的一般性条款；</w:t>
      </w:r>
    </w:p>
    <w:p w14:paraId="7995A513">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&lt;3&gt;洽商、变更等明确双方权利义务的纪要、协议；</w:t>
      </w:r>
    </w:p>
    <w:p w14:paraId="63FE5C8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&lt;4&gt;中标通知书、投标文件和招标文件；</w:t>
      </w:r>
    </w:p>
    <w:p w14:paraId="33D27A4E">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&lt;5&gt;有关图纸、标准、规范和其它有关技术资料、技术要求。</w:t>
      </w:r>
    </w:p>
    <w:p w14:paraId="1A6CF0A0">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&lt;6&gt;合同的主要条款的效力优于合同的一般性条款的效力。</w:t>
      </w:r>
    </w:p>
    <w:p w14:paraId="46714900">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3.合同文件使用文字</w:t>
      </w:r>
    </w:p>
    <w:p w14:paraId="23282A70">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(1)合同文件使用中文书写、解释和说明。</w:t>
      </w:r>
    </w:p>
    <w:p w14:paraId="49BED53F">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14:paraId="6D62CEE9">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二.标的物的一般条款</w:t>
      </w:r>
    </w:p>
    <w:p w14:paraId="2BEC0647">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4.完整物权</w:t>
      </w:r>
    </w:p>
    <w:p w14:paraId="3C2482BC">
      <w:pPr>
        <w:pageBreakBefore w:val="0"/>
        <w:tabs>
          <w:tab w:val="left" w:pos="660"/>
        </w:tabs>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对于出卖的标的物，</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应当拥有完整物权，并且</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负有保证第三人不得向</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主张任何权利（包括知识产权）的义务。</w:t>
      </w:r>
    </w:p>
    <w:p w14:paraId="6D1A2B37">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5.质量保证</w:t>
      </w:r>
    </w:p>
    <w:p w14:paraId="505B24D7">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应保证所供标的物是全新的，未使用过的，并且是非长期积压的库存商品，完全符合合同规定的质量、规格和性能的要求，</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应保证其提供的标的物在正确安装，正常使用和保养条件下，在其标称的使用寿命期内应具有满意的性能。在</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承诺的质量保证期限内，</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应对由于设计、工艺或材料的缺陷及伴随服务而造成的任何不足或故障负责。</w:t>
      </w:r>
    </w:p>
    <w:p w14:paraId="35570EF6">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(2)根据</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按检验标准自己检验的结果或当地技监部门的检验结果，或者在质量保证期内，如果标的物的数量、质量或规格与合同不符或证实标的物是有缺陷的，包括潜在缺陷或使用不符合要求的材料等，</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应尽快以书面形式通知</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并提出索赔。</w:t>
      </w:r>
    </w:p>
    <w:p w14:paraId="02A5EEAD">
      <w:pPr>
        <w:pStyle w:val="11"/>
        <w:pageBreakBefore w:val="0"/>
        <w:tabs>
          <w:tab w:val="left" w:pos="900"/>
        </w:tabs>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(3)除合同主要条款规定外，合同条款中标的物的质量保证期均自标的物通过最终验收之日起计算，且质量保证期按不低于国家标准和</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承诺的高于国家标准的质保期（</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有特殊要求的除外）。</w:t>
      </w:r>
    </w:p>
    <w:p w14:paraId="6D86BB36">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6.包装</w:t>
      </w:r>
    </w:p>
    <w:p w14:paraId="6E45A3EA">
      <w:pPr>
        <w:pStyle w:val="11"/>
        <w:pageBreakBefore w:val="0"/>
        <w:tabs>
          <w:tab w:val="left" w:pos="900"/>
        </w:tabs>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应当按照约定的包装方式交付标的物。对包装方式没有约定或者约定不明确的，应当按照双方补充协议约定的方式包装，或者按照通用的方式包装，没有通用方式的，应当采取足以保护标的物的包装方式。</w:t>
      </w:r>
    </w:p>
    <w:p w14:paraId="52D918F1">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7.伴随服务</w:t>
      </w:r>
    </w:p>
    <w:p w14:paraId="39CECD3D">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除应履行按期按量交付合格标的物的义务之外，还应提供下列服务：</w:t>
      </w:r>
    </w:p>
    <w:p w14:paraId="7BF4F997">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&lt;1&gt;标的物的现场安装或指导安装、启动、调试、监督（如果必须安装、调试的话）；</w:t>
      </w:r>
    </w:p>
    <w:p w14:paraId="6350F340">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&lt;2&gt;提供标的物组装和一般维修所必须的工具；</w:t>
      </w:r>
    </w:p>
    <w:p w14:paraId="29644391">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&lt;3&gt;在合同规定的期限内对所提供标的物实行运行监督、维修服务的前提条件是该服务并不能免除</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在质量保证期内所承担的义务；</w:t>
      </w:r>
    </w:p>
    <w:p w14:paraId="663D4CE7">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&lt;4&gt;对</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技术人员的技术指导或培训。</w:t>
      </w:r>
    </w:p>
    <w:p w14:paraId="2E3BE3F4">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(2)除合同另有规定之外，伴随服务的费用均已含在合同价款中，</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不再另行进行支付。</w:t>
      </w:r>
    </w:p>
    <w:p w14:paraId="5A7C4415">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三.标的物的交付、检验和验收</w:t>
      </w:r>
    </w:p>
    <w:p w14:paraId="0BA1C874">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8.标的物的交付</w:t>
      </w:r>
    </w:p>
    <w:p w14:paraId="2D2A4987">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(1)标的物的所有权自标的物交付时转移。</w:t>
      </w:r>
    </w:p>
    <w:p w14:paraId="633913D9">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应当按照约定的期限和约定的地点交付符合招标文件要求的标的物。</w:t>
      </w:r>
    </w:p>
    <w:p w14:paraId="40B30315">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应当按照约定或者交易习惯向采购人交付提取标的物单证以外的有关单证和资料。</w:t>
      </w:r>
    </w:p>
    <w:p w14:paraId="78A1C232">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9.检验和验收</w:t>
      </w:r>
    </w:p>
    <w:p w14:paraId="01E79E24">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(1)在交货时，</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应配合</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对标的物的质量、规格、性能、数量等进行详细而全面的检验，并出具一份合格检验证明，合格检验证明作为验收的依据，但不能作为有关标的物质量、规格、数量或性能的最终检验结果。</w:t>
      </w:r>
    </w:p>
    <w:p w14:paraId="53A4D4C6">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根据合同规定的内容和验收标准进行验收，经检验无误后出具验收合格证明，该证明作为最终付款所需文件的组成部分。</w:t>
      </w:r>
    </w:p>
    <w:p w14:paraId="5D3C41EC">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(3)验收期限项目自完成且收到供应商验收申请后5个工作日内组织开展履约验收。特殊情况需延长的，双方应在合同条款中约定。</w:t>
      </w:r>
    </w:p>
    <w:p w14:paraId="366DCDF5">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 对标的物提出异议的时间和办法</w:t>
      </w:r>
    </w:p>
    <w:p w14:paraId="135BBF12">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10.对标的物提出异议的时间和办法 </w:t>
      </w:r>
    </w:p>
    <w:p w14:paraId="68773219">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在验收过程中，应当于双方约定的检验期间内将标的物的数量或质量不符合约定的情形及处理方式以书面形式通知</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w:t>
      </w:r>
    </w:p>
    <w:p w14:paraId="771A7EC9">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(2)甲方应在验收期满后</w:t>
      </w:r>
      <w:r>
        <w:rPr>
          <w:rFonts w:hint="eastAsia" w:ascii="宋体" w:hAnsi="宋体" w:eastAsia="宋体" w:cs="宋体"/>
          <w:color w:val="auto"/>
          <w:sz w:val="21"/>
          <w:szCs w:val="21"/>
          <w:highlight w:val="none"/>
          <w:u w:val="none" w:color="000000"/>
          <w:lang w:val="en-US" w:eastAsia="zh-CN"/>
        </w:rPr>
        <w:t>30</w:t>
      </w:r>
      <w:r>
        <w:rPr>
          <w:rFonts w:hint="eastAsia" w:ascii="宋体" w:hAnsi="宋体" w:eastAsia="宋体" w:cs="宋体"/>
          <w:color w:val="auto"/>
          <w:sz w:val="21"/>
          <w:szCs w:val="21"/>
          <w:highlight w:val="none"/>
          <w:u w:val="none" w:color="000000"/>
        </w:rPr>
        <w:t>个工作日内出具书面验收意见。逾期未出具且未书面提出异议的，视为标的物初步验收合格，但该认定不免除乙方在质量保证期内的全部责任。</w:t>
      </w:r>
    </w:p>
    <w:p w14:paraId="3E4F4158">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应在收到</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书面异议后七天内负责处理问题，否则将视为默认</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提出的异议和处理意见。</w:t>
      </w:r>
    </w:p>
    <w:p w14:paraId="0B469FA1">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 合同价款和支付</w:t>
      </w:r>
    </w:p>
    <w:p w14:paraId="60CDC02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11.合同价款和支付</w:t>
      </w:r>
    </w:p>
    <w:p w14:paraId="7D29654C">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(1)本合同的结算货币为人民币，单位元。</w:t>
      </w:r>
    </w:p>
    <w:p w14:paraId="6B50651F">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应按照双方签订的合同规定交货并在合同主要条款规定的期限内持下列单据结算货款：</w:t>
      </w:r>
    </w:p>
    <w:p w14:paraId="0E63ADF5">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&lt;1&gt;合格的销售发票；</w:t>
      </w:r>
    </w:p>
    <w:p w14:paraId="6EBEB8DF">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盖章签收后的送货回单和验收合格证明。</w:t>
      </w:r>
    </w:p>
    <w:p w14:paraId="040A8D26">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应按合同主要条款规定的期限和方式付款。</w:t>
      </w:r>
    </w:p>
    <w:p w14:paraId="7F2C7DFA">
      <w:pPr>
        <w:pStyle w:val="11"/>
        <w:pageBreakBefore w:val="0"/>
        <w:tabs>
          <w:tab w:val="left" w:pos="540"/>
        </w:tabs>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(4)根据现行税法对</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征收的与本合同有关的一切税费均由</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承担；根据现行税法对</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征收的与本合同有关的一切税费均由</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承担。</w:t>
      </w:r>
    </w:p>
    <w:p w14:paraId="3829309C">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 违约责任</w:t>
      </w:r>
    </w:p>
    <w:p w14:paraId="1A6074CE">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12.违约责任</w:t>
      </w:r>
    </w:p>
    <w:p w14:paraId="7210F584">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合同一方不履行合同义务或者履行合同义务不符合约定的，应当承担继续履行、采取补救措施或者赔偿损失等违约责任。</w:t>
      </w:r>
    </w:p>
    <w:p w14:paraId="72300353">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违约责任</w:t>
      </w:r>
    </w:p>
    <w:p w14:paraId="74546931">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(1)在合同生效后，</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要求退货的，应向</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偿付合同总价款的5%，作为违约金，违约金不足以补偿损失的，</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有权要求甲方补足。</w:t>
      </w:r>
    </w:p>
    <w:p w14:paraId="2DF9A571">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逾期付款的应按照逾期付款金额的每天万分之四支付逾期付款违约金。</w:t>
      </w:r>
    </w:p>
    <w:p w14:paraId="195C7C34">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违反合同规定，拒绝接收</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交付的符合招标文件要求的合格标的物，应当承担</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由此造成的损失。</w:t>
      </w:r>
    </w:p>
    <w:p w14:paraId="41EB6452">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违约责任</w:t>
      </w:r>
    </w:p>
    <w:p w14:paraId="604896DE">
      <w:pPr>
        <w:pStyle w:val="11"/>
        <w:pageBreakBefore w:val="0"/>
        <w:kinsoku/>
        <w:wordWrap/>
        <w:overflowPunct w:val="0"/>
        <w:topLinePunct w:val="0"/>
        <w:autoSpaceDE/>
        <w:bidi w:val="0"/>
        <w:snapToGrid/>
        <w:spacing w:line="480" w:lineRule="exact"/>
        <w:ind w:left="0" w:leftChars="0" w:right="0" w:rightChars="0" w:firstLine="422" w:firstLineChars="200"/>
        <w:rPr>
          <w:rFonts w:hint="eastAsia" w:ascii="宋体" w:hAnsi="宋体" w:eastAsia="宋体" w:cs="宋体"/>
          <w:b/>
          <w:bCs/>
          <w:color w:val="auto"/>
          <w:sz w:val="21"/>
          <w:szCs w:val="21"/>
          <w:highlight w:val="none"/>
          <w:u w:val="none" w:color="000000"/>
          <w:lang w:eastAsia="zh-CN"/>
        </w:rPr>
      </w:pPr>
      <w:r>
        <w:rPr>
          <w:rFonts w:hint="eastAsia" w:ascii="宋体" w:hAnsi="宋体" w:eastAsia="宋体" w:cs="宋体"/>
          <w:b/>
          <w:bCs/>
          <w:color w:val="auto"/>
          <w:sz w:val="21"/>
          <w:szCs w:val="21"/>
          <w:highlight w:val="none"/>
          <w:u w:val="none" w:color="000000"/>
        </w:rPr>
        <w:t>(1)</w:t>
      </w:r>
      <w:r>
        <w:rPr>
          <w:rFonts w:hint="eastAsia" w:ascii="宋体" w:hAnsi="宋体" w:eastAsia="宋体" w:cs="宋体"/>
          <w:b/>
          <w:bCs/>
          <w:i w:val="0"/>
          <w:iCs w:val="0"/>
          <w:caps w:val="0"/>
          <w:color w:val="auto"/>
          <w:spacing w:val="0"/>
          <w:sz w:val="21"/>
          <w:szCs w:val="21"/>
          <w:highlight w:val="none"/>
          <w:shd w:val="clear" w:fill="EBEEF2"/>
        </w:rPr>
        <w:t>乙方未按合同约定的各阶段时间节点（2026年9月底、10月底、11月底、12月底）完成相应工作的，每逾期一日，应按合同总价款的万分之四向甲方支付违约金；逾期超过15日的，甲方有权解除合同，乙方另须支付合同总价款5%的违约金。</w:t>
      </w:r>
    </w:p>
    <w:p w14:paraId="0883BDF8">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lang w:eastAsia="zh-CN"/>
        </w:rPr>
      </w:pPr>
      <w:r>
        <w:rPr>
          <w:rFonts w:hint="eastAsia" w:ascii="宋体" w:hAnsi="宋体" w:eastAsia="宋体" w:cs="宋体"/>
          <w:color w:val="auto"/>
          <w:sz w:val="21"/>
          <w:szCs w:val="21"/>
          <w:highlight w:val="none"/>
          <w:u w:val="none" w:color="000000"/>
        </w:rPr>
        <w:t>(2)</w:t>
      </w:r>
      <w:r>
        <w:rPr>
          <w:rFonts w:hint="eastAsia" w:ascii="宋体" w:hAnsi="宋体" w:eastAsia="宋体" w:cs="宋体"/>
          <w:color w:val="auto"/>
          <w:sz w:val="21"/>
          <w:szCs w:val="21"/>
          <w:highlight w:val="none"/>
          <w:u w:val="none" w:color="000000"/>
          <w:lang w:eastAsia="zh-CN"/>
        </w:rPr>
        <w:t>系统达不到技术标准、无法正常开展无卡通行业务，乙方须限期整改，整改仍不合格，甲方有权解除合同并追究损失；</w:t>
      </w:r>
    </w:p>
    <w:p w14:paraId="5D9663F9">
      <w:pPr>
        <w:pStyle w:val="11"/>
        <w:keepNext w:val="0"/>
        <w:keepLines w:val="0"/>
        <w:pageBreakBefore w:val="0"/>
        <w:widowControl w:val="0"/>
        <w:kinsoku/>
        <w:wordWrap/>
        <w:overflowPunct w:val="0"/>
        <w:topLinePunct w:val="0"/>
        <w:autoSpaceDE/>
        <w:autoSpaceDN/>
        <w:bidi w:val="0"/>
        <w:adjustRightInd w:val="0"/>
        <w:snapToGrid/>
        <w:spacing w:line="480" w:lineRule="exact"/>
        <w:ind w:left="0" w:leftChars="0" w:right="0" w:rightChars="0" w:firstLine="420" w:firstLineChars="200"/>
        <w:textAlignment w:val="baseline"/>
        <w:rPr>
          <w:rFonts w:hint="eastAsia" w:ascii="宋体" w:hAnsi="宋体" w:eastAsia="宋体" w:cs="宋体"/>
          <w:color w:val="auto"/>
          <w:sz w:val="21"/>
          <w:szCs w:val="21"/>
          <w:highlight w:val="none"/>
          <w:u w:val="none" w:color="000000"/>
          <w:lang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w:t>
      </w: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因乙方数据安全、系统故障造成经济损失，由乙方承担赔偿责任。</w:t>
      </w:r>
    </w:p>
    <w:p w14:paraId="64A3FE5A">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15.不可抗力</w:t>
      </w:r>
    </w:p>
    <w:p w14:paraId="4ECF291C">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14:paraId="4DD074A5">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(2)合同一方因不可抗力不能履行合同的，应当及时通知对方，以减轻可能给对方造成的损失，并应当在合理期限内提供证明。</w:t>
      </w:r>
    </w:p>
    <w:p w14:paraId="47B295F3">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 索赔</w:t>
      </w:r>
    </w:p>
    <w:p w14:paraId="3EE219C0">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16.索赔</w:t>
      </w:r>
    </w:p>
    <w:p w14:paraId="10518004">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有权根据当地产品质量检验机构或其它有权威部门出具的检验证书向</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提出索赔。</w:t>
      </w:r>
    </w:p>
    <w:p w14:paraId="6639293E">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(2)在本合同规定的检验期和质量保证期内，如果</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对</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提出的索赔或差异有责任，则</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应按</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同意的下列一种或多种方式解决索赔事宜：</w:t>
      </w:r>
    </w:p>
    <w:p w14:paraId="33A9FF24">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同意退货，并按合同规定的货币将货款退还给</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，并承担由此发生的一切损失和费用，包括利息、银行手续费、运费、保险费、检验费、仓储费、装卸费以及为保护退回标的物所需的其它必要费用；</w:t>
      </w:r>
    </w:p>
    <w:p w14:paraId="4112C575">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&lt;2&gt;根据标的物的低劣程度、损坏程度以及甲方遭受损失的数额，经双方协商确定降低标的物的价格；</w:t>
      </w:r>
    </w:p>
    <w:p w14:paraId="4F8445BC">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&lt;3&gt;用符合规格、质量和性能要求的新零件、部件或标的物来更换有缺陷的部分或修补缺陷部分，</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应承担一切费用和风险并负担</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所发生的一切直接费用。同时，</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应按合同规定，相应延长修补或被更换部件或标的物的质量保证期。</w:t>
      </w:r>
    </w:p>
    <w:p w14:paraId="0344C1D1">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(3)如果在</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发出索赔通知后七天内，</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未能答复，上述索赔应视为已被</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接受。若</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未在</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提出索赔通知后七天内或</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同意的更长时间内，按照合同规定的任何一种方法解决索赔事宜，</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将从未付款或</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开具的履约保证金中扣回索赔金额，如果这些金额不足以补偿索赔金额，</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有权向</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提出对不足部分的补偿。</w:t>
      </w:r>
    </w:p>
    <w:p w14:paraId="28EFD3F1">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(4)</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提出索赔的书面材料应报当地政府采购管理部门备案。</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同意的索赔方案应报当地政府采购管理部门审核。</w:t>
      </w:r>
    </w:p>
    <w:p w14:paraId="794C1602">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八.履约保证金</w:t>
      </w:r>
    </w:p>
    <w:p w14:paraId="074CBDA5">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17.履约保证金</w:t>
      </w:r>
    </w:p>
    <w:p w14:paraId="0D9BFF4D">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应在本合同签订时，按招标文件的约定提供相应的履约保证金，保证金的有效期应不低于合同有效期。</w:t>
      </w:r>
    </w:p>
    <w:p w14:paraId="00BCD577">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(2)如果</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未能履行合同规定的任何义务，</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有权从履约保证金中取得补偿。</w:t>
      </w:r>
    </w:p>
    <w:p w14:paraId="66DA71AF">
      <w:pPr>
        <w:pStyle w:val="11"/>
        <w:pageBreakBefore w:val="0"/>
        <w:kinsoku/>
        <w:wordWrap/>
        <w:overflowPunct w:val="0"/>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（3）履约担保的金额：中标价 ×2%，千位取整。</w:t>
      </w:r>
    </w:p>
    <w:p w14:paraId="79B33688">
      <w:pPr>
        <w:pStyle w:val="11"/>
        <w:pageBreakBefore w:val="0"/>
        <w:kinsoku/>
        <w:wordWrap/>
        <w:overflowPunct w:val="0"/>
        <w:topLinePunct w:val="0"/>
        <w:autoSpaceDE/>
        <w:bidi w:val="0"/>
        <w:snapToGrid/>
        <w:spacing w:line="480" w:lineRule="exact"/>
        <w:ind w:left="0" w:leftChars="0" w:right="0" w:rightChars="0" w:firstLine="422" w:firstLineChars="20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九.合同的解除和转让</w:t>
      </w:r>
    </w:p>
    <w:p w14:paraId="03148506">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18.合同的解除</w:t>
      </w:r>
    </w:p>
    <w:p w14:paraId="6EA2523C">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w:t>
      </w:r>
      <w:r>
        <w:rPr>
          <w:rFonts w:hint="eastAsia" w:ascii="宋体" w:hAnsi="宋体" w:eastAsia="宋体" w:cs="宋体"/>
          <w:color w:val="auto"/>
          <w:sz w:val="21"/>
          <w:szCs w:val="21"/>
          <w:highlight w:val="none"/>
          <w:u w:val="none" w:color="000000"/>
          <w:lang w:eastAsia="zh-CN"/>
        </w:rPr>
        <w:t>甲方</w:t>
      </w:r>
      <w:r>
        <w:rPr>
          <w:rFonts w:hint="eastAsia" w:ascii="宋体" w:hAnsi="宋体" w:eastAsia="宋体" w:cs="宋体"/>
          <w:color w:val="auto"/>
          <w:sz w:val="21"/>
          <w:szCs w:val="21"/>
          <w:highlight w:val="none"/>
          <w:u w:val="none" w:color="000000"/>
        </w:rPr>
        <w:t>和</w:t>
      </w:r>
      <w:r>
        <w:rPr>
          <w:rFonts w:hint="eastAsia" w:ascii="宋体" w:hAnsi="宋体" w:eastAsia="宋体" w:cs="宋体"/>
          <w:color w:val="auto"/>
          <w:sz w:val="21"/>
          <w:szCs w:val="21"/>
          <w:highlight w:val="none"/>
          <w:u w:val="none" w:color="000000"/>
          <w:lang w:eastAsia="zh-CN"/>
        </w:rPr>
        <w:t>乙方</w:t>
      </w:r>
      <w:r>
        <w:rPr>
          <w:rFonts w:hint="eastAsia" w:ascii="宋体" w:hAnsi="宋体" w:eastAsia="宋体" w:cs="宋体"/>
          <w:color w:val="auto"/>
          <w:sz w:val="21"/>
          <w:szCs w:val="21"/>
          <w:highlight w:val="none"/>
          <w:u w:val="none" w:color="000000"/>
        </w:rPr>
        <w:t>协商一致，可以解除合同。</w:t>
      </w:r>
    </w:p>
    <w:p w14:paraId="43C5C51F">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(2)有下列情形之一，合同一方可以解除合同：</w:t>
      </w:r>
    </w:p>
    <w:p w14:paraId="1F654CE3">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&lt;1&gt;因不可抗力致使不能实现合同目的，未受不可抗力影响的一方有权解除合同；</w:t>
      </w:r>
    </w:p>
    <w:p w14:paraId="702883A2">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&lt;2&gt;因合同一方违约导致合同不能履行，另一方有权解除合同。</w:t>
      </w:r>
    </w:p>
    <w:p w14:paraId="439345C3">
      <w:pPr>
        <w:pStyle w:val="11"/>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14:paraId="69388D19">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19.合同的转让</w:t>
      </w:r>
    </w:p>
    <w:p w14:paraId="69735E3F">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合同的部分和全部都不得转让。</w:t>
      </w:r>
    </w:p>
    <w:p w14:paraId="5FE17EAF">
      <w:pPr>
        <w:pageBreakBefore w:val="0"/>
        <w:kinsoku/>
        <w:wordWrap/>
        <w:topLinePunct w:val="0"/>
        <w:autoSpaceDE/>
        <w:bidi w:val="0"/>
        <w:snapToGrid/>
        <w:spacing w:line="480" w:lineRule="exact"/>
        <w:ind w:left="0" w:leftChars="0" w:right="0" w:righ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十二.附则</w:t>
      </w:r>
    </w:p>
    <w:p w14:paraId="1B73CCE8">
      <w:pPr>
        <w:pageBreakBefore w:val="0"/>
        <w:kinsoku/>
        <w:wordWrap/>
        <w:topLinePunct w:val="0"/>
        <w:autoSpaceDE/>
        <w:bidi w:val="0"/>
        <w:snapToGrid/>
        <w:spacing w:line="48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.未尽事宜</w:t>
      </w:r>
    </w:p>
    <w:p w14:paraId="1EBA34B7">
      <w:pPr>
        <w:pageBreakBefore w:val="0"/>
        <w:kinsoku/>
        <w:wordWrap/>
        <w:topLinePunct w:val="0"/>
        <w:autoSpaceDE/>
        <w:bidi w:val="0"/>
        <w:snapToGrid/>
        <w:spacing w:line="480" w:lineRule="exact"/>
        <w:ind w:left="0" w:leftChars="0" w:right="0" w:rightChars="0" w:firstLine="420" w:firstLineChars="20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本合同未尽事宜应按《中华人民共和国民法典》、《中华人民共和国产品质量法》之规定解释。</w:t>
      </w:r>
    </w:p>
    <w:p w14:paraId="6F406E29">
      <w:pPr>
        <w:spacing w:before="156" w:beforeLines="50" w:after="156" w:afterLines="50"/>
        <w:ind w:firstLine="630" w:firstLineChars="300"/>
        <w:jc w:val="left"/>
        <w:outlineLvl w:val="0"/>
        <w:rPr>
          <w:rFonts w:hint="eastAsia" w:ascii="宋体" w:cs="宋体"/>
          <w:color w:val="auto"/>
          <w:szCs w:val="21"/>
          <w:highlight w:val="none"/>
        </w:rPr>
      </w:pPr>
    </w:p>
    <w:p w14:paraId="5E143752">
      <w:pPr>
        <w:spacing w:before="156" w:beforeLines="50" w:after="156" w:afterLines="50"/>
        <w:ind w:firstLine="630" w:firstLineChars="300"/>
        <w:jc w:val="left"/>
        <w:outlineLvl w:val="0"/>
        <w:rPr>
          <w:rFonts w:hint="eastAsia" w:ascii="宋体" w:cs="宋体"/>
          <w:color w:val="auto"/>
          <w:szCs w:val="21"/>
          <w:highlight w:val="none"/>
        </w:rPr>
      </w:pPr>
    </w:p>
    <w:p w14:paraId="67404E80">
      <w:pPr>
        <w:spacing w:before="156" w:beforeLines="50" w:after="156" w:afterLines="50"/>
        <w:ind w:firstLine="630" w:firstLineChars="300"/>
        <w:jc w:val="left"/>
        <w:outlineLvl w:val="0"/>
        <w:rPr>
          <w:rFonts w:hint="eastAsia" w:ascii="宋体" w:cs="宋体"/>
          <w:color w:val="auto"/>
          <w:szCs w:val="21"/>
          <w:highlight w:val="none"/>
        </w:rPr>
      </w:pPr>
    </w:p>
    <w:p w14:paraId="56FE9BDF">
      <w:pPr>
        <w:spacing w:before="156" w:beforeLines="50" w:after="156" w:afterLines="50"/>
        <w:ind w:firstLine="630" w:firstLineChars="300"/>
        <w:jc w:val="left"/>
        <w:outlineLvl w:val="0"/>
        <w:rPr>
          <w:rFonts w:hint="eastAsia" w:ascii="宋体" w:cs="宋体"/>
          <w:color w:val="auto"/>
          <w:szCs w:val="21"/>
          <w:highlight w:val="none"/>
        </w:rPr>
      </w:pPr>
    </w:p>
    <w:p w14:paraId="45EA6D46">
      <w:pPr>
        <w:spacing w:before="156" w:beforeLines="50" w:after="156" w:afterLines="50"/>
        <w:ind w:firstLine="630" w:firstLineChars="300"/>
        <w:jc w:val="left"/>
        <w:outlineLvl w:val="0"/>
        <w:rPr>
          <w:rFonts w:hint="eastAsia" w:ascii="宋体" w:cs="宋体"/>
          <w:color w:val="auto"/>
          <w:szCs w:val="21"/>
          <w:highlight w:val="none"/>
        </w:rPr>
      </w:pPr>
    </w:p>
    <w:p w14:paraId="55BA374A">
      <w:pPr>
        <w:spacing w:before="156" w:beforeLines="50" w:after="156" w:afterLines="50"/>
        <w:ind w:firstLine="630" w:firstLineChars="300"/>
        <w:jc w:val="left"/>
        <w:outlineLvl w:val="0"/>
        <w:rPr>
          <w:rFonts w:hint="eastAsia" w:ascii="宋体" w:cs="宋体"/>
          <w:color w:val="auto"/>
          <w:szCs w:val="21"/>
          <w:highlight w:val="none"/>
        </w:rPr>
      </w:pPr>
    </w:p>
    <w:p w14:paraId="5CA71B86">
      <w:pPr>
        <w:spacing w:before="156" w:beforeLines="50" w:after="156" w:afterLines="50"/>
        <w:ind w:firstLine="630" w:firstLineChars="300"/>
        <w:jc w:val="left"/>
        <w:outlineLvl w:val="0"/>
        <w:rPr>
          <w:rFonts w:hint="eastAsia" w:ascii="宋体" w:cs="宋体"/>
          <w:color w:val="auto"/>
          <w:szCs w:val="21"/>
          <w:highlight w:val="none"/>
        </w:rPr>
      </w:pPr>
    </w:p>
    <w:p w14:paraId="1B918808">
      <w:pPr>
        <w:spacing w:before="156" w:beforeLines="50" w:after="156" w:afterLines="50"/>
        <w:ind w:firstLine="630" w:firstLineChars="300"/>
        <w:jc w:val="left"/>
        <w:outlineLvl w:val="0"/>
        <w:rPr>
          <w:rFonts w:hint="eastAsia" w:ascii="宋体" w:cs="宋体"/>
          <w:color w:val="auto"/>
          <w:szCs w:val="21"/>
          <w:highlight w:val="none"/>
        </w:rPr>
      </w:pPr>
    </w:p>
    <w:p w14:paraId="65FA5C21">
      <w:pPr>
        <w:spacing w:before="156" w:beforeLines="50" w:after="156" w:afterLines="50"/>
        <w:ind w:firstLine="630" w:firstLineChars="300"/>
        <w:jc w:val="left"/>
        <w:outlineLvl w:val="0"/>
        <w:rPr>
          <w:rFonts w:hint="eastAsia" w:ascii="宋体" w:cs="宋体"/>
          <w:color w:val="auto"/>
          <w:szCs w:val="21"/>
          <w:highlight w:val="none"/>
        </w:rPr>
      </w:pPr>
    </w:p>
    <w:p w14:paraId="5A61FDF0">
      <w:pPr>
        <w:spacing w:before="156" w:beforeLines="50" w:after="156" w:afterLines="50"/>
        <w:ind w:firstLine="630" w:firstLineChars="300"/>
        <w:jc w:val="left"/>
        <w:outlineLvl w:val="0"/>
        <w:rPr>
          <w:rFonts w:hint="eastAsia" w:ascii="宋体" w:cs="宋体"/>
          <w:color w:val="auto"/>
          <w:szCs w:val="21"/>
          <w:highlight w:val="none"/>
        </w:rPr>
      </w:pPr>
    </w:p>
    <w:p w14:paraId="66978C27">
      <w:pPr>
        <w:spacing w:before="156" w:beforeLines="50" w:after="156" w:afterLines="50"/>
        <w:ind w:firstLine="630" w:firstLineChars="300"/>
        <w:jc w:val="left"/>
        <w:outlineLvl w:val="0"/>
        <w:rPr>
          <w:rFonts w:hint="eastAsia" w:ascii="宋体" w:cs="宋体"/>
          <w:color w:val="auto"/>
          <w:szCs w:val="21"/>
          <w:highlight w:val="none"/>
        </w:rPr>
      </w:pPr>
    </w:p>
    <w:p w14:paraId="45753E63">
      <w:pPr>
        <w:spacing w:before="156" w:beforeLines="50" w:after="156" w:afterLines="50"/>
        <w:ind w:firstLine="630" w:firstLineChars="300"/>
        <w:jc w:val="left"/>
        <w:outlineLvl w:val="0"/>
        <w:rPr>
          <w:rFonts w:hint="eastAsia" w:ascii="宋体" w:cs="宋体"/>
          <w:color w:val="auto"/>
          <w:szCs w:val="21"/>
          <w:highlight w:val="none"/>
        </w:rPr>
      </w:pPr>
    </w:p>
    <w:p w14:paraId="1C276E1C">
      <w:pPr>
        <w:spacing w:before="156" w:beforeLines="50" w:after="156" w:afterLines="50"/>
        <w:ind w:firstLine="630" w:firstLineChars="300"/>
        <w:jc w:val="left"/>
        <w:outlineLvl w:val="0"/>
        <w:rPr>
          <w:rFonts w:hint="eastAsia" w:ascii="宋体" w:cs="宋体"/>
          <w:color w:val="auto"/>
          <w:szCs w:val="21"/>
          <w:highlight w:val="none"/>
        </w:rPr>
      </w:pPr>
    </w:p>
    <w:p w14:paraId="2842B576">
      <w:pPr>
        <w:spacing w:before="156" w:beforeLines="50" w:after="156" w:afterLines="50"/>
        <w:ind w:firstLine="630" w:firstLineChars="300"/>
        <w:jc w:val="left"/>
        <w:outlineLvl w:val="0"/>
        <w:rPr>
          <w:rFonts w:hint="eastAsia" w:ascii="宋体" w:cs="宋体"/>
          <w:color w:val="auto"/>
          <w:szCs w:val="21"/>
          <w:highlight w:val="none"/>
        </w:rPr>
      </w:pPr>
    </w:p>
    <w:p w14:paraId="6E2EBF1B">
      <w:pPr>
        <w:shd w:val="clear"/>
        <w:spacing w:line="440" w:lineRule="exact"/>
        <w:jc w:val="center"/>
        <w:rPr>
          <w:rFonts w:hint="eastAsia" w:ascii="宋体" w:hAnsi="宋体" w:eastAsia="宋体" w:cs="宋体"/>
          <w:b/>
          <w:bCs/>
          <w:color w:val="auto"/>
          <w:sz w:val="28"/>
          <w:szCs w:val="28"/>
          <w:highlight w:val="none"/>
        </w:rPr>
      </w:pPr>
    </w:p>
    <w:p w14:paraId="4B8B61E9">
      <w:pPr>
        <w:pStyle w:val="3"/>
        <w:shd w:val="clear"/>
        <w:rPr>
          <w:rFonts w:hint="eastAsia" w:ascii="宋体" w:hAnsi="宋体" w:eastAsia="宋体" w:cs="宋体"/>
          <w:color w:val="auto"/>
          <w:highlight w:val="none"/>
        </w:rPr>
      </w:pPr>
      <w:r>
        <w:rPr>
          <w:rFonts w:hint="eastAsia" w:ascii="宋体" w:hAnsi="宋体" w:eastAsia="宋体" w:cs="宋体"/>
          <w:color w:val="auto"/>
          <w:highlight w:val="none"/>
        </w:rPr>
        <w:t>第六章  投标文件格式</w:t>
      </w:r>
      <w:bookmarkEnd w:id="100"/>
      <w:bookmarkEnd w:id="101"/>
    </w:p>
    <w:p w14:paraId="2F3ECE03">
      <w:pPr>
        <w:shd w:val="clear"/>
        <w:jc w:val="center"/>
        <w:rPr>
          <w:rFonts w:hint="eastAsia" w:ascii="宋体" w:hAnsi="宋体" w:eastAsia="宋体" w:cs="宋体"/>
          <w:b/>
          <w:color w:val="auto"/>
          <w:sz w:val="28"/>
          <w:szCs w:val="28"/>
          <w:highlight w:val="none"/>
          <w:bdr w:val="single" w:color="auto" w:sz="4" w:space="0"/>
        </w:rPr>
      </w:pPr>
      <w:r>
        <w:rPr>
          <w:rFonts w:hint="eastAsia" w:ascii="宋体" w:hAnsi="宋体" w:eastAsia="宋体" w:cs="宋体"/>
          <w:b/>
          <w:color w:val="auto"/>
          <w:sz w:val="28"/>
          <w:szCs w:val="28"/>
          <w:highlight w:val="none"/>
        </w:rPr>
        <w:t>一、资信证明格式文件</w:t>
      </w:r>
    </w:p>
    <w:p w14:paraId="3F39163B">
      <w:pPr>
        <w:shd w:val="clear"/>
        <w:jc w:val="center"/>
        <w:rPr>
          <w:rFonts w:hint="eastAsia" w:ascii="宋体" w:hAnsi="宋体" w:eastAsia="宋体" w:cs="宋体"/>
          <w:color w:val="auto"/>
          <w:sz w:val="20"/>
          <w:highlight w:val="none"/>
        </w:rPr>
      </w:pPr>
    </w:p>
    <w:p w14:paraId="0C64D765">
      <w:pPr>
        <w:shd w:val="clear"/>
        <w:rPr>
          <w:rFonts w:hint="eastAsia" w:ascii="宋体" w:hAnsi="宋体" w:eastAsia="宋体" w:cs="宋体"/>
          <w:color w:val="auto"/>
          <w:sz w:val="20"/>
          <w:highlight w:val="none"/>
        </w:rPr>
      </w:pPr>
    </w:p>
    <w:p w14:paraId="47C3C2C8">
      <w:pPr>
        <w:shd w:val="clear"/>
        <w:jc w:val="center"/>
        <w:rPr>
          <w:rFonts w:hint="eastAsia" w:ascii="宋体" w:hAnsi="宋体" w:eastAsia="宋体" w:cs="宋体"/>
          <w:b/>
          <w:color w:val="auto"/>
          <w:sz w:val="44"/>
          <w:szCs w:val="44"/>
          <w:highlight w:val="none"/>
        </w:rPr>
      </w:pPr>
      <w:bookmarkStart w:id="106" w:name="_Toc350698753"/>
      <w:bookmarkStart w:id="107" w:name="_Toc449028949"/>
      <w:r>
        <w:rPr>
          <w:rFonts w:hint="eastAsia" w:ascii="宋体" w:hAnsi="宋体" w:eastAsia="宋体" w:cs="宋体"/>
          <w:b/>
          <w:color w:val="auto"/>
          <w:sz w:val="44"/>
          <w:szCs w:val="44"/>
          <w:highlight w:val="none"/>
        </w:rPr>
        <w:t>资信证明文件</w:t>
      </w:r>
      <w:bookmarkEnd w:id="106"/>
      <w:bookmarkEnd w:id="107"/>
    </w:p>
    <w:p w14:paraId="2B23B304">
      <w:pPr>
        <w:shd w:val="clea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（投标文件一）</w:t>
      </w:r>
    </w:p>
    <w:p w14:paraId="1F908BE7">
      <w:pPr>
        <w:shd w:val="clear"/>
        <w:jc w:val="center"/>
        <w:rPr>
          <w:rFonts w:hint="eastAsia" w:ascii="宋体" w:hAnsi="宋体" w:eastAsia="宋体" w:cs="宋体"/>
          <w:color w:val="auto"/>
          <w:sz w:val="44"/>
          <w:szCs w:val="44"/>
          <w:highlight w:val="none"/>
        </w:rPr>
      </w:pPr>
    </w:p>
    <w:p w14:paraId="50FA55E3">
      <w:pPr>
        <w:shd w:val="clea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6CEDA27A">
      <w:pPr>
        <w:shd w:val="clear"/>
        <w:jc w:val="center"/>
        <w:rPr>
          <w:rFonts w:hint="eastAsia"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352D2CB3">
      <w:pPr>
        <w:shd w:val="clear"/>
        <w:rPr>
          <w:rFonts w:hint="eastAsia" w:ascii="宋体" w:hAnsi="宋体" w:eastAsia="宋体" w:cs="宋体"/>
          <w:color w:val="auto"/>
          <w:sz w:val="28"/>
          <w:szCs w:val="28"/>
          <w:highlight w:val="none"/>
        </w:rPr>
      </w:pPr>
    </w:p>
    <w:p w14:paraId="4FC5A753">
      <w:pPr>
        <w:shd w:val="clear"/>
        <w:rPr>
          <w:rFonts w:hint="eastAsia" w:ascii="宋体" w:hAnsi="宋体" w:eastAsia="宋体" w:cs="宋体"/>
          <w:color w:val="auto"/>
          <w:sz w:val="28"/>
          <w:szCs w:val="28"/>
          <w:highlight w:val="none"/>
        </w:rPr>
      </w:pPr>
    </w:p>
    <w:p w14:paraId="26198A86">
      <w:pPr>
        <w:shd w:val="clear"/>
        <w:rPr>
          <w:rFonts w:hint="eastAsia" w:ascii="宋体" w:hAnsi="宋体" w:eastAsia="宋体" w:cs="宋体"/>
          <w:color w:val="auto"/>
          <w:sz w:val="28"/>
          <w:szCs w:val="28"/>
          <w:highlight w:val="none"/>
        </w:rPr>
      </w:pPr>
    </w:p>
    <w:p w14:paraId="54DD1591">
      <w:pPr>
        <w:shd w:val="clear"/>
        <w:rPr>
          <w:rFonts w:hint="eastAsia" w:ascii="宋体" w:hAnsi="宋体" w:eastAsia="宋体" w:cs="宋体"/>
          <w:color w:val="auto"/>
          <w:sz w:val="28"/>
          <w:szCs w:val="28"/>
          <w:highlight w:val="none"/>
        </w:rPr>
      </w:pPr>
    </w:p>
    <w:p w14:paraId="2CE33B46">
      <w:pPr>
        <w:shd w:val="clear"/>
        <w:rPr>
          <w:rFonts w:hint="eastAsia" w:ascii="宋体" w:hAnsi="宋体" w:eastAsia="宋体" w:cs="宋体"/>
          <w:color w:val="auto"/>
          <w:sz w:val="28"/>
          <w:szCs w:val="28"/>
          <w:highlight w:val="none"/>
        </w:rPr>
      </w:pPr>
    </w:p>
    <w:p w14:paraId="562597AD">
      <w:pPr>
        <w:shd w:val="clear"/>
        <w:rPr>
          <w:rFonts w:hint="eastAsia" w:ascii="宋体" w:hAnsi="宋体" w:eastAsia="宋体" w:cs="宋体"/>
          <w:color w:val="auto"/>
          <w:sz w:val="28"/>
          <w:szCs w:val="28"/>
          <w:highlight w:val="none"/>
        </w:rPr>
      </w:pPr>
    </w:p>
    <w:p w14:paraId="4DF176C3">
      <w:pPr>
        <w:shd w:val="clear"/>
        <w:rPr>
          <w:rFonts w:hint="eastAsia" w:ascii="宋体" w:hAnsi="宋体" w:eastAsia="宋体" w:cs="宋体"/>
          <w:color w:val="auto"/>
          <w:sz w:val="28"/>
          <w:szCs w:val="28"/>
          <w:highlight w:val="none"/>
        </w:rPr>
      </w:pPr>
    </w:p>
    <w:p w14:paraId="14FE95C4">
      <w:pPr>
        <w:shd w:val="clear"/>
        <w:jc w:val="center"/>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14:paraId="1C42B740">
      <w:pPr>
        <w:shd w:val="clear"/>
        <w:ind w:firstLine="1120" w:firstLineChars="4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794E2F68">
      <w:pPr>
        <w:shd w:val="clea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36053E0B">
      <w:pPr>
        <w:shd w:val="clear"/>
        <w:spacing w:line="720" w:lineRule="auto"/>
        <w:jc w:val="center"/>
        <w:rPr>
          <w:rFonts w:hint="eastAsia" w:ascii="宋体" w:hAnsi="宋体" w:eastAsia="宋体" w:cs="宋体"/>
          <w:b/>
          <w:color w:val="auto"/>
          <w:sz w:val="36"/>
          <w:szCs w:val="36"/>
          <w:highlight w:val="none"/>
        </w:rPr>
      </w:pPr>
    </w:p>
    <w:p w14:paraId="5DCA0A8E">
      <w:pPr>
        <w:shd w:val="clear"/>
        <w:spacing w:line="400" w:lineRule="exact"/>
        <w:ind w:firstLine="4130" w:firstLineChars="935"/>
        <w:rPr>
          <w:rFonts w:hint="eastAsia" w:ascii="宋体" w:hAnsi="宋体" w:eastAsia="宋体" w:cs="宋体"/>
          <w:b/>
          <w:color w:val="auto"/>
          <w:sz w:val="44"/>
          <w:szCs w:val="44"/>
          <w:highlight w:val="none"/>
        </w:rPr>
      </w:pPr>
    </w:p>
    <w:p w14:paraId="4D492B39">
      <w:pPr>
        <w:pStyle w:val="34"/>
        <w:shd w:val="clear"/>
        <w:ind w:firstLine="210"/>
        <w:rPr>
          <w:rFonts w:hint="eastAsia" w:ascii="宋体" w:hAnsi="宋体" w:eastAsia="宋体" w:cs="宋体"/>
          <w:color w:val="auto"/>
          <w:highlight w:val="none"/>
        </w:rPr>
      </w:pPr>
    </w:p>
    <w:p w14:paraId="0498B17C">
      <w:pPr>
        <w:shd w:val="clear"/>
        <w:jc w:val="center"/>
        <w:rPr>
          <w:rFonts w:hint="eastAsia" w:ascii="宋体" w:hAnsi="宋体" w:eastAsia="宋体" w:cs="宋体"/>
          <w:b/>
          <w:color w:val="auto"/>
          <w:sz w:val="36"/>
          <w:szCs w:val="36"/>
          <w:highlight w:val="none"/>
        </w:rPr>
      </w:pPr>
    </w:p>
    <w:p w14:paraId="188F7BCB">
      <w:pPr>
        <w:shd w:val="clear"/>
        <w:jc w:val="center"/>
        <w:rPr>
          <w:rFonts w:hint="eastAsia" w:ascii="宋体" w:hAnsi="宋体" w:eastAsia="宋体" w:cs="宋体"/>
          <w:b/>
          <w:color w:val="auto"/>
          <w:sz w:val="44"/>
          <w:szCs w:val="44"/>
          <w:highlight w:val="none"/>
        </w:rPr>
      </w:pPr>
      <w:r>
        <w:rPr>
          <w:rFonts w:hint="eastAsia" w:ascii="宋体" w:hAnsi="宋体" w:eastAsia="宋体" w:cs="宋体"/>
          <w:b/>
          <w:color w:val="auto"/>
          <w:sz w:val="36"/>
          <w:szCs w:val="36"/>
          <w:highlight w:val="none"/>
        </w:rPr>
        <w:t>目   录</w:t>
      </w:r>
    </w:p>
    <w:p w14:paraId="00773A97">
      <w:pPr>
        <w:shd w:val="clear"/>
        <w:spacing w:line="400" w:lineRule="exact"/>
        <w:ind w:firstLine="562" w:firstLineChars="200"/>
        <w:rPr>
          <w:rFonts w:hint="eastAsia" w:ascii="宋体" w:hAnsi="宋体" w:eastAsia="宋体" w:cs="宋体"/>
          <w:b/>
          <w:color w:val="auto"/>
          <w:sz w:val="28"/>
          <w:szCs w:val="28"/>
          <w:highlight w:val="none"/>
        </w:rPr>
      </w:pPr>
    </w:p>
    <w:p w14:paraId="7B4CE8D5">
      <w:pPr>
        <w:numPr>
          <w:ilvl w:val="0"/>
          <w:numId w:val="10"/>
        </w:numPr>
        <w:shd w:val="clea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法定代表人身份证明及其有效身份证（或法定代表人授权委托书及其有效身份证）（格式见附件）；</w:t>
      </w:r>
    </w:p>
    <w:p w14:paraId="2BA5D15F">
      <w:pPr>
        <w:numPr>
          <w:ilvl w:val="0"/>
          <w:numId w:val="10"/>
        </w:numPr>
        <w:shd w:val="clea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投标人基本情况表</w:t>
      </w:r>
      <w:r>
        <w:rPr>
          <w:rFonts w:hint="eastAsia" w:ascii="宋体" w:hAnsi="宋体" w:eastAsia="宋体" w:cs="宋体"/>
          <w:bCs/>
          <w:color w:val="auto"/>
          <w:szCs w:val="21"/>
          <w:highlight w:val="none"/>
        </w:rPr>
        <w:t>（格式见附件）</w:t>
      </w:r>
      <w:r>
        <w:rPr>
          <w:rFonts w:hint="eastAsia" w:ascii="宋体" w:hAnsi="宋体" w:eastAsia="宋体" w:cs="宋体"/>
          <w:bCs/>
          <w:color w:val="auto"/>
          <w:szCs w:val="21"/>
          <w:highlight w:val="none"/>
          <w:lang w:eastAsia="zh-CN"/>
        </w:rPr>
        <w:t>；</w:t>
      </w:r>
    </w:p>
    <w:p w14:paraId="35DE9742">
      <w:pPr>
        <w:keepNext w:val="0"/>
        <w:keepLines w:val="0"/>
        <w:pageBreakBefore w:val="0"/>
        <w:shd w:val="clear"/>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eastAsia="zh-CN"/>
        </w:rPr>
        <w:t>为企业的，应提供</w:t>
      </w:r>
      <w:r>
        <w:rPr>
          <w:rFonts w:hint="eastAsia" w:ascii="宋体" w:hAnsi="宋体" w:eastAsia="宋体" w:cs="宋体"/>
          <w:color w:val="auto"/>
          <w:szCs w:val="21"/>
          <w:highlight w:val="none"/>
        </w:rPr>
        <w:t>有效的营业执照、税务登记证、组织机构码证（或“三证合一证书”）</w:t>
      </w:r>
    </w:p>
    <w:p w14:paraId="517852B3">
      <w:pPr>
        <w:spacing w:line="42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投标人</w:t>
      </w:r>
      <w:r>
        <w:rPr>
          <w:rFonts w:hint="eastAsia" w:ascii="宋体" w:hAnsi="宋体" w:eastAsia="宋体" w:cs="宋体"/>
          <w:bCs/>
          <w:color w:val="auto"/>
          <w:szCs w:val="21"/>
          <w:highlight w:val="none"/>
        </w:rPr>
        <w:t>为事业单位的，应提供有效的“事业单位法人证书”；</w:t>
      </w:r>
    </w:p>
    <w:p w14:paraId="64CECD03">
      <w:pPr>
        <w:shd w:val="clear"/>
        <w:spacing w:line="44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（3）</w:t>
      </w:r>
      <w:r>
        <w:rPr>
          <w:rFonts w:hint="eastAsia" w:ascii="宋体" w:hAnsi="宋体" w:eastAsia="宋体" w:cs="宋体"/>
          <w:color w:val="auto"/>
          <w:szCs w:val="21"/>
          <w:highlight w:val="none"/>
        </w:rPr>
        <w:t>资质证书</w:t>
      </w:r>
      <w:r>
        <w:rPr>
          <w:rFonts w:hint="eastAsia" w:ascii="宋体" w:hAnsi="宋体" w:cs="宋体"/>
          <w:color w:val="auto"/>
          <w:szCs w:val="21"/>
          <w:highlight w:val="none"/>
          <w:lang w:eastAsia="zh-CN"/>
        </w:rPr>
        <w:t>；</w:t>
      </w:r>
    </w:p>
    <w:p w14:paraId="429DC2FB">
      <w:pPr>
        <w:shd w:val="clea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w:t>
      </w:r>
      <w:r>
        <w:rPr>
          <w:rFonts w:hint="eastAsia" w:ascii="宋体" w:hAnsi="宋体" w:eastAsia="宋体" w:cs="宋体"/>
          <w:color w:val="auto"/>
          <w:szCs w:val="21"/>
          <w:highlight w:val="none"/>
        </w:rPr>
        <w:t>诚信投标承诺书或公共信用信息报告（无违法违规证明版或核查版）</w:t>
      </w:r>
      <w:r>
        <w:rPr>
          <w:rFonts w:hint="eastAsia" w:ascii="宋体" w:hAnsi="宋体" w:eastAsia="宋体" w:cs="宋体"/>
          <w:bCs/>
          <w:color w:val="auto"/>
          <w:szCs w:val="21"/>
          <w:highlight w:val="none"/>
        </w:rPr>
        <w:t>；</w:t>
      </w:r>
    </w:p>
    <w:p w14:paraId="2FF66BB8">
      <w:pPr>
        <w:shd w:val="clea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w:t>
      </w:r>
      <w:r>
        <w:rPr>
          <w:rFonts w:hint="eastAsia" w:ascii="宋体"/>
          <w:color w:val="auto"/>
          <w:szCs w:val="21"/>
          <w:highlight w:val="none"/>
        </w:rPr>
        <w:t>详细的货物名称、规格、技术参数等【附技术参数响应表、货物的详细配置清单，格式见附件】</w:t>
      </w:r>
      <w:r>
        <w:rPr>
          <w:rFonts w:hint="eastAsia" w:ascii="宋体" w:hAnsi="宋体" w:cs="宋体"/>
          <w:bCs/>
          <w:color w:val="auto"/>
          <w:szCs w:val="21"/>
          <w:highlight w:val="none"/>
        </w:rPr>
        <w:t>；</w:t>
      </w:r>
    </w:p>
    <w:p w14:paraId="1052AE67">
      <w:pPr>
        <w:shd w:val="clear"/>
        <w:spacing w:line="440" w:lineRule="exact"/>
        <w:jc w:val="left"/>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招标文件中要求的资信标评审及其他支持资料</w:t>
      </w:r>
      <w:r>
        <w:rPr>
          <w:rFonts w:hint="eastAsia" w:ascii="宋体" w:hAnsi="宋体" w:eastAsia="宋体" w:cs="宋体"/>
          <w:bCs/>
          <w:color w:val="auto"/>
          <w:szCs w:val="21"/>
          <w:highlight w:val="none"/>
          <w:lang w:eastAsia="zh-CN"/>
        </w:rPr>
        <w:t>。</w:t>
      </w:r>
    </w:p>
    <w:p w14:paraId="1A732646">
      <w:pPr>
        <w:shd w:val="clear"/>
        <w:spacing w:line="400" w:lineRule="exact"/>
        <w:ind w:firstLine="562" w:firstLineChars="200"/>
        <w:rPr>
          <w:rFonts w:hint="eastAsia" w:ascii="宋体" w:hAnsi="宋体" w:eastAsia="宋体" w:cs="宋体"/>
          <w:b/>
          <w:color w:val="auto"/>
          <w:sz w:val="28"/>
          <w:szCs w:val="28"/>
          <w:highlight w:val="none"/>
        </w:rPr>
      </w:pPr>
    </w:p>
    <w:p w14:paraId="1217EE06">
      <w:pPr>
        <w:shd w:val="clear"/>
        <w:spacing w:line="400" w:lineRule="exact"/>
        <w:ind w:firstLine="562" w:firstLineChars="200"/>
        <w:rPr>
          <w:rFonts w:hint="eastAsia" w:ascii="宋体" w:hAnsi="宋体" w:eastAsia="宋体" w:cs="宋体"/>
          <w:b/>
          <w:color w:val="auto"/>
          <w:sz w:val="28"/>
          <w:szCs w:val="28"/>
          <w:highlight w:val="none"/>
        </w:rPr>
      </w:pPr>
    </w:p>
    <w:p w14:paraId="1AC9D31B">
      <w:pPr>
        <w:shd w:val="clear"/>
        <w:spacing w:line="400" w:lineRule="exact"/>
        <w:ind w:firstLine="562" w:firstLineChars="200"/>
        <w:rPr>
          <w:rFonts w:hint="eastAsia" w:ascii="宋体" w:hAnsi="宋体" w:eastAsia="宋体" w:cs="宋体"/>
          <w:b/>
          <w:color w:val="auto"/>
          <w:sz w:val="28"/>
          <w:szCs w:val="28"/>
          <w:highlight w:val="none"/>
        </w:rPr>
      </w:pPr>
    </w:p>
    <w:p w14:paraId="7ACC4C61">
      <w:pPr>
        <w:shd w:val="clear"/>
        <w:spacing w:line="400" w:lineRule="exact"/>
        <w:ind w:firstLine="562" w:firstLineChars="200"/>
        <w:rPr>
          <w:rFonts w:hint="eastAsia" w:ascii="宋体" w:hAnsi="宋体" w:eastAsia="宋体" w:cs="宋体"/>
          <w:b/>
          <w:color w:val="auto"/>
          <w:sz w:val="28"/>
          <w:szCs w:val="28"/>
          <w:highlight w:val="none"/>
        </w:rPr>
      </w:pPr>
    </w:p>
    <w:p w14:paraId="0F1ED68A">
      <w:pPr>
        <w:shd w:val="clear"/>
        <w:spacing w:line="400" w:lineRule="exact"/>
        <w:rPr>
          <w:rFonts w:hint="eastAsia" w:ascii="宋体" w:hAnsi="宋体" w:eastAsia="宋体" w:cs="宋体"/>
          <w:b/>
          <w:color w:val="auto"/>
          <w:sz w:val="28"/>
          <w:szCs w:val="28"/>
          <w:highlight w:val="none"/>
        </w:rPr>
        <w:sectPr>
          <w:headerReference r:id="rId5" w:type="default"/>
          <w:footerReference r:id="rId6" w:type="default"/>
          <w:pgSz w:w="11906" w:h="16838"/>
          <w:pgMar w:top="1361" w:right="1361" w:bottom="1361" w:left="1361" w:header="851" w:footer="992" w:gutter="0"/>
          <w:pgNumType w:fmt="decimal" w:start="1"/>
          <w:cols w:space="0" w:num="1"/>
          <w:rtlGutter w:val="0"/>
          <w:docGrid w:type="lines" w:linePitch="312" w:charSpace="0"/>
        </w:sectPr>
      </w:pPr>
    </w:p>
    <w:p w14:paraId="1CC8963C">
      <w:pPr>
        <w:shd w:val="clea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附件1</w:t>
      </w:r>
    </w:p>
    <w:p w14:paraId="7DE805B1">
      <w:pPr>
        <w:shd w:val="clear"/>
        <w:spacing w:line="360" w:lineRule="auto"/>
        <w:ind w:left="72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法定代表人身份证明或授权委托书</w:t>
      </w:r>
    </w:p>
    <w:p w14:paraId="40902BE5">
      <w:pPr>
        <w:pStyle w:val="105"/>
        <w:shd w:val="clear"/>
        <w:spacing w:beforeLines="100" w:afterLines="100" w:line="480" w:lineRule="exact"/>
        <w:ind w:firstLine="180" w:firstLineChars="75"/>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1.法定代表人身份证明</w:t>
      </w:r>
    </w:p>
    <w:p w14:paraId="752263EB">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2572523A">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单位性质：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1482C208">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764296D5">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52F6D72D">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7F6D6611">
      <w:pPr>
        <w:shd w:val="clear"/>
        <w:spacing w:line="480" w:lineRule="exact"/>
        <w:ind w:firstLine="1440" w:firstLineChars="200"/>
        <w:rPr>
          <w:rFonts w:hint="eastAsia" w:ascii="宋体" w:hAnsi="宋体" w:eastAsia="宋体" w:cs="宋体"/>
          <w:color w:val="auto"/>
          <w:sz w:val="24"/>
          <w:highlight w:val="none"/>
        </w:rPr>
      </w:pPr>
      <w:r>
        <w:rPr>
          <w:rFonts w:hint="eastAsia" w:ascii="宋体" w:hAnsi="宋体" w:eastAsia="宋体" w:cs="宋体"/>
          <w:color w:val="auto"/>
          <w:spacing w:val="240"/>
          <w:sz w:val="24"/>
          <w:highlight w:val="none"/>
        </w:rPr>
        <w:t>姓</w:t>
      </w:r>
      <w:r>
        <w:rPr>
          <w:rFonts w:hint="eastAsia" w:ascii="宋体" w:hAnsi="宋体" w:eastAsia="宋体" w:cs="宋体"/>
          <w:color w:val="auto"/>
          <w:sz w:val="24"/>
          <w:highlight w:val="none"/>
        </w:rPr>
        <w:t>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_</w:t>
      </w:r>
    </w:p>
    <w:p w14:paraId="1DF80ADB">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w:t>
      </w:r>
    </w:p>
    <w:p w14:paraId="60CE5E9A">
      <w:pPr>
        <w:shd w:val="clear"/>
        <w:spacing w:line="48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3C60D79">
      <w:pPr>
        <w:shd w:val="clear"/>
        <w:spacing w:line="360" w:lineRule="auto"/>
        <w:ind w:firstLine="3480" w:firstLineChars="145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29CCF73D">
      <w:pPr>
        <w:shd w:val="clea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年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4E98EF0F">
      <w:pPr>
        <w:shd w:val="clear"/>
        <w:spacing w:beforeLines="100" w:afterLines="100" w:line="480" w:lineRule="exact"/>
        <w:ind w:firstLine="3654" w:firstLineChars="130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2.授权委托书</w:t>
      </w:r>
    </w:p>
    <w:p w14:paraId="0C0D3E2D">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本人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”(项目名称、编号）投标文件，全权处理与该项目投标、评审答疑、签订合同以及与合同执行有关的一切事务，其法律后果由我方承担。</w:t>
      </w:r>
    </w:p>
    <w:p w14:paraId="7A554FF7">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w:t>
      </w:r>
      <w:r>
        <w:rPr>
          <w:rFonts w:hint="eastAsia" w:ascii="宋体" w:hAnsi="宋体" w:cs="宋体"/>
          <w:color w:val="auto"/>
          <w:sz w:val="24"/>
          <w:highlight w:val="none"/>
          <w:u w:val="single"/>
          <w:lang w:val="en-US" w:eastAsia="zh-CN"/>
        </w:rPr>
        <w:t xml:space="preserve">授权之日起至项目实施结束 </w:t>
      </w:r>
      <w:r>
        <w:rPr>
          <w:rFonts w:hint="eastAsia" w:ascii="宋体" w:hAnsi="宋体" w:cs="宋体"/>
          <w:color w:val="auto"/>
          <w:sz w:val="24"/>
          <w:highlight w:val="none"/>
          <w:u w:val="single"/>
          <w:lang w:eastAsia="zh-CN"/>
        </w:rPr>
        <w:t>。</w:t>
      </w:r>
      <w:r>
        <w:rPr>
          <w:rFonts w:hint="eastAsia" w:ascii="宋体" w:hAnsi="宋体" w:eastAsia="宋体" w:cs="宋体"/>
          <w:color w:val="auto"/>
          <w:sz w:val="24"/>
          <w:highlight w:val="none"/>
        </w:rPr>
        <w:t xml:space="preserve"> </w:t>
      </w:r>
    </w:p>
    <w:p w14:paraId="6B84D81A">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0238882B">
      <w:pPr>
        <w:shd w:val="clea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附：授权委托人有效身份证及法定代表人有效身份证</w:t>
      </w:r>
    </w:p>
    <w:p w14:paraId="38BBE11E">
      <w:pPr>
        <w:shd w:val="clear"/>
        <w:spacing w:line="4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             （盖单位章）</w:t>
      </w:r>
    </w:p>
    <w:p w14:paraId="0CA3C949">
      <w:pPr>
        <w:shd w:val="clear"/>
        <w:spacing w:line="48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法定代表人（身份证号码）：             （签章）</w:t>
      </w:r>
    </w:p>
    <w:p w14:paraId="07B8A61D">
      <w:pPr>
        <w:shd w:val="clear"/>
        <w:spacing w:line="480" w:lineRule="exact"/>
        <w:ind w:firstLine="2820" w:firstLineChars="117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2E067C6D">
      <w:pPr>
        <w:shd w:val="clear"/>
        <w:spacing w:line="360" w:lineRule="exact"/>
        <w:ind w:firstLine="413" w:firstLineChars="147"/>
        <w:rPr>
          <w:rFonts w:hint="eastAsia" w:ascii="宋体" w:hAnsi="宋体" w:eastAsia="宋体" w:cs="宋体"/>
          <w:b/>
          <w:color w:val="auto"/>
          <w:sz w:val="28"/>
          <w:szCs w:val="28"/>
          <w:highlight w:val="none"/>
          <w:u w:val="single"/>
        </w:rPr>
      </w:pPr>
    </w:p>
    <w:p w14:paraId="2118DE66">
      <w:pPr>
        <w:shd w:val="clear"/>
        <w:spacing w:line="360" w:lineRule="exact"/>
        <w:ind w:firstLine="413" w:firstLineChars="147"/>
        <w:rPr>
          <w:rFonts w:hint="eastAsia" w:ascii="宋体" w:hAnsi="宋体" w:eastAsia="宋体" w:cs="宋体"/>
          <w:b/>
          <w:color w:val="auto"/>
          <w:sz w:val="28"/>
          <w:szCs w:val="28"/>
          <w:highlight w:val="none"/>
          <w:u w:val="single"/>
        </w:rPr>
      </w:pPr>
    </w:p>
    <w:p w14:paraId="5085ACFD">
      <w:pPr>
        <w:jc w:val="both"/>
        <w:rPr>
          <w:rFonts w:hint="eastAsia" w:ascii="宋体" w:hAnsi="宋体" w:eastAsia="宋体" w:cs="宋体"/>
          <w:b/>
          <w:bCs/>
          <w:color w:val="auto"/>
          <w:sz w:val="30"/>
          <w:highlight w:val="none"/>
        </w:rPr>
      </w:pPr>
      <w:r>
        <w:rPr>
          <w:rFonts w:hint="eastAsia" w:ascii="宋体" w:hAnsi="宋体" w:eastAsia="宋体" w:cs="宋体"/>
          <w:b/>
          <w:color w:val="auto"/>
          <w:sz w:val="30"/>
          <w:szCs w:val="30"/>
          <w:highlight w:val="none"/>
        </w:rPr>
        <w:t>附件2</w:t>
      </w:r>
      <w:r>
        <w:rPr>
          <w:rFonts w:hint="eastAsia" w:ascii="宋体" w:hAnsi="宋体" w:eastAsia="宋体" w:cs="宋体"/>
          <w:b/>
          <w:bCs/>
          <w:color w:val="auto"/>
          <w:sz w:val="30"/>
          <w:highlight w:val="none"/>
          <w:lang w:val="en-US" w:eastAsia="zh-CN"/>
        </w:rPr>
        <w:t xml:space="preserve">              </w:t>
      </w:r>
      <w:r>
        <w:rPr>
          <w:rFonts w:hint="eastAsia" w:ascii="宋体" w:hAnsi="宋体" w:cs="宋体"/>
          <w:b/>
          <w:bCs/>
          <w:color w:val="auto"/>
          <w:sz w:val="30"/>
          <w:highlight w:val="none"/>
          <w:lang w:val="en-US" w:eastAsia="zh-CN"/>
        </w:rPr>
        <w:t xml:space="preserve">     </w:t>
      </w:r>
      <w:r>
        <w:rPr>
          <w:rFonts w:hint="eastAsia" w:ascii="宋体" w:hAnsi="宋体" w:eastAsia="宋体" w:cs="宋体"/>
          <w:b/>
          <w:bCs/>
          <w:color w:val="auto"/>
          <w:sz w:val="30"/>
          <w:highlight w:val="none"/>
        </w:rPr>
        <w:t>投标人基本情况表</w:t>
      </w:r>
    </w:p>
    <w:tbl>
      <w:tblPr>
        <w:tblStyle w:val="35"/>
        <w:tblW w:w="97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88"/>
        <w:gridCol w:w="886"/>
        <w:gridCol w:w="959"/>
        <w:gridCol w:w="784"/>
        <w:gridCol w:w="589"/>
        <w:gridCol w:w="1173"/>
        <w:gridCol w:w="534"/>
        <w:gridCol w:w="936"/>
        <w:gridCol w:w="1474"/>
      </w:tblGrid>
      <w:tr w14:paraId="56D39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2388" w:type="dxa"/>
            <w:vAlign w:val="center"/>
          </w:tcPr>
          <w:p w14:paraId="4CE237C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投标人名称</w:t>
            </w:r>
          </w:p>
        </w:tc>
        <w:tc>
          <w:tcPr>
            <w:tcW w:w="7335" w:type="dxa"/>
            <w:gridSpan w:val="8"/>
            <w:vAlign w:val="center"/>
          </w:tcPr>
          <w:p w14:paraId="507E4609">
            <w:pPr>
              <w:topLinePunct/>
              <w:spacing w:line="440" w:lineRule="exact"/>
              <w:rPr>
                <w:rFonts w:hint="eastAsia" w:ascii="宋体" w:hAnsi="宋体" w:eastAsia="宋体" w:cs="宋体"/>
                <w:color w:val="auto"/>
                <w:szCs w:val="21"/>
                <w:highlight w:val="none"/>
              </w:rPr>
            </w:pPr>
          </w:p>
        </w:tc>
      </w:tr>
      <w:tr w14:paraId="1931F0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2388" w:type="dxa"/>
            <w:vAlign w:val="center"/>
          </w:tcPr>
          <w:p w14:paraId="3277682A">
            <w:pPr>
              <w:topLinePun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注册地址和网址（如有）</w:t>
            </w:r>
          </w:p>
        </w:tc>
        <w:tc>
          <w:tcPr>
            <w:tcW w:w="3218" w:type="dxa"/>
            <w:gridSpan w:val="4"/>
            <w:vAlign w:val="center"/>
          </w:tcPr>
          <w:p w14:paraId="61D8AE87">
            <w:pPr>
              <w:topLinePunct/>
              <w:spacing w:line="440" w:lineRule="exact"/>
              <w:jc w:val="center"/>
              <w:rPr>
                <w:rFonts w:hint="eastAsia" w:ascii="宋体" w:hAnsi="宋体" w:eastAsia="宋体" w:cs="宋体"/>
                <w:color w:val="auto"/>
                <w:szCs w:val="21"/>
                <w:highlight w:val="none"/>
              </w:rPr>
            </w:pPr>
          </w:p>
        </w:tc>
        <w:tc>
          <w:tcPr>
            <w:tcW w:w="1173" w:type="dxa"/>
            <w:vAlign w:val="center"/>
          </w:tcPr>
          <w:p w14:paraId="20005F9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邮政编码</w:t>
            </w:r>
          </w:p>
        </w:tc>
        <w:tc>
          <w:tcPr>
            <w:tcW w:w="2944" w:type="dxa"/>
            <w:gridSpan w:val="3"/>
            <w:vAlign w:val="center"/>
          </w:tcPr>
          <w:p w14:paraId="5CD86945">
            <w:pPr>
              <w:topLinePunct/>
              <w:spacing w:line="440" w:lineRule="exact"/>
              <w:jc w:val="center"/>
              <w:rPr>
                <w:rFonts w:hint="eastAsia" w:ascii="宋体" w:hAnsi="宋体" w:eastAsia="宋体" w:cs="宋体"/>
                <w:color w:val="auto"/>
                <w:szCs w:val="21"/>
                <w:highlight w:val="none"/>
              </w:rPr>
            </w:pPr>
          </w:p>
        </w:tc>
      </w:tr>
      <w:tr w14:paraId="5B4EA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2388" w:type="dxa"/>
            <w:vMerge w:val="restart"/>
            <w:vAlign w:val="center"/>
          </w:tcPr>
          <w:p w14:paraId="4B74F6C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联系方式</w:t>
            </w:r>
          </w:p>
        </w:tc>
        <w:tc>
          <w:tcPr>
            <w:tcW w:w="886" w:type="dxa"/>
            <w:vAlign w:val="center"/>
          </w:tcPr>
          <w:p w14:paraId="6511F56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联系人</w:t>
            </w:r>
          </w:p>
        </w:tc>
        <w:tc>
          <w:tcPr>
            <w:tcW w:w="2332" w:type="dxa"/>
            <w:gridSpan w:val="3"/>
            <w:vAlign w:val="center"/>
          </w:tcPr>
          <w:p w14:paraId="1EB9201C">
            <w:pPr>
              <w:topLinePunct/>
              <w:spacing w:line="440" w:lineRule="exact"/>
              <w:jc w:val="center"/>
              <w:rPr>
                <w:rFonts w:hint="eastAsia" w:ascii="宋体" w:hAnsi="宋体" w:eastAsia="宋体" w:cs="宋体"/>
                <w:color w:val="auto"/>
                <w:szCs w:val="21"/>
                <w:highlight w:val="none"/>
              </w:rPr>
            </w:pPr>
          </w:p>
        </w:tc>
        <w:tc>
          <w:tcPr>
            <w:tcW w:w="1173" w:type="dxa"/>
            <w:vAlign w:val="center"/>
          </w:tcPr>
          <w:p w14:paraId="5245793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电 话</w:t>
            </w:r>
          </w:p>
        </w:tc>
        <w:tc>
          <w:tcPr>
            <w:tcW w:w="2944" w:type="dxa"/>
            <w:gridSpan w:val="3"/>
            <w:vAlign w:val="center"/>
          </w:tcPr>
          <w:p w14:paraId="79DE9344">
            <w:pPr>
              <w:topLinePunct/>
              <w:spacing w:line="440" w:lineRule="exact"/>
              <w:jc w:val="center"/>
              <w:rPr>
                <w:rFonts w:hint="eastAsia" w:ascii="宋体" w:hAnsi="宋体" w:eastAsia="宋体" w:cs="宋体"/>
                <w:color w:val="auto"/>
                <w:szCs w:val="21"/>
                <w:highlight w:val="none"/>
              </w:rPr>
            </w:pPr>
          </w:p>
        </w:tc>
      </w:tr>
      <w:tr w14:paraId="73F16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2388" w:type="dxa"/>
            <w:vMerge w:val="continue"/>
            <w:vAlign w:val="center"/>
          </w:tcPr>
          <w:p w14:paraId="6FD73360">
            <w:pPr>
              <w:widowControl/>
              <w:jc w:val="left"/>
              <w:rPr>
                <w:rFonts w:hint="eastAsia" w:ascii="宋体" w:hAnsi="宋体" w:eastAsia="宋体" w:cs="宋体"/>
                <w:color w:val="auto"/>
                <w:szCs w:val="21"/>
                <w:highlight w:val="none"/>
              </w:rPr>
            </w:pPr>
          </w:p>
        </w:tc>
        <w:tc>
          <w:tcPr>
            <w:tcW w:w="886" w:type="dxa"/>
            <w:vAlign w:val="center"/>
          </w:tcPr>
          <w:p w14:paraId="1E16C06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传  真</w:t>
            </w:r>
          </w:p>
        </w:tc>
        <w:tc>
          <w:tcPr>
            <w:tcW w:w="2332" w:type="dxa"/>
            <w:gridSpan w:val="3"/>
            <w:vAlign w:val="center"/>
          </w:tcPr>
          <w:p w14:paraId="17475A97">
            <w:pPr>
              <w:topLinePunct/>
              <w:spacing w:line="440" w:lineRule="exact"/>
              <w:jc w:val="center"/>
              <w:rPr>
                <w:rFonts w:hint="eastAsia" w:ascii="宋体" w:hAnsi="宋体" w:eastAsia="宋体" w:cs="宋体"/>
                <w:color w:val="auto"/>
                <w:szCs w:val="21"/>
                <w:highlight w:val="none"/>
              </w:rPr>
            </w:pPr>
          </w:p>
        </w:tc>
        <w:tc>
          <w:tcPr>
            <w:tcW w:w="1173" w:type="dxa"/>
            <w:vAlign w:val="center"/>
          </w:tcPr>
          <w:p w14:paraId="7689F42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电子邮件</w:t>
            </w:r>
          </w:p>
        </w:tc>
        <w:tc>
          <w:tcPr>
            <w:tcW w:w="2944" w:type="dxa"/>
            <w:gridSpan w:val="3"/>
            <w:vAlign w:val="center"/>
          </w:tcPr>
          <w:p w14:paraId="6255720B">
            <w:pPr>
              <w:topLinePunct/>
              <w:spacing w:line="440" w:lineRule="exact"/>
              <w:jc w:val="center"/>
              <w:rPr>
                <w:rFonts w:hint="eastAsia" w:ascii="宋体" w:hAnsi="宋体" w:eastAsia="宋体" w:cs="宋体"/>
                <w:color w:val="auto"/>
                <w:szCs w:val="21"/>
                <w:highlight w:val="none"/>
              </w:rPr>
            </w:pPr>
          </w:p>
        </w:tc>
      </w:tr>
      <w:tr w14:paraId="5680B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2388" w:type="dxa"/>
            <w:vAlign w:val="center"/>
          </w:tcPr>
          <w:p w14:paraId="1C8BCFB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法定代表人</w:t>
            </w:r>
          </w:p>
        </w:tc>
        <w:tc>
          <w:tcPr>
            <w:tcW w:w="886" w:type="dxa"/>
            <w:vAlign w:val="center"/>
          </w:tcPr>
          <w:p w14:paraId="3897EB0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姓名</w:t>
            </w:r>
          </w:p>
        </w:tc>
        <w:tc>
          <w:tcPr>
            <w:tcW w:w="959" w:type="dxa"/>
            <w:vAlign w:val="center"/>
          </w:tcPr>
          <w:p w14:paraId="33559714">
            <w:pPr>
              <w:topLinePunct/>
              <w:spacing w:line="440" w:lineRule="exact"/>
              <w:jc w:val="center"/>
              <w:rPr>
                <w:rFonts w:hint="eastAsia" w:ascii="宋体" w:hAnsi="宋体" w:eastAsia="宋体" w:cs="宋体"/>
                <w:color w:val="auto"/>
                <w:szCs w:val="21"/>
                <w:highlight w:val="none"/>
              </w:rPr>
            </w:pPr>
          </w:p>
        </w:tc>
        <w:tc>
          <w:tcPr>
            <w:tcW w:w="1373" w:type="dxa"/>
            <w:gridSpan w:val="2"/>
            <w:vAlign w:val="center"/>
          </w:tcPr>
          <w:p w14:paraId="6BBCF7E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技术职称</w:t>
            </w:r>
          </w:p>
        </w:tc>
        <w:tc>
          <w:tcPr>
            <w:tcW w:w="1707" w:type="dxa"/>
            <w:gridSpan w:val="2"/>
            <w:vAlign w:val="center"/>
          </w:tcPr>
          <w:p w14:paraId="3B7F2B6B">
            <w:pPr>
              <w:topLinePunct/>
              <w:spacing w:line="440" w:lineRule="exact"/>
              <w:jc w:val="center"/>
              <w:rPr>
                <w:rFonts w:hint="eastAsia" w:ascii="宋体" w:hAnsi="宋体" w:eastAsia="宋体" w:cs="宋体"/>
                <w:color w:val="auto"/>
                <w:szCs w:val="21"/>
                <w:highlight w:val="none"/>
              </w:rPr>
            </w:pPr>
          </w:p>
        </w:tc>
        <w:tc>
          <w:tcPr>
            <w:tcW w:w="936" w:type="dxa"/>
            <w:vAlign w:val="center"/>
          </w:tcPr>
          <w:p w14:paraId="6014CD15">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电话</w:t>
            </w:r>
          </w:p>
        </w:tc>
        <w:tc>
          <w:tcPr>
            <w:tcW w:w="1474" w:type="dxa"/>
            <w:vAlign w:val="center"/>
          </w:tcPr>
          <w:p w14:paraId="1E4D8A84">
            <w:pPr>
              <w:topLinePunct/>
              <w:spacing w:line="440" w:lineRule="exact"/>
              <w:jc w:val="center"/>
              <w:rPr>
                <w:rFonts w:hint="eastAsia" w:ascii="宋体" w:hAnsi="宋体" w:eastAsia="宋体" w:cs="宋体"/>
                <w:color w:val="auto"/>
                <w:szCs w:val="21"/>
                <w:highlight w:val="none"/>
              </w:rPr>
            </w:pPr>
          </w:p>
        </w:tc>
      </w:tr>
      <w:tr w14:paraId="3B4AB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2388" w:type="dxa"/>
            <w:vAlign w:val="center"/>
          </w:tcPr>
          <w:p w14:paraId="2EC7A51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技术负责人</w:t>
            </w:r>
          </w:p>
        </w:tc>
        <w:tc>
          <w:tcPr>
            <w:tcW w:w="886" w:type="dxa"/>
            <w:vAlign w:val="center"/>
          </w:tcPr>
          <w:p w14:paraId="753B1E9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姓名</w:t>
            </w:r>
          </w:p>
        </w:tc>
        <w:tc>
          <w:tcPr>
            <w:tcW w:w="959" w:type="dxa"/>
            <w:vAlign w:val="center"/>
          </w:tcPr>
          <w:p w14:paraId="58CD7952">
            <w:pPr>
              <w:topLinePunct/>
              <w:spacing w:line="440" w:lineRule="exact"/>
              <w:jc w:val="center"/>
              <w:rPr>
                <w:rFonts w:hint="eastAsia" w:ascii="宋体" w:hAnsi="宋体" w:eastAsia="宋体" w:cs="宋体"/>
                <w:color w:val="auto"/>
                <w:szCs w:val="21"/>
                <w:highlight w:val="none"/>
              </w:rPr>
            </w:pPr>
          </w:p>
        </w:tc>
        <w:tc>
          <w:tcPr>
            <w:tcW w:w="1373" w:type="dxa"/>
            <w:gridSpan w:val="2"/>
            <w:vAlign w:val="center"/>
          </w:tcPr>
          <w:p w14:paraId="7C80218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技术职称</w:t>
            </w:r>
          </w:p>
        </w:tc>
        <w:tc>
          <w:tcPr>
            <w:tcW w:w="1707" w:type="dxa"/>
            <w:gridSpan w:val="2"/>
            <w:vAlign w:val="center"/>
          </w:tcPr>
          <w:p w14:paraId="3257433D">
            <w:pPr>
              <w:topLinePunct/>
              <w:spacing w:line="440" w:lineRule="exact"/>
              <w:jc w:val="center"/>
              <w:rPr>
                <w:rFonts w:hint="eastAsia" w:ascii="宋体" w:hAnsi="宋体" w:eastAsia="宋体" w:cs="宋体"/>
                <w:color w:val="auto"/>
                <w:szCs w:val="21"/>
                <w:highlight w:val="none"/>
              </w:rPr>
            </w:pPr>
          </w:p>
        </w:tc>
        <w:tc>
          <w:tcPr>
            <w:tcW w:w="936" w:type="dxa"/>
            <w:vAlign w:val="center"/>
          </w:tcPr>
          <w:p w14:paraId="19D5CD4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电话</w:t>
            </w:r>
          </w:p>
        </w:tc>
        <w:tc>
          <w:tcPr>
            <w:tcW w:w="1474" w:type="dxa"/>
            <w:vAlign w:val="center"/>
          </w:tcPr>
          <w:p w14:paraId="129FF8AE">
            <w:pPr>
              <w:topLinePunct/>
              <w:spacing w:line="440" w:lineRule="exact"/>
              <w:jc w:val="center"/>
              <w:rPr>
                <w:rFonts w:hint="eastAsia" w:ascii="宋体" w:hAnsi="宋体" w:eastAsia="宋体" w:cs="宋体"/>
                <w:color w:val="auto"/>
                <w:szCs w:val="21"/>
                <w:highlight w:val="none"/>
              </w:rPr>
            </w:pPr>
          </w:p>
        </w:tc>
      </w:tr>
      <w:tr w14:paraId="041971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388" w:type="dxa"/>
            <w:vAlign w:val="center"/>
          </w:tcPr>
          <w:p w14:paraId="6497A984">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企业资质证书</w:t>
            </w:r>
          </w:p>
        </w:tc>
        <w:tc>
          <w:tcPr>
            <w:tcW w:w="7335" w:type="dxa"/>
            <w:gridSpan w:val="8"/>
            <w:vAlign w:val="center"/>
          </w:tcPr>
          <w:p w14:paraId="03CEB9B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类型：          等级：                 证书号</w:t>
            </w:r>
          </w:p>
        </w:tc>
      </w:tr>
      <w:tr w14:paraId="76351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2388" w:type="dxa"/>
            <w:vAlign w:val="center"/>
          </w:tcPr>
          <w:p w14:paraId="3F6C997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营业执照号</w:t>
            </w:r>
          </w:p>
        </w:tc>
        <w:tc>
          <w:tcPr>
            <w:tcW w:w="1845" w:type="dxa"/>
            <w:gridSpan w:val="2"/>
            <w:vAlign w:val="center"/>
          </w:tcPr>
          <w:p w14:paraId="4B56F3ED">
            <w:pPr>
              <w:topLinePunct/>
              <w:spacing w:line="440" w:lineRule="exact"/>
              <w:jc w:val="center"/>
              <w:rPr>
                <w:rFonts w:hint="eastAsia" w:ascii="宋体" w:hAnsi="宋体" w:eastAsia="宋体" w:cs="宋体"/>
                <w:color w:val="auto"/>
                <w:szCs w:val="21"/>
                <w:highlight w:val="none"/>
              </w:rPr>
            </w:pPr>
          </w:p>
        </w:tc>
        <w:tc>
          <w:tcPr>
            <w:tcW w:w="5490" w:type="dxa"/>
            <w:gridSpan w:val="6"/>
            <w:vAlign w:val="center"/>
          </w:tcPr>
          <w:p w14:paraId="0A3E2F30">
            <w:pPr>
              <w:topLinePunct/>
              <w:spacing w:line="440" w:lineRule="exact"/>
              <w:ind w:firstLine="1050" w:firstLineChars="500"/>
              <w:rPr>
                <w:rFonts w:hint="eastAsia" w:ascii="宋体" w:hAnsi="宋体" w:eastAsia="宋体" w:cs="宋体"/>
                <w:color w:val="auto"/>
                <w:szCs w:val="21"/>
                <w:highlight w:val="none"/>
              </w:rPr>
            </w:pPr>
            <w:r>
              <w:rPr>
                <w:rFonts w:hint="eastAsia" w:ascii="宋体" w:hAnsi="宋体" w:eastAsia="宋体" w:cs="宋体"/>
                <w:color w:val="auto"/>
                <w:highlight w:val="none"/>
              </w:rPr>
              <w:t>员工总人数：</w:t>
            </w:r>
          </w:p>
        </w:tc>
      </w:tr>
      <w:tr w14:paraId="68F18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 w:hRule="atLeast"/>
          <w:jc w:val="center"/>
        </w:trPr>
        <w:tc>
          <w:tcPr>
            <w:tcW w:w="2388" w:type="dxa"/>
            <w:vAlign w:val="center"/>
          </w:tcPr>
          <w:p w14:paraId="31BAE6C9">
            <w:pPr>
              <w:topLinePunct/>
              <w:spacing w:line="28" w:lineRule="atLeas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注册资本</w:t>
            </w:r>
          </w:p>
        </w:tc>
        <w:tc>
          <w:tcPr>
            <w:tcW w:w="1845" w:type="dxa"/>
            <w:gridSpan w:val="2"/>
            <w:vAlign w:val="center"/>
          </w:tcPr>
          <w:p w14:paraId="17B90277">
            <w:pPr>
              <w:topLinePunct/>
              <w:spacing w:line="440" w:lineRule="exact"/>
              <w:jc w:val="center"/>
              <w:rPr>
                <w:rFonts w:hint="eastAsia" w:ascii="宋体" w:hAnsi="宋体" w:eastAsia="宋体" w:cs="宋体"/>
                <w:color w:val="auto"/>
                <w:sz w:val="2"/>
                <w:szCs w:val="21"/>
                <w:highlight w:val="none"/>
              </w:rPr>
            </w:pPr>
          </w:p>
        </w:tc>
        <w:tc>
          <w:tcPr>
            <w:tcW w:w="784" w:type="dxa"/>
            <w:vMerge w:val="restart"/>
            <w:vAlign w:val="center"/>
          </w:tcPr>
          <w:p w14:paraId="4C120895">
            <w:pPr>
              <w:topLinePunct/>
              <w:spacing w:line="28" w:lineRule="atLeas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其中</w:t>
            </w:r>
          </w:p>
        </w:tc>
        <w:tc>
          <w:tcPr>
            <w:tcW w:w="2296" w:type="dxa"/>
            <w:gridSpan w:val="3"/>
            <w:vAlign w:val="center"/>
          </w:tcPr>
          <w:p w14:paraId="25427042">
            <w:pPr>
              <w:topLinePunct/>
              <w:spacing w:line="28" w:lineRule="atLeas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高级职称人员</w:t>
            </w:r>
          </w:p>
        </w:tc>
        <w:tc>
          <w:tcPr>
            <w:tcW w:w="2410" w:type="dxa"/>
            <w:gridSpan w:val="2"/>
            <w:vAlign w:val="center"/>
          </w:tcPr>
          <w:p w14:paraId="3F2ECF44">
            <w:pPr>
              <w:topLinePunct/>
              <w:spacing w:line="440" w:lineRule="exact"/>
              <w:jc w:val="center"/>
              <w:rPr>
                <w:rFonts w:hint="eastAsia" w:ascii="宋体" w:hAnsi="宋体" w:eastAsia="宋体" w:cs="宋体"/>
                <w:color w:val="auto"/>
                <w:sz w:val="2"/>
                <w:szCs w:val="21"/>
                <w:highlight w:val="none"/>
              </w:rPr>
            </w:pPr>
          </w:p>
        </w:tc>
      </w:tr>
      <w:tr w14:paraId="2E124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 w:hRule="atLeast"/>
          <w:jc w:val="center"/>
        </w:trPr>
        <w:tc>
          <w:tcPr>
            <w:tcW w:w="2388" w:type="dxa"/>
            <w:vAlign w:val="center"/>
          </w:tcPr>
          <w:p w14:paraId="258B0D13">
            <w:pPr>
              <w:topLinePunct/>
              <w:spacing w:line="28"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成立日期</w:t>
            </w:r>
          </w:p>
        </w:tc>
        <w:tc>
          <w:tcPr>
            <w:tcW w:w="1845" w:type="dxa"/>
            <w:gridSpan w:val="2"/>
            <w:vAlign w:val="center"/>
          </w:tcPr>
          <w:p w14:paraId="5BC16618">
            <w:pPr>
              <w:topLinePunct/>
              <w:spacing w:line="440" w:lineRule="exact"/>
              <w:jc w:val="center"/>
              <w:rPr>
                <w:rFonts w:hint="eastAsia" w:ascii="宋体" w:hAnsi="宋体" w:eastAsia="宋体" w:cs="宋体"/>
                <w:color w:val="auto"/>
                <w:sz w:val="2"/>
                <w:szCs w:val="21"/>
                <w:highlight w:val="none"/>
              </w:rPr>
            </w:pPr>
          </w:p>
        </w:tc>
        <w:tc>
          <w:tcPr>
            <w:tcW w:w="784" w:type="dxa"/>
            <w:vMerge w:val="continue"/>
            <w:vAlign w:val="center"/>
          </w:tcPr>
          <w:p w14:paraId="7BB291E4">
            <w:pPr>
              <w:widowControl/>
              <w:jc w:val="left"/>
              <w:rPr>
                <w:rFonts w:hint="eastAsia" w:ascii="宋体" w:hAnsi="宋体" w:eastAsia="宋体" w:cs="宋体"/>
                <w:color w:val="auto"/>
                <w:szCs w:val="21"/>
                <w:highlight w:val="none"/>
              </w:rPr>
            </w:pPr>
          </w:p>
        </w:tc>
        <w:tc>
          <w:tcPr>
            <w:tcW w:w="2296" w:type="dxa"/>
            <w:gridSpan w:val="3"/>
            <w:vAlign w:val="center"/>
          </w:tcPr>
          <w:p w14:paraId="7CBB3E41">
            <w:pPr>
              <w:topLinePunct/>
              <w:spacing w:line="28" w:lineRule="atLeas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中级职称人员</w:t>
            </w:r>
          </w:p>
        </w:tc>
        <w:tc>
          <w:tcPr>
            <w:tcW w:w="2410" w:type="dxa"/>
            <w:gridSpan w:val="2"/>
            <w:vAlign w:val="center"/>
          </w:tcPr>
          <w:p w14:paraId="2081E211">
            <w:pPr>
              <w:topLinePunct/>
              <w:spacing w:line="440" w:lineRule="exact"/>
              <w:jc w:val="center"/>
              <w:rPr>
                <w:rFonts w:hint="eastAsia" w:ascii="宋体" w:hAnsi="宋体" w:eastAsia="宋体" w:cs="宋体"/>
                <w:color w:val="auto"/>
                <w:sz w:val="2"/>
                <w:szCs w:val="21"/>
                <w:highlight w:val="none"/>
              </w:rPr>
            </w:pPr>
          </w:p>
        </w:tc>
      </w:tr>
      <w:tr w14:paraId="2B6C5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2388" w:type="dxa"/>
            <w:vAlign w:val="center"/>
          </w:tcPr>
          <w:p w14:paraId="52AE9D66">
            <w:pPr>
              <w:topLinePunct/>
              <w:spacing w:line="28" w:lineRule="atLeas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基本账户开户银行</w:t>
            </w:r>
          </w:p>
        </w:tc>
        <w:tc>
          <w:tcPr>
            <w:tcW w:w="1845" w:type="dxa"/>
            <w:gridSpan w:val="2"/>
            <w:vAlign w:val="center"/>
          </w:tcPr>
          <w:p w14:paraId="1F305901">
            <w:pPr>
              <w:topLinePunct/>
              <w:spacing w:line="440" w:lineRule="exact"/>
              <w:jc w:val="center"/>
              <w:rPr>
                <w:rFonts w:hint="eastAsia" w:ascii="宋体" w:hAnsi="宋体" w:eastAsia="宋体" w:cs="宋体"/>
                <w:color w:val="auto"/>
                <w:sz w:val="2"/>
                <w:szCs w:val="21"/>
                <w:highlight w:val="none"/>
              </w:rPr>
            </w:pPr>
          </w:p>
        </w:tc>
        <w:tc>
          <w:tcPr>
            <w:tcW w:w="784" w:type="dxa"/>
            <w:vMerge w:val="continue"/>
            <w:vAlign w:val="center"/>
          </w:tcPr>
          <w:p w14:paraId="6AF0A24D">
            <w:pPr>
              <w:widowControl/>
              <w:jc w:val="left"/>
              <w:rPr>
                <w:rFonts w:hint="eastAsia" w:ascii="宋体" w:hAnsi="宋体" w:eastAsia="宋体" w:cs="宋体"/>
                <w:color w:val="auto"/>
                <w:szCs w:val="21"/>
                <w:highlight w:val="none"/>
              </w:rPr>
            </w:pPr>
          </w:p>
        </w:tc>
        <w:tc>
          <w:tcPr>
            <w:tcW w:w="2296" w:type="dxa"/>
            <w:gridSpan w:val="3"/>
            <w:vAlign w:val="center"/>
          </w:tcPr>
          <w:p w14:paraId="474524BA">
            <w:pPr>
              <w:topLinePunct/>
              <w:spacing w:line="28" w:lineRule="atLeast"/>
              <w:jc w:val="center"/>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技术人员数量</w:t>
            </w:r>
          </w:p>
        </w:tc>
        <w:tc>
          <w:tcPr>
            <w:tcW w:w="2410" w:type="dxa"/>
            <w:gridSpan w:val="2"/>
            <w:vAlign w:val="center"/>
          </w:tcPr>
          <w:p w14:paraId="67D38880">
            <w:pPr>
              <w:topLinePunct/>
              <w:spacing w:line="440" w:lineRule="exact"/>
              <w:jc w:val="center"/>
              <w:rPr>
                <w:rFonts w:hint="eastAsia" w:ascii="宋体" w:hAnsi="宋体" w:eastAsia="宋体" w:cs="宋体"/>
                <w:color w:val="auto"/>
                <w:sz w:val="2"/>
                <w:szCs w:val="21"/>
                <w:highlight w:val="none"/>
              </w:rPr>
            </w:pPr>
          </w:p>
        </w:tc>
      </w:tr>
      <w:tr w14:paraId="61C840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 w:hRule="atLeast"/>
          <w:jc w:val="center"/>
        </w:trPr>
        <w:tc>
          <w:tcPr>
            <w:tcW w:w="2388" w:type="dxa"/>
            <w:vAlign w:val="center"/>
          </w:tcPr>
          <w:p w14:paraId="408B263D">
            <w:pPr>
              <w:topLinePunct/>
              <w:spacing w:line="28" w:lineRule="atLeas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基本账户账号</w:t>
            </w:r>
          </w:p>
        </w:tc>
        <w:tc>
          <w:tcPr>
            <w:tcW w:w="1845" w:type="dxa"/>
            <w:gridSpan w:val="2"/>
            <w:vAlign w:val="center"/>
          </w:tcPr>
          <w:p w14:paraId="6D57FDC6">
            <w:pPr>
              <w:topLinePunct/>
              <w:spacing w:line="440" w:lineRule="exact"/>
              <w:jc w:val="center"/>
              <w:rPr>
                <w:rFonts w:hint="eastAsia" w:ascii="宋体" w:hAnsi="宋体" w:eastAsia="宋体" w:cs="宋体"/>
                <w:color w:val="auto"/>
                <w:sz w:val="2"/>
                <w:szCs w:val="21"/>
                <w:highlight w:val="none"/>
              </w:rPr>
            </w:pPr>
          </w:p>
        </w:tc>
        <w:tc>
          <w:tcPr>
            <w:tcW w:w="784" w:type="dxa"/>
            <w:vMerge w:val="continue"/>
            <w:vAlign w:val="center"/>
          </w:tcPr>
          <w:p w14:paraId="5E396B2F">
            <w:pPr>
              <w:widowControl/>
              <w:jc w:val="left"/>
              <w:rPr>
                <w:rFonts w:hint="eastAsia" w:ascii="宋体" w:hAnsi="宋体" w:eastAsia="宋体" w:cs="宋体"/>
                <w:color w:val="auto"/>
                <w:szCs w:val="21"/>
                <w:highlight w:val="none"/>
              </w:rPr>
            </w:pPr>
          </w:p>
        </w:tc>
        <w:tc>
          <w:tcPr>
            <w:tcW w:w="2296" w:type="dxa"/>
            <w:gridSpan w:val="3"/>
            <w:vAlign w:val="center"/>
          </w:tcPr>
          <w:p w14:paraId="536CCBFB">
            <w:pPr>
              <w:topLinePunct/>
              <w:spacing w:line="28" w:lineRule="atLeas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lang w:val="en-US" w:eastAsia="zh-CN"/>
              </w:rPr>
              <w:t>各类注册人员</w:t>
            </w:r>
          </w:p>
        </w:tc>
        <w:tc>
          <w:tcPr>
            <w:tcW w:w="2410" w:type="dxa"/>
            <w:gridSpan w:val="2"/>
            <w:vAlign w:val="center"/>
          </w:tcPr>
          <w:p w14:paraId="28250CDA">
            <w:pPr>
              <w:topLinePunct/>
              <w:spacing w:line="440" w:lineRule="exact"/>
              <w:jc w:val="center"/>
              <w:rPr>
                <w:rFonts w:hint="eastAsia" w:ascii="宋体" w:hAnsi="宋体" w:eastAsia="宋体" w:cs="宋体"/>
                <w:color w:val="auto"/>
                <w:sz w:val="2"/>
                <w:szCs w:val="21"/>
                <w:highlight w:val="none"/>
              </w:rPr>
            </w:pPr>
          </w:p>
        </w:tc>
      </w:tr>
      <w:tr w14:paraId="4E158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2388" w:type="dxa"/>
            <w:vAlign w:val="center"/>
          </w:tcPr>
          <w:p w14:paraId="27196C2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经营范围</w:t>
            </w:r>
          </w:p>
        </w:tc>
        <w:tc>
          <w:tcPr>
            <w:tcW w:w="7335" w:type="dxa"/>
            <w:gridSpan w:val="8"/>
            <w:vAlign w:val="center"/>
          </w:tcPr>
          <w:p w14:paraId="62E7CCBD">
            <w:pPr>
              <w:topLinePunct/>
              <w:spacing w:line="440" w:lineRule="exact"/>
              <w:jc w:val="center"/>
              <w:rPr>
                <w:rFonts w:hint="eastAsia" w:ascii="宋体" w:hAnsi="宋体" w:eastAsia="宋体" w:cs="宋体"/>
                <w:color w:val="auto"/>
                <w:szCs w:val="21"/>
                <w:highlight w:val="none"/>
              </w:rPr>
            </w:pPr>
          </w:p>
        </w:tc>
      </w:tr>
      <w:tr w14:paraId="1A2B3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3" w:hRule="atLeast"/>
          <w:jc w:val="center"/>
        </w:trPr>
        <w:tc>
          <w:tcPr>
            <w:tcW w:w="2388" w:type="dxa"/>
            <w:vAlign w:val="center"/>
          </w:tcPr>
          <w:p w14:paraId="5874F25E">
            <w:pPr>
              <w:topLinePunct/>
              <w:spacing w:line="300" w:lineRule="exact"/>
              <w:ind w:firstLine="210" w:firstLineChars="1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资产构成情况及投 </w:t>
            </w:r>
          </w:p>
          <w:p w14:paraId="7CF1C317">
            <w:pPr>
              <w:topLinePunct/>
              <w:spacing w:line="300" w:lineRule="exact"/>
              <w:ind w:firstLine="210" w:firstLineChars="1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资的关联企业情况</w:t>
            </w:r>
          </w:p>
        </w:tc>
        <w:tc>
          <w:tcPr>
            <w:tcW w:w="7335" w:type="dxa"/>
            <w:gridSpan w:val="8"/>
            <w:vAlign w:val="center"/>
          </w:tcPr>
          <w:p w14:paraId="17FD3E39">
            <w:pPr>
              <w:pStyle w:val="97"/>
              <w:snapToGrid w:val="0"/>
              <w:ind w:left="103"/>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投标人应提供关联企业情况，包括：</w:t>
            </w:r>
          </w:p>
          <w:p w14:paraId="009555FA">
            <w:pPr>
              <w:pStyle w:val="97"/>
              <w:snapToGrid w:val="0"/>
              <w:ind w:left="-2"/>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（1）投标人的所有股东名称及相应股权（出资额）比例；如投</w:t>
            </w:r>
            <w:r>
              <w:rPr>
                <w:rFonts w:hint="eastAsia" w:ascii="宋体" w:hAnsi="宋体" w:eastAsia="宋体" w:cs="宋体"/>
                <w:b/>
                <w:bCs/>
                <w:color w:val="auto"/>
                <w:highlight w:val="none"/>
                <w:lang w:val="en-US" w:eastAsia="zh-CN"/>
              </w:rPr>
              <w:t>标</w:t>
            </w:r>
            <w:r>
              <w:rPr>
                <w:rFonts w:hint="eastAsia" w:ascii="宋体" w:hAnsi="宋体" w:eastAsia="宋体" w:cs="宋体"/>
                <w:b/>
                <w:bCs/>
                <w:color w:val="auto"/>
                <w:highlight w:val="none"/>
              </w:rPr>
              <w:t>人为上市公司，投标人应提供股权占公司股份总数</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25 </w:t>
            </w:r>
            <w:r>
              <w:rPr>
                <w:rFonts w:hint="eastAsia" w:ascii="宋体" w:hAnsi="宋体" w:eastAsia="宋体" w:cs="宋体"/>
                <w:b/>
                <w:bCs/>
                <w:color w:val="auto"/>
                <w:highlight w:val="none"/>
              </w:rPr>
              <w:t>%以上的所有股东名称及相应股权比例；</w:t>
            </w:r>
          </w:p>
          <w:p w14:paraId="6395A4B0">
            <w:pPr>
              <w:pStyle w:val="97"/>
              <w:snapToGrid w:val="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（2）投标人投资（控股）或管理的下属企业名称、持有股权（出资额）比例；</w:t>
            </w:r>
          </w:p>
          <w:p w14:paraId="7172B56C">
            <w:pPr>
              <w:pStyle w:val="97"/>
              <w:snapToGrid w:val="0"/>
              <w:jc w:val="left"/>
              <w:rPr>
                <w:rFonts w:hint="eastAsia" w:ascii="宋体" w:hAnsi="宋体" w:eastAsia="宋体" w:cs="宋体"/>
                <w:color w:val="auto"/>
                <w:highlight w:val="none"/>
              </w:rPr>
            </w:pPr>
            <w:r>
              <w:rPr>
                <w:rFonts w:hint="eastAsia" w:ascii="宋体" w:hAnsi="宋体" w:eastAsia="宋体" w:cs="宋体"/>
                <w:b/>
                <w:bCs/>
                <w:color w:val="auto"/>
                <w:highlight w:val="none"/>
              </w:rPr>
              <w:t>（3）与投标人单位负责人（即法定代表人）为同一人的其他单位名称。</w:t>
            </w:r>
          </w:p>
        </w:tc>
      </w:tr>
      <w:tr w14:paraId="29F73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3" w:hRule="atLeast"/>
          <w:jc w:val="center"/>
        </w:trPr>
        <w:tc>
          <w:tcPr>
            <w:tcW w:w="2388" w:type="dxa"/>
            <w:vAlign w:val="center"/>
          </w:tcPr>
          <w:p w14:paraId="308F6528">
            <w:pPr>
              <w:topLinePunct/>
              <w:spacing w:line="300" w:lineRule="exact"/>
              <w:ind w:firstLine="210" w:firstLineChars="10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rPr>
              <w:t>备注</w:t>
            </w:r>
          </w:p>
        </w:tc>
        <w:tc>
          <w:tcPr>
            <w:tcW w:w="7335" w:type="dxa"/>
            <w:gridSpan w:val="8"/>
            <w:vAlign w:val="center"/>
          </w:tcPr>
          <w:p w14:paraId="373DD7BF">
            <w:pPr>
              <w:pStyle w:val="97"/>
              <w:snapToGrid w:val="0"/>
              <w:jc w:val="left"/>
              <w:rPr>
                <w:rFonts w:hint="eastAsia" w:ascii="宋体" w:hAnsi="宋体" w:eastAsia="宋体" w:cs="宋体"/>
                <w:color w:val="auto"/>
                <w:highlight w:val="none"/>
              </w:rPr>
            </w:pPr>
          </w:p>
        </w:tc>
      </w:tr>
    </w:tbl>
    <w:p w14:paraId="7E2D9F58">
      <w:pPr>
        <w:shd w:val="clear"/>
        <w:spacing w:line="360" w:lineRule="exact"/>
        <w:rPr>
          <w:rFonts w:hint="eastAsia" w:ascii="宋体" w:hAnsi="宋体" w:eastAsia="宋体" w:cs="宋体"/>
          <w:b/>
          <w:color w:val="auto"/>
          <w:sz w:val="30"/>
          <w:szCs w:val="30"/>
          <w:highlight w:val="none"/>
        </w:rPr>
      </w:pPr>
    </w:p>
    <w:p w14:paraId="46671762">
      <w:pPr>
        <w:shd w:val="clear"/>
        <w:spacing w:line="360" w:lineRule="exact"/>
        <w:ind w:firstLine="413" w:firstLineChars="147"/>
        <w:jc w:val="center"/>
        <w:rPr>
          <w:rFonts w:hint="eastAsia" w:ascii="宋体" w:hAnsi="宋体" w:eastAsia="宋体" w:cs="宋体"/>
          <w:b/>
          <w:color w:val="auto"/>
          <w:sz w:val="28"/>
          <w:szCs w:val="28"/>
          <w:highlight w:val="none"/>
        </w:rPr>
      </w:pPr>
      <w:bookmarkStart w:id="108" w:name="_Toc440443268"/>
      <w:bookmarkStart w:id="109" w:name="_Toc449028950"/>
    </w:p>
    <w:p w14:paraId="6DD63E7E">
      <w:pPr>
        <w:shd w:val="clear"/>
        <w:spacing w:line="360" w:lineRule="exact"/>
        <w:ind w:firstLine="413" w:firstLineChars="147"/>
        <w:jc w:val="center"/>
        <w:rPr>
          <w:rFonts w:hint="eastAsia" w:ascii="宋体" w:hAnsi="宋体" w:eastAsia="宋体" w:cs="宋体"/>
          <w:b/>
          <w:color w:val="auto"/>
          <w:sz w:val="28"/>
          <w:szCs w:val="28"/>
          <w:highlight w:val="none"/>
        </w:rPr>
      </w:pPr>
    </w:p>
    <w:p w14:paraId="19FC3D52">
      <w:pPr>
        <w:shd w:val="clear"/>
        <w:spacing w:line="360" w:lineRule="exact"/>
        <w:ind w:firstLine="413" w:firstLineChars="147"/>
        <w:jc w:val="center"/>
        <w:rPr>
          <w:rFonts w:hint="eastAsia" w:ascii="宋体" w:hAnsi="宋体" w:eastAsia="宋体" w:cs="宋体"/>
          <w:b/>
          <w:color w:val="auto"/>
          <w:sz w:val="28"/>
          <w:szCs w:val="28"/>
          <w:highlight w:val="none"/>
        </w:rPr>
      </w:pPr>
    </w:p>
    <w:p w14:paraId="67C7FEB8">
      <w:pPr>
        <w:shd w:val="clear"/>
        <w:spacing w:line="360" w:lineRule="exact"/>
        <w:ind w:firstLine="413" w:firstLineChars="147"/>
        <w:jc w:val="center"/>
        <w:rPr>
          <w:rFonts w:hint="eastAsia" w:ascii="宋体" w:hAnsi="宋体" w:eastAsia="宋体" w:cs="宋体"/>
          <w:b/>
          <w:color w:val="auto"/>
          <w:sz w:val="28"/>
          <w:szCs w:val="28"/>
          <w:highlight w:val="none"/>
        </w:rPr>
      </w:pPr>
    </w:p>
    <w:p w14:paraId="1D0F06E3">
      <w:pPr>
        <w:shd w:val="clear"/>
        <w:spacing w:line="360" w:lineRule="exact"/>
        <w:ind w:firstLine="413" w:firstLineChars="147"/>
        <w:jc w:val="center"/>
        <w:rPr>
          <w:rFonts w:hint="eastAsia" w:ascii="宋体" w:hAnsi="宋体" w:eastAsia="宋体" w:cs="宋体"/>
          <w:b/>
          <w:color w:val="auto"/>
          <w:sz w:val="28"/>
          <w:szCs w:val="28"/>
          <w:highlight w:val="none"/>
        </w:rPr>
      </w:pPr>
    </w:p>
    <w:p w14:paraId="339E2772">
      <w:pPr>
        <w:shd w:val="clear"/>
        <w:spacing w:line="360" w:lineRule="exact"/>
        <w:ind w:firstLine="413" w:firstLineChars="147"/>
        <w:jc w:val="center"/>
        <w:rPr>
          <w:rFonts w:hint="eastAsia" w:ascii="宋体" w:hAnsi="宋体" w:eastAsia="宋体" w:cs="宋体"/>
          <w:b/>
          <w:color w:val="auto"/>
          <w:sz w:val="28"/>
          <w:szCs w:val="28"/>
          <w:highlight w:val="none"/>
        </w:rPr>
      </w:pPr>
    </w:p>
    <w:p w14:paraId="1F3CBA37">
      <w:pPr>
        <w:shd w:val="clear"/>
        <w:spacing w:line="360" w:lineRule="exact"/>
        <w:ind w:firstLine="413" w:firstLineChars="147"/>
        <w:jc w:val="center"/>
        <w:rPr>
          <w:rFonts w:hint="eastAsia" w:ascii="宋体" w:hAnsi="宋体" w:eastAsia="宋体" w:cs="宋体"/>
          <w:b/>
          <w:color w:val="auto"/>
          <w:sz w:val="28"/>
          <w:szCs w:val="28"/>
          <w:highlight w:val="none"/>
        </w:rPr>
      </w:pPr>
    </w:p>
    <w:p w14:paraId="3EDF0073">
      <w:pPr>
        <w:shd w:val="clear"/>
        <w:spacing w:line="360" w:lineRule="exact"/>
        <w:ind w:firstLine="413" w:firstLineChars="147"/>
        <w:jc w:val="center"/>
        <w:rPr>
          <w:rFonts w:hint="eastAsia" w:ascii="宋体" w:hAnsi="宋体" w:eastAsia="宋体" w:cs="宋体"/>
          <w:b/>
          <w:color w:val="auto"/>
          <w:sz w:val="28"/>
          <w:szCs w:val="28"/>
          <w:highlight w:val="none"/>
        </w:rPr>
      </w:pPr>
    </w:p>
    <w:p w14:paraId="7E761754">
      <w:pPr>
        <w:shd w:val="clear"/>
        <w:spacing w:line="360" w:lineRule="exact"/>
        <w:ind w:firstLine="413" w:firstLineChars="147"/>
        <w:jc w:val="center"/>
        <w:rPr>
          <w:rFonts w:hint="eastAsia" w:ascii="宋体" w:hAnsi="宋体" w:eastAsia="宋体" w:cs="宋体"/>
          <w:b/>
          <w:color w:val="auto"/>
          <w:sz w:val="28"/>
          <w:szCs w:val="28"/>
          <w:highlight w:val="none"/>
        </w:rPr>
      </w:pPr>
    </w:p>
    <w:p w14:paraId="0FB42E4E">
      <w:pPr>
        <w:shd w:val="clear"/>
        <w:spacing w:line="360" w:lineRule="exact"/>
        <w:jc w:val="both"/>
        <w:rPr>
          <w:rFonts w:hint="eastAsia" w:ascii="宋体" w:hAnsi="宋体" w:eastAsia="宋体" w:cs="宋体"/>
          <w:b/>
          <w:color w:val="auto"/>
          <w:sz w:val="28"/>
          <w:szCs w:val="28"/>
          <w:highlight w:val="none"/>
        </w:rPr>
      </w:pPr>
      <w:r>
        <w:rPr>
          <w:rFonts w:hint="eastAsia" w:ascii="宋体" w:hAnsi="宋体" w:eastAsia="宋体" w:cs="宋体"/>
          <w:b/>
          <w:color w:val="auto"/>
          <w:sz w:val="30"/>
          <w:szCs w:val="30"/>
          <w:highlight w:val="none"/>
        </w:rPr>
        <w:t>附件</w:t>
      </w:r>
      <w:r>
        <w:rPr>
          <w:rFonts w:hint="eastAsia" w:ascii="宋体" w:hAnsi="宋体" w:eastAsia="宋体" w:cs="宋体"/>
          <w:b/>
          <w:color w:val="auto"/>
          <w:sz w:val="30"/>
          <w:szCs w:val="30"/>
          <w:highlight w:val="none"/>
          <w:lang w:val="en-US" w:eastAsia="zh-CN"/>
        </w:rPr>
        <w:t>3</w:t>
      </w:r>
      <w:r>
        <w:rPr>
          <w:rFonts w:hint="eastAsia" w:ascii="宋体" w:hAnsi="宋体" w:eastAsia="宋体" w:cs="宋体"/>
          <w:b/>
          <w:bCs/>
          <w:color w:val="auto"/>
          <w:sz w:val="30"/>
          <w:highlight w:val="none"/>
          <w:lang w:val="en-US" w:eastAsia="zh-CN"/>
        </w:rPr>
        <w:t xml:space="preserve">               </w:t>
      </w:r>
      <w:r>
        <w:rPr>
          <w:rFonts w:hint="eastAsia" w:ascii="宋体" w:hAnsi="宋体" w:eastAsia="宋体" w:cs="宋体"/>
          <w:b/>
          <w:color w:val="auto"/>
          <w:sz w:val="28"/>
          <w:szCs w:val="28"/>
          <w:highlight w:val="none"/>
        </w:rPr>
        <w:t>诚信投标承诺书</w:t>
      </w:r>
    </w:p>
    <w:p w14:paraId="39F95862">
      <w:pPr>
        <w:kinsoku/>
        <w:wordWrap w:val="0"/>
        <w:overflowPunct/>
        <w:topLinePunct w:val="0"/>
        <w:bidi w:val="0"/>
        <w:adjustRightInd w:val="0"/>
        <w:snapToGrid w:val="0"/>
        <w:spacing w:line="560" w:lineRule="exact"/>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21D1043A">
      <w:pPr>
        <w:kinsoku/>
        <w:wordWrap w:val="0"/>
        <w:overflowPunct/>
        <w:topLinePunct w:val="0"/>
        <w:bidi w:val="0"/>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一、将遵循公</w:t>
      </w:r>
      <w:bookmarkStart w:id="110" w:name="_Toc506107356"/>
      <w:bookmarkStart w:id="111" w:name="_Toc503196197"/>
      <w:bookmarkStart w:id="112" w:name="_Toc26598"/>
      <w:r>
        <w:rPr>
          <w:rFonts w:hint="eastAsia" w:ascii="宋体" w:hAnsi="宋体"/>
          <w:color w:val="auto"/>
          <w:szCs w:val="21"/>
          <w:highlight w:val="none"/>
        </w:rPr>
        <w:t>开、公正和诚实信用</w:t>
      </w:r>
      <w:bookmarkEnd w:id="110"/>
      <w:bookmarkEnd w:id="111"/>
      <w:r>
        <w:rPr>
          <w:rFonts w:hint="eastAsia" w:ascii="宋体" w:hAnsi="宋体"/>
          <w:color w:val="auto"/>
          <w:szCs w:val="21"/>
          <w:highlight w:val="none"/>
        </w:rPr>
        <w:t>的</w:t>
      </w:r>
      <w:bookmarkEnd w:id="112"/>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51B068DB">
      <w:pPr>
        <w:kinsoku/>
        <w:wordWrap w:val="0"/>
        <w:overflowPunct/>
        <w:topLinePunct w:val="0"/>
        <w:bidi w:val="0"/>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6EB96A1A">
      <w:pPr>
        <w:kinsoku/>
        <w:wordWrap w:val="0"/>
        <w:overflowPunct/>
        <w:topLinePunct w:val="0"/>
        <w:bidi w:val="0"/>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5B010153">
      <w:pPr>
        <w:kinsoku/>
        <w:wordWrap w:val="0"/>
        <w:overflowPunct/>
        <w:topLinePunct w:val="0"/>
        <w:bidi w:val="0"/>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5FF53C4">
      <w:pPr>
        <w:kinsoku/>
        <w:wordWrap w:val="0"/>
        <w:overflowPunct/>
        <w:topLinePunct w:val="0"/>
        <w:bidi w:val="0"/>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58FD4AB">
      <w:pPr>
        <w:kinsoku/>
        <w:wordWrap w:val="0"/>
        <w:overflowPunct/>
        <w:topLinePunct w:val="0"/>
        <w:bidi w:val="0"/>
        <w:adjustRightInd w:val="0"/>
        <w:snapToGrid w:val="0"/>
        <w:spacing w:line="5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没有下列情形：①被列入“信用中国”网站（www.creditchina.gov.cn）“失信被执行人”的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www.creditchina.gov.cn）“重大税收违法失信主体”的；③被列入“信用中国”网站（www.creditchina.gov.cn）“拖欠农民工工资失信联合惩戒对象名单”的；④被列入“信用中国”网站（www.creditchina.gov.cn） “</w:t>
      </w:r>
      <w:r>
        <w:rPr>
          <w:rFonts w:hint="eastAsia" w:ascii="宋体" w:hAnsi="宋体"/>
          <w:color w:val="auto"/>
          <w:szCs w:val="21"/>
          <w:highlight w:val="none"/>
          <w:lang w:eastAsia="zh-CN"/>
        </w:rPr>
        <w:t>安全生产严重失信主体名单</w:t>
      </w:r>
      <w:r>
        <w:rPr>
          <w:rFonts w:hint="eastAsia" w:ascii="宋体" w:hAnsi="宋体"/>
          <w:color w:val="auto"/>
          <w:szCs w:val="21"/>
          <w:highlight w:val="none"/>
        </w:rPr>
        <w:t>”的；⑤被列入国家企业信用信息公示系统网站（</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"http://www.gsxt.gov.cn）查询" </w:instrText>
      </w:r>
      <w:r>
        <w:rPr>
          <w:rFonts w:hint="eastAsia" w:ascii="宋体" w:hAnsi="宋体"/>
          <w:color w:val="auto"/>
          <w:szCs w:val="21"/>
          <w:highlight w:val="none"/>
        </w:rPr>
        <w:fldChar w:fldCharType="separate"/>
      </w:r>
      <w:r>
        <w:rPr>
          <w:rFonts w:hint="eastAsia" w:ascii="宋体" w:hAnsi="宋体"/>
          <w:color w:val="auto"/>
          <w:szCs w:val="21"/>
          <w:highlight w:val="none"/>
        </w:rPr>
        <w:t>www.gsxt.gov.cn）</w:t>
      </w:r>
      <w:r>
        <w:rPr>
          <w:rFonts w:hint="eastAsia" w:ascii="宋体" w:hAnsi="宋体"/>
          <w:color w:val="auto"/>
          <w:szCs w:val="21"/>
          <w:highlight w:val="none"/>
        </w:rPr>
        <w:fldChar w:fldCharType="end"/>
      </w:r>
      <w:r>
        <w:rPr>
          <w:rFonts w:hint="eastAsia" w:ascii="宋体" w:hAnsi="宋体"/>
          <w:color w:val="auto"/>
          <w:szCs w:val="21"/>
          <w:highlight w:val="none"/>
        </w:rPr>
        <w:t>“严重违法失信名单”的</w:t>
      </w:r>
      <w:r>
        <w:rPr>
          <w:rFonts w:hint="eastAsia" w:ascii="宋体" w:hAnsi="宋体"/>
          <w:color w:val="auto"/>
          <w:szCs w:val="21"/>
          <w:highlight w:val="none"/>
          <w:lang w:eastAsia="zh-CN"/>
        </w:rPr>
        <w:t>。</w:t>
      </w:r>
    </w:p>
    <w:p w14:paraId="1C8C04B7">
      <w:pPr>
        <w:kinsoku/>
        <w:wordWrap w:val="0"/>
        <w:overflowPunct/>
        <w:topLinePunct w:val="0"/>
        <w:bidi w:val="0"/>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七、严格遵守开标纪律，服从监管人员管理；</w:t>
      </w:r>
    </w:p>
    <w:p w14:paraId="4D354C94">
      <w:pPr>
        <w:kinsoku/>
        <w:wordWrap w:val="0"/>
        <w:overflowPunct/>
        <w:topLinePunct w:val="0"/>
        <w:bidi w:val="0"/>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7EA37103">
      <w:pPr>
        <w:kinsoku/>
        <w:wordWrap w:val="0"/>
        <w:overflowPunct/>
        <w:topLinePunct w:val="0"/>
        <w:bidi w:val="0"/>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九、保证中标之后，按照投标文件承诺派驻管理人员及投入机械设备，如有违反，同意接受建设单位违约处罚；</w:t>
      </w:r>
    </w:p>
    <w:p w14:paraId="1386578A">
      <w:pPr>
        <w:kinsoku/>
        <w:wordWrap w:val="0"/>
        <w:overflowPunct/>
        <w:topLinePunct w:val="0"/>
        <w:bidi w:val="0"/>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39B84C69">
      <w:pPr>
        <w:kinsoku/>
        <w:wordWrap w:val="0"/>
        <w:overflowPunct/>
        <w:topLinePunct w:val="0"/>
        <w:bidi w:val="0"/>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79D2CA6">
      <w:pPr>
        <w:kinsoku/>
        <w:wordWrap w:val="0"/>
        <w:overflowPunct/>
        <w:topLinePunct w:val="0"/>
        <w:bidi w:val="0"/>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6C2E963D">
      <w:pPr>
        <w:kinsoku/>
        <w:wordWrap w:val="0"/>
        <w:overflowPunct/>
        <w:topLinePunct w:val="0"/>
        <w:bidi w:val="0"/>
        <w:adjustRightInd w:val="0"/>
        <w:snapToGrid w:val="0"/>
        <w:spacing w:line="560" w:lineRule="exact"/>
        <w:ind w:firstLine="420" w:firstLineChars="200"/>
        <w:rPr>
          <w:rFonts w:hint="eastAsia" w:ascii="宋体" w:hAnsi="宋体"/>
          <w:color w:val="auto"/>
          <w:szCs w:val="21"/>
          <w:highlight w:val="none"/>
        </w:rPr>
      </w:pPr>
    </w:p>
    <w:p w14:paraId="3199A60C">
      <w:pPr>
        <w:kinsoku/>
        <w:wordWrap w:val="0"/>
        <w:overflowPunct/>
        <w:topLinePunct w:val="0"/>
        <w:bidi w:val="0"/>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w:t>
      </w:r>
    </w:p>
    <w:p w14:paraId="6928EC3F">
      <w:pPr>
        <w:kinsoku/>
        <w:wordWrap w:val="0"/>
        <w:overflowPunct/>
        <w:topLinePunct w:val="0"/>
        <w:bidi w:val="0"/>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开户银行：                          基本账户：</w:t>
      </w:r>
    </w:p>
    <w:p w14:paraId="05760E4F">
      <w:pPr>
        <w:kinsoku/>
        <w:wordWrap w:val="0"/>
        <w:overflowPunct/>
        <w:topLinePunct w:val="0"/>
        <w:bidi w:val="0"/>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投标单位（签章或盖章）：          法定代表人（签字或签章）：</w:t>
      </w:r>
    </w:p>
    <w:p w14:paraId="41EA814F">
      <w:pPr>
        <w:kinsoku/>
        <w:wordWrap w:val="0"/>
        <w:overflowPunct/>
        <w:topLinePunct w:val="0"/>
        <w:bidi w:val="0"/>
        <w:spacing w:line="360" w:lineRule="exact"/>
        <w:ind w:firstLine="420" w:firstLineChars="200"/>
        <w:rPr>
          <w:rFonts w:hint="eastAsia" w:ascii="宋体" w:hAnsi="宋体"/>
          <w:color w:val="auto"/>
          <w:szCs w:val="21"/>
          <w:highlight w:val="none"/>
        </w:rPr>
      </w:pPr>
    </w:p>
    <w:p w14:paraId="7F58E927">
      <w:pPr>
        <w:kinsoku/>
        <w:wordWrap w:val="0"/>
        <w:overflowPunct/>
        <w:topLinePunct w:val="0"/>
        <w:bidi w:val="0"/>
        <w:spacing w:line="360" w:lineRule="exact"/>
        <w:jc w:val="right"/>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EC375F3">
      <w:pPr>
        <w:kinsoku/>
        <w:wordWrap w:val="0"/>
        <w:overflowPunct/>
        <w:topLinePunct w:val="0"/>
        <w:bidi w:val="0"/>
        <w:spacing w:line="360" w:lineRule="exact"/>
        <w:ind w:firstLine="420" w:firstLineChars="200"/>
        <w:rPr>
          <w:rFonts w:hint="eastAsia" w:ascii="宋体" w:hAnsi="宋体"/>
          <w:color w:val="auto"/>
          <w:szCs w:val="21"/>
          <w:highlight w:val="none"/>
        </w:rPr>
      </w:pPr>
    </w:p>
    <w:p w14:paraId="11EECB83">
      <w:pPr>
        <w:kinsoku/>
        <w:wordWrap w:val="0"/>
        <w:overflowPunct/>
        <w:topLinePunct w:val="0"/>
        <w:bidi w:val="0"/>
        <w:adjustRightInd w:val="0"/>
        <w:snapToGrid w:val="0"/>
        <w:spacing w:line="560" w:lineRule="exact"/>
        <w:jc w:val="center"/>
        <w:rPr>
          <w:rFonts w:hint="eastAsia"/>
          <w:b/>
          <w:color w:val="auto"/>
          <w:sz w:val="28"/>
          <w:szCs w:val="28"/>
          <w:highlight w:val="none"/>
          <w:lang w:eastAsia="zh-CN"/>
        </w:rPr>
      </w:pPr>
    </w:p>
    <w:p w14:paraId="7C7AFE20">
      <w:pPr>
        <w:kinsoku/>
        <w:wordWrap w:val="0"/>
        <w:overflowPunct/>
        <w:topLinePunct w:val="0"/>
        <w:bidi w:val="0"/>
        <w:adjustRightInd w:val="0"/>
        <w:snapToGrid w:val="0"/>
        <w:spacing w:line="560" w:lineRule="exact"/>
        <w:jc w:val="center"/>
        <w:outlineLvl w:val="2"/>
        <w:rPr>
          <w:rFonts w:hint="eastAsia"/>
          <w:b/>
          <w:color w:val="auto"/>
          <w:sz w:val="28"/>
          <w:szCs w:val="28"/>
          <w:highlight w:val="none"/>
        </w:rPr>
      </w:pPr>
      <w:r>
        <w:rPr>
          <w:rFonts w:hint="eastAsia"/>
          <w:b/>
          <w:color w:val="auto"/>
          <w:sz w:val="28"/>
          <w:szCs w:val="28"/>
          <w:highlight w:val="none"/>
          <w:lang w:eastAsia="zh-CN"/>
        </w:rPr>
        <w:t>（</w:t>
      </w:r>
      <w:r>
        <w:rPr>
          <w:rFonts w:hint="eastAsia"/>
          <w:b/>
          <w:color w:val="auto"/>
          <w:sz w:val="28"/>
          <w:szCs w:val="28"/>
          <w:highlight w:val="none"/>
          <w:lang w:val="en-US" w:eastAsia="zh-CN"/>
        </w:rPr>
        <w:t>2）</w:t>
      </w:r>
      <w:r>
        <w:rPr>
          <w:rFonts w:hint="eastAsia"/>
          <w:b/>
          <w:color w:val="auto"/>
          <w:sz w:val="28"/>
          <w:szCs w:val="28"/>
          <w:highlight w:val="none"/>
        </w:rPr>
        <w:t>公共信用信息报告（无违法违规证明版或核查版））</w:t>
      </w:r>
    </w:p>
    <w:p w14:paraId="032315FE">
      <w:pPr>
        <w:keepNext w:val="0"/>
        <w:keepLines w:val="0"/>
        <w:pageBreakBefore w:val="0"/>
        <w:widowControl w:val="0"/>
        <w:kinsoku/>
        <w:wordWrap w:val="0"/>
        <w:overflowPunct/>
        <w:topLinePunct w:val="0"/>
        <w:autoSpaceDE/>
        <w:autoSpaceDN/>
        <w:bidi w:val="0"/>
        <w:adjustRightInd w:val="0"/>
        <w:snapToGrid w:val="0"/>
        <w:spacing w:line="56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符合条件的投标人可在信用中国（安徽）网站（网址</w:t>
      </w:r>
      <w:r>
        <w:rPr>
          <w:rFonts w:hint="eastAsia" w:ascii="宋体" w:hAnsi="宋体" w:eastAsia="宋体" w:cs="Times New Roman"/>
          <w:color w:val="auto"/>
          <w:szCs w:val="21"/>
          <w:highlight w:val="none"/>
        </w:rPr>
        <w:fldChar w:fldCharType="begin"/>
      </w:r>
      <w:r>
        <w:rPr>
          <w:rFonts w:hint="eastAsia" w:ascii="宋体" w:hAnsi="宋体" w:eastAsia="宋体" w:cs="Times New Roman"/>
          <w:color w:val="auto"/>
          <w:szCs w:val="21"/>
          <w:highlight w:val="none"/>
        </w:rPr>
        <w:instrText xml:space="preserve"> HYPERLINK "https://credit.ah.gov.cn/xinyongfuwu/index.html" </w:instrText>
      </w:r>
      <w:r>
        <w:rPr>
          <w:rFonts w:hint="eastAsia" w:ascii="宋体" w:hAnsi="宋体" w:eastAsia="宋体" w:cs="Times New Roman"/>
          <w:color w:val="auto"/>
          <w:szCs w:val="21"/>
          <w:highlight w:val="none"/>
        </w:rPr>
        <w:fldChar w:fldCharType="separate"/>
      </w:r>
      <w:r>
        <w:rPr>
          <w:rFonts w:hint="eastAsia" w:ascii="宋体" w:hAnsi="宋体" w:eastAsia="宋体" w:cs="Times New Roman"/>
          <w:color w:val="auto"/>
          <w:szCs w:val="21"/>
          <w:highlight w:val="none"/>
        </w:rPr>
        <w:t>https://credit.ah.gov.cn/xinyongfuwu/index.html</w:t>
      </w:r>
      <w:r>
        <w:rPr>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），获取信用报告（无违法违规证明版或核查版）并上传至投标文件中。</w:t>
      </w:r>
    </w:p>
    <w:p w14:paraId="72A53B7E">
      <w:pPr>
        <w:shd w:val="clear"/>
        <w:spacing w:line="360" w:lineRule="auto"/>
        <w:rPr>
          <w:rFonts w:hint="eastAsia" w:ascii="宋体" w:hAnsi="宋体" w:eastAsia="宋体" w:cs="宋体"/>
          <w:b/>
          <w:color w:val="auto"/>
          <w:sz w:val="24"/>
          <w:highlight w:val="none"/>
        </w:rPr>
      </w:pPr>
    </w:p>
    <w:p w14:paraId="3F653394">
      <w:pPr>
        <w:shd w:val="clear"/>
        <w:spacing w:line="360" w:lineRule="auto"/>
        <w:rPr>
          <w:rFonts w:hint="eastAsia" w:ascii="宋体" w:hAnsi="宋体" w:eastAsia="宋体" w:cs="宋体"/>
          <w:b/>
          <w:color w:val="auto"/>
          <w:sz w:val="24"/>
          <w:highlight w:val="none"/>
        </w:rPr>
      </w:pPr>
    </w:p>
    <w:p w14:paraId="31EAD6E6">
      <w:pPr>
        <w:shd w:val="clear"/>
        <w:spacing w:line="360" w:lineRule="auto"/>
        <w:rPr>
          <w:rFonts w:hint="eastAsia" w:ascii="宋体" w:hAnsi="宋体" w:eastAsia="宋体" w:cs="宋体"/>
          <w:b/>
          <w:color w:val="auto"/>
          <w:sz w:val="24"/>
          <w:highlight w:val="none"/>
        </w:rPr>
      </w:pPr>
    </w:p>
    <w:p w14:paraId="34FE143E">
      <w:pPr>
        <w:shd w:val="clear"/>
        <w:spacing w:line="360" w:lineRule="auto"/>
        <w:rPr>
          <w:rFonts w:hint="eastAsia" w:ascii="宋体" w:hAnsi="宋体" w:eastAsia="宋体" w:cs="宋体"/>
          <w:b/>
          <w:color w:val="auto"/>
          <w:sz w:val="24"/>
          <w:highlight w:val="none"/>
        </w:rPr>
      </w:pPr>
    </w:p>
    <w:p w14:paraId="57772B8F">
      <w:pPr>
        <w:shd w:val="clear"/>
        <w:spacing w:line="360" w:lineRule="auto"/>
        <w:rPr>
          <w:rFonts w:hint="eastAsia" w:ascii="宋体" w:hAnsi="宋体" w:eastAsia="宋体" w:cs="宋体"/>
          <w:b/>
          <w:color w:val="auto"/>
          <w:sz w:val="24"/>
          <w:highlight w:val="none"/>
        </w:rPr>
      </w:pPr>
    </w:p>
    <w:p w14:paraId="790FA785">
      <w:pPr>
        <w:shd w:val="clear"/>
        <w:spacing w:line="360" w:lineRule="auto"/>
        <w:rPr>
          <w:rFonts w:hint="eastAsia" w:ascii="宋体" w:hAnsi="宋体" w:eastAsia="宋体" w:cs="宋体"/>
          <w:b/>
          <w:color w:val="auto"/>
          <w:sz w:val="24"/>
          <w:highlight w:val="none"/>
        </w:rPr>
      </w:pPr>
    </w:p>
    <w:p w14:paraId="6E263A61">
      <w:pPr>
        <w:shd w:val="clear"/>
        <w:spacing w:line="360" w:lineRule="auto"/>
        <w:rPr>
          <w:rFonts w:hint="eastAsia" w:ascii="宋体" w:hAnsi="宋体" w:eastAsia="宋体" w:cs="宋体"/>
          <w:b/>
          <w:color w:val="auto"/>
          <w:sz w:val="24"/>
          <w:highlight w:val="none"/>
        </w:rPr>
      </w:pPr>
    </w:p>
    <w:p w14:paraId="740E6870">
      <w:pPr>
        <w:shd w:val="clear"/>
        <w:spacing w:line="360" w:lineRule="auto"/>
        <w:rPr>
          <w:rFonts w:hint="eastAsia" w:ascii="宋体" w:hAnsi="宋体" w:eastAsia="宋体" w:cs="宋体"/>
          <w:b/>
          <w:color w:val="auto"/>
          <w:sz w:val="24"/>
          <w:highlight w:val="none"/>
        </w:rPr>
      </w:pPr>
    </w:p>
    <w:p w14:paraId="61DADE1C">
      <w:pPr>
        <w:shd w:val="clear"/>
        <w:spacing w:line="360" w:lineRule="auto"/>
        <w:rPr>
          <w:rFonts w:hint="eastAsia" w:ascii="宋体" w:hAnsi="宋体" w:eastAsia="宋体" w:cs="宋体"/>
          <w:b/>
          <w:color w:val="auto"/>
          <w:sz w:val="24"/>
          <w:highlight w:val="none"/>
        </w:rPr>
      </w:pPr>
    </w:p>
    <w:p w14:paraId="6FB47845">
      <w:pPr>
        <w:shd w:val="clear"/>
        <w:spacing w:line="360" w:lineRule="auto"/>
        <w:rPr>
          <w:rFonts w:hint="eastAsia" w:ascii="宋体" w:hAnsi="宋体" w:eastAsia="宋体" w:cs="宋体"/>
          <w:b/>
          <w:color w:val="auto"/>
          <w:sz w:val="24"/>
          <w:highlight w:val="none"/>
        </w:rPr>
      </w:pPr>
    </w:p>
    <w:p w14:paraId="6CBD1EBA">
      <w:pPr>
        <w:shd w:val="clear"/>
        <w:spacing w:line="360" w:lineRule="auto"/>
        <w:rPr>
          <w:rFonts w:hint="eastAsia" w:ascii="宋体" w:hAnsi="宋体" w:eastAsia="宋体" w:cs="宋体"/>
          <w:b/>
          <w:color w:val="auto"/>
          <w:sz w:val="24"/>
          <w:highlight w:val="none"/>
        </w:rPr>
      </w:pPr>
    </w:p>
    <w:p w14:paraId="423495F4">
      <w:pPr>
        <w:shd w:val="clear"/>
        <w:spacing w:line="360" w:lineRule="auto"/>
        <w:rPr>
          <w:rFonts w:hint="eastAsia" w:ascii="宋体" w:hAnsi="宋体" w:eastAsia="宋体" w:cs="宋体"/>
          <w:b/>
          <w:color w:val="auto"/>
          <w:sz w:val="24"/>
          <w:highlight w:val="none"/>
        </w:rPr>
      </w:pPr>
    </w:p>
    <w:p w14:paraId="408FD0D6">
      <w:pPr>
        <w:pStyle w:val="17"/>
        <w:rPr>
          <w:rFonts w:hint="eastAsia"/>
          <w:color w:val="auto"/>
          <w:highlight w:val="none"/>
        </w:rPr>
      </w:pPr>
    </w:p>
    <w:p w14:paraId="2D767EC0">
      <w:pPr>
        <w:shd w:val="clear"/>
        <w:spacing w:line="360" w:lineRule="auto"/>
        <w:rPr>
          <w:rFonts w:hint="eastAsia" w:ascii="宋体" w:hAnsi="宋体" w:eastAsia="宋体" w:cs="宋体"/>
          <w:b/>
          <w:color w:val="auto"/>
          <w:sz w:val="24"/>
          <w:highlight w:val="none"/>
        </w:rPr>
      </w:pPr>
    </w:p>
    <w:p w14:paraId="717FA735">
      <w:pPr>
        <w:shd w:val="clear"/>
        <w:spacing w:line="360" w:lineRule="auto"/>
        <w:rPr>
          <w:rFonts w:hint="eastAsia" w:ascii="宋体" w:hAnsi="宋体" w:eastAsia="宋体" w:cs="宋体"/>
          <w:b/>
          <w:color w:val="auto"/>
          <w:sz w:val="24"/>
          <w:highlight w:val="none"/>
        </w:rPr>
      </w:pPr>
    </w:p>
    <w:bookmarkEnd w:id="108"/>
    <w:bookmarkEnd w:id="109"/>
    <w:p w14:paraId="587E0B69">
      <w:pPr>
        <w:rPr>
          <w:rFonts w:hint="eastAsia" w:ascii="宋体" w:hAnsi="宋体"/>
          <w:b/>
          <w:color w:val="auto"/>
          <w:sz w:val="24"/>
          <w:highlight w:val="none"/>
        </w:rPr>
      </w:pPr>
      <w:r>
        <w:rPr>
          <w:rFonts w:hint="eastAsia" w:ascii="宋体" w:hAnsi="宋体"/>
          <w:b/>
          <w:color w:val="auto"/>
          <w:sz w:val="24"/>
          <w:highlight w:val="none"/>
        </w:rPr>
        <w:t>附件</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14:paraId="0A419C4B">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14:paraId="2B339B74">
      <w:pPr>
        <w:rPr>
          <w:rFonts w:hint="eastAsia" w:ascii="宋体" w:hAnsi="宋体"/>
          <w:color w:val="auto"/>
          <w:sz w:val="24"/>
          <w:highlight w:val="none"/>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421"/>
        <w:gridCol w:w="1539"/>
        <w:gridCol w:w="1555"/>
        <w:gridCol w:w="1577"/>
        <w:gridCol w:w="1962"/>
      </w:tblGrid>
      <w:tr w14:paraId="2379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65" w:type="dxa"/>
            <w:vMerge w:val="restart"/>
            <w:noWrap w:val="0"/>
            <w:vAlign w:val="center"/>
          </w:tcPr>
          <w:p w14:paraId="22DCF4FD">
            <w:pPr>
              <w:spacing w:line="240" w:lineRule="atLeas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421" w:type="dxa"/>
            <w:vMerge w:val="restart"/>
            <w:noWrap w:val="0"/>
            <w:vAlign w:val="center"/>
          </w:tcPr>
          <w:p w14:paraId="49B034B2">
            <w:pPr>
              <w:spacing w:line="240" w:lineRule="atLeast"/>
              <w:jc w:val="center"/>
              <w:rPr>
                <w:rFonts w:ascii="宋体" w:hAnsi="宋体" w:cs="宋体"/>
                <w:color w:val="auto"/>
                <w:szCs w:val="21"/>
                <w:highlight w:val="none"/>
              </w:rPr>
            </w:pPr>
            <w:r>
              <w:rPr>
                <w:rFonts w:hint="eastAsia" w:ascii="宋体" w:hAnsi="宋体" w:cs="宋体"/>
                <w:color w:val="auto"/>
                <w:szCs w:val="21"/>
                <w:highlight w:val="none"/>
              </w:rPr>
              <w:t>品目名称</w:t>
            </w:r>
          </w:p>
        </w:tc>
        <w:tc>
          <w:tcPr>
            <w:tcW w:w="3094" w:type="dxa"/>
            <w:gridSpan w:val="2"/>
            <w:noWrap w:val="0"/>
            <w:vAlign w:val="center"/>
          </w:tcPr>
          <w:p w14:paraId="38648A02">
            <w:pPr>
              <w:spacing w:line="240" w:lineRule="atLeast"/>
              <w:jc w:val="center"/>
              <w:rPr>
                <w:rFonts w:ascii="宋体" w:hAnsi="宋体" w:cs="宋体"/>
                <w:color w:val="auto"/>
                <w:szCs w:val="21"/>
                <w:highlight w:val="none"/>
              </w:rPr>
            </w:pPr>
            <w:r>
              <w:rPr>
                <w:rFonts w:hint="eastAsia" w:ascii="宋体" w:hAnsi="宋体" w:cs="宋体"/>
                <w:color w:val="auto"/>
                <w:szCs w:val="21"/>
                <w:highlight w:val="none"/>
              </w:rPr>
              <w:t>规格型号及参数</w:t>
            </w:r>
          </w:p>
        </w:tc>
        <w:tc>
          <w:tcPr>
            <w:tcW w:w="1577" w:type="dxa"/>
            <w:vMerge w:val="restart"/>
            <w:noWrap w:val="0"/>
            <w:vAlign w:val="center"/>
          </w:tcPr>
          <w:p w14:paraId="3E1F7B46">
            <w:pPr>
              <w:spacing w:line="240" w:lineRule="atLeast"/>
              <w:jc w:val="center"/>
              <w:rPr>
                <w:rFonts w:ascii="宋体" w:hAnsi="宋体" w:cs="宋体"/>
                <w:color w:val="auto"/>
                <w:szCs w:val="21"/>
                <w:highlight w:val="none"/>
              </w:rPr>
            </w:pPr>
            <w:r>
              <w:rPr>
                <w:rFonts w:hint="eastAsia" w:ascii="宋体" w:hAnsi="宋体" w:cs="宋体"/>
                <w:color w:val="auto"/>
                <w:szCs w:val="21"/>
                <w:highlight w:val="none"/>
              </w:rPr>
              <w:t>是否响应</w:t>
            </w:r>
          </w:p>
        </w:tc>
        <w:tc>
          <w:tcPr>
            <w:tcW w:w="1962" w:type="dxa"/>
            <w:vMerge w:val="restart"/>
            <w:noWrap w:val="0"/>
            <w:vAlign w:val="center"/>
          </w:tcPr>
          <w:p w14:paraId="5ECEBA81">
            <w:pPr>
              <w:spacing w:line="240" w:lineRule="atLeast"/>
              <w:jc w:val="center"/>
              <w:rPr>
                <w:rFonts w:ascii="宋体" w:hAnsi="宋体" w:cs="宋体"/>
                <w:color w:val="auto"/>
                <w:szCs w:val="21"/>
                <w:highlight w:val="none"/>
              </w:rPr>
            </w:pPr>
            <w:r>
              <w:rPr>
                <w:rFonts w:hint="eastAsia" w:ascii="宋体" w:hAnsi="宋体" w:cs="宋体"/>
                <w:color w:val="auto"/>
                <w:szCs w:val="21"/>
                <w:highlight w:val="none"/>
              </w:rPr>
              <w:t>其他情况说明</w:t>
            </w:r>
          </w:p>
        </w:tc>
      </w:tr>
      <w:tr w14:paraId="2E55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65" w:type="dxa"/>
            <w:vMerge w:val="continue"/>
            <w:noWrap w:val="0"/>
            <w:vAlign w:val="top"/>
          </w:tcPr>
          <w:p w14:paraId="5726A48B">
            <w:pPr>
              <w:spacing w:line="240" w:lineRule="atLeast"/>
              <w:ind w:firstLine="105" w:firstLineChars="50"/>
              <w:rPr>
                <w:rFonts w:hint="eastAsia" w:ascii="宋体" w:hAnsi="宋体" w:cs="宋体"/>
                <w:color w:val="auto"/>
                <w:szCs w:val="21"/>
                <w:highlight w:val="none"/>
              </w:rPr>
            </w:pPr>
          </w:p>
        </w:tc>
        <w:tc>
          <w:tcPr>
            <w:tcW w:w="1421" w:type="dxa"/>
            <w:vMerge w:val="continue"/>
            <w:noWrap w:val="0"/>
            <w:vAlign w:val="top"/>
          </w:tcPr>
          <w:p w14:paraId="29D16E7B">
            <w:pPr>
              <w:spacing w:line="240" w:lineRule="atLeast"/>
              <w:jc w:val="center"/>
              <w:rPr>
                <w:rFonts w:hint="eastAsia" w:ascii="宋体" w:hAnsi="宋体" w:cs="宋体"/>
                <w:color w:val="auto"/>
                <w:szCs w:val="21"/>
                <w:highlight w:val="none"/>
              </w:rPr>
            </w:pPr>
          </w:p>
        </w:tc>
        <w:tc>
          <w:tcPr>
            <w:tcW w:w="1539" w:type="dxa"/>
            <w:noWrap w:val="0"/>
            <w:vAlign w:val="top"/>
          </w:tcPr>
          <w:p w14:paraId="0EC03D10">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55" w:type="dxa"/>
            <w:noWrap w:val="0"/>
            <w:vAlign w:val="top"/>
          </w:tcPr>
          <w:p w14:paraId="6D58508C">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7" w:type="dxa"/>
            <w:vMerge w:val="continue"/>
            <w:noWrap w:val="0"/>
            <w:vAlign w:val="top"/>
          </w:tcPr>
          <w:p w14:paraId="3F65D071">
            <w:pPr>
              <w:spacing w:line="240" w:lineRule="atLeast"/>
              <w:jc w:val="center"/>
              <w:rPr>
                <w:rFonts w:hint="eastAsia" w:ascii="宋体" w:hAnsi="宋体" w:cs="宋体"/>
                <w:color w:val="auto"/>
                <w:szCs w:val="21"/>
                <w:highlight w:val="none"/>
              </w:rPr>
            </w:pPr>
          </w:p>
        </w:tc>
        <w:tc>
          <w:tcPr>
            <w:tcW w:w="1962" w:type="dxa"/>
            <w:vMerge w:val="continue"/>
            <w:noWrap w:val="0"/>
            <w:vAlign w:val="top"/>
          </w:tcPr>
          <w:p w14:paraId="7CEF43B6">
            <w:pPr>
              <w:spacing w:line="240" w:lineRule="atLeast"/>
              <w:jc w:val="center"/>
              <w:rPr>
                <w:rFonts w:hint="eastAsia" w:ascii="宋体" w:hAnsi="宋体" w:cs="宋体"/>
                <w:color w:val="auto"/>
                <w:szCs w:val="21"/>
                <w:highlight w:val="none"/>
              </w:rPr>
            </w:pPr>
          </w:p>
        </w:tc>
      </w:tr>
      <w:tr w14:paraId="467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shd w:val="clear" w:color="auto" w:fill="auto"/>
            <w:noWrap w:val="0"/>
            <w:vAlign w:val="center"/>
          </w:tcPr>
          <w:p w14:paraId="17D8F8B3">
            <w:pPr>
              <w:jc w:val="center"/>
              <w:rPr>
                <w:rFonts w:hint="eastAsia" w:ascii="宋体" w:hAnsi="宋体"/>
                <w:color w:val="auto"/>
                <w:szCs w:val="21"/>
                <w:highlight w:val="none"/>
              </w:rPr>
            </w:pPr>
            <w:r>
              <w:rPr>
                <w:rFonts w:hint="eastAsia" w:ascii="宋体" w:hAnsi="宋体"/>
                <w:color w:val="auto"/>
                <w:szCs w:val="21"/>
                <w:highlight w:val="none"/>
              </w:rPr>
              <w:t>1</w:t>
            </w:r>
          </w:p>
        </w:tc>
        <w:tc>
          <w:tcPr>
            <w:tcW w:w="1421" w:type="dxa"/>
            <w:shd w:val="clear" w:color="auto" w:fill="FFFFFF"/>
            <w:noWrap w:val="0"/>
            <w:vAlign w:val="center"/>
          </w:tcPr>
          <w:p w14:paraId="387DE71B">
            <w:pPr>
              <w:widowControl/>
              <w:spacing w:line="360" w:lineRule="auto"/>
              <w:jc w:val="center"/>
              <w:textAlignment w:val="center"/>
              <w:rPr>
                <w:rFonts w:hint="eastAsia" w:ascii="宋体" w:hAnsi="宋体"/>
                <w:color w:val="auto"/>
                <w:szCs w:val="21"/>
                <w:highlight w:val="none"/>
              </w:rPr>
            </w:pPr>
          </w:p>
        </w:tc>
        <w:tc>
          <w:tcPr>
            <w:tcW w:w="1539" w:type="dxa"/>
            <w:noWrap w:val="0"/>
            <w:vAlign w:val="center"/>
          </w:tcPr>
          <w:p w14:paraId="513E339E">
            <w:pPr>
              <w:ind w:firstLine="630" w:firstLineChars="300"/>
              <w:jc w:val="center"/>
              <w:rPr>
                <w:rFonts w:hint="eastAsia" w:ascii="宋体" w:hAnsi="宋体"/>
                <w:color w:val="auto"/>
                <w:szCs w:val="21"/>
                <w:highlight w:val="none"/>
              </w:rPr>
            </w:pPr>
          </w:p>
        </w:tc>
        <w:tc>
          <w:tcPr>
            <w:tcW w:w="1555" w:type="dxa"/>
            <w:noWrap w:val="0"/>
            <w:vAlign w:val="center"/>
          </w:tcPr>
          <w:p w14:paraId="68B06F38">
            <w:pPr>
              <w:ind w:firstLine="630" w:firstLineChars="300"/>
              <w:jc w:val="center"/>
              <w:rPr>
                <w:rFonts w:hint="eastAsia" w:ascii="宋体" w:hAnsi="宋体"/>
                <w:color w:val="auto"/>
                <w:szCs w:val="21"/>
                <w:highlight w:val="none"/>
              </w:rPr>
            </w:pPr>
          </w:p>
        </w:tc>
        <w:tc>
          <w:tcPr>
            <w:tcW w:w="1577" w:type="dxa"/>
            <w:noWrap w:val="0"/>
            <w:vAlign w:val="center"/>
          </w:tcPr>
          <w:p w14:paraId="1BF08FA3">
            <w:pPr>
              <w:jc w:val="center"/>
              <w:rPr>
                <w:rFonts w:hint="eastAsia" w:ascii="宋体" w:hAnsi="宋体"/>
                <w:color w:val="auto"/>
                <w:szCs w:val="21"/>
                <w:highlight w:val="none"/>
              </w:rPr>
            </w:pPr>
            <w:r>
              <w:rPr>
                <w:rFonts w:hint="eastAsia" w:ascii="宋体" w:hAnsi="宋体" w:cs="宋体"/>
                <w:color w:val="auto"/>
                <w:szCs w:val="21"/>
                <w:highlight w:val="none"/>
              </w:rPr>
              <w:t>是/否</w:t>
            </w:r>
          </w:p>
        </w:tc>
        <w:tc>
          <w:tcPr>
            <w:tcW w:w="1962" w:type="dxa"/>
            <w:noWrap w:val="0"/>
            <w:vAlign w:val="center"/>
          </w:tcPr>
          <w:p w14:paraId="59F08BA5">
            <w:pPr>
              <w:jc w:val="center"/>
              <w:rPr>
                <w:rFonts w:hint="eastAsia" w:ascii="宋体" w:hAnsi="宋体"/>
                <w:color w:val="auto"/>
                <w:szCs w:val="21"/>
                <w:highlight w:val="none"/>
              </w:rPr>
            </w:pPr>
          </w:p>
        </w:tc>
      </w:tr>
      <w:tr w14:paraId="45A5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shd w:val="clear" w:color="auto" w:fill="auto"/>
            <w:noWrap w:val="0"/>
            <w:vAlign w:val="center"/>
          </w:tcPr>
          <w:p w14:paraId="1847493F">
            <w:pPr>
              <w:jc w:val="center"/>
              <w:rPr>
                <w:rFonts w:hint="eastAsia" w:ascii="宋体" w:hAnsi="宋体"/>
                <w:color w:val="auto"/>
                <w:szCs w:val="21"/>
                <w:highlight w:val="none"/>
              </w:rPr>
            </w:pPr>
            <w:r>
              <w:rPr>
                <w:rFonts w:hint="eastAsia" w:ascii="宋体" w:hAnsi="宋体"/>
                <w:color w:val="auto"/>
                <w:szCs w:val="21"/>
                <w:highlight w:val="none"/>
              </w:rPr>
              <w:t>2</w:t>
            </w:r>
          </w:p>
        </w:tc>
        <w:tc>
          <w:tcPr>
            <w:tcW w:w="1421" w:type="dxa"/>
            <w:shd w:val="clear" w:color="auto" w:fill="FFFFFF"/>
            <w:noWrap w:val="0"/>
            <w:vAlign w:val="center"/>
          </w:tcPr>
          <w:p w14:paraId="7CFD8742">
            <w:pPr>
              <w:widowControl/>
              <w:spacing w:line="360" w:lineRule="auto"/>
              <w:jc w:val="center"/>
              <w:textAlignment w:val="center"/>
              <w:rPr>
                <w:rFonts w:hint="eastAsia" w:ascii="宋体" w:hAnsi="宋体"/>
                <w:color w:val="auto"/>
                <w:sz w:val="24"/>
                <w:highlight w:val="none"/>
              </w:rPr>
            </w:pPr>
          </w:p>
        </w:tc>
        <w:tc>
          <w:tcPr>
            <w:tcW w:w="1539" w:type="dxa"/>
            <w:noWrap w:val="0"/>
            <w:vAlign w:val="center"/>
          </w:tcPr>
          <w:p w14:paraId="3A828155">
            <w:pPr>
              <w:ind w:firstLine="630" w:firstLineChars="300"/>
              <w:jc w:val="center"/>
              <w:rPr>
                <w:rFonts w:hint="eastAsia" w:ascii="宋体" w:hAnsi="宋体"/>
                <w:color w:val="auto"/>
                <w:szCs w:val="21"/>
                <w:highlight w:val="none"/>
              </w:rPr>
            </w:pPr>
          </w:p>
        </w:tc>
        <w:tc>
          <w:tcPr>
            <w:tcW w:w="1555" w:type="dxa"/>
            <w:noWrap w:val="0"/>
            <w:vAlign w:val="center"/>
          </w:tcPr>
          <w:p w14:paraId="22ED38A7">
            <w:pPr>
              <w:ind w:firstLine="630" w:firstLineChars="300"/>
              <w:jc w:val="center"/>
              <w:rPr>
                <w:rFonts w:hint="eastAsia" w:ascii="宋体" w:hAnsi="宋体"/>
                <w:color w:val="auto"/>
                <w:szCs w:val="21"/>
                <w:highlight w:val="none"/>
              </w:rPr>
            </w:pPr>
          </w:p>
        </w:tc>
        <w:tc>
          <w:tcPr>
            <w:tcW w:w="1577" w:type="dxa"/>
            <w:noWrap w:val="0"/>
            <w:vAlign w:val="center"/>
          </w:tcPr>
          <w:p w14:paraId="6EC5988A">
            <w:pPr>
              <w:jc w:val="center"/>
              <w:rPr>
                <w:color w:val="auto"/>
                <w:highlight w:val="none"/>
              </w:rPr>
            </w:pPr>
            <w:r>
              <w:rPr>
                <w:rFonts w:hint="eastAsia" w:ascii="宋体" w:hAnsi="宋体" w:cs="宋体"/>
                <w:color w:val="auto"/>
                <w:szCs w:val="21"/>
                <w:highlight w:val="none"/>
              </w:rPr>
              <w:t>是/否</w:t>
            </w:r>
          </w:p>
        </w:tc>
        <w:tc>
          <w:tcPr>
            <w:tcW w:w="1962" w:type="dxa"/>
            <w:noWrap w:val="0"/>
            <w:vAlign w:val="center"/>
          </w:tcPr>
          <w:p w14:paraId="4AB2F06A">
            <w:pPr>
              <w:jc w:val="center"/>
              <w:rPr>
                <w:rFonts w:hint="eastAsia" w:ascii="宋体" w:hAnsi="宋体"/>
                <w:color w:val="auto"/>
                <w:szCs w:val="21"/>
                <w:highlight w:val="none"/>
              </w:rPr>
            </w:pPr>
          </w:p>
        </w:tc>
      </w:tr>
      <w:tr w14:paraId="50D2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shd w:val="clear" w:color="auto" w:fill="auto"/>
            <w:noWrap w:val="0"/>
            <w:vAlign w:val="center"/>
          </w:tcPr>
          <w:p w14:paraId="5E533112">
            <w:pPr>
              <w:jc w:val="center"/>
              <w:rPr>
                <w:rFonts w:hint="eastAsia" w:ascii="宋体" w:hAnsi="宋体"/>
                <w:color w:val="auto"/>
                <w:szCs w:val="21"/>
                <w:highlight w:val="none"/>
              </w:rPr>
            </w:pPr>
            <w:r>
              <w:rPr>
                <w:rFonts w:hint="eastAsia" w:ascii="宋体" w:hAnsi="宋体"/>
                <w:color w:val="auto"/>
                <w:szCs w:val="21"/>
                <w:highlight w:val="none"/>
              </w:rPr>
              <w:t>3</w:t>
            </w:r>
          </w:p>
        </w:tc>
        <w:tc>
          <w:tcPr>
            <w:tcW w:w="1421" w:type="dxa"/>
            <w:shd w:val="clear" w:color="auto" w:fill="FFFFFF"/>
            <w:noWrap w:val="0"/>
            <w:vAlign w:val="center"/>
          </w:tcPr>
          <w:p w14:paraId="56D51F6D">
            <w:pPr>
              <w:widowControl/>
              <w:spacing w:line="360" w:lineRule="auto"/>
              <w:jc w:val="center"/>
              <w:textAlignment w:val="center"/>
              <w:rPr>
                <w:rFonts w:hint="eastAsia" w:ascii="宋体" w:hAnsi="宋体"/>
                <w:color w:val="auto"/>
                <w:sz w:val="24"/>
                <w:highlight w:val="none"/>
              </w:rPr>
            </w:pPr>
          </w:p>
        </w:tc>
        <w:tc>
          <w:tcPr>
            <w:tcW w:w="1539" w:type="dxa"/>
            <w:noWrap w:val="0"/>
            <w:vAlign w:val="center"/>
          </w:tcPr>
          <w:p w14:paraId="06AEFF83">
            <w:pPr>
              <w:ind w:firstLine="630" w:firstLineChars="300"/>
              <w:jc w:val="center"/>
              <w:rPr>
                <w:rFonts w:hint="eastAsia" w:ascii="宋体" w:hAnsi="宋体"/>
                <w:color w:val="auto"/>
                <w:szCs w:val="21"/>
                <w:highlight w:val="none"/>
              </w:rPr>
            </w:pPr>
          </w:p>
        </w:tc>
        <w:tc>
          <w:tcPr>
            <w:tcW w:w="1555" w:type="dxa"/>
            <w:noWrap w:val="0"/>
            <w:vAlign w:val="center"/>
          </w:tcPr>
          <w:p w14:paraId="60E84501">
            <w:pPr>
              <w:ind w:firstLine="630" w:firstLineChars="300"/>
              <w:jc w:val="center"/>
              <w:rPr>
                <w:rFonts w:hint="eastAsia" w:ascii="宋体" w:hAnsi="宋体"/>
                <w:color w:val="auto"/>
                <w:szCs w:val="21"/>
                <w:highlight w:val="none"/>
              </w:rPr>
            </w:pPr>
          </w:p>
        </w:tc>
        <w:tc>
          <w:tcPr>
            <w:tcW w:w="1577" w:type="dxa"/>
            <w:noWrap w:val="0"/>
            <w:vAlign w:val="center"/>
          </w:tcPr>
          <w:p w14:paraId="6C2DCB34">
            <w:pPr>
              <w:jc w:val="center"/>
              <w:rPr>
                <w:color w:val="auto"/>
                <w:highlight w:val="none"/>
              </w:rPr>
            </w:pPr>
            <w:r>
              <w:rPr>
                <w:rFonts w:hint="eastAsia" w:ascii="宋体" w:hAnsi="宋体" w:cs="宋体"/>
                <w:color w:val="auto"/>
                <w:szCs w:val="21"/>
                <w:highlight w:val="none"/>
              </w:rPr>
              <w:t>是/否</w:t>
            </w:r>
          </w:p>
        </w:tc>
        <w:tc>
          <w:tcPr>
            <w:tcW w:w="1962" w:type="dxa"/>
            <w:noWrap w:val="0"/>
            <w:vAlign w:val="center"/>
          </w:tcPr>
          <w:p w14:paraId="389B380D">
            <w:pPr>
              <w:jc w:val="center"/>
              <w:rPr>
                <w:rFonts w:hint="eastAsia" w:ascii="宋体" w:hAnsi="宋体"/>
                <w:color w:val="auto"/>
                <w:szCs w:val="21"/>
                <w:highlight w:val="none"/>
              </w:rPr>
            </w:pPr>
          </w:p>
        </w:tc>
      </w:tr>
      <w:tr w14:paraId="2C93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shd w:val="clear" w:color="auto" w:fill="auto"/>
            <w:noWrap w:val="0"/>
            <w:vAlign w:val="center"/>
          </w:tcPr>
          <w:p w14:paraId="427D8683">
            <w:pPr>
              <w:jc w:val="center"/>
              <w:rPr>
                <w:rFonts w:hint="eastAsia" w:ascii="宋体" w:hAnsi="宋体"/>
                <w:color w:val="auto"/>
                <w:szCs w:val="21"/>
                <w:highlight w:val="none"/>
              </w:rPr>
            </w:pPr>
            <w:r>
              <w:rPr>
                <w:rFonts w:ascii="宋体" w:hAnsi="宋体"/>
                <w:color w:val="auto"/>
                <w:szCs w:val="21"/>
                <w:highlight w:val="none"/>
              </w:rPr>
              <w:t>…</w:t>
            </w:r>
          </w:p>
        </w:tc>
        <w:tc>
          <w:tcPr>
            <w:tcW w:w="1421" w:type="dxa"/>
            <w:shd w:val="clear" w:color="auto" w:fill="FFFFFF"/>
            <w:noWrap w:val="0"/>
            <w:vAlign w:val="center"/>
          </w:tcPr>
          <w:p w14:paraId="17728DBC">
            <w:pPr>
              <w:widowControl/>
              <w:spacing w:line="360" w:lineRule="auto"/>
              <w:jc w:val="center"/>
              <w:textAlignment w:val="center"/>
              <w:rPr>
                <w:rFonts w:hint="eastAsia" w:ascii="宋体" w:hAnsi="宋体"/>
                <w:color w:val="auto"/>
                <w:sz w:val="24"/>
                <w:highlight w:val="none"/>
              </w:rPr>
            </w:pPr>
          </w:p>
        </w:tc>
        <w:tc>
          <w:tcPr>
            <w:tcW w:w="1539" w:type="dxa"/>
            <w:noWrap w:val="0"/>
            <w:vAlign w:val="center"/>
          </w:tcPr>
          <w:p w14:paraId="3A39E1B1">
            <w:pPr>
              <w:ind w:firstLine="630" w:firstLineChars="300"/>
              <w:jc w:val="center"/>
              <w:rPr>
                <w:rFonts w:hint="eastAsia" w:ascii="宋体" w:hAnsi="宋体"/>
                <w:color w:val="auto"/>
                <w:szCs w:val="21"/>
                <w:highlight w:val="none"/>
              </w:rPr>
            </w:pPr>
          </w:p>
        </w:tc>
        <w:tc>
          <w:tcPr>
            <w:tcW w:w="1555" w:type="dxa"/>
            <w:noWrap w:val="0"/>
            <w:vAlign w:val="center"/>
          </w:tcPr>
          <w:p w14:paraId="0DEC325C">
            <w:pPr>
              <w:ind w:firstLine="630" w:firstLineChars="300"/>
              <w:jc w:val="center"/>
              <w:rPr>
                <w:rFonts w:hint="eastAsia" w:ascii="宋体" w:hAnsi="宋体"/>
                <w:color w:val="auto"/>
                <w:szCs w:val="21"/>
                <w:highlight w:val="none"/>
              </w:rPr>
            </w:pPr>
          </w:p>
        </w:tc>
        <w:tc>
          <w:tcPr>
            <w:tcW w:w="1577" w:type="dxa"/>
            <w:noWrap w:val="0"/>
            <w:vAlign w:val="center"/>
          </w:tcPr>
          <w:p w14:paraId="6DAB866E">
            <w:pPr>
              <w:jc w:val="center"/>
              <w:rPr>
                <w:rFonts w:hint="eastAsia" w:ascii="宋体" w:hAnsi="宋体" w:cs="宋体"/>
                <w:color w:val="auto"/>
                <w:szCs w:val="21"/>
                <w:highlight w:val="none"/>
              </w:rPr>
            </w:pPr>
            <w:r>
              <w:rPr>
                <w:rFonts w:ascii="宋体" w:hAnsi="宋体" w:cs="宋体"/>
                <w:color w:val="auto"/>
                <w:szCs w:val="21"/>
                <w:highlight w:val="none"/>
              </w:rPr>
              <w:t>…</w:t>
            </w:r>
          </w:p>
        </w:tc>
        <w:tc>
          <w:tcPr>
            <w:tcW w:w="1962" w:type="dxa"/>
            <w:noWrap w:val="0"/>
            <w:vAlign w:val="center"/>
          </w:tcPr>
          <w:p w14:paraId="371794CC">
            <w:pPr>
              <w:jc w:val="center"/>
              <w:rPr>
                <w:rFonts w:hint="eastAsia" w:ascii="宋体" w:hAnsi="宋体"/>
                <w:color w:val="auto"/>
                <w:szCs w:val="21"/>
                <w:highlight w:val="none"/>
              </w:rPr>
            </w:pPr>
          </w:p>
        </w:tc>
      </w:tr>
    </w:tbl>
    <w:p w14:paraId="7CAAF952">
      <w:pPr>
        <w:autoSpaceDE w:val="0"/>
        <w:autoSpaceDN w:val="0"/>
        <w:adjustRightInd w:val="0"/>
        <w:ind w:firstLine="422" w:firstLineChars="200"/>
        <w:rPr>
          <w:rFonts w:hint="eastAsia" w:ascii="宋体" w:hAnsi="宋体"/>
          <w:color w:val="auto"/>
          <w:szCs w:val="21"/>
          <w:highlight w:val="none"/>
        </w:rPr>
      </w:pPr>
      <w:r>
        <w:rPr>
          <w:rFonts w:hint="eastAsia" w:ascii="宋体" w:hAnsi="宋体"/>
          <w:b/>
          <w:color w:val="auto"/>
          <w:szCs w:val="21"/>
          <w:highlight w:val="none"/>
          <w:lang w:val="zh-CN"/>
        </w:rPr>
        <w:t>注：</w:t>
      </w:r>
      <w:r>
        <w:rPr>
          <w:rFonts w:hint="eastAsia" w:ascii="宋体" w:hAnsi="宋体" w:cs="宋体"/>
          <w:color w:val="auto"/>
          <w:szCs w:val="21"/>
          <w:highlight w:val="none"/>
          <w:lang w:val="zh-CN"/>
        </w:rPr>
        <w:t>如果行数不够，请自行增加。</w:t>
      </w:r>
    </w:p>
    <w:p w14:paraId="242236AE">
      <w:pPr>
        <w:spacing w:line="360" w:lineRule="auto"/>
        <w:ind w:firstLine="420" w:firstLineChars="200"/>
        <w:jc w:val="right"/>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148967F7">
      <w:pPr>
        <w:spacing w:line="360" w:lineRule="auto"/>
        <w:ind w:firstLine="420" w:firstLineChars="200"/>
        <w:jc w:val="righ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2248FE9D">
      <w:pPr>
        <w:spacing w:line="360" w:lineRule="auto"/>
        <w:jc w:val="right"/>
        <w:rPr>
          <w:rFonts w:hint="eastAsia" w:ascii="宋体" w:hAnsi="宋体"/>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Start w:id="113" w:name="_Toc20556"/>
    </w:p>
    <w:p w14:paraId="0C409252">
      <w:pPr>
        <w:jc w:val="center"/>
        <w:rPr>
          <w:rFonts w:hint="eastAsia"/>
          <w:b/>
          <w:bCs/>
          <w:color w:val="auto"/>
          <w:sz w:val="28"/>
          <w:szCs w:val="28"/>
          <w:highlight w:val="none"/>
        </w:rPr>
      </w:pPr>
      <w:r>
        <w:rPr>
          <w:rFonts w:hint="eastAsia"/>
          <w:b/>
          <w:bCs/>
          <w:color w:val="auto"/>
          <w:sz w:val="28"/>
          <w:szCs w:val="28"/>
          <w:highlight w:val="none"/>
        </w:rPr>
        <w:t>货物的详细配置清单</w:t>
      </w:r>
      <w:bookmarkEnd w:id="113"/>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436"/>
        <w:gridCol w:w="2154"/>
        <w:gridCol w:w="1171"/>
        <w:gridCol w:w="2180"/>
        <w:gridCol w:w="1532"/>
      </w:tblGrid>
      <w:tr w14:paraId="6993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noWrap w:val="0"/>
            <w:vAlign w:val="center"/>
          </w:tcPr>
          <w:p w14:paraId="11BB8AB3">
            <w:pPr>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1436" w:type="dxa"/>
            <w:noWrap w:val="0"/>
            <w:vAlign w:val="center"/>
          </w:tcPr>
          <w:p w14:paraId="751DB33E">
            <w:pPr>
              <w:spacing w:line="360" w:lineRule="auto"/>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54" w:type="dxa"/>
            <w:noWrap w:val="0"/>
            <w:vAlign w:val="center"/>
          </w:tcPr>
          <w:p w14:paraId="1E93CD1A">
            <w:pPr>
              <w:spacing w:line="360" w:lineRule="auto"/>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71" w:type="dxa"/>
            <w:noWrap w:val="0"/>
            <w:vAlign w:val="center"/>
          </w:tcPr>
          <w:p w14:paraId="4BB03C77">
            <w:pPr>
              <w:spacing w:line="360" w:lineRule="auto"/>
              <w:jc w:val="center"/>
              <w:rPr>
                <w:rFonts w:hint="eastAsia" w:ascii="宋体" w:hAnsi="宋体"/>
                <w:color w:val="auto"/>
                <w:szCs w:val="21"/>
                <w:highlight w:val="none"/>
              </w:rPr>
            </w:pPr>
            <w:r>
              <w:rPr>
                <w:rFonts w:hint="eastAsia" w:ascii="宋体" w:hAnsi="宋体"/>
                <w:color w:val="auto"/>
                <w:szCs w:val="21"/>
                <w:highlight w:val="none"/>
              </w:rPr>
              <w:t>产地</w:t>
            </w:r>
          </w:p>
        </w:tc>
        <w:tc>
          <w:tcPr>
            <w:tcW w:w="2180" w:type="dxa"/>
            <w:noWrap w:val="0"/>
            <w:vAlign w:val="center"/>
          </w:tcPr>
          <w:p w14:paraId="0B9FAB49">
            <w:pPr>
              <w:spacing w:line="360" w:lineRule="auto"/>
              <w:ind w:left="261"/>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32" w:type="dxa"/>
            <w:noWrap w:val="0"/>
            <w:vAlign w:val="center"/>
          </w:tcPr>
          <w:p w14:paraId="35858E05">
            <w:pPr>
              <w:spacing w:line="360" w:lineRule="auto"/>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14:paraId="2247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shd w:val="clear" w:color="auto" w:fill="auto"/>
            <w:noWrap w:val="0"/>
            <w:vAlign w:val="top"/>
          </w:tcPr>
          <w:p w14:paraId="6F12DD44">
            <w:pPr>
              <w:numPr>
                <w:ilvl w:val="0"/>
                <w:numId w:val="11"/>
              </w:numPr>
              <w:spacing w:line="360" w:lineRule="auto"/>
              <w:rPr>
                <w:rFonts w:hint="eastAsia" w:ascii="宋体" w:hAnsi="宋体"/>
                <w:color w:val="auto"/>
                <w:szCs w:val="21"/>
                <w:highlight w:val="none"/>
              </w:rPr>
            </w:pPr>
          </w:p>
        </w:tc>
        <w:tc>
          <w:tcPr>
            <w:tcW w:w="1436" w:type="dxa"/>
            <w:shd w:val="clear" w:color="auto" w:fill="FFFFFF"/>
            <w:noWrap w:val="0"/>
            <w:vAlign w:val="center"/>
          </w:tcPr>
          <w:p w14:paraId="5CB58125">
            <w:pPr>
              <w:widowControl/>
              <w:spacing w:line="360" w:lineRule="auto"/>
              <w:jc w:val="center"/>
              <w:textAlignment w:val="center"/>
              <w:rPr>
                <w:rFonts w:hint="eastAsia" w:ascii="宋体" w:hAnsi="宋体"/>
                <w:color w:val="auto"/>
                <w:szCs w:val="21"/>
                <w:highlight w:val="none"/>
              </w:rPr>
            </w:pPr>
          </w:p>
        </w:tc>
        <w:tc>
          <w:tcPr>
            <w:tcW w:w="2154" w:type="dxa"/>
            <w:noWrap w:val="0"/>
            <w:vAlign w:val="top"/>
          </w:tcPr>
          <w:p w14:paraId="7CAB0015">
            <w:pPr>
              <w:spacing w:line="360" w:lineRule="auto"/>
              <w:rPr>
                <w:rFonts w:hint="eastAsia" w:ascii="宋体" w:hAnsi="宋体"/>
                <w:color w:val="auto"/>
                <w:szCs w:val="21"/>
                <w:highlight w:val="none"/>
              </w:rPr>
            </w:pPr>
          </w:p>
        </w:tc>
        <w:tc>
          <w:tcPr>
            <w:tcW w:w="1171" w:type="dxa"/>
            <w:noWrap w:val="0"/>
            <w:vAlign w:val="top"/>
          </w:tcPr>
          <w:p w14:paraId="75AFA54A">
            <w:pPr>
              <w:spacing w:line="360" w:lineRule="auto"/>
              <w:rPr>
                <w:rFonts w:hint="eastAsia" w:ascii="宋体" w:hAnsi="宋体"/>
                <w:color w:val="auto"/>
                <w:szCs w:val="21"/>
                <w:highlight w:val="none"/>
              </w:rPr>
            </w:pPr>
          </w:p>
        </w:tc>
        <w:tc>
          <w:tcPr>
            <w:tcW w:w="2180" w:type="dxa"/>
            <w:noWrap w:val="0"/>
            <w:vAlign w:val="top"/>
          </w:tcPr>
          <w:p w14:paraId="432F4476">
            <w:pPr>
              <w:spacing w:line="360" w:lineRule="auto"/>
              <w:rPr>
                <w:rFonts w:hint="eastAsia" w:ascii="宋体" w:hAnsi="宋体"/>
                <w:color w:val="auto"/>
                <w:szCs w:val="21"/>
                <w:highlight w:val="none"/>
              </w:rPr>
            </w:pPr>
          </w:p>
        </w:tc>
        <w:tc>
          <w:tcPr>
            <w:tcW w:w="1532" w:type="dxa"/>
            <w:noWrap w:val="0"/>
            <w:vAlign w:val="top"/>
          </w:tcPr>
          <w:p w14:paraId="1F67F7FE">
            <w:pPr>
              <w:spacing w:line="360" w:lineRule="auto"/>
              <w:rPr>
                <w:rFonts w:hint="eastAsia" w:ascii="宋体" w:hAnsi="宋体"/>
                <w:color w:val="auto"/>
                <w:szCs w:val="21"/>
                <w:highlight w:val="none"/>
              </w:rPr>
            </w:pPr>
          </w:p>
        </w:tc>
      </w:tr>
      <w:tr w14:paraId="36E3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shd w:val="clear" w:color="auto" w:fill="auto"/>
            <w:noWrap w:val="0"/>
            <w:vAlign w:val="top"/>
          </w:tcPr>
          <w:p w14:paraId="34A136D1">
            <w:pPr>
              <w:numPr>
                <w:ilvl w:val="0"/>
                <w:numId w:val="11"/>
              </w:numPr>
              <w:spacing w:line="360" w:lineRule="auto"/>
              <w:rPr>
                <w:rFonts w:hint="eastAsia" w:ascii="宋体" w:hAnsi="宋体"/>
                <w:color w:val="auto"/>
                <w:szCs w:val="21"/>
                <w:highlight w:val="none"/>
              </w:rPr>
            </w:pPr>
          </w:p>
        </w:tc>
        <w:tc>
          <w:tcPr>
            <w:tcW w:w="1436" w:type="dxa"/>
            <w:shd w:val="clear" w:color="auto" w:fill="FFFFFF"/>
            <w:noWrap w:val="0"/>
            <w:vAlign w:val="center"/>
          </w:tcPr>
          <w:p w14:paraId="329C1E4D">
            <w:pPr>
              <w:widowControl/>
              <w:spacing w:line="360" w:lineRule="auto"/>
              <w:jc w:val="center"/>
              <w:textAlignment w:val="center"/>
              <w:rPr>
                <w:rFonts w:hint="eastAsia" w:ascii="宋体" w:hAnsi="宋体"/>
                <w:color w:val="auto"/>
                <w:szCs w:val="21"/>
                <w:highlight w:val="none"/>
              </w:rPr>
            </w:pPr>
          </w:p>
        </w:tc>
        <w:tc>
          <w:tcPr>
            <w:tcW w:w="2154" w:type="dxa"/>
            <w:noWrap w:val="0"/>
            <w:vAlign w:val="top"/>
          </w:tcPr>
          <w:p w14:paraId="19505D95">
            <w:pPr>
              <w:spacing w:line="360" w:lineRule="auto"/>
              <w:rPr>
                <w:rFonts w:hint="eastAsia" w:ascii="宋体" w:hAnsi="宋体"/>
                <w:color w:val="auto"/>
                <w:szCs w:val="21"/>
                <w:highlight w:val="none"/>
              </w:rPr>
            </w:pPr>
          </w:p>
        </w:tc>
        <w:tc>
          <w:tcPr>
            <w:tcW w:w="1171" w:type="dxa"/>
            <w:noWrap w:val="0"/>
            <w:vAlign w:val="top"/>
          </w:tcPr>
          <w:p w14:paraId="19342D43">
            <w:pPr>
              <w:spacing w:line="360" w:lineRule="auto"/>
              <w:rPr>
                <w:rFonts w:hint="eastAsia" w:ascii="宋体" w:hAnsi="宋体"/>
                <w:color w:val="auto"/>
                <w:szCs w:val="21"/>
                <w:highlight w:val="none"/>
              </w:rPr>
            </w:pPr>
          </w:p>
        </w:tc>
        <w:tc>
          <w:tcPr>
            <w:tcW w:w="2180" w:type="dxa"/>
            <w:noWrap w:val="0"/>
            <w:vAlign w:val="top"/>
          </w:tcPr>
          <w:p w14:paraId="229E9C9F">
            <w:pPr>
              <w:spacing w:line="360" w:lineRule="auto"/>
              <w:rPr>
                <w:rFonts w:hint="eastAsia" w:ascii="宋体" w:hAnsi="宋体"/>
                <w:color w:val="auto"/>
                <w:szCs w:val="21"/>
                <w:highlight w:val="none"/>
              </w:rPr>
            </w:pPr>
          </w:p>
        </w:tc>
        <w:tc>
          <w:tcPr>
            <w:tcW w:w="1532" w:type="dxa"/>
            <w:noWrap w:val="0"/>
            <w:vAlign w:val="top"/>
          </w:tcPr>
          <w:p w14:paraId="167DF7C0">
            <w:pPr>
              <w:spacing w:line="360" w:lineRule="auto"/>
              <w:rPr>
                <w:rFonts w:hint="eastAsia" w:ascii="宋体" w:hAnsi="宋体"/>
                <w:color w:val="auto"/>
                <w:szCs w:val="21"/>
                <w:highlight w:val="none"/>
              </w:rPr>
            </w:pPr>
          </w:p>
        </w:tc>
      </w:tr>
      <w:tr w14:paraId="3935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shd w:val="clear" w:color="auto" w:fill="auto"/>
            <w:noWrap w:val="0"/>
            <w:vAlign w:val="top"/>
          </w:tcPr>
          <w:p w14:paraId="3D8AA536">
            <w:pPr>
              <w:numPr>
                <w:ilvl w:val="0"/>
                <w:numId w:val="11"/>
              </w:numPr>
              <w:spacing w:line="360" w:lineRule="auto"/>
              <w:rPr>
                <w:rFonts w:hint="eastAsia" w:ascii="宋体" w:hAnsi="宋体"/>
                <w:color w:val="auto"/>
                <w:szCs w:val="21"/>
                <w:highlight w:val="none"/>
              </w:rPr>
            </w:pPr>
          </w:p>
        </w:tc>
        <w:tc>
          <w:tcPr>
            <w:tcW w:w="1436" w:type="dxa"/>
            <w:shd w:val="clear" w:color="auto" w:fill="FFFFFF"/>
            <w:noWrap w:val="0"/>
            <w:vAlign w:val="center"/>
          </w:tcPr>
          <w:p w14:paraId="4C6A8AE9">
            <w:pPr>
              <w:widowControl/>
              <w:spacing w:line="360" w:lineRule="auto"/>
              <w:jc w:val="center"/>
              <w:textAlignment w:val="center"/>
              <w:rPr>
                <w:rFonts w:hint="eastAsia" w:ascii="宋体" w:hAnsi="宋体"/>
                <w:color w:val="auto"/>
                <w:szCs w:val="21"/>
                <w:highlight w:val="none"/>
              </w:rPr>
            </w:pPr>
          </w:p>
        </w:tc>
        <w:tc>
          <w:tcPr>
            <w:tcW w:w="2154" w:type="dxa"/>
            <w:noWrap w:val="0"/>
            <w:vAlign w:val="top"/>
          </w:tcPr>
          <w:p w14:paraId="2264A00C">
            <w:pPr>
              <w:spacing w:line="360" w:lineRule="auto"/>
              <w:rPr>
                <w:rFonts w:hint="eastAsia" w:ascii="宋体" w:hAnsi="宋体"/>
                <w:color w:val="auto"/>
                <w:szCs w:val="21"/>
                <w:highlight w:val="none"/>
              </w:rPr>
            </w:pPr>
          </w:p>
        </w:tc>
        <w:tc>
          <w:tcPr>
            <w:tcW w:w="1171" w:type="dxa"/>
            <w:noWrap w:val="0"/>
            <w:vAlign w:val="top"/>
          </w:tcPr>
          <w:p w14:paraId="41FD5239">
            <w:pPr>
              <w:spacing w:line="360" w:lineRule="auto"/>
              <w:rPr>
                <w:rFonts w:hint="eastAsia" w:ascii="宋体" w:hAnsi="宋体"/>
                <w:color w:val="auto"/>
                <w:szCs w:val="21"/>
                <w:highlight w:val="none"/>
              </w:rPr>
            </w:pPr>
          </w:p>
        </w:tc>
        <w:tc>
          <w:tcPr>
            <w:tcW w:w="2180" w:type="dxa"/>
            <w:noWrap w:val="0"/>
            <w:vAlign w:val="top"/>
          </w:tcPr>
          <w:p w14:paraId="790B9FBF">
            <w:pPr>
              <w:spacing w:line="360" w:lineRule="auto"/>
              <w:rPr>
                <w:rFonts w:hint="eastAsia" w:ascii="宋体" w:hAnsi="宋体"/>
                <w:color w:val="auto"/>
                <w:szCs w:val="21"/>
                <w:highlight w:val="none"/>
              </w:rPr>
            </w:pPr>
          </w:p>
        </w:tc>
        <w:tc>
          <w:tcPr>
            <w:tcW w:w="1532" w:type="dxa"/>
            <w:noWrap w:val="0"/>
            <w:vAlign w:val="top"/>
          </w:tcPr>
          <w:p w14:paraId="67C902EF">
            <w:pPr>
              <w:spacing w:line="360" w:lineRule="auto"/>
              <w:rPr>
                <w:rFonts w:hint="eastAsia" w:ascii="宋体" w:hAnsi="宋体"/>
                <w:color w:val="auto"/>
                <w:szCs w:val="21"/>
                <w:highlight w:val="none"/>
              </w:rPr>
            </w:pPr>
          </w:p>
        </w:tc>
      </w:tr>
      <w:tr w14:paraId="3BB3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shd w:val="clear" w:color="auto" w:fill="auto"/>
            <w:noWrap w:val="0"/>
            <w:vAlign w:val="top"/>
          </w:tcPr>
          <w:p w14:paraId="4D35C4E2">
            <w:pPr>
              <w:spacing w:line="360" w:lineRule="auto"/>
              <w:rPr>
                <w:rFonts w:hint="eastAsia" w:ascii="宋体" w:hAnsi="宋体"/>
                <w:color w:val="auto"/>
                <w:szCs w:val="21"/>
                <w:highlight w:val="none"/>
              </w:rPr>
            </w:pPr>
            <w:r>
              <w:rPr>
                <w:rFonts w:ascii="宋体" w:hAnsi="宋体"/>
                <w:color w:val="auto"/>
                <w:szCs w:val="21"/>
                <w:highlight w:val="none"/>
              </w:rPr>
              <w:t>…</w:t>
            </w:r>
          </w:p>
        </w:tc>
        <w:tc>
          <w:tcPr>
            <w:tcW w:w="1436" w:type="dxa"/>
            <w:shd w:val="clear" w:color="auto" w:fill="FFFFFF"/>
            <w:noWrap w:val="0"/>
            <w:vAlign w:val="center"/>
          </w:tcPr>
          <w:p w14:paraId="14A6BD26">
            <w:pPr>
              <w:widowControl/>
              <w:spacing w:line="360" w:lineRule="auto"/>
              <w:jc w:val="center"/>
              <w:textAlignment w:val="center"/>
              <w:rPr>
                <w:rFonts w:hint="eastAsia" w:ascii="宋体" w:hAnsi="宋体"/>
                <w:color w:val="auto"/>
                <w:szCs w:val="21"/>
                <w:highlight w:val="none"/>
              </w:rPr>
            </w:pPr>
          </w:p>
        </w:tc>
        <w:tc>
          <w:tcPr>
            <w:tcW w:w="2154" w:type="dxa"/>
            <w:noWrap w:val="0"/>
            <w:vAlign w:val="top"/>
          </w:tcPr>
          <w:p w14:paraId="301760CE">
            <w:pPr>
              <w:spacing w:line="360" w:lineRule="auto"/>
              <w:rPr>
                <w:rFonts w:hint="eastAsia" w:ascii="宋体" w:hAnsi="宋体"/>
                <w:color w:val="auto"/>
                <w:szCs w:val="21"/>
                <w:highlight w:val="none"/>
              </w:rPr>
            </w:pPr>
          </w:p>
        </w:tc>
        <w:tc>
          <w:tcPr>
            <w:tcW w:w="1171" w:type="dxa"/>
            <w:noWrap w:val="0"/>
            <w:vAlign w:val="top"/>
          </w:tcPr>
          <w:p w14:paraId="101B40E1">
            <w:pPr>
              <w:spacing w:line="360" w:lineRule="auto"/>
              <w:rPr>
                <w:rFonts w:hint="eastAsia" w:ascii="宋体" w:hAnsi="宋体"/>
                <w:color w:val="auto"/>
                <w:szCs w:val="21"/>
                <w:highlight w:val="none"/>
              </w:rPr>
            </w:pPr>
          </w:p>
        </w:tc>
        <w:tc>
          <w:tcPr>
            <w:tcW w:w="2180" w:type="dxa"/>
            <w:noWrap w:val="0"/>
            <w:vAlign w:val="top"/>
          </w:tcPr>
          <w:p w14:paraId="32869520">
            <w:pPr>
              <w:spacing w:line="360" w:lineRule="auto"/>
              <w:rPr>
                <w:rFonts w:hint="eastAsia" w:ascii="宋体" w:hAnsi="宋体"/>
                <w:color w:val="auto"/>
                <w:szCs w:val="21"/>
                <w:highlight w:val="none"/>
              </w:rPr>
            </w:pPr>
          </w:p>
        </w:tc>
        <w:tc>
          <w:tcPr>
            <w:tcW w:w="1532" w:type="dxa"/>
            <w:noWrap w:val="0"/>
            <w:vAlign w:val="top"/>
          </w:tcPr>
          <w:p w14:paraId="4C48B41D">
            <w:pPr>
              <w:spacing w:line="360" w:lineRule="auto"/>
              <w:rPr>
                <w:rFonts w:hint="eastAsia" w:ascii="宋体" w:hAnsi="宋体"/>
                <w:color w:val="auto"/>
                <w:szCs w:val="21"/>
                <w:highlight w:val="none"/>
              </w:rPr>
            </w:pPr>
          </w:p>
        </w:tc>
      </w:tr>
    </w:tbl>
    <w:p w14:paraId="2B208297">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cs="宋体"/>
          <w:color w:val="auto"/>
          <w:szCs w:val="21"/>
          <w:highlight w:val="none"/>
          <w:lang w:val="zh-CN"/>
        </w:rPr>
        <w:t>如果行数不够，请自行增加。</w:t>
      </w:r>
    </w:p>
    <w:p w14:paraId="4F66A04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49941D8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3090EFBE">
      <w:pPr>
        <w:spacing w:line="360" w:lineRule="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A19806B">
      <w:pPr>
        <w:shd w:val="clear"/>
        <w:wordWrap w:val="0"/>
        <w:spacing w:before="100" w:beforeAutospacing="1" w:after="100" w:afterAutospacing="1"/>
        <w:jc w:val="center"/>
        <w:rPr>
          <w:rFonts w:hint="eastAsia" w:ascii="宋体" w:hAnsi="宋体" w:eastAsia="宋体" w:cs="宋体"/>
          <w:b/>
          <w:color w:val="auto"/>
          <w:sz w:val="28"/>
          <w:szCs w:val="28"/>
          <w:highlight w:val="none"/>
        </w:rPr>
      </w:pPr>
    </w:p>
    <w:p w14:paraId="167F3766">
      <w:pPr>
        <w:shd w:val="clear"/>
        <w:wordWrap w:val="0"/>
        <w:spacing w:before="100" w:beforeAutospacing="1" w:after="100" w:afterAutospacing="1"/>
        <w:jc w:val="center"/>
        <w:rPr>
          <w:rFonts w:hint="eastAsia" w:ascii="宋体" w:hAnsi="宋体" w:eastAsia="宋体" w:cs="宋体"/>
          <w:b/>
          <w:color w:val="auto"/>
          <w:sz w:val="28"/>
          <w:szCs w:val="28"/>
          <w:highlight w:val="none"/>
          <w:bdr w:val="single" w:color="auto" w:sz="4" w:space="0"/>
        </w:rPr>
      </w:pPr>
      <w:r>
        <w:rPr>
          <w:rFonts w:hint="eastAsia" w:ascii="宋体" w:hAnsi="宋体" w:eastAsia="宋体" w:cs="宋体"/>
          <w:b/>
          <w:color w:val="auto"/>
          <w:sz w:val="28"/>
          <w:szCs w:val="28"/>
          <w:highlight w:val="none"/>
        </w:rPr>
        <w:t>二、技术标格式文件</w:t>
      </w:r>
    </w:p>
    <w:p w14:paraId="789FAD68">
      <w:pPr>
        <w:shd w:val="clear"/>
        <w:jc w:val="center"/>
        <w:rPr>
          <w:rFonts w:hint="eastAsia" w:ascii="宋体" w:hAnsi="宋体" w:eastAsia="宋体" w:cs="宋体"/>
          <w:b/>
          <w:color w:val="auto"/>
          <w:sz w:val="44"/>
          <w:szCs w:val="44"/>
          <w:highlight w:val="none"/>
        </w:rPr>
      </w:pPr>
      <w:bookmarkStart w:id="114" w:name="_Toc449028953"/>
      <w:bookmarkStart w:id="115" w:name="_Toc387149626"/>
    </w:p>
    <w:p w14:paraId="786A638C">
      <w:pPr>
        <w:shd w:val="clea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技术标</w:t>
      </w:r>
      <w:bookmarkEnd w:id="114"/>
      <w:bookmarkEnd w:id="115"/>
    </w:p>
    <w:p w14:paraId="321FBAF2">
      <w:pPr>
        <w:shd w:val="clea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（投标文件二）</w:t>
      </w:r>
    </w:p>
    <w:p w14:paraId="26DEFF3B">
      <w:pPr>
        <w:shd w:val="clear"/>
        <w:jc w:val="center"/>
        <w:rPr>
          <w:rFonts w:hint="eastAsia" w:ascii="宋体" w:hAnsi="宋体" w:eastAsia="宋体" w:cs="宋体"/>
          <w:color w:val="auto"/>
          <w:sz w:val="44"/>
          <w:szCs w:val="44"/>
          <w:highlight w:val="none"/>
        </w:rPr>
      </w:pPr>
    </w:p>
    <w:p w14:paraId="3BDFAFB6">
      <w:pPr>
        <w:shd w:val="clea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3AF3B866">
      <w:pPr>
        <w:shd w:val="clear"/>
        <w:jc w:val="center"/>
        <w:rPr>
          <w:rFonts w:hint="eastAsia"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17175D11">
      <w:pPr>
        <w:shd w:val="clear"/>
        <w:rPr>
          <w:rFonts w:hint="eastAsia" w:ascii="宋体" w:hAnsi="宋体" w:eastAsia="宋体" w:cs="宋体"/>
          <w:color w:val="auto"/>
          <w:sz w:val="28"/>
          <w:szCs w:val="28"/>
          <w:highlight w:val="none"/>
        </w:rPr>
      </w:pPr>
    </w:p>
    <w:p w14:paraId="367101F7">
      <w:pPr>
        <w:shd w:val="clear"/>
        <w:rPr>
          <w:rFonts w:hint="eastAsia" w:ascii="宋体" w:hAnsi="宋体" w:eastAsia="宋体" w:cs="宋体"/>
          <w:color w:val="auto"/>
          <w:sz w:val="28"/>
          <w:szCs w:val="28"/>
          <w:highlight w:val="none"/>
        </w:rPr>
      </w:pPr>
    </w:p>
    <w:p w14:paraId="0CEB744C">
      <w:pPr>
        <w:shd w:val="clear"/>
        <w:spacing w:line="70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8"/>
          <w:szCs w:val="28"/>
          <w:highlight w:val="none"/>
        </w:rPr>
        <w:tab/>
      </w:r>
      <w:r>
        <w:rPr>
          <w:rFonts w:hint="eastAsia" w:ascii="宋体" w:hAnsi="宋体" w:eastAsia="宋体" w:cs="宋体"/>
          <w:b/>
          <w:bCs/>
          <w:color w:val="auto"/>
          <w:sz w:val="24"/>
          <w:highlight w:val="none"/>
        </w:rPr>
        <w:t>【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w:t>
      </w:r>
      <w:r>
        <w:rPr>
          <w:rFonts w:hint="eastAsia" w:ascii="宋体" w:hAnsi="宋体" w:eastAsia="宋体" w:cs="宋体"/>
          <w:b/>
          <w:bCs/>
          <w:color w:val="auto"/>
          <w:sz w:val="24"/>
          <w:highlight w:val="none"/>
          <w:lang w:val="en-US" w:eastAsia="zh-CN"/>
        </w:rPr>
        <w:t>对应</w:t>
      </w:r>
      <w:r>
        <w:rPr>
          <w:rFonts w:hint="eastAsia" w:ascii="宋体" w:hAnsi="宋体" w:eastAsia="宋体" w:cs="宋体"/>
          <w:b/>
          <w:bCs/>
          <w:color w:val="auto"/>
          <w:sz w:val="24"/>
          <w:highlight w:val="none"/>
        </w:rPr>
        <w:t>评分点作零分处理。】</w:t>
      </w:r>
    </w:p>
    <w:p w14:paraId="6A65964B">
      <w:pPr>
        <w:pStyle w:val="12"/>
        <w:shd w:val="clear"/>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3ABA617A">
      <w:pPr>
        <w:shd w:val="clear"/>
        <w:rPr>
          <w:rFonts w:hint="eastAsia" w:ascii="宋体" w:hAnsi="宋体" w:eastAsia="宋体" w:cs="宋体"/>
          <w:color w:val="auto"/>
          <w:sz w:val="28"/>
          <w:szCs w:val="28"/>
          <w:highlight w:val="none"/>
        </w:rPr>
      </w:pPr>
    </w:p>
    <w:p w14:paraId="718DD351">
      <w:pPr>
        <w:pStyle w:val="12"/>
        <w:shd w:val="clear"/>
        <w:ind w:firstLine="400"/>
        <w:rPr>
          <w:rFonts w:hint="eastAsia" w:ascii="宋体" w:hAnsi="宋体" w:eastAsia="宋体" w:cs="宋体"/>
          <w:color w:val="auto"/>
          <w:highlight w:val="none"/>
        </w:rPr>
      </w:pPr>
    </w:p>
    <w:p w14:paraId="296FA476">
      <w:pPr>
        <w:shd w:val="clear"/>
        <w:spacing w:line="400" w:lineRule="exact"/>
        <w:rPr>
          <w:rFonts w:hint="eastAsia" w:ascii="宋体" w:hAnsi="宋体" w:eastAsia="宋体" w:cs="宋体"/>
          <w:b/>
          <w:color w:val="auto"/>
          <w:sz w:val="36"/>
          <w:szCs w:val="36"/>
          <w:highlight w:val="none"/>
        </w:rPr>
      </w:pPr>
    </w:p>
    <w:p w14:paraId="40D71DA9">
      <w:pPr>
        <w:shd w:val="clear"/>
        <w:spacing w:line="40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目   录</w:t>
      </w:r>
    </w:p>
    <w:p w14:paraId="06CAAB20">
      <w:pPr>
        <w:shd w:val="clear"/>
        <w:spacing w:line="400" w:lineRule="exact"/>
        <w:jc w:val="center"/>
        <w:rPr>
          <w:rFonts w:hint="eastAsia" w:ascii="宋体" w:hAnsi="宋体" w:eastAsia="宋体" w:cs="宋体"/>
          <w:b/>
          <w:color w:val="auto"/>
          <w:sz w:val="36"/>
          <w:szCs w:val="36"/>
          <w:highlight w:val="none"/>
        </w:rPr>
      </w:pPr>
    </w:p>
    <w:p w14:paraId="1864FE9C">
      <w:pPr>
        <w:numPr>
          <w:ilvl w:val="0"/>
          <w:numId w:val="0"/>
        </w:numPr>
        <w:shd w:val="clear"/>
        <w:spacing w:line="44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（1）技术方案和措施</w:t>
      </w:r>
      <w:r>
        <w:rPr>
          <w:rFonts w:hint="eastAsia" w:ascii="宋体" w:hAnsi="宋体" w:eastAsia="宋体" w:cs="宋体"/>
          <w:b/>
          <w:bCs/>
          <w:color w:val="auto"/>
          <w:szCs w:val="21"/>
          <w:highlight w:val="none"/>
          <w:lang w:val="en-US" w:eastAsia="zh-CN"/>
        </w:rPr>
        <w:t>（格式自拟）；</w:t>
      </w:r>
    </w:p>
    <w:p w14:paraId="7F6553A2">
      <w:pPr>
        <w:widowControl w:val="0"/>
        <w:numPr>
          <w:ilvl w:val="0"/>
          <w:numId w:val="0"/>
        </w:numPr>
        <w:shd w:val="clear"/>
        <w:spacing w:line="44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kern w:val="2"/>
          <w:sz w:val="21"/>
          <w:szCs w:val="21"/>
          <w:highlight w:val="none"/>
          <w:lang w:val="en-US" w:eastAsia="zh-CN" w:bidi="ar-SA"/>
        </w:rPr>
        <w:t>（2）质量保证措施</w:t>
      </w:r>
      <w:r>
        <w:rPr>
          <w:rFonts w:hint="eastAsia" w:ascii="宋体" w:hAnsi="宋体" w:eastAsia="宋体" w:cs="宋体"/>
          <w:b/>
          <w:bCs/>
          <w:color w:val="auto"/>
          <w:szCs w:val="21"/>
          <w:highlight w:val="none"/>
          <w:lang w:val="en-US" w:eastAsia="zh-CN"/>
        </w:rPr>
        <w:t>（格式自拟）；</w:t>
      </w:r>
    </w:p>
    <w:p w14:paraId="5F805C78">
      <w:pPr>
        <w:widowControl w:val="0"/>
        <w:numPr>
          <w:ilvl w:val="0"/>
          <w:numId w:val="0"/>
        </w:numPr>
        <w:shd w:val="clear"/>
        <w:spacing w:line="440" w:lineRule="exact"/>
        <w:jc w:val="left"/>
        <w:rPr>
          <w:rFonts w:hint="eastAsia" w:ascii="宋体" w:hAnsi="宋体" w:eastAsia="宋体" w:cs="宋体"/>
          <w:b/>
          <w:bCs/>
          <w:color w:val="auto"/>
          <w:kern w:val="0"/>
          <w:szCs w:val="21"/>
          <w:highlight w:val="none"/>
          <w:lang w:val="en-US" w:eastAsia="zh-CN"/>
        </w:rPr>
      </w:pPr>
    </w:p>
    <w:p w14:paraId="60ECA6C0">
      <w:pPr>
        <w:shd w:val="clear"/>
        <w:adjustRightInd w:val="0"/>
        <w:snapToGrid w:val="0"/>
        <w:spacing w:line="560" w:lineRule="exact"/>
        <w:rPr>
          <w:rFonts w:hint="eastAsia" w:ascii="宋体" w:hAnsi="宋体" w:eastAsia="宋体" w:cs="宋体"/>
          <w:b/>
          <w:bCs/>
          <w:color w:val="auto"/>
          <w:sz w:val="24"/>
          <w:highlight w:val="none"/>
        </w:rPr>
      </w:pPr>
    </w:p>
    <w:p w14:paraId="17489F54">
      <w:pPr>
        <w:shd w:val="clear"/>
        <w:adjustRightInd w:val="0"/>
        <w:snapToGrid w:val="0"/>
        <w:spacing w:line="56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注：本项目采用横向暗标评审，请投标人结合技术标评审细则和系统内容在对应模块上传技术标评审内容。</w:t>
      </w:r>
    </w:p>
    <w:p w14:paraId="0D235BCF">
      <w:pPr>
        <w:pStyle w:val="17"/>
        <w:shd w:val="clear"/>
        <w:rPr>
          <w:rFonts w:hint="eastAsia" w:ascii="宋体" w:hAnsi="宋体" w:eastAsia="宋体" w:cs="宋体"/>
          <w:color w:val="auto"/>
          <w:highlight w:val="none"/>
        </w:rPr>
      </w:pPr>
    </w:p>
    <w:p w14:paraId="56A1AE96">
      <w:pPr>
        <w:shd w:val="clear"/>
        <w:spacing w:line="400" w:lineRule="exact"/>
        <w:ind w:firstLine="562" w:firstLineChars="200"/>
        <w:rPr>
          <w:rFonts w:hint="eastAsia" w:ascii="宋体" w:hAnsi="宋体" w:eastAsia="宋体" w:cs="宋体"/>
          <w:b/>
          <w:color w:val="auto"/>
          <w:sz w:val="28"/>
          <w:szCs w:val="28"/>
          <w:highlight w:val="none"/>
        </w:rPr>
      </w:pPr>
    </w:p>
    <w:p w14:paraId="4BD87A00">
      <w:pPr>
        <w:shd w:val="clear"/>
        <w:spacing w:line="400" w:lineRule="exact"/>
        <w:ind w:firstLine="562" w:firstLineChars="200"/>
        <w:rPr>
          <w:rFonts w:hint="eastAsia" w:ascii="宋体" w:hAnsi="宋体" w:eastAsia="宋体" w:cs="宋体"/>
          <w:b/>
          <w:color w:val="auto"/>
          <w:sz w:val="28"/>
          <w:szCs w:val="28"/>
          <w:highlight w:val="none"/>
        </w:rPr>
      </w:pPr>
    </w:p>
    <w:p w14:paraId="0E8C2E9F">
      <w:pPr>
        <w:shd w:val="clear"/>
        <w:spacing w:line="400" w:lineRule="exact"/>
        <w:ind w:firstLine="562" w:firstLineChars="200"/>
        <w:rPr>
          <w:rFonts w:hint="eastAsia" w:ascii="宋体" w:hAnsi="宋体" w:eastAsia="宋体" w:cs="宋体"/>
          <w:b/>
          <w:color w:val="auto"/>
          <w:sz w:val="28"/>
          <w:szCs w:val="28"/>
          <w:highlight w:val="none"/>
        </w:rPr>
      </w:pPr>
    </w:p>
    <w:p w14:paraId="2A8BCAA0">
      <w:pPr>
        <w:shd w:val="clear"/>
        <w:spacing w:line="48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3935DF22">
      <w:pPr>
        <w:shd w:val="clear"/>
        <w:spacing w:line="3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76C49421">
      <w:pPr>
        <w:shd w:val="clear"/>
        <w:jc w:val="center"/>
        <w:rPr>
          <w:rFonts w:hint="eastAsia" w:ascii="宋体" w:hAnsi="宋体" w:eastAsia="宋体" w:cs="宋体"/>
          <w:color w:val="auto"/>
          <w:sz w:val="24"/>
          <w:highlight w:val="none"/>
        </w:rPr>
      </w:pPr>
      <w:r>
        <w:rPr>
          <w:rFonts w:hint="eastAsia" w:ascii="宋体" w:hAnsi="宋体" w:eastAsia="宋体" w:cs="宋体"/>
          <w:b/>
          <w:color w:val="auto"/>
          <w:sz w:val="28"/>
          <w:szCs w:val="28"/>
          <w:highlight w:val="none"/>
        </w:rPr>
        <w:t>三、商务标格式文件</w:t>
      </w:r>
    </w:p>
    <w:p w14:paraId="591FED18">
      <w:pPr>
        <w:shd w:val="clear"/>
        <w:jc w:val="center"/>
        <w:rPr>
          <w:rFonts w:hint="eastAsia" w:ascii="宋体" w:hAnsi="宋体" w:eastAsia="宋体" w:cs="宋体"/>
          <w:color w:val="auto"/>
          <w:sz w:val="20"/>
          <w:highlight w:val="none"/>
        </w:rPr>
      </w:pPr>
    </w:p>
    <w:p w14:paraId="57F7E33F">
      <w:pPr>
        <w:shd w:val="clear"/>
        <w:rPr>
          <w:rFonts w:hint="eastAsia" w:ascii="宋体" w:hAnsi="宋体" w:eastAsia="宋体" w:cs="宋体"/>
          <w:color w:val="auto"/>
          <w:sz w:val="20"/>
          <w:highlight w:val="none"/>
        </w:rPr>
      </w:pPr>
    </w:p>
    <w:p w14:paraId="2678EE22">
      <w:pPr>
        <w:pStyle w:val="12"/>
        <w:shd w:val="clear"/>
        <w:ind w:firstLine="400"/>
        <w:rPr>
          <w:rFonts w:hint="eastAsia" w:ascii="宋体" w:hAnsi="宋体" w:eastAsia="宋体" w:cs="宋体"/>
          <w:color w:val="auto"/>
          <w:highlight w:val="none"/>
        </w:rPr>
      </w:pPr>
    </w:p>
    <w:p w14:paraId="5882AD4B">
      <w:pPr>
        <w:shd w:val="clear"/>
        <w:jc w:val="center"/>
        <w:rPr>
          <w:rFonts w:hint="eastAsia" w:ascii="宋体" w:hAnsi="宋体" w:eastAsia="宋体" w:cs="宋体"/>
          <w:b/>
          <w:color w:val="auto"/>
          <w:sz w:val="44"/>
          <w:szCs w:val="44"/>
          <w:highlight w:val="none"/>
        </w:rPr>
      </w:pPr>
      <w:bookmarkStart w:id="116" w:name="_Toc449028954"/>
      <w:r>
        <w:rPr>
          <w:rFonts w:hint="eastAsia" w:ascii="宋体" w:hAnsi="宋体" w:eastAsia="宋体" w:cs="宋体"/>
          <w:b/>
          <w:color w:val="auto"/>
          <w:sz w:val="44"/>
          <w:szCs w:val="44"/>
          <w:highlight w:val="none"/>
        </w:rPr>
        <w:t>商务标</w:t>
      </w:r>
      <w:bookmarkEnd w:id="116"/>
    </w:p>
    <w:p w14:paraId="684EFE7B">
      <w:pPr>
        <w:shd w:val="clear"/>
        <w:jc w:val="center"/>
        <w:rPr>
          <w:rFonts w:hint="eastAsia" w:ascii="宋体" w:hAnsi="宋体" w:eastAsia="宋体" w:cs="宋体"/>
          <w:color w:val="auto"/>
          <w:sz w:val="36"/>
          <w:szCs w:val="36"/>
          <w:highlight w:val="none"/>
        </w:rPr>
      </w:pPr>
      <w:r>
        <w:rPr>
          <w:rFonts w:hint="eastAsia" w:ascii="宋体" w:hAnsi="宋体" w:eastAsia="宋体" w:cs="宋体"/>
          <w:color w:val="auto"/>
          <w:sz w:val="44"/>
          <w:szCs w:val="44"/>
          <w:highlight w:val="none"/>
        </w:rPr>
        <w:t>（</w:t>
      </w:r>
      <w:r>
        <w:rPr>
          <w:rFonts w:hint="eastAsia" w:ascii="宋体" w:hAnsi="宋体" w:eastAsia="宋体" w:cs="宋体"/>
          <w:color w:val="auto"/>
          <w:sz w:val="36"/>
          <w:szCs w:val="36"/>
          <w:highlight w:val="none"/>
        </w:rPr>
        <w:t>投标文件三）</w:t>
      </w:r>
    </w:p>
    <w:p w14:paraId="1213EB3C">
      <w:pPr>
        <w:shd w:val="clear"/>
        <w:jc w:val="center"/>
        <w:rPr>
          <w:rFonts w:hint="eastAsia" w:ascii="宋体" w:hAnsi="宋体" w:eastAsia="宋体" w:cs="宋体"/>
          <w:color w:val="auto"/>
          <w:sz w:val="36"/>
          <w:szCs w:val="36"/>
          <w:highlight w:val="none"/>
        </w:rPr>
      </w:pPr>
    </w:p>
    <w:p w14:paraId="26E83962">
      <w:pPr>
        <w:shd w:val="clea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342F2E18">
      <w:pPr>
        <w:shd w:val="clear"/>
        <w:jc w:val="center"/>
        <w:rPr>
          <w:rFonts w:hint="eastAsia"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5396810C">
      <w:pPr>
        <w:shd w:val="clear"/>
        <w:rPr>
          <w:rFonts w:hint="eastAsia" w:ascii="宋体" w:hAnsi="宋体" w:eastAsia="宋体" w:cs="宋体"/>
          <w:color w:val="auto"/>
          <w:sz w:val="28"/>
          <w:szCs w:val="28"/>
          <w:highlight w:val="none"/>
        </w:rPr>
      </w:pPr>
    </w:p>
    <w:p w14:paraId="12E8E3E0">
      <w:pPr>
        <w:shd w:val="clear"/>
        <w:rPr>
          <w:rFonts w:hint="eastAsia" w:ascii="宋体" w:hAnsi="宋体" w:eastAsia="宋体" w:cs="宋体"/>
          <w:color w:val="auto"/>
          <w:sz w:val="28"/>
          <w:szCs w:val="28"/>
          <w:highlight w:val="none"/>
        </w:rPr>
      </w:pPr>
    </w:p>
    <w:p w14:paraId="75FFEFE2">
      <w:pPr>
        <w:shd w:val="clear"/>
        <w:rPr>
          <w:rFonts w:hint="eastAsia" w:ascii="宋体" w:hAnsi="宋体" w:eastAsia="宋体" w:cs="宋体"/>
          <w:color w:val="auto"/>
          <w:sz w:val="28"/>
          <w:szCs w:val="28"/>
          <w:highlight w:val="none"/>
        </w:rPr>
      </w:pPr>
    </w:p>
    <w:p w14:paraId="57C37052">
      <w:pPr>
        <w:shd w:val="clear"/>
        <w:rPr>
          <w:rFonts w:hint="eastAsia" w:ascii="宋体" w:hAnsi="宋体" w:eastAsia="宋体" w:cs="宋体"/>
          <w:color w:val="auto"/>
          <w:sz w:val="28"/>
          <w:szCs w:val="28"/>
          <w:highlight w:val="none"/>
        </w:rPr>
      </w:pPr>
    </w:p>
    <w:p w14:paraId="65143E18">
      <w:pPr>
        <w:shd w:val="clear"/>
        <w:rPr>
          <w:rFonts w:hint="eastAsia" w:ascii="宋体" w:hAnsi="宋体" w:eastAsia="宋体" w:cs="宋体"/>
          <w:color w:val="auto"/>
          <w:sz w:val="28"/>
          <w:szCs w:val="28"/>
          <w:highlight w:val="none"/>
        </w:rPr>
      </w:pPr>
    </w:p>
    <w:p w14:paraId="3BFD68F6">
      <w:pPr>
        <w:shd w:val="clear"/>
        <w:rPr>
          <w:rFonts w:hint="eastAsia" w:ascii="宋体" w:hAnsi="宋体" w:eastAsia="宋体" w:cs="宋体"/>
          <w:color w:val="auto"/>
          <w:sz w:val="28"/>
          <w:szCs w:val="28"/>
          <w:highlight w:val="none"/>
        </w:rPr>
      </w:pPr>
    </w:p>
    <w:p w14:paraId="5FD3A0D5">
      <w:pPr>
        <w:shd w:val="clear"/>
        <w:rPr>
          <w:rFonts w:hint="eastAsia" w:ascii="宋体" w:hAnsi="宋体" w:eastAsia="宋体" w:cs="宋体"/>
          <w:color w:val="auto"/>
          <w:sz w:val="28"/>
          <w:szCs w:val="28"/>
          <w:highlight w:val="none"/>
        </w:rPr>
      </w:pPr>
    </w:p>
    <w:p w14:paraId="2DC9B147">
      <w:pPr>
        <w:shd w:val="clear"/>
        <w:jc w:val="center"/>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14:paraId="2C9A3FE9">
      <w:pPr>
        <w:shd w:val="clear"/>
        <w:ind w:firstLine="980" w:firstLineChars="3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491F0BFF">
      <w:pPr>
        <w:shd w:val="clea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2DD041EE">
      <w:pPr>
        <w:shd w:val="clear"/>
        <w:spacing w:line="720" w:lineRule="auto"/>
        <w:jc w:val="center"/>
        <w:rPr>
          <w:rFonts w:hint="eastAsia" w:ascii="宋体" w:hAnsi="宋体" w:eastAsia="宋体" w:cs="宋体"/>
          <w:b/>
          <w:color w:val="auto"/>
          <w:sz w:val="36"/>
          <w:szCs w:val="36"/>
          <w:highlight w:val="none"/>
        </w:rPr>
      </w:pPr>
    </w:p>
    <w:p w14:paraId="178E0D49">
      <w:pPr>
        <w:shd w:val="clear"/>
        <w:spacing w:line="400" w:lineRule="exact"/>
        <w:ind w:firstLine="562" w:firstLineChars="200"/>
        <w:rPr>
          <w:rFonts w:hint="eastAsia" w:ascii="宋体" w:hAnsi="宋体" w:eastAsia="宋体" w:cs="宋体"/>
          <w:b/>
          <w:color w:val="auto"/>
          <w:sz w:val="28"/>
          <w:szCs w:val="28"/>
          <w:highlight w:val="none"/>
        </w:rPr>
      </w:pPr>
    </w:p>
    <w:p w14:paraId="0593D1E6">
      <w:pPr>
        <w:shd w:val="clear"/>
        <w:spacing w:line="40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r>
        <w:rPr>
          <w:rFonts w:hint="eastAsia" w:ascii="宋体" w:hAnsi="宋体" w:eastAsia="宋体" w:cs="宋体"/>
          <w:b/>
          <w:color w:val="auto"/>
          <w:sz w:val="36"/>
          <w:szCs w:val="36"/>
          <w:highlight w:val="none"/>
        </w:rPr>
        <w:t>目   录</w:t>
      </w:r>
    </w:p>
    <w:p w14:paraId="6D771665">
      <w:pPr>
        <w:shd w:val="clear"/>
        <w:spacing w:line="400" w:lineRule="exact"/>
        <w:ind w:firstLine="4130" w:firstLineChars="935"/>
        <w:rPr>
          <w:rFonts w:hint="eastAsia" w:ascii="宋体" w:hAnsi="宋体" w:eastAsia="宋体" w:cs="宋体"/>
          <w:b/>
          <w:color w:val="auto"/>
          <w:sz w:val="44"/>
          <w:szCs w:val="44"/>
          <w:highlight w:val="none"/>
        </w:rPr>
      </w:pPr>
    </w:p>
    <w:p w14:paraId="247393D4">
      <w:pPr>
        <w:shd w:val="clear"/>
        <w:spacing w:line="440" w:lineRule="exact"/>
        <w:ind w:left="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（1）开标一览表（格式见附件）；</w:t>
      </w:r>
    </w:p>
    <w:p w14:paraId="19682603">
      <w:pPr>
        <w:shd w:val="clear"/>
        <w:spacing w:line="440" w:lineRule="exact"/>
        <w:ind w:left="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（2）投标函（格式见附件）；</w:t>
      </w:r>
    </w:p>
    <w:p w14:paraId="66876DBA">
      <w:pPr>
        <w:shd w:val="clear"/>
        <w:spacing w:line="440" w:lineRule="exact"/>
        <w:ind w:firstLine="424" w:firstLineChars="20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分项报价清单；</w:t>
      </w:r>
    </w:p>
    <w:p w14:paraId="0ADAEC21">
      <w:pPr>
        <w:shd w:val="clear"/>
        <w:spacing w:line="440" w:lineRule="exact"/>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投标人认为需要提供的其他材料。</w:t>
      </w:r>
    </w:p>
    <w:p w14:paraId="51EC1FEF">
      <w:pPr>
        <w:shd w:val="clear"/>
        <w:jc w:val="center"/>
        <w:rPr>
          <w:rFonts w:hint="eastAsia" w:ascii="宋体" w:hAnsi="宋体" w:eastAsia="宋体" w:cs="宋体"/>
          <w:b/>
          <w:color w:val="auto"/>
          <w:sz w:val="28"/>
          <w:szCs w:val="28"/>
          <w:highlight w:val="none"/>
        </w:rPr>
      </w:pPr>
    </w:p>
    <w:p w14:paraId="3E0ADEAF">
      <w:pPr>
        <w:shd w:val="clear"/>
        <w:snapToGrid w:val="0"/>
        <w:spacing w:line="460" w:lineRule="exact"/>
        <w:ind w:left="2940" w:leftChars="1400" w:firstLine="964" w:firstLineChars="300"/>
        <w:rPr>
          <w:rFonts w:hint="eastAsia" w:ascii="宋体" w:hAnsi="宋体" w:eastAsia="宋体" w:cs="宋体"/>
          <w:b/>
          <w:color w:val="auto"/>
          <w:sz w:val="32"/>
          <w:szCs w:val="32"/>
          <w:highlight w:val="none"/>
        </w:rPr>
      </w:pPr>
    </w:p>
    <w:p w14:paraId="29A4BACB">
      <w:pPr>
        <w:shd w:val="clear"/>
        <w:snapToGrid w:val="0"/>
        <w:spacing w:line="460" w:lineRule="exact"/>
        <w:ind w:left="2940" w:leftChars="1400" w:firstLine="964" w:firstLineChars="300"/>
        <w:rPr>
          <w:rFonts w:hint="eastAsia" w:ascii="宋体" w:hAnsi="宋体" w:eastAsia="宋体" w:cs="宋体"/>
          <w:b/>
          <w:color w:val="auto"/>
          <w:sz w:val="32"/>
          <w:szCs w:val="32"/>
          <w:highlight w:val="none"/>
        </w:rPr>
      </w:pPr>
    </w:p>
    <w:p w14:paraId="5608A55D">
      <w:pPr>
        <w:shd w:val="clear"/>
        <w:snapToGrid w:val="0"/>
        <w:spacing w:line="460" w:lineRule="exact"/>
        <w:ind w:left="2940" w:leftChars="1400" w:firstLine="964" w:firstLineChars="300"/>
        <w:rPr>
          <w:rFonts w:hint="eastAsia" w:ascii="宋体" w:hAnsi="宋体" w:eastAsia="宋体" w:cs="宋体"/>
          <w:b/>
          <w:color w:val="auto"/>
          <w:sz w:val="32"/>
          <w:szCs w:val="32"/>
          <w:highlight w:val="none"/>
        </w:rPr>
      </w:pPr>
    </w:p>
    <w:p w14:paraId="79E44AFE">
      <w:pPr>
        <w:shd w:val="clear"/>
        <w:snapToGrid w:val="0"/>
        <w:spacing w:line="460" w:lineRule="exact"/>
        <w:ind w:left="2940" w:leftChars="1400" w:firstLine="964" w:firstLineChars="300"/>
        <w:rPr>
          <w:rFonts w:hint="eastAsia" w:ascii="宋体" w:hAnsi="宋体" w:eastAsia="宋体" w:cs="宋体"/>
          <w:b/>
          <w:color w:val="auto"/>
          <w:sz w:val="32"/>
          <w:szCs w:val="32"/>
          <w:highlight w:val="none"/>
        </w:rPr>
      </w:pPr>
    </w:p>
    <w:p w14:paraId="55E53FA2">
      <w:pPr>
        <w:shd w:val="clear"/>
        <w:snapToGrid w:val="0"/>
        <w:spacing w:line="460" w:lineRule="exact"/>
        <w:ind w:left="2940" w:leftChars="1400" w:firstLine="964" w:firstLineChars="300"/>
        <w:rPr>
          <w:rFonts w:hint="eastAsia" w:ascii="宋体" w:hAnsi="宋体" w:eastAsia="宋体" w:cs="宋体"/>
          <w:b/>
          <w:color w:val="auto"/>
          <w:sz w:val="32"/>
          <w:szCs w:val="32"/>
          <w:highlight w:val="none"/>
        </w:rPr>
      </w:pPr>
    </w:p>
    <w:p w14:paraId="2D661747">
      <w:pPr>
        <w:shd w:val="clear"/>
        <w:snapToGrid w:val="0"/>
        <w:spacing w:line="460" w:lineRule="exact"/>
        <w:ind w:left="2940" w:leftChars="1400" w:firstLine="964" w:firstLineChars="300"/>
        <w:rPr>
          <w:rFonts w:hint="eastAsia" w:ascii="宋体" w:hAnsi="宋体" w:eastAsia="宋体" w:cs="宋体"/>
          <w:b/>
          <w:color w:val="auto"/>
          <w:sz w:val="32"/>
          <w:szCs w:val="32"/>
          <w:highlight w:val="none"/>
        </w:rPr>
      </w:pPr>
    </w:p>
    <w:p w14:paraId="3F1D5D27">
      <w:pPr>
        <w:shd w:val="clear"/>
        <w:spacing w:line="360" w:lineRule="exac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br w:type="page"/>
      </w:r>
      <w:r>
        <w:rPr>
          <w:rFonts w:hint="eastAsia" w:ascii="宋体" w:hAnsi="宋体" w:eastAsia="宋体" w:cs="宋体"/>
          <w:b/>
          <w:color w:val="auto"/>
          <w:sz w:val="30"/>
          <w:szCs w:val="30"/>
          <w:highlight w:val="none"/>
        </w:rPr>
        <w:t>附件1</w:t>
      </w:r>
    </w:p>
    <w:p w14:paraId="6E6DC666">
      <w:pPr>
        <w:shd w:val="clear"/>
        <w:spacing w:line="360" w:lineRule="exact"/>
        <w:ind w:firstLine="472" w:firstLineChars="147"/>
        <w:jc w:val="center"/>
        <w:rPr>
          <w:rFonts w:hint="eastAsia" w:ascii="宋体" w:hAnsi="宋体" w:eastAsia="宋体" w:cs="宋体"/>
          <w:b/>
          <w:color w:val="auto"/>
          <w:sz w:val="32"/>
          <w:szCs w:val="32"/>
          <w:highlight w:val="none"/>
        </w:rPr>
      </w:pPr>
    </w:p>
    <w:p w14:paraId="2265E0F5">
      <w:pPr>
        <w:shd w:val="clear"/>
        <w:spacing w:line="360" w:lineRule="exact"/>
        <w:ind w:firstLine="531" w:firstLineChars="147"/>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开标一览表</w:t>
      </w:r>
    </w:p>
    <w:p w14:paraId="6B64D90A">
      <w:pPr>
        <w:shd w:val="clear"/>
        <w:spacing w:line="360" w:lineRule="exact"/>
        <w:ind w:firstLine="354" w:firstLineChars="147"/>
        <w:rPr>
          <w:rFonts w:hint="eastAsia" w:ascii="宋体" w:hAnsi="宋体" w:eastAsia="宋体" w:cs="宋体"/>
          <w:b/>
          <w:color w:val="auto"/>
          <w:sz w:val="24"/>
          <w:highlight w:val="none"/>
        </w:rPr>
      </w:pP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551"/>
      </w:tblGrid>
      <w:tr w14:paraId="40C00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vAlign w:val="center"/>
          </w:tcPr>
          <w:p w14:paraId="0EF4FFE9">
            <w:pPr>
              <w:shd w:val="clear"/>
              <w:spacing w:line="7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551" w:type="dxa"/>
            <w:tcBorders>
              <w:top w:val="single" w:color="auto" w:sz="12" w:space="0"/>
              <w:left w:val="single" w:color="auto" w:sz="12" w:space="0"/>
              <w:bottom w:val="single" w:color="auto" w:sz="12" w:space="0"/>
            </w:tcBorders>
            <w:vAlign w:val="center"/>
          </w:tcPr>
          <w:p w14:paraId="69D304A3">
            <w:pPr>
              <w:shd w:val="clear"/>
              <w:spacing w:line="7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tc>
      </w:tr>
      <w:tr w14:paraId="6312A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vAlign w:val="center"/>
          </w:tcPr>
          <w:p w14:paraId="7C04D232">
            <w:pPr>
              <w:shd w:val="clear"/>
              <w:spacing w:line="7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c>
          <w:tcPr>
            <w:tcW w:w="7551" w:type="dxa"/>
            <w:tcBorders>
              <w:top w:val="single" w:color="auto" w:sz="12" w:space="0"/>
              <w:left w:val="single" w:color="auto" w:sz="12" w:space="0"/>
            </w:tcBorders>
            <w:vAlign w:val="center"/>
          </w:tcPr>
          <w:p w14:paraId="1FB14744">
            <w:pPr>
              <w:shd w:val="clear"/>
              <w:spacing w:line="700" w:lineRule="exact"/>
              <w:rPr>
                <w:rFonts w:hint="eastAsia" w:ascii="宋体" w:hAnsi="宋体" w:eastAsia="宋体" w:cs="宋体"/>
                <w:color w:val="auto"/>
                <w:sz w:val="24"/>
                <w:highlight w:val="none"/>
              </w:rPr>
            </w:pPr>
          </w:p>
        </w:tc>
      </w:tr>
      <w:tr w14:paraId="7878D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vAlign w:val="center"/>
          </w:tcPr>
          <w:p w14:paraId="47628928">
            <w:pPr>
              <w:shd w:val="clear"/>
              <w:spacing w:line="700" w:lineRule="exact"/>
              <w:ind w:firstLine="120" w:firstLineChars="5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551" w:type="dxa"/>
            <w:tcBorders>
              <w:left w:val="single" w:color="auto" w:sz="12" w:space="0"/>
            </w:tcBorders>
          </w:tcPr>
          <w:p w14:paraId="463BC20D">
            <w:pPr>
              <w:pStyle w:val="20"/>
              <w:shd w:val="clear"/>
              <w:spacing w:line="700" w:lineRule="exact"/>
              <w:ind w:left="86" w:leftChars="41"/>
              <w:rPr>
                <w:rFonts w:hint="eastAsia" w:ascii="宋体" w:hAnsi="宋体" w:eastAsia="宋体" w:cs="宋体"/>
                <w:color w:val="auto"/>
                <w:sz w:val="24"/>
                <w:szCs w:val="24"/>
                <w:highlight w:val="none"/>
              </w:rPr>
            </w:pPr>
          </w:p>
        </w:tc>
      </w:tr>
      <w:tr w14:paraId="1C791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vAlign w:val="center"/>
          </w:tcPr>
          <w:p w14:paraId="047967E9">
            <w:pPr>
              <w:shd w:val="clea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投标报价\合同履行期限</w:t>
            </w:r>
          </w:p>
        </w:tc>
        <w:tc>
          <w:tcPr>
            <w:tcW w:w="7551" w:type="dxa"/>
            <w:tcBorders>
              <w:left w:val="single" w:color="auto" w:sz="12" w:space="0"/>
            </w:tcBorders>
            <w:vAlign w:val="center"/>
          </w:tcPr>
          <w:p w14:paraId="65996552">
            <w:pPr>
              <w:shd w:val="clear"/>
              <w:spacing w:line="48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投标报价 ：（大写）：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1F3C1E5">
            <w:pPr>
              <w:shd w:val="clear"/>
              <w:spacing w:line="48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(小写)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br w:type="textWrapping"/>
            </w:r>
            <w:r>
              <w:rPr>
                <w:rFonts w:hint="eastAsia" w:ascii="宋体" w:hAnsi="宋体" w:eastAsia="宋体" w:cs="宋体"/>
                <w:color w:val="auto"/>
                <w:sz w:val="24"/>
                <w:highlight w:val="none"/>
              </w:rPr>
              <w:t xml:space="preserve">          </w:t>
            </w:r>
          </w:p>
          <w:p w14:paraId="42BEB455">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合同履行期限：响应招标文件要求。 </w:t>
            </w:r>
          </w:p>
        </w:tc>
      </w:tr>
    </w:tbl>
    <w:p w14:paraId="25DED567">
      <w:pPr>
        <w:shd w:val="clear"/>
        <w:snapToGrid w:val="0"/>
        <w:spacing w:line="460" w:lineRule="exact"/>
        <w:ind w:left="2940" w:leftChars="1400" w:firstLine="723" w:firstLineChars="300"/>
        <w:rPr>
          <w:rFonts w:hint="eastAsia" w:ascii="宋体" w:hAnsi="宋体" w:eastAsia="宋体" w:cs="宋体"/>
          <w:b/>
          <w:color w:val="auto"/>
          <w:sz w:val="24"/>
          <w:highlight w:val="none"/>
        </w:rPr>
      </w:pPr>
    </w:p>
    <w:p w14:paraId="1CF2A232">
      <w:pPr>
        <w:shd w:val="clea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法定代表人（签章）：         投标人（盖单位章）：</w:t>
      </w:r>
    </w:p>
    <w:p w14:paraId="0A645260">
      <w:pPr>
        <w:shd w:val="clear"/>
        <w:snapToGrid w:val="0"/>
        <w:spacing w:beforeLines="100" w:afterLines="100" w:line="360" w:lineRule="auto"/>
        <w:jc w:val="center"/>
        <w:rPr>
          <w:rFonts w:hint="eastAsia" w:ascii="宋体" w:hAnsi="宋体" w:eastAsia="宋体" w:cs="宋体"/>
          <w:b/>
          <w:bCs/>
          <w:color w:val="auto"/>
          <w:sz w:val="30"/>
          <w:szCs w:val="30"/>
          <w:highlight w:val="none"/>
        </w:rPr>
        <w:sectPr>
          <w:pgSz w:w="11906" w:h="16838"/>
          <w:pgMar w:top="1361" w:right="1361" w:bottom="1361" w:left="1361" w:header="851" w:footer="992" w:gutter="0"/>
          <w:pgNumType w:fmt="decimal"/>
          <w:cols w:space="0" w:num="1"/>
          <w:rtlGutter w:val="0"/>
          <w:docGrid w:type="lines" w:linePitch="312" w:charSpace="0"/>
        </w:sectPr>
      </w:pPr>
      <w:r>
        <w:rPr>
          <w:rFonts w:hint="eastAsia" w:ascii="宋体" w:hAnsi="宋体" w:eastAsia="宋体" w:cs="宋体"/>
          <w:color w:val="auto"/>
          <w:sz w:val="24"/>
          <w:highlight w:val="none"/>
        </w:rPr>
        <w:t xml:space="preserve">                                      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66360FD0">
      <w:pPr>
        <w:shd w:val="clear"/>
        <w:spacing w:line="360" w:lineRule="exact"/>
        <w:ind w:firstLine="443" w:firstLineChars="147"/>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附件2</w:t>
      </w:r>
    </w:p>
    <w:p w14:paraId="5242FD0C">
      <w:pPr>
        <w:shd w:val="clear"/>
        <w:spacing w:line="360" w:lineRule="exact"/>
        <w:ind w:firstLine="531" w:firstLineChars="147"/>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  标  函</w:t>
      </w:r>
    </w:p>
    <w:p w14:paraId="7971AFAA">
      <w:pPr>
        <w:shd w:val="clear"/>
        <w:spacing w:line="440" w:lineRule="exact"/>
        <w:rPr>
          <w:rFonts w:hint="eastAsia" w:ascii="宋体" w:hAnsi="宋体" w:eastAsia="宋体" w:cs="宋体"/>
          <w:color w:val="auto"/>
          <w:sz w:val="24"/>
          <w:highlight w:val="none"/>
        </w:rPr>
      </w:pPr>
    </w:p>
    <w:p w14:paraId="2ABDF1C8">
      <w:pPr>
        <w:shd w:val="clear"/>
        <w:spacing w:line="5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(招标人)       </w:t>
      </w:r>
      <w:r>
        <w:rPr>
          <w:rFonts w:hint="eastAsia" w:ascii="宋体" w:hAnsi="宋体" w:eastAsia="宋体" w:cs="宋体"/>
          <w:color w:val="auto"/>
          <w:sz w:val="24"/>
          <w:highlight w:val="none"/>
        </w:rPr>
        <w:t xml:space="preserve"> </w:t>
      </w:r>
    </w:p>
    <w:p w14:paraId="2B1236FA">
      <w:pPr>
        <w:shd w:val="clea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1、我们决定参加贵单位组织的“</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）”的采购。我方授权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（投标人的名称）全权处理本项目投标的有关事宜。</w:t>
      </w:r>
    </w:p>
    <w:p w14:paraId="006C1336">
      <w:pPr>
        <w:shd w:val="clea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2、我方愿意按照招标文件规定的各项要求，向招标人提供“</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（项目编号）”项目的服务，投标报价为</w:t>
      </w:r>
      <w:r>
        <w:rPr>
          <w:rFonts w:hint="eastAsia" w:ascii="宋体" w:hAnsi="宋体" w:eastAsia="宋体" w:cs="宋体"/>
          <w:color w:val="auto"/>
          <w:sz w:val="24"/>
          <w:szCs w:val="24"/>
          <w:highlight w:val="none"/>
          <w:u w:val="single"/>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5996518F">
      <w:pPr>
        <w:shd w:val="clea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rPr>
        <w:t>一旦我方成为合同签字人，我方将严格履行合同规定的责任和义务。</w:t>
      </w:r>
    </w:p>
    <w:p w14:paraId="12C416D8">
      <w:pPr>
        <w:shd w:val="clea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、若我方中标，愿意为本项目提交的纸质投标文件一式三份，其中正本一份、副本二份。</w:t>
      </w:r>
    </w:p>
    <w:p w14:paraId="39DDD6F6">
      <w:pPr>
        <w:shd w:val="clea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、我方愿意提供可能另外要求的、与采购投标有关的文件资料，并保证我方已提供和将要提供的文件是真实的、准确的。</w:t>
      </w:r>
    </w:p>
    <w:p w14:paraId="4E0884C8">
      <w:pPr>
        <w:pStyle w:val="12"/>
        <w:shd w:val="clear"/>
        <w:spacing w:after="0" w:line="500" w:lineRule="exact"/>
        <w:ind w:left="0" w:leftChars="0" w:firstLine="48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、投标有效期为</w:t>
      </w:r>
      <w:r>
        <w:rPr>
          <w:rFonts w:hint="eastAsia" w:ascii="宋体" w:hAnsi="宋体" w:eastAsia="宋体" w:cs="宋体"/>
          <w:color w:val="auto"/>
          <w:sz w:val="24"/>
          <w:szCs w:val="24"/>
          <w:highlight w:val="none"/>
          <w:u w:val="single"/>
        </w:rPr>
        <w:t xml:space="preserve"> 90  </w:t>
      </w:r>
      <w:r>
        <w:rPr>
          <w:rFonts w:hint="eastAsia" w:ascii="宋体" w:hAnsi="宋体" w:eastAsia="宋体" w:cs="宋体"/>
          <w:color w:val="auto"/>
          <w:sz w:val="24"/>
          <w:szCs w:val="24"/>
          <w:highlight w:val="none"/>
        </w:rPr>
        <w:t>日历天（从投标截止之日算起）。</w:t>
      </w:r>
    </w:p>
    <w:p w14:paraId="6C8BFA62">
      <w:pPr>
        <w:shd w:val="clea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 xml:space="preserve">、我单位提供如下通讯地址：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电子邮箱（地址），确认本项目相关法律文书均通过提供的以上地址送达，相关文书只要发送至以上电子邮箱（地址）即视为送达，投标人愿意承担一切法律后果。</w:t>
      </w:r>
    </w:p>
    <w:p w14:paraId="3069DCB7">
      <w:pPr>
        <w:shd w:val="clear"/>
        <w:spacing w:line="5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p w14:paraId="1A78D7F1">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4C297112">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（签章）</w:t>
      </w:r>
    </w:p>
    <w:p w14:paraId="5DDC4F29">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日期：</w:t>
      </w:r>
    </w:p>
    <w:p w14:paraId="1628BE12">
      <w:pPr>
        <w:keepNext w:val="0"/>
        <w:keepLines w:val="0"/>
        <w:pageBreakBefore w:val="0"/>
        <w:widowControl w:val="0"/>
        <w:shd w:val="clear"/>
        <w:kinsoku/>
        <w:wordWrap/>
        <w:overflowPunct/>
        <w:topLinePunct w:val="0"/>
        <w:autoSpaceDE/>
        <w:autoSpaceDN/>
        <w:bidi w:val="0"/>
        <w:adjustRightInd/>
        <w:snapToGrid/>
        <w:spacing w:line="600" w:lineRule="exact"/>
        <w:ind w:firstLine="4320" w:firstLineChars="18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通讯地址：</w:t>
      </w:r>
      <w:r>
        <w:rPr>
          <w:rFonts w:hint="eastAsia" w:ascii="宋体" w:hAnsi="宋体" w:eastAsia="宋体" w:cs="宋体"/>
          <w:color w:val="auto"/>
          <w:sz w:val="24"/>
          <w:highlight w:val="none"/>
          <w:u w:val="single"/>
        </w:rPr>
        <w:t xml:space="preserve">                 </w:t>
      </w:r>
    </w:p>
    <w:p w14:paraId="4869801F">
      <w:pPr>
        <w:keepNext w:val="0"/>
        <w:keepLines w:val="0"/>
        <w:pageBreakBefore w:val="0"/>
        <w:widowControl w:val="0"/>
        <w:shd w:val="clear"/>
        <w:kinsoku/>
        <w:wordWrap/>
        <w:overflowPunct/>
        <w:topLinePunct w:val="0"/>
        <w:autoSpaceDE/>
        <w:autoSpaceDN/>
        <w:bidi w:val="0"/>
        <w:adjustRightInd/>
        <w:snapToGrid/>
        <w:spacing w:line="600" w:lineRule="exact"/>
        <w:ind w:firstLine="4320" w:firstLineChars="18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r>
        <w:rPr>
          <w:rFonts w:hint="eastAsia" w:ascii="宋体" w:hAnsi="宋体" w:eastAsia="宋体" w:cs="宋体"/>
          <w:color w:val="auto"/>
          <w:sz w:val="24"/>
          <w:highlight w:val="none"/>
          <w:u w:val="single"/>
        </w:rPr>
        <w:t xml:space="preserve">                 </w:t>
      </w:r>
    </w:p>
    <w:p w14:paraId="6235627A">
      <w:pPr>
        <w:keepNext w:val="0"/>
        <w:keepLines w:val="0"/>
        <w:pageBreakBefore w:val="0"/>
        <w:widowControl w:val="0"/>
        <w:shd w:val="clear"/>
        <w:kinsoku/>
        <w:wordWrap/>
        <w:overflowPunct/>
        <w:topLinePunct w:val="0"/>
        <w:autoSpaceDE/>
        <w:autoSpaceDN/>
        <w:bidi w:val="0"/>
        <w:adjustRightInd/>
        <w:snapToGrid/>
        <w:spacing w:line="600" w:lineRule="exact"/>
        <w:ind w:right="-178" w:rightChars="-85" w:firstLine="4320" w:firstLineChars="1800"/>
        <w:jc w:val="left"/>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4"/>
          <w:highlight w:val="none"/>
        </w:rPr>
        <w:t>传真：</w:t>
      </w:r>
      <w:r>
        <w:rPr>
          <w:rFonts w:hint="eastAsia" w:ascii="宋体" w:hAnsi="宋体" w:eastAsia="宋体" w:cs="宋体"/>
          <w:color w:val="auto"/>
          <w:sz w:val="24"/>
          <w:highlight w:val="none"/>
          <w:u w:val="single"/>
        </w:rPr>
        <w:t xml:space="preserve">                 </w:t>
      </w:r>
    </w:p>
    <w:p w14:paraId="19813015">
      <w:pPr>
        <w:shd w:val="clear"/>
        <w:rPr>
          <w:rFonts w:hint="eastAsia" w:ascii="宋体" w:hAnsi="宋体" w:eastAsia="宋体" w:cs="宋体"/>
          <w:b/>
          <w:color w:val="auto"/>
          <w:sz w:val="30"/>
          <w:szCs w:val="30"/>
          <w:highlight w:val="none"/>
        </w:rPr>
      </w:pPr>
    </w:p>
    <w:p w14:paraId="3218C6E7">
      <w:pPr>
        <w:shd w:val="clear"/>
        <w:rPr>
          <w:rFonts w:hint="eastAsia" w:ascii="宋体" w:hAnsi="宋体" w:eastAsia="宋体" w:cs="宋体"/>
          <w:b/>
          <w:color w:val="auto"/>
          <w:sz w:val="30"/>
          <w:szCs w:val="30"/>
          <w:highlight w:val="none"/>
        </w:rPr>
      </w:pPr>
    </w:p>
    <w:p w14:paraId="43E2A404">
      <w:pPr>
        <w:shd w:val="clear"/>
        <w:rPr>
          <w:rFonts w:hint="eastAsia" w:ascii="宋体" w:hAnsi="宋体" w:eastAsia="宋体" w:cs="宋体"/>
          <w:color w:val="auto"/>
          <w:sz w:val="24"/>
          <w:highlight w:val="none"/>
          <w:lang w:val="en-US" w:eastAsia="zh-CN"/>
        </w:rPr>
      </w:pPr>
      <w:r>
        <w:rPr>
          <w:rFonts w:hint="eastAsia" w:ascii="宋体" w:hAnsi="宋体" w:eastAsia="宋体" w:cs="宋体"/>
          <w:b/>
          <w:color w:val="auto"/>
          <w:sz w:val="30"/>
          <w:szCs w:val="30"/>
          <w:highlight w:val="none"/>
        </w:rPr>
        <w:t>附件</w:t>
      </w:r>
      <w:r>
        <w:rPr>
          <w:rFonts w:hint="eastAsia" w:ascii="宋体" w:hAnsi="宋体" w:eastAsia="宋体" w:cs="宋体"/>
          <w:b/>
          <w:color w:val="auto"/>
          <w:sz w:val="30"/>
          <w:szCs w:val="30"/>
          <w:highlight w:val="none"/>
          <w:lang w:val="en-US" w:eastAsia="zh-CN"/>
        </w:rPr>
        <w:t xml:space="preserve">3    </w:t>
      </w:r>
    </w:p>
    <w:p w14:paraId="7B4262E5">
      <w:pPr>
        <w:keepNext/>
        <w:keepLines/>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color w:val="auto"/>
          <w:sz w:val="32"/>
          <w:szCs w:val="32"/>
          <w:highlight w:val="none"/>
          <w:lang w:val="en-US" w:eastAsia="zh-CN"/>
        </w:rPr>
      </w:pPr>
      <w:bookmarkStart w:id="117" w:name="_Toc12050"/>
      <w:r>
        <w:rPr>
          <w:rFonts w:hint="eastAsia" w:ascii="宋体" w:hAnsi="宋体" w:eastAsia="宋体" w:cs="宋体"/>
          <w:b/>
          <w:color w:val="auto"/>
          <w:sz w:val="32"/>
          <w:szCs w:val="32"/>
          <w:highlight w:val="none"/>
          <w:lang w:val="en-US" w:eastAsia="zh-CN"/>
        </w:rPr>
        <w:t>分项报价清单</w:t>
      </w:r>
      <w:bookmarkEnd w:id="117"/>
    </w:p>
    <w:tbl>
      <w:tblPr>
        <w:tblStyle w:val="35"/>
        <w:tblW w:w="975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1215"/>
        <w:gridCol w:w="769"/>
        <w:gridCol w:w="784"/>
        <w:gridCol w:w="1494"/>
      </w:tblGrid>
      <w:tr w14:paraId="3DD4E3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41FAFC42">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序号</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78946B5B">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产品名称</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7A42AF2D">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规格型号</w:t>
            </w:r>
          </w:p>
          <w:p w14:paraId="413A495D">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品牌</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4303257F">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单位</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0E0E142B">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数量</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0938F0">
            <w:pPr>
              <w:spacing w:line="300" w:lineRule="exact"/>
              <w:jc w:val="both"/>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单价最高限价（元）</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516BDD17">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单 价（元）</w:t>
            </w:r>
          </w:p>
        </w:tc>
        <w:tc>
          <w:tcPr>
            <w:tcW w:w="784" w:type="dxa"/>
            <w:tcBorders>
              <w:top w:val="single" w:color="auto" w:sz="4" w:space="0"/>
              <w:left w:val="single" w:color="auto" w:sz="4" w:space="0"/>
              <w:bottom w:val="single" w:color="auto" w:sz="4" w:space="0"/>
              <w:right w:val="single" w:color="auto" w:sz="4" w:space="0"/>
            </w:tcBorders>
            <w:noWrap w:val="0"/>
            <w:vAlign w:val="center"/>
          </w:tcPr>
          <w:p w14:paraId="56D7A8C8">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合 价（元）</w:t>
            </w:r>
          </w:p>
        </w:tc>
        <w:tc>
          <w:tcPr>
            <w:tcW w:w="1494" w:type="dxa"/>
            <w:tcBorders>
              <w:top w:val="single" w:color="auto" w:sz="4" w:space="0"/>
              <w:left w:val="single" w:color="auto" w:sz="4" w:space="0"/>
              <w:bottom w:val="single" w:color="auto" w:sz="4" w:space="0"/>
              <w:right w:val="single" w:color="auto" w:sz="4" w:space="0"/>
            </w:tcBorders>
            <w:noWrap w:val="0"/>
            <w:vAlign w:val="center"/>
          </w:tcPr>
          <w:p w14:paraId="2EF236F2">
            <w:pPr>
              <w:spacing w:line="300" w:lineRule="exact"/>
              <w:ind w:left="-80" w:leftChars="-38" w:right="-94" w:rightChars="-45"/>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备注</w:t>
            </w:r>
          </w:p>
        </w:tc>
      </w:tr>
      <w:tr w14:paraId="17D3BF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9751" w:type="dxa"/>
            <w:gridSpan w:val="9"/>
            <w:tcBorders>
              <w:top w:val="single" w:color="auto" w:sz="4" w:space="0"/>
              <w:left w:val="single" w:color="auto" w:sz="4" w:space="0"/>
              <w:bottom w:val="single" w:color="auto" w:sz="4" w:space="0"/>
              <w:right w:val="single" w:color="auto" w:sz="4" w:space="0"/>
            </w:tcBorders>
            <w:noWrap w:val="0"/>
            <w:vAlign w:val="center"/>
          </w:tcPr>
          <w:p w14:paraId="4369724A">
            <w:pPr>
              <w:spacing w:line="300" w:lineRule="exact"/>
              <w:ind w:left="-80" w:leftChars="-38" w:right="-94" w:rightChars="-45"/>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一、车道设备</w:t>
            </w:r>
          </w:p>
        </w:tc>
      </w:tr>
      <w:tr w14:paraId="4A4F10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5E64E13F">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color w:val="auto"/>
                <w:sz w:val="21"/>
                <w:szCs w:val="21"/>
                <w:highlight w:val="none"/>
              </w:rPr>
            </w:pPr>
            <w:r>
              <w:rPr>
                <w:rFonts w:hint="eastAsia" w:ascii="宋体" w:hAnsi="宋体" w:cs="宋体"/>
                <w:color w:val="auto"/>
                <w:szCs w:val="21"/>
                <w:highlight w:val="none"/>
                <w:lang w:val="en-US" w:eastAsia="zh-CN"/>
              </w:rPr>
              <w:t>1</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1BD83EAA">
            <w:pPr>
              <w:keepNext w:val="0"/>
              <w:keepLines w:val="0"/>
              <w:widowControl/>
              <w:suppressLineNumbers w:val="0"/>
              <w:jc w:val="left"/>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入口发卡机手机+业务升级</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2C3CE2F4">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9F92227">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6B402F08">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B25DF64">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5000.00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383B7789">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AA5D1F2">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159DF256">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明巢3台、来六4台、滁合2台</w:t>
            </w:r>
          </w:p>
        </w:tc>
      </w:tr>
      <w:tr w14:paraId="32C6CE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37B0293D">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color w:val="auto"/>
                <w:sz w:val="21"/>
                <w:szCs w:val="21"/>
                <w:highlight w:val="none"/>
              </w:rPr>
            </w:pPr>
            <w:r>
              <w:rPr>
                <w:rFonts w:hint="eastAsia" w:ascii="宋体" w:hAnsi="宋体" w:cs="宋体"/>
                <w:color w:val="auto"/>
                <w:szCs w:val="21"/>
                <w:highlight w:val="none"/>
                <w:lang w:val="en-US" w:eastAsia="zh-CN"/>
              </w:rPr>
              <w:t>2</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26383807">
            <w:pPr>
              <w:keepNext w:val="0"/>
              <w:keepLines w:val="0"/>
              <w:widowControl/>
              <w:suppressLineNumbers w:val="0"/>
              <w:jc w:val="left"/>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自助交费机手机+业务升级</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51753758">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2470FB4D">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7090EE3F">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88DD090">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5000.00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4453C4DE">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50FBA91F">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60FC438F">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明巢3台、来六4台、滁合2台</w:t>
            </w:r>
          </w:p>
        </w:tc>
      </w:tr>
      <w:tr w14:paraId="6C60EF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7CC632CB">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color w:val="auto"/>
                <w:sz w:val="21"/>
                <w:szCs w:val="21"/>
                <w:highlight w:val="none"/>
              </w:rPr>
            </w:pPr>
            <w:r>
              <w:rPr>
                <w:rFonts w:hint="eastAsia" w:ascii="宋体" w:hAnsi="宋体" w:cs="宋体"/>
                <w:color w:val="auto"/>
                <w:szCs w:val="21"/>
                <w:highlight w:val="none"/>
                <w:lang w:val="en-US" w:eastAsia="zh-CN"/>
              </w:rPr>
              <w:t>3</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3DF05763">
            <w:pPr>
              <w:keepNext w:val="0"/>
              <w:keepLines w:val="0"/>
              <w:widowControl/>
              <w:suppressLineNumbers w:val="0"/>
              <w:jc w:val="left"/>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车道手机+二维码展示设备</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5C6D68A0">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4B1DE786">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28F87580">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B82FB85">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6000.00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695AE260">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574234B9">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27DF5E01">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明巢3台</w:t>
            </w:r>
          </w:p>
        </w:tc>
      </w:tr>
      <w:tr w14:paraId="31527A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5EB18D81">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color w:val="auto"/>
                <w:sz w:val="21"/>
                <w:szCs w:val="21"/>
                <w:highlight w:val="none"/>
              </w:rPr>
            </w:pPr>
            <w:r>
              <w:rPr>
                <w:rFonts w:hint="eastAsia" w:ascii="宋体" w:hAnsi="宋体" w:cs="宋体"/>
                <w:color w:val="auto"/>
                <w:szCs w:val="21"/>
                <w:highlight w:val="none"/>
                <w:lang w:val="en-US" w:eastAsia="zh-CN"/>
              </w:rPr>
              <w:t>4</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5DCB389F">
            <w:pPr>
              <w:keepNext w:val="0"/>
              <w:keepLines w:val="0"/>
              <w:widowControl/>
              <w:suppressLineNumbers w:val="0"/>
              <w:jc w:val="left"/>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车道高清车牌识别设备</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1B0B7771">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2DA11DA4">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3D3BBA10">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cs="宋体"/>
                <w:i w:val="0"/>
                <w:iCs w:val="0"/>
                <w:color w:val="auto"/>
                <w:kern w:val="0"/>
                <w:sz w:val="21"/>
                <w:szCs w:val="21"/>
                <w:highlight w:val="none"/>
                <w:u w:val="none"/>
                <w:lang w:val="en-US" w:eastAsia="zh-CN" w:bidi="ar"/>
              </w:rPr>
              <w:t>6</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AB79C8B">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12000.00</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4BBD9985">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017EA2B8">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6E557E36">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来六4台、滁合2台</w:t>
            </w:r>
          </w:p>
        </w:tc>
      </w:tr>
      <w:tr w14:paraId="7B9A77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56132F66">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color w:val="auto"/>
                <w:sz w:val="21"/>
                <w:szCs w:val="21"/>
                <w:highlight w:val="none"/>
              </w:rPr>
            </w:pPr>
            <w:r>
              <w:rPr>
                <w:rFonts w:hint="eastAsia" w:ascii="宋体" w:hAnsi="宋体" w:cs="宋体"/>
                <w:color w:val="auto"/>
                <w:szCs w:val="21"/>
                <w:highlight w:val="none"/>
                <w:lang w:val="en-US" w:eastAsia="zh-CN"/>
              </w:rPr>
              <w:t>5</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5B8345F1">
            <w:pPr>
              <w:keepNext w:val="0"/>
              <w:keepLines w:val="0"/>
              <w:widowControl/>
              <w:suppressLineNumbers w:val="0"/>
              <w:jc w:val="left"/>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扫码枪</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65748941">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0F4C84D5">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3E87F2AF">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2D0F6A2">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cs="宋体"/>
                <w:i w:val="0"/>
                <w:iCs w:val="0"/>
                <w:color w:val="auto"/>
                <w:kern w:val="0"/>
                <w:sz w:val="22"/>
                <w:szCs w:val="22"/>
                <w:highlight w:val="none"/>
                <w:u w:val="none"/>
                <w:lang w:val="en-US" w:eastAsia="zh-CN" w:bidi="ar"/>
              </w:rPr>
              <w:t>300.00</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0D9C5766">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2FD4D3D0">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0485150A">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明巢6台、滁合1台、来六4台</w:t>
            </w:r>
          </w:p>
        </w:tc>
      </w:tr>
      <w:tr w14:paraId="71D470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06C3F8E7">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color w:val="auto"/>
                <w:sz w:val="21"/>
                <w:szCs w:val="21"/>
                <w:highlight w:val="none"/>
              </w:rPr>
            </w:pPr>
            <w:r>
              <w:rPr>
                <w:rFonts w:hint="eastAsia" w:ascii="宋体" w:hAnsi="宋体" w:cs="宋体"/>
                <w:color w:val="auto"/>
                <w:szCs w:val="21"/>
                <w:highlight w:val="none"/>
                <w:lang w:val="en-US" w:eastAsia="zh-CN"/>
              </w:rPr>
              <w:t>6</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4D1CDECC">
            <w:pPr>
              <w:keepNext w:val="0"/>
              <w:keepLines w:val="0"/>
              <w:widowControl/>
              <w:suppressLineNumbers w:val="0"/>
              <w:jc w:val="left"/>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移动支付机具升级</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714AB25A">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42807CA0">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70BD8471">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cs="宋体"/>
                <w:i w:val="0"/>
                <w:iCs w:val="0"/>
                <w:color w:val="auto"/>
                <w:kern w:val="0"/>
                <w:sz w:val="21"/>
                <w:szCs w:val="21"/>
                <w:highlight w:val="none"/>
                <w:u w:val="none"/>
                <w:lang w:val="en-US" w:eastAsia="zh-CN" w:bidi="ar"/>
              </w:rPr>
              <w:t>11</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231B5B">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cs="宋体"/>
                <w:i w:val="0"/>
                <w:iCs w:val="0"/>
                <w:color w:val="auto"/>
                <w:kern w:val="0"/>
                <w:sz w:val="22"/>
                <w:szCs w:val="22"/>
                <w:highlight w:val="none"/>
                <w:u w:val="none"/>
                <w:lang w:val="en-US" w:eastAsia="zh-CN" w:bidi="ar"/>
              </w:rPr>
              <w:t>2200.00</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04BA44DF">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F7DD505">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479D05ED">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滁合1台、明巢6台、来六4台</w:t>
            </w:r>
          </w:p>
        </w:tc>
      </w:tr>
      <w:tr w14:paraId="386E40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9751" w:type="dxa"/>
            <w:gridSpan w:val="9"/>
            <w:tcBorders>
              <w:top w:val="single" w:color="auto" w:sz="4" w:space="0"/>
              <w:left w:val="single" w:color="auto" w:sz="4" w:space="0"/>
              <w:bottom w:val="single" w:color="auto" w:sz="4" w:space="0"/>
              <w:right w:val="single" w:color="auto" w:sz="4" w:space="0"/>
            </w:tcBorders>
            <w:noWrap w:val="0"/>
            <w:vAlign w:val="center"/>
          </w:tcPr>
          <w:p w14:paraId="6E876DFE">
            <w:pPr>
              <w:spacing w:line="300" w:lineRule="exact"/>
              <w:ind w:left="-80" w:leftChars="-38" w:right="-94" w:rightChars="-45"/>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二、门架设备</w:t>
            </w:r>
          </w:p>
        </w:tc>
      </w:tr>
      <w:tr w14:paraId="479B90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6E61C6EE">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1325F610">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门架高清车牌识别设备（后向）</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300F0DB9">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2BF4E202">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60E0D9FF">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3CB36B2">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8000.00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63EF2069">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13529ABF">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1D1B1E27">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明巢4套、来六6套（其中4套为省界门架）、滁合2套</w:t>
            </w:r>
          </w:p>
        </w:tc>
      </w:tr>
      <w:tr w14:paraId="4E9932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5F8CE722">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50EC8453">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后车牌补光灯</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5E537FE4">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2321077">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6D58DF1F">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F9C60AC">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1200.00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0B8DC0FF">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01A874FA">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44252A5E">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明巢12台、来六24台、滁合6台</w:t>
            </w:r>
          </w:p>
        </w:tc>
      </w:tr>
      <w:tr w14:paraId="75BD6B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9751" w:type="dxa"/>
            <w:gridSpan w:val="9"/>
            <w:tcBorders>
              <w:top w:val="single" w:color="auto" w:sz="4" w:space="0"/>
              <w:left w:val="single" w:color="auto" w:sz="4" w:space="0"/>
              <w:bottom w:val="single" w:color="auto" w:sz="4" w:space="0"/>
              <w:right w:val="single" w:color="auto" w:sz="4" w:space="0"/>
            </w:tcBorders>
            <w:noWrap w:val="0"/>
            <w:vAlign w:val="center"/>
          </w:tcPr>
          <w:p w14:paraId="27879087">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三、收费系统手机+改造</w:t>
            </w:r>
          </w:p>
        </w:tc>
      </w:tr>
      <w:tr w14:paraId="07287A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095B5251">
            <w:pPr>
              <w:keepNext w:val="0"/>
              <w:keepLines w:val="0"/>
              <w:pageBreakBefore w:val="0"/>
              <w:kinsoku/>
              <w:overflowPunct/>
              <w:topLinePunct w:val="0"/>
              <w:autoSpaceDE/>
              <w:autoSpaceDN/>
              <w:bidi w:val="0"/>
              <w:adjustRightInd/>
              <w:snapToGrid/>
              <w:spacing w:line="440" w:lineRule="exact"/>
              <w:jc w:val="center"/>
              <w:rPr>
                <w:rFonts w:hint="default" w:ascii="宋体" w:hAnsi="宋体"/>
                <w:color w:val="auto"/>
                <w:sz w:val="21"/>
                <w:szCs w:val="21"/>
                <w:highlight w:val="none"/>
                <w:lang w:val="en-US"/>
              </w:rPr>
            </w:pPr>
            <w:r>
              <w:rPr>
                <w:rFonts w:hint="eastAsia" w:ascii="宋体" w:hAnsi="宋体" w:cs="宋体"/>
                <w:color w:val="auto"/>
                <w:szCs w:val="21"/>
                <w:highlight w:val="none"/>
                <w:lang w:val="en-US" w:eastAsia="zh-CN"/>
              </w:rPr>
              <w:t>10</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71617116">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超融合集群资源重构实施</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22F49714">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D577094">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站</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15BD0CE5">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10C1B6A">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8000.00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0E270092">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2D944A12">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28AD9520">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滁合1台</w:t>
            </w:r>
          </w:p>
        </w:tc>
      </w:tr>
      <w:tr w14:paraId="7D6629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0475968C">
            <w:pPr>
              <w:keepNext w:val="0"/>
              <w:keepLines w:val="0"/>
              <w:pageBreakBefore w:val="0"/>
              <w:kinsoku/>
              <w:overflowPunct/>
              <w:topLinePunct w:val="0"/>
              <w:autoSpaceDE/>
              <w:autoSpaceDN/>
              <w:bidi w:val="0"/>
              <w:adjustRightInd/>
              <w:snapToGrid/>
              <w:spacing w:line="440" w:lineRule="exact"/>
              <w:jc w:val="center"/>
              <w:rPr>
                <w:rFonts w:hint="default" w:ascii="宋体" w:hAnsi="宋体"/>
                <w:color w:val="auto"/>
                <w:sz w:val="21"/>
                <w:szCs w:val="21"/>
                <w:highlight w:val="none"/>
                <w:lang w:val="en-US"/>
              </w:rPr>
            </w:pPr>
            <w:r>
              <w:rPr>
                <w:rFonts w:hint="eastAsia" w:ascii="宋体" w:hAnsi="宋体" w:cs="宋体"/>
                <w:color w:val="auto"/>
                <w:szCs w:val="21"/>
                <w:highlight w:val="none"/>
                <w:lang w:val="en-US" w:eastAsia="zh-CN"/>
              </w:rPr>
              <w:t>11</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14316291">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服务器利旧承载部级业务系统改造服务</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619FA3DE">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32442B83">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站</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26FDABBB">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B367901">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13000.00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190AFA39">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4A115982">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334697E8">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明巢3台、来六2台</w:t>
            </w:r>
          </w:p>
        </w:tc>
      </w:tr>
      <w:tr w14:paraId="3F4951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05577240">
            <w:pPr>
              <w:keepNext w:val="0"/>
              <w:keepLines w:val="0"/>
              <w:pageBreakBefore w:val="0"/>
              <w:kinsoku/>
              <w:overflowPunct/>
              <w:topLinePunct w:val="0"/>
              <w:autoSpaceDE/>
              <w:autoSpaceDN/>
              <w:bidi w:val="0"/>
              <w:adjustRightInd/>
              <w:snapToGrid/>
              <w:spacing w:line="440" w:lineRule="exact"/>
              <w:jc w:val="center"/>
              <w:rPr>
                <w:rFonts w:hint="default" w:ascii="宋体" w:hAnsi="宋体"/>
                <w:color w:val="auto"/>
                <w:sz w:val="21"/>
                <w:szCs w:val="21"/>
                <w:highlight w:val="none"/>
                <w:lang w:val="en-US"/>
              </w:rPr>
            </w:pPr>
            <w:r>
              <w:rPr>
                <w:rFonts w:hint="eastAsia" w:ascii="宋体" w:hAnsi="宋体" w:cs="宋体"/>
                <w:color w:val="auto"/>
                <w:szCs w:val="21"/>
                <w:highlight w:val="none"/>
                <w:lang w:val="en-US" w:eastAsia="zh-CN"/>
              </w:rPr>
              <w:t>12</w:t>
            </w:r>
          </w:p>
        </w:tc>
        <w:tc>
          <w:tcPr>
            <w:tcW w:w="2038" w:type="dxa"/>
            <w:tcBorders>
              <w:top w:val="single" w:color="auto" w:sz="4" w:space="0"/>
              <w:left w:val="single" w:color="auto" w:sz="4" w:space="0"/>
              <w:bottom w:val="single" w:color="auto" w:sz="4" w:space="0"/>
              <w:right w:val="single" w:color="auto" w:sz="4" w:space="0"/>
            </w:tcBorders>
            <w:noWrap w:val="0"/>
            <w:vAlign w:val="center"/>
          </w:tcPr>
          <w:p w14:paraId="29031F96">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ETC专用车道系统实施</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7A510207">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4E88CE39">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车道</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58223DF4">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2E0F66F">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1350.00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10CA9D20">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338028F">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0E6DBC34">
            <w:pPr>
              <w:spacing w:line="300" w:lineRule="exact"/>
              <w:ind w:left="-80" w:leftChars="-38" w:right="-94" w:rightChars="-45"/>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明巢8套、来六4套、滁合4套</w:t>
            </w:r>
          </w:p>
        </w:tc>
      </w:tr>
      <w:tr w14:paraId="538319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65A2CC">
            <w:pPr>
              <w:keepNext w:val="0"/>
              <w:keepLines w:val="0"/>
              <w:pageBreakBefore w:val="0"/>
              <w:kinsoku/>
              <w:overflowPunct/>
              <w:topLinePunct w:val="0"/>
              <w:autoSpaceDE/>
              <w:autoSpaceDN/>
              <w:bidi w:val="0"/>
              <w:adjustRightInd/>
              <w:snapToGrid/>
              <w:spacing w:line="440" w:lineRule="exact"/>
              <w:jc w:val="center"/>
              <w:rPr>
                <w:rFonts w:hint="default" w:ascii="宋体" w:hAnsi="宋体"/>
                <w:color w:val="auto"/>
                <w:sz w:val="21"/>
                <w:szCs w:val="21"/>
                <w:highlight w:val="none"/>
                <w:lang w:val="en-US"/>
              </w:rPr>
            </w:pPr>
            <w:r>
              <w:rPr>
                <w:rFonts w:hint="eastAsia" w:ascii="宋体" w:hAnsi="宋体" w:cs="宋体"/>
                <w:color w:val="auto"/>
                <w:szCs w:val="21"/>
                <w:highlight w:val="none"/>
                <w:lang w:val="en-US" w:eastAsia="zh-CN"/>
              </w:rPr>
              <w:t>13</w:t>
            </w:r>
          </w:p>
        </w:tc>
        <w:tc>
          <w:tcPr>
            <w:tcW w:w="20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403124">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ETC/MTC混合车道系统实施</w:t>
            </w:r>
          </w:p>
        </w:tc>
        <w:tc>
          <w:tcPr>
            <w:tcW w:w="12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BC70EE">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8ED0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车道</w:t>
            </w:r>
          </w:p>
        </w:tc>
        <w:tc>
          <w:tcPr>
            <w:tcW w:w="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5FEA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24</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13AFD90">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1350.00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26A4C389">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3C60158">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532DEE1A">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明巢12套、来六8套、滁合4套</w:t>
            </w:r>
          </w:p>
        </w:tc>
      </w:tr>
      <w:tr w14:paraId="465717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09B268">
            <w:pPr>
              <w:keepNext w:val="0"/>
              <w:keepLines w:val="0"/>
              <w:pageBreakBefore w:val="0"/>
              <w:kinsoku/>
              <w:overflowPunct/>
              <w:topLinePunct w:val="0"/>
              <w:autoSpaceDE/>
              <w:autoSpaceDN/>
              <w:bidi w:val="0"/>
              <w:adjustRightInd/>
              <w:snapToGrid/>
              <w:spacing w:line="440" w:lineRule="exact"/>
              <w:jc w:val="center"/>
              <w:rPr>
                <w:rFonts w:hint="default" w:ascii="宋体" w:hAnsi="宋体"/>
                <w:color w:val="auto"/>
                <w:sz w:val="21"/>
                <w:szCs w:val="21"/>
                <w:highlight w:val="none"/>
                <w:lang w:val="en-US"/>
              </w:rPr>
            </w:pPr>
            <w:r>
              <w:rPr>
                <w:rFonts w:hint="eastAsia" w:ascii="宋体" w:hAnsi="宋体" w:cs="宋体"/>
                <w:color w:val="auto"/>
                <w:szCs w:val="21"/>
                <w:highlight w:val="none"/>
                <w:lang w:val="en-US" w:eastAsia="zh-CN"/>
              </w:rPr>
              <w:t>14</w:t>
            </w:r>
          </w:p>
        </w:tc>
        <w:tc>
          <w:tcPr>
            <w:tcW w:w="20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E44AFB">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自助发卡车道系统实施</w:t>
            </w:r>
          </w:p>
        </w:tc>
        <w:tc>
          <w:tcPr>
            <w:tcW w:w="12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CBF3F0">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3234A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车道</w:t>
            </w:r>
          </w:p>
        </w:tc>
        <w:tc>
          <w:tcPr>
            <w:tcW w:w="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38C2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9</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BE61071">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1350.00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23366DFA">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059950F3">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567226E5">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明巢3套、来六4套、滁合2套</w:t>
            </w:r>
          </w:p>
        </w:tc>
      </w:tr>
      <w:tr w14:paraId="1819BA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4BFB2E">
            <w:pPr>
              <w:keepNext w:val="0"/>
              <w:keepLines w:val="0"/>
              <w:pageBreakBefore w:val="0"/>
              <w:kinsoku/>
              <w:overflowPunct/>
              <w:topLinePunct w:val="0"/>
              <w:autoSpaceDE/>
              <w:autoSpaceDN/>
              <w:bidi w:val="0"/>
              <w:adjustRightInd/>
              <w:snapToGrid/>
              <w:spacing w:line="440" w:lineRule="exact"/>
              <w:jc w:val="center"/>
              <w:rPr>
                <w:rFonts w:hint="default" w:ascii="宋体" w:hAnsi="宋体"/>
                <w:color w:val="auto"/>
                <w:sz w:val="21"/>
                <w:szCs w:val="21"/>
                <w:highlight w:val="none"/>
                <w:lang w:val="en-US"/>
              </w:rPr>
            </w:pPr>
            <w:r>
              <w:rPr>
                <w:rFonts w:hint="eastAsia" w:ascii="宋体" w:hAnsi="宋体" w:cs="宋体"/>
                <w:color w:val="auto"/>
                <w:szCs w:val="21"/>
                <w:highlight w:val="none"/>
                <w:lang w:val="en-US" w:eastAsia="zh-CN"/>
              </w:rPr>
              <w:t>15</w:t>
            </w:r>
          </w:p>
        </w:tc>
        <w:tc>
          <w:tcPr>
            <w:tcW w:w="20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770A11">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自助缴费车道系统实施</w:t>
            </w:r>
          </w:p>
        </w:tc>
        <w:tc>
          <w:tcPr>
            <w:tcW w:w="12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6A86D5">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354C5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车道</w:t>
            </w:r>
          </w:p>
        </w:tc>
        <w:tc>
          <w:tcPr>
            <w:tcW w:w="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9382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9</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9059B09">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1350.00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61C4AA89">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0CDB67BF">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5171C129">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明巢3套、来六4套、滁合2套</w:t>
            </w:r>
          </w:p>
        </w:tc>
      </w:tr>
      <w:tr w14:paraId="2D24E4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431035">
            <w:pPr>
              <w:keepNext w:val="0"/>
              <w:keepLines w:val="0"/>
              <w:pageBreakBefore w:val="0"/>
              <w:kinsoku/>
              <w:overflowPunct/>
              <w:topLinePunct w:val="0"/>
              <w:autoSpaceDE/>
              <w:autoSpaceDN/>
              <w:bidi w:val="0"/>
              <w:adjustRightInd/>
              <w:snapToGrid/>
              <w:spacing w:line="440" w:lineRule="exact"/>
              <w:jc w:val="center"/>
              <w:rPr>
                <w:rFonts w:hint="default" w:ascii="宋体" w:hAnsi="宋体"/>
                <w:color w:val="auto"/>
                <w:sz w:val="21"/>
                <w:szCs w:val="21"/>
                <w:highlight w:val="none"/>
                <w:lang w:val="en-US"/>
              </w:rPr>
            </w:pPr>
            <w:r>
              <w:rPr>
                <w:rFonts w:hint="eastAsia" w:ascii="宋体" w:hAnsi="宋体" w:cs="宋体"/>
                <w:color w:val="auto"/>
                <w:szCs w:val="21"/>
                <w:highlight w:val="none"/>
                <w:lang w:val="en-US" w:eastAsia="zh-CN"/>
              </w:rPr>
              <w:t>16</w:t>
            </w:r>
          </w:p>
        </w:tc>
        <w:tc>
          <w:tcPr>
            <w:tcW w:w="20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B05BA9">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手持式应急收费系统实施</w:t>
            </w:r>
          </w:p>
        </w:tc>
        <w:tc>
          <w:tcPr>
            <w:tcW w:w="12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25C2BF">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D0448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车道</w:t>
            </w:r>
          </w:p>
        </w:tc>
        <w:tc>
          <w:tcPr>
            <w:tcW w:w="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6634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8</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E840DC0">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1350.00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6EDAF833">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9CDA80F">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0A053AB9">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明巢3套、来六4套、滁合1套</w:t>
            </w:r>
          </w:p>
        </w:tc>
      </w:tr>
      <w:tr w14:paraId="642863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E5BD4">
            <w:pPr>
              <w:keepNext w:val="0"/>
              <w:keepLines w:val="0"/>
              <w:pageBreakBefore w:val="0"/>
              <w:kinsoku/>
              <w:overflowPunct/>
              <w:topLinePunct w:val="0"/>
              <w:autoSpaceDE/>
              <w:autoSpaceDN/>
              <w:bidi w:val="0"/>
              <w:adjustRightInd/>
              <w:snapToGrid/>
              <w:spacing w:line="44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20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7F89DC">
            <w:pPr>
              <w:keepNext w:val="0"/>
              <w:keepLines w:val="0"/>
              <w:pageBreakBefore w:val="0"/>
              <w:kinsoku/>
              <w:overflowPunct/>
              <w:topLinePunct w:val="0"/>
              <w:autoSpaceDE/>
              <w:autoSpaceDN/>
              <w:bidi w:val="0"/>
              <w:adjustRightInd/>
              <w:snapToGrid/>
              <w:spacing w:line="440" w:lineRule="exact"/>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ETC门架系统部署</w:t>
            </w:r>
          </w:p>
        </w:tc>
        <w:tc>
          <w:tcPr>
            <w:tcW w:w="12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02C000">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F31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48982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58265E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500</w:t>
            </w:r>
            <w:r>
              <w:rPr>
                <w:rFonts w:hint="eastAsia" w:ascii="宋体" w:hAnsi="宋体" w:cs="宋体"/>
                <w:i w:val="0"/>
                <w:iCs w:val="0"/>
                <w:color w:val="auto"/>
                <w:kern w:val="0"/>
                <w:sz w:val="22"/>
                <w:szCs w:val="22"/>
                <w:highlight w:val="none"/>
                <w:u w:val="none"/>
                <w:lang w:val="en-US" w:eastAsia="zh-CN" w:bidi="ar"/>
              </w:rPr>
              <w:t>0.00</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02B419A4">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48FEF4C6">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68C958EE">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明巢4套、来六6套（其中4套为省界门架）、滁合2套</w:t>
            </w:r>
          </w:p>
        </w:tc>
      </w:tr>
      <w:tr w14:paraId="01A659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9751" w:type="dxa"/>
            <w:gridSpan w:val="9"/>
            <w:tcBorders>
              <w:top w:val="single" w:color="auto" w:sz="4" w:space="0"/>
              <w:left w:val="single" w:color="auto" w:sz="4" w:space="0"/>
              <w:bottom w:val="single" w:color="auto" w:sz="4" w:space="0"/>
              <w:right w:val="single" w:color="auto" w:sz="4" w:space="0"/>
            </w:tcBorders>
            <w:shd w:val="clear" w:color="auto" w:fill="auto"/>
            <w:noWrap w:val="0"/>
            <w:vAlign w:val="center"/>
          </w:tcPr>
          <w:p w14:paraId="66BF3BF8">
            <w:pPr>
              <w:spacing w:line="300" w:lineRule="exact"/>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四、其他</w:t>
            </w:r>
          </w:p>
        </w:tc>
      </w:tr>
      <w:tr w14:paraId="097796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63F0AC">
            <w:pPr>
              <w:keepNext w:val="0"/>
              <w:keepLines w:val="0"/>
              <w:widowControl/>
              <w:suppressLineNumbers w:val="0"/>
              <w:jc w:val="center"/>
              <w:textAlignment w:val="center"/>
              <w:rPr>
                <w:rFonts w:hint="default" w:ascii="宋体" w:hAnsi="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17</w:t>
            </w:r>
          </w:p>
        </w:tc>
        <w:tc>
          <w:tcPr>
            <w:tcW w:w="20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496D07">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培训费</w:t>
            </w:r>
          </w:p>
        </w:tc>
        <w:tc>
          <w:tcPr>
            <w:tcW w:w="12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B59975">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D641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站</w:t>
            </w:r>
          </w:p>
        </w:tc>
        <w:tc>
          <w:tcPr>
            <w:tcW w:w="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00C6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6</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0E0AE4A">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1500.00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78C37601">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146633E5">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44E2359E">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明巢3站、来六2站、滁合1站</w:t>
            </w:r>
          </w:p>
        </w:tc>
      </w:tr>
      <w:tr w14:paraId="459262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74B943">
            <w:pPr>
              <w:keepNext w:val="0"/>
              <w:keepLines w:val="0"/>
              <w:widowControl/>
              <w:suppressLineNumbers w:val="0"/>
              <w:jc w:val="center"/>
              <w:textAlignment w:val="center"/>
              <w:rPr>
                <w:rFonts w:hint="default" w:ascii="宋体" w:hAnsi="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18</w:t>
            </w:r>
          </w:p>
        </w:tc>
        <w:tc>
          <w:tcPr>
            <w:tcW w:w="20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1D8D65">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cs="宋体"/>
                <w:i w:val="0"/>
                <w:iCs w:val="0"/>
                <w:color w:val="auto"/>
                <w:kern w:val="0"/>
                <w:sz w:val="21"/>
                <w:szCs w:val="21"/>
                <w:highlight w:val="none"/>
                <w:u w:val="none"/>
                <w:lang w:val="en-US" w:eastAsia="zh-CN" w:bidi="ar"/>
              </w:rPr>
              <w:t>系统数据维护费</w:t>
            </w:r>
          </w:p>
        </w:tc>
        <w:tc>
          <w:tcPr>
            <w:tcW w:w="12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C572C4">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9C555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站</w:t>
            </w:r>
          </w:p>
        </w:tc>
        <w:tc>
          <w:tcPr>
            <w:tcW w:w="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B576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6</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FCCC707">
            <w:pPr>
              <w:keepNext w:val="0"/>
              <w:keepLines w:val="0"/>
              <w:widowControl/>
              <w:suppressLineNumbers w:val="0"/>
              <w:jc w:val="center"/>
              <w:textAlignment w:val="center"/>
              <w:rPr>
                <w:rFonts w:hint="eastAsia" w:ascii="宋体" w:hAnsi="宋体"/>
                <w:color w:val="auto"/>
                <w:sz w:val="21"/>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2500.00 </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7A3E56FD">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14F3586E">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1523A313">
            <w:pPr>
              <w:spacing w:line="300" w:lineRule="exact"/>
              <w:jc w:val="center"/>
              <w:rPr>
                <w:rFonts w:hint="eastAsia" w:ascii="宋体" w:hAnsi="宋体"/>
                <w:color w:val="auto"/>
                <w:sz w:val="21"/>
                <w:szCs w:val="21"/>
                <w:highlight w:val="none"/>
              </w:rPr>
            </w:pPr>
            <w:r>
              <w:rPr>
                <w:rFonts w:hint="eastAsia" w:ascii="宋体" w:hAnsi="宋体"/>
                <w:color w:val="auto"/>
                <w:sz w:val="21"/>
                <w:szCs w:val="21"/>
                <w:highlight w:val="none"/>
              </w:rPr>
              <w:t>明巢3站、来六2站、滁合1站</w:t>
            </w:r>
          </w:p>
        </w:tc>
      </w:tr>
      <w:tr w14:paraId="1C4D2A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6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F5D46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19</w:t>
            </w:r>
          </w:p>
        </w:tc>
        <w:tc>
          <w:tcPr>
            <w:tcW w:w="20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8AA92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安全措施费</w:t>
            </w:r>
          </w:p>
        </w:tc>
        <w:tc>
          <w:tcPr>
            <w:tcW w:w="12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83C616">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09A40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路段</w:t>
            </w:r>
          </w:p>
        </w:tc>
        <w:tc>
          <w:tcPr>
            <w:tcW w:w="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81F37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23C416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10000.00</w:t>
            </w:r>
          </w:p>
        </w:tc>
        <w:tc>
          <w:tcPr>
            <w:tcW w:w="769" w:type="dxa"/>
            <w:tcBorders>
              <w:top w:val="single" w:color="auto" w:sz="4" w:space="0"/>
              <w:left w:val="single" w:color="auto" w:sz="4" w:space="0"/>
              <w:bottom w:val="single" w:color="auto" w:sz="4" w:space="0"/>
              <w:right w:val="single" w:color="auto" w:sz="4" w:space="0"/>
            </w:tcBorders>
            <w:noWrap w:val="0"/>
            <w:vAlign w:val="center"/>
          </w:tcPr>
          <w:p w14:paraId="1F6FF12F">
            <w:pPr>
              <w:spacing w:line="300" w:lineRule="exact"/>
              <w:jc w:val="center"/>
              <w:rPr>
                <w:rFonts w:hint="eastAsia" w:ascii="宋体" w:hAnsi="宋体"/>
                <w:color w:val="auto"/>
                <w:sz w:val="21"/>
                <w:szCs w:val="21"/>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7C90F5A">
            <w:pPr>
              <w:spacing w:line="300" w:lineRule="exact"/>
              <w:jc w:val="center"/>
              <w:rPr>
                <w:rFonts w:hint="eastAsia" w:ascii="宋体" w:hAnsi="宋体"/>
                <w:color w:val="auto"/>
                <w:sz w:val="21"/>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14:paraId="77E88333">
            <w:pPr>
              <w:spacing w:line="300" w:lineRule="exact"/>
              <w:jc w:val="center"/>
              <w:rPr>
                <w:rFonts w:hint="eastAsia" w:ascii="宋体" w:hAnsi="宋体"/>
                <w:color w:val="auto"/>
                <w:sz w:val="21"/>
                <w:szCs w:val="21"/>
                <w:highlight w:val="none"/>
              </w:rPr>
            </w:pPr>
          </w:p>
        </w:tc>
      </w:tr>
      <w:tr w14:paraId="0E82D7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9751" w:type="dxa"/>
            <w:gridSpan w:val="9"/>
            <w:tcBorders>
              <w:top w:val="single" w:color="auto" w:sz="4" w:space="0"/>
              <w:left w:val="single" w:color="auto" w:sz="4" w:space="0"/>
              <w:bottom w:val="single" w:color="auto" w:sz="4" w:space="0"/>
              <w:right w:val="single" w:color="auto" w:sz="4" w:space="0"/>
            </w:tcBorders>
            <w:noWrap w:val="0"/>
            <w:vAlign w:val="center"/>
          </w:tcPr>
          <w:p w14:paraId="65284E87">
            <w:pPr>
              <w:spacing w:line="300" w:lineRule="exact"/>
              <w:jc w:val="center"/>
              <w:rPr>
                <w:rFonts w:hint="eastAsia" w:ascii="宋体" w:hAnsi="宋体"/>
                <w:color w:val="auto"/>
                <w:sz w:val="24"/>
                <w:highlight w:val="none"/>
              </w:rPr>
            </w:pPr>
            <w:r>
              <w:rPr>
                <w:rFonts w:hint="eastAsia" w:ascii="宋体" w:hAnsi="宋体"/>
                <w:b/>
                <w:color w:val="auto"/>
                <w:sz w:val="24"/>
                <w:highlight w:val="none"/>
              </w:rPr>
              <w:t>投标报价（1+2</w:t>
            </w:r>
            <w:r>
              <w:rPr>
                <w:rFonts w:hint="eastAsia" w:ascii="宋体" w:hAnsi="宋体"/>
                <w:b/>
                <w:color w:val="auto"/>
                <w:sz w:val="24"/>
                <w:highlight w:val="none"/>
                <w:lang w:val="en-US" w:eastAsia="zh-CN"/>
              </w:rPr>
              <w:t>+...+19</w:t>
            </w:r>
            <w:r>
              <w:rPr>
                <w:rFonts w:hint="eastAsia" w:ascii="宋体" w:hAnsi="宋体"/>
                <w:b/>
                <w:color w:val="auto"/>
                <w:sz w:val="24"/>
                <w:highlight w:val="none"/>
              </w:rPr>
              <w:t>）：</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元；（填入投标函和开标一览表）</w:t>
            </w:r>
          </w:p>
        </w:tc>
      </w:tr>
    </w:tbl>
    <w:p w14:paraId="562F1207">
      <w:pPr>
        <w:spacing w:line="440" w:lineRule="exact"/>
        <w:ind w:firstLine="420" w:firstLineChars="200"/>
        <w:jc w:val="left"/>
        <w:rPr>
          <w:rFonts w:hint="eastAsia" w:ascii="宋体" w:hAnsi="宋体" w:cs="宋体"/>
          <w:color w:val="auto"/>
          <w:szCs w:val="21"/>
          <w:highlight w:val="none"/>
          <w:lang w:val="zh-CN"/>
        </w:rPr>
      </w:pPr>
    </w:p>
    <w:p w14:paraId="63D47335">
      <w:pPr>
        <w:spacing w:line="440" w:lineRule="exact"/>
        <w:ind w:firstLine="420" w:firstLineChars="20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注：1.所有投标只能选择一种方案，单价和合价的报价只能是唯一，且须列出详细的分项报价。（与采购清单项相一致，不得缺项，否则视同包含在其他项目。）</w:t>
      </w:r>
    </w:p>
    <w:p w14:paraId="779F2003">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宋体" w:hAnsi="宋体" w:eastAsia="宋体" w:cs="宋体"/>
          <w:color w:val="auto"/>
          <w:sz w:val="24"/>
          <w:highlight w:val="none"/>
          <w:lang w:val="en-US" w:eastAsia="zh-CN"/>
        </w:rPr>
      </w:pPr>
      <w:r>
        <w:rPr>
          <w:rFonts w:hint="eastAsia" w:ascii="宋体" w:hAnsi="宋体" w:cs="宋体"/>
          <w:color w:val="auto"/>
          <w:szCs w:val="21"/>
          <w:highlight w:val="none"/>
        </w:rPr>
        <w:t>2.</w:t>
      </w:r>
      <w:r>
        <w:rPr>
          <w:rFonts w:hint="eastAsia" w:ascii="宋体" w:hAnsi="宋体" w:cs="宋体"/>
          <w:color w:val="auto"/>
          <w:szCs w:val="21"/>
          <w:highlight w:val="none"/>
          <w:lang w:val="zh-CN"/>
        </w:rPr>
        <w:t>投标报价采用综合单价法，</w:t>
      </w:r>
      <w:r>
        <w:rPr>
          <w:rFonts w:hint="eastAsia" w:ascii="宋体"/>
          <w:b/>
          <w:bCs/>
          <w:color w:val="auto"/>
          <w:szCs w:val="21"/>
          <w:highlight w:val="none"/>
        </w:rPr>
        <w:t>综合单价包括：设备费、材料费（主材和辅材）、施工费、装卸费、运输费、安装费、实施过程中所需第三方检测等费用、管理费、利润、风险费用、招标代理费、调试、培训及后期服务及国家对中标单位征收的各种税费等所有一切费用，综合单价今后将不作任何调整</w:t>
      </w:r>
      <w:r>
        <w:rPr>
          <w:rFonts w:hint="eastAsia" w:ascii="宋体" w:hAnsi="宋体" w:cs="宋体"/>
          <w:color w:val="auto"/>
          <w:sz w:val="24"/>
          <w:highlight w:val="none"/>
          <w:lang w:val="en-US" w:eastAsia="zh-CN"/>
        </w:rPr>
        <w:t>。</w:t>
      </w:r>
    </w:p>
    <w:p w14:paraId="2D7F25E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highlight w:val="none"/>
        </w:rPr>
      </w:pPr>
    </w:p>
    <w:p w14:paraId="220E16F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（签章）</w:t>
      </w:r>
    </w:p>
    <w:p w14:paraId="14739C6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投标人法定代表人</w:t>
      </w:r>
      <w:r>
        <w:rPr>
          <w:rFonts w:hint="eastAsia" w:ascii="宋体" w:hAnsi="宋体" w:eastAsia="宋体" w:cs="宋体"/>
          <w:color w:val="auto"/>
          <w:sz w:val="24"/>
          <w:highlight w:val="none"/>
          <w:lang w:val="en-US" w:eastAsia="zh-CN"/>
        </w:rPr>
        <w:t>或委托代理人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（签章）</w:t>
      </w:r>
    </w:p>
    <w:p w14:paraId="1D92A04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年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月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773D6FDF">
      <w:pPr>
        <w:shd w:val="clear"/>
        <w:spacing w:line="380" w:lineRule="exact"/>
        <w:ind w:firstLine="649" w:firstLineChars="202"/>
        <w:rPr>
          <w:rFonts w:hint="eastAsia" w:ascii="宋体" w:hAnsi="宋体" w:eastAsia="宋体" w:cs="宋体"/>
          <w:b/>
          <w:bCs/>
          <w:color w:val="auto"/>
          <w:sz w:val="28"/>
          <w:szCs w:val="28"/>
          <w:highlight w:val="none"/>
          <w:lang w:eastAsia="zh-CN"/>
        </w:rPr>
      </w:pPr>
      <w:r>
        <w:rPr>
          <w:rFonts w:hint="eastAsia" w:ascii="宋体" w:hAnsi="宋体" w:eastAsia="宋体" w:cs="宋体"/>
          <w:b/>
          <w:color w:val="auto"/>
          <w:sz w:val="32"/>
          <w:szCs w:val="32"/>
          <w:highlight w:val="none"/>
          <w:lang w:val="en-US" w:eastAsia="zh-CN"/>
        </w:rPr>
        <w:br w:type="page"/>
      </w:r>
    </w:p>
    <w:p w14:paraId="18F1F4DE">
      <w:pPr>
        <w:shd w:val="clear"/>
        <w:spacing w:line="380" w:lineRule="exact"/>
        <w:rPr>
          <w:rFonts w:hint="eastAsia" w:ascii="宋体" w:hAnsi="宋体" w:eastAsia="宋体" w:cs="宋体"/>
          <w:b/>
          <w:color w:val="auto"/>
          <w:sz w:val="30"/>
          <w:szCs w:val="30"/>
          <w:highlight w:val="none"/>
        </w:rPr>
      </w:pPr>
    </w:p>
    <w:p w14:paraId="6BFE5665">
      <w:pPr>
        <w:shd w:val="clear"/>
        <w:spacing w:line="380" w:lineRule="exact"/>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rPr>
        <w:t>附件</w:t>
      </w:r>
      <w:r>
        <w:rPr>
          <w:rFonts w:hint="eastAsia" w:ascii="宋体" w:hAnsi="宋体" w:eastAsia="宋体" w:cs="宋体"/>
          <w:b/>
          <w:color w:val="auto"/>
          <w:sz w:val="30"/>
          <w:szCs w:val="30"/>
          <w:highlight w:val="none"/>
          <w:lang w:val="en-US" w:eastAsia="zh-CN"/>
        </w:rPr>
        <w:t xml:space="preserve">4 </w:t>
      </w:r>
    </w:p>
    <w:p w14:paraId="11506C2A">
      <w:pPr>
        <w:shd w:val="clear"/>
        <w:spacing w:line="380" w:lineRule="exact"/>
        <w:ind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投标人认为需要提供的其他材料（如有）。</w:t>
      </w:r>
    </w:p>
    <w:p w14:paraId="7B86369D">
      <w:pPr>
        <w:shd w:val="clear"/>
        <w:spacing w:line="380" w:lineRule="exact"/>
        <w:ind w:firstLine="568" w:firstLineChars="202"/>
        <w:rPr>
          <w:rFonts w:hint="eastAsia" w:ascii="宋体" w:hAnsi="宋体" w:eastAsia="宋体" w:cs="宋体"/>
          <w:b/>
          <w:bCs/>
          <w:color w:val="auto"/>
          <w:sz w:val="28"/>
          <w:szCs w:val="28"/>
          <w:highlight w:val="none"/>
          <w:lang w:eastAsia="zh-CN"/>
        </w:rPr>
      </w:pPr>
    </w:p>
    <w:p w14:paraId="0F5755ED">
      <w:pPr>
        <w:widowControl/>
        <w:shd w:val="clear"/>
        <w:autoSpaceDE w:val="0"/>
        <w:spacing w:line="480" w:lineRule="exact"/>
        <w:ind w:firstLine="420" w:firstLineChars="200"/>
        <w:jc w:val="center"/>
        <w:textAlignment w:val="baseline"/>
        <w:rPr>
          <w:rFonts w:hint="eastAsia" w:ascii="宋体" w:hAnsi="宋体" w:eastAsia="宋体" w:cs="宋体"/>
          <w:b/>
          <w:bCs/>
          <w:color w:val="auto"/>
          <w:sz w:val="32"/>
          <w:szCs w:val="32"/>
          <w:highlight w:val="none"/>
          <w:u w:val="none"/>
          <w:lang w:val="en-US" w:eastAsia="zh-CN"/>
        </w:rPr>
      </w:pPr>
      <w:r>
        <w:rPr>
          <w:rFonts w:hint="eastAsia" w:ascii="宋体" w:hAnsi="宋体" w:eastAsia="宋体" w:cs="宋体"/>
          <w:color w:val="auto"/>
          <w:highlight w:val="none"/>
        </w:rPr>
        <w:br w:type="page"/>
      </w:r>
      <w:bookmarkStart w:id="118" w:name="_Toc25631"/>
      <w:bookmarkStart w:id="119" w:name="_Toc449028957"/>
      <w:bookmarkStart w:id="120" w:name="_Toc58430333"/>
      <w:r>
        <w:rPr>
          <w:rFonts w:hint="eastAsia" w:ascii="宋体" w:hAnsi="宋体" w:eastAsia="宋体" w:cs="宋体"/>
          <w:b/>
          <w:bCs/>
          <w:color w:val="auto"/>
          <w:sz w:val="32"/>
          <w:szCs w:val="32"/>
          <w:highlight w:val="none"/>
          <w:u w:val="none"/>
          <w:lang w:val="en-US" w:eastAsia="zh-CN"/>
        </w:rPr>
        <w:t>第七章 招标人、采购代理机构对本招标文件的确认</w:t>
      </w:r>
      <w:bookmarkEnd w:id="118"/>
      <w:bookmarkEnd w:id="119"/>
      <w:bookmarkEnd w:id="120"/>
    </w:p>
    <w:p w14:paraId="0E98DD9E">
      <w:pPr>
        <w:shd w:val="clear"/>
        <w:spacing w:line="440" w:lineRule="exact"/>
        <w:rPr>
          <w:rFonts w:hint="eastAsia" w:ascii="宋体" w:hAnsi="宋体" w:eastAsia="宋体" w:cs="宋体"/>
          <w:color w:val="auto"/>
          <w:sz w:val="24"/>
          <w:highlight w:val="none"/>
          <w:u w:val="single"/>
        </w:rPr>
      </w:pPr>
    </w:p>
    <w:bookmarkEnd w:id="0"/>
    <w:tbl>
      <w:tblPr>
        <w:tblStyle w:val="35"/>
        <w:tblW w:w="0" w:type="auto"/>
        <w:jc w:val="center"/>
        <w:tblLayout w:type="fixed"/>
        <w:tblCellMar>
          <w:top w:w="0" w:type="dxa"/>
          <w:left w:w="108" w:type="dxa"/>
          <w:bottom w:w="0" w:type="dxa"/>
          <w:right w:w="108" w:type="dxa"/>
        </w:tblCellMar>
      </w:tblPr>
      <w:tblGrid>
        <w:gridCol w:w="9460"/>
      </w:tblGrid>
      <w:tr w14:paraId="60950CED">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tcPr>
          <w:p w14:paraId="0F2AD7A3">
            <w:pPr>
              <w:shd w:val="clear"/>
              <w:spacing w:line="440" w:lineRule="exact"/>
              <w:ind w:firstLine="560" w:firstLineChars="200"/>
              <w:rPr>
                <w:rFonts w:hint="eastAsia" w:ascii="宋体" w:hAnsi="宋体" w:eastAsia="宋体" w:cs="宋体"/>
                <w:color w:val="auto"/>
                <w:sz w:val="28"/>
                <w:szCs w:val="28"/>
                <w:highlight w:val="none"/>
              </w:rPr>
            </w:pPr>
          </w:p>
          <w:p w14:paraId="50D25ADE">
            <w:pPr>
              <w:shd w:val="clear"/>
              <w:spacing w:afterLine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我单位对</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明巢、来六、滁合高速“手机+”无卡便捷通行升级改造项目</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的招标文件进行确认。</w:t>
            </w:r>
          </w:p>
          <w:p w14:paraId="6506FE6B">
            <w:pPr>
              <w:shd w:val="clear"/>
              <w:spacing w:line="54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招标单位：</w:t>
            </w:r>
            <w:r>
              <w:rPr>
                <w:rFonts w:hint="eastAsia" w:ascii="宋体" w:hAnsi="宋体" w:eastAsia="宋体" w:cs="宋体"/>
                <w:color w:val="auto"/>
                <w:sz w:val="28"/>
                <w:szCs w:val="28"/>
                <w:highlight w:val="none"/>
                <w:lang w:eastAsia="zh-CN"/>
              </w:rPr>
              <w:t>滁州市城投交通控股有限公司</w:t>
            </w:r>
          </w:p>
          <w:p w14:paraId="5C77EA09">
            <w:pPr>
              <w:shd w:val="clear"/>
              <w:spacing w:line="54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委托代理人：</w:t>
            </w:r>
            <w:r>
              <w:rPr>
                <w:rFonts w:hint="eastAsia" w:ascii="宋体" w:hAnsi="宋体" w:eastAsia="宋体" w:cs="宋体"/>
                <w:color w:val="auto"/>
                <w:sz w:val="28"/>
                <w:szCs w:val="28"/>
                <w:highlight w:val="none"/>
                <w:lang w:eastAsia="zh-CN"/>
              </w:rPr>
              <w:t>孙</w:t>
            </w:r>
            <w:r>
              <w:rPr>
                <w:rFonts w:hint="eastAsia" w:ascii="宋体" w:hAnsi="宋体" w:cs="宋体"/>
                <w:color w:val="auto"/>
                <w:sz w:val="28"/>
                <w:szCs w:val="28"/>
                <w:highlight w:val="none"/>
                <w:lang w:val="en-US" w:eastAsia="zh-CN"/>
              </w:rPr>
              <w:t>经理</w:t>
            </w:r>
          </w:p>
          <w:p w14:paraId="62E711A2">
            <w:pPr>
              <w:shd w:val="clear"/>
              <w:spacing w:line="5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联系电话：0550-</w:t>
            </w:r>
            <w:r>
              <w:rPr>
                <w:rFonts w:hint="eastAsia" w:ascii="宋体" w:hAnsi="宋体" w:eastAsia="宋体" w:cs="宋体"/>
                <w:color w:val="auto"/>
                <w:sz w:val="28"/>
                <w:szCs w:val="28"/>
                <w:highlight w:val="none"/>
                <w:lang w:val="en-US" w:eastAsia="zh-CN"/>
              </w:rPr>
              <w:t>3500336</w:t>
            </w:r>
          </w:p>
          <w:p w14:paraId="146F6F4B">
            <w:pPr>
              <w:shd w:val="clear"/>
              <w:spacing w:line="540" w:lineRule="exact"/>
              <w:ind w:firstLine="7140" w:firstLineChars="2550"/>
              <w:rPr>
                <w:rFonts w:hint="eastAsia" w:ascii="宋体" w:hAnsi="宋体" w:eastAsia="宋体" w:cs="宋体"/>
                <w:color w:val="auto"/>
                <w:sz w:val="28"/>
                <w:szCs w:val="28"/>
                <w:highlight w:val="none"/>
              </w:rPr>
            </w:pPr>
          </w:p>
          <w:p w14:paraId="5F895AA1">
            <w:pPr>
              <w:shd w:val="clear"/>
              <w:spacing w:line="540" w:lineRule="exact"/>
              <w:ind w:firstLine="7140" w:firstLineChars="25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（盖单位章）</w:t>
            </w:r>
          </w:p>
          <w:p w14:paraId="4D72797C">
            <w:pPr>
              <w:shd w:val="clear"/>
              <w:spacing w:line="54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rPr>
              <w:t>月</w:t>
            </w:r>
          </w:p>
        </w:tc>
      </w:tr>
      <w:tr w14:paraId="07E8ABDE">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tcPr>
          <w:p w14:paraId="237B8E9E">
            <w:pPr>
              <w:shd w:val="clear"/>
              <w:spacing w:line="440" w:lineRule="exact"/>
              <w:rPr>
                <w:rFonts w:hint="eastAsia" w:ascii="宋体" w:hAnsi="宋体" w:eastAsia="宋体" w:cs="宋体"/>
                <w:color w:val="auto"/>
                <w:sz w:val="28"/>
                <w:szCs w:val="28"/>
                <w:highlight w:val="none"/>
              </w:rPr>
            </w:pPr>
          </w:p>
          <w:p w14:paraId="0C68BBF1">
            <w:pPr>
              <w:shd w:val="clear"/>
              <w:spacing w:line="52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招标代理机构：滁州市城投工程咨询管理有限公司</w:t>
            </w:r>
          </w:p>
          <w:p w14:paraId="056CA4B2">
            <w:pPr>
              <w:shd w:val="clear"/>
              <w:spacing w:line="52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经办人：</w:t>
            </w:r>
            <w:r>
              <w:rPr>
                <w:rFonts w:hint="eastAsia" w:ascii="宋体" w:hAnsi="宋体" w:eastAsia="宋体" w:cs="宋体"/>
                <w:color w:val="auto"/>
                <w:sz w:val="28"/>
                <w:szCs w:val="28"/>
                <w:highlight w:val="none"/>
                <w:lang w:val="en-US" w:eastAsia="zh-CN"/>
              </w:rPr>
              <w:t>关勤勤</w:t>
            </w:r>
          </w:p>
          <w:p w14:paraId="446A1FAB">
            <w:pPr>
              <w:shd w:val="clear"/>
              <w:spacing w:line="52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电  话：0550-3519590、</w:t>
            </w:r>
            <w:r>
              <w:rPr>
                <w:rFonts w:hint="eastAsia" w:ascii="宋体" w:hAnsi="宋体" w:eastAsia="宋体" w:cs="宋体"/>
                <w:color w:val="auto"/>
                <w:sz w:val="28"/>
                <w:szCs w:val="28"/>
                <w:highlight w:val="none"/>
                <w:lang w:val="en-US" w:eastAsia="zh-CN"/>
              </w:rPr>
              <w:t>18909605753</w:t>
            </w:r>
          </w:p>
          <w:p w14:paraId="4C985C29">
            <w:pPr>
              <w:shd w:val="clear"/>
              <w:spacing w:line="520" w:lineRule="exact"/>
              <w:ind w:firstLine="6300" w:firstLineChars="2250"/>
              <w:rPr>
                <w:rFonts w:hint="eastAsia" w:ascii="宋体" w:hAnsi="宋体" w:eastAsia="宋体" w:cs="宋体"/>
                <w:color w:val="auto"/>
                <w:sz w:val="28"/>
                <w:szCs w:val="28"/>
                <w:highlight w:val="none"/>
              </w:rPr>
            </w:pPr>
          </w:p>
          <w:p w14:paraId="40122368">
            <w:pPr>
              <w:pStyle w:val="12"/>
              <w:shd w:val="clear"/>
              <w:rPr>
                <w:rFonts w:hint="eastAsia" w:ascii="宋体" w:hAnsi="宋体" w:eastAsia="宋体" w:cs="宋体"/>
                <w:color w:val="auto"/>
                <w:kern w:val="2"/>
                <w:sz w:val="21"/>
                <w:szCs w:val="24"/>
                <w:highlight w:val="none"/>
              </w:rPr>
            </w:pPr>
          </w:p>
          <w:p w14:paraId="28BFEEE4">
            <w:pPr>
              <w:shd w:val="clear"/>
              <w:spacing w:line="520" w:lineRule="exact"/>
              <w:ind w:firstLine="6580" w:firstLineChars="2350"/>
              <w:rPr>
                <w:rFonts w:hint="eastAsia" w:ascii="宋体" w:hAnsi="宋体" w:eastAsia="宋体" w:cs="宋体"/>
                <w:color w:val="auto"/>
                <w:sz w:val="28"/>
                <w:szCs w:val="28"/>
                <w:highlight w:val="none"/>
              </w:rPr>
            </w:pPr>
          </w:p>
          <w:p w14:paraId="759C71E3">
            <w:pPr>
              <w:shd w:val="clear"/>
              <w:spacing w:line="520" w:lineRule="exact"/>
              <w:ind w:firstLine="7140" w:firstLineChars="25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（盖单位章）</w:t>
            </w:r>
          </w:p>
          <w:p w14:paraId="2713D75B">
            <w:pPr>
              <w:shd w:val="clear"/>
              <w:spacing w:line="54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rPr>
              <w:t>月</w:t>
            </w:r>
          </w:p>
        </w:tc>
      </w:tr>
    </w:tbl>
    <w:p w14:paraId="1EBE9764">
      <w:pPr>
        <w:shd w:val="clear"/>
        <w:rPr>
          <w:rFonts w:hint="eastAsia" w:ascii="宋体" w:hAnsi="宋体" w:eastAsia="宋体" w:cs="宋体"/>
          <w:color w:val="auto"/>
          <w:highlight w:val="none"/>
        </w:rPr>
      </w:pPr>
    </w:p>
    <w:bookmarkEnd w:id="121"/>
    <w:sectPr>
      <w:pgSz w:w="11906" w:h="16838"/>
      <w:pgMar w:top="1361" w:right="1361" w:bottom="1361" w:left="136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Microsoft Sans Serif"/>
    <w:panose1 w:val="00000000000000000000"/>
    <w:charset w:val="00"/>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MS Sans Serif">
    <w:altName w:val="Segoe Print"/>
    <w:panose1 w:val="020B05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507BB">
    <w:pPr>
      <w:pStyle w:val="23"/>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E7165">
    <w:pPr>
      <w:pStyle w:val="23"/>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7512F">
                          <w:pPr>
                            <w:pStyle w:val="2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E97512F">
                    <w:pPr>
                      <w:pStyle w:val="23"/>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36D38">
    <w:pPr>
      <w:pStyle w:val="2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6D74">
    <w:pPr>
      <w:pStyle w:val="2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862E8C"/>
    <w:multiLevelType w:val="singleLevel"/>
    <w:tmpl w:val="A9862E8C"/>
    <w:lvl w:ilvl="0" w:tentative="0">
      <w:start w:val="1"/>
      <w:numFmt w:val="decimal"/>
      <w:suff w:val="nothing"/>
      <w:lvlText w:val="（%1）"/>
      <w:lvlJc w:val="left"/>
    </w:lvl>
  </w:abstractNum>
  <w:abstractNum w:abstractNumId="1">
    <w:nsid w:val="00000005"/>
    <w:multiLevelType w:val="multilevel"/>
    <w:tmpl w:val="00000005"/>
    <w:lvl w:ilvl="0" w:tentative="0">
      <w:start w:val="1"/>
      <w:numFmt w:val="chineseCountingThousand"/>
      <w:pStyle w:val="103"/>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00000007"/>
    <w:multiLevelType w:val="multilevel"/>
    <w:tmpl w:val="00000007"/>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decimal"/>
      <w:pStyle w:val="96"/>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2"/>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5">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6">
    <w:nsid w:val="00000012"/>
    <w:multiLevelType w:val="multilevel"/>
    <w:tmpl w:val="00000012"/>
    <w:lvl w:ilvl="0" w:tentative="0">
      <w:start w:val="1"/>
      <w:numFmt w:val="chineseCountingThousand"/>
      <w:pStyle w:val="119"/>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7">
    <w:nsid w:val="00000014"/>
    <w:multiLevelType w:val="multilevel"/>
    <w:tmpl w:val="00000014"/>
    <w:lvl w:ilvl="0" w:tentative="0">
      <w:start w:val="1"/>
      <w:numFmt w:val="decimal"/>
      <w:pStyle w:val="26"/>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E8E588"/>
    <w:multiLevelType w:val="singleLevel"/>
    <w:tmpl w:val="58E8E588"/>
    <w:lvl w:ilvl="0" w:tentative="0">
      <w:start w:val="1"/>
      <w:numFmt w:val="decimal"/>
      <w:lvlText w:val="%1."/>
      <w:lvlJc w:val="left"/>
      <w:pPr>
        <w:ind w:left="425" w:hanging="425"/>
      </w:pPr>
      <w:rPr>
        <w:rFonts w:hint="default"/>
      </w:rPr>
    </w:lvl>
  </w:abstractNum>
  <w:abstractNum w:abstractNumId="9">
    <w:nsid w:val="7727618F"/>
    <w:multiLevelType w:val="singleLevel"/>
    <w:tmpl w:val="7727618F"/>
    <w:lvl w:ilvl="0" w:tentative="0">
      <w:start w:val="2"/>
      <w:numFmt w:val="chineseCounting"/>
      <w:suff w:val="nothing"/>
      <w:lvlText w:val="%1、"/>
      <w:lvlJc w:val="left"/>
      <w:rPr>
        <w:rFonts w:hint="eastAsia"/>
      </w:rPr>
    </w:lvl>
  </w:abstractNum>
  <w:abstractNum w:abstractNumId="10">
    <w:nsid w:val="78460BCF"/>
    <w:multiLevelType w:val="singleLevel"/>
    <w:tmpl w:val="78460BCF"/>
    <w:lvl w:ilvl="0" w:tentative="0">
      <w:start w:val="4"/>
      <w:numFmt w:val="chineseCounting"/>
      <w:suff w:val="space"/>
      <w:lvlText w:val="第%1章"/>
      <w:lvlJc w:val="left"/>
      <w:rPr>
        <w:rFonts w:hint="eastAsia"/>
      </w:rPr>
    </w:lvl>
  </w:abstractNum>
  <w:num w:numId="1">
    <w:abstractNumId w:val="4"/>
  </w:num>
  <w:num w:numId="2">
    <w:abstractNumId w:val="5"/>
  </w:num>
  <w:num w:numId="3">
    <w:abstractNumId w:val="7"/>
  </w:num>
  <w:num w:numId="4">
    <w:abstractNumId w:val="2"/>
  </w:num>
  <w:num w:numId="5">
    <w:abstractNumId w:val="3"/>
  </w:num>
  <w:num w:numId="6">
    <w:abstractNumId w:val="1"/>
  </w:num>
  <w:num w:numId="7">
    <w:abstractNumId w:val="6"/>
  </w:num>
  <w:num w:numId="8">
    <w:abstractNumId w:val="10"/>
  </w:num>
  <w:num w:numId="9">
    <w:abstractNumId w:val="9"/>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revisionView w:markup="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MGI3YTdkMjVkZTZjM2ZjZTQ5YjMxYTJjZjRlOWEifQ=="/>
  </w:docVars>
  <w:rsids>
    <w:rsidRoot w:val="00172A27"/>
    <w:rsid w:val="000126F2"/>
    <w:rsid w:val="00086696"/>
    <w:rsid w:val="0009024D"/>
    <w:rsid w:val="000F5645"/>
    <w:rsid w:val="00115C78"/>
    <w:rsid w:val="00153AFF"/>
    <w:rsid w:val="00172A27"/>
    <w:rsid w:val="00186C2B"/>
    <w:rsid w:val="00212728"/>
    <w:rsid w:val="00233C4E"/>
    <w:rsid w:val="00251036"/>
    <w:rsid w:val="002E50F8"/>
    <w:rsid w:val="003225FB"/>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5C1BE9"/>
    <w:rsid w:val="00620A2A"/>
    <w:rsid w:val="00677F31"/>
    <w:rsid w:val="0069368B"/>
    <w:rsid w:val="0074554D"/>
    <w:rsid w:val="007678C6"/>
    <w:rsid w:val="007D541D"/>
    <w:rsid w:val="007F45BE"/>
    <w:rsid w:val="008005F7"/>
    <w:rsid w:val="008201B4"/>
    <w:rsid w:val="00833AB6"/>
    <w:rsid w:val="00853109"/>
    <w:rsid w:val="008766D7"/>
    <w:rsid w:val="008C7661"/>
    <w:rsid w:val="008E0C60"/>
    <w:rsid w:val="009255FE"/>
    <w:rsid w:val="009269A2"/>
    <w:rsid w:val="009343AA"/>
    <w:rsid w:val="00937817"/>
    <w:rsid w:val="00977B14"/>
    <w:rsid w:val="009B2C38"/>
    <w:rsid w:val="009D17C8"/>
    <w:rsid w:val="009E196C"/>
    <w:rsid w:val="009F2CCC"/>
    <w:rsid w:val="00A012AB"/>
    <w:rsid w:val="00A54152"/>
    <w:rsid w:val="00A67D58"/>
    <w:rsid w:val="00A975DD"/>
    <w:rsid w:val="00AC5855"/>
    <w:rsid w:val="00AF40A6"/>
    <w:rsid w:val="00AF43B5"/>
    <w:rsid w:val="00B406C6"/>
    <w:rsid w:val="00B41BDC"/>
    <w:rsid w:val="00B45701"/>
    <w:rsid w:val="00B502D3"/>
    <w:rsid w:val="00B627A9"/>
    <w:rsid w:val="00B77363"/>
    <w:rsid w:val="00B84EF4"/>
    <w:rsid w:val="00B8500A"/>
    <w:rsid w:val="00BF0751"/>
    <w:rsid w:val="00C069E8"/>
    <w:rsid w:val="00C24AE6"/>
    <w:rsid w:val="00C2723E"/>
    <w:rsid w:val="00C57688"/>
    <w:rsid w:val="00C9047B"/>
    <w:rsid w:val="00CD391E"/>
    <w:rsid w:val="00CD4DF4"/>
    <w:rsid w:val="00CF1FFF"/>
    <w:rsid w:val="00D24FF0"/>
    <w:rsid w:val="00D25ACB"/>
    <w:rsid w:val="00D46C3D"/>
    <w:rsid w:val="00D50329"/>
    <w:rsid w:val="00D651BA"/>
    <w:rsid w:val="00DD6A62"/>
    <w:rsid w:val="00DD75A2"/>
    <w:rsid w:val="00E4156B"/>
    <w:rsid w:val="00E6284A"/>
    <w:rsid w:val="00E700A9"/>
    <w:rsid w:val="00E70847"/>
    <w:rsid w:val="00E87AA3"/>
    <w:rsid w:val="00F13E63"/>
    <w:rsid w:val="00F21540"/>
    <w:rsid w:val="00F768E1"/>
    <w:rsid w:val="00FC3E1B"/>
    <w:rsid w:val="00FF16F3"/>
    <w:rsid w:val="01154EDD"/>
    <w:rsid w:val="016947F9"/>
    <w:rsid w:val="016E2F6B"/>
    <w:rsid w:val="01826A17"/>
    <w:rsid w:val="01CB7DA6"/>
    <w:rsid w:val="01D9415D"/>
    <w:rsid w:val="01DA5E9C"/>
    <w:rsid w:val="01DB6127"/>
    <w:rsid w:val="01DE01EE"/>
    <w:rsid w:val="0219028B"/>
    <w:rsid w:val="022E6257"/>
    <w:rsid w:val="023850C1"/>
    <w:rsid w:val="02477318"/>
    <w:rsid w:val="0255285E"/>
    <w:rsid w:val="026B1259"/>
    <w:rsid w:val="02827B99"/>
    <w:rsid w:val="02902D2A"/>
    <w:rsid w:val="029F2E1F"/>
    <w:rsid w:val="02BC3AEB"/>
    <w:rsid w:val="02D079EE"/>
    <w:rsid w:val="02E1227E"/>
    <w:rsid w:val="02E54D69"/>
    <w:rsid w:val="02F254D6"/>
    <w:rsid w:val="02F53218"/>
    <w:rsid w:val="030355FF"/>
    <w:rsid w:val="0341645D"/>
    <w:rsid w:val="035241C7"/>
    <w:rsid w:val="036D7252"/>
    <w:rsid w:val="037E320E"/>
    <w:rsid w:val="038A570F"/>
    <w:rsid w:val="039C407F"/>
    <w:rsid w:val="039E11BA"/>
    <w:rsid w:val="03A2514E"/>
    <w:rsid w:val="03B409DD"/>
    <w:rsid w:val="03C03826"/>
    <w:rsid w:val="03C30C20"/>
    <w:rsid w:val="03D1158F"/>
    <w:rsid w:val="03D96696"/>
    <w:rsid w:val="03DB41BC"/>
    <w:rsid w:val="03EF7C67"/>
    <w:rsid w:val="03FE7EAB"/>
    <w:rsid w:val="041C543C"/>
    <w:rsid w:val="04221DEB"/>
    <w:rsid w:val="04435676"/>
    <w:rsid w:val="044E498E"/>
    <w:rsid w:val="04651CD8"/>
    <w:rsid w:val="046A5576"/>
    <w:rsid w:val="04754611"/>
    <w:rsid w:val="048760F2"/>
    <w:rsid w:val="04A942BA"/>
    <w:rsid w:val="04AB3862"/>
    <w:rsid w:val="04BF3332"/>
    <w:rsid w:val="04ED2C18"/>
    <w:rsid w:val="04F01EE9"/>
    <w:rsid w:val="04F76DD4"/>
    <w:rsid w:val="05085485"/>
    <w:rsid w:val="050B6D23"/>
    <w:rsid w:val="053242B0"/>
    <w:rsid w:val="05373674"/>
    <w:rsid w:val="053E4A03"/>
    <w:rsid w:val="05455577"/>
    <w:rsid w:val="05465FAD"/>
    <w:rsid w:val="054B0F4A"/>
    <w:rsid w:val="058F1702"/>
    <w:rsid w:val="05A351AD"/>
    <w:rsid w:val="05DE3CE5"/>
    <w:rsid w:val="05E82BC0"/>
    <w:rsid w:val="05F01FE2"/>
    <w:rsid w:val="05F477B7"/>
    <w:rsid w:val="061816F7"/>
    <w:rsid w:val="062278D0"/>
    <w:rsid w:val="06370ACC"/>
    <w:rsid w:val="06624721"/>
    <w:rsid w:val="06632AA3"/>
    <w:rsid w:val="067A13EB"/>
    <w:rsid w:val="06836B5F"/>
    <w:rsid w:val="06A55ADF"/>
    <w:rsid w:val="06A64F55"/>
    <w:rsid w:val="06C453DB"/>
    <w:rsid w:val="06D82C35"/>
    <w:rsid w:val="06DA075B"/>
    <w:rsid w:val="06F224DF"/>
    <w:rsid w:val="06F9554A"/>
    <w:rsid w:val="070659F4"/>
    <w:rsid w:val="0721282E"/>
    <w:rsid w:val="07371FAF"/>
    <w:rsid w:val="075239E7"/>
    <w:rsid w:val="07750484"/>
    <w:rsid w:val="07794418"/>
    <w:rsid w:val="0788465B"/>
    <w:rsid w:val="07950B26"/>
    <w:rsid w:val="07AD2313"/>
    <w:rsid w:val="07B611C8"/>
    <w:rsid w:val="07B76CEE"/>
    <w:rsid w:val="07E0529D"/>
    <w:rsid w:val="07ED2710"/>
    <w:rsid w:val="07F613C5"/>
    <w:rsid w:val="08140B8B"/>
    <w:rsid w:val="08143A40"/>
    <w:rsid w:val="081E6D6D"/>
    <w:rsid w:val="082779ED"/>
    <w:rsid w:val="08293B60"/>
    <w:rsid w:val="082C4FE6"/>
    <w:rsid w:val="08310DFB"/>
    <w:rsid w:val="08362309"/>
    <w:rsid w:val="08395955"/>
    <w:rsid w:val="084A1910"/>
    <w:rsid w:val="084F5934"/>
    <w:rsid w:val="085D1644"/>
    <w:rsid w:val="08607386"/>
    <w:rsid w:val="08713341"/>
    <w:rsid w:val="0873089C"/>
    <w:rsid w:val="088A4403"/>
    <w:rsid w:val="088A5A8D"/>
    <w:rsid w:val="08A13C26"/>
    <w:rsid w:val="08BF40AC"/>
    <w:rsid w:val="08C07429"/>
    <w:rsid w:val="08C26AAD"/>
    <w:rsid w:val="08D13DE0"/>
    <w:rsid w:val="08D35DAA"/>
    <w:rsid w:val="08D51B22"/>
    <w:rsid w:val="08E27D9B"/>
    <w:rsid w:val="08E92ED7"/>
    <w:rsid w:val="08EE00FD"/>
    <w:rsid w:val="08FA50E4"/>
    <w:rsid w:val="092B6141"/>
    <w:rsid w:val="0935241C"/>
    <w:rsid w:val="09524F20"/>
    <w:rsid w:val="097035F9"/>
    <w:rsid w:val="099217C1"/>
    <w:rsid w:val="09963123"/>
    <w:rsid w:val="09981838"/>
    <w:rsid w:val="09B5283E"/>
    <w:rsid w:val="09C166B7"/>
    <w:rsid w:val="09C851E3"/>
    <w:rsid w:val="09CB469C"/>
    <w:rsid w:val="09CF3948"/>
    <w:rsid w:val="09D678FF"/>
    <w:rsid w:val="09E71B0D"/>
    <w:rsid w:val="09EF44EC"/>
    <w:rsid w:val="09F14739"/>
    <w:rsid w:val="0A03621B"/>
    <w:rsid w:val="0A2D3F49"/>
    <w:rsid w:val="0A4708C9"/>
    <w:rsid w:val="0A7A3A07"/>
    <w:rsid w:val="0A8712AB"/>
    <w:rsid w:val="0AA04DDE"/>
    <w:rsid w:val="0AB12DCE"/>
    <w:rsid w:val="0AB45767"/>
    <w:rsid w:val="0AC43BFC"/>
    <w:rsid w:val="0AD16319"/>
    <w:rsid w:val="0AD96F7B"/>
    <w:rsid w:val="0AEC4F01"/>
    <w:rsid w:val="0AF3628F"/>
    <w:rsid w:val="0B20199B"/>
    <w:rsid w:val="0B343101"/>
    <w:rsid w:val="0B4B60CB"/>
    <w:rsid w:val="0B627EDA"/>
    <w:rsid w:val="0B704808"/>
    <w:rsid w:val="0B982B0E"/>
    <w:rsid w:val="0BA94BA0"/>
    <w:rsid w:val="0BAB31B1"/>
    <w:rsid w:val="0BAF62FB"/>
    <w:rsid w:val="0BC66C7D"/>
    <w:rsid w:val="0BED3778"/>
    <w:rsid w:val="0C232BA4"/>
    <w:rsid w:val="0C2A577B"/>
    <w:rsid w:val="0C2D26E3"/>
    <w:rsid w:val="0C373ADB"/>
    <w:rsid w:val="0C37733F"/>
    <w:rsid w:val="0C3856AB"/>
    <w:rsid w:val="0C3C5A14"/>
    <w:rsid w:val="0C4274CE"/>
    <w:rsid w:val="0C6952DD"/>
    <w:rsid w:val="0CAD06C0"/>
    <w:rsid w:val="0CC53C5B"/>
    <w:rsid w:val="0CDB7B95"/>
    <w:rsid w:val="0CE95B9C"/>
    <w:rsid w:val="0CEA5470"/>
    <w:rsid w:val="0D077DD0"/>
    <w:rsid w:val="0D2B61B4"/>
    <w:rsid w:val="0D3E4B53"/>
    <w:rsid w:val="0D467F7C"/>
    <w:rsid w:val="0D6B65B1"/>
    <w:rsid w:val="0D8544BC"/>
    <w:rsid w:val="0DA20C83"/>
    <w:rsid w:val="0DA707B9"/>
    <w:rsid w:val="0DE01542"/>
    <w:rsid w:val="0DF2282E"/>
    <w:rsid w:val="0DFD3DA4"/>
    <w:rsid w:val="0E24538F"/>
    <w:rsid w:val="0E46735F"/>
    <w:rsid w:val="0E4969BD"/>
    <w:rsid w:val="0E505860"/>
    <w:rsid w:val="0E5928AD"/>
    <w:rsid w:val="0E5B4877"/>
    <w:rsid w:val="0E707BF7"/>
    <w:rsid w:val="0E7D0D45"/>
    <w:rsid w:val="0E8611C8"/>
    <w:rsid w:val="0E975183"/>
    <w:rsid w:val="0EAD1661"/>
    <w:rsid w:val="0EBE21D3"/>
    <w:rsid w:val="0EBF7B36"/>
    <w:rsid w:val="0EC51CF1"/>
    <w:rsid w:val="0ECC307F"/>
    <w:rsid w:val="0F0C791F"/>
    <w:rsid w:val="0F1A6FD6"/>
    <w:rsid w:val="0F4E7F38"/>
    <w:rsid w:val="0F891446"/>
    <w:rsid w:val="0F9A13CF"/>
    <w:rsid w:val="0F9B000F"/>
    <w:rsid w:val="0F9D2C6D"/>
    <w:rsid w:val="0FB747DD"/>
    <w:rsid w:val="0FC77C81"/>
    <w:rsid w:val="0FC91CB4"/>
    <w:rsid w:val="0FD10D03"/>
    <w:rsid w:val="0FD710A5"/>
    <w:rsid w:val="0FD77F2D"/>
    <w:rsid w:val="0FD83CA6"/>
    <w:rsid w:val="10131364"/>
    <w:rsid w:val="101822F4"/>
    <w:rsid w:val="10262C63"/>
    <w:rsid w:val="105B218F"/>
    <w:rsid w:val="10616837"/>
    <w:rsid w:val="107E794C"/>
    <w:rsid w:val="10857989"/>
    <w:rsid w:val="10AC25CA"/>
    <w:rsid w:val="10B27FF1"/>
    <w:rsid w:val="10B4201D"/>
    <w:rsid w:val="10CA7A92"/>
    <w:rsid w:val="10EF574B"/>
    <w:rsid w:val="10F845FF"/>
    <w:rsid w:val="110C1E59"/>
    <w:rsid w:val="110D0173"/>
    <w:rsid w:val="11125CD9"/>
    <w:rsid w:val="111D5E14"/>
    <w:rsid w:val="112951FE"/>
    <w:rsid w:val="11317B11"/>
    <w:rsid w:val="113F7E2B"/>
    <w:rsid w:val="11543122"/>
    <w:rsid w:val="116E6670"/>
    <w:rsid w:val="117A3C75"/>
    <w:rsid w:val="11826A7D"/>
    <w:rsid w:val="118616F9"/>
    <w:rsid w:val="11904838"/>
    <w:rsid w:val="11A6405B"/>
    <w:rsid w:val="11B83956"/>
    <w:rsid w:val="11C40985"/>
    <w:rsid w:val="11CC786A"/>
    <w:rsid w:val="11E93F48"/>
    <w:rsid w:val="11EC68FB"/>
    <w:rsid w:val="11F03528"/>
    <w:rsid w:val="12046FD4"/>
    <w:rsid w:val="121420F8"/>
    <w:rsid w:val="12214445"/>
    <w:rsid w:val="12273D08"/>
    <w:rsid w:val="12324FEA"/>
    <w:rsid w:val="123D2FB3"/>
    <w:rsid w:val="124538DB"/>
    <w:rsid w:val="125067AE"/>
    <w:rsid w:val="12637655"/>
    <w:rsid w:val="12706461"/>
    <w:rsid w:val="12A12A75"/>
    <w:rsid w:val="12C04A67"/>
    <w:rsid w:val="12C80001"/>
    <w:rsid w:val="12CF56B4"/>
    <w:rsid w:val="12DB0575"/>
    <w:rsid w:val="12EF558E"/>
    <w:rsid w:val="12F92791"/>
    <w:rsid w:val="13033659"/>
    <w:rsid w:val="130354DD"/>
    <w:rsid w:val="13066050"/>
    <w:rsid w:val="13132BFE"/>
    <w:rsid w:val="132A7687"/>
    <w:rsid w:val="133236CD"/>
    <w:rsid w:val="134F1DF4"/>
    <w:rsid w:val="13557827"/>
    <w:rsid w:val="135C409A"/>
    <w:rsid w:val="13631AD8"/>
    <w:rsid w:val="137F4B64"/>
    <w:rsid w:val="138B3117"/>
    <w:rsid w:val="138E7538"/>
    <w:rsid w:val="13904FC3"/>
    <w:rsid w:val="13C06B9F"/>
    <w:rsid w:val="13CD2CC1"/>
    <w:rsid w:val="140B464A"/>
    <w:rsid w:val="140C4736"/>
    <w:rsid w:val="140D6614"/>
    <w:rsid w:val="14172FEE"/>
    <w:rsid w:val="14364B2C"/>
    <w:rsid w:val="1438503B"/>
    <w:rsid w:val="144933C4"/>
    <w:rsid w:val="145F3F52"/>
    <w:rsid w:val="14694230"/>
    <w:rsid w:val="14720C0D"/>
    <w:rsid w:val="147D0BDA"/>
    <w:rsid w:val="14860A3B"/>
    <w:rsid w:val="14972381"/>
    <w:rsid w:val="14AA2FD3"/>
    <w:rsid w:val="14B06F9F"/>
    <w:rsid w:val="14B52807"/>
    <w:rsid w:val="14B62AB7"/>
    <w:rsid w:val="14BA1BCC"/>
    <w:rsid w:val="14C724CE"/>
    <w:rsid w:val="14CA5427"/>
    <w:rsid w:val="14DA6A78"/>
    <w:rsid w:val="14DD669C"/>
    <w:rsid w:val="14DE1D5E"/>
    <w:rsid w:val="14E07884"/>
    <w:rsid w:val="14E16407"/>
    <w:rsid w:val="14EA0703"/>
    <w:rsid w:val="150572EB"/>
    <w:rsid w:val="150A448F"/>
    <w:rsid w:val="150C68CB"/>
    <w:rsid w:val="152229F1"/>
    <w:rsid w:val="154461CC"/>
    <w:rsid w:val="15597637"/>
    <w:rsid w:val="156418D6"/>
    <w:rsid w:val="15804BC3"/>
    <w:rsid w:val="15BD23EA"/>
    <w:rsid w:val="15C9430D"/>
    <w:rsid w:val="15D373E9"/>
    <w:rsid w:val="15E213DA"/>
    <w:rsid w:val="15E52C78"/>
    <w:rsid w:val="16210154"/>
    <w:rsid w:val="1633342F"/>
    <w:rsid w:val="164E6A70"/>
    <w:rsid w:val="16683008"/>
    <w:rsid w:val="168E3310"/>
    <w:rsid w:val="16A36DBB"/>
    <w:rsid w:val="16A50D85"/>
    <w:rsid w:val="16B81E85"/>
    <w:rsid w:val="16CF7F44"/>
    <w:rsid w:val="16F94C2D"/>
    <w:rsid w:val="16FE3FF2"/>
    <w:rsid w:val="171323AA"/>
    <w:rsid w:val="173B5246"/>
    <w:rsid w:val="176E7480"/>
    <w:rsid w:val="17B63456"/>
    <w:rsid w:val="17F2764F"/>
    <w:rsid w:val="1833416F"/>
    <w:rsid w:val="18524B4C"/>
    <w:rsid w:val="185C36C6"/>
    <w:rsid w:val="18737F6A"/>
    <w:rsid w:val="187D1E98"/>
    <w:rsid w:val="187D53EA"/>
    <w:rsid w:val="18A817AE"/>
    <w:rsid w:val="18B21538"/>
    <w:rsid w:val="18BB7749"/>
    <w:rsid w:val="18C44192"/>
    <w:rsid w:val="18D9512F"/>
    <w:rsid w:val="18ED431E"/>
    <w:rsid w:val="18F558C8"/>
    <w:rsid w:val="18F877F3"/>
    <w:rsid w:val="1901601B"/>
    <w:rsid w:val="19070275"/>
    <w:rsid w:val="19106B6F"/>
    <w:rsid w:val="19235F91"/>
    <w:rsid w:val="193C7053"/>
    <w:rsid w:val="193F7C64"/>
    <w:rsid w:val="196C36C2"/>
    <w:rsid w:val="196D1903"/>
    <w:rsid w:val="19724162"/>
    <w:rsid w:val="198F1879"/>
    <w:rsid w:val="19B47531"/>
    <w:rsid w:val="19C214C4"/>
    <w:rsid w:val="19F70AC5"/>
    <w:rsid w:val="19F85670"/>
    <w:rsid w:val="19F94F44"/>
    <w:rsid w:val="1A1324AA"/>
    <w:rsid w:val="1A2B77F4"/>
    <w:rsid w:val="1A2F16BB"/>
    <w:rsid w:val="1A4C26E1"/>
    <w:rsid w:val="1A501008"/>
    <w:rsid w:val="1A766595"/>
    <w:rsid w:val="1A8C59F8"/>
    <w:rsid w:val="1AA57FC0"/>
    <w:rsid w:val="1AAC1FB7"/>
    <w:rsid w:val="1AAE61FB"/>
    <w:rsid w:val="1AB01AA7"/>
    <w:rsid w:val="1AB23324"/>
    <w:rsid w:val="1ADF554D"/>
    <w:rsid w:val="1AED13C7"/>
    <w:rsid w:val="1B1069E9"/>
    <w:rsid w:val="1B193AF0"/>
    <w:rsid w:val="1B2D30F7"/>
    <w:rsid w:val="1B7747F3"/>
    <w:rsid w:val="1B79254B"/>
    <w:rsid w:val="1B972C67"/>
    <w:rsid w:val="1BA55384"/>
    <w:rsid w:val="1BD712B5"/>
    <w:rsid w:val="1BDD4B1E"/>
    <w:rsid w:val="1BE76F28"/>
    <w:rsid w:val="1C012B29"/>
    <w:rsid w:val="1C177904"/>
    <w:rsid w:val="1C284B16"/>
    <w:rsid w:val="1C5A26D3"/>
    <w:rsid w:val="1C5D0DA4"/>
    <w:rsid w:val="1C5F6917"/>
    <w:rsid w:val="1C6F5742"/>
    <w:rsid w:val="1C76287C"/>
    <w:rsid w:val="1C872925"/>
    <w:rsid w:val="1C9E0082"/>
    <w:rsid w:val="1CA613B3"/>
    <w:rsid w:val="1CAA693B"/>
    <w:rsid w:val="1CB14442"/>
    <w:rsid w:val="1CC66428"/>
    <w:rsid w:val="1CC80B99"/>
    <w:rsid w:val="1CCB0E1A"/>
    <w:rsid w:val="1D0113C9"/>
    <w:rsid w:val="1D0A2DA7"/>
    <w:rsid w:val="1D1140B4"/>
    <w:rsid w:val="1D2B18B9"/>
    <w:rsid w:val="1D3E783E"/>
    <w:rsid w:val="1D630F86"/>
    <w:rsid w:val="1D7019C1"/>
    <w:rsid w:val="1D752B34"/>
    <w:rsid w:val="1D7E5E8C"/>
    <w:rsid w:val="1D836591"/>
    <w:rsid w:val="1DB55626"/>
    <w:rsid w:val="1DB7314C"/>
    <w:rsid w:val="1DB815C2"/>
    <w:rsid w:val="1DC15D79"/>
    <w:rsid w:val="1DC53ABB"/>
    <w:rsid w:val="1DC85AE6"/>
    <w:rsid w:val="1DDB503E"/>
    <w:rsid w:val="1DE84D03"/>
    <w:rsid w:val="1DE85A9D"/>
    <w:rsid w:val="1DF13B3B"/>
    <w:rsid w:val="1E0E2B0B"/>
    <w:rsid w:val="1E1660C5"/>
    <w:rsid w:val="1E205195"/>
    <w:rsid w:val="1E276322"/>
    <w:rsid w:val="1E5170FD"/>
    <w:rsid w:val="1E5F2F8D"/>
    <w:rsid w:val="1E650DFA"/>
    <w:rsid w:val="1E982F7E"/>
    <w:rsid w:val="1EAC45D3"/>
    <w:rsid w:val="1EC71AB5"/>
    <w:rsid w:val="1ECF4FD3"/>
    <w:rsid w:val="1ED0096A"/>
    <w:rsid w:val="1ED7455A"/>
    <w:rsid w:val="1EDB6610"/>
    <w:rsid w:val="1EF34658"/>
    <w:rsid w:val="1F02489B"/>
    <w:rsid w:val="1F095D51"/>
    <w:rsid w:val="1F0E1553"/>
    <w:rsid w:val="1F132604"/>
    <w:rsid w:val="1F242A63"/>
    <w:rsid w:val="1F2627EB"/>
    <w:rsid w:val="1F294332"/>
    <w:rsid w:val="1F2A62AD"/>
    <w:rsid w:val="1F3233D2"/>
    <w:rsid w:val="1F4804CC"/>
    <w:rsid w:val="1FB61E22"/>
    <w:rsid w:val="1FEB1DE0"/>
    <w:rsid w:val="1FEF6DB8"/>
    <w:rsid w:val="1FF64400"/>
    <w:rsid w:val="200D799B"/>
    <w:rsid w:val="201E4F4F"/>
    <w:rsid w:val="2024414B"/>
    <w:rsid w:val="20256A93"/>
    <w:rsid w:val="20384A18"/>
    <w:rsid w:val="20390790"/>
    <w:rsid w:val="203F5E7C"/>
    <w:rsid w:val="204A474C"/>
    <w:rsid w:val="205055EF"/>
    <w:rsid w:val="20583FFA"/>
    <w:rsid w:val="206C46C2"/>
    <w:rsid w:val="20976AB4"/>
    <w:rsid w:val="20A81514"/>
    <w:rsid w:val="20AB6760"/>
    <w:rsid w:val="20B16579"/>
    <w:rsid w:val="20C95670"/>
    <w:rsid w:val="20D358CD"/>
    <w:rsid w:val="20D65FDF"/>
    <w:rsid w:val="20DC7311"/>
    <w:rsid w:val="20E85D1A"/>
    <w:rsid w:val="210055F8"/>
    <w:rsid w:val="21052421"/>
    <w:rsid w:val="211508B6"/>
    <w:rsid w:val="2126121F"/>
    <w:rsid w:val="216B1A91"/>
    <w:rsid w:val="217B0F40"/>
    <w:rsid w:val="218A192D"/>
    <w:rsid w:val="21A972E1"/>
    <w:rsid w:val="21BF0821"/>
    <w:rsid w:val="21DE60F4"/>
    <w:rsid w:val="21F816C1"/>
    <w:rsid w:val="221C5C74"/>
    <w:rsid w:val="222B0959"/>
    <w:rsid w:val="222F1E4B"/>
    <w:rsid w:val="2240564F"/>
    <w:rsid w:val="224F6049"/>
    <w:rsid w:val="22575E31"/>
    <w:rsid w:val="22816594"/>
    <w:rsid w:val="22A00653"/>
    <w:rsid w:val="22A52EFA"/>
    <w:rsid w:val="22A567AC"/>
    <w:rsid w:val="22A77054"/>
    <w:rsid w:val="22AA3280"/>
    <w:rsid w:val="22BD2FB3"/>
    <w:rsid w:val="22C04851"/>
    <w:rsid w:val="22CB1F7F"/>
    <w:rsid w:val="22CC31F6"/>
    <w:rsid w:val="22D43C96"/>
    <w:rsid w:val="22DB5B2F"/>
    <w:rsid w:val="22EC6903"/>
    <w:rsid w:val="22FB3ADB"/>
    <w:rsid w:val="23076924"/>
    <w:rsid w:val="2318468D"/>
    <w:rsid w:val="23214B81"/>
    <w:rsid w:val="23250B58"/>
    <w:rsid w:val="23287A3B"/>
    <w:rsid w:val="234C2589"/>
    <w:rsid w:val="234E0C74"/>
    <w:rsid w:val="235D595F"/>
    <w:rsid w:val="2366667A"/>
    <w:rsid w:val="236773C3"/>
    <w:rsid w:val="236B1B92"/>
    <w:rsid w:val="23725A46"/>
    <w:rsid w:val="239F4DAE"/>
    <w:rsid w:val="23A75A11"/>
    <w:rsid w:val="23D46034"/>
    <w:rsid w:val="23DD1433"/>
    <w:rsid w:val="23ED1676"/>
    <w:rsid w:val="23EF1892"/>
    <w:rsid w:val="23F37F14"/>
    <w:rsid w:val="23F81893"/>
    <w:rsid w:val="23F956E8"/>
    <w:rsid w:val="23FA0237"/>
    <w:rsid w:val="24015121"/>
    <w:rsid w:val="24264B88"/>
    <w:rsid w:val="24305A06"/>
    <w:rsid w:val="2447702E"/>
    <w:rsid w:val="24765B0F"/>
    <w:rsid w:val="247C0C4C"/>
    <w:rsid w:val="247C50B5"/>
    <w:rsid w:val="248F4E23"/>
    <w:rsid w:val="249B0281"/>
    <w:rsid w:val="24A55645"/>
    <w:rsid w:val="24C22B02"/>
    <w:rsid w:val="24CE34C7"/>
    <w:rsid w:val="24D570AE"/>
    <w:rsid w:val="24D6035C"/>
    <w:rsid w:val="24E01EF1"/>
    <w:rsid w:val="24E2777A"/>
    <w:rsid w:val="24F51DFC"/>
    <w:rsid w:val="250C30B2"/>
    <w:rsid w:val="25423C43"/>
    <w:rsid w:val="256B13EC"/>
    <w:rsid w:val="25924268"/>
    <w:rsid w:val="25E67FEE"/>
    <w:rsid w:val="25F3318F"/>
    <w:rsid w:val="260D33F7"/>
    <w:rsid w:val="2629095F"/>
    <w:rsid w:val="26355556"/>
    <w:rsid w:val="263B7010"/>
    <w:rsid w:val="263C7979"/>
    <w:rsid w:val="264B2FCC"/>
    <w:rsid w:val="264E5249"/>
    <w:rsid w:val="2650413E"/>
    <w:rsid w:val="265359DC"/>
    <w:rsid w:val="26551754"/>
    <w:rsid w:val="26712A32"/>
    <w:rsid w:val="26834513"/>
    <w:rsid w:val="26A10E3D"/>
    <w:rsid w:val="26AC3A6A"/>
    <w:rsid w:val="26B96187"/>
    <w:rsid w:val="26BE763B"/>
    <w:rsid w:val="26BF0813"/>
    <w:rsid w:val="26E730BC"/>
    <w:rsid w:val="270135A4"/>
    <w:rsid w:val="27090EBD"/>
    <w:rsid w:val="271635D9"/>
    <w:rsid w:val="2751016E"/>
    <w:rsid w:val="279F3713"/>
    <w:rsid w:val="27B84691"/>
    <w:rsid w:val="27BD1CA7"/>
    <w:rsid w:val="27C923FA"/>
    <w:rsid w:val="27CA464D"/>
    <w:rsid w:val="27CB7F20"/>
    <w:rsid w:val="27E91720"/>
    <w:rsid w:val="27F136A9"/>
    <w:rsid w:val="27F21934"/>
    <w:rsid w:val="27F6382B"/>
    <w:rsid w:val="27FD20A3"/>
    <w:rsid w:val="280F14ED"/>
    <w:rsid w:val="280F3776"/>
    <w:rsid w:val="281C4C20"/>
    <w:rsid w:val="28515AED"/>
    <w:rsid w:val="28527CD1"/>
    <w:rsid w:val="287C7ABF"/>
    <w:rsid w:val="28844573"/>
    <w:rsid w:val="28AA3FD9"/>
    <w:rsid w:val="28C52BC1"/>
    <w:rsid w:val="28D472A8"/>
    <w:rsid w:val="28E9787B"/>
    <w:rsid w:val="28F205C1"/>
    <w:rsid w:val="293F61F0"/>
    <w:rsid w:val="29441132"/>
    <w:rsid w:val="29890753"/>
    <w:rsid w:val="298962E5"/>
    <w:rsid w:val="29934A6D"/>
    <w:rsid w:val="29B50E88"/>
    <w:rsid w:val="29B72649"/>
    <w:rsid w:val="29BC1AE3"/>
    <w:rsid w:val="29CD1E2A"/>
    <w:rsid w:val="29CF7F37"/>
    <w:rsid w:val="2A0C29B8"/>
    <w:rsid w:val="2A0E5104"/>
    <w:rsid w:val="2A131C98"/>
    <w:rsid w:val="2A1F09F7"/>
    <w:rsid w:val="2A570E85"/>
    <w:rsid w:val="2A830F86"/>
    <w:rsid w:val="2A8745B6"/>
    <w:rsid w:val="2A922F77"/>
    <w:rsid w:val="2A9860B3"/>
    <w:rsid w:val="2A9A1E2C"/>
    <w:rsid w:val="2A9F5694"/>
    <w:rsid w:val="2AA23A25"/>
    <w:rsid w:val="2AAA6513"/>
    <w:rsid w:val="2AD15C14"/>
    <w:rsid w:val="2AE71AF4"/>
    <w:rsid w:val="2B045837"/>
    <w:rsid w:val="2B07429B"/>
    <w:rsid w:val="2B0D0850"/>
    <w:rsid w:val="2B154372"/>
    <w:rsid w:val="2B230073"/>
    <w:rsid w:val="2B520958"/>
    <w:rsid w:val="2B634913"/>
    <w:rsid w:val="2B85488A"/>
    <w:rsid w:val="2BA07916"/>
    <w:rsid w:val="2BEC2B5B"/>
    <w:rsid w:val="2BFF63EA"/>
    <w:rsid w:val="2C002162"/>
    <w:rsid w:val="2C063C1D"/>
    <w:rsid w:val="2C246995"/>
    <w:rsid w:val="2C3562B0"/>
    <w:rsid w:val="2C385DA0"/>
    <w:rsid w:val="2C4944EB"/>
    <w:rsid w:val="2C4B162F"/>
    <w:rsid w:val="2C5D1363"/>
    <w:rsid w:val="2C5F50DB"/>
    <w:rsid w:val="2C792640"/>
    <w:rsid w:val="2C8B4122"/>
    <w:rsid w:val="2C9C1E8B"/>
    <w:rsid w:val="2CA91FCE"/>
    <w:rsid w:val="2CB847EB"/>
    <w:rsid w:val="2CD72C54"/>
    <w:rsid w:val="2CEA709A"/>
    <w:rsid w:val="2D022235"/>
    <w:rsid w:val="2D031F0A"/>
    <w:rsid w:val="2D0F08AF"/>
    <w:rsid w:val="2D1C7470"/>
    <w:rsid w:val="2D2125B0"/>
    <w:rsid w:val="2D2C76B3"/>
    <w:rsid w:val="2D371BB4"/>
    <w:rsid w:val="2D3B78F6"/>
    <w:rsid w:val="2D7C1CBC"/>
    <w:rsid w:val="2D8017AD"/>
    <w:rsid w:val="2D8868B3"/>
    <w:rsid w:val="2DAC4350"/>
    <w:rsid w:val="2DD12008"/>
    <w:rsid w:val="2E0F1AF1"/>
    <w:rsid w:val="2E1755ED"/>
    <w:rsid w:val="2E3A7BAD"/>
    <w:rsid w:val="2E56250D"/>
    <w:rsid w:val="2E623354"/>
    <w:rsid w:val="2E6A4E27"/>
    <w:rsid w:val="2E7806D6"/>
    <w:rsid w:val="2E876B6B"/>
    <w:rsid w:val="2E9B12B3"/>
    <w:rsid w:val="2E9E32C9"/>
    <w:rsid w:val="2ED33B5E"/>
    <w:rsid w:val="2EDA313F"/>
    <w:rsid w:val="2EE53D89"/>
    <w:rsid w:val="2EEC10D1"/>
    <w:rsid w:val="2EFA733D"/>
    <w:rsid w:val="2F030EDA"/>
    <w:rsid w:val="2F0412C1"/>
    <w:rsid w:val="2F171C9D"/>
    <w:rsid w:val="2F202F46"/>
    <w:rsid w:val="2F2E6FE6"/>
    <w:rsid w:val="2F43007A"/>
    <w:rsid w:val="2F47268D"/>
    <w:rsid w:val="2F484F80"/>
    <w:rsid w:val="2F8F5CD7"/>
    <w:rsid w:val="2F926074"/>
    <w:rsid w:val="2F971630"/>
    <w:rsid w:val="2FA774C5"/>
    <w:rsid w:val="2FB44E46"/>
    <w:rsid w:val="2FCA005B"/>
    <w:rsid w:val="2FFF4CAE"/>
    <w:rsid w:val="30042C3B"/>
    <w:rsid w:val="301F1BC4"/>
    <w:rsid w:val="30204B81"/>
    <w:rsid w:val="302E5110"/>
    <w:rsid w:val="303A5A64"/>
    <w:rsid w:val="304E74D7"/>
    <w:rsid w:val="305111DE"/>
    <w:rsid w:val="30823A8E"/>
    <w:rsid w:val="30901D07"/>
    <w:rsid w:val="309317F7"/>
    <w:rsid w:val="30C85944"/>
    <w:rsid w:val="30D95A3C"/>
    <w:rsid w:val="30E12562"/>
    <w:rsid w:val="30E84AF7"/>
    <w:rsid w:val="310E13E0"/>
    <w:rsid w:val="31103BE8"/>
    <w:rsid w:val="31490108"/>
    <w:rsid w:val="315736D8"/>
    <w:rsid w:val="3166515D"/>
    <w:rsid w:val="31684A32"/>
    <w:rsid w:val="317403C7"/>
    <w:rsid w:val="3179559F"/>
    <w:rsid w:val="317E6003"/>
    <w:rsid w:val="319B6BB5"/>
    <w:rsid w:val="31A1154D"/>
    <w:rsid w:val="31A17F44"/>
    <w:rsid w:val="31AD053C"/>
    <w:rsid w:val="31CB6D6E"/>
    <w:rsid w:val="31D64091"/>
    <w:rsid w:val="31DE2F46"/>
    <w:rsid w:val="31E340B8"/>
    <w:rsid w:val="32056724"/>
    <w:rsid w:val="320B1E88"/>
    <w:rsid w:val="3220530C"/>
    <w:rsid w:val="32494863"/>
    <w:rsid w:val="325B29A2"/>
    <w:rsid w:val="3268280F"/>
    <w:rsid w:val="32690A61"/>
    <w:rsid w:val="326D226F"/>
    <w:rsid w:val="32755BEE"/>
    <w:rsid w:val="32774ADB"/>
    <w:rsid w:val="32785148"/>
    <w:rsid w:val="327B2543"/>
    <w:rsid w:val="327E342C"/>
    <w:rsid w:val="328533C1"/>
    <w:rsid w:val="3296503C"/>
    <w:rsid w:val="32A4546A"/>
    <w:rsid w:val="32AB107A"/>
    <w:rsid w:val="32B31CDC"/>
    <w:rsid w:val="32ED1980"/>
    <w:rsid w:val="32F1304C"/>
    <w:rsid w:val="32F50547"/>
    <w:rsid w:val="33094881"/>
    <w:rsid w:val="333F3794"/>
    <w:rsid w:val="335A57BD"/>
    <w:rsid w:val="339E5D33"/>
    <w:rsid w:val="33C323F3"/>
    <w:rsid w:val="33E03C55"/>
    <w:rsid w:val="33EC17CD"/>
    <w:rsid w:val="33EF143A"/>
    <w:rsid w:val="33EF1C73"/>
    <w:rsid w:val="33FA6F1E"/>
    <w:rsid w:val="340661A5"/>
    <w:rsid w:val="34076784"/>
    <w:rsid w:val="340903E3"/>
    <w:rsid w:val="340E30B9"/>
    <w:rsid w:val="341E3ACD"/>
    <w:rsid w:val="343678CD"/>
    <w:rsid w:val="34480B4A"/>
    <w:rsid w:val="345968B4"/>
    <w:rsid w:val="345A0C5F"/>
    <w:rsid w:val="345B087E"/>
    <w:rsid w:val="346D120F"/>
    <w:rsid w:val="34702AF7"/>
    <w:rsid w:val="347A2085"/>
    <w:rsid w:val="347F27BE"/>
    <w:rsid w:val="34897199"/>
    <w:rsid w:val="34945B3E"/>
    <w:rsid w:val="349D01CC"/>
    <w:rsid w:val="34AD7661"/>
    <w:rsid w:val="34B01E1E"/>
    <w:rsid w:val="34E16FD5"/>
    <w:rsid w:val="34E94961"/>
    <w:rsid w:val="34EA39B0"/>
    <w:rsid w:val="35171719"/>
    <w:rsid w:val="352E7D40"/>
    <w:rsid w:val="354B26A0"/>
    <w:rsid w:val="355F614C"/>
    <w:rsid w:val="357243F8"/>
    <w:rsid w:val="35853917"/>
    <w:rsid w:val="35906305"/>
    <w:rsid w:val="359C73A0"/>
    <w:rsid w:val="35A10512"/>
    <w:rsid w:val="35A26038"/>
    <w:rsid w:val="35AA3A3A"/>
    <w:rsid w:val="35AA4722"/>
    <w:rsid w:val="35CF507F"/>
    <w:rsid w:val="360B340E"/>
    <w:rsid w:val="362D5CD2"/>
    <w:rsid w:val="365E28A7"/>
    <w:rsid w:val="366B14C0"/>
    <w:rsid w:val="369342FF"/>
    <w:rsid w:val="369D456C"/>
    <w:rsid w:val="36A8455A"/>
    <w:rsid w:val="36AE738B"/>
    <w:rsid w:val="36C95F72"/>
    <w:rsid w:val="36DF3C16"/>
    <w:rsid w:val="36E27034"/>
    <w:rsid w:val="36ED1FA3"/>
    <w:rsid w:val="36F36DEE"/>
    <w:rsid w:val="36F6663C"/>
    <w:rsid w:val="370E607B"/>
    <w:rsid w:val="372E4027"/>
    <w:rsid w:val="373F79B1"/>
    <w:rsid w:val="37537F32"/>
    <w:rsid w:val="376C4F8C"/>
    <w:rsid w:val="376F2F1F"/>
    <w:rsid w:val="378400EB"/>
    <w:rsid w:val="37904CE2"/>
    <w:rsid w:val="37976071"/>
    <w:rsid w:val="379D00C8"/>
    <w:rsid w:val="379F2985"/>
    <w:rsid w:val="37C03BF9"/>
    <w:rsid w:val="37E1109A"/>
    <w:rsid w:val="37E97122"/>
    <w:rsid w:val="37F35CB8"/>
    <w:rsid w:val="382D2531"/>
    <w:rsid w:val="383A697D"/>
    <w:rsid w:val="383C09C6"/>
    <w:rsid w:val="384F4255"/>
    <w:rsid w:val="385633E2"/>
    <w:rsid w:val="386F79F1"/>
    <w:rsid w:val="38767A34"/>
    <w:rsid w:val="38795776"/>
    <w:rsid w:val="388D2FD0"/>
    <w:rsid w:val="389205E6"/>
    <w:rsid w:val="38983E4E"/>
    <w:rsid w:val="38A84A79"/>
    <w:rsid w:val="392C0A3B"/>
    <w:rsid w:val="39400042"/>
    <w:rsid w:val="39490357"/>
    <w:rsid w:val="397877DC"/>
    <w:rsid w:val="3980288F"/>
    <w:rsid w:val="3999678C"/>
    <w:rsid w:val="39A6259B"/>
    <w:rsid w:val="39D377DB"/>
    <w:rsid w:val="3A1C72B7"/>
    <w:rsid w:val="3A223DCB"/>
    <w:rsid w:val="3A3462BA"/>
    <w:rsid w:val="3A58475F"/>
    <w:rsid w:val="3A5E7E93"/>
    <w:rsid w:val="3A6E6C87"/>
    <w:rsid w:val="3AB46F3A"/>
    <w:rsid w:val="3AD13648"/>
    <w:rsid w:val="3AE0388B"/>
    <w:rsid w:val="3AF737FE"/>
    <w:rsid w:val="3B1C0596"/>
    <w:rsid w:val="3B2319C9"/>
    <w:rsid w:val="3B5B1163"/>
    <w:rsid w:val="3B84063D"/>
    <w:rsid w:val="3B8701AA"/>
    <w:rsid w:val="3B8875E3"/>
    <w:rsid w:val="3B955700"/>
    <w:rsid w:val="3BC27434"/>
    <w:rsid w:val="3BC82C9D"/>
    <w:rsid w:val="3BC95C98"/>
    <w:rsid w:val="3BCB453B"/>
    <w:rsid w:val="3BD75940"/>
    <w:rsid w:val="3BDD7DCA"/>
    <w:rsid w:val="3BF42260"/>
    <w:rsid w:val="3C265C15"/>
    <w:rsid w:val="3C284C49"/>
    <w:rsid w:val="3C522566"/>
    <w:rsid w:val="3C541BC5"/>
    <w:rsid w:val="3C65673D"/>
    <w:rsid w:val="3C722C08"/>
    <w:rsid w:val="3C7C5F7D"/>
    <w:rsid w:val="3C9506A5"/>
    <w:rsid w:val="3C9C7C85"/>
    <w:rsid w:val="3C9E3DCB"/>
    <w:rsid w:val="3CA31014"/>
    <w:rsid w:val="3CB123E6"/>
    <w:rsid w:val="3CDB6174"/>
    <w:rsid w:val="3CEB2D27"/>
    <w:rsid w:val="3D050477"/>
    <w:rsid w:val="3D14341C"/>
    <w:rsid w:val="3D3D4FC4"/>
    <w:rsid w:val="3D404852"/>
    <w:rsid w:val="3D477BF1"/>
    <w:rsid w:val="3D4A76E1"/>
    <w:rsid w:val="3D5D5666"/>
    <w:rsid w:val="3D611ECB"/>
    <w:rsid w:val="3D79687B"/>
    <w:rsid w:val="3DB668C6"/>
    <w:rsid w:val="3DC72AE0"/>
    <w:rsid w:val="3DEB4A20"/>
    <w:rsid w:val="3DF062BF"/>
    <w:rsid w:val="3E0618F6"/>
    <w:rsid w:val="3E0869AC"/>
    <w:rsid w:val="3E246184"/>
    <w:rsid w:val="3E2C6DE7"/>
    <w:rsid w:val="3E3068D7"/>
    <w:rsid w:val="3E32264F"/>
    <w:rsid w:val="3E3E1A04"/>
    <w:rsid w:val="3E53454B"/>
    <w:rsid w:val="3E6F204E"/>
    <w:rsid w:val="3E815973"/>
    <w:rsid w:val="3E88151A"/>
    <w:rsid w:val="3E894239"/>
    <w:rsid w:val="3E8D3D29"/>
    <w:rsid w:val="3E9450B8"/>
    <w:rsid w:val="3EC62D97"/>
    <w:rsid w:val="3F0D6C18"/>
    <w:rsid w:val="3F1735F3"/>
    <w:rsid w:val="3F364D39"/>
    <w:rsid w:val="3F505A98"/>
    <w:rsid w:val="3F6207BA"/>
    <w:rsid w:val="3F7B1DD4"/>
    <w:rsid w:val="3F810615"/>
    <w:rsid w:val="3F843560"/>
    <w:rsid w:val="3F8C5D8F"/>
    <w:rsid w:val="3F8E7D59"/>
    <w:rsid w:val="3F984C13"/>
    <w:rsid w:val="3FA72BC9"/>
    <w:rsid w:val="3FBD063E"/>
    <w:rsid w:val="3FC90D91"/>
    <w:rsid w:val="3FCF3ECE"/>
    <w:rsid w:val="3FD919BA"/>
    <w:rsid w:val="3FDC2B4A"/>
    <w:rsid w:val="3FFD010D"/>
    <w:rsid w:val="400A40D9"/>
    <w:rsid w:val="401A783F"/>
    <w:rsid w:val="401F452F"/>
    <w:rsid w:val="40330901"/>
    <w:rsid w:val="40515724"/>
    <w:rsid w:val="405F16F6"/>
    <w:rsid w:val="408B38B3"/>
    <w:rsid w:val="40B27A77"/>
    <w:rsid w:val="40D338F0"/>
    <w:rsid w:val="40D40AAB"/>
    <w:rsid w:val="40D77011"/>
    <w:rsid w:val="40E90FBF"/>
    <w:rsid w:val="40F40090"/>
    <w:rsid w:val="40FB76BC"/>
    <w:rsid w:val="41010519"/>
    <w:rsid w:val="41036525"/>
    <w:rsid w:val="41072D28"/>
    <w:rsid w:val="41173D7E"/>
    <w:rsid w:val="411E335F"/>
    <w:rsid w:val="412344D1"/>
    <w:rsid w:val="4125450E"/>
    <w:rsid w:val="412973EA"/>
    <w:rsid w:val="417F4A52"/>
    <w:rsid w:val="41AA69A0"/>
    <w:rsid w:val="41B45A71"/>
    <w:rsid w:val="41F71B81"/>
    <w:rsid w:val="42010DBE"/>
    <w:rsid w:val="42044303"/>
    <w:rsid w:val="42075BA1"/>
    <w:rsid w:val="42424E2B"/>
    <w:rsid w:val="426B25D4"/>
    <w:rsid w:val="4278084D"/>
    <w:rsid w:val="428611BC"/>
    <w:rsid w:val="42927B60"/>
    <w:rsid w:val="42BD2703"/>
    <w:rsid w:val="42C27D1A"/>
    <w:rsid w:val="42E04834"/>
    <w:rsid w:val="43140A2D"/>
    <w:rsid w:val="43301127"/>
    <w:rsid w:val="43364990"/>
    <w:rsid w:val="434150E2"/>
    <w:rsid w:val="4355293C"/>
    <w:rsid w:val="4359067E"/>
    <w:rsid w:val="436117D4"/>
    <w:rsid w:val="437049F2"/>
    <w:rsid w:val="43842246"/>
    <w:rsid w:val="43A7763B"/>
    <w:rsid w:val="43B92ECB"/>
    <w:rsid w:val="43BE0166"/>
    <w:rsid w:val="440E3217"/>
    <w:rsid w:val="440F0504"/>
    <w:rsid w:val="4421185F"/>
    <w:rsid w:val="4437557C"/>
    <w:rsid w:val="444C2BC0"/>
    <w:rsid w:val="444F71A2"/>
    <w:rsid w:val="445361E5"/>
    <w:rsid w:val="447C0AC8"/>
    <w:rsid w:val="4482717F"/>
    <w:rsid w:val="44A21CDC"/>
    <w:rsid w:val="44D05FB9"/>
    <w:rsid w:val="44D75CFE"/>
    <w:rsid w:val="44E5721A"/>
    <w:rsid w:val="44F22B38"/>
    <w:rsid w:val="44F248E6"/>
    <w:rsid w:val="45091C30"/>
    <w:rsid w:val="45244CBC"/>
    <w:rsid w:val="452B1E36"/>
    <w:rsid w:val="452B6B92"/>
    <w:rsid w:val="45350C77"/>
    <w:rsid w:val="453C0257"/>
    <w:rsid w:val="453C7EA3"/>
    <w:rsid w:val="454B3FF6"/>
    <w:rsid w:val="45682DFA"/>
    <w:rsid w:val="456C5AB9"/>
    <w:rsid w:val="4577128F"/>
    <w:rsid w:val="457C68A6"/>
    <w:rsid w:val="45952817"/>
    <w:rsid w:val="45A863B8"/>
    <w:rsid w:val="45BB6D3C"/>
    <w:rsid w:val="45F91CA4"/>
    <w:rsid w:val="46011342"/>
    <w:rsid w:val="46017508"/>
    <w:rsid w:val="460A2104"/>
    <w:rsid w:val="460F14C8"/>
    <w:rsid w:val="46130FB8"/>
    <w:rsid w:val="46132D66"/>
    <w:rsid w:val="46342CDD"/>
    <w:rsid w:val="46431B1A"/>
    <w:rsid w:val="464E1FF0"/>
    <w:rsid w:val="466366B9"/>
    <w:rsid w:val="46955E71"/>
    <w:rsid w:val="469C7200"/>
    <w:rsid w:val="46C10A14"/>
    <w:rsid w:val="46D67F86"/>
    <w:rsid w:val="46F448C2"/>
    <w:rsid w:val="47060D7D"/>
    <w:rsid w:val="473F67A2"/>
    <w:rsid w:val="474536E0"/>
    <w:rsid w:val="47463365"/>
    <w:rsid w:val="47596E9F"/>
    <w:rsid w:val="476B55F6"/>
    <w:rsid w:val="47777325"/>
    <w:rsid w:val="477E4B57"/>
    <w:rsid w:val="47863A0C"/>
    <w:rsid w:val="47925F0D"/>
    <w:rsid w:val="47A876DF"/>
    <w:rsid w:val="47AA76FA"/>
    <w:rsid w:val="47B370C9"/>
    <w:rsid w:val="47FD3CCE"/>
    <w:rsid w:val="48001EFA"/>
    <w:rsid w:val="48027536"/>
    <w:rsid w:val="48042FA6"/>
    <w:rsid w:val="481C57BF"/>
    <w:rsid w:val="48240342"/>
    <w:rsid w:val="48343468"/>
    <w:rsid w:val="485578E8"/>
    <w:rsid w:val="48680CE3"/>
    <w:rsid w:val="487516C9"/>
    <w:rsid w:val="48A147B6"/>
    <w:rsid w:val="48A73C3A"/>
    <w:rsid w:val="48D367DD"/>
    <w:rsid w:val="48E82D4D"/>
    <w:rsid w:val="48F007F6"/>
    <w:rsid w:val="48F14EB5"/>
    <w:rsid w:val="491D5CAA"/>
    <w:rsid w:val="49537DE0"/>
    <w:rsid w:val="495518E8"/>
    <w:rsid w:val="49584F34"/>
    <w:rsid w:val="4977360C"/>
    <w:rsid w:val="498703ED"/>
    <w:rsid w:val="49C425C9"/>
    <w:rsid w:val="49C72B69"/>
    <w:rsid w:val="49E62540"/>
    <w:rsid w:val="4A0E6954"/>
    <w:rsid w:val="4A1A47F4"/>
    <w:rsid w:val="4A275032"/>
    <w:rsid w:val="4A275F90"/>
    <w:rsid w:val="4A280DAA"/>
    <w:rsid w:val="4A29760D"/>
    <w:rsid w:val="4A2D4613"/>
    <w:rsid w:val="4A392FB7"/>
    <w:rsid w:val="4A64191B"/>
    <w:rsid w:val="4A722025"/>
    <w:rsid w:val="4A745F18"/>
    <w:rsid w:val="4A8B3EC0"/>
    <w:rsid w:val="4AAC4A05"/>
    <w:rsid w:val="4AB112AD"/>
    <w:rsid w:val="4AB918F6"/>
    <w:rsid w:val="4AD14F9E"/>
    <w:rsid w:val="4AEB42B2"/>
    <w:rsid w:val="4AF403AA"/>
    <w:rsid w:val="4AFD616C"/>
    <w:rsid w:val="4B0B04B0"/>
    <w:rsid w:val="4B3E2640"/>
    <w:rsid w:val="4B447AD4"/>
    <w:rsid w:val="4B7050AD"/>
    <w:rsid w:val="4B717B63"/>
    <w:rsid w:val="4BA30828"/>
    <w:rsid w:val="4BA93D64"/>
    <w:rsid w:val="4BBE0554"/>
    <w:rsid w:val="4BBF20A9"/>
    <w:rsid w:val="4BCB40E3"/>
    <w:rsid w:val="4BD20FCE"/>
    <w:rsid w:val="4BD74836"/>
    <w:rsid w:val="4BED5E07"/>
    <w:rsid w:val="4BF70A34"/>
    <w:rsid w:val="4BFD1393"/>
    <w:rsid w:val="4C150E22"/>
    <w:rsid w:val="4C194E4E"/>
    <w:rsid w:val="4C1C26CD"/>
    <w:rsid w:val="4C2555A1"/>
    <w:rsid w:val="4C2C2DD4"/>
    <w:rsid w:val="4C3F1BAE"/>
    <w:rsid w:val="4C5C4D3B"/>
    <w:rsid w:val="4C5D5CA7"/>
    <w:rsid w:val="4C76404F"/>
    <w:rsid w:val="4C8147A2"/>
    <w:rsid w:val="4C8C7C8C"/>
    <w:rsid w:val="4CB26A62"/>
    <w:rsid w:val="4CCA7AE1"/>
    <w:rsid w:val="4CE216E4"/>
    <w:rsid w:val="4CEE0366"/>
    <w:rsid w:val="4CF569B5"/>
    <w:rsid w:val="4CFB4947"/>
    <w:rsid w:val="4D04165B"/>
    <w:rsid w:val="4D11448E"/>
    <w:rsid w:val="4D267823"/>
    <w:rsid w:val="4D275D07"/>
    <w:rsid w:val="4D3A507C"/>
    <w:rsid w:val="4D5325E2"/>
    <w:rsid w:val="4D6848C0"/>
    <w:rsid w:val="4D8602C2"/>
    <w:rsid w:val="4D9E5143"/>
    <w:rsid w:val="4D9F75D5"/>
    <w:rsid w:val="4DAE03C1"/>
    <w:rsid w:val="4DC97603"/>
    <w:rsid w:val="4DE163BF"/>
    <w:rsid w:val="4DF72F6D"/>
    <w:rsid w:val="4DF77375"/>
    <w:rsid w:val="4DFE10C7"/>
    <w:rsid w:val="4E086F29"/>
    <w:rsid w:val="4E140B6A"/>
    <w:rsid w:val="4E1B739A"/>
    <w:rsid w:val="4E233D62"/>
    <w:rsid w:val="4E2875CB"/>
    <w:rsid w:val="4E407F3C"/>
    <w:rsid w:val="4E41243B"/>
    <w:rsid w:val="4E676345"/>
    <w:rsid w:val="4E6C17FA"/>
    <w:rsid w:val="4E8B5D8F"/>
    <w:rsid w:val="4E943545"/>
    <w:rsid w:val="4EB86BA1"/>
    <w:rsid w:val="4ECC43FA"/>
    <w:rsid w:val="4EE94FAC"/>
    <w:rsid w:val="4F0B3CA6"/>
    <w:rsid w:val="4F107345"/>
    <w:rsid w:val="4F1847B3"/>
    <w:rsid w:val="4F2314B3"/>
    <w:rsid w:val="4F3B50DC"/>
    <w:rsid w:val="4F4E3061"/>
    <w:rsid w:val="4F5D5052"/>
    <w:rsid w:val="4F691C49"/>
    <w:rsid w:val="4F813436"/>
    <w:rsid w:val="4F93009B"/>
    <w:rsid w:val="4FB619EF"/>
    <w:rsid w:val="4FBD1F95"/>
    <w:rsid w:val="4FC861DA"/>
    <w:rsid w:val="4FFB544B"/>
    <w:rsid w:val="500A342C"/>
    <w:rsid w:val="500D6A78"/>
    <w:rsid w:val="500F69BB"/>
    <w:rsid w:val="50406E4E"/>
    <w:rsid w:val="505B77CA"/>
    <w:rsid w:val="50970A38"/>
    <w:rsid w:val="509B22D6"/>
    <w:rsid w:val="50A126B7"/>
    <w:rsid w:val="50A82C45"/>
    <w:rsid w:val="50AE094F"/>
    <w:rsid w:val="50DB294E"/>
    <w:rsid w:val="50DC3D6E"/>
    <w:rsid w:val="510936E3"/>
    <w:rsid w:val="510A2FB8"/>
    <w:rsid w:val="51145BE4"/>
    <w:rsid w:val="511856D5"/>
    <w:rsid w:val="51321C80"/>
    <w:rsid w:val="515661FD"/>
    <w:rsid w:val="516A3A56"/>
    <w:rsid w:val="517255BD"/>
    <w:rsid w:val="517B5C63"/>
    <w:rsid w:val="518C4D4D"/>
    <w:rsid w:val="51937451"/>
    <w:rsid w:val="51A46F68"/>
    <w:rsid w:val="51B13335"/>
    <w:rsid w:val="51D75590"/>
    <w:rsid w:val="521D3CB5"/>
    <w:rsid w:val="523302EC"/>
    <w:rsid w:val="52426781"/>
    <w:rsid w:val="52454FAD"/>
    <w:rsid w:val="524B15B3"/>
    <w:rsid w:val="528374C6"/>
    <w:rsid w:val="528B1ED6"/>
    <w:rsid w:val="529C2335"/>
    <w:rsid w:val="52A70D2C"/>
    <w:rsid w:val="52BE405A"/>
    <w:rsid w:val="52E361B6"/>
    <w:rsid w:val="531210C9"/>
    <w:rsid w:val="532742F5"/>
    <w:rsid w:val="53607807"/>
    <w:rsid w:val="537E419D"/>
    <w:rsid w:val="538434F5"/>
    <w:rsid w:val="538A03E0"/>
    <w:rsid w:val="539835FD"/>
    <w:rsid w:val="53A2397B"/>
    <w:rsid w:val="53B92A73"/>
    <w:rsid w:val="53BB67EB"/>
    <w:rsid w:val="53C71634"/>
    <w:rsid w:val="53D224B3"/>
    <w:rsid w:val="53EB1FF8"/>
    <w:rsid w:val="53EC2E48"/>
    <w:rsid w:val="53F45760"/>
    <w:rsid w:val="5406215C"/>
    <w:rsid w:val="545B42AA"/>
    <w:rsid w:val="546B6463"/>
    <w:rsid w:val="546E73A6"/>
    <w:rsid w:val="547C41CC"/>
    <w:rsid w:val="5488491F"/>
    <w:rsid w:val="54A379AB"/>
    <w:rsid w:val="54B27BEE"/>
    <w:rsid w:val="54BD0C40"/>
    <w:rsid w:val="54D659D2"/>
    <w:rsid w:val="54F75F49"/>
    <w:rsid w:val="54FC355F"/>
    <w:rsid w:val="55187E6C"/>
    <w:rsid w:val="55284354"/>
    <w:rsid w:val="55432F3C"/>
    <w:rsid w:val="554A42CB"/>
    <w:rsid w:val="5560589C"/>
    <w:rsid w:val="556C4241"/>
    <w:rsid w:val="5579695E"/>
    <w:rsid w:val="558C043F"/>
    <w:rsid w:val="559807C9"/>
    <w:rsid w:val="55A133E3"/>
    <w:rsid w:val="55B83DB4"/>
    <w:rsid w:val="55B87486"/>
    <w:rsid w:val="55C404FA"/>
    <w:rsid w:val="55C45E2B"/>
    <w:rsid w:val="55CC345F"/>
    <w:rsid w:val="55EE2EA8"/>
    <w:rsid w:val="55F04E72"/>
    <w:rsid w:val="55F11B90"/>
    <w:rsid w:val="56132A91"/>
    <w:rsid w:val="56203207"/>
    <w:rsid w:val="562A2C28"/>
    <w:rsid w:val="562C2ED7"/>
    <w:rsid w:val="564D4072"/>
    <w:rsid w:val="56610227"/>
    <w:rsid w:val="567B54EE"/>
    <w:rsid w:val="567C4958"/>
    <w:rsid w:val="56846C29"/>
    <w:rsid w:val="5689497F"/>
    <w:rsid w:val="56917593"/>
    <w:rsid w:val="56A703F5"/>
    <w:rsid w:val="56C97471"/>
    <w:rsid w:val="56D64EB7"/>
    <w:rsid w:val="56E314E0"/>
    <w:rsid w:val="57282705"/>
    <w:rsid w:val="574C75A3"/>
    <w:rsid w:val="574D2F08"/>
    <w:rsid w:val="5774562F"/>
    <w:rsid w:val="57754BF2"/>
    <w:rsid w:val="57B11327"/>
    <w:rsid w:val="57BD6FD6"/>
    <w:rsid w:val="57CA16F3"/>
    <w:rsid w:val="57CA3880"/>
    <w:rsid w:val="57E417E0"/>
    <w:rsid w:val="57EE53E1"/>
    <w:rsid w:val="57F32A52"/>
    <w:rsid w:val="57FE50EE"/>
    <w:rsid w:val="58073B8C"/>
    <w:rsid w:val="580E7831"/>
    <w:rsid w:val="58256929"/>
    <w:rsid w:val="583F3E8F"/>
    <w:rsid w:val="58A40196"/>
    <w:rsid w:val="58BF0B2C"/>
    <w:rsid w:val="58D67320"/>
    <w:rsid w:val="58DC16DE"/>
    <w:rsid w:val="58F534B4"/>
    <w:rsid w:val="593432C8"/>
    <w:rsid w:val="593E026C"/>
    <w:rsid w:val="593E5EF4"/>
    <w:rsid w:val="593F3A1A"/>
    <w:rsid w:val="594D6137"/>
    <w:rsid w:val="5989503C"/>
    <w:rsid w:val="59977C6E"/>
    <w:rsid w:val="599B50F5"/>
    <w:rsid w:val="59A25D4A"/>
    <w:rsid w:val="59AA17DC"/>
    <w:rsid w:val="59B14918"/>
    <w:rsid w:val="59B15C2B"/>
    <w:rsid w:val="59B25F2D"/>
    <w:rsid w:val="59D86349"/>
    <w:rsid w:val="59DD0C04"/>
    <w:rsid w:val="59EC76FE"/>
    <w:rsid w:val="59FB4A2A"/>
    <w:rsid w:val="5A034978"/>
    <w:rsid w:val="5A040EEC"/>
    <w:rsid w:val="5A16280E"/>
    <w:rsid w:val="5A1B5A10"/>
    <w:rsid w:val="5A266807"/>
    <w:rsid w:val="5A2C21F1"/>
    <w:rsid w:val="5A4E0416"/>
    <w:rsid w:val="5A6977D7"/>
    <w:rsid w:val="5A6E45B7"/>
    <w:rsid w:val="5A963B0E"/>
    <w:rsid w:val="5AA955EF"/>
    <w:rsid w:val="5ACC2E57"/>
    <w:rsid w:val="5AEB3E5A"/>
    <w:rsid w:val="5B044F1C"/>
    <w:rsid w:val="5B070568"/>
    <w:rsid w:val="5B1C2265"/>
    <w:rsid w:val="5B2E3D47"/>
    <w:rsid w:val="5B33135D"/>
    <w:rsid w:val="5B435A44"/>
    <w:rsid w:val="5B4672E2"/>
    <w:rsid w:val="5B4A6DD2"/>
    <w:rsid w:val="5B572513"/>
    <w:rsid w:val="5B5B46DE"/>
    <w:rsid w:val="5B773CF2"/>
    <w:rsid w:val="5B953DC6"/>
    <w:rsid w:val="5B9B5880"/>
    <w:rsid w:val="5BB7600F"/>
    <w:rsid w:val="5BCD355F"/>
    <w:rsid w:val="5BF037E6"/>
    <w:rsid w:val="5BFD3E45"/>
    <w:rsid w:val="5C0F2714"/>
    <w:rsid w:val="5C2A09B2"/>
    <w:rsid w:val="5C3A263A"/>
    <w:rsid w:val="5C531CB7"/>
    <w:rsid w:val="5C814A76"/>
    <w:rsid w:val="5CAE513F"/>
    <w:rsid w:val="5CAF25EE"/>
    <w:rsid w:val="5CAF7F16"/>
    <w:rsid w:val="5CBE74EA"/>
    <w:rsid w:val="5CC56713"/>
    <w:rsid w:val="5CC71DD8"/>
    <w:rsid w:val="5CCE3A33"/>
    <w:rsid w:val="5CD66444"/>
    <w:rsid w:val="5CF82EF2"/>
    <w:rsid w:val="5CF9414D"/>
    <w:rsid w:val="5CF9552F"/>
    <w:rsid w:val="5D0631CD"/>
    <w:rsid w:val="5D070A87"/>
    <w:rsid w:val="5D0B433F"/>
    <w:rsid w:val="5D17501F"/>
    <w:rsid w:val="5D213B63"/>
    <w:rsid w:val="5D2E44D2"/>
    <w:rsid w:val="5D3C6BEF"/>
    <w:rsid w:val="5D431D2B"/>
    <w:rsid w:val="5D4569AE"/>
    <w:rsid w:val="5D5E0913"/>
    <w:rsid w:val="5D6F2B20"/>
    <w:rsid w:val="5D732456"/>
    <w:rsid w:val="5D7C6FEB"/>
    <w:rsid w:val="5D883BE2"/>
    <w:rsid w:val="5D9B5E1F"/>
    <w:rsid w:val="5DA36C6E"/>
    <w:rsid w:val="5DAF116F"/>
    <w:rsid w:val="5DB426F2"/>
    <w:rsid w:val="5DF11787"/>
    <w:rsid w:val="5E0771FD"/>
    <w:rsid w:val="5E196702"/>
    <w:rsid w:val="5E2733FB"/>
    <w:rsid w:val="5E647215"/>
    <w:rsid w:val="5E6F6B70"/>
    <w:rsid w:val="5E7128C8"/>
    <w:rsid w:val="5E785A05"/>
    <w:rsid w:val="5E7E5BC7"/>
    <w:rsid w:val="5EA467FA"/>
    <w:rsid w:val="5EAC5CC5"/>
    <w:rsid w:val="5EBB3B43"/>
    <w:rsid w:val="5EC24ED2"/>
    <w:rsid w:val="5ECF669A"/>
    <w:rsid w:val="5EEA72F8"/>
    <w:rsid w:val="5EF64B7B"/>
    <w:rsid w:val="5F131BD1"/>
    <w:rsid w:val="5F1C68EB"/>
    <w:rsid w:val="5F223BC2"/>
    <w:rsid w:val="5F304531"/>
    <w:rsid w:val="5F3A658F"/>
    <w:rsid w:val="5F4B6DF9"/>
    <w:rsid w:val="5F5244A8"/>
    <w:rsid w:val="5F5E109E"/>
    <w:rsid w:val="5F675CE8"/>
    <w:rsid w:val="5F6D7533"/>
    <w:rsid w:val="5F904FD0"/>
    <w:rsid w:val="5F9E101E"/>
    <w:rsid w:val="5FD80582"/>
    <w:rsid w:val="5FE377F5"/>
    <w:rsid w:val="60150DC2"/>
    <w:rsid w:val="60326087"/>
    <w:rsid w:val="603E7754"/>
    <w:rsid w:val="604D407A"/>
    <w:rsid w:val="605E0C2A"/>
    <w:rsid w:val="6061582C"/>
    <w:rsid w:val="60787F3E"/>
    <w:rsid w:val="609113EE"/>
    <w:rsid w:val="60940AF0"/>
    <w:rsid w:val="609D64AA"/>
    <w:rsid w:val="60A27B32"/>
    <w:rsid w:val="60BE5D83"/>
    <w:rsid w:val="60DD3A26"/>
    <w:rsid w:val="60E51508"/>
    <w:rsid w:val="60E6759D"/>
    <w:rsid w:val="60F82E2D"/>
    <w:rsid w:val="60FC0223"/>
    <w:rsid w:val="614A3DAA"/>
    <w:rsid w:val="6155027F"/>
    <w:rsid w:val="616821E1"/>
    <w:rsid w:val="61730B8F"/>
    <w:rsid w:val="618463A2"/>
    <w:rsid w:val="618741B1"/>
    <w:rsid w:val="61B2747F"/>
    <w:rsid w:val="61B90451"/>
    <w:rsid w:val="61DE0274"/>
    <w:rsid w:val="61E73B15"/>
    <w:rsid w:val="61EA259B"/>
    <w:rsid w:val="61EB473F"/>
    <w:rsid w:val="622540F5"/>
    <w:rsid w:val="623B7475"/>
    <w:rsid w:val="62405FC3"/>
    <w:rsid w:val="62482F7C"/>
    <w:rsid w:val="62677DAD"/>
    <w:rsid w:val="6281113E"/>
    <w:rsid w:val="62854B94"/>
    <w:rsid w:val="62935219"/>
    <w:rsid w:val="62CD6AEC"/>
    <w:rsid w:val="62D81569"/>
    <w:rsid w:val="62D94595"/>
    <w:rsid w:val="63103C43"/>
    <w:rsid w:val="631E6C0A"/>
    <w:rsid w:val="633B34A5"/>
    <w:rsid w:val="6347009B"/>
    <w:rsid w:val="63566066"/>
    <w:rsid w:val="63901A42"/>
    <w:rsid w:val="63C45248"/>
    <w:rsid w:val="63C60FC0"/>
    <w:rsid w:val="63CB65D6"/>
    <w:rsid w:val="63D41366"/>
    <w:rsid w:val="640E2967"/>
    <w:rsid w:val="64153CF6"/>
    <w:rsid w:val="6419594B"/>
    <w:rsid w:val="64264155"/>
    <w:rsid w:val="644C769A"/>
    <w:rsid w:val="64520AA6"/>
    <w:rsid w:val="64664551"/>
    <w:rsid w:val="647153D0"/>
    <w:rsid w:val="64805613"/>
    <w:rsid w:val="6486074F"/>
    <w:rsid w:val="64942E6C"/>
    <w:rsid w:val="64BB2AEF"/>
    <w:rsid w:val="64CB26DD"/>
    <w:rsid w:val="64F13741"/>
    <w:rsid w:val="650171EE"/>
    <w:rsid w:val="65055B18"/>
    <w:rsid w:val="65433804"/>
    <w:rsid w:val="65556AA0"/>
    <w:rsid w:val="65684D07"/>
    <w:rsid w:val="657D2B9C"/>
    <w:rsid w:val="65834F1A"/>
    <w:rsid w:val="6593581A"/>
    <w:rsid w:val="65956E9C"/>
    <w:rsid w:val="65A215B9"/>
    <w:rsid w:val="65BD63F3"/>
    <w:rsid w:val="65D406EA"/>
    <w:rsid w:val="66542B2C"/>
    <w:rsid w:val="665723A3"/>
    <w:rsid w:val="667B400E"/>
    <w:rsid w:val="66911D59"/>
    <w:rsid w:val="66B261DF"/>
    <w:rsid w:val="66E005EB"/>
    <w:rsid w:val="66E53E53"/>
    <w:rsid w:val="66E55C01"/>
    <w:rsid w:val="66EA7812"/>
    <w:rsid w:val="6704527C"/>
    <w:rsid w:val="6710264E"/>
    <w:rsid w:val="673F1F3F"/>
    <w:rsid w:val="673F79B4"/>
    <w:rsid w:val="67442824"/>
    <w:rsid w:val="674A1F08"/>
    <w:rsid w:val="67795693"/>
    <w:rsid w:val="677A0A3F"/>
    <w:rsid w:val="67987117"/>
    <w:rsid w:val="67A43BE0"/>
    <w:rsid w:val="67AB6E4B"/>
    <w:rsid w:val="67B37F71"/>
    <w:rsid w:val="67CE6C86"/>
    <w:rsid w:val="67D31319"/>
    <w:rsid w:val="67D72D6F"/>
    <w:rsid w:val="67DC5114"/>
    <w:rsid w:val="67DC6D5A"/>
    <w:rsid w:val="67E206D5"/>
    <w:rsid w:val="683E4D48"/>
    <w:rsid w:val="685A261F"/>
    <w:rsid w:val="6865349E"/>
    <w:rsid w:val="68655F18"/>
    <w:rsid w:val="68701E42"/>
    <w:rsid w:val="68AD6BF3"/>
    <w:rsid w:val="68B00491"/>
    <w:rsid w:val="68C14BF3"/>
    <w:rsid w:val="68FA309F"/>
    <w:rsid w:val="68FB170C"/>
    <w:rsid w:val="68FE0507"/>
    <w:rsid w:val="69034A64"/>
    <w:rsid w:val="690F3409"/>
    <w:rsid w:val="69272501"/>
    <w:rsid w:val="692C5D69"/>
    <w:rsid w:val="692E7D33"/>
    <w:rsid w:val="692F7608"/>
    <w:rsid w:val="69401815"/>
    <w:rsid w:val="694A487B"/>
    <w:rsid w:val="694D6631"/>
    <w:rsid w:val="695025CA"/>
    <w:rsid w:val="6958090C"/>
    <w:rsid w:val="695928D6"/>
    <w:rsid w:val="69765236"/>
    <w:rsid w:val="698E07D2"/>
    <w:rsid w:val="69AB0D0D"/>
    <w:rsid w:val="69B27B43"/>
    <w:rsid w:val="69BE0005"/>
    <w:rsid w:val="69DF2DDC"/>
    <w:rsid w:val="69EA352F"/>
    <w:rsid w:val="69EB2192"/>
    <w:rsid w:val="6A3C0286"/>
    <w:rsid w:val="6A570136"/>
    <w:rsid w:val="6A695DCD"/>
    <w:rsid w:val="6A731776"/>
    <w:rsid w:val="6A753740"/>
    <w:rsid w:val="6A7A6FA8"/>
    <w:rsid w:val="6A7E2C0A"/>
    <w:rsid w:val="6A802F8E"/>
    <w:rsid w:val="6AAD4C88"/>
    <w:rsid w:val="6ABA55F7"/>
    <w:rsid w:val="6AC10733"/>
    <w:rsid w:val="6ACD7255"/>
    <w:rsid w:val="6AD2649C"/>
    <w:rsid w:val="6AE17565"/>
    <w:rsid w:val="6AFE3735"/>
    <w:rsid w:val="6B2111D2"/>
    <w:rsid w:val="6B361E7E"/>
    <w:rsid w:val="6B3C7DBA"/>
    <w:rsid w:val="6B3D4EC2"/>
    <w:rsid w:val="6B43383E"/>
    <w:rsid w:val="6B6F63E1"/>
    <w:rsid w:val="6B8071BE"/>
    <w:rsid w:val="6BAA605B"/>
    <w:rsid w:val="6BB16221"/>
    <w:rsid w:val="6BD12415"/>
    <w:rsid w:val="6BE40B7D"/>
    <w:rsid w:val="6BE45953"/>
    <w:rsid w:val="6BE94F3A"/>
    <w:rsid w:val="6BF40694"/>
    <w:rsid w:val="6C061F17"/>
    <w:rsid w:val="6C0E5BFA"/>
    <w:rsid w:val="6C150D37"/>
    <w:rsid w:val="6C2F1E55"/>
    <w:rsid w:val="6C376EFF"/>
    <w:rsid w:val="6C661592"/>
    <w:rsid w:val="6C741E4F"/>
    <w:rsid w:val="6C787517"/>
    <w:rsid w:val="6C914D27"/>
    <w:rsid w:val="6C931E58"/>
    <w:rsid w:val="6CAA6CFE"/>
    <w:rsid w:val="6CC369E5"/>
    <w:rsid w:val="6CD7419C"/>
    <w:rsid w:val="6CDC7AA6"/>
    <w:rsid w:val="6D013FEB"/>
    <w:rsid w:val="6D1930EC"/>
    <w:rsid w:val="6D2F407A"/>
    <w:rsid w:val="6D677CB1"/>
    <w:rsid w:val="6D9115A9"/>
    <w:rsid w:val="6DA71186"/>
    <w:rsid w:val="6DB30918"/>
    <w:rsid w:val="6DB620A5"/>
    <w:rsid w:val="6DC42A14"/>
    <w:rsid w:val="6DCF4F15"/>
    <w:rsid w:val="6DD036A3"/>
    <w:rsid w:val="6DE81D0F"/>
    <w:rsid w:val="6DE85FD7"/>
    <w:rsid w:val="6DF76B0A"/>
    <w:rsid w:val="6E054DB3"/>
    <w:rsid w:val="6E0D5EB7"/>
    <w:rsid w:val="6E1A0994"/>
    <w:rsid w:val="6E7004A6"/>
    <w:rsid w:val="6E9E14B7"/>
    <w:rsid w:val="6EB340A5"/>
    <w:rsid w:val="6EBD3E7A"/>
    <w:rsid w:val="6EBD700A"/>
    <w:rsid w:val="6EC72090"/>
    <w:rsid w:val="6ED53771"/>
    <w:rsid w:val="6EFD2502"/>
    <w:rsid w:val="6F062BB9"/>
    <w:rsid w:val="6F082DD5"/>
    <w:rsid w:val="6F1352D6"/>
    <w:rsid w:val="6F4E2B2B"/>
    <w:rsid w:val="6F5E1724"/>
    <w:rsid w:val="6F6618A9"/>
    <w:rsid w:val="6F71097A"/>
    <w:rsid w:val="6F743FC6"/>
    <w:rsid w:val="6F783707"/>
    <w:rsid w:val="6F7D7049"/>
    <w:rsid w:val="6F963F3C"/>
    <w:rsid w:val="6FE1043B"/>
    <w:rsid w:val="6FF670D1"/>
    <w:rsid w:val="700B760E"/>
    <w:rsid w:val="700D7F77"/>
    <w:rsid w:val="703B4AE4"/>
    <w:rsid w:val="705160B5"/>
    <w:rsid w:val="706E310B"/>
    <w:rsid w:val="70794B97"/>
    <w:rsid w:val="70860455"/>
    <w:rsid w:val="70860D62"/>
    <w:rsid w:val="70891C83"/>
    <w:rsid w:val="708C17E3"/>
    <w:rsid w:val="70981F36"/>
    <w:rsid w:val="70CD6084"/>
    <w:rsid w:val="70D016D0"/>
    <w:rsid w:val="70F35BF8"/>
    <w:rsid w:val="71160F53"/>
    <w:rsid w:val="711A0B9D"/>
    <w:rsid w:val="713C4FB8"/>
    <w:rsid w:val="71491244"/>
    <w:rsid w:val="714B51FB"/>
    <w:rsid w:val="71582A07"/>
    <w:rsid w:val="717943B6"/>
    <w:rsid w:val="71916F49"/>
    <w:rsid w:val="71A33B87"/>
    <w:rsid w:val="71AB63BC"/>
    <w:rsid w:val="71AE4713"/>
    <w:rsid w:val="71B27028"/>
    <w:rsid w:val="71D25565"/>
    <w:rsid w:val="71D945B4"/>
    <w:rsid w:val="71F11C1F"/>
    <w:rsid w:val="723314F1"/>
    <w:rsid w:val="724A62A9"/>
    <w:rsid w:val="72646574"/>
    <w:rsid w:val="727F33AE"/>
    <w:rsid w:val="72802C82"/>
    <w:rsid w:val="72A8433C"/>
    <w:rsid w:val="72AA7CFF"/>
    <w:rsid w:val="72BD1CA1"/>
    <w:rsid w:val="72C07522"/>
    <w:rsid w:val="72D468CD"/>
    <w:rsid w:val="73156124"/>
    <w:rsid w:val="731A30D6"/>
    <w:rsid w:val="7320374B"/>
    <w:rsid w:val="73426189"/>
    <w:rsid w:val="734C0DB6"/>
    <w:rsid w:val="73584999"/>
    <w:rsid w:val="735A3B0C"/>
    <w:rsid w:val="7361796E"/>
    <w:rsid w:val="737427E7"/>
    <w:rsid w:val="737C78ED"/>
    <w:rsid w:val="739369E5"/>
    <w:rsid w:val="739B4217"/>
    <w:rsid w:val="73AD5CF9"/>
    <w:rsid w:val="73D94D40"/>
    <w:rsid w:val="740D2C3B"/>
    <w:rsid w:val="74285A56"/>
    <w:rsid w:val="742E508B"/>
    <w:rsid w:val="744877CF"/>
    <w:rsid w:val="74692D8A"/>
    <w:rsid w:val="74716D26"/>
    <w:rsid w:val="74933140"/>
    <w:rsid w:val="74AB66DC"/>
    <w:rsid w:val="74B81FE2"/>
    <w:rsid w:val="74B86703"/>
    <w:rsid w:val="74BD1F6B"/>
    <w:rsid w:val="74CE23CA"/>
    <w:rsid w:val="74E813D5"/>
    <w:rsid w:val="74FF4332"/>
    <w:rsid w:val="750E0AAE"/>
    <w:rsid w:val="751C1388"/>
    <w:rsid w:val="75581C94"/>
    <w:rsid w:val="755F3023"/>
    <w:rsid w:val="75874327"/>
    <w:rsid w:val="75995FB8"/>
    <w:rsid w:val="75A1188D"/>
    <w:rsid w:val="75B50E95"/>
    <w:rsid w:val="75CA0DE4"/>
    <w:rsid w:val="75CD4430"/>
    <w:rsid w:val="75D25EEA"/>
    <w:rsid w:val="75F75951"/>
    <w:rsid w:val="75FC4D15"/>
    <w:rsid w:val="75FE0A8D"/>
    <w:rsid w:val="76097029"/>
    <w:rsid w:val="76133C04"/>
    <w:rsid w:val="7614241F"/>
    <w:rsid w:val="76292962"/>
    <w:rsid w:val="764A4CEF"/>
    <w:rsid w:val="766C1E9B"/>
    <w:rsid w:val="76880357"/>
    <w:rsid w:val="769D2054"/>
    <w:rsid w:val="76AA4771"/>
    <w:rsid w:val="76CC0B8C"/>
    <w:rsid w:val="76E13170"/>
    <w:rsid w:val="76E311A3"/>
    <w:rsid w:val="77120CFE"/>
    <w:rsid w:val="772938E8"/>
    <w:rsid w:val="7734344E"/>
    <w:rsid w:val="774424D0"/>
    <w:rsid w:val="77813724"/>
    <w:rsid w:val="77972F48"/>
    <w:rsid w:val="77980A6E"/>
    <w:rsid w:val="7798554B"/>
    <w:rsid w:val="77A2369A"/>
    <w:rsid w:val="77B561D9"/>
    <w:rsid w:val="77CB0E43"/>
    <w:rsid w:val="77E141C3"/>
    <w:rsid w:val="77E55B44"/>
    <w:rsid w:val="77F008AA"/>
    <w:rsid w:val="78054355"/>
    <w:rsid w:val="78202F3D"/>
    <w:rsid w:val="782347DB"/>
    <w:rsid w:val="78300CA6"/>
    <w:rsid w:val="783267CC"/>
    <w:rsid w:val="783951EC"/>
    <w:rsid w:val="783C3AEF"/>
    <w:rsid w:val="783E1615"/>
    <w:rsid w:val="78484242"/>
    <w:rsid w:val="78485FF0"/>
    <w:rsid w:val="784E7904"/>
    <w:rsid w:val="786646C8"/>
    <w:rsid w:val="786C4C30"/>
    <w:rsid w:val="7874661E"/>
    <w:rsid w:val="78827754"/>
    <w:rsid w:val="78B91B03"/>
    <w:rsid w:val="78BE2756"/>
    <w:rsid w:val="78C42320"/>
    <w:rsid w:val="78D12489"/>
    <w:rsid w:val="78EA354B"/>
    <w:rsid w:val="79465BE7"/>
    <w:rsid w:val="79711576"/>
    <w:rsid w:val="7973634F"/>
    <w:rsid w:val="797F0066"/>
    <w:rsid w:val="79862855"/>
    <w:rsid w:val="79AB7B9C"/>
    <w:rsid w:val="79C36276"/>
    <w:rsid w:val="79D33BD7"/>
    <w:rsid w:val="79E56BF4"/>
    <w:rsid w:val="79E65AC0"/>
    <w:rsid w:val="7A0712A8"/>
    <w:rsid w:val="7A122F1E"/>
    <w:rsid w:val="7A1A5F3C"/>
    <w:rsid w:val="7A293BFF"/>
    <w:rsid w:val="7A2E3F8E"/>
    <w:rsid w:val="7A340F22"/>
    <w:rsid w:val="7A440A39"/>
    <w:rsid w:val="7A486B67"/>
    <w:rsid w:val="7A5C5D83"/>
    <w:rsid w:val="7A63380E"/>
    <w:rsid w:val="7A7C01D3"/>
    <w:rsid w:val="7A7E002C"/>
    <w:rsid w:val="7A8734B8"/>
    <w:rsid w:val="7A8A6D94"/>
    <w:rsid w:val="7A911ED0"/>
    <w:rsid w:val="7AB64546"/>
    <w:rsid w:val="7AC04563"/>
    <w:rsid w:val="7ACB4729"/>
    <w:rsid w:val="7AE220D3"/>
    <w:rsid w:val="7AE70BAE"/>
    <w:rsid w:val="7AEA7832"/>
    <w:rsid w:val="7AEC455F"/>
    <w:rsid w:val="7B05466C"/>
    <w:rsid w:val="7B0703E4"/>
    <w:rsid w:val="7B197943"/>
    <w:rsid w:val="7B230D85"/>
    <w:rsid w:val="7B4D1357"/>
    <w:rsid w:val="7B641393"/>
    <w:rsid w:val="7B6E2F9B"/>
    <w:rsid w:val="7B89704B"/>
    <w:rsid w:val="7B98702C"/>
    <w:rsid w:val="7BC71922"/>
    <w:rsid w:val="7BC77B74"/>
    <w:rsid w:val="7BD04C7A"/>
    <w:rsid w:val="7BD57CCF"/>
    <w:rsid w:val="7C022E76"/>
    <w:rsid w:val="7C055D6D"/>
    <w:rsid w:val="7C213B75"/>
    <w:rsid w:val="7C305719"/>
    <w:rsid w:val="7C3163FF"/>
    <w:rsid w:val="7C896BD7"/>
    <w:rsid w:val="7C8B6DF3"/>
    <w:rsid w:val="7C8D6749"/>
    <w:rsid w:val="7CA61385"/>
    <w:rsid w:val="7CB718F6"/>
    <w:rsid w:val="7CCC0C02"/>
    <w:rsid w:val="7CE24C65"/>
    <w:rsid w:val="7CE64C01"/>
    <w:rsid w:val="7CFB7AD5"/>
    <w:rsid w:val="7D07647A"/>
    <w:rsid w:val="7D0E5A5A"/>
    <w:rsid w:val="7D123C1F"/>
    <w:rsid w:val="7D145754"/>
    <w:rsid w:val="7D1467DB"/>
    <w:rsid w:val="7D2C7C8E"/>
    <w:rsid w:val="7D625DA6"/>
    <w:rsid w:val="7D871368"/>
    <w:rsid w:val="7D8B70AB"/>
    <w:rsid w:val="7D931348"/>
    <w:rsid w:val="7DC12ACC"/>
    <w:rsid w:val="7DD32800"/>
    <w:rsid w:val="7DF14781"/>
    <w:rsid w:val="7DFA2E1C"/>
    <w:rsid w:val="7E0D3978"/>
    <w:rsid w:val="7E3A287F"/>
    <w:rsid w:val="7E3F7E95"/>
    <w:rsid w:val="7E6873EC"/>
    <w:rsid w:val="7E9E4BBC"/>
    <w:rsid w:val="7EB10D93"/>
    <w:rsid w:val="7EB459DD"/>
    <w:rsid w:val="7ECD724F"/>
    <w:rsid w:val="7EE22D5E"/>
    <w:rsid w:val="7EF02C27"/>
    <w:rsid w:val="7EF91AB2"/>
    <w:rsid w:val="7EFB3E85"/>
    <w:rsid w:val="7F016EF9"/>
    <w:rsid w:val="7F030EC3"/>
    <w:rsid w:val="7F0E20E8"/>
    <w:rsid w:val="7F177E9D"/>
    <w:rsid w:val="7F2729DE"/>
    <w:rsid w:val="7F390D88"/>
    <w:rsid w:val="7F6A2CF0"/>
    <w:rsid w:val="7F841BB1"/>
    <w:rsid w:val="7F8C2C66"/>
    <w:rsid w:val="7FCF1996"/>
    <w:rsid w:val="7FD17D13"/>
    <w:rsid w:val="7FD7406F"/>
    <w:rsid w:val="7FDF106F"/>
    <w:rsid w:val="7FF10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7"/>
    <w:qFormat/>
    <w:uiPriority w:val="0"/>
    <w:pPr>
      <w:keepNext/>
      <w:keepLines/>
      <w:spacing w:before="340" w:after="330" w:line="578" w:lineRule="auto"/>
      <w:jc w:val="center"/>
      <w:outlineLvl w:val="0"/>
    </w:pPr>
    <w:rPr>
      <w:b/>
      <w:bCs/>
      <w:kern w:val="44"/>
      <w:sz w:val="32"/>
      <w:szCs w:val="44"/>
    </w:rPr>
  </w:style>
  <w:style w:type="paragraph" w:styleId="2">
    <w:name w:val="heading 2"/>
    <w:basedOn w:val="1"/>
    <w:next w:val="1"/>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qFormat/>
    <w:uiPriority w:val="0"/>
    <w:pPr>
      <w:keepNext/>
      <w:keepLines/>
      <w:spacing w:before="260" w:after="260" w:line="416" w:lineRule="atLeast"/>
      <w:textAlignment w:val="baseline"/>
      <w:outlineLvl w:val="2"/>
    </w:pPr>
    <w:rPr>
      <w:b/>
      <w:bCs/>
      <w:color w:val="000000"/>
      <w:sz w:val="32"/>
      <w:szCs w:val="32"/>
      <w:u w:color="000000"/>
    </w:rPr>
  </w:style>
  <w:style w:type="paragraph" w:styleId="5">
    <w:name w:val="heading 4"/>
    <w:basedOn w:val="1"/>
    <w:next w:val="1"/>
    <w:link w:val="58"/>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color="000000"/>
    </w:rPr>
  </w:style>
  <w:style w:type="paragraph" w:styleId="6">
    <w:name w:val="heading 5"/>
    <w:basedOn w:val="1"/>
    <w:next w:val="1"/>
    <w:link w:val="59"/>
    <w:qFormat/>
    <w:uiPriority w:val="0"/>
    <w:pPr>
      <w:keepNext/>
      <w:keepLines/>
      <w:spacing w:before="280" w:after="290" w:line="376" w:lineRule="auto"/>
      <w:outlineLvl w:val="4"/>
    </w:pPr>
    <w:rPr>
      <w:b/>
      <w:bCs/>
      <w:sz w:val="28"/>
      <w:szCs w:val="28"/>
    </w:rPr>
  </w:style>
  <w:style w:type="paragraph" w:styleId="7">
    <w:name w:val="heading 6"/>
    <w:basedOn w:val="1"/>
    <w:next w:val="1"/>
    <w:link w:val="60"/>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61"/>
    <w:qFormat/>
    <w:uiPriority w:val="0"/>
    <w:pPr>
      <w:keepNext/>
      <w:keepLines/>
      <w:spacing w:before="240" w:after="64" w:line="320" w:lineRule="auto"/>
      <w:outlineLvl w:val="6"/>
    </w:pPr>
    <w:rPr>
      <w:b/>
      <w:bCs/>
      <w:sz w:val="24"/>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 w:val="clear" w:pos="425"/>
      </w:tabs>
      <w:adjustRightInd w:val="0"/>
      <w:spacing w:line="300" w:lineRule="auto"/>
      <w:textAlignment w:val="baseline"/>
    </w:pPr>
    <w:rPr>
      <w:kern w:val="0"/>
      <w:sz w:val="28"/>
      <w:szCs w:val="20"/>
    </w:rPr>
  </w:style>
  <w:style w:type="paragraph" w:styleId="11">
    <w:name w:val="Normal Indent"/>
    <w:basedOn w:val="1"/>
    <w:next w:val="12"/>
    <w:qFormat/>
    <w:uiPriority w:val="0"/>
    <w:pPr>
      <w:adjustRightInd w:val="0"/>
      <w:spacing w:line="360" w:lineRule="atLeast"/>
      <w:ind w:firstLine="482"/>
      <w:textAlignment w:val="baseline"/>
    </w:pPr>
    <w:rPr>
      <w:kern w:val="0"/>
      <w:sz w:val="24"/>
      <w:szCs w:val="20"/>
    </w:rPr>
  </w:style>
  <w:style w:type="paragraph" w:styleId="12">
    <w:name w:val="Body Text First Indent 2"/>
    <w:basedOn w:val="13"/>
    <w:next w:val="1"/>
    <w:link w:val="56"/>
    <w:qFormat/>
    <w:uiPriority w:val="0"/>
    <w:pPr>
      <w:ind w:left="420" w:firstLine="420" w:firstLineChars="200"/>
    </w:pPr>
    <w:rPr>
      <w:kern w:val="0"/>
      <w:sz w:val="20"/>
      <w:szCs w:val="20"/>
    </w:rPr>
  </w:style>
  <w:style w:type="paragraph" w:styleId="13">
    <w:name w:val="Body Text Indent"/>
    <w:basedOn w:val="1"/>
    <w:next w:val="14"/>
    <w:link w:val="55"/>
    <w:qFormat/>
    <w:uiPriority w:val="0"/>
    <w:pPr>
      <w:spacing w:after="120"/>
      <w:ind w:left="200" w:leftChars="200"/>
    </w:pPr>
  </w:style>
  <w:style w:type="paragraph" w:styleId="14">
    <w:name w:val="envelope return"/>
    <w:basedOn w:val="1"/>
    <w:qFormat/>
    <w:uiPriority w:val="0"/>
    <w:pPr>
      <w:snapToGrid w:val="0"/>
    </w:pPr>
    <w:rPr>
      <w:rFonts w:ascii="Arial" w:hAnsi="Arial"/>
    </w:rPr>
  </w:style>
  <w:style w:type="paragraph" w:styleId="15">
    <w:name w:val="Document Map"/>
    <w:basedOn w:val="1"/>
    <w:next w:val="1"/>
    <w:qFormat/>
    <w:uiPriority w:val="0"/>
    <w:pPr>
      <w:widowControl/>
      <w:shd w:val="clear" w:color="000000" w:fill="000080"/>
      <w:spacing w:line="357" w:lineRule="atLeast"/>
    </w:pPr>
    <w:rPr>
      <w:color w:val="000000"/>
    </w:rPr>
  </w:style>
  <w:style w:type="paragraph" w:styleId="16">
    <w:name w:val="annotation text"/>
    <w:basedOn w:val="1"/>
    <w:link w:val="62"/>
    <w:qFormat/>
    <w:uiPriority w:val="0"/>
    <w:pPr>
      <w:jc w:val="left"/>
    </w:pPr>
  </w:style>
  <w:style w:type="paragraph" w:styleId="17">
    <w:name w:val="Body Text"/>
    <w:basedOn w:val="1"/>
    <w:qFormat/>
    <w:uiPriority w:val="0"/>
    <w:pPr>
      <w:spacing w:after="120"/>
    </w:pPr>
  </w:style>
  <w:style w:type="paragraph" w:styleId="18">
    <w:name w:val="toc 3"/>
    <w:basedOn w:val="1"/>
    <w:next w:val="1"/>
    <w:qFormat/>
    <w:uiPriority w:val="0"/>
    <w:pPr>
      <w:tabs>
        <w:tab w:val="right" w:leader="dot" w:pos="9288"/>
      </w:tabs>
      <w:ind w:left="400" w:leftChars="400"/>
    </w:pPr>
    <w:rPr>
      <w:rFonts w:ascii="宋体"/>
    </w:rPr>
  </w:style>
  <w:style w:type="paragraph" w:styleId="19">
    <w:name w:val="Plain Text"/>
    <w:basedOn w:val="1"/>
    <w:link w:val="63"/>
    <w:qFormat/>
    <w:uiPriority w:val="0"/>
    <w:rPr>
      <w:rFonts w:ascii="宋体"/>
      <w:color w:val="000000"/>
      <w:szCs w:val="20"/>
      <w:u w:color="000000"/>
    </w:rPr>
  </w:style>
  <w:style w:type="paragraph" w:styleId="20">
    <w:name w:val="Date"/>
    <w:basedOn w:val="1"/>
    <w:next w:val="1"/>
    <w:link w:val="64"/>
    <w:qFormat/>
    <w:uiPriority w:val="0"/>
    <w:rPr>
      <w:rFonts w:ascii="Arial" w:hAnsi="Arial" w:eastAsia="仿宋_GB2312"/>
      <w:color w:val="000000"/>
      <w:sz w:val="32"/>
      <w:szCs w:val="20"/>
      <w:u w:color="000000"/>
    </w:rPr>
  </w:style>
  <w:style w:type="paragraph" w:styleId="21">
    <w:name w:val="Body Text Indent 2"/>
    <w:basedOn w:val="1"/>
    <w:link w:val="65"/>
    <w:qFormat/>
    <w:uiPriority w:val="0"/>
    <w:pPr>
      <w:spacing w:after="120" w:line="480" w:lineRule="auto"/>
      <w:ind w:left="420" w:leftChars="200"/>
    </w:pPr>
  </w:style>
  <w:style w:type="paragraph" w:styleId="22">
    <w:name w:val="Balloon Text"/>
    <w:basedOn w:val="1"/>
    <w:link w:val="66"/>
    <w:qFormat/>
    <w:uiPriority w:val="0"/>
    <w:rPr>
      <w:sz w:val="18"/>
      <w:szCs w:val="18"/>
    </w:rPr>
  </w:style>
  <w:style w:type="paragraph" w:styleId="23">
    <w:name w:val="footer"/>
    <w:basedOn w:val="1"/>
    <w:link w:val="67"/>
    <w:qFormat/>
    <w:uiPriority w:val="0"/>
    <w:pPr>
      <w:tabs>
        <w:tab w:val="center" w:pos="4153"/>
        <w:tab w:val="right" w:pos="8306"/>
      </w:tabs>
      <w:snapToGrid w:val="0"/>
      <w:jc w:val="left"/>
    </w:pPr>
    <w:rPr>
      <w:sz w:val="18"/>
      <w:szCs w:val="18"/>
    </w:rPr>
  </w:style>
  <w:style w:type="paragraph" w:styleId="24">
    <w:name w:val="header"/>
    <w:basedOn w:val="1"/>
    <w:link w:val="68"/>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style>
  <w:style w:type="paragraph" w:styleId="26">
    <w:name w:val="Subtitle"/>
    <w:basedOn w:val="1"/>
    <w:next w:val="1"/>
    <w:qFormat/>
    <w:uiPriority w:val="0"/>
    <w:pPr>
      <w:numPr>
        <w:ilvl w:val="0"/>
        <w:numId w:val="3"/>
      </w:numPr>
      <w:spacing w:line="360" w:lineRule="auto"/>
      <w:jc w:val="left"/>
      <w:outlineLvl w:val="1"/>
    </w:pPr>
    <w:rPr>
      <w:rFonts w:ascii="Calibri Light" w:hAnsi="Calibri Light"/>
      <w:bCs/>
      <w:kern w:val="28"/>
      <w:szCs w:val="32"/>
    </w:rPr>
  </w:style>
  <w:style w:type="paragraph" w:styleId="27">
    <w:name w:val="List"/>
    <w:basedOn w:val="1"/>
    <w:qFormat/>
    <w:uiPriority w:val="0"/>
    <w:pPr>
      <w:ind w:left="420" w:hanging="420"/>
    </w:pPr>
    <w:rPr>
      <w:rFonts w:ascii="Arial" w:hAnsi="Arial" w:eastAsia="楷体_GB2312"/>
      <w:sz w:val="28"/>
    </w:rPr>
  </w:style>
  <w:style w:type="paragraph" w:styleId="28">
    <w:name w:val="toc 6"/>
    <w:basedOn w:val="1"/>
    <w:next w:val="1"/>
    <w:qFormat/>
    <w:uiPriority w:val="0"/>
    <w:pPr>
      <w:autoSpaceDE w:val="0"/>
      <w:autoSpaceDN w:val="0"/>
      <w:ind w:left="1700"/>
      <w:jc w:val="left"/>
      <w:textAlignment w:val="baseline"/>
    </w:pPr>
    <w:rPr>
      <w:kern w:val="0"/>
      <w:sz w:val="18"/>
      <w:szCs w:val="18"/>
    </w:rPr>
  </w:style>
  <w:style w:type="paragraph" w:styleId="29">
    <w:name w:val="toc 2"/>
    <w:basedOn w:val="1"/>
    <w:next w:val="1"/>
    <w:qFormat/>
    <w:uiPriority w:val="0"/>
    <w:pPr>
      <w:ind w:left="200" w:leftChars="200"/>
    </w:pPr>
  </w:style>
  <w:style w:type="paragraph" w:styleId="3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qFormat/>
    <w:uiPriority w:val="0"/>
    <w:pPr>
      <w:numPr>
        <w:ilvl w:val="0"/>
        <w:numId w:val="4"/>
      </w:numPr>
      <w:spacing w:line="360" w:lineRule="auto"/>
      <w:jc w:val="left"/>
      <w:outlineLvl w:val="0"/>
    </w:pPr>
    <w:rPr>
      <w:rFonts w:ascii="Cambria" w:hAnsi="Cambria"/>
      <w:b/>
      <w:bCs/>
      <w:sz w:val="28"/>
      <w:szCs w:val="32"/>
    </w:rPr>
  </w:style>
  <w:style w:type="paragraph" w:styleId="33">
    <w:name w:val="annotation subject"/>
    <w:basedOn w:val="16"/>
    <w:next w:val="16"/>
    <w:link w:val="69"/>
    <w:qFormat/>
    <w:uiPriority w:val="0"/>
    <w:rPr>
      <w:b/>
      <w:bCs/>
    </w:rPr>
  </w:style>
  <w:style w:type="paragraph" w:styleId="34">
    <w:name w:val="Body Text First Indent"/>
    <w:basedOn w:val="17"/>
    <w:qFormat/>
    <w:uiPriority w:val="0"/>
    <w:pPr>
      <w:ind w:firstLine="420" w:firstLineChars="100"/>
    </w:p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0"/>
    <w:rPr>
      <w:rFonts w:ascii="Times New Roman" w:hAnsi="Times New Roman" w:eastAsia="宋体" w:cs="Times New Roman"/>
      <w:b/>
    </w:rPr>
  </w:style>
  <w:style w:type="character" w:styleId="39">
    <w:name w:val="page number"/>
    <w:qFormat/>
    <w:uiPriority w:val="0"/>
    <w:rPr>
      <w:rFonts w:ascii="Times New Roman" w:hAnsi="Times New Roman" w:eastAsia="宋体" w:cs="Times New Roman"/>
    </w:rPr>
  </w:style>
  <w:style w:type="character" w:styleId="40">
    <w:name w:val="FollowedHyperlink"/>
    <w:qFormat/>
    <w:uiPriority w:val="0"/>
    <w:rPr>
      <w:rFonts w:ascii="Times New Roman" w:hAnsi="Times New Roman" w:eastAsia="宋体" w:cs="Times New Roman"/>
      <w:color w:val="333333"/>
      <w:u w:val="none"/>
    </w:rPr>
  </w:style>
  <w:style w:type="character" w:styleId="41">
    <w:name w:val="Emphasis"/>
    <w:qFormat/>
    <w:uiPriority w:val="0"/>
    <w:rPr>
      <w:rFonts w:ascii="Times New Roman" w:hAnsi="Times New Roman" w:eastAsia="宋体" w:cs="Times New Roman"/>
      <w:i/>
      <w:iCs/>
    </w:rPr>
  </w:style>
  <w:style w:type="character" w:styleId="42">
    <w:name w:val="HTML Definition"/>
    <w:qFormat/>
    <w:uiPriority w:val="0"/>
    <w:rPr>
      <w:rFonts w:ascii="Times New Roman" w:hAnsi="Times New Roman" w:eastAsia="宋体" w:cs="Times New Roman"/>
    </w:rPr>
  </w:style>
  <w:style w:type="character" w:styleId="43">
    <w:name w:val="HTML Typewriter"/>
    <w:qFormat/>
    <w:uiPriority w:val="0"/>
    <w:rPr>
      <w:rFonts w:hint="default" w:ascii="monospace" w:hAnsi="monospace" w:eastAsia="monospace" w:cs="monospace"/>
      <w:sz w:val="20"/>
    </w:rPr>
  </w:style>
  <w:style w:type="character" w:styleId="44">
    <w:name w:val="HTML Acronym"/>
    <w:qFormat/>
    <w:uiPriority w:val="0"/>
    <w:rPr>
      <w:rFonts w:ascii="Times New Roman" w:hAnsi="Times New Roman" w:eastAsia="宋体" w:cs="Times New Roman"/>
    </w:rPr>
  </w:style>
  <w:style w:type="character" w:styleId="45">
    <w:name w:val="HTML Variable"/>
    <w:qFormat/>
    <w:uiPriority w:val="0"/>
    <w:rPr>
      <w:rFonts w:ascii="Times New Roman" w:hAnsi="Times New Roman" w:eastAsia="宋体" w:cs="Times New Roman"/>
    </w:rPr>
  </w:style>
  <w:style w:type="character" w:styleId="46">
    <w:name w:val="Hyperlink"/>
    <w:qFormat/>
    <w:uiPriority w:val="0"/>
    <w:rPr>
      <w:rFonts w:ascii="Times New Roman" w:hAnsi="Times New Roman" w:eastAsia="宋体" w:cs="Times New Roman"/>
      <w:color w:val="333333"/>
      <w:u w:val="none"/>
    </w:rPr>
  </w:style>
  <w:style w:type="character" w:styleId="47">
    <w:name w:val="HTML Code"/>
    <w:qFormat/>
    <w:uiPriority w:val="0"/>
    <w:rPr>
      <w:rFonts w:hint="default" w:ascii="monospace" w:hAnsi="monospace" w:eastAsia="monospace" w:cs="monospace"/>
      <w:sz w:val="20"/>
    </w:rPr>
  </w:style>
  <w:style w:type="character" w:styleId="48">
    <w:name w:val="annotation reference"/>
    <w:qFormat/>
    <w:uiPriority w:val="0"/>
    <w:rPr>
      <w:rFonts w:ascii="Times New Roman" w:hAnsi="Times New Roman" w:eastAsia="宋体" w:cs="Times New Roman"/>
      <w:sz w:val="21"/>
      <w:szCs w:val="21"/>
    </w:rPr>
  </w:style>
  <w:style w:type="character" w:styleId="49">
    <w:name w:val="HTML Cite"/>
    <w:qFormat/>
    <w:uiPriority w:val="0"/>
    <w:rPr>
      <w:rFonts w:ascii="Times New Roman" w:hAnsi="Times New Roman" w:eastAsia="宋体" w:cs="Times New Roman"/>
    </w:rPr>
  </w:style>
  <w:style w:type="character" w:styleId="50">
    <w:name w:val="HTML Keyboard"/>
    <w:qFormat/>
    <w:uiPriority w:val="0"/>
    <w:rPr>
      <w:rFonts w:hint="default" w:ascii="monospace" w:hAnsi="monospace" w:eastAsia="monospace" w:cs="monospace"/>
      <w:sz w:val="20"/>
    </w:rPr>
  </w:style>
  <w:style w:type="character" w:styleId="51">
    <w:name w:val="HTML Sample"/>
    <w:qFormat/>
    <w:uiPriority w:val="0"/>
    <w:rPr>
      <w:rFonts w:ascii="monospace" w:hAnsi="monospace" w:eastAsia="monospace" w:cs="monospace"/>
    </w:rPr>
  </w:style>
  <w:style w:type="paragraph" w:customStyle="1" w:styleId="52">
    <w:name w:val="正文文本首行缩进 21"/>
    <w:basedOn w:val="13"/>
    <w:next w:val="1"/>
    <w:qFormat/>
    <w:uiPriority w:val="0"/>
    <w:pPr>
      <w:ind w:left="420" w:firstLine="420" w:firstLineChars="200"/>
    </w:pPr>
  </w:style>
  <w:style w:type="paragraph" w:customStyle="1" w:styleId="53">
    <w:name w:val="正文1"/>
    <w:basedOn w:val="1"/>
    <w:next w:val="1"/>
    <w:qFormat/>
    <w:uiPriority w:val="0"/>
    <w:pPr>
      <w:widowControl w:val="0"/>
      <w:spacing w:before="120" w:line="360" w:lineRule="auto"/>
      <w:ind w:left="420" w:firstLine="527"/>
      <w:jc w:val="both"/>
    </w:pPr>
    <w:rPr>
      <w:rFonts w:ascii="宋体" w:hAnsi="宋体"/>
      <w:kern w:val="2"/>
    </w:rPr>
  </w:style>
  <w:style w:type="paragraph" w:customStyle="1" w:styleId="5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5">
    <w:name w:val="正文文本缩进 Char"/>
    <w:link w:val="13"/>
    <w:qFormat/>
    <w:uiPriority w:val="0"/>
    <w:rPr>
      <w:rFonts w:ascii="Times New Roman" w:hAnsi="Times New Roman" w:eastAsia="宋体" w:cs="Times New Roman"/>
      <w:kern w:val="2"/>
      <w:sz w:val="21"/>
      <w:szCs w:val="24"/>
    </w:rPr>
  </w:style>
  <w:style w:type="character" w:customStyle="1" w:styleId="56">
    <w:name w:val="正文首行缩进 2 Char"/>
    <w:link w:val="12"/>
    <w:qFormat/>
    <w:uiPriority w:val="0"/>
    <w:rPr>
      <w:rFonts w:ascii="Times New Roman" w:hAnsi="Times New Roman" w:eastAsia="宋体" w:cs="Times New Roman"/>
    </w:rPr>
  </w:style>
  <w:style w:type="character" w:customStyle="1" w:styleId="57">
    <w:name w:val="标题 1 Char"/>
    <w:link w:val="3"/>
    <w:qFormat/>
    <w:uiPriority w:val="0"/>
    <w:rPr>
      <w:rFonts w:ascii="Times New Roman" w:hAnsi="Times New Roman" w:eastAsia="宋体" w:cs="Times New Roman"/>
      <w:b/>
      <w:bCs/>
      <w:kern w:val="44"/>
      <w:sz w:val="32"/>
      <w:szCs w:val="44"/>
    </w:rPr>
  </w:style>
  <w:style w:type="character" w:customStyle="1" w:styleId="58">
    <w:name w:val="标题 4 Char"/>
    <w:link w:val="5"/>
    <w:qFormat/>
    <w:uiPriority w:val="0"/>
    <w:rPr>
      <w:rFonts w:ascii="Arial" w:hAnsi="Arial" w:eastAsia="黑体" w:cs="Times New Roman"/>
      <w:b/>
      <w:bCs/>
      <w:color w:val="000000"/>
      <w:sz w:val="28"/>
      <w:szCs w:val="28"/>
      <w:u w:val="none" w:color="000000"/>
      <w:lang w:val="en-US" w:eastAsia="zh-CN" w:bidi="ar-SA"/>
    </w:rPr>
  </w:style>
  <w:style w:type="character" w:customStyle="1" w:styleId="59">
    <w:name w:val="标题 5 Char"/>
    <w:link w:val="6"/>
    <w:qFormat/>
    <w:uiPriority w:val="0"/>
    <w:rPr>
      <w:rFonts w:ascii="Times New Roman" w:hAnsi="Times New Roman" w:eastAsia="宋体" w:cs="Times New Roman"/>
      <w:b/>
      <w:bCs/>
      <w:kern w:val="2"/>
      <w:sz w:val="28"/>
      <w:szCs w:val="28"/>
    </w:rPr>
  </w:style>
  <w:style w:type="character" w:customStyle="1" w:styleId="60">
    <w:name w:val="标题 6 Char"/>
    <w:link w:val="7"/>
    <w:qFormat/>
    <w:uiPriority w:val="0"/>
    <w:rPr>
      <w:rFonts w:ascii="Cambria" w:hAnsi="Cambria" w:eastAsia="宋体" w:cs="Times New Roman"/>
      <w:b/>
      <w:bCs/>
      <w:kern w:val="2"/>
      <w:sz w:val="24"/>
      <w:szCs w:val="24"/>
    </w:rPr>
  </w:style>
  <w:style w:type="character" w:customStyle="1" w:styleId="61">
    <w:name w:val="标题 7 Char"/>
    <w:link w:val="8"/>
    <w:qFormat/>
    <w:uiPriority w:val="0"/>
    <w:rPr>
      <w:rFonts w:ascii="Times New Roman" w:hAnsi="Times New Roman" w:eastAsia="宋体" w:cs="Times New Roman"/>
      <w:b/>
      <w:bCs/>
      <w:kern w:val="2"/>
      <w:sz w:val="24"/>
      <w:szCs w:val="24"/>
    </w:rPr>
  </w:style>
  <w:style w:type="character" w:customStyle="1" w:styleId="62">
    <w:name w:val="批注文字 Char"/>
    <w:link w:val="16"/>
    <w:qFormat/>
    <w:uiPriority w:val="0"/>
    <w:rPr>
      <w:rFonts w:ascii="Times New Roman" w:hAnsi="Times New Roman" w:eastAsia="宋体" w:cs="Times New Roman"/>
      <w:kern w:val="2"/>
      <w:sz w:val="21"/>
      <w:szCs w:val="24"/>
    </w:rPr>
  </w:style>
  <w:style w:type="character" w:customStyle="1" w:styleId="63">
    <w:name w:val="纯文本 Char"/>
    <w:link w:val="19"/>
    <w:qFormat/>
    <w:uiPriority w:val="0"/>
    <w:rPr>
      <w:rFonts w:ascii="宋体" w:hAnsi="Times New Roman" w:eastAsia="宋体" w:cs="Times New Roman"/>
      <w:color w:val="000000"/>
      <w:kern w:val="2"/>
      <w:sz w:val="21"/>
      <w:u w:val="none" w:color="000000"/>
      <w:lang w:val="en-US" w:eastAsia="zh-CN" w:bidi="ar-SA"/>
    </w:rPr>
  </w:style>
  <w:style w:type="character" w:customStyle="1" w:styleId="64">
    <w:name w:val="日期 Char"/>
    <w:link w:val="20"/>
    <w:qFormat/>
    <w:uiPriority w:val="0"/>
    <w:rPr>
      <w:rFonts w:ascii="Arial" w:hAnsi="Arial" w:eastAsia="仿宋_GB2312" w:cs="Times New Roman"/>
      <w:color w:val="000000"/>
      <w:kern w:val="2"/>
      <w:sz w:val="32"/>
      <w:u w:val="none" w:color="000000"/>
    </w:rPr>
  </w:style>
  <w:style w:type="character" w:customStyle="1" w:styleId="65">
    <w:name w:val="正文文本缩进 2 Char"/>
    <w:link w:val="21"/>
    <w:qFormat/>
    <w:uiPriority w:val="0"/>
    <w:rPr>
      <w:rFonts w:ascii="Times New Roman" w:hAnsi="Times New Roman" w:eastAsia="宋体" w:cs="Times New Roman"/>
      <w:kern w:val="2"/>
      <w:sz w:val="21"/>
      <w:szCs w:val="24"/>
    </w:rPr>
  </w:style>
  <w:style w:type="character" w:customStyle="1" w:styleId="66">
    <w:name w:val="批注框文本 Char"/>
    <w:link w:val="22"/>
    <w:qFormat/>
    <w:uiPriority w:val="0"/>
    <w:rPr>
      <w:rFonts w:ascii="Times New Roman" w:hAnsi="Times New Roman" w:eastAsia="宋体" w:cs="Times New Roman"/>
      <w:kern w:val="2"/>
      <w:sz w:val="18"/>
      <w:szCs w:val="18"/>
    </w:rPr>
  </w:style>
  <w:style w:type="character" w:customStyle="1" w:styleId="67">
    <w:name w:val="页脚 Char"/>
    <w:link w:val="23"/>
    <w:qFormat/>
    <w:uiPriority w:val="0"/>
    <w:rPr>
      <w:rFonts w:ascii="Times New Roman" w:hAnsi="Times New Roman" w:eastAsia="宋体" w:cs="Times New Roman"/>
      <w:kern w:val="2"/>
      <w:sz w:val="18"/>
      <w:szCs w:val="18"/>
    </w:rPr>
  </w:style>
  <w:style w:type="character" w:customStyle="1" w:styleId="68">
    <w:name w:val="页眉 Char"/>
    <w:link w:val="24"/>
    <w:qFormat/>
    <w:uiPriority w:val="0"/>
    <w:rPr>
      <w:rFonts w:ascii="Times New Roman" w:hAnsi="Times New Roman" w:eastAsia="宋体" w:cs="Times New Roman"/>
      <w:kern w:val="2"/>
      <w:sz w:val="18"/>
      <w:szCs w:val="18"/>
    </w:rPr>
  </w:style>
  <w:style w:type="character" w:customStyle="1" w:styleId="69">
    <w:name w:val="批注主题 Char"/>
    <w:link w:val="33"/>
    <w:qFormat/>
    <w:uiPriority w:val="0"/>
    <w:rPr>
      <w:rFonts w:ascii="Times New Roman" w:hAnsi="Times New Roman" w:eastAsia="宋体" w:cs="Times New Roman"/>
      <w:b/>
      <w:bCs/>
      <w:kern w:val="2"/>
      <w:sz w:val="21"/>
      <w:szCs w:val="24"/>
    </w:rPr>
  </w:style>
  <w:style w:type="character" w:customStyle="1" w:styleId="70">
    <w:name w:val="图表 Char Char"/>
    <w:link w:val="71"/>
    <w:qFormat/>
    <w:uiPriority w:val="0"/>
    <w:rPr>
      <w:rFonts w:ascii="Times New Roman" w:hAnsi="Times New Roman" w:eastAsia="宋体" w:cs="Times New Roman"/>
      <w:kern w:val="2"/>
      <w:sz w:val="21"/>
      <w:szCs w:val="21"/>
    </w:rPr>
  </w:style>
  <w:style w:type="paragraph" w:customStyle="1" w:styleId="71">
    <w:name w:val="图表"/>
    <w:basedOn w:val="1"/>
    <w:next w:val="1"/>
    <w:link w:val="70"/>
    <w:qFormat/>
    <w:uiPriority w:val="0"/>
    <w:pPr>
      <w:jc w:val="center"/>
    </w:pPr>
    <w:rPr>
      <w:szCs w:val="21"/>
    </w:rPr>
  </w:style>
  <w:style w:type="character" w:customStyle="1" w:styleId="72">
    <w:name w:val="【正文】 Char Char"/>
    <w:link w:val="73"/>
    <w:qFormat/>
    <w:uiPriority w:val="0"/>
    <w:rPr>
      <w:rFonts w:ascii="Times New Roman" w:hAnsi="Times New Roman" w:eastAsia="宋体" w:cs="DokChampa"/>
      <w:kern w:val="2"/>
      <w:sz w:val="24"/>
      <w:szCs w:val="22"/>
    </w:rPr>
  </w:style>
  <w:style w:type="paragraph" w:customStyle="1" w:styleId="73">
    <w:name w:val="【正文】"/>
    <w:basedOn w:val="1"/>
    <w:link w:val="72"/>
    <w:qFormat/>
    <w:uiPriority w:val="0"/>
    <w:pPr>
      <w:spacing w:line="360" w:lineRule="auto"/>
      <w:ind w:firstLine="480" w:firstLineChars="200"/>
    </w:pPr>
    <w:rPr>
      <w:sz w:val="24"/>
      <w:szCs w:val="22"/>
    </w:rPr>
  </w:style>
  <w:style w:type="character" w:customStyle="1" w:styleId="74">
    <w:name w:val="selected"/>
    <w:qFormat/>
    <w:uiPriority w:val="0"/>
    <w:rPr>
      <w:rFonts w:ascii="Times New Roman" w:hAnsi="Times New Roman" w:eastAsia="宋体" w:cs="Times New Roman"/>
      <w:shd w:val="clear" w:color="auto" w:fill="B00006"/>
    </w:rPr>
  </w:style>
  <w:style w:type="character" w:customStyle="1" w:styleId="75">
    <w:name w:val="font21"/>
    <w:basedOn w:val="37"/>
    <w:qFormat/>
    <w:uiPriority w:val="0"/>
    <w:rPr>
      <w:rFonts w:hint="eastAsia" w:ascii="宋体" w:hAnsi="宋体" w:eastAsia="宋体" w:cs="宋体"/>
      <w:color w:val="000000"/>
      <w:sz w:val="18"/>
      <w:szCs w:val="18"/>
      <w:u w:val="none"/>
    </w:rPr>
  </w:style>
  <w:style w:type="character" w:customStyle="1" w:styleId="76">
    <w:name w:val="bds_nopic"/>
    <w:qFormat/>
    <w:uiPriority w:val="0"/>
    <w:rPr>
      <w:rFonts w:ascii="Times New Roman" w:hAnsi="Times New Roman" w:eastAsia="宋体" w:cs="Times New Roman"/>
    </w:rPr>
  </w:style>
  <w:style w:type="character" w:customStyle="1" w:styleId="77">
    <w:name w:val="NormalCharacter"/>
    <w:qFormat/>
    <w:uiPriority w:val="0"/>
    <w:rPr>
      <w:rFonts w:ascii="Times New Roman" w:hAnsi="Times New Roman" w:eastAsia="宋体" w:cs="Times New Roman"/>
      <w:kern w:val="2"/>
      <w:sz w:val="21"/>
      <w:szCs w:val="24"/>
      <w:lang w:val="en-US" w:eastAsia="zh-CN" w:bidi="ar-SA"/>
    </w:rPr>
  </w:style>
  <w:style w:type="character" w:customStyle="1" w:styleId="78">
    <w:name w:val="gpa"/>
    <w:qFormat/>
    <w:uiPriority w:val="0"/>
    <w:rPr>
      <w:rFonts w:ascii="Arial" w:hAnsi="Arial" w:eastAsia="宋体" w:cs="Arial"/>
      <w:sz w:val="15"/>
      <w:szCs w:val="15"/>
    </w:rPr>
  </w:style>
  <w:style w:type="character" w:customStyle="1" w:styleId="79">
    <w:name w:val="正文首行缩进 2 Char1"/>
    <w:qFormat/>
    <w:uiPriority w:val="0"/>
    <w:rPr>
      <w:rFonts w:ascii="Times New Roman" w:hAnsi="Times New Roman" w:eastAsia="宋体" w:cs="Times New Roman"/>
    </w:rPr>
  </w:style>
  <w:style w:type="character" w:customStyle="1" w:styleId="80">
    <w:name w:val="列出段落 Char"/>
    <w:link w:val="81"/>
    <w:qFormat/>
    <w:uiPriority w:val="0"/>
    <w:rPr>
      <w:rFonts w:ascii="Calibri" w:hAnsi="Calibri" w:eastAsia="宋体" w:cs="Times New Roman"/>
      <w:kern w:val="2"/>
      <w:sz w:val="21"/>
      <w:szCs w:val="22"/>
      <w:lang w:val="en-US" w:eastAsia="zh-CN" w:bidi="ar-SA"/>
    </w:rPr>
  </w:style>
  <w:style w:type="paragraph" w:customStyle="1" w:styleId="81">
    <w:name w:val="List Paragraph1"/>
    <w:basedOn w:val="1"/>
    <w:link w:val="80"/>
    <w:qFormat/>
    <w:uiPriority w:val="0"/>
    <w:pPr>
      <w:spacing w:line="312" w:lineRule="auto"/>
      <w:ind w:firstLine="420" w:firstLineChars="200"/>
    </w:pPr>
    <w:rPr>
      <w:rFonts w:ascii="Calibri" w:hAnsi="Calibri"/>
      <w:szCs w:val="22"/>
    </w:rPr>
  </w:style>
  <w:style w:type="character" w:customStyle="1" w:styleId="82">
    <w:name w:val="bds_nopic2"/>
    <w:qFormat/>
    <w:uiPriority w:val="0"/>
    <w:rPr>
      <w:rFonts w:ascii="Times New Roman" w:hAnsi="Times New Roman" w:eastAsia="宋体" w:cs="Times New Roman"/>
    </w:rPr>
  </w:style>
  <w:style w:type="character" w:customStyle="1" w:styleId="83">
    <w:name w:val="font61"/>
    <w:qFormat/>
    <w:uiPriority w:val="0"/>
    <w:rPr>
      <w:rFonts w:hint="default" w:ascii="MS Sans Serif" w:hAnsi="MS Sans Serif" w:eastAsia="MS Sans Serif" w:cs="MS Sans Serif"/>
      <w:color w:val="000000"/>
      <w:sz w:val="18"/>
      <w:szCs w:val="18"/>
      <w:u w:val="none"/>
    </w:rPr>
  </w:style>
  <w:style w:type="character" w:customStyle="1" w:styleId="84">
    <w:name w:val="bds_more1"/>
    <w:qFormat/>
    <w:uiPriority w:val="0"/>
    <w:rPr>
      <w:rFonts w:ascii="Times New Roman" w:hAnsi="Times New Roman" w:eastAsia="宋体" w:cs="Times New Roman"/>
    </w:rPr>
  </w:style>
  <w:style w:type="character" w:customStyle="1" w:styleId="85">
    <w:name w:val="font71"/>
    <w:qFormat/>
    <w:uiPriority w:val="0"/>
    <w:rPr>
      <w:rFonts w:hint="default" w:ascii="MS Sans Serif" w:hAnsi="MS Sans Serif" w:eastAsia="MS Sans Serif" w:cs="MS Sans Serif"/>
      <w:color w:val="000000"/>
      <w:sz w:val="18"/>
      <w:szCs w:val="18"/>
      <w:u w:val="none"/>
    </w:rPr>
  </w:style>
  <w:style w:type="character" w:customStyle="1" w:styleId="86">
    <w:name w:val="first-child"/>
    <w:qFormat/>
    <w:uiPriority w:val="0"/>
    <w:rPr>
      <w:rFonts w:ascii="Times New Roman" w:hAnsi="Times New Roman" w:eastAsia="宋体" w:cs="Times New Roman"/>
    </w:rPr>
  </w:style>
  <w:style w:type="character" w:customStyle="1" w:styleId="87">
    <w:name w:val="bds_nopic1"/>
    <w:qFormat/>
    <w:uiPriority w:val="0"/>
    <w:rPr>
      <w:rFonts w:ascii="Times New Roman" w:hAnsi="Times New Roman" w:eastAsia="宋体" w:cs="Times New Roman"/>
    </w:rPr>
  </w:style>
  <w:style w:type="character" w:customStyle="1" w:styleId="88">
    <w:name w:val="layui-this"/>
    <w:qFormat/>
    <w:uiPriority w:val="0"/>
    <w:rPr>
      <w:rFonts w:ascii="Times New Roman" w:hAnsi="Times New Roman" w:eastAsia="宋体" w:cs="Times New Roman"/>
      <w:bdr w:val="single" w:color="EEEEEE" w:sz="6" w:space="0"/>
      <w:shd w:val="clear" w:color="auto" w:fill="FFFFFF"/>
    </w:rPr>
  </w:style>
  <w:style w:type="character" w:customStyle="1" w:styleId="89">
    <w:name w:val="font81"/>
    <w:qFormat/>
    <w:uiPriority w:val="0"/>
    <w:rPr>
      <w:rFonts w:ascii="Arial Unicode MS" w:hAnsi="Arial Unicode MS" w:eastAsia="Arial Unicode MS" w:cs="Arial Unicode MS"/>
      <w:color w:val="000000"/>
      <w:sz w:val="18"/>
      <w:szCs w:val="18"/>
      <w:u w:val="none"/>
    </w:rPr>
  </w:style>
  <w:style w:type="character" w:customStyle="1" w:styleId="90">
    <w:name w:val="apple-converted-space"/>
    <w:qFormat/>
    <w:uiPriority w:val="0"/>
    <w:rPr>
      <w:rFonts w:ascii="Times New Roman" w:hAnsi="Times New Roman" w:eastAsia="宋体" w:cs="Times New Roman"/>
    </w:rPr>
  </w:style>
  <w:style w:type="character" w:customStyle="1" w:styleId="91">
    <w:name w:val="displayarti"/>
    <w:qFormat/>
    <w:uiPriority w:val="0"/>
    <w:rPr>
      <w:rFonts w:ascii="Times New Roman" w:hAnsi="Times New Roman" w:eastAsia="宋体" w:cs="Times New Roman"/>
      <w:color w:val="FFFFFF"/>
      <w:shd w:val="clear" w:color="auto" w:fill="A00000"/>
    </w:rPr>
  </w:style>
  <w:style w:type="character" w:customStyle="1" w:styleId="92">
    <w:name w:val="font131"/>
    <w:qFormat/>
    <w:uiPriority w:val="0"/>
    <w:rPr>
      <w:rFonts w:hint="eastAsia" w:ascii="宋体" w:hAnsi="宋体" w:eastAsia="宋体" w:cs="宋体"/>
      <w:b/>
      <w:bCs/>
      <w:color w:val="000000"/>
      <w:sz w:val="20"/>
      <w:szCs w:val="20"/>
      <w:u w:val="none"/>
    </w:rPr>
  </w:style>
  <w:style w:type="character" w:customStyle="1" w:styleId="93">
    <w:name w:val="bds_more2"/>
    <w:qFormat/>
    <w:uiPriority w:val="0"/>
    <w:rPr>
      <w:rFonts w:ascii="Times New Roman" w:hAnsi="Times New Roman" w:eastAsia="宋体" w:cs="Times New Roman"/>
    </w:rPr>
  </w:style>
  <w:style w:type="character" w:customStyle="1" w:styleId="94">
    <w:name w:val="bds_more"/>
    <w:qFormat/>
    <w:uiPriority w:val="0"/>
    <w:rPr>
      <w:rFonts w:hint="eastAsia" w:ascii="宋体" w:hAnsi="宋体" w:eastAsia="宋体" w:cs="宋体"/>
    </w:rPr>
  </w:style>
  <w:style w:type="paragraph" w:customStyle="1" w:styleId="95">
    <w:name w:val="Char Char Char Char"/>
    <w:basedOn w:val="1"/>
    <w:qFormat/>
    <w:uiPriority w:val="0"/>
    <w:rPr>
      <w:rFonts w:ascii="Tahoma" w:hAnsi="Tahoma"/>
      <w:sz w:val="24"/>
      <w:szCs w:val="20"/>
    </w:rPr>
  </w:style>
  <w:style w:type="paragraph" w:customStyle="1" w:styleId="96">
    <w:name w:val="标题4"/>
    <w:basedOn w:val="1"/>
    <w:qFormat/>
    <w:uiPriority w:val="0"/>
    <w:pPr>
      <w:numPr>
        <w:ilvl w:val="0"/>
        <w:numId w:val="5"/>
      </w:numPr>
      <w:spacing w:line="360" w:lineRule="auto"/>
      <w:ind w:left="720" w:leftChars="300"/>
      <w:jc w:val="left"/>
    </w:pPr>
    <w:rPr>
      <w:rFonts w:ascii="宋体" w:hAnsi="宋体"/>
      <w:sz w:val="18"/>
      <w:szCs w:val="18"/>
    </w:rPr>
  </w:style>
  <w:style w:type="paragraph" w:customStyle="1" w:styleId="97">
    <w:name w:val="Table Paragraph"/>
    <w:basedOn w:val="1"/>
    <w:qFormat/>
    <w:uiPriority w:val="0"/>
    <w:rPr>
      <w:rFonts w:ascii="宋体" w:hAnsi="宋体" w:cs="宋体"/>
      <w:lang w:val="zh-CN" w:bidi="zh-CN"/>
    </w:rPr>
  </w:style>
  <w:style w:type="paragraph" w:customStyle="1" w:styleId="98">
    <w:name w:val="p0"/>
    <w:basedOn w:val="1"/>
    <w:qFormat/>
    <w:uiPriority w:val="0"/>
    <w:pPr>
      <w:widowControl/>
      <w:spacing w:line="365" w:lineRule="atLeast"/>
      <w:ind w:left="1"/>
      <w:textAlignment w:val="bottom"/>
    </w:pPr>
    <w:rPr>
      <w:rFonts w:ascii="Calibri" w:hAnsi="Calibri"/>
      <w:kern w:val="0"/>
      <w:sz w:val="20"/>
      <w:szCs w:val="22"/>
    </w:rPr>
  </w:style>
  <w:style w:type="paragraph" w:customStyle="1" w:styleId="99">
    <w:name w:val="正文 New"/>
    <w:next w:val="100"/>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00">
    <w:name w:val="正文缩进1"/>
    <w:basedOn w:val="1"/>
    <w:next w:val="15"/>
    <w:qFormat/>
    <w:uiPriority w:val="0"/>
    <w:pPr>
      <w:spacing w:line="360" w:lineRule="atLeast"/>
      <w:ind w:firstLine="482"/>
    </w:pPr>
    <w:rPr>
      <w:sz w:val="24"/>
    </w:rPr>
  </w:style>
  <w:style w:type="paragraph" w:customStyle="1" w:styleId="101">
    <w:name w:val="Char Char Char Char Char Char Char1 Char"/>
    <w:basedOn w:val="1"/>
    <w:qFormat/>
    <w:uiPriority w:val="0"/>
    <w:rPr>
      <w:rFonts w:ascii="Tahoma" w:hAnsi="Tahoma"/>
      <w:sz w:val="24"/>
      <w:szCs w:val="20"/>
    </w:rPr>
  </w:style>
  <w:style w:type="paragraph" w:customStyle="1" w:styleId="102">
    <w:name w:val="Char"/>
    <w:basedOn w:val="1"/>
    <w:qFormat/>
    <w:uiPriority w:val="0"/>
  </w:style>
  <w:style w:type="paragraph" w:customStyle="1" w:styleId="103">
    <w:name w:val="（无样式）"/>
    <w:basedOn w:val="1"/>
    <w:qFormat/>
    <w:uiPriority w:val="0"/>
    <w:pPr>
      <w:widowControl/>
      <w:numPr>
        <w:ilvl w:val="0"/>
        <w:numId w:val="6"/>
      </w:numPr>
      <w:spacing w:line="360" w:lineRule="auto"/>
      <w:ind w:firstLine="0"/>
    </w:pPr>
    <w:rPr>
      <w:sz w:val="24"/>
      <w:szCs w:val="20"/>
    </w:rPr>
  </w:style>
  <w:style w:type="paragraph" w:customStyle="1" w:styleId="10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106">
    <w:name w:val="_Style 102"/>
    <w:qFormat/>
    <w:uiPriority w:val="0"/>
    <w:rPr>
      <w:rFonts w:ascii="Times New Roman" w:hAnsi="Times New Roman" w:eastAsia="宋体" w:cs="Times New Roman"/>
      <w:kern w:val="2"/>
      <w:sz w:val="21"/>
      <w:szCs w:val="24"/>
      <w:lang w:val="en-US" w:eastAsia="zh-CN" w:bidi="ar-SA"/>
    </w:rPr>
  </w:style>
  <w:style w:type="paragraph" w:customStyle="1" w:styleId="107">
    <w:name w:val="Char1"/>
    <w:basedOn w:val="1"/>
    <w:next w:val="1"/>
    <w:qFormat/>
    <w:uiPriority w:val="0"/>
    <w:pPr>
      <w:widowControl/>
      <w:spacing w:line="360" w:lineRule="auto"/>
      <w:jc w:val="left"/>
    </w:pPr>
    <w:rPr>
      <w:kern w:val="0"/>
      <w:szCs w:val="20"/>
      <w:lang w:eastAsia="en-US"/>
    </w:rPr>
  </w:style>
  <w:style w:type="paragraph" w:customStyle="1" w:styleId="108">
    <w:name w:val="_Style 2"/>
    <w:basedOn w:val="1"/>
    <w:qFormat/>
    <w:uiPriority w:val="0"/>
  </w:style>
  <w:style w:type="paragraph" w:customStyle="1" w:styleId="109">
    <w:name w:val="列出段落2"/>
    <w:basedOn w:val="1"/>
    <w:qFormat/>
    <w:uiPriority w:val="0"/>
    <w:pPr>
      <w:ind w:firstLine="420" w:firstLineChars="200"/>
    </w:pPr>
    <w:rPr>
      <w:rFonts w:ascii="Calibri" w:hAnsi="Calibri"/>
      <w:szCs w:val="22"/>
    </w:rPr>
  </w:style>
  <w:style w:type="paragraph" w:customStyle="1" w:styleId="110">
    <w:name w:val="*正文"/>
    <w:basedOn w:val="1"/>
    <w:qFormat/>
    <w:uiPriority w:val="0"/>
    <w:pPr>
      <w:widowControl/>
      <w:snapToGrid w:val="0"/>
      <w:ind w:firstLine="560"/>
      <w:jc w:val="left"/>
    </w:pPr>
    <w:rPr>
      <w:rFonts w:ascii="仿宋_GB2312"/>
      <w:color w:val="191919"/>
      <w:sz w:val="28"/>
      <w:szCs w:val="28"/>
    </w:rPr>
  </w:style>
  <w:style w:type="paragraph" w:customStyle="1" w:styleId="111">
    <w:name w:val="列出段落1"/>
    <w:basedOn w:val="1"/>
    <w:qFormat/>
    <w:uiPriority w:val="0"/>
    <w:pPr>
      <w:ind w:firstLine="420" w:firstLineChars="200"/>
    </w:pPr>
  </w:style>
  <w:style w:type="paragraph" w:customStyle="1" w:styleId="112">
    <w:name w:val="HtmlNormal"/>
    <w:basedOn w:val="1"/>
    <w:qFormat/>
    <w:uiPriority w:val="0"/>
    <w:pPr>
      <w:widowControl/>
      <w:spacing w:before="100" w:beforeAutospacing="1" w:after="100" w:afterAutospacing="1"/>
      <w:jc w:val="left"/>
    </w:pPr>
    <w:rPr>
      <w:rFonts w:ascii="宋体" w:hAnsi="宋体"/>
      <w:kern w:val="0"/>
      <w:sz w:val="24"/>
    </w:rPr>
  </w:style>
  <w:style w:type="paragraph" w:styleId="113">
    <w:name w:val="List Paragraph"/>
    <w:basedOn w:val="1"/>
    <w:qFormat/>
    <w:uiPriority w:val="0"/>
    <w:pPr>
      <w:spacing w:line="360" w:lineRule="auto"/>
      <w:ind w:firstLine="420" w:firstLineChars="200"/>
    </w:pPr>
    <w:rPr>
      <w:rFonts w:ascii="宋体" w:hAnsi="宋体" w:cs="宋体"/>
      <w:sz w:val="24"/>
    </w:rPr>
  </w:style>
  <w:style w:type="paragraph" w:customStyle="1" w:styleId="114">
    <w:name w:val="列出段落11"/>
    <w:basedOn w:val="1"/>
    <w:qFormat/>
    <w:uiPriority w:val="0"/>
    <w:pPr>
      <w:spacing w:after="120" w:line="360" w:lineRule="auto"/>
      <w:ind w:firstLine="420" w:firstLineChars="200"/>
    </w:pPr>
    <w:rPr>
      <w:rFonts w:ascii="Calibri" w:hAnsi="Calibri"/>
      <w:szCs w:val="22"/>
    </w:rPr>
  </w:style>
  <w:style w:type="paragraph" w:customStyle="1" w:styleId="115">
    <w:name w:val="_Style 4"/>
    <w:basedOn w:val="1"/>
    <w:qFormat/>
    <w:uiPriority w:val="0"/>
    <w:pPr>
      <w:adjustRightInd w:val="0"/>
      <w:ind w:firstLine="420" w:firstLineChars="200"/>
      <w:jc w:val="left"/>
      <w:textAlignment w:val="baseline"/>
    </w:pPr>
    <w:rPr>
      <w:kern w:val="0"/>
      <w:szCs w:val="20"/>
    </w:rPr>
  </w:style>
  <w:style w:type="paragraph" w:customStyle="1" w:styleId="116">
    <w:name w:val="List Paragraph2"/>
    <w:basedOn w:val="1"/>
    <w:qFormat/>
    <w:uiPriority w:val="0"/>
    <w:pPr>
      <w:spacing w:line="360" w:lineRule="auto"/>
      <w:ind w:firstLine="420"/>
    </w:pPr>
    <w:rPr>
      <w:color w:val="000000"/>
      <w:sz w:val="24"/>
      <w:szCs w:val="21"/>
    </w:rPr>
  </w:style>
  <w:style w:type="paragraph" w:customStyle="1" w:styleId="117">
    <w:name w:val="正文文字 8"/>
    <w:basedOn w:val="1"/>
    <w:next w:val="1"/>
    <w:qFormat/>
    <w:uiPriority w:val="0"/>
    <w:pPr>
      <w:ind w:left="240"/>
    </w:pPr>
    <w:rPr>
      <w:sz w:val="16"/>
    </w:rPr>
  </w:style>
  <w:style w:type="paragraph" w:customStyle="1" w:styleId="118">
    <w:name w:val="样式1"/>
    <w:basedOn w:val="1"/>
    <w:qFormat/>
    <w:uiPriority w:val="0"/>
    <w:pPr>
      <w:spacing w:line="360" w:lineRule="auto"/>
      <w:jc w:val="center"/>
    </w:pPr>
    <w:rPr>
      <w:b/>
      <w:sz w:val="30"/>
      <w:szCs w:val="30"/>
    </w:rPr>
  </w:style>
  <w:style w:type="paragraph" w:customStyle="1" w:styleId="119">
    <w:name w:val="列表2"/>
    <w:basedOn w:val="1"/>
    <w:next w:val="1"/>
    <w:qFormat/>
    <w:uiPriority w:val="0"/>
    <w:pPr>
      <w:numPr>
        <w:ilvl w:val="0"/>
        <w:numId w:val="7"/>
      </w:numPr>
      <w:spacing w:line="200" w:lineRule="atLeast"/>
    </w:pPr>
    <w:rPr>
      <w:rFonts w:eastAsia="仿宋"/>
      <w:sz w:val="28"/>
    </w:rPr>
  </w:style>
  <w:style w:type="paragraph" w:customStyle="1" w:styleId="120">
    <w:name w:val="标题3-副本"/>
    <w:basedOn w:val="26"/>
    <w:qFormat/>
    <w:uiPriority w:val="0"/>
    <w:pPr>
      <w:numPr>
        <w:ilvl w:val="0"/>
        <w:numId w:val="0"/>
      </w:numPr>
      <w:ind w:left="840"/>
    </w:pPr>
    <w:rPr>
      <w:rFonts w:ascii="Times New Roman" w:hAnsi="Times New Roman"/>
    </w:rPr>
  </w:style>
  <w:style w:type="paragraph" w:customStyle="1" w:styleId="121">
    <w:name w:val="_Style 117"/>
    <w:basedOn w:val="1"/>
    <w:next w:val="1"/>
    <w:qFormat/>
    <w:uiPriority w:val="0"/>
    <w:pPr>
      <w:pBdr>
        <w:bottom w:val="single" w:color="auto" w:sz="6" w:space="1"/>
      </w:pBdr>
      <w:jc w:val="center"/>
    </w:pPr>
    <w:rPr>
      <w:rFonts w:ascii="Arial"/>
      <w:vanish/>
      <w:sz w:val="16"/>
    </w:rPr>
  </w:style>
  <w:style w:type="paragraph" w:customStyle="1" w:styleId="122">
    <w:name w:val="_Style 118"/>
    <w:basedOn w:val="1"/>
    <w:next w:val="1"/>
    <w:qFormat/>
    <w:uiPriority w:val="0"/>
    <w:pPr>
      <w:pBdr>
        <w:top w:val="single" w:color="auto" w:sz="6" w:space="1"/>
      </w:pBdr>
      <w:jc w:val="center"/>
    </w:pPr>
    <w:rPr>
      <w:rFonts w:ascii="Arial"/>
      <w:vanish/>
      <w:sz w:val="16"/>
    </w:rPr>
  </w:style>
  <w:style w:type="paragraph" w:customStyle="1" w:styleId="123">
    <w:name w:val="无间隔1"/>
    <w:basedOn w:val="1"/>
    <w:qFormat/>
    <w:uiPriority w:val="0"/>
    <w:pPr>
      <w:widowControl/>
      <w:adjustRightInd w:val="0"/>
      <w:snapToGrid w:val="0"/>
      <w:jc w:val="left"/>
    </w:pPr>
    <w:rPr>
      <w:rFonts w:ascii="Tahoma" w:hAnsi="Tahoma" w:eastAsia="微软雅黑"/>
      <w:kern w:val="0"/>
      <w:sz w:val="24"/>
      <w:szCs w:val="22"/>
    </w:rPr>
  </w:style>
  <w:style w:type="paragraph" w:customStyle="1" w:styleId="124">
    <w:name w:val="text-tag1"/>
    <w:basedOn w:val="1"/>
    <w:qFormat/>
    <w:uiPriority w:val="0"/>
    <w:pPr>
      <w:widowControl/>
      <w:spacing w:before="100" w:beforeAutospacing="1" w:after="100" w:afterAutospacing="1"/>
      <w:jc w:val="left"/>
    </w:pPr>
    <w:rPr>
      <w:rFonts w:ascii="宋体" w:hAnsi="宋体" w:cs="宋体"/>
      <w:kern w:val="0"/>
      <w:sz w:val="24"/>
    </w:rPr>
  </w:style>
  <w:style w:type="character" w:customStyle="1" w:styleId="125">
    <w:name w:val="font11"/>
    <w:qFormat/>
    <w:uiPriority w:val="0"/>
    <w:rPr>
      <w:rFonts w:hint="eastAsia" w:ascii="宋体" w:hAnsi="宋体" w:eastAsia="宋体" w:cs="宋体"/>
      <w:color w:val="000000"/>
      <w:sz w:val="16"/>
      <w:szCs w:val="16"/>
      <w:u w:val="none"/>
    </w:rPr>
  </w:style>
  <w:style w:type="character" w:customStyle="1" w:styleId="126">
    <w:name w:val="font31"/>
    <w:basedOn w:val="37"/>
    <w:qFormat/>
    <w:uiPriority w:val="0"/>
    <w:rPr>
      <w:rFonts w:ascii="宋体" w:hAnsi="宋体" w:eastAsia="宋体" w:cs="宋体"/>
      <w:color w:val="000000"/>
      <w:sz w:val="16"/>
      <w:szCs w:val="16"/>
      <w:u w:val="none"/>
    </w:rPr>
  </w:style>
  <w:style w:type="character" w:customStyle="1" w:styleId="127">
    <w:name w:val="font41"/>
    <w:basedOn w:val="37"/>
    <w:qFormat/>
    <w:uiPriority w:val="0"/>
    <w:rPr>
      <w:rFonts w:hint="eastAsia" w:ascii="宋体" w:hAnsi="宋体" w:eastAsia="宋体" w:cs="宋体"/>
      <w:color w:val="000000"/>
      <w:sz w:val="21"/>
      <w:szCs w:val="21"/>
      <w:u w:val="none"/>
    </w:rPr>
  </w:style>
  <w:style w:type="character" w:customStyle="1" w:styleId="128">
    <w:name w:val="hover"/>
    <w:basedOn w:val="37"/>
    <w:qFormat/>
    <w:uiPriority w:val="0"/>
  </w:style>
  <w:style w:type="character" w:customStyle="1" w:styleId="129">
    <w:name w:val="hover1"/>
    <w:basedOn w:val="37"/>
    <w:qFormat/>
    <w:uiPriority w:val="0"/>
    <w:rPr>
      <w:color w:val="2590EB"/>
    </w:rPr>
  </w:style>
  <w:style w:type="character" w:customStyle="1" w:styleId="130">
    <w:name w:val="hover2"/>
    <w:basedOn w:val="37"/>
    <w:qFormat/>
    <w:uiPriority w:val="0"/>
    <w:rPr>
      <w:color w:val="2590EB"/>
    </w:rPr>
  </w:style>
  <w:style w:type="character" w:customStyle="1" w:styleId="131">
    <w:name w:val="hover3"/>
    <w:basedOn w:val="37"/>
    <w:qFormat/>
    <w:uiPriority w:val="0"/>
    <w:rPr>
      <w:color w:val="2590EB"/>
      <w:shd w:val="clear" w:color="auto" w:fill="E9F4FD"/>
    </w:rPr>
  </w:style>
  <w:style w:type="table" w:customStyle="1" w:styleId="132">
    <w:name w:val="Table Normal"/>
    <w:semiHidden/>
    <w:unhideWhenUsed/>
    <w:qFormat/>
    <w:uiPriority w:val="0"/>
    <w:tblPr>
      <w:tblCellMar>
        <w:top w:w="0" w:type="dxa"/>
        <w:left w:w="0" w:type="dxa"/>
        <w:bottom w:w="0" w:type="dxa"/>
        <w:right w:w="0" w:type="dxa"/>
      </w:tblCellMar>
    </w:tblPr>
  </w:style>
  <w:style w:type="paragraph" w:customStyle="1" w:styleId="133">
    <w:name w:val="Table Text"/>
    <w:basedOn w:val="1"/>
    <w:semiHidden/>
    <w:qFormat/>
    <w:uiPriority w:val="0"/>
    <w:rPr>
      <w:rFonts w:ascii="宋体" w:hAnsi="宋体" w:eastAsia="宋体" w:cs="宋体"/>
      <w:sz w:val="20"/>
      <w:szCs w:val="20"/>
      <w:lang w:val="en-US" w:eastAsia="en-US" w:bidi="ar-SA"/>
    </w:rPr>
  </w:style>
  <w:style w:type="character" w:customStyle="1" w:styleId="134">
    <w:name w:val="fontstyle01"/>
    <w:basedOn w:val="37"/>
    <w:qFormat/>
    <w:uiPriority w:val="0"/>
    <w:rPr>
      <w:rFonts w:ascii="宋体" w:hAnsi="宋体" w:eastAsia="宋体" w:cs="宋体"/>
      <w:color w:val="000000"/>
      <w:sz w:val="32"/>
      <w:szCs w:val="32"/>
    </w:rPr>
  </w:style>
  <w:style w:type="character" w:customStyle="1" w:styleId="135">
    <w:name w:val="fontstyle21"/>
    <w:basedOn w:val="37"/>
    <w:qFormat/>
    <w:uiPriority w:val="0"/>
    <w:rPr>
      <w:rFonts w:ascii="TimesNewRomanPSMT" w:hAnsi="TimesNewRomanPSMT" w:eastAsia="TimesNewRomanPSMT" w:cs="TimesNewRomanPSMT"/>
      <w:color w:val="000000"/>
      <w:sz w:val="18"/>
      <w:szCs w:val="18"/>
    </w:rPr>
  </w:style>
  <w:style w:type="character" w:customStyle="1" w:styleId="136">
    <w:name w:val="font01"/>
    <w:basedOn w:val="37"/>
    <w:qFormat/>
    <w:uiPriority w:val="0"/>
    <w:rPr>
      <w:rFonts w:hint="eastAsia" w:ascii="宋体" w:hAnsi="宋体" w:eastAsia="宋体" w:cs="宋体"/>
      <w:color w:val="FF0000"/>
      <w:sz w:val="20"/>
      <w:szCs w:val="20"/>
      <w:u w:val="none"/>
    </w:rPr>
  </w:style>
  <w:style w:type="paragraph" w:customStyle="1" w:styleId="137">
    <w:name w:val="Char Char Char Char Char Char Char"/>
    <w:basedOn w:val="1"/>
    <w:qFormat/>
    <w:uiPriority w:val="0"/>
    <w:pPr>
      <w:tabs>
        <w:tab w:val="left" w:pos="432"/>
      </w:tabs>
      <w:ind w:left="432" w:hanging="432"/>
    </w:pPr>
    <w:rPr>
      <w:rFonts w:ascii="Tahoma" w:hAnsi="Tahoma"/>
      <w:sz w:val="24"/>
      <w:szCs w:val="20"/>
    </w:rPr>
  </w:style>
  <w:style w:type="character" w:customStyle="1" w:styleId="138">
    <w:name w:val="hover4"/>
    <w:basedOn w:val="37"/>
    <w:qFormat/>
    <w:uiPriority w:val="0"/>
    <w:rPr>
      <w:color w:val="2590EB"/>
      <w:shd w:val="clear" w:fill="E9F4FD"/>
    </w:rPr>
  </w:style>
  <w:style w:type="character" w:customStyle="1" w:styleId="139">
    <w:name w:val="mini-outputtext1"/>
    <w:basedOn w:val="37"/>
    <w:qFormat/>
    <w:uiPriority w:val="0"/>
  </w:style>
  <w:style w:type="character" w:customStyle="1" w:styleId="140">
    <w:name w:val="layui-layer-tabnow"/>
    <w:basedOn w:val="37"/>
    <w:qFormat/>
    <w:uiPriority w:val="0"/>
    <w:rPr>
      <w:bdr w:val="single" w:color="CCCCCC" w:sz="6" w:space="0"/>
      <w:shd w:val="clear" w:fill="FFFFFF"/>
    </w:rPr>
  </w:style>
  <w:style w:type="paragraph" w:customStyle="1" w:styleId="141">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66</Pages>
  <Words>15897</Words>
  <Characters>17485</Characters>
  <Lines>334</Lines>
  <Paragraphs>94</Paragraphs>
  <TotalTime>12</TotalTime>
  <ScaleCrop>false</ScaleCrop>
  <LinksUpToDate>false</LinksUpToDate>
  <CharactersWithSpaces>17846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2025-08-21T01:45:00Z</dcterms:created>
  <dc:creator>陈倩倩</dc:creator>
  <cp:lastModifiedBy>代理</cp:lastModifiedBy>
  <cp:lastPrinted>2025-11-26T07:45:00Z</cp:lastPrinted>
  <dcterms:modified xsi:type="dcterms:W3CDTF">2026-08-20T08:32:04Z</dcterms:modified>
  <dc:title>滁州市人力资源和社会保障信息中心信息网络设备采购及安装项目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D4D4E1AD1F71471DA3B39EA6031D02A0_13</vt:lpwstr>
  </property>
  <property fmtid="{D5CDD505-2E9C-101B-9397-08002B2CF9AE}" pid="4" name="KSOTemplateDocerSaveRecord">
    <vt:lpwstr>eyJoZGlkIjoiOTc5MDNjMmIyODczM2YwMGZkZTNjYWY1NjIxZTY5YjciLCJ1c2VySWQiOiI1MDM3MjkwOTMifQ==</vt:lpwstr>
  </property>
</Properties>
</file>