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07B8E">
      <w:pPr>
        <w:keepNext w:val="0"/>
        <w:keepLines w:val="0"/>
        <w:widowControl/>
        <w:suppressLineNumbers w:val="0"/>
        <w:spacing w:before="0" w:beforeAutospacing="0" w:after="0" w:afterAutospacing="0" w:line="357" w:lineRule="atLeast"/>
        <w:ind w:left="0" w:right="0"/>
        <w:jc w:val="both"/>
        <w:rPr>
          <w:color w:val="auto"/>
          <w:sz w:val="39"/>
          <w:szCs w:val="21"/>
          <w:highlight w:val="none"/>
          <w:lang w:val="en-US"/>
        </w:rPr>
      </w:pPr>
    </w:p>
    <w:p w14:paraId="2F01BC64">
      <w:pPr>
        <w:keepNext w:val="0"/>
        <w:keepLines w:val="0"/>
        <w:widowControl/>
        <w:suppressLineNumbers w:val="0"/>
        <w:spacing w:before="0" w:beforeAutospacing="0" w:after="0" w:afterAutospacing="0" w:line="357" w:lineRule="atLeast"/>
        <w:ind w:left="0" w:right="0"/>
        <w:jc w:val="both"/>
        <w:rPr>
          <w:color w:val="auto"/>
          <w:sz w:val="39"/>
          <w:szCs w:val="21"/>
          <w:highlight w:val="none"/>
          <w:lang w:val="en-US"/>
        </w:rPr>
      </w:pPr>
    </w:p>
    <w:p w14:paraId="7A1FD58A">
      <w:pPr>
        <w:spacing w:line="600" w:lineRule="auto"/>
        <w:jc w:val="center"/>
        <w:rPr>
          <w:rFonts w:hint="eastAsia" w:ascii="Times New Roman" w:hAnsi="Times New Roman" w:eastAsia="宋体" w:cs="宋体"/>
          <w:b/>
          <w:bCs w:val="0"/>
          <w:color w:val="auto"/>
          <w:kern w:val="0"/>
          <w:sz w:val="52"/>
          <w:szCs w:val="32"/>
          <w:highlight w:val="none"/>
          <w:u w:color="000000"/>
          <w:lang w:val="en-US" w:eastAsia="zh-CN" w:bidi="ar"/>
        </w:rPr>
      </w:pPr>
      <w:r>
        <w:rPr>
          <w:rFonts w:hint="eastAsia" w:ascii="新宋体" w:hAnsi="新宋体" w:eastAsia="新宋体"/>
          <w:b/>
          <w:color w:val="auto"/>
          <w:sz w:val="48"/>
          <w:szCs w:val="48"/>
          <w:highlight w:val="none"/>
          <w:lang w:eastAsia="zh-CN"/>
        </w:rPr>
        <w:t>滁州市发展和改革委员会2026年度市级救灾物资采购项目</w:t>
      </w:r>
    </w:p>
    <w:p w14:paraId="66A3C945">
      <w:pPr>
        <w:pStyle w:val="7"/>
        <w:rPr>
          <w:rFonts w:hint="eastAsia" w:ascii="Times New Roman" w:hAnsi="Times New Roman" w:eastAsia="宋体" w:cs="宋体"/>
          <w:b/>
          <w:bCs w:val="0"/>
          <w:color w:val="auto"/>
          <w:kern w:val="0"/>
          <w:sz w:val="48"/>
          <w:szCs w:val="28"/>
          <w:highlight w:val="none"/>
          <w:u w:color="000000"/>
          <w:lang w:val="en-US" w:eastAsia="zh-CN" w:bidi="ar"/>
        </w:rPr>
      </w:pPr>
    </w:p>
    <w:p w14:paraId="63BDAB49">
      <w:pPr>
        <w:rPr>
          <w:rFonts w:hint="eastAsia"/>
          <w:color w:val="auto"/>
          <w:highlight w:val="none"/>
          <w:lang w:val="en-US" w:eastAsia="zh-CN"/>
        </w:rPr>
      </w:pPr>
    </w:p>
    <w:p w14:paraId="47AD5D87">
      <w:pPr>
        <w:pStyle w:val="7"/>
        <w:rPr>
          <w:rFonts w:hint="eastAsia"/>
          <w:color w:val="auto"/>
          <w:highlight w:val="none"/>
          <w:lang w:val="en-US" w:eastAsia="zh-CN"/>
        </w:rPr>
      </w:pPr>
    </w:p>
    <w:p w14:paraId="504915CF">
      <w:pPr>
        <w:rPr>
          <w:rFonts w:hint="eastAsia"/>
          <w:color w:val="auto"/>
          <w:highlight w:val="none"/>
          <w:lang w:val="en-US" w:eastAsia="zh-CN"/>
        </w:rPr>
      </w:pPr>
    </w:p>
    <w:p w14:paraId="2CF6944F">
      <w:pPr>
        <w:rPr>
          <w:rFonts w:hint="eastAsia"/>
          <w:color w:val="auto"/>
          <w:highlight w:val="none"/>
          <w:lang w:val="en-US" w:eastAsia="zh-CN"/>
        </w:rPr>
      </w:pPr>
    </w:p>
    <w:p w14:paraId="5823FE8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auto"/>
          <w:sz w:val="28"/>
          <w:szCs w:val="28"/>
          <w:highlight w:val="none"/>
          <w:lang w:val="en-US"/>
        </w:rPr>
      </w:pPr>
      <w:r>
        <w:rPr>
          <w:rFonts w:hint="eastAsia" w:ascii="宋体" w:hAnsi="宋体" w:eastAsia="宋体" w:cs="宋体"/>
          <w:b/>
          <w:bCs w:val="0"/>
          <w:color w:val="auto"/>
          <w:kern w:val="0"/>
          <w:sz w:val="84"/>
          <w:szCs w:val="84"/>
          <w:highlight w:val="none"/>
          <w:u w:color="000000"/>
          <w:lang w:val="en-US" w:eastAsia="zh-CN" w:bidi="ar"/>
        </w:rPr>
        <w:t>招 标 文 件</w:t>
      </w:r>
    </w:p>
    <w:p w14:paraId="0DB89E28">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8"/>
          <w:szCs w:val="28"/>
          <w:highlight w:val="none"/>
          <w:u w:color="000000"/>
          <w:lang w:val="en-US" w:eastAsia="zh-CN" w:bidi="ar"/>
        </w:rPr>
        <w:t xml:space="preserve">                 </w:t>
      </w:r>
    </w:p>
    <w:p w14:paraId="0313B29E">
      <w:pPr>
        <w:pStyle w:val="19"/>
        <w:widowControl/>
        <w:rPr>
          <w:color w:val="auto"/>
          <w:highlight w:val="none"/>
          <w:lang w:val="en-US"/>
        </w:rPr>
      </w:pPr>
      <w:r>
        <w:rPr>
          <w:color w:val="auto"/>
          <w:highlight w:val="none"/>
          <w:lang w:val="en-US"/>
        </w:rPr>
        <w:t xml:space="preserve"> </w:t>
      </w:r>
    </w:p>
    <w:p w14:paraId="32FEB2A9">
      <w:pPr>
        <w:pStyle w:val="19"/>
        <w:widowControl/>
        <w:rPr>
          <w:color w:val="auto"/>
          <w:highlight w:val="none"/>
          <w:lang w:val="en-US"/>
        </w:rPr>
      </w:pPr>
      <w:r>
        <w:rPr>
          <w:color w:val="auto"/>
          <w:highlight w:val="none"/>
          <w:lang w:val="en-US"/>
        </w:rPr>
        <w:t xml:space="preserve"> </w:t>
      </w:r>
    </w:p>
    <w:p w14:paraId="760646FD">
      <w:pPr>
        <w:pStyle w:val="19"/>
        <w:widowControl/>
        <w:rPr>
          <w:color w:val="auto"/>
          <w:highlight w:val="none"/>
          <w:lang w:val="en-US"/>
        </w:rPr>
      </w:pPr>
      <w:r>
        <w:rPr>
          <w:color w:val="auto"/>
          <w:highlight w:val="none"/>
          <w:lang w:val="en-US"/>
        </w:rPr>
        <w:t xml:space="preserve"> </w:t>
      </w:r>
    </w:p>
    <w:p w14:paraId="4A5F6B66">
      <w:pPr>
        <w:pStyle w:val="19"/>
        <w:widowControl/>
        <w:rPr>
          <w:rFonts w:hint="default" w:eastAsia="宋体"/>
          <w:b/>
          <w:bCs/>
          <w:color w:val="auto"/>
          <w:sz w:val="30"/>
          <w:szCs w:val="30"/>
          <w:highlight w:val="none"/>
          <w:lang w:val="en-US" w:eastAsia="zh-CN"/>
        </w:rPr>
      </w:pPr>
      <w:r>
        <w:rPr>
          <w:color w:val="auto"/>
          <w:highlight w:val="none"/>
          <w:lang w:val="en-US"/>
        </w:rPr>
        <w:t xml:space="preserve"> </w:t>
      </w:r>
    </w:p>
    <w:p w14:paraId="32CC9159">
      <w:pPr>
        <w:spacing w:line="800" w:lineRule="exact"/>
        <w:jc w:val="center"/>
        <w:rPr>
          <w:rFonts w:hint="eastAsia" w:ascii="宋体"/>
          <w:b/>
          <w:color w:val="auto"/>
          <w:sz w:val="32"/>
          <w:szCs w:val="32"/>
          <w:highlight w:val="none"/>
        </w:rPr>
      </w:pPr>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hAnsi="宋体" w:eastAsia="宋体" w:cs="宋体"/>
          <w:b/>
          <w:bCs/>
          <w:color w:val="auto"/>
          <w:sz w:val="32"/>
          <w:szCs w:val="32"/>
          <w:highlight w:val="none"/>
          <w:u w:val="single"/>
          <w:lang w:val="en-US" w:eastAsia="zh-CN"/>
        </w:rPr>
        <w:t>滁州市发展和改革委员会</w:t>
      </w:r>
      <w:r>
        <w:rPr>
          <w:rFonts w:hint="eastAsia" w:ascii="宋体"/>
          <w:b/>
          <w:color w:val="auto"/>
          <w:sz w:val="32"/>
          <w:szCs w:val="32"/>
          <w:highlight w:val="none"/>
        </w:rPr>
        <w:t>（盖单位章）</w:t>
      </w:r>
    </w:p>
    <w:p w14:paraId="024B2665">
      <w:pPr>
        <w:spacing w:line="800" w:lineRule="exact"/>
        <w:jc w:val="center"/>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hAnsi="宋体" w:cs="宋体"/>
          <w:b/>
          <w:bCs/>
          <w:color w:val="auto"/>
          <w:sz w:val="32"/>
          <w:szCs w:val="32"/>
          <w:highlight w:val="none"/>
          <w:u w:val="single"/>
        </w:rPr>
        <w:t>滁州市城投工程咨询管理有限公司</w:t>
      </w:r>
      <w:r>
        <w:rPr>
          <w:rFonts w:hint="eastAsia" w:ascii="宋体"/>
          <w:b/>
          <w:color w:val="auto"/>
          <w:sz w:val="32"/>
          <w:szCs w:val="32"/>
          <w:highlight w:val="none"/>
        </w:rPr>
        <w:t>（盖单位章）</w:t>
      </w:r>
    </w:p>
    <w:p w14:paraId="5F3B1B90">
      <w:pPr>
        <w:spacing w:line="800" w:lineRule="exact"/>
        <w:jc w:val="center"/>
        <w:rPr>
          <w:rFonts w:hint="eastAsia" w:ascii="宋体" w:eastAsia="宋体"/>
          <w:b/>
          <w:color w:val="auto"/>
          <w:sz w:val="32"/>
          <w:szCs w:val="32"/>
          <w:highlight w:val="none"/>
          <w:lang w:val="en-US" w:eastAsia="zh-CN"/>
        </w:rPr>
      </w:pPr>
      <w:r>
        <w:rPr>
          <w:rFonts w:hint="eastAsia" w:ascii="宋体" w:eastAsia="宋体"/>
          <w:b/>
          <w:color w:val="auto"/>
          <w:sz w:val="32"/>
          <w:szCs w:val="32"/>
          <w:highlight w:val="none"/>
          <w:u w:val="single"/>
          <w:lang w:eastAsia="zh-CN"/>
        </w:rPr>
        <w:t>2026年8月</w:t>
      </w:r>
    </w:p>
    <w:p w14:paraId="237D6298">
      <w:pPr>
        <w:pStyle w:val="7"/>
        <w:widowControl/>
        <w:spacing w:before="0" w:beforeAutospacing="0" w:after="120" w:afterAutospacing="0"/>
        <w:ind w:left="0" w:leftChars="0" w:right="0" w:firstLine="0" w:firstLineChars="0"/>
        <w:rPr>
          <w:rFonts w:hint="eastAsia" w:ascii="宋体" w:hAnsi="宋体" w:eastAsia="宋体" w:cs="宋体"/>
          <w:b/>
          <w:bCs w:val="0"/>
          <w:color w:val="auto"/>
          <w:kern w:val="0"/>
          <w:sz w:val="36"/>
          <w:szCs w:val="36"/>
          <w:highlight w:val="none"/>
          <w:u w:color="000000"/>
          <w:lang w:val="en-US" w:eastAsia="zh-CN" w:bidi="ar"/>
        </w:rPr>
      </w:pPr>
    </w:p>
    <w:p w14:paraId="18198B95">
      <w:pPr>
        <w:rPr>
          <w:rFonts w:hint="eastAsia"/>
          <w:color w:val="auto"/>
          <w:highlight w:val="none"/>
          <w:lang w:val="en-US" w:eastAsia="zh-CN"/>
        </w:rPr>
      </w:pPr>
    </w:p>
    <w:p w14:paraId="3BC022CD">
      <w:pPr>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 xml:space="preserve">目 </w:t>
      </w:r>
      <w:r>
        <w:rPr>
          <w:rFonts w:hint="default" w:ascii="Times New Roman" w:hAnsi="Times New Roman" w:eastAsia="宋体" w:cs="Times New Roman"/>
          <w:b/>
          <w:bCs w:val="0"/>
          <w:color w:val="auto"/>
          <w:kern w:val="0"/>
          <w:sz w:val="36"/>
          <w:szCs w:val="36"/>
          <w:highlight w:val="none"/>
          <w:u w:color="000000"/>
          <w:lang w:val="en-US" w:eastAsia="zh-CN" w:bidi="ar"/>
        </w:rPr>
        <w:t xml:space="preserve"> </w:t>
      </w:r>
      <w:r>
        <w:rPr>
          <w:rFonts w:hint="eastAsia" w:ascii="宋体" w:hAnsi="宋体" w:eastAsia="宋体" w:cs="宋体"/>
          <w:b/>
          <w:bCs w:val="0"/>
          <w:color w:val="auto"/>
          <w:kern w:val="0"/>
          <w:sz w:val="36"/>
          <w:szCs w:val="36"/>
          <w:highlight w:val="none"/>
          <w:u w:color="000000"/>
          <w:lang w:val="en-US" w:eastAsia="zh-CN" w:bidi="ar"/>
        </w:rPr>
        <w:t>录</w:t>
      </w:r>
    </w:p>
    <w:p w14:paraId="583F5678">
      <w:pPr>
        <w:pStyle w:val="18"/>
        <w:tabs>
          <w:tab w:val="right" w:leader="dot" w:pos="8306"/>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TOC \o "1-1" \h \u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 HYPERLINK \l _Toc4487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sz w:val="28"/>
          <w:szCs w:val="28"/>
          <w:highlight w:val="none"/>
          <w:lang w:eastAsia="zh-CN"/>
        </w:rPr>
        <w:t>第一章</w:t>
      </w:r>
      <w:r>
        <w:rPr>
          <w:rFonts w:hint="eastAsia" w:ascii="宋体" w:hAnsi="宋体" w:eastAsia="宋体" w:cs="宋体"/>
          <w:b w:val="0"/>
          <w:bCs w:val="0"/>
          <w:color w:val="auto"/>
          <w:sz w:val="28"/>
          <w:szCs w:val="28"/>
          <w:highlight w:val="none"/>
          <w:lang w:val="en-US"/>
        </w:rPr>
        <w:t xml:space="preserve">  </w:t>
      </w:r>
      <w:r>
        <w:rPr>
          <w:rFonts w:hint="eastAsia" w:ascii="宋体" w:hAnsi="宋体" w:eastAsia="宋体" w:cs="宋体"/>
          <w:b w:val="0"/>
          <w:bCs w:val="0"/>
          <w:color w:val="auto"/>
          <w:sz w:val="28"/>
          <w:szCs w:val="28"/>
          <w:highlight w:val="none"/>
          <w:lang w:eastAsia="zh-CN"/>
        </w:rPr>
        <w:t>招标公告</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_Toc4487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1</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lang w:val="en-US"/>
        </w:rPr>
        <w:fldChar w:fldCharType="end"/>
      </w:r>
    </w:p>
    <w:p w14:paraId="137AD22A">
      <w:pPr>
        <w:pStyle w:val="18"/>
        <w:tabs>
          <w:tab w:val="right" w:leader="dot" w:pos="8306"/>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 HYPERLINK \l _Toc23335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kern w:val="0"/>
          <w:sz w:val="28"/>
          <w:szCs w:val="28"/>
          <w:highlight w:val="none"/>
          <w:lang w:val="en-US" w:eastAsia="zh-CN" w:bidi="ar"/>
        </w:rPr>
        <w:t>第二章  投标人须知</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_Toc23335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3</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lang w:val="en-US"/>
        </w:rPr>
        <w:fldChar w:fldCharType="end"/>
      </w:r>
    </w:p>
    <w:p w14:paraId="52A58F1E">
      <w:pPr>
        <w:pStyle w:val="18"/>
        <w:tabs>
          <w:tab w:val="right" w:leader="dot" w:pos="8306"/>
        </w:tabs>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 HYPERLINK \l _Toc29327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kern w:val="44"/>
          <w:sz w:val="28"/>
          <w:szCs w:val="28"/>
          <w:highlight w:val="none"/>
          <w:lang w:val="en-US" w:eastAsia="zh-CN" w:bidi="ar"/>
        </w:rPr>
        <w:t>第三章  评标办法</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PAGEREF _Toc29327 \h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t>15</w:t>
      </w:r>
      <w:r>
        <w:rPr>
          <w:rFonts w:hint="eastAsia" w:ascii="宋体" w:hAnsi="宋体" w:eastAsia="宋体" w:cs="宋体"/>
          <w:b w:val="0"/>
          <w:bCs w:val="0"/>
          <w:color w:val="auto"/>
          <w:sz w:val="28"/>
          <w:szCs w:val="28"/>
          <w:highlight w:val="none"/>
        </w:rPr>
        <w:fldChar w:fldCharType="end"/>
      </w:r>
      <w:r>
        <w:rPr>
          <w:rFonts w:hint="eastAsia" w:ascii="宋体" w:hAnsi="宋体" w:eastAsia="宋体" w:cs="宋体"/>
          <w:b w:val="0"/>
          <w:bCs w:val="0"/>
          <w:color w:val="auto"/>
          <w:sz w:val="28"/>
          <w:szCs w:val="28"/>
          <w:highlight w:val="none"/>
          <w:lang w:val="en-US"/>
        </w:rPr>
        <w:fldChar w:fldCharType="end"/>
      </w:r>
    </w:p>
    <w:p w14:paraId="282034BD">
      <w:pPr>
        <w:pStyle w:val="18"/>
        <w:tabs>
          <w:tab w:val="right" w:leader="dot" w:pos="8306"/>
        </w:tabs>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 HYPERLINK \l _Toc10480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四</w:t>
      </w:r>
      <w:r>
        <w:rPr>
          <w:rFonts w:hint="eastAsia" w:ascii="宋体" w:hAnsi="宋体" w:eastAsia="宋体" w:cs="宋体"/>
          <w:b w:val="0"/>
          <w:bCs w:val="0"/>
          <w:color w:val="auto"/>
          <w:sz w:val="28"/>
          <w:szCs w:val="28"/>
          <w:highlight w:val="none"/>
        </w:rPr>
        <w:t xml:space="preserve">章  </w:t>
      </w:r>
      <w:r>
        <w:rPr>
          <w:rFonts w:hint="eastAsia" w:ascii="宋体" w:hAnsi="宋体" w:eastAsia="宋体" w:cs="宋体"/>
          <w:b w:val="0"/>
          <w:bCs w:val="0"/>
          <w:color w:val="auto"/>
          <w:sz w:val="28"/>
          <w:szCs w:val="28"/>
          <w:highlight w:val="none"/>
          <w:lang w:eastAsia="zh-CN"/>
        </w:rPr>
        <w:t>采购需求</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lang w:val="en-US"/>
        </w:rPr>
        <w:fldChar w:fldCharType="end"/>
      </w:r>
      <w:r>
        <w:rPr>
          <w:rFonts w:hint="eastAsia" w:ascii="宋体" w:hAnsi="宋体" w:eastAsia="宋体" w:cs="宋体"/>
          <w:b w:val="0"/>
          <w:bCs w:val="0"/>
          <w:color w:val="auto"/>
          <w:sz w:val="28"/>
          <w:szCs w:val="28"/>
          <w:highlight w:val="none"/>
          <w:lang w:val="en-US" w:eastAsia="zh-CN"/>
        </w:rPr>
        <w:t>1</w:t>
      </w:r>
    </w:p>
    <w:p w14:paraId="606ACF52">
      <w:pPr>
        <w:pStyle w:val="18"/>
        <w:tabs>
          <w:tab w:val="right" w:leader="dot" w:pos="8306"/>
        </w:tabs>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 HYPERLINK \l _Toc17330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kern w:val="2"/>
          <w:sz w:val="28"/>
          <w:szCs w:val="28"/>
          <w:highlight w:val="none"/>
          <w:lang w:val="en-US" w:eastAsia="zh-CN" w:bidi="ar-SA"/>
        </w:rPr>
        <w:t>第五章  合同条款及格式</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lang w:val="en-US"/>
        </w:rPr>
        <w:fldChar w:fldCharType="end"/>
      </w:r>
      <w:r>
        <w:rPr>
          <w:rFonts w:hint="eastAsia" w:ascii="宋体" w:hAnsi="宋体" w:eastAsia="宋体" w:cs="宋体"/>
          <w:b w:val="0"/>
          <w:bCs w:val="0"/>
          <w:color w:val="auto"/>
          <w:sz w:val="28"/>
          <w:szCs w:val="28"/>
          <w:highlight w:val="none"/>
          <w:lang w:val="en-US" w:eastAsia="zh-CN"/>
        </w:rPr>
        <w:t>3</w:t>
      </w:r>
    </w:p>
    <w:p w14:paraId="38C72B88">
      <w:pPr>
        <w:pStyle w:val="18"/>
        <w:tabs>
          <w:tab w:val="right" w:leader="dot" w:pos="8306"/>
        </w:tabs>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 HYPERLINK \l _Toc24238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kern w:val="2"/>
          <w:sz w:val="28"/>
          <w:szCs w:val="28"/>
          <w:highlight w:val="none"/>
          <w:lang w:val="en-US" w:eastAsia="zh-CN" w:bidi="ar"/>
        </w:rPr>
        <w:t>第六章  投标文件格式</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lang w:val="en-US" w:eastAsia="zh-CN"/>
        </w:rPr>
        <w:t>3</w:t>
      </w:r>
      <w:r>
        <w:rPr>
          <w:rFonts w:hint="eastAsia" w:ascii="宋体" w:hAnsi="宋体" w:eastAsia="宋体" w:cs="宋体"/>
          <w:b w:val="0"/>
          <w:bCs w:val="0"/>
          <w:color w:val="auto"/>
          <w:sz w:val="28"/>
          <w:szCs w:val="28"/>
          <w:highlight w:val="none"/>
          <w:lang w:val="en-US"/>
        </w:rPr>
        <w:fldChar w:fldCharType="end"/>
      </w:r>
      <w:r>
        <w:rPr>
          <w:rFonts w:hint="eastAsia" w:ascii="宋体" w:hAnsi="宋体" w:eastAsia="宋体" w:cs="宋体"/>
          <w:b w:val="0"/>
          <w:bCs w:val="0"/>
          <w:color w:val="auto"/>
          <w:sz w:val="28"/>
          <w:szCs w:val="28"/>
          <w:highlight w:val="none"/>
          <w:lang w:val="en-US" w:eastAsia="zh-CN"/>
        </w:rPr>
        <w:t>1</w:t>
      </w:r>
    </w:p>
    <w:p w14:paraId="5046CB5D">
      <w:pPr>
        <w:pStyle w:val="18"/>
        <w:tabs>
          <w:tab w:val="right" w:leader="dot" w:pos="8306"/>
        </w:tabs>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rPr>
        <w:fldChar w:fldCharType="begin"/>
      </w:r>
      <w:r>
        <w:rPr>
          <w:rFonts w:hint="eastAsia" w:ascii="宋体" w:hAnsi="宋体" w:eastAsia="宋体" w:cs="宋体"/>
          <w:b w:val="0"/>
          <w:bCs w:val="0"/>
          <w:color w:val="auto"/>
          <w:sz w:val="28"/>
          <w:szCs w:val="28"/>
          <w:highlight w:val="none"/>
          <w:lang w:val="en-US"/>
        </w:rPr>
        <w:instrText xml:space="preserve"> HYPERLINK \l _Toc7457 </w:instrText>
      </w:r>
      <w:r>
        <w:rPr>
          <w:rFonts w:hint="eastAsia" w:ascii="宋体" w:hAnsi="宋体" w:eastAsia="宋体" w:cs="宋体"/>
          <w:b w:val="0"/>
          <w:bCs w:val="0"/>
          <w:color w:val="auto"/>
          <w:sz w:val="28"/>
          <w:szCs w:val="28"/>
          <w:highlight w:val="none"/>
          <w:lang w:val="en-US"/>
        </w:rPr>
        <w:fldChar w:fldCharType="separate"/>
      </w:r>
      <w:r>
        <w:rPr>
          <w:rFonts w:hint="eastAsia" w:ascii="宋体" w:hAnsi="宋体" w:eastAsia="宋体" w:cs="宋体"/>
          <w:b w:val="0"/>
          <w:bCs w:val="0"/>
          <w:color w:val="auto"/>
          <w:sz w:val="28"/>
          <w:szCs w:val="28"/>
          <w:highlight w:val="none"/>
          <w:lang w:eastAsia="zh-CN"/>
        </w:rPr>
        <w:t>第</w:t>
      </w:r>
      <w:r>
        <w:rPr>
          <w:rFonts w:hint="eastAsia" w:ascii="宋体" w:hAnsi="宋体" w:eastAsia="宋体" w:cs="宋体"/>
          <w:b w:val="0"/>
          <w:bCs w:val="0"/>
          <w:color w:val="auto"/>
          <w:sz w:val="28"/>
          <w:szCs w:val="28"/>
          <w:highlight w:val="none"/>
          <w:lang w:val="en-US" w:eastAsia="zh-CN"/>
        </w:rPr>
        <w:t>七</w:t>
      </w:r>
      <w:r>
        <w:rPr>
          <w:rFonts w:hint="eastAsia" w:ascii="宋体" w:hAnsi="宋体" w:eastAsia="宋体" w:cs="宋体"/>
          <w:b w:val="0"/>
          <w:bCs w:val="0"/>
          <w:color w:val="auto"/>
          <w:sz w:val="28"/>
          <w:szCs w:val="28"/>
          <w:highlight w:val="none"/>
          <w:lang w:eastAsia="zh-CN"/>
        </w:rPr>
        <w:t>章</w:t>
      </w:r>
      <w:r>
        <w:rPr>
          <w:rFonts w:hint="eastAsia" w:ascii="宋体" w:hAnsi="宋体" w:eastAsia="宋体" w:cs="宋体"/>
          <w:b w:val="0"/>
          <w:bCs w:val="0"/>
          <w:color w:val="auto"/>
          <w:sz w:val="28"/>
          <w:szCs w:val="28"/>
          <w:highlight w:val="none"/>
          <w:lang w:val="en-US"/>
        </w:rPr>
        <w:t xml:space="preserve">  </w:t>
      </w:r>
      <w:r>
        <w:rPr>
          <w:rFonts w:hint="eastAsia" w:ascii="宋体" w:hAnsi="宋体" w:eastAsia="宋体" w:cs="宋体"/>
          <w:b w:val="0"/>
          <w:bCs w:val="0"/>
          <w:color w:val="auto"/>
          <w:sz w:val="28"/>
          <w:szCs w:val="28"/>
          <w:highlight w:val="none"/>
          <w:lang w:eastAsia="zh-CN"/>
        </w:rPr>
        <w:t>招标人、招标代理机构对本招标文件的确认</w:t>
      </w:r>
      <w:r>
        <w:rPr>
          <w:rFonts w:hint="eastAsia" w:ascii="宋体" w:hAnsi="宋体" w:eastAsia="宋体" w:cs="宋体"/>
          <w:b w:val="0"/>
          <w:bCs w:val="0"/>
          <w:color w:val="auto"/>
          <w:sz w:val="28"/>
          <w:szCs w:val="28"/>
          <w:highlight w:val="none"/>
        </w:rPr>
        <w:tab/>
      </w:r>
      <w:r>
        <w:rPr>
          <w:rFonts w:hint="eastAsia" w:ascii="宋体" w:hAnsi="宋体" w:eastAsia="宋体" w:cs="宋体"/>
          <w:b w:val="0"/>
          <w:bCs w:val="0"/>
          <w:color w:val="auto"/>
          <w:sz w:val="28"/>
          <w:szCs w:val="28"/>
          <w:highlight w:val="none"/>
          <w:lang w:val="en-US" w:eastAsia="zh-CN"/>
        </w:rPr>
        <w:t>4</w:t>
      </w:r>
      <w:r>
        <w:rPr>
          <w:rFonts w:hint="eastAsia" w:ascii="宋体" w:hAnsi="宋体" w:eastAsia="宋体" w:cs="宋体"/>
          <w:b w:val="0"/>
          <w:bCs w:val="0"/>
          <w:color w:val="auto"/>
          <w:sz w:val="28"/>
          <w:szCs w:val="28"/>
          <w:highlight w:val="none"/>
          <w:lang w:val="en-US"/>
        </w:rPr>
        <w:fldChar w:fldCharType="end"/>
      </w:r>
      <w:r>
        <w:rPr>
          <w:rFonts w:hint="eastAsia" w:ascii="宋体" w:hAnsi="宋体" w:eastAsia="宋体" w:cs="宋体"/>
          <w:b w:val="0"/>
          <w:bCs w:val="0"/>
          <w:color w:val="auto"/>
          <w:sz w:val="28"/>
          <w:szCs w:val="28"/>
          <w:highlight w:val="none"/>
          <w:lang w:val="en-US" w:eastAsia="zh-CN"/>
        </w:rPr>
        <w:t>2</w:t>
      </w:r>
    </w:p>
    <w:p w14:paraId="1099D04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8"/>
          <w:szCs w:val="28"/>
          <w:highlight w:val="none"/>
          <w:lang w:val="en-US"/>
        </w:rPr>
        <w:fldChar w:fldCharType="end"/>
      </w:r>
    </w:p>
    <w:p w14:paraId="42263DD3">
      <w:pPr>
        <w:rPr>
          <w:rFonts w:hint="eastAsia" w:ascii="宋体" w:hAnsi="宋体" w:eastAsia="宋体" w:cs="宋体"/>
          <w:color w:val="auto"/>
          <w:sz w:val="24"/>
          <w:szCs w:val="24"/>
          <w:highlight w:val="none"/>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4707437E">
      <w:pPr>
        <w:pStyle w:val="19"/>
        <w:keepNext w:val="0"/>
        <w:keepLines w:val="0"/>
        <w:pageBreakBefore w:val="0"/>
        <w:widowControl/>
        <w:kinsoku/>
        <w:overflowPunct/>
        <w:topLinePunct w:val="0"/>
        <w:autoSpaceDN/>
        <w:bidi w:val="0"/>
        <w:adjustRightInd/>
        <w:snapToGrid/>
        <w:spacing w:beforeAutospacing="0" w:afterAutospacing="0" w:line="440" w:lineRule="exact"/>
        <w:jc w:val="center"/>
        <w:textAlignment w:val="auto"/>
        <w:outlineLvl w:val="0"/>
        <w:rPr>
          <w:rFonts w:hint="eastAsia" w:ascii="宋体" w:hAnsi="宋体" w:eastAsia="宋体" w:cs="宋体"/>
          <w:b/>
          <w:bCs/>
          <w:color w:val="auto"/>
          <w:sz w:val="32"/>
          <w:szCs w:val="32"/>
          <w:highlight w:val="none"/>
          <w:lang w:val="en-US"/>
        </w:rPr>
      </w:pPr>
      <w:bookmarkStart w:id="0" w:name="_Toc29214"/>
      <w:bookmarkEnd w:id="0"/>
      <w:bookmarkStart w:id="1" w:name="_Toc23741_WPSOffice_Level1"/>
      <w:bookmarkEnd w:id="1"/>
      <w:bookmarkStart w:id="2" w:name="_Toc4487"/>
      <w:r>
        <w:rPr>
          <w:rFonts w:hint="eastAsia" w:ascii="宋体" w:hAnsi="宋体" w:eastAsia="宋体" w:cs="宋体"/>
          <w:b/>
          <w:bCs/>
          <w:color w:val="auto"/>
          <w:sz w:val="32"/>
          <w:szCs w:val="32"/>
          <w:highlight w:val="none"/>
          <w:lang w:eastAsia="zh-CN"/>
        </w:rPr>
        <w:t>第一章</w:t>
      </w:r>
      <w:r>
        <w:rPr>
          <w:rFonts w:hint="eastAsia" w:ascii="宋体" w:hAnsi="Calibri" w:eastAsia="楷体_GB2312" w:cs="宋体"/>
          <w:b/>
          <w:bCs/>
          <w:color w:val="auto"/>
          <w:sz w:val="32"/>
          <w:szCs w:val="32"/>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color w:val="auto"/>
          <w:sz w:val="32"/>
          <w:szCs w:val="32"/>
          <w:highlight w:val="none"/>
          <w:lang w:eastAsia="zh-CN"/>
        </w:rPr>
        <w:t>招标公告</w:t>
      </w:r>
      <w:bookmarkEnd w:id="2"/>
    </w:p>
    <w:p w14:paraId="5BF06DE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bookmarkStart w:id="5" w:name="_Toc58430305"/>
      <w:bookmarkEnd w:id="5"/>
      <w:bookmarkStart w:id="6" w:name="_Toc28359002"/>
      <w:bookmarkEnd w:id="6"/>
      <w:bookmarkStart w:id="7" w:name="_Toc35393621"/>
      <w:bookmarkEnd w:id="7"/>
      <w:bookmarkStart w:id="8" w:name="_Toc28359079"/>
      <w:bookmarkEnd w:id="8"/>
      <w:bookmarkStart w:id="9" w:name="_Toc35393790"/>
      <w:r>
        <w:rPr>
          <w:rFonts w:hint="eastAsia" w:ascii="宋体" w:hAnsi="宋体" w:eastAsia="宋体" w:cs="宋体"/>
          <w:color w:val="auto"/>
          <w:kern w:val="0"/>
          <w:sz w:val="21"/>
          <w:szCs w:val="21"/>
          <w:highlight w:val="none"/>
          <w:u w:color="000000"/>
          <w:lang w:val="en-US" w:eastAsia="zh-CN" w:bidi="ar"/>
        </w:rPr>
        <w:t>项目概况</w:t>
      </w:r>
    </w:p>
    <w:p w14:paraId="6FE596C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val="single" w:color="auto"/>
          <w:lang w:val="en-US" w:eastAsia="zh-CN" w:bidi="ar"/>
        </w:rPr>
        <w:t>滁州市发展和改革委员会2026年度市级救灾物资采购项目</w:t>
      </w:r>
      <w:r>
        <w:rPr>
          <w:rFonts w:hint="eastAsia" w:ascii="宋体" w:hAnsi="宋体" w:eastAsia="宋体" w:cs="宋体"/>
          <w:color w:val="auto"/>
          <w:kern w:val="0"/>
          <w:sz w:val="21"/>
          <w:szCs w:val="21"/>
          <w:highlight w:val="none"/>
          <w:u w:color="000000"/>
          <w:lang w:val="en-US" w:eastAsia="zh-CN" w:bidi="ar"/>
        </w:rPr>
        <w:t>的潜在投标人应在滁州市城投工程咨询管理有限公司（https://www.czctgczx.com/）获取招标文件，并于</w:t>
      </w:r>
      <w:r>
        <w:rPr>
          <w:rFonts w:hint="eastAsia" w:ascii="宋体" w:hAnsi="宋体" w:eastAsia="宋体" w:cs="宋体"/>
          <w:b/>
          <w:bCs/>
          <w:color w:val="auto"/>
          <w:kern w:val="0"/>
          <w:sz w:val="21"/>
          <w:szCs w:val="21"/>
          <w:highlight w:val="none"/>
          <w:u w:color="000000"/>
          <w:lang w:val="en-US" w:eastAsia="zh-CN" w:bidi="ar"/>
        </w:rPr>
        <w:t>2026年8月12日14时30分</w:t>
      </w:r>
      <w:r>
        <w:rPr>
          <w:rFonts w:hint="eastAsia" w:ascii="宋体" w:hAnsi="宋体" w:eastAsia="宋体" w:cs="宋体"/>
          <w:color w:val="auto"/>
          <w:kern w:val="0"/>
          <w:sz w:val="21"/>
          <w:szCs w:val="21"/>
          <w:highlight w:val="none"/>
          <w:u w:color="000000"/>
          <w:lang w:val="en-US" w:eastAsia="zh-CN" w:bidi="ar"/>
        </w:rPr>
        <w:t>（北京时间）前递交投标文件。</w:t>
      </w:r>
    </w:p>
    <w:p w14:paraId="0D0EC8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0"/>
          <w:sz w:val="21"/>
          <w:szCs w:val="21"/>
          <w:highlight w:val="none"/>
          <w:u w:color="000000"/>
          <w:lang w:val="en-US" w:eastAsia="zh-CN" w:bidi="ar"/>
        </w:rPr>
        <w:t>一、项目基本情况</w:t>
      </w:r>
      <w:bookmarkEnd w:id="9"/>
    </w:p>
    <w:p w14:paraId="3D3B073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项目名称：滁州市发展和改革委员会2026年度市级救灾物资采购项目</w:t>
      </w:r>
    </w:p>
    <w:p w14:paraId="1360D80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0" w:firstLineChars="200"/>
        <w:jc w:val="both"/>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预算金额：</w:t>
      </w:r>
      <w:r>
        <w:rPr>
          <w:rFonts w:hint="eastAsia" w:ascii="宋体" w:hAnsi="宋体" w:eastAsia="宋体" w:cs="宋体"/>
          <w:color w:val="auto"/>
          <w:szCs w:val="21"/>
          <w:highlight w:val="none"/>
          <w:lang w:eastAsia="zh-CN"/>
        </w:rPr>
        <w:t>217000.00</w:t>
      </w:r>
    </w:p>
    <w:p w14:paraId="19D37D73">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最高限价：投标总价217000.00元，毛毯单价最高限价80元/条，毛巾被单价最高限价75元/条,总价和单价投标报价均不得高于最高限价，毛毯和毛巾被数量各不少于1400条（含），否则将否决其投标。</w:t>
      </w:r>
    </w:p>
    <w:p w14:paraId="4824FA2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采购需求：采购毛毯、毛巾被两类救灾物资，具体规格及技术参数参照安徽省地方标准DB34/T4869-2024《生活类救灾物资采购及仓储管控技术要求》。具体详见《采购需求》。</w:t>
      </w:r>
    </w:p>
    <w:p w14:paraId="03F1F0A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default"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合同履行期限：合同签订并接到采购人通知之日起 20 个日历天内完成供货、安装，并验收合格。由中标单位将采购货物送至滁州市军粮供应站有限公司（滁州市苏州路379号），同时提供具有资质的检测机构的质量合格报告。</w:t>
      </w:r>
    </w:p>
    <w:p w14:paraId="607EEF7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kern w:val="0"/>
          <w:sz w:val="21"/>
          <w:szCs w:val="21"/>
          <w:highlight w:val="none"/>
          <w:u w:color="000000"/>
          <w:lang w:val="en-US" w:eastAsia="zh-CN" w:bidi="ar"/>
        </w:rPr>
      </w:pPr>
      <w:r>
        <w:rPr>
          <w:rFonts w:hint="eastAsia" w:ascii="宋体" w:hAnsi="宋体" w:eastAsia="宋体" w:cs="宋体"/>
          <w:b w:val="0"/>
          <w:bCs w:val="0"/>
          <w:color w:val="auto"/>
          <w:kern w:val="0"/>
          <w:sz w:val="21"/>
          <w:szCs w:val="21"/>
          <w:highlight w:val="none"/>
          <w:u w:color="000000"/>
          <w:lang w:val="en-US" w:eastAsia="zh-CN" w:bidi="ar"/>
        </w:rPr>
        <w:t>本项目不接受联合体投标。</w:t>
      </w:r>
    </w:p>
    <w:p w14:paraId="73AC7AA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color w:val="auto"/>
          <w:spacing w:val="2"/>
          <w:sz w:val="21"/>
          <w:szCs w:val="21"/>
          <w:highlight w:val="none"/>
          <w:lang w:val="en-US"/>
        </w:rPr>
      </w:pPr>
      <w:r>
        <w:rPr>
          <w:rFonts w:hint="eastAsia" w:ascii="宋体" w:hAnsi="宋体" w:eastAsia="宋体" w:cs="宋体"/>
          <w:b/>
          <w:bCs w:val="0"/>
          <w:color w:val="auto"/>
          <w:spacing w:val="2"/>
          <w:kern w:val="0"/>
          <w:sz w:val="21"/>
          <w:szCs w:val="21"/>
          <w:highlight w:val="none"/>
          <w:u w:color="000000"/>
          <w:lang w:val="en-US" w:eastAsia="zh-CN" w:bidi="ar"/>
        </w:rPr>
        <w:t>二、</w:t>
      </w:r>
      <w:r>
        <w:rPr>
          <w:rFonts w:hint="eastAsia" w:ascii="宋体" w:hAnsi="宋体" w:eastAsia="宋体" w:cs="宋体"/>
          <w:b/>
          <w:bCs w:val="0"/>
          <w:color w:val="auto"/>
          <w:kern w:val="0"/>
          <w:sz w:val="21"/>
          <w:szCs w:val="21"/>
          <w:highlight w:val="none"/>
          <w:u w:color="000000"/>
          <w:lang w:val="en-US" w:eastAsia="zh-CN" w:bidi="ar"/>
        </w:rPr>
        <w:t>申请人的资格要求</w:t>
      </w:r>
    </w:p>
    <w:p w14:paraId="5655822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1.投标人须具有有效的营业执照且具有相应的供货和服务能力；</w:t>
      </w:r>
    </w:p>
    <w:p w14:paraId="32BB0C1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2.信誉要求：供应商不得存在以下情形：</w:t>
      </w:r>
    </w:p>
    <w:p w14:paraId="26F08A46">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bookmarkStart w:id="10" w:name="_Toc35393623"/>
      <w:bookmarkEnd w:id="10"/>
      <w:bookmarkStart w:id="11" w:name="_Toc35393792"/>
      <w:bookmarkEnd w:id="11"/>
      <w:r>
        <w:rPr>
          <w:rFonts w:hint="eastAsia" w:ascii="宋体" w:hAnsi="宋体" w:cs="宋体"/>
          <w:color w:val="auto"/>
          <w:szCs w:val="21"/>
          <w:highlight w:val="none"/>
          <w:lang w:val="en-US" w:eastAsia="zh-CN"/>
        </w:rPr>
        <w:t>①被列入“信用中国”网站“失信被执行人”的；</w:t>
      </w:r>
    </w:p>
    <w:p w14:paraId="43A6DA8A">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②被列入“信用中国”网站“重大税收违法失信主体”的；</w:t>
      </w:r>
    </w:p>
    <w:p w14:paraId="3FB55203">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③被列入“信用中国”网站 “严重失信主体名单”的；</w:t>
      </w:r>
    </w:p>
    <w:p w14:paraId="3098D6FD">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④在“信用中国”网站上披露的仍在公示期的严重失信行为(具体行为类别及判定依据见“信用中国”查询的严重失信行为类别及判定依据)的；</w:t>
      </w:r>
    </w:p>
    <w:p w14:paraId="43EDD90E">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⑤被列入国家企业信用信息公示系统网站“经营异常名录”或者“严重违法失信名单”的。</w:t>
      </w:r>
    </w:p>
    <w:p w14:paraId="4E113D1D">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⑥被列入中国政府采购网站“政府采购严重违法失信行为信息记录”的；</w:t>
      </w:r>
    </w:p>
    <w:p w14:paraId="44C7D631">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⑦前三年有行贿犯罪行为的单位和个人。</w:t>
      </w:r>
    </w:p>
    <w:p w14:paraId="59245636">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3.供应商所属分公司、办事处等分支机构存在第4款信誉要求①-⑦项情形之一的，接受供应商参加本项目。</w:t>
      </w:r>
    </w:p>
    <w:p w14:paraId="1410748F">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备注：第2、3条按照“关于联合惩戒失信行为加强信用查询管理的通知”查询或承诺。</w:t>
      </w:r>
    </w:p>
    <w:p w14:paraId="531D982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22" w:firstLineChars="200"/>
        <w:jc w:val="both"/>
        <w:textAlignment w:val="auto"/>
        <w:rPr>
          <w:rFonts w:hint="eastAsia" w:ascii="宋体" w:hAnsi="宋体" w:cs="宋体"/>
          <w:b/>
          <w:color w:val="auto"/>
          <w:sz w:val="21"/>
          <w:szCs w:val="21"/>
          <w:highlight w:val="none"/>
          <w:lang w:val="en-US"/>
        </w:rPr>
      </w:pPr>
      <w:r>
        <w:rPr>
          <w:rFonts w:hint="eastAsia" w:ascii="宋体" w:hAnsi="宋体" w:cs="宋体"/>
          <w:b/>
          <w:color w:val="auto"/>
          <w:sz w:val="21"/>
          <w:szCs w:val="21"/>
          <w:highlight w:val="none"/>
          <w:lang w:val="en-US" w:eastAsia="zh-CN"/>
        </w:rPr>
        <w:t>三、获取招标文件</w:t>
      </w:r>
    </w:p>
    <w:p w14:paraId="0DCF3FE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b/>
          <w:bCs/>
          <w:color w:val="auto"/>
          <w:sz w:val="21"/>
          <w:szCs w:val="21"/>
          <w:highlight w:val="none"/>
          <w:u w:val="single"/>
          <w:lang w:val="en-US"/>
        </w:rPr>
      </w:pPr>
      <w:r>
        <w:rPr>
          <w:rFonts w:hint="eastAsia" w:ascii="宋体" w:hAnsi="宋体" w:eastAsia="宋体" w:cs="宋体"/>
          <w:b/>
          <w:bCs/>
          <w:color w:val="auto"/>
          <w:kern w:val="0"/>
          <w:sz w:val="21"/>
          <w:szCs w:val="21"/>
          <w:highlight w:val="none"/>
          <w:u w:color="000000"/>
          <w:lang w:val="en-US" w:eastAsia="zh-CN" w:bidi="ar"/>
        </w:rPr>
        <w:t>时间：</w:t>
      </w:r>
      <w:r>
        <w:rPr>
          <w:rFonts w:hint="eastAsia" w:ascii="宋体" w:hAnsi="宋体" w:eastAsia="宋体" w:cs="宋体"/>
          <w:b/>
          <w:bCs/>
          <w:color w:val="auto"/>
          <w:kern w:val="0"/>
          <w:sz w:val="21"/>
          <w:szCs w:val="21"/>
          <w:highlight w:val="none"/>
          <w:u w:val="single" w:color="000000"/>
          <w:lang w:val="en-US" w:eastAsia="zh-CN" w:bidi="ar"/>
        </w:rPr>
        <w:t>2026年8月5日</w:t>
      </w:r>
      <w:r>
        <w:rPr>
          <w:rFonts w:hint="eastAsia" w:ascii="宋体" w:hAnsi="宋体" w:eastAsia="宋体" w:cs="宋体"/>
          <w:b/>
          <w:bCs/>
          <w:color w:val="auto"/>
          <w:kern w:val="0"/>
          <w:sz w:val="21"/>
          <w:szCs w:val="21"/>
          <w:highlight w:val="none"/>
          <w:u w:color="000000"/>
          <w:lang w:val="en-US" w:eastAsia="zh-CN" w:bidi="ar"/>
        </w:rPr>
        <w:t>至</w:t>
      </w:r>
      <w:r>
        <w:rPr>
          <w:rFonts w:hint="eastAsia" w:ascii="宋体" w:hAnsi="宋体" w:eastAsia="宋体" w:cs="宋体"/>
          <w:b/>
          <w:bCs/>
          <w:color w:val="auto"/>
          <w:kern w:val="0"/>
          <w:sz w:val="21"/>
          <w:szCs w:val="21"/>
          <w:highlight w:val="none"/>
          <w:u w:val="single" w:color="000000"/>
          <w:lang w:val="en-US" w:eastAsia="zh-CN" w:bidi="ar"/>
        </w:rPr>
        <w:t xml:space="preserve"> 2026年8月12日</w:t>
      </w:r>
    </w:p>
    <w:p w14:paraId="4558302E">
      <w:pPr>
        <w:keepNext w:val="0"/>
        <w:keepLines w:val="0"/>
        <w:pageBreakBefore w:val="0"/>
        <w:kinsoku/>
        <w:overflowPunct/>
        <w:topLinePunct w:val="0"/>
        <w:autoSpaceDE/>
        <w:autoSpaceDN/>
        <w:bidi w:val="0"/>
        <w:adjustRightInd/>
        <w:snapToGrid/>
        <w:spacing w:line="440" w:lineRule="exact"/>
        <w:ind w:firstLine="540"/>
        <w:textAlignment w:val="auto"/>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地点：滁州市城投工程咨询管理有限公司（https://www.czctgczx.com/）</w:t>
      </w:r>
    </w:p>
    <w:p w14:paraId="09D1F8D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u w:color="000000"/>
          <w:lang w:val="en-US" w:eastAsia="zh-CN" w:bidi="ar"/>
        </w:rPr>
        <w:t>方式：网上下载</w:t>
      </w:r>
    </w:p>
    <w:p w14:paraId="312FC84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u w:color="000000"/>
          <w:lang w:val="en-US" w:eastAsia="zh-CN" w:bidi="ar"/>
        </w:rPr>
        <w:t>售价：0元</w:t>
      </w:r>
    </w:p>
    <w:p w14:paraId="1039A38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bookmarkStart w:id="12" w:name="_Toc28359005"/>
      <w:bookmarkEnd w:id="12"/>
      <w:bookmarkStart w:id="13" w:name="_Toc58430308"/>
      <w:bookmarkEnd w:id="13"/>
      <w:bookmarkStart w:id="14" w:name="_Toc35393793"/>
      <w:bookmarkEnd w:id="14"/>
      <w:bookmarkStart w:id="15" w:name="_Toc28359082"/>
      <w:bookmarkEnd w:id="15"/>
      <w:r>
        <w:rPr>
          <w:rFonts w:hint="eastAsia" w:ascii="宋体" w:hAnsi="宋体" w:cs="宋体"/>
          <w:b/>
          <w:color w:val="auto"/>
          <w:sz w:val="21"/>
          <w:szCs w:val="21"/>
          <w:highlight w:val="none"/>
        </w:rPr>
        <w:t>四、提交投标文件截止时间、开标时间和</w:t>
      </w:r>
      <w:r>
        <w:rPr>
          <w:rFonts w:hint="eastAsia" w:ascii="宋体" w:hAnsi="宋体" w:cs="宋体"/>
          <w:b/>
          <w:color w:val="auto"/>
          <w:sz w:val="21"/>
          <w:szCs w:val="21"/>
          <w:highlight w:val="none"/>
          <w:lang w:val="en-US" w:eastAsia="zh-CN"/>
        </w:rPr>
        <w:t>地点</w:t>
      </w:r>
    </w:p>
    <w:p w14:paraId="3C78073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0"/>
          <w:sz w:val="21"/>
          <w:szCs w:val="21"/>
          <w:highlight w:val="none"/>
          <w:u w:color="000000"/>
          <w:lang w:val="en-US" w:eastAsia="zh-CN" w:bidi="ar"/>
        </w:rPr>
        <w:t>截止时间：</w:t>
      </w:r>
      <w:r>
        <w:rPr>
          <w:rFonts w:hint="eastAsia" w:ascii="宋体" w:hAnsi="宋体" w:eastAsia="宋体" w:cs="宋体"/>
          <w:b/>
          <w:bCs w:val="0"/>
          <w:color w:val="auto"/>
          <w:kern w:val="0"/>
          <w:sz w:val="21"/>
          <w:szCs w:val="21"/>
          <w:highlight w:val="none"/>
          <w:u w:val="none" w:color="auto"/>
          <w:lang w:val="en-US" w:eastAsia="zh-CN" w:bidi="ar"/>
        </w:rPr>
        <w:t>2026年8月12日14时30分</w:t>
      </w:r>
    </w:p>
    <w:p w14:paraId="4244969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22" w:firstLineChars="200"/>
        <w:jc w:val="left"/>
        <w:textAlignment w:val="auto"/>
        <w:rPr>
          <w:rFonts w:hint="default" w:ascii="宋体" w:hAnsi="宋体" w:eastAsia="宋体" w:cs="宋体"/>
          <w:b/>
          <w:bCs/>
          <w:color w:val="auto"/>
          <w:kern w:val="0"/>
          <w:sz w:val="21"/>
          <w:szCs w:val="21"/>
          <w:highlight w:val="none"/>
          <w:u w:color="000000"/>
          <w:lang w:val="en-US" w:eastAsia="zh-CN" w:bidi="ar"/>
        </w:rPr>
      </w:pPr>
      <w:r>
        <w:rPr>
          <w:rFonts w:hint="eastAsia" w:ascii="宋体" w:hAnsi="宋体" w:eastAsia="宋体" w:cs="宋体"/>
          <w:b/>
          <w:bCs/>
          <w:color w:val="auto"/>
          <w:kern w:val="0"/>
          <w:sz w:val="21"/>
          <w:szCs w:val="21"/>
          <w:highlight w:val="none"/>
          <w:u w:color="000000"/>
          <w:lang w:val="en-US" w:eastAsia="zh-CN" w:bidi="ar"/>
        </w:rPr>
        <w:t xml:space="preserve">地点：滁州市龙蟠大道109号房产商务大厦6楼603会议室 </w:t>
      </w:r>
    </w:p>
    <w:p w14:paraId="14A9D39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22" w:firstLineChars="200"/>
        <w:jc w:val="both"/>
        <w:textAlignment w:val="auto"/>
        <w:rPr>
          <w:rFonts w:hint="eastAsia" w:ascii="宋体" w:hAnsi="宋体" w:eastAsia="宋体" w:cs="宋体"/>
          <w:b/>
          <w:bCs w:val="0"/>
          <w:color w:val="auto"/>
          <w:sz w:val="21"/>
          <w:szCs w:val="21"/>
          <w:highlight w:val="none"/>
          <w:lang w:val="en-US"/>
        </w:rPr>
      </w:pPr>
      <w:r>
        <w:rPr>
          <w:rFonts w:hint="eastAsia" w:ascii="宋体" w:hAnsi="宋体" w:eastAsia="宋体" w:cs="宋体"/>
          <w:b/>
          <w:bCs w:val="0"/>
          <w:color w:val="auto"/>
          <w:kern w:val="0"/>
          <w:sz w:val="21"/>
          <w:szCs w:val="21"/>
          <w:highlight w:val="none"/>
          <w:u w:color="000000"/>
          <w:lang w:val="en-US" w:eastAsia="zh-CN" w:bidi="ar"/>
        </w:rPr>
        <w:t>五、投标保证金金额及缴纳账户</w:t>
      </w:r>
    </w:p>
    <w:p w14:paraId="17144BB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20" w:firstLineChars="200"/>
        <w:jc w:val="both"/>
        <w:textAlignment w:val="auto"/>
        <w:rPr>
          <w:rFonts w:hint="eastAsia" w:ascii="宋体" w:hAnsi="宋体" w:eastAsia="宋体" w:cs="宋体"/>
          <w:bCs/>
          <w:color w:val="auto"/>
          <w:sz w:val="21"/>
          <w:szCs w:val="21"/>
          <w:highlight w:val="none"/>
          <w:u w:val="single"/>
          <w:lang w:val="en-US"/>
        </w:rPr>
      </w:pPr>
      <w:r>
        <w:rPr>
          <w:rFonts w:hint="eastAsia" w:ascii="宋体" w:hAnsi="宋体" w:eastAsia="宋体" w:cs="宋体"/>
          <w:bCs/>
          <w:color w:val="auto"/>
          <w:kern w:val="0"/>
          <w:sz w:val="21"/>
          <w:szCs w:val="21"/>
          <w:highlight w:val="none"/>
          <w:u w:color="000000"/>
          <w:lang w:val="en-US" w:eastAsia="zh-CN" w:bidi="ar"/>
        </w:rPr>
        <w:t>本项目不要求投标人提交投标保证金。</w:t>
      </w:r>
    </w:p>
    <w:p w14:paraId="5CC6BE0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30" w:firstLineChars="200"/>
        <w:jc w:val="both"/>
        <w:textAlignment w:val="auto"/>
        <w:rPr>
          <w:rFonts w:hint="eastAsia" w:ascii="宋体" w:hAnsi="宋体" w:eastAsia="宋体" w:cs="宋体"/>
          <w:b/>
          <w:bCs w:val="0"/>
          <w:color w:val="auto"/>
          <w:spacing w:val="2"/>
          <w:sz w:val="21"/>
          <w:szCs w:val="21"/>
          <w:highlight w:val="none"/>
          <w:lang w:val="en-US"/>
        </w:rPr>
      </w:pPr>
      <w:r>
        <w:rPr>
          <w:rFonts w:hint="eastAsia" w:ascii="宋体" w:hAnsi="宋体" w:eastAsia="宋体" w:cs="宋体"/>
          <w:b/>
          <w:bCs w:val="0"/>
          <w:color w:val="auto"/>
          <w:spacing w:val="2"/>
          <w:kern w:val="0"/>
          <w:sz w:val="21"/>
          <w:szCs w:val="21"/>
          <w:highlight w:val="none"/>
          <w:u w:color="000000"/>
          <w:lang w:val="en-US" w:eastAsia="zh-CN" w:bidi="ar"/>
        </w:rPr>
        <w:t>六、</w:t>
      </w:r>
      <w:r>
        <w:rPr>
          <w:rFonts w:hint="eastAsia" w:ascii="宋体" w:hAnsi="宋体" w:eastAsia="宋体" w:cs="宋体"/>
          <w:b/>
          <w:bCs w:val="0"/>
          <w:color w:val="auto"/>
          <w:kern w:val="0"/>
          <w:sz w:val="21"/>
          <w:szCs w:val="21"/>
          <w:highlight w:val="none"/>
          <w:u w:color="000000"/>
          <w:lang w:val="en-US" w:eastAsia="zh-CN" w:bidi="ar"/>
        </w:rPr>
        <w:t>对本次招标提出询问，请按以下方式联系</w:t>
      </w:r>
    </w:p>
    <w:p w14:paraId="3BBFCFB3">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1.招标人信息</w:t>
      </w:r>
    </w:p>
    <w:p w14:paraId="1C820CD4">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称：滁州市发展和改革委员会</w:t>
      </w:r>
    </w:p>
    <w:p w14:paraId="7FA6994A">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地址：</w:t>
      </w:r>
      <w:r>
        <w:rPr>
          <w:rFonts w:hint="eastAsia" w:ascii="宋体" w:hAnsi="宋体" w:eastAsia="宋体" w:cs="宋体"/>
          <w:color w:val="auto"/>
          <w:szCs w:val="21"/>
          <w:highlight w:val="none"/>
          <w:lang w:val="en-US" w:eastAsia="zh-CN"/>
        </w:rPr>
        <w:t>滁州市龙蟠大道89号政务中心北6楼</w:t>
      </w:r>
    </w:p>
    <w:p w14:paraId="77819779">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6" w:name="_Toc28359009"/>
      <w:bookmarkStart w:id="17" w:name="_Toc28359086"/>
      <w:r>
        <w:rPr>
          <w:rFonts w:hint="eastAsia" w:ascii="宋体" w:hAnsi="宋体" w:eastAsia="宋体" w:cs="宋体"/>
          <w:color w:val="auto"/>
          <w:szCs w:val="21"/>
          <w:highlight w:val="none"/>
          <w:lang w:val="en-US" w:eastAsia="zh-CN"/>
        </w:rPr>
        <w:t>18019875989</w:t>
      </w:r>
    </w:p>
    <w:p w14:paraId="56B89771">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2.采购代理机构信息</w:t>
      </w:r>
      <w:bookmarkEnd w:id="16"/>
      <w:bookmarkEnd w:id="17"/>
    </w:p>
    <w:p w14:paraId="2F6CE430">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称：滁州市城投工程咨询管理有限公司　</w:t>
      </w:r>
    </w:p>
    <w:p w14:paraId="03833092">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址：滁州市龙蟠大道109号房产大厦六楼　</w:t>
      </w:r>
    </w:p>
    <w:p w14:paraId="6524C77C">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联系方式：</w:t>
      </w:r>
      <w:bookmarkStart w:id="18" w:name="_Toc28359010"/>
      <w:bookmarkStart w:id="19" w:name="_Toc28359087"/>
      <w:r>
        <w:rPr>
          <w:rFonts w:hint="eastAsia" w:ascii="宋体" w:hAnsi="宋体" w:eastAsia="宋体" w:cs="宋体"/>
          <w:color w:val="auto"/>
          <w:szCs w:val="21"/>
          <w:highlight w:val="none"/>
          <w:lang w:eastAsia="zh-CN"/>
        </w:rPr>
        <w:t>0550-3519512、18</w:t>
      </w:r>
      <w:r>
        <w:rPr>
          <w:rFonts w:hint="eastAsia" w:ascii="宋体" w:hAnsi="宋体" w:eastAsia="宋体" w:cs="宋体"/>
          <w:color w:val="auto"/>
          <w:szCs w:val="21"/>
          <w:highlight w:val="none"/>
          <w:lang w:val="en-US" w:eastAsia="zh-CN"/>
        </w:rPr>
        <w:t>255055896</w:t>
      </w:r>
    </w:p>
    <w:p w14:paraId="153A4D5B">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3.项目联系方式</w:t>
      </w:r>
      <w:bookmarkEnd w:id="18"/>
      <w:bookmarkEnd w:id="19"/>
    </w:p>
    <w:p w14:paraId="1FDA1C4E">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项目联系人：</w:t>
      </w:r>
      <w:r>
        <w:rPr>
          <w:rFonts w:hint="eastAsia" w:ascii="宋体" w:hAnsi="宋体" w:eastAsia="宋体" w:cs="宋体"/>
          <w:color w:val="auto"/>
          <w:szCs w:val="21"/>
          <w:highlight w:val="none"/>
          <w:lang w:val="en-US" w:eastAsia="zh-CN"/>
        </w:rPr>
        <w:t>杨超、周晓培</w:t>
      </w:r>
    </w:p>
    <w:p w14:paraId="754012C4">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电　话：</w:t>
      </w:r>
      <w:r>
        <w:rPr>
          <w:rFonts w:hint="eastAsia" w:ascii="宋体" w:hAnsi="宋体" w:eastAsia="宋体" w:cs="宋体"/>
          <w:color w:val="auto"/>
          <w:szCs w:val="21"/>
          <w:highlight w:val="none"/>
          <w:lang w:val="en-US" w:eastAsia="zh-CN"/>
        </w:rPr>
        <w:t>18019875989</w:t>
      </w:r>
      <w:r>
        <w:rPr>
          <w:rFonts w:hint="eastAsia" w:ascii="宋体" w:hAnsi="宋体" w:eastAsia="宋体" w:cs="宋体"/>
          <w:color w:val="auto"/>
          <w:szCs w:val="21"/>
          <w:highlight w:val="none"/>
          <w:lang w:eastAsia="zh-CN"/>
        </w:rPr>
        <w:t>、0550-3519512、18</w:t>
      </w:r>
      <w:r>
        <w:rPr>
          <w:rFonts w:hint="eastAsia" w:ascii="宋体" w:hAnsi="宋体" w:eastAsia="宋体" w:cs="宋体"/>
          <w:color w:val="auto"/>
          <w:szCs w:val="21"/>
          <w:highlight w:val="none"/>
          <w:lang w:val="en-US" w:eastAsia="zh-CN"/>
        </w:rPr>
        <w:t>255055896</w:t>
      </w:r>
    </w:p>
    <w:p w14:paraId="5C93F41A">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 xml:space="preserve"> </w:t>
      </w:r>
    </w:p>
    <w:p w14:paraId="74C78860">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auto"/>
          <w:kern w:val="0"/>
          <w:sz w:val="32"/>
          <w:szCs w:val="32"/>
          <w:highlight w:val="none"/>
          <w:u w:color="000000"/>
          <w:lang w:val="en-US" w:eastAsia="zh-CN" w:bidi="ar"/>
        </w:rPr>
      </w:pPr>
    </w:p>
    <w:p w14:paraId="209A1D70">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auto"/>
          <w:kern w:val="0"/>
          <w:sz w:val="32"/>
          <w:szCs w:val="32"/>
          <w:highlight w:val="none"/>
          <w:u w:color="000000"/>
          <w:lang w:val="en-US" w:eastAsia="zh-CN" w:bidi="ar"/>
        </w:rPr>
      </w:pPr>
    </w:p>
    <w:p w14:paraId="2901C96E">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auto"/>
          <w:kern w:val="0"/>
          <w:sz w:val="32"/>
          <w:szCs w:val="32"/>
          <w:highlight w:val="none"/>
          <w:u w:color="000000"/>
          <w:lang w:val="en-US" w:eastAsia="zh-CN" w:bidi="ar"/>
        </w:rPr>
      </w:pPr>
    </w:p>
    <w:p w14:paraId="25AA08B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Cs/>
          <w:color w:val="auto"/>
          <w:kern w:val="0"/>
          <w:sz w:val="32"/>
          <w:szCs w:val="32"/>
          <w:highlight w:val="none"/>
          <w:u w:color="000000"/>
          <w:lang w:val="en-US" w:eastAsia="zh-CN" w:bidi="ar"/>
        </w:rPr>
      </w:pPr>
    </w:p>
    <w:p w14:paraId="4F61BBB5">
      <w:pPr>
        <w:pStyle w:val="7"/>
        <w:rPr>
          <w:rFonts w:hint="eastAsia" w:ascii="宋体" w:hAnsi="宋体" w:eastAsia="宋体" w:cs="宋体"/>
          <w:bCs/>
          <w:color w:val="auto"/>
          <w:kern w:val="0"/>
          <w:sz w:val="32"/>
          <w:szCs w:val="32"/>
          <w:highlight w:val="none"/>
          <w:u w:color="000000"/>
          <w:lang w:val="en-US" w:eastAsia="zh-CN" w:bidi="ar"/>
        </w:rPr>
      </w:pPr>
    </w:p>
    <w:p w14:paraId="0E783225">
      <w:pPr>
        <w:rPr>
          <w:rFonts w:hint="eastAsia"/>
          <w:color w:val="auto"/>
          <w:highlight w:val="none"/>
          <w:lang w:val="en-US" w:eastAsia="zh-CN"/>
        </w:rPr>
      </w:pPr>
    </w:p>
    <w:p w14:paraId="4AEB445D">
      <w:pPr>
        <w:pStyle w:val="7"/>
        <w:ind w:left="0" w:leftChars="0" w:firstLine="0" w:firstLineChars="0"/>
        <w:rPr>
          <w:rFonts w:hint="eastAsia"/>
          <w:color w:val="auto"/>
          <w:highlight w:val="none"/>
          <w:lang w:val="en-US" w:eastAsia="zh-CN"/>
        </w:rPr>
      </w:pPr>
    </w:p>
    <w:p w14:paraId="79342F64">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640" w:firstLineChars="200"/>
        <w:jc w:val="center"/>
        <w:textAlignment w:val="auto"/>
        <w:outlineLvl w:val="0"/>
        <w:rPr>
          <w:rFonts w:hint="eastAsia" w:ascii="宋体" w:hAnsi="宋体" w:eastAsia="宋体" w:cs="宋体"/>
          <w:b/>
          <w:bCs/>
          <w:color w:val="auto"/>
          <w:kern w:val="0"/>
          <w:sz w:val="32"/>
          <w:szCs w:val="32"/>
          <w:highlight w:val="none"/>
          <w:u w:color="000000"/>
          <w:lang w:val="en-US" w:eastAsia="zh-CN" w:bidi="ar"/>
        </w:rPr>
      </w:pPr>
      <w:r>
        <w:rPr>
          <w:rFonts w:hint="eastAsia" w:ascii="宋体" w:hAnsi="宋体" w:eastAsia="宋体" w:cs="宋体"/>
          <w:bCs/>
          <w:color w:val="auto"/>
          <w:kern w:val="0"/>
          <w:sz w:val="32"/>
          <w:szCs w:val="32"/>
          <w:highlight w:val="none"/>
          <w:u w:color="000000"/>
          <w:lang w:val="en-US" w:eastAsia="zh-CN" w:bidi="ar"/>
        </w:rPr>
        <w:t xml:space="preserve"> </w:t>
      </w:r>
      <w:bookmarkStart w:id="20" w:name="_Toc23335"/>
      <w:r>
        <w:rPr>
          <w:rFonts w:hint="eastAsia" w:ascii="宋体" w:hAnsi="宋体" w:eastAsia="宋体" w:cs="宋体"/>
          <w:b/>
          <w:bCs/>
          <w:color w:val="auto"/>
          <w:kern w:val="0"/>
          <w:sz w:val="32"/>
          <w:szCs w:val="32"/>
          <w:highlight w:val="none"/>
          <w:u w:color="000000"/>
          <w:lang w:val="en-US" w:eastAsia="zh-CN" w:bidi="ar"/>
        </w:rPr>
        <w:t>第二章 投标人须知</w:t>
      </w:r>
      <w:bookmarkEnd w:id="20"/>
      <w:bookmarkStart w:id="21" w:name="_Toc9559"/>
      <w:bookmarkEnd w:id="21"/>
      <w:bookmarkStart w:id="22" w:name="_Toc28003_WPSOffice_Level2"/>
    </w:p>
    <w:p w14:paraId="0B7ABBF2">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一、投标人须知前附表</w:t>
      </w:r>
      <w:bookmarkEnd w:id="22"/>
    </w:p>
    <w:tbl>
      <w:tblPr>
        <w:tblStyle w:val="26"/>
        <w:tblW w:w="9500"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852"/>
        <w:gridCol w:w="2205"/>
        <w:gridCol w:w="6443"/>
      </w:tblGrid>
      <w:tr w14:paraId="75262B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852" w:type="dxa"/>
            <w:tcBorders>
              <w:top w:val="single" w:color="auto" w:sz="12" w:space="0"/>
              <w:left w:val="single" w:color="auto" w:sz="12" w:space="0"/>
              <w:bottom w:val="single" w:color="auto" w:sz="8" w:space="0"/>
              <w:right w:val="single" w:color="auto" w:sz="8" w:space="0"/>
            </w:tcBorders>
            <w:shd w:val="clear" w:color="auto" w:fill="auto"/>
            <w:vAlign w:val="center"/>
          </w:tcPr>
          <w:p w14:paraId="3CE18C8C">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r>
              <w:rPr>
                <w:rFonts w:hint="eastAsia" w:cs="Times New Roman"/>
                <w:b/>
                <w:bCs w:val="0"/>
                <w:color w:val="auto"/>
                <w:highlight w:val="none"/>
                <w:lang w:val="en-US" w:eastAsia="zh-CN"/>
              </w:rPr>
              <w:t>序号</w:t>
            </w:r>
          </w:p>
        </w:tc>
        <w:tc>
          <w:tcPr>
            <w:tcW w:w="2205" w:type="dxa"/>
            <w:tcBorders>
              <w:top w:val="single" w:color="auto" w:sz="12" w:space="0"/>
              <w:left w:val="single" w:color="auto" w:sz="8" w:space="0"/>
              <w:bottom w:val="single" w:color="auto" w:sz="8" w:space="0"/>
              <w:right w:val="single" w:color="auto" w:sz="8" w:space="0"/>
            </w:tcBorders>
            <w:shd w:val="clear" w:color="auto" w:fill="auto"/>
            <w:vAlign w:val="center"/>
          </w:tcPr>
          <w:p w14:paraId="44E2A44D">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hint="eastAsia"/>
                <w:b/>
                <w:color w:val="auto"/>
                <w:szCs w:val="21"/>
                <w:highlight w:val="none"/>
                <w:lang w:val="en-US" w:eastAsia="zh-CN"/>
              </w:rPr>
              <w:t>条款名称</w:t>
            </w:r>
          </w:p>
        </w:tc>
        <w:tc>
          <w:tcPr>
            <w:tcW w:w="6443" w:type="dxa"/>
            <w:tcBorders>
              <w:top w:val="single" w:color="auto" w:sz="12" w:space="0"/>
              <w:left w:val="single" w:color="auto" w:sz="8" w:space="0"/>
              <w:bottom w:val="single" w:color="auto" w:sz="8" w:space="0"/>
              <w:right w:val="single" w:color="auto" w:sz="12" w:space="0"/>
            </w:tcBorders>
            <w:shd w:val="clear" w:color="auto" w:fill="auto"/>
            <w:vAlign w:val="center"/>
          </w:tcPr>
          <w:p w14:paraId="7E81F53C">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14138D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5"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7BC2FF0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159AFAC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3747D338">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cs="Times New Roman"/>
                <w:bCs/>
                <w:color w:val="auto"/>
                <w:highlight w:val="none"/>
                <w:lang w:val="en-US" w:eastAsia="zh-CN"/>
              </w:rPr>
            </w:pPr>
            <w:r>
              <w:rPr>
                <w:rFonts w:hint="eastAsia" w:cs="宋体"/>
                <w:color w:val="auto"/>
                <w:sz w:val="21"/>
                <w:szCs w:val="21"/>
                <w:highlight w:val="none"/>
                <w:lang w:eastAsia="zh-CN"/>
              </w:rPr>
              <w:t>滁州市发展和改革委员会2026年度市级救灾物资采购项目</w:t>
            </w:r>
          </w:p>
        </w:tc>
      </w:tr>
      <w:tr w14:paraId="68307C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3615B347">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6C136CF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color w:val="auto"/>
                <w:highlight w:val="none"/>
                <w:lang w:val="en-US" w:eastAsia="zh-CN"/>
              </w:rPr>
            </w:pPr>
            <w:r>
              <w:rPr>
                <w:rFonts w:hint="eastAsia" w:cs="Times New Roman"/>
                <w:color w:val="auto"/>
                <w:highlight w:val="none"/>
                <w:lang w:val="en-US" w:eastAsia="zh-CN"/>
              </w:rPr>
              <w:t>合同履行期限</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4003B29C">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cs="Times New Roman"/>
                <w:bCs/>
                <w:color w:val="auto"/>
                <w:highlight w:val="none"/>
                <w:lang w:val="en-US" w:eastAsia="zh-CN"/>
              </w:rPr>
            </w:pPr>
            <w:r>
              <w:rPr>
                <w:rFonts w:hint="eastAsia" w:cs="Times New Roman"/>
                <w:bCs/>
                <w:color w:val="auto"/>
                <w:highlight w:val="none"/>
                <w:lang w:val="en-US" w:eastAsia="zh-CN"/>
              </w:rPr>
              <w:t>合同签订并接到采购人通知之日起 20 个日历天内完成供货、安装，并验收合格。由中标单位将采购货物送至滁州市军粮供应站有限公司（滁州市苏州路379号），同时提供具有资质的检测机构的质量合格报告。</w:t>
            </w:r>
          </w:p>
        </w:tc>
      </w:tr>
      <w:tr w14:paraId="425754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0C5EF1F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565DDA6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服务</w:t>
            </w:r>
            <w:r>
              <w:rPr>
                <w:rFonts w:cs="Times New Roman"/>
                <w:color w:val="auto"/>
                <w:highlight w:val="none"/>
              </w:rPr>
              <w:t>地点</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2340A3CA">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Cs/>
                <w:color w:val="auto"/>
                <w:highlight w:val="none"/>
                <w:lang w:val="en-US"/>
              </w:rPr>
            </w:pPr>
            <w:r>
              <w:rPr>
                <w:rFonts w:hint="eastAsia" w:ascii="宋体" w:hAnsi="宋体" w:eastAsia="宋体" w:cs="宋体"/>
                <w:color w:val="auto"/>
                <w:szCs w:val="21"/>
                <w:highlight w:val="none"/>
                <w:lang w:val="en-US" w:eastAsia="zh-CN"/>
              </w:rPr>
              <w:t>招标人指定地点</w:t>
            </w:r>
          </w:p>
        </w:tc>
      </w:tr>
      <w:tr w14:paraId="1CC60D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2FAA23CE">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11C61476">
            <w:pPr>
              <w:pStyle w:val="14"/>
              <w:keepNext w:val="0"/>
              <w:keepLines w:val="0"/>
              <w:pageBreakBefore w:val="0"/>
              <w:kinsoku/>
              <w:wordWrap/>
              <w:overflowPunct/>
              <w:topLinePunct w:val="0"/>
              <w:autoSpaceDE/>
              <w:autoSpaceDN/>
              <w:bidi w:val="0"/>
              <w:adjustRightInd/>
              <w:snapToGrid/>
              <w:spacing w:line="360" w:lineRule="exact"/>
              <w:ind w:left="0" w:leftChars="0" w:right="0" w:rightChars="0"/>
              <w:jc w:val="left"/>
              <w:textAlignment w:val="auto"/>
              <w:rPr>
                <w:rFonts w:cs="Times New Roman"/>
                <w:color w:val="auto"/>
                <w:highlight w:val="none"/>
                <w:lang w:val="en-US"/>
              </w:rPr>
            </w:pPr>
            <w:r>
              <w:rPr>
                <w:rFonts w:hint="eastAsia"/>
                <w:color w:val="auto"/>
                <w:sz w:val="21"/>
                <w:szCs w:val="21"/>
                <w:highlight w:val="none"/>
                <w:lang w:eastAsia="zh-CN"/>
              </w:rPr>
              <w:t>招标人</w:t>
            </w:r>
            <w:r>
              <w:rPr>
                <w:rFonts w:hint="eastAsia"/>
                <w:color w:val="auto"/>
                <w:sz w:val="21"/>
                <w:szCs w:val="21"/>
                <w:highlight w:val="none"/>
              </w:rPr>
              <w:t>联系人及电话</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039ADCA9">
            <w:pPr>
              <w:pStyle w:val="14"/>
              <w:keepNext w:val="0"/>
              <w:keepLines w:val="0"/>
              <w:pageBreakBefore w:val="0"/>
              <w:kinsoku/>
              <w:wordWrap/>
              <w:overflowPunct/>
              <w:topLinePunct w:val="0"/>
              <w:autoSpaceDE/>
              <w:autoSpaceDN/>
              <w:bidi w:val="0"/>
              <w:adjustRightInd/>
              <w:spacing w:line="440" w:lineRule="exact"/>
              <w:ind w:left="0" w:leftChars="0" w:right="0" w:rightChars="0"/>
              <w:textAlignment w:val="auto"/>
              <w:rPr>
                <w:rFonts w:hint="default" w:ascii="宋体" w:hAnsi="宋体" w:eastAsia="宋体" w:cs="宋体"/>
                <w:color w:val="auto"/>
                <w:kern w:val="2"/>
                <w:sz w:val="21"/>
                <w:szCs w:val="21"/>
                <w:highlight w:val="none"/>
                <w:u w:color="auto"/>
                <w:lang w:val="en-US" w:eastAsia="zh-CN" w:bidi="ar"/>
              </w:rPr>
            </w:pPr>
            <w:r>
              <w:rPr>
                <w:rFonts w:hint="eastAsia" w:ascii="宋体" w:hAnsi="宋体" w:eastAsia="宋体" w:cs="宋体"/>
                <w:color w:val="auto"/>
                <w:sz w:val="21"/>
                <w:szCs w:val="21"/>
                <w:highlight w:val="none"/>
              </w:rPr>
              <w:t>联系人：</w:t>
            </w:r>
            <w:r>
              <w:rPr>
                <w:rFonts w:hint="eastAsia" w:cs="宋体"/>
                <w:color w:val="auto"/>
                <w:szCs w:val="21"/>
                <w:highlight w:val="none"/>
                <w:lang w:val="en-US" w:eastAsia="zh-CN"/>
              </w:rPr>
              <w:t>杨超</w:t>
            </w:r>
            <w:r>
              <w:rPr>
                <w:rFonts w:hint="eastAsia" w:ascii="宋体" w:hAnsi="宋体" w:eastAsia="宋体" w:cs="宋体"/>
                <w:color w:val="auto"/>
                <w:sz w:val="21"/>
                <w:szCs w:val="21"/>
                <w:highlight w:val="none"/>
              </w:rPr>
              <w:t>；</w:t>
            </w:r>
            <w:r>
              <w:rPr>
                <w:rFonts w:hint="eastAsia"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cs="宋体"/>
                <w:color w:val="auto"/>
                <w:szCs w:val="21"/>
                <w:highlight w:val="none"/>
                <w:lang w:val="en-US" w:eastAsia="zh-CN"/>
              </w:rPr>
              <w:t>18019875989</w:t>
            </w:r>
          </w:p>
        </w:tc>
      </w:tr>
      <w:tr w14:paraId="3ECC46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4BC3A40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70E67429">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招标</w:t>
            </w:r>
            <w:r>
              <w:rPr>
                <w:rFonts w:cs="Times New Roman"/>
                <w:color w:val="auto"/>
                <w:highlight w:val="none"/>
              </w:rPr>
              <w:t>代理机构联系人及电话</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589768AE">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eastAsia="宋体" w:cs="宋体"/>
                <w:color w:val="auto"/>
                <w:highlight w:val="none"/>
                <w:lang w:val="en-US" w:eastAsia="zh-CN"/>
              </w:rPr>
            </w:pPr>
            <w:r>
              <w:rPr>
                <w:rFonts w:hint="eastAsia" w:ascii="宋体" w:hAnsi="宋体" w:eastAsia="宋体" w:cs="宋体"/>
                <w:bCs/>
                <w:color w:val="auto"/>
                <w:sz w:val="21"/>
                <w:szCs w:val="21"/>
                <w:highlight w:val="none"/>
              </w:rPr>
              <w:t>联系人：</w:t>
            </w:r>
            <w:r>
              <w:rPr>
                <w:rFonts w:hint="eastAsia" w:ascii="宋体" w:hAnsi="宋体" w:eastAsia="宋体" w:cs="宋体"/>
                <w:color w:val="auto"/>
                <w:szCs w:val="21"/>
                <w:highlight w:val="none"/>
                <w:lang w:val="en-US" w:eastAsia="zh-CN"/>
              </w:rPr>
              <w:t>周晓培</w:t>
            </w:r>
            <w:r>
              <w:rPr>
                <w:rFonts w:hint="eastAsia" w:ascii="宋体" w:hAnsi="宋体" w:eastAsia="宋体" w:cs="宋体"/>
                <w:bCs/>
                <w:color w:val="auto"/>
                <w:sz w:val="21"/>
                <w:szCs w:val="21"/>
                <w:highlight w:val="none"/>
              </w:rPr>
              <w:t>；</w:t>
            </w:r>
            <w:r>
              <w:rPr>
                <w:rFonts w:hint="eastAsia" w:cs="宋体"/>
                <w:bCs/>
                <w:color w:val="auto"/>
                <w:sz w:val="21"/>
                <w:szCs w:val="21"/>
                <w:highlight w:val="none"/>
                <w:lang w:val="en-US" w:eastAsia="zh-CN"/>
              </w:rPr>
              <w:t xml:space="preserve">  </w:t>
            </w:r>
            <w:r>
              <w:rPr>
                <w:rFonts w:hint="eastAsia" w:hAnsi="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电话：</w:t>
            </w:r>
            <w:r>
              <w:rPr>
                <w:rFonts w:hint="eastAsia" w:ascii="宋体" w:hAnsi="宋体" w:eastAsia="宋体" w:cs="宋体"/>
                <w:color w:val="auto"/>
                <w:szCs w:val="21"/>
                <w:highlight w:val="none"/>
                <w:lang w:eastAsia="zh-CN"/>
              </w:rPr>
              <w:t>0550-3519512、18</w:t>
            </w:r>
            <w:r>
              <w:rPr>
                <w:rFonts w:hint="eastAsia" w:ascii="宋体" w:hAnsi="宋体" w:eastAsia="宋体" w:cs="宋体"/>
                <w:color w:val="auto"/>
                <w:szCs w:val="21"/>
                <w:highlight w:val="none"/>
                <w:lang w:val="en-US" w:eastAsia="zh-CN"/>
              </w:rPr>
              <w:t>255055896</w:t>
            </w:r>
          </w:p>
        </w:tc>
      </w:tr>
      <w:tr w14:paraId="7FD175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0B127263">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1F23CB41">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0B8D3C0C">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hint="eastAsia" w:cs="Times New Roman"/>
                <w:color w:val="auto"/>
                <w:highlight w:val="none"/>
                <w:lang w:val="en-US" w:eastAsia="zh-CN"/>
              </w:rPr>
              <w:t>财政</w:t>
            </w:r>
            <w:r>
              <w:rPr>
                <w:rFonts w:cs="Times New Roman"/>
                <w:color w:val="auto"/>
                <w:highlight w:val="none"/>
              </w:rPr>
              <w:t>资金</w:t>
            </w:r>
          </w:p>
        </w:tc>
      </w:tr>
      <w:tr w14:paraId="2C7C55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0811A61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603CD5D2">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项目预算</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3098470D">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hint="default" w:ascii="宋体" w:hAnsi="宋体" w:eastAsia="宋体" w:cs="宋体"/>
                <w:bCs/>
                <w:color w:val="auto"/>
                <w:szCs w:val="21"/>
                <w:highlight w:val="none"/>
                <w:lang w:val="en-US" w:eastAsia="zh-CN"/>
              </w:rPr>
            </w:pPr>
            <w:r>
              <w:rPr>
                <w:rFonts w:hint="eastAsia" w:cs="宋体"/>
                <w:bCs/>
                <w:color w:val="auto"/>
                <w:szCs w:val="21"/>
                <w:highlight w:val="none"/>
                <w:lang w:val="en-US" w:eastAsia="zh-CN"/>
              </w:rPr>
              <w:t>217000.00</w:t>
            </w:r>
          </w:p>
        </w:tc>
      </w:tr>
      <w:tr w14:paraId="4C746A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450E1A9E">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5C63C0B">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10BFE3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宋体" w:hAnsi="宋体" w:eastAsia="宋体" w:cs="宋体"/>
                <w:bCs/>
                <w:color w:val="auto"/>
                <w:szCs w:val="21"/>
                <w:highlight w:val="none"/>
                <w:lang w:val="en-US" w:eastAsia="zh-CN"/>
              </w:rPr>
            </w:pPr>
            <w:r>
              <w:rPr>
                <w:rFonts w:hint="eastAsia" w:ascii="宋体" w:hAnsi="宋体" w:eastAsia="宋体" w:cs="宋体"/>
                <w:color w:val="auto"/>
                <w:kern w:val="0"/>
                <w:sz w:val="21"/>
                <w:szCs w:val="21"/>
                <w:highlight w:val="none"/>
                <w:u w:color="000000"/>
                <w:lang w:val="en-US" w:eastAsia="zh-CN" w:bidi="ar"/>
              </w:rPr>
              <w:t>投标总价217000.00元，毛毯单价最高限价80元/条，毛巾被单价最高限价75元/条,总价和单价投标报价均不得高于最高限价，毛毯和毛巾被数量各不少于1400条（含），否则将否决其投标。</w:t>
            </w:r>
          </w:p>
        </w:tc>
      </w:tr>
      <w:tr w14:paraId="06AC8A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5C77507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D89C814">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59CADB1A">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w:t>
            </w:r>
            <w:r>
              <w:rPr>
                <w:rFonts w:hint="eastAsia" w:hAnsi="宋体" w:cs="宋体"/>
                <w:bCs/>
                <w:color w:val="auto"/>
                <w:szCs w:val="21"/>
                <w:highlight w:val="none"/>
              </w:rPr>
              <w:t>》</w:t>
            </w:r>
          </w:p>
        </w:tc>
      </w:tr>
      <w:tr w14:paraId="558D4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14875D7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3281614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7447A4E7">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hint="eastAsia" w:eastAsia="宋体" w:cs="宋体"/>
                <w:color w:val="auto"/>
                <w:highlight w:val="none"/>
                <w:lang w:val="en-US" w:eastAsia="zh-CN"/>
              </w:rPr>
            </w:pPr>
            <w:r>
              <w:rPr>
                <w:rFonts w:hint="eastAsia" w:cs="Times New Roman"/>
                <w:b/>
                <w:bCs/>
                <w:color w:val="auto"/>
                <w:highlight w:val="none"/>
              </w:rPr>
              <w:t>本项目划分为</w:t>
            </w:r>
            <w:r>
              <w:rPr>
                <w:rFonts w:hint="eastAsia" w:cs="Times New Roman"/>
                <w:b/>
                <w:bCs/>
                <w:color w:val="auto"/>
                <w:highlight w:val="none"/>
                <w:lang w:val="en-US" w:eastAsia="zh-CN"/>
              </w:rPr>
              <w:t>1</w:t>
            </w:r>
            <w:r>
              <w:rPr>
                <w:rFonts w:hint="eastAsia" w:cs="Times New Roman"/>
                <w:b/>
                <w:bCs/>
                <w:color w:val="auto"/>
                <w:highlight w:val="none"/>
              </w:rPr>
              <w:t>个标包</w:t>
            </w:r>
          </w:p>
        </w:tc>
      </w:tr>
      <w:tr w14:paraId="2DD72D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7847943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746420B4">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09EC9032">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16AE24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2EAABA9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C8A59A9">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7CDE90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default" w:ascii="ˎ̥" w:hAnsi="ˎ̥" w:eastAsia="ˎ̥" w:cs="ˎ̥"/>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5C32C8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4"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32B2E00F">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3835995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08E1D9C7">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cs="Times New Roman"/>
                <w:color w:val="auto"/>
                <w:highlight w:val="none"/>
              </w:rPr>
              <w:t>不组织</w:t>
            </w:r>
            <w:r>
              <w:rPr>
                <w:rFonts w:cs="Times New Roman"/>
                <w:color w:val="auto"/>
                <w:highlight w:val="none"/>
                <w:lang w:val="en-US"/>
              </w:rPr>
              <w:t>,</w:t>
            </w:r>
            <w:r>
              <w:rPr>
                <w:rFonts w:cs="Times New Roman"/>
                <w:color w:val="auto"/>
                <w:highlight w:val="none"/>
              </w:rPr>
              <w:t>投标人自行踏勘现场</w:t>
            </w:r>
          </w:p>
        </w:tc>
      </w:tr>
      <w:tr w14:paraId="1316A0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54E73F7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7EDB2F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480B8E8F">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cs="Times New Roman"/>
                <w:color w:val="auto"/>
                <w:highlight w:val="none"/>
              </w:rPr>
              <w:t>不召开</w:t>
            </w:r>
          </w:p>
        </w:tc>
      </w:tr>
      <w:tr w14:paraId="55817A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5F5B651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589F14A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07943755">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b w:val="0"/>
                <w:bCs w:val="0"/>
                <w:color w:val="auto"/>
                <w:highlight w:val="none"/>
                <w:lang w:val="en-US"/>
              </w:rPr>
            </w:pPr>
            <w:r>
              <w:rPr>
                <w:rFonts w:hint="eastAsia" w:cs="Times New Roman"/>
                <w:b w:val="0"/>
                <w:bCs w:val="0"/>
                <w:color w:val="auto"/>
                <w:highlight w:val="none"/>
              </w:rPr>
              <w:t>质疑时间：</w:t>
            </w:r>
            <w:r>
              <w:rPr>
                <w:rFonts w:hint="eastAsia" w:cs="Times New Roman"/>
                <w:b w:val="0"/>
                <w:bCs w:val="0"/>
                <w:color w:val="auto"/>
                <w:highlight w:val="none"/>
                <w:lang w:eastAsia="zh-CN"/>
              </w:rPr>
              <w:t>2026年8月</w:t>
            </w:r>
            <w:r>
              <w:rPr>
                <w:rFonts w:hint="eastAsia" w:cs="Times New Roman"/>
                <w:b w:val="0"/>
                <w:bCs w:val="0"/>
                <w:color w:val="auto"/>
                <w:highlight w:val="none"/>
                <w:lang w:val="en-US" w:eastAsia="zh-CN"/>
              </w:rPr>
              <w:t>9</w:t>
            </w:r>
            <w:r>
              <w:rPr>
                <w:rFonts w:hint="eastAsia" w:cs="Times New Roman"/>
                <w:b w:val="0"/>
                <w:bCs w:val="0"/>
                <w:color w:val="auto"/>
                <w:highlight w:val="none"/>
              </w:rPr>
              <w:t>日</w:t>
            </w:r>
            <w:r>
              <w:rPr>
                <w:rFonts w:hint="eastAsia" w:cs="Times New Roman"/>
                <w:b w:val="0"/>
                <w:bCs w:val="0"/>
                <w:color w:val="auto"/>
                <w:highlight w:val="none"/>
                <w:lang w:val="en-US" w:eastAsia="zh-CN"/>
              </w:rPr>
              <w:t>17</w:t>
            </w:r>
            <w:r>
              <w:rPr>
                <w:rFonts w:hint="eastAsia" w:cs="Times New Roman"/>
                <w:b w:val="0"/>
                <w:bCs w:val="0"/>
                <w:color w:val="auto"/>
                <w:highlight w:val="none"/>
              </w:rPr>
              <w:t>时前，供应商将所遇到的问题将疑问</w:t>
            </w:r>
            <w:r>
              <w:rPr>
                <w:rFonts w:hint="eastAsia" w:hAnsi="宋体" w:cs="宋体"/>
                <w:color w:val="auto"/>
                <w:highlight w:val="none"/>
                <w:u w:val="none" w:color="000000"/>
              </w:rPr>
              <w:t>疑问以电子邮件形式发送到邮箱（czsctgczx@163.com）</w:t>
            </w:r>
            <w:r>
              <w:rPr>
                <w:rFonts w:hint="eastAsia" w:hAnsi="宋体" w:cs="宋体"/>
                <w:bCs/>
                <w:color w:val="auto"/>
                <w:szCs w:val="21"/>
                <w:highlight w:val="none"/>
                <w:u w:val="none" w:color="000000"/>
              </w:rPr>
              <w:t xml:space="preserve">。 </w:t>
            </w:r>
          </w:p>
        </w:tc>
      </w:tr>
      <w:tr w14:paraId="20F8D7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20FA506A">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079551A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招标人澄清的时间及方式</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339193D3">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Times New Roman"/>
                <w:b/>
                <w:bCs/>
                <w:color w:val="auto"/>
                <w:kern w:val="2"/>
                <w:sz w:val="21"/>
                <w:szCs w:val="21"/>
                <w:highlight w:val="none"/>
                <w:u w:color="auto"/>
                <w:lang w:val="en-US" w:eastAsia="zh-CN" w:bidi="ar"/>
              </w:rPr>
              <w:t>2026年8月10日17时前</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hAnsi="宋体" w:eastAsia="宋体" w:cs="宋体"/>
                <w:color w:val="auto"/>
                <w:kern w:val="0"/>
                <w:sz w:val="21"/>
                <w:szCs w:val="21"/>
                <w:highlight w:val="none"/>
                <w:u w:color="000000"/>
                <w:lang w:val="en-US" w:eastAsia="zh-CN" w:bidi="ar"/>
              </w:rPr>
              <w:t>滁州市城投工程咨询管理有限公司（https://www.czctgczx.com/）</w:t>
            </w:r>
            <w:r>
              <w:rPr>
                <w:rFonts w:hint="eastAsia" w:ascii="宋体" w:cs="宋体"/>
                <w:color w:val="auto"/>
                <w:szCs w:val="21"/>
                <w:highlight w:val="none"/>
              </w:rPr>
              <w:t>发布。</w:t>
            </w:r>
          </w:p>
        </w:tc>
      </w:tr>
      <w:tr w14:paraId="4959F2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670DC5FF">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078B632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4FE5960A">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47C023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6D61302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7C2C62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代理服务及专家评审等费用</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5D4107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本项目的招标代理服务费</w:t>
            </w:r>
            <w:r>
              <w:rPr>
                <w:rFonts w:hint="eastAsia" w:ascii="宋体" w:hAnsi="宋体" w:cs="宋体"/>
                <w:color w:val="auto"/>
                <w:szCs w:val="21"/>
                <w:highlight w:val="none"/>
                <w:lang w:val="en-US" w:eastAsia="zh-CN"/>
              </w:rPr>
              <w:t>3000</w:t>
            </w:r>
            <w:r>
              <w:rPr>
                <w:rFonts w:hint="eastAsia" w:ascii="宋体" w:hAnsi="宋体" w:cs="宋体"/>
                <w:color w:val="auto"/>
                <w:szCs w:val="21"/>
                <w:highlight w:val="none"/>
              </w:rPr>
              <w:t>元</w:t>
            </w:r>
            <w:r>
              <w:rPr>
                <w:rFonts w:hint="eastAsia" w:ascii="宋体" w:hAnsi="宋体" w:cs="宋体"/>
                <w:color w:val="auto"/>
                <w:kern w:val="0"/>
                <w:szCs w:val="21"/>
                <w:highlight w:val="none"/>
              </w:rPr>
              <w:t>（不含专家评审费，专家评</w:t>
            </w:r>
            <w:r>
              <w:rPr>
                <w:rFonts w:hint="eastAsia" w:ascii="宋体" w:hAnsi="宋体" w:cs="宋体"/>
                <w:color w:val="auto"/>
                <w:kern w:val="0"/>
                <w:szCs w:val="21"/>
                <w:highlight w:val="none"/>
                <w:lang w:val="en-US" w:eastAsia="zh-CN"/>
              </w:rPr>
              <w:t>审</w:t>
            </w:r>
            <w:r>
              <w:rPr>
                <w:rFonts w:hint="eastAsia" w:ascii="宋体" w:hAnsi="宋体" w:cs="宋体"/>
                <w:color w:val="auto"/>
                <w:kern w:val="0"/>
                <w:szCs w:val="21"/>
                <w:highlight w:val="none"/>
              </w:rPr>
              <w:t>费以实际发生费用为准）</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招标代理服务费和专家评审费</w:t>
            </w:r>
            <w:r>
              <w:rPr>
                <w:rFonts w:hint="eastAsia" w:ascii="宋体" w:hAnsi="宋体" w:cs="宋体"/>
                <w:color w:val="auto"/>
                <w:szCs w:val="21"/>
                <w:highlight w:val="none"/>
              </w:rPr>
              <w:t>由</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在领取</w:t>
            </w:r>
            <w:r>
              <w:rPr>
                <w:rFonts w:hint="eastAsia" w:ascii="宋体" w:hAnsi="宋体" w:cs="宋体"/>
                <w:color w:val="auto"/>
                <w:szCs w:val="21"/>
                <w:highlight w:val="none"/>
                <w:lang w:val="en-US" w:eastAsia="zh-CN"/>
              </w:rPr>
              <w:t>中标</w:t>
            </w:r>
            <w:r>
              <w:rPr>
                <w:rFonts w:hint="eastAsia" w:ascii="宋体" w:hAnsi="宋体" w:cs="宋体"/>
                <w:color w:val="auto"/>
                <w:szCs w:val="21"/>
                <w:highlight w:val="none"/>
              </w:rPr>
              <w:t>通知书时，一次性支付给代理公司。</w:t>
            </w:r>
          </w:p>
        </w:tc>
      </w:tr>
      <w:tr w14:paraId="430491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4B04AB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35B66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50D13E0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261F56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0F7D01C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724DAB8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04068706">
            <w:pPr>
              <w:pStyle w:val="14"/>
              <w:keepNext w:val="0"/>
              <w:keepLines w:val="0"/>
              <w:pageBreakBefore w:val="0"/>
              <w:widowControl/>
              <w:kinsoku/>
              <w:wordWrap/>
              <w:overflowPunct/>
              <w:topLinePunct w:val="0"/>
              <w:autoSpaceDE w:val="0"/>
              <w:autoSpaceDN/>
              <w:bidi w:val="0"/>
              <w:adjustRightInd/>
              <w:snapToGrid/>
              <w:spacing w:line="340" w:lineRule="exact"/>
              <w:textAlignment w:val="auto"/>
              <w:rPr>
                <w:rFonts w:cs="Times New Roman"/>
                <w:color w:val="auto"/>
                <w:highlight w:val="none"/>
                <w:lang w:val="en-US"/>
              </w:rPr>
            </w:pPr>
            <w:r>
              <w:rPr>
                <w:rFonts w:cs="Times New Roman"/>
                <w:color w:val="auto"/>
                <w:highlight w:val="none"/>
              </w:rPr>
              <w:t>投标有效期为</w:t>
            </w:r>
            <w:r>
              <w:rPr>
                <w:rFonts w:cs="Times New Roman"/>
                <w:color w:val="auto"/>
                <w:highlight w:val="none"/>
                <w:u w:val="single"/>
                <w:lang w:val="en-US"/>
              </w:rPr>
              <w:t xml:space="preserve"> </w:t>
            </w:r>
            <w:r>
              <w:rPr>
                <w:rFonts w:hint="eastAsia" w:cs="Times New Roman"/>
                <w:color w:val="auto"/>
                <w:highlight w:val="none"/>
                <w:u w:val="single"/>
                <w:lang w:val="en-US" w:eastAsia="zh-CN"/>
              </w:rPr>
              <w:t>9</w:t>
            </w:r>
            <w:r>
              <w:rPr>
                <w:rFonts w:cs="Times New Roman"/>
                <w:color w:val="auto"/>
                <w:highlight w:val="none"/>
                <w:u w:val="single"/>
                <w:lang w:val="en-US"/>
              </w:rPr>
              <w:t xml:space="preserve">0 </w:t>
            </w:r>
            <w:r>
              <w:rPr>
                <w:rFonts w:cs="Times New Roman"/>
                <w:color w:val="auto"/>
                <w:highlight w:val="none"/>
              </w:rPr>
              <w:t>日历天（从投标截止之日算起）。在此期限内，凡符合本招标文件要求的投标文件均保持有效。</w:t>
            </w:r>
          </w:p>
        </w:tc>
      </w:tr>
      <w:tr w14:paraId="74271C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3EFA433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3CB9E2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top"/>
          </w:tcPr>
          <w:p w14:paraId="4622FD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7FB0AF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0E77D5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22</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63574B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签字或盖章要求</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top"/>
          </w:tcPr>
          <w:p w14:paraId="4371D5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投标文件须按格式文件要求签字或盖章</w:t>
            </w:r>
          </w:p>
        </w:tc>
      </w:tr>
      <w:tr w14:paraId="3006C8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4B4C39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6C33CF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份数</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703E4D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正本一份，副本</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份。密封后递交</w:t>
            </w:r>
            <w:r>
              <w:rPr>
                <w:rFonts w:hint="eastAsia" w:ascii="宋体" w:hAnsi="宋体" w:cs="宋体"/>
                <w:color w:val="auto"/>
                <w:szCs w:val="21"/>
                <w:highlight w:val="none"/>
                <w:lang w:eastAsia="zh-CN"/>
              </w:rPr>
              <w:t>。</w:t>
            </w:r>
          </w:p>
        </w:tc>
      </w:tr>
      <w:tr w14:paraId="556356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16F928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24</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2D3824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装订要求</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45C9AE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投标文件按顺序装订</w:t>
            </w:r>
          </w:p>
        </w:tc>
      </w:tr>
      <w:tr w14:paraId="5076A3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3FC3CC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color w:val="auto"/>
                <w:sz w:val="21"/>
                <w:szCs w:val="21"/>
                <w:highlight w:val="none"/>
                <w:lang w:val="en-US" w:eastAsia="zh-CN"/>
              </w:rPr>
            </w:pPr>
            <w:r>
              <w:rPr>
                <w:rFonts w:hint="eastAsia" w:ascii="宋体" w:cs="宋体"/>
                <w:color w:val="auto"/>
                <w:sz w:val="21"/>
                <w:szCs w:val="21"/>
                <w:highlight w:val="none"/>
                <w:lang w:val="en-US" w:eastAsia="zh-CN"/>
              </w:rPr>
              <w:t>25</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100DF8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投标文件封套上应载明的信息</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64B6ED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投标人地址：</w:t>
            </w:r>
          </w:p>
          <w:p w14:paraId="7667C5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投标人名称：</w:t>
            </w:r>
          </w:p>
          <w:p w14:paraId="665A39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 xml:space="preserve">                                   （项目名称）投标文件</w:t>
            </w:r>
          </w:p>
          <w:p w14:paraId="478676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在 2026年8月12日14时30分前不得开启</w:t>
            </w:r>
          </w:p>
        </w:tc>
      </w:tr>
      <w:tr w14:paraId="749EC6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852" w:type="dxa"/>
            <w:vMerge w:val="restart"/>
            <w:tcBorders>
              <w:top w:val="single" w:color="auto" w:sz="8" w:space="0"/>
              <w:left w:val="single" w:color="auto" w:sz="12" w:space="0"/>
              <w:right w:val="single" w:color="auto" w:sz="8" w:space="0"/>
            </w:tcBorders>
            <w:shd w:val="clear" w:color="auto" w:fill="auto"/>
            <w:vAlign w:val="center"/>
          </w:tcPr>
          <w:p w14:paraId="78C9B9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26</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5451D4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color w:val="auto"/>
                <w:kern w:val="2"/>
                <w:highlight w:val="none"/>
                <w:lang w:val="en-US"/>
              </w:rPr>
            </w:pPr>
            <w:r>
              <w:rPr>
                <w:rFonts w:hint="eastAsia" w:ascii="宋体"/>
                <w:b/>
                <w:bCs/>
                <w:color w:val="auto"/>
                <w:sz w:val="21"/>
                <w:szCs w:val="21"/>
                <w:highlight w:val="none"/>
              </w:rPr>
              <w:t>投标截止时间</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6DFD527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auto"/>
                <w:kern w:val="2"/>
                <w:sz w:val="21"/>
                <w:szCs w:val="21"/>
                <w:highlight w:val="none"/>
                <w:u w:color="000000"/>
                <w:lang w:val="en-US" w:eastAsia="zh-CN" w:bidi="ar"/>
              </w:rPr>
            </w:pPr>
            <w:r>
              <w:rPr>
                <w:rFonts w:hint="eastAsia" w:ascii="宋体" w:hAnsi="宋体" w:eastAsia="宋体" w:cs="宋体"/>
                <w:b/>
                <w:bCs/>
                <w:color w:val="auto"/>
                <w:kern w:val="2"/>
                <w:sz w:val="21"/>
                <w:szCs w:val="21"/>
                <w:highlight w:val="none"/>
                <w:u w:color="000000"/>
                <w:lang w:val="en-US" w:eastAsia="zh-CN" w:bidi="ar"/>
              </w:rPr>
              <w:t>2026年8月12日14时30分（北京时间）</w:t>
            </w:r>
          </w:p>
        </w:tc>
      </w:tr>
      <w:tr w14:paraId="3ABBF3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852" w:type="dxa"/>
            <w:vMerge w:val="continue"/>
            <w:tcBorders>
              <w:left w:val="single" w:color="auto" w:sz="12" w:space="0"/>
              <w:right w:val="single" w:color="auto" w:sz="8" w:space="0"/>
            </w:tcBorders>
            <w:shd w:val="clear" w:color="auto" w:fill="auto"/>
            <w:vAlign w:val="center"/>
          </w:tcPr>
          <w:p w14:paraId="4E2FD7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0B3A79C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开标时间及地点</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2E00EA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auto"/>
                <w:kern w:val="2"/>
                <w:sz w:val="21"/>
                <w:szCs w:val="21"/>
                <w:highlight w:val="none"/>
                <w:u w:color="000000"/>
                <w:lang w:val="en-US" w:eastAsia="zh-CN" w:bidi="ar"/>
              </w:rPr>
            </w:pPr>
            <w:r>
              <w:rPr>
                <w:rFonts w:hint="eastAsia" w:ascii="宋体" w:hAnsi="宋体" w:eastAsia="宋体" w:cs="宋体"/>
                <w:b/>
                <w:bCs/>
                <w:color w:val="auto"/>
                <w:kern w:val="2"/>
                <w:sz w:val="21"/>
                <w:szCs w:val="21"/>
                <w:highlight w:val="none"/>
                <w:u w:color="000000"/>
                <w:lang w:val="en-US" w:eastAsia="zh-CN" w:bidi="ar"/>
              </w:rPr>
              <w:t>开标时间：2026年8月12日14时30分</w:t>
            </w:r>
          </w:p>
          <w:p w14:paraId="6B32B90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b/>
                <w:bCs/>
                <w:color w:val="auto"/>
                <w:kern w:val="2"/>
                <w:sz w:val="21"/>
                <w:szCs w:val="21"/>
                <w:highlight w:val="none"/>
                <w:u w:color="000000"/>
                <w:lang w:val="en-US" w:eastAsia="zh-CN" w:bidi="ar"/>
              </w:rPr>
            </w:pPr>
            <w:r>
              <w:rPr>
                <w:rFonts w:hint="eastAsia" w:ascii="宋体" w:hAnsi="宋体" w:eastAsia="宋体" w:cs="宋体"/>
                <w:b/>
                <w:bCs/>
                <w:color w:val="auto"/>
                <w:kern w:val="2"/>
                <w:sz w:val="21"/>
                <w:szCs w:val="21"/>
                <w:highlight w:val="none"/>
                <w:u w:color="000000"/>
                <w:lang w:val="en-US" w:eastAsia="zh-CN" w:bidi="ar"/>
              </w:rPr>
              <w:t>开标地点：滁州市龙蟠大道109号房产商务大厦6楼603会议室</w:t>
            </w:r>
          </w:p>
        </w:tc>
      </w:tr>
      <w:tr w14:paraId="555E6F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20" w:hRule="atLeast"/>
        </w:trPr>
        <w:tc>
          <w:tcPr>
            <w:tcW w:w="852" w:type="dxa"/>
            <w:vMerge w:val="continue"/>
            <w:tcBorders>
              <w:left w:val="single" w:color="auto" w:sz="12" w:space="0"/>
              <w:bottom w:val="single" w:color="auto" w:sz="8" w:space="0"/>
              <w:right w:val="single" w:color="auto" w:sz="8" w:space="0"/>
            </w:tcBorders>
            <w:shd w:val="clear" w:color="auto" w:fill="auto"/>
            <w:vAlign w:val="center"/>
          </w:tcPr>
          <w:p w14:paraId="766772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015EF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开标程序</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15D73B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密封情况：由投标人或其推选的代表检查投标文件的密封情况；</w:t>
            </w:r>
          </w:p>
          <w:p w14:paraId="0C3CD1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开标顺序：由代理机构开启投标文件，报评标委员会评审。</w:t>
            </w:r>
          </w:p>
        </w:tc>
      </w:tr>
      <w:tr w14:paraId="70EE49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2A84B5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27</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22A41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40C5B3A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否</w:t>
            </w:r>
          </w:p>
        </w:tc>
      </w:tr>
      <w:tr w14:paraId="163F52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07B6D34F">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cs="Times New Roman"/>
                <w:color w:val="auto"/>
                <w:highlight w:val="none"/>
                <w:lang w:val="en-US" w:eastAsia="zh-CN"/>
              </w:rPr>
              <w:t>28</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645CD606">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评标委员会的组建</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2659A7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70D62F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7B6CDB13">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cs="Times New Roman"/>
                <w:color w:val="auto"/>
                <w:highlight w:val="none"/>
                <w:lang w:val="en-US" w:eastAsia="zh-CN"/>
              </w:rPr>
              <w:t>29</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783903B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是否授权评标委员会确定中标候选人</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50AF5131">
            <w:pPr>
              <w:pStyle w:val="14"/>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w:t>
            </w:r>
            <w:r>
              <w:rPr>
                <w:rFonts w:hint="eastAsia" w:cs="宋体"/>
                <w:color w:val="auto"/>
                <w:szCs w:val="21"/>
                <w:highlight w:val="none"/>
                <w:lang w:val="en-US" w:eastAsia="zh-CN"/>
              </w:rPr>
              <w:t>3</w:t>
            </w:r>
            <w:r>
              <w:rPr>
                <w:rFonts w:hint="eastAsia" w:ascii="宋体" w:hAnsi="宋体" w:cs="宋体"/>
                <w:color w:val="auto"/>
                <w:szCs w:val="21"/>
                <w:highlight w:val="none"/>
              </w:rPr>
              <w:t>名，并标明排序。</w:t>
            </w:r>
          </w:p>
        </w:tc>
      </w:tr>
      <w:tr w14:paraId="1B5BC7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41109EF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cs="Times New Roman"/>
                <w:color w:val="auto"/>
                <w:highlight w:val="none"/>
                <w:lang w:val="en-US" w:eastAsia="zh-CN"/>
              </w:rPr>
              <w:t>30</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74D455C5">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cs="Times New Roman"/>
                <w:color w:val="auto"/>
                <w:highlight w:val="none"/>
              </w:rPr>
              <w:t>中标结果公告媒介</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60118E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cs="宋体"/>
                <w:color w:val="auto"/>
                <w:szCs w:val="21"/>
                <w:highlight w:val="none"/>
              </w:rPr>
            </w:pPr>
            <w:r>
              <w:rPr>
                <w:rFonts w:hint="eastAsia" w:ascii="宋体" w:hAnsi="宋体" w:eastAsia="宋体" w:cs="Times New Roman"/>
                <w:color w:val="auto"/>
                <w:kern w:val="2"/>
                <w:sz w:val="21"/>
                <w:szCs w:val="21"/>
                <w:highlight w:val="none"/>
                <w:u w:color="auto"/>
                <w:lang w:val="en-US" w:eastAsia="zh-CN" w:bidi="ar"/>
              </w:rPr>
              <w:t>同招标公告发布媒介</w:t>
            </w:r>
          </w:p>
        </w:tc>
      </w:tr>
      <w:tr w14:paraId="7292D6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0E3D4C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4C7FBC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6283BB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leftChars="0" w:right="0" w:rightChars="0"/>
              <w:jc w:val="both"/>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49BAF5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736" w:hRule="atLeast"/>
        </w:trPr>
        <w:tc>
          <w:tcPr>
            <w:tcW w:w="852" w:type="dxa"/>
            <w:tcBorders>
              <w:top w:val="single" w:color="auto" w:sz="8" w:space="0"/>
              <w:left w:val="single" w:color="auto" w:sz="12" w:space="0"/>
              <w:bottom w:val="single" w:color="auto" w:sz="8" w:space="0"/>
              <w:right w:val="single" w:color="auto" w:sz="8" w:space="0"/>
            </w:tcBorders>
            <w:shd w:val="clear" w:color="auto" w:fill="auto"/>
            <w:vAlign w:val="center"/>
          </w:tcPr>
          <w:p w14:paraId="788CA66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32</w:t>
            </w:r>
          </w:p>
        </w:tc>
        <w:tc>
          <w:tcPr>
            <w:tcW w:w="2205" w:type="dxa"/>
            <w:tcBorders>
              <w:top w:val="single" w:color="auto" w:sz="8" w:space="0"/>
              <w:left w:val="single" w:color="auto" w:sz="8" w:space="0"/>
              <w:bottom w:val="single" w:color="auto" w:sz="8" w:space="0"/>
              <w:right w:val="single" w:color="auto" w:sz="8" w:space="0"/>
            </w:tcBorders>
            <w:shd w:val="clear" w:color="auto" w:fill="auto"/>
            <w:vAlign w:val="center"/>
          </w:tcPr>
          <w:p w14:paraId="2B901C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color w:val="auto"/>
                <w:highlight w:val="none"/>
                <w:lang w:val="en-US" w:eastAsia="zh-CN"/>
              </w:rPr>
              <w:t>履约保证金</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4D9A1D3C">
            <w:pPr>
              <w:pStyle w:val="14"/>
              <w:keepNext w:val="0"/>
              <w:keepLines w:val="0"/>
              <w:pageBreakBefore w:val="0"/>
              <w:widowControl/>
              <w:kinsoku/>
              <w:wordWrap/>
              <w:overflowPunct/>
              <w:topLinePunct w:val="0"/>
              <w:autoSpaceDE w:val="0"/>
              <w:autoSpaceDN/>
              <w:bidi w:val="0"/>
              <w:adjustRightInd/>
              <w:snapToGrid/>
              <w:spacing w:line="340" w:lineRule="exact"/>
              <w:ind w:left="0" w:leftChars="0" w:right="0" w:rightChars="0"/>
              <w:textAlignment w:val="auto"/>
              <w:rPr>
                <w:rFonts w:hint="eastAsia"/>
                <w:color w:val="auto"/>
                <w:highlight w:val="none"/>
                <w:lang w:val="en-US" w:eastAsia="zh-CN"/>
              </w:rPr>
            </w:pPr>
            <w:r>
              <w:rPr>
                <w:rFonts w:hint="eastAsia" w:cs="宋体"/>
                <w:b w:val="0"/>
                <w:bCs w:val="0"/>
                <w:color w:val="auto"/>
                <w:sz w:val="21"/>
                <w:szCs w:val="21"/>
                <w:highlight w:val="none"/>
                <w:lang w:val="en-US" w:eastAsia="zh-CN"/>
              </w:rPr>
              <w:t>本项目不</w:t>
            </w:r>
            <w:r>
              <w:rPr>
                <w:rFonts w:hint="eastAsia" w:ascii="宋体" w:hAnsi="宋体" w:eastAsia="宋体" w:cs="宋体"/>
                <w:b w:val="0"/>
                <w:bCs w:val="0"/>
                <w:color w:val="auto"/>
                <w:sz w:val="21"/>
                <w:szCs w:val="21"/>
                <w:highlight w:val="none"/>
              </w:rPr>
              <w:t>收取</w:t>
            </w:r>
            <w:r>
              <w:rPr>
                <w:rFonts w:hint="eastAsia"/>
                <w:color w:val="auto"/>
                <w:highlight w:val="none"/>
                <w:lang w:val="en-US" w:eastAsia="zh-CN"/>
              </w:rPr>
              <w:t>履约保证金</w:t>
            </w:r>
          </w:p>
        </w:tc>
      </w:tr>
      <w:tr w14:paraId="4CCB49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060" w:hRule="atLeast"/>
        </w:trPr>
        <w:tc>
          <w:tcPr>
            <w:tcW w:w="3057"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60EB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color w:val="auto"/>
                <w:sz w:val="21"/>
                <w:szCs w:val="21"/>
                <w:highlight w:val="none"/>
              </w:rPr>
              <w:t>付款方式、时间、条件</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1C2E79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eastAsiaTheme="minorEastAsia"/>
                <w:color w:val="auto"/>
                <w:highlight w:val="none"/>
                <w:lang w:val="en-US" w:eastAsia="zh-CN"/>
              </w:rPr>
            </w:pPr>
            <w:r>
              <w:rPr>
                <w:rFonts w:hint="eastAsia" w:ascii="宋体" w:hAnsi="宋体" w:cs="宋体"/>
                <w:b/>
                <w:bCs/>
                <w:color w:val="auto"/>
                <w:szCs w:val="21"/>
                <w:highlight w:val="none"/>
                <w:lang w:val="en-US" w:eastAsia="zh-CN"/>
              </w:rPr>
              <w:t>全部供货完成经业采购人确认并验收合格后一次性付款，付款前成交单位须按照甲方要求提供发票。</w:t>
            </w:r>
          </w:p>
        </w:tc>
      </w:tr>
      <w:tr w14:paraId="40840D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45" w:hRule="atLeast"/>
        </w:trPr>
        <w:tc>
          <w:tcPr>
            <w:tcW w:w="3057"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0D65C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top"/>
          </w:tcPr>
          <w:p w14:paraId="11277D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282C4C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6E4BB8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057"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3706DEA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jc w:val="left"/>
              <w:textAlignment w:val="auto"/>
              <w:rPr>
                <w:rFonts w:hint="eastAsia" w:ascii="宋体" w:hAnsi="Times New Roman" w:eastAsia="宋体" w:cs="Times New Roman"/>
                <w:color w:val="auto"/>
                <w:sz w:val="20"/>
                <w:szCs w:val="20"/>
                <w:highlight w:val="none"/>
              </w:rPr>
            </w:pPr>
            <w:r>
              <w:rPr>
                <w:rFonts w:hint="eastAsia" w:ascii="宋体" w:hAnsi="Times New Roman" w:eastAsia="宋体" w:cs="Times New Roman"/>
                <w:b/>
                <w:bCs/>
                <w:color w:val="auto"/>
                <w:sz w:val="24"/>
                <w:szCs w:val="24"/>
                <w:highlight w:val="none"/>
                <w:lang w:val="en-US" w:eastAsia="zh-CN"/>
              </w:rPr>
              <w:t>样品要求</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top"/>
          </w:tcPr>
          <w:p w14:paraId="0EF16F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Times New Roman" w:eastAsia="宋体" w:cs="Times New Roman"/>
                <w:b/>
                <w:bCs/>
                <w:color w:val="auto"/>
                <w:sz w:val="22"/>
                <w:szCs w:val="22"/>
                <w:highlight w:val="none"/>
                <w:lang w:val="en-US" w:eastAsia="zh-CN"/>
              </w:rPr>
            </w:pPr>
            <w:r>
              <w:rPr>
                <w:rFonts w:hint="eastAsia" w:ascii="宋体" w:hAnsi="Times New Roman" w:eastAsia="宋体" w:cs="Times New Roman"/>
                <w:b/>
                <w:bCs/>
                <w:color w:val="auto"/>
                <w:sz w:val="22"/>
                <w:szCs w:val="22"/>
                <w:highlight w:val="none"/>
                <w:lang w:val="en-US" w:eastAsia="zh-CN"/>
              </w:rPr>
              <w:t>投标文件递交截止时间前自行将样品送至滁州市龙蟠大道109号房产商务大厦6楼603会议室（联系人：周晓培，联系电话0550-3519512、18255055896），未提供样品或超时提供的或提供样品不符合要求的技术标相应评分项不得分。</w:t>
            </w:r>
          </w:p>
          <w:p w14:paraId="393611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Times New Roman" w:eastAsia="宋体" w:cs="Times New Roman"/>
                <w:color w:val="auto"/>
                <w:sz w:val="20"/>
                <w:szCs w:val="20"/>
                <w:highlight w:val="none"/>
                <w:lang w:val="en-US" w:eastAsia="zh-CN"/>
              </w:rPr>
            </w:pPr>
            <w:r>
              <w:rPr>
                <w:rFonts w:hint="eastAsia" w:ascii="宋体" w:hAnsi="Times New Roman" w:eastAsia="宋体" w:cs="Times New Roman"/>
                <w:b/>
                <w:bCs/>
                <w:color w:val="auto"/>
                <w:sz w:val="22"/>
                <w:szCs w:val="22"/>
                <w:highlight w:val="none"/>
                <w:lang w:val="en-US" w:eastAsia="zh-CN"/>
              </w:rPr>
              <w:t>注：样品接收时间（投标截止日2026年8月12日8：30-14：30）</w:t>
            </w:r>
          </w:p>
        </w:tc>
      </w:tr>
      <w:tr w14:paraId="07FEE5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057"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B1B2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386C9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14D10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16BD4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6182C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51B7DF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057"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798E2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443" w:type="dxa"/>
            <w:tcBorders>
              <w:top w:val="single" w:color="auto" w:sz="8" w:space="0"/>
              <w:left w:val="single" w:color="auto" w:sz="8" w:space="0"/>
              <w:bottom w:val="single" w:color="auto" w:sz="8" w:space="0"/>
              <w:right w:val="single" w:color="auto" w:sz="12" w:space="0"/>
            </w:tcBorders>
            <w:shd w:val="clear" w:color="auto" w:fill="auto"/>
            <w:vAlign w:val="center"/>
          </w:tcPr>
          <w:p w14:paraId="1F905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bl>
    <w:p w14:paraId="2FC6DF62">
      <w:pPr>
        <w:rPr>
          <w:rFonts w:hint="eastAsia" w:ascii="宋体" w:hAnsi="宋体" w:eastAsia="宋体" w:cs="宋体"/>
          <w:b/>
          <w:bCs w:val="0"/>
          <w:color w:val="auto"/>
          <w:kern w:val="0"/>
          <w:sz w:val="28"/>
          <w:szCs w:val="28"/>
          <w:highlight w:val="none"/>
          <w:u w:color="000000"/>
          <w:lang w:val="en-US" w:eastAsia="zh-CN" w:bidi="ar"/>
        </w:rPr>
      </w:pPr>
      <w:bookmarkStart w:id="23" w:name="_Toc122"/>
      <w:bookmarkEnd w:id="23"/>
      <w:r>
        <w:rPr>
          <w:rFonts w:hint="eastAsia" w:ascii="宋体" w:hAnsi="宋体" w:eastAsia="宋体" w:cs="宋体"/>
          <w:b/>
          <w:bCs w:val="0"/>
          <w:color w:val="auto"/>
          <w:kern w:val="0"/>
          <w:sz w:val="28"/>
          <w:szCs w:val="28"/>
          <w:highlight w:val="none"/>
          <w:u w:color="000000"/>
          <w:lang w:val="en-US" w:eastAsia="zh-CN" w:bidi="ar"/>
        </w:rPr>
        <w:br w:type="page"/>
      </w:r>
    </w:p>
    <w:p w14:paraId="23D77EA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二、投标人须知</w:t>
      </w:r>
    </w:p>
    <w:p w14:paraId="4AD443B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24" w:name="_Toc26859"/>
      <w:bookmarkEnd w:id="24"/>
      <w:bookmarkStart w:id="25" w:name="_Toc14421_WPSOffice_Level3"/>
      <w:r>
        <w:rPr>
          <w:rFonts w:hint="eastAsia" w:ascii="宋体" w:hAnsi="宋体" w:eastAsia="宋体" w:cs="宋体"/>
          <w:b/>
          <w:bCs w:val="0"/>
          <w:color w:val="auto"/>
          <w:kern w:val="0"/>
          <w:sz w:val="28"/>
          <w:szCs w:val="28"/>
          <w:highlight w:val="none"/>
          <w:u w:color="000000"/>
          <w:lang w:val="en-US" w:eastAsia="zh-CN" w:bidi="ar"/>
        </w:rPr>
        <w:t>（一）总  则</w:t>
      </w:r>
      <w:bookmarkEnd w:id="25"/>
    </w:p>
    <w:p w14:paraId="6AC15DC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52E34D9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33F1D03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招标人：见投标人须知前附表。</w:t>
      </w:r>
    </w:p>
    <w:p w14:paraId="552312A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供货期：见投标人须知前附表。</w:t>
      </w:r>
    </w:p>
    <w:p w14:paraId="71D9B87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供货地点：见投标人须知前附表。</w:t>
      </w:r>
    </w:p>
    <w:p w14:paraId="7443B0B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1.2招标人及联系人: 见投标人须知前附表。</w:t>
      </w:r>
    </w:p>
    <w:p w14:paraId="01071904">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 见投标人须知前附表。</w:t>
      </w:r>
    </w:p>
    <w:p w14:paraId="75DA969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726A63E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778810F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783F6470">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2.招标范围：</w:t>
      </w:r>
    </w:p>
    <w:p w14:paraId="4D69571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 采购内容：见投标人须知前附表。</w:t>
      </w:r>
    </w:p>
    <w:p w14:paraId="63AA0AF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lang w:eastAsia="zh-CN"/>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74E7037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3.标包划分：</w:t>
      </w:r>
    </w:p>
    <w:p w14:paraId="2583EA0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4112CBB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4.招标方式：</w:t>
      </w:r>
    </w:p>
    <w:p w14:paraId="457F0FD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3D64D8E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6E8B24B2">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固定单价 。</w:t>
      </w:r>
    </w:p>
    <w:p w14:paraId="62D1504A">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14:paraId="4EB9F703">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综合评分法。</w:t>
      </w:r>
      <w:r>
        <w:rPr>
          <w:rFonts w:hint="eastAsia" w:ascii="宋体" w:hAnsi="宋体" w:eastAsia="宋体" w:cs="宋体"/>
          <w:color w:val="auto"/>
          <w:kern w:val="0"/>
          <w:sz w:val="21"/>
          <w:szCs w:val="21"/>
          <w:highlight w:val="none"/>
          <w:u w:color="000000"/>
          <w:lang w:val="en-US" w:eastAsia="zh-CN" w:bidi="ar"/>
        </w:rPr>
        <w:t>（详见第三章评标办法）</w:t>
      </w:r>
    </w:p>
    <w:p w14:paraId="06A5765C">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7.投标人资格：</w:t>
      </w:r>
    </w:p>
    <w:p w14:paraId="6B42845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64C2EA27">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8. 投标费用</w:t>
      </w:r>
    </w:p>
    <w:p w14:paraId="5EA0970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4776C506">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9.</w:t>
      </w:r>
      <w:bookmarkStart w:id="26" w:name="_Toc247513962"/>
      <w:bookmarkEnd w:id="26"/>
      <w:bookmarkStart w:id="27" w:name="_Toc247527563"/>
      <w:bookmarkEnd w:id="27"/>
      <w:bookmarkStart w:id="28" w:name="_Toc144974507"/>
      <w:bookmarkEnd w:id="28"/>
      <w:bookmarkStart w:id="29" w:name="_Toc152045539"/>
      <w:bookmarkEnd w:id="29"/>
      <w:bookmarkStart w:id="30" w:name="_Toc152042315"/>
      <w:bookmarkEnd w:id="30"/>
      <w:bookmarkStart w:id="31" w:name="_Toc296602429"/>
      <w:bookmarkEnd w:id="31"/>
      <w:bookmarkStart w:id="32"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32"/>
    </w:p>
    <w:p w14:paraId="5A9E9FA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0330DADC">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392F02A5">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除招标人的原因外，投标人自行负责在踏勘现场中所发生的人员伤亡和财产损失。</w:t>
      </w:r>
    </w:p>
    <w:p w14:paraId="0EF81D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1EDC07C6">
      <w:pPr>
        <w:spacing w:line="440" w:lineRule="exact"/>
        <w:ind w:firstLine="409" w:firstLineChars="195"/>
        <w:rPr>
          <w:rFonts w:hint="eastAsia"/>
          <w:color w:val="auto"/>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无论投标人是否到现场实地踏勘，中标后签订合同时和履约过程中，投标人不得以不完全了解现场情况或现场情况与招标文件描述不一致等为由，提出任何形式的增加工程造价或索赔的要求。</w:t>
      </w:r>
    </w:p>
    <w:p w14:paraId="75F15273">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3EC8F99F">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招标人</w:t>
      </w:r>
      <w:r>
        <w:rPr>
          <w:rFonts w:hint="eastAsia" w:ascii="宋体"/>
          <w:color w:val="auto"/>
          <w:szCs w:val="21"/>
          <w:highlight w:val="none"/>
        </w:rPr>
        <w:t>按投标人须知前附表规定的时间和地点召开投标预备会，澄清投标人提出的问题。</w:t>
      </w:r>
    </w:p>
    <w:p w14:paraId="4D9FB2DF">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11. 联合投标</w:t>
      </w:r>
    </w:p>
    <w:p w14:paraId="78475F1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1C005DC8">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12.招标代理费</w:t>
      </w:r>
    </w:p>
    <w:p w14:paraId="5F63D64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12.1 </w:t>
      </w:r>
      <w:r>
        <w:rPr>
          <w:rFonts w:hint="eastAsia" w:ascii="宋体" w:hAnsi="宋体" w:eastAsia="宋体" w:cs="宋体"/>
          <w:color w:val="auto"/>
          <w:kern w:val="0"/>
          <w:sz w:val="21"/>
          <w:szCs w:val="21"/>
          <w:highlight w:val="none"/>
          <w:u w:color="000000"/>
          <w:lang w:val="en-US" w:eastAsia="zh-CN" w:bidi="ar"/>
        </w:rPr>
        <w:t>本项目的招标代理费详见投标人须知前附表。</w:t>
      </w:r>
    </w:p>
    <w:p w14:paraId="2A6BEB2A">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13.投标人应注意的事项</w:t>
      </w:r>
    </w:p>
    <w:p w14:paraId="13687850">
      <w:pPr>
        <w:spacing w:line="360" w:lineRule="auto"/>
        <w:ind w:firstLine="420" w:firstLineChars="200"/>
        <w:rPr>
          <w:rFonts w:hint="eastAsia" w:ascii="宋体"/>
          <w:color w:val="auto"/>
          <w:szCs w:val="21"/>
          <w:highlight w:val="none"/>
        </w:rPr>
      </w:pPr>
      <w:bookmarkStart w:id="33" w:name="_Toc24655"/>
      <w:bookmarkEnd w:id="33"/>
      <w:bookmarkStart w:id="34" w:name="_Toc10668_WPSOffice_Level3"/>
      <w:bookmarkEnd w:id="34"/>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CAC1B54">
      <w:pPr>
        <w:spacing w:line="360" w:lineRule="auto"/>
        <w:ind w:firstLine="420" w:firstLineChars="200"/>
        <w:rPr>
          <w:rFonts w:hint="eastAsia"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39F0ED82">
      <w:pPr>
        <w:spacing w:line="440" w:lineRule="exact"/>
        <w:ind w:firstLine="420" w:firstLineChars="200"/>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3</w:t>
      </w:r>
      <w:r>
        <w:rPr>
          <w:rFonts w:hint="eastAsia" w:ascii="宋体"/>
          <w:color w:val="auto"/>
          <w:szCs w:val="21"/>
          <w:highlight w:val="none"/>
        </w:rPr>
        <w:t xml:space="preserve"> </w:t>
      </w:r>
      <w:r>
        <w:rPr>
          <w:rFonts w:ascii="宋体"/>
          <w:bCs/>
          <w:color w:val="auto"/>
          <w:szCs w:val="21"/>
          <w:highlight w:val="none"/>
        </w:rPr>
        <w:t>单位负责人为同一人或者存在直接控股、管理关系的不同</w:t>
      </w:r>
      <w:r>
        <w:rPr>
          <w:rFonts w:hint="eastAsia" w:ascii="宋体"/>
          <w:bCs/>
          <w:color w:val="auto"/>
          <w:szCs w:val="21"/>
          <w:highlight w:val="none"/>
          <w:lang w:eastAsia="zh-CN"/>
        </w:rPr>
        <w:t>投标人</w:t>
      </w:r>
      <w:r>
        <w:rPr>
          <w:rFonts w:ascii="宋体"/>
          <w:bCs/>
          <w:color w:val="auto"/>
          <w:szCs w:val="21"/>
          <w:highlight w:val="none"/>
        </w:rPr>
        <w:t>，不得参加同一合同项下的采购活动。</w:t>
      </w:r>
    </w:p>
    <w:p w14:paraId="31D68F1B">
      <w:pPr>
        <w:spacing w:line="400" w:lineRule="exact"/>
        <w:ind w:firstLine="417" w:firstLineChars="199"/>
        <w:jc w:val="left"/>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4</w:t>
      </w:r>
      <w:r>
        <w:rPr>
          <w:rFonts w:hint="eastAsia" w:ascii="宋体"/>
          <w:color w:val="auto"/>
          <w:szCs w:val="21"/>
          <w:highlight w:val="none"/>
        </w:rPr>
        <w:t>投标人被视为充分熟悉本招标项目所在地的与履行合同有关的各种情况，包括但不限于：</w:t>
      </w:r>
    </w:p>
    <w:p w14:paraId="5A14DE95">
      <w:pPr>
        <w:spacing w:line="400" w:lineRule="exact"/>
        <w:ind w:firstLine="315" w:firstLineChars="150"/>
        <w:rPr>
          <w:rFonts w:hint="eastAsia" w:ascii="宋体"/>
          <w:color w:val="auto"/>
          <w:szCs w:val="21"/>
          <w:highlight w:val="none"/>
        </w:rPr>
      </w:pPr>
      <w:r>
        <w:rPr>
          <w:rFonts w:hint="eastAsia" w:ascii="宋体"/>
          <w:color w:val="auto"/>
          <w:szCs w:val="21"/>
          <w:highlight w:val="none"/>
        </w:rPr>
        <w:t>（1）国家对本次投标货物和服务的生产、调试、验收、维修等有关法律、法规及行业管理标准；</w:t>
      </w:r>
    </w:p>
    <w:p w14:paraId="2E8DF077">
      <w:pPr>
        <w:spacing w:line="400" w:lineRule="exact"/>
        <w:ind w:firstLine="315" w:firstLineChars="150"/>
        <w:rPr>
          <w:rFonts w:hint="eastAsia" w:ascii="宋体"/>
          <w:color w:val="auto"/>
          <w:szCs w:val="21"/>
          <w:highlight w:val="none"/>
        </w:rPr>
      </w:pPr>
      <w:r>
        <w:rPr>
          <w:rFonts w:hint="eastAsia" w:ascii="宋体"/>
          <w:color w:val="auto"/>
          <w:szCs w:val="21"/>
          <w:highlight w:val="none"/>
        </w:rPr>
        <w:t>（2）安徽省及滁州市等有关管理部门的相关规定；</w:t>
      </w:r>
    </w:p>
    <w:p w14:paraId="46C0E4D8">
      <w:pPr>
        <w:spacing w:line="400" w:lineRule="exact"/>
        <w:ind w:firstLine="315" w:firstLineChars="150"/>
        <w:rPr>
          <w:rFonts w:hint="eastAsia" w:ascii="宋体"/>
          <w:color w:val="auto"/>
          <w:szCs w:val="21"/>
          <w:highlight w:val="none"/>
        </w:rPr>
      </w:pPr>
      <w:r>
        <w:rPr>
          <w:rFonts w:hint="eastAsia" w:ascii="宋体"/>
          <w:color w:val="auto"/>
          <w:szCs w:val="21"/>
          <w:highlight w:val="none"/>
        </w:rPr>
        <w:t>（3）招标人的相关场地情况、基础建设、电力供应情况及相关设计标准。</w:t>
      </w:r>
    </w:p>
    <w:p w14:paraId="1EB03C01">
      <w:pPr>
        <w:spacing w:line="400" w:lineRule="exact"/>
        <w:ind w:firstLine="315" w:firstLineChars="150"/>
        <w:rPr>
          <w:rFonts w:ascii="宋体"/>
          <w:color w:val="auto"/>
          <w:szCs w:val="21"/>
          <w:highlight w:val="none"/>
        </w:rPr>
      </w:pPr>
      <w:r>
        <w:rPr>
          <w:rFonts w:hint="eastAsia" w:ascii="宋体"/>
          <w:color w:val="auto"/>
          <w:szCs w:val="21"/>
          <w:highlight w:val="none"/>
        </w:rPr>
        <w:t>本招标文件不再对上述情况进行描述。</w:t>
      </w:r>
    </w:p>
    <w:p w14:paraId="2928C152">
      <w:pPr>
        <w:spacing w:line="440" w:lineRule="exact"/>
        <w:ind w:firstLine="527" w:firstLineChars="250"/>
        <w:rPr>
          <w:rFonts w:ascii="宋体"/>
          <w:bCs/>
          <w:color w:val="auto"/>
          <w:szCs w:val="21"/>
          <w:highlight w:val="none"/>
        </w:rPr>
      </w:pPr>
      <w:r>
        <w:rPr>
          <w:rFonts w:hint="eastAsia" w:ascii="宋体"/>
          <w:b/>
          <w:color w:val="auto"/>
          <w:szCs w:val="21"/>
          <w:highlight w:val="none"/>
        </w:rPr>
        <w:t>14.保密</w:t>
      </w:r>
    </w:p>
    <w:p w14:paraId="5F94D63E">
      <w:pPr>
        <w:spacing w:line="440" w:lineRule="exact"/>
        <w:ind w:firstLine="525" w:firstLineChars="250"/>
        <w:rPr>
          <w:rFonts w:ascii="宋体"/>
          <w:bCs/>
          <w:color w:val="auto"/>
          <w:szCs w:val="21"/>
          <w:highlight w:val="none"/>
        </w:rPr>
      </w:pPr>
      <w:r>
        <w:rPr>
          <w:rFonts w:hint="eastAsia" w:ascii="宋体"/>
          <w:bCs/>
          <w:color w:val="auto"/>
          <w:szCs w:val="21"/>
          <w:highlight w:val="none"/>
        </w:rPr>
        <w:t xml:space="preserve">参与招标投标活动的各方应对招标文件和投标文件中的商业和技术等秘密保密，违者应对由此造成的后果承担法律责任。 </w:t>
      </w:r>
    </w:p>
    <w:p w14:paraId="42C59A29">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44844438">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15. 招标文件的编制依据</w:t>
      </w:r>
    </w:p>
    <w:p w14:paraId="626BCB3B">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auto"/>
          <w:spacing w:val="-2"/>
          <w:kern w:val="0"/>
          <w:sz w:val="21"/>
          <w:szCs w:val="21"/>
          <w:highlight w:val="none"/>
          <w:u w:color="000000"/>
          <w:lang w:val="en-US" w:eastAsia="zh-CN" w:bidi="ar"/>
        </w:rPr>
        <w:t>等相关法律法规和规章及部、省、市级规范性文件的规定，编制本招标文件。</w:t>
      </w:r>
    </w:p>
    <w:p w14:paraId="32F109F7">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16. 招标文件的组成</w:t>
      </w:r>
    </w:p>
    <w:p w14:paraId="6FE5F9C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4B0F7DB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59F38EB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124E69F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61EB1B4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14:paraId="21D55A6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1219C2B6">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w:t>
      </w:r>
    </w:p>
    <w:p w14:paraId="734DEAC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招标人、招标代理机构对本文件的确认</w:t>
      </w:r>
    </w:p>
    <w:p w14:paraId="5762F9F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16.2 除16.1内容外，招标答疑亦为招标文件的组成部分，对招标人和投标人起约束作用。</w:t>
      </w:r>
    </w:p>
    <w:p w14:paraId="14AB707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color w:val="auto"/>
          <w:szCs w:val="21"/>
          <w:highlight w:val="none"/>
          <w:lang w:eastAsia="zh-CN"/>
        </w:rPr>
        <w:t>。</w:t>
      </w:r>
    </w:p>
    <w:p w14:paraId="33E0602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50F7FA27">
      <w:pPr>
        <w:spacing w:line="440" w:lineRule="exact"/>
        <w:ind w:firstLine="422" w:firstLineChars="200"/>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21998768">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auto"/>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网上留言或书面形式提出。招标人将在收到异议之日起3日内作出答复；作出答复前，将暂停招标投标活动。</w:t>
      </w:r>
    </w:p>
    <w:p w14:paraId="1302C95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60FD2CD9">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18. 招标文件的发出</w:t>
      </w:r>
    </w:p>
    <w:p w14:paraId="0B07EA4A">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b/>
          <w:bCs w:val="0"/>
          <w:color w:val="auto"/>
          <w:kern w:val="0"/>
          <w:sz w:val="21"/>
          <w:szCs w:val="21"/>
          <w:highlight w:val="none"/>
          <w:u w:color="000000"/>
          <w:lang w:val="en-US" w:eastAsia="zh-CN" w:bidi="ar"/>
        </w:rPr>
        <w:t>滁州市城投工程咨询管理有限公司（https://www.czctgczx.com/）</w:t>
      </w:r>
      <w:r>
        <w:rPr>
          <w:rFonts w:hint="eastAsia" w:ascii="宋体" w:hAnsi="宋体" w:eastAsia="宋体" w:cs="宋体"/>
          <w:bCs/>
          <w:color w:val="auto"/>
          <w:kern w:val="0"/>
          <w:sz w:val="21"/>
          <w:szCs w:val="21"/>
          <w:highlight w:val="none"/>
          <w:u w:color="000000"/>
          <w:lang w:val="en-US" w:eastAsia="zh-CN" w:bidi="ar"/>
        </w:rPr>
        <w:t>发出。</w:t>
      </w:r>
    </w:p>
    <w:p w14:paraId="750D24EA">
      <w:pPr>
        <w:spacing w:line="440" w:lineRule="exact"/>
        <w:ind w:firstLine="422" w:firstLineChars="200"/>
        <w:rPr>
          <w:rFonts w:hint="default" w:ascii="宋体" w:hAnsi="宋体" w:eastAsia="宋体" w:cs="宋体"/>
          <w:b/>
          <w:bCs w:val="0"/>
          <w:color w:val="auto"/>
          <w:kern w:val="0"/>
          <w:sz w:val="21"/>
          <w:szCs w:val="21"/>
          <w:highlight w:val="none"/>
          <w:u w:color="000000"/>
          <w:lang w:val="en-US" w:eastAsia="zh-CN" w:bidi="ar"/>
        </w:rPr>
      </w:pPr>
      <w:bookmarkStart w:id="35" w:name="_Toc1549_WPSOffice_Level3"/>
      <w:bookmarkEnd w:id="35"/>
      <w:bookmarkStart w:id="36" w:name="_Toc9710"/>
      <w:r>
        <w:rPr>
          <w:rFonts w:hint="eastAsia" w:ascii="宋体" w:hAnsi="宋体" w:eastAsia="宋体" w:cs="宋体"/>
          <w:b/>
          <w:bCs w:val="0"/>
          <w:color w:val="auto"/>
          <w:kern w:val="0"/>
          <w:sz w:val="21"/>
          <w:szCs w:val="21"/>
          <w:highlight w:val="none"/>
          <w:u w:color="000000"/>
          <w:lang w:val="en-US" w:eastAsia="zh-CN" w:bidi="ar"/>
        </w:rPr>
        <w:t>19.样品</w:t>
      </w:r>
      <w:bookmarkEnd w:id="36"/>
    </w:p>
    <w:p w14:paraId="4A616D0A">
      <w:pPr>
        <w:keepNext w:val="0"/>
        <w:keepLines w:val="0"/>
        <w:widowControl/>
        <w:suppressLineNumbers w:val="0"/>
        <w:spacing w:before="0" w:beforeAutospacing="0" w:after="0" w:afterAutospacing="0" w:line="400" w:lineRule="exact"/>
        <w:ind w:left="0" w:right="0" w:firstLine="482" w:firstLineChars="200"/>
        <w:jc w:val="both"/>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本项目针对部分产品需提供实物样品，对样品相关要求见评标办法及采购需求，对样品的评审方法及评审标准见招标文件第三章。</w:t>
      </w:r>
    </w:p>
    <w:p w14:paraId="35AA381B">
      <w:pPr>
        <w:keepNext w:val="0"/>
        <w:keepLines w:val="0"/>
        <w:widowControl w:val="0"/>
        <w:suppressLineNumbers w:val="0"/>
        <w:snapToGrid w:val="0"/>
        <w:spacing w:before="156" w:beforeLines="50" w:beforeAutospacing="0" w:after="156" w:afterLines="50" w:afterAutospacing="0" w:line="440" w:lineRule="exact"/>
        <w:ind w:left="0" w:right="0"/>
        <w:jc w:val="both"/>
        <w:outlineLvl w:val="2"/>
        <w:rPr>
          <w:rFonts w:hint="eastAsia" w:ascii="宋体" w:hAnsi="宋体" w:eastAsia="宋体" w:cs="宋体"/>
          <w:b/>
          <w:bCs w:val="0"/>
          <w:color w:val="auto"/>
          <w:kern w:val="0"/>
          <w:sz w:val="24"/>
          <w:szCs w:val="24"/>
          <w:highlight w:val="none"/>
          <w:u w:color="000000"/>
          <w:lang w:val="en-US" w:eastAsia="zh-CN" w:bidi="ar"/>
        </w:rPr>
      </w:pPr>
    </w:p>
    <w:p w14:paraId="189BF0A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（三）投标文件的编制</w:t>
      </w:r>
    </w:p>
    <w:p w14:paraId="7CC29CFE">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20. 投标的语言及度量衡单位</w:t>
      </w:r>
    </w:p>
    <w:p w14:paraId="2838AFF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20.1投标人的投标文件、以及投标人与招标人就投标的所有往来函电，均须使用简体中文。</w:t>
      </w:r>
    </w:p>
    <w:p w14:paraId="08FBF0A0">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20.2除招标文件中另有规定外，投标文件所使用的度量衡均须采用法定计量单位。</w:t>
      </w:r>
    </w:p>
    <w:p w14:paraId="440973A6">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21. 投标文件的组成</w:t>
      </w:r>
    </w:p>
    <w:p w14:paraId="79013D94">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21.1投标文件由投标文件一（资信证明文件）、投标文件二（技术标）和投标文件三（商务标）三部分组成。</w:t>
      </w:r>
    </w:p>
    <w:p w14:paraId="7F3B7388">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21.2投标文件的编制</w:t>
      </w:r>
    </w:p>
    <w:p w14:paraId="0B3032CD">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投标文件应按第六章“投标文件格式文本”进行编写，如有必要，可以增加附页，作为投标文件的组成部分。</w:t>
      </w:r>
    </w:p>
    <w:p w14:paraId="16960D08">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22.投标报价</w:t>
      </w:r>
    </w:p>
    <w:p w14:paraId="713B501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22.1投标报价文件中的单价和总价全部采用人民币表示。</w:t>
      </w:r>
    </w:p>
    <w:p w14:paraId="5C730B72">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22.2投标人只允许有一个方案、一个报价。</w:t>
      </w:r>
    </w:p>
    <w:p w14:paraId="5367C9B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22.3投标报价的综合单价包括完成本项目全部供货及服务的一切费用：包括但不限于设备费、材料费（含</w:t>
      </w:r>
      <w:r>
        <w:rPr>
          <w:rFonts w:hint="eastAsia"/>
          <w:color w:val="auto"/>
          <w:highlight w:val="none"/>
          <w:lang w:val="en-US" w:eastAsia="zh-CN"/>
        </w:rPr>
        <w:t>辅材）</w:t>
      </w:r>
      <w:r>
        <w:rPr>
          <w:rFonts w:hint="eastAsia" w:ascii="宋体" w:hAnsi="宋体" w:eastAsia="宋体" w:cs="宋体"/>
          <w:color w:val="auto"/>
          <w:kern w:val="0"/>
          <w:sz w:val="21"/>
          <w:szCs w:val="21"/>
          <w:highlight w:val="none"/>
          <w:u w:color="000000"/>
          <w:lang w:val="en-US" w:eastAsia="zh-CN" w:bidi="ar"/>
        </w:rPr>
        <w:t>、装卸费、运输费、管理费、其他费用（如包装费、仓储费、保管费）、调试费、利润、招标代理费、专家评审费、售后服务费、税金</w:t>
      </w:r>
      <w:r>
        <w:rPr>
          <w:rFonts w:hint="eastAsia" w:ascii="宋体" w:hAnsi="宋体" w:eastAsia="宋体" w:cs="宋体"/>
          <w:color w:val="auto"/>
          <w:szCs w:val="21"/>
          <w:highlight w:val="none"/>
          <w:lang w:val="en-US" w:eastAsia="zh-CN"/>
        </w:rPr>
        <w:t>费用等，</w:t>
      </w:r>
      <w:r>
        <w:rPr>
          <w:rFonts w:hint="eastAsia" w:ascii="宋体" w:hAnsi="宋体" w:eastAsia="宋体" w:cs="宋体"/>
          <w:color w:val="auto"/>
          <w:kern w:val="0"/>
          <w:sz w:val="21"/>
          <w:szCs w:val="21"/>
          <w:highlight w:val="none"/>
          <w:u w:color="000000"/>
          <w:lang w:val="en-US" w:eastAsia="zh-CN" w:bidi="ar"/>
        </w:rPr>
        <w:t>政策性文件规定及合同包含的所有风险和责任等、货物送至招标人指定地点前的各项应有费用，</w:t>
      </w:r>
      <w:r>
        <w:rPr>
          <w:rFonts w:hint="eastAsia" w:ascii="宋体" w:hAnsi="宋体" w:eastAsia="宋体" w:cs="宋体"/>
          <w:color w:val="auto"/>
          <w:szCs w:val="21"/>
          <w:highlight w:val="none"/>
          <w:lang w:val="en-US" w:eastAsia="zh-CN"/>
        </w:rPr>
        <w:t>采购人后期不再追加任何费用</w:t>
      </w:r>
      <w:r>
        <w:rPr>
          <w:rFonts w:hint="eastAsia" w:ascii="宋体" w:hAnsi="宋体" w:eastAsia="宋体" w:cs="宋体"/>
          <w:color w:val="auto"/>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08CE0CCD">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22.4投标报价的价格是完成项目全部内容（包括后期的相关服务）的价格，其单价即为履行合同的固定单价。</w:t>
      </w:r>
    </w:p>
    <w:p w14:paraId="2CCC22B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22.5投标报价应由法定代表人或被授权人签署。</w:t>
      </w:r>
    </w:p>
    <w:p w14:paraId="772E0E7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22.6投标人的投标报价不得超过最高限价，否则将作为无效投标处理。</w:t>
      </w:r>
    </w:p>
    <w:p w14:paraId="3C42C183">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22.7</w:t>
      </w:r>
      <w:r>
        <w:rPr>
          <w:rFonts w:hint="eastAsia" w:ascii="宋体" w:hAnsi="宋体" w:eastAsia="宋体" w:cs="宋体"/>
          <w:color w:val="auto"/>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14:paraId="6A1C4A6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341D01DC">
      <w:pPr>
        <w:spacing w:line="440" w:lineRule="exact"/>
        <w:ind w:firstLine="403" w:firstLineChars="192"/>
        <w:rPr>
          <w:rFonts w:hint="eastAsia" w:ascii="宋体"/>
          <w:color w:val="auto"/>
          <w:szCs w:val="21"/>
          <w:highlight w:val="none"/>
        </w:rPr>
      </w:pPr>
      <w:r>
        <w:rPr>
          <w:rFonts w:hint="eastAsia" w:ascii="宋体"/>
          <w:color w:val="auto"/>
          <w:szCs w:val="21"/>
          <w:highlight w:val="none"/>
        </w:rPr>
        <w:t>22.9如投标文件中未列明全面实现投标货物功能而必须配置的配套或辅助设施及相应技术措施的费用，这些费用将被视为已包含在总投标价中。</w:t>
      </w:r>
    </w:p>
    <w:p w14:paraId="79596125">
      <w:pPr>
        <w:spacing w:line="440" w:lineRule="exact"/>
        <w:ind w:firstLine="403" w:firstLineChars="192"/>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2</w:t>
      </w:r>
      <w:r>
        <w:rPr>
          <w:rFonts w:hint="eastAsia" w:ascii="宋体"/>
          <w:color w:val="auto"/>
          <w:szCs w:val="21"/>
          <w:highlight w:val="none"/>
        </w:rPr>
        <w:t>.1</w:t>
      </w:r>
      <w:r>
        <w:rPr>
          <w:rFonts w:hint="eastAsia" w:ascii="宋体"/>
          <w:color w:val="auto"/>
          <w:szCs w:val="21"/>
          <w:highlight w:val="none"/>
          <w:lang w:val="en-US" w:eastAsia="zh-CN"/>
        </w:rPr>
        <w:t>0</w:t>
      </w:r>
      <w:r>
        <w:rPr>
          <w:rFonts w:hint="eastAsia" w:ascii="宋体"/>
          <w:color w:val="auto"/>
          <w:szCs w:val="21"/>
          <w:highlight w:val="none"/>
        </w:rPr>
        <w:t>投标人不得对从第三方采购货物的随机备品、备件另行收费，否则在计算评标价时这部分费用将不予扣除，在授予合同时将从中标价格中扣除该部分费用。</w:t>
      </w:r>
    </w:p>
    <w:p w14:paraId="5A233971">
      <w:pPr>
        <w:spacing w:line="440" w:lineRule="exact"/>
        <w:ind w:firstLine="403" w:firstLineChars="192"/>
        <w:rPr>
          <w:rFonts w:hint="eastAsia" w:ascii="宋体" w:hAnsi="宋体" w:eastAsia="宋体" w:cs="宋体"/>
          <w:b/>
          <w:bCs w:val="0"/>
          <w:color w:val="auto"/>
          <w:kern w:val="0"/>
          <w:sz w:val="21"/>
          <w:szCs w:val="21"/>
          <w:highlight w:val="none"/>
          <w:u w:color="000000"/>
          <w:lang w:val="en-US" w:eastAsia="zh-CN" w:bidi="ar"/>
        </w:rPr>
      </w:pPr>
      <w:r>
        <w:rPr>
          <w:rFonts w:hint="eastAsia" w:ascii="宋体"/>
          <w:color w:val="auto"/>
          <w:szCs w:val="21"/>
          <w:highlight w:val="none"/>
        </w:rPr>
        <w:t>2</w:t>
      </w:r>
      <w:r>
        <w:rPr>
          <w:rFonts w:hint="eastAsia" w:ascii="宋体"/>
          <w:color w:val="auto"/>
          <w:szCs w:val="21"/>
          <w:highlight w:val="none"/>
          <w:lang w:val="en-US" w:eastAsia="zh-CN"/>
        </w:rPr>
        <w:t>2</w:t>
      </w:r>
      <w:r>
        <w:rPr>
          <w:rFonts w:hint="eastAsia" w:ascii="宋体"/>
          <w:color w:val="auto"/>
          <w:szCs w:val="21"/>
          <w:highlight w:val="none"/>
        </w:rPr>
        <w:t>.</w:t>
      </w:r>
      <w:r>
        <w:rPr>
          <w:rFonts w:hint="eastAsia" w:ascii="宋体"/>
          <w:color w:val="auto"/>
          <w:szCs w:val="21"/>
          <w:highlight w:val="none"/>
          <w:lang w:val="en-US" w:eastAsia="zh-CN"/>
        </w:rPr>
        <w:t>11</w:t>
      </w:r>
      <w:r>
        <w:rPr>
          <w:rFonts w:hint="eastAsia" w:ascii="宋体"/>
          <w:color w:val="auto"/>
          <w:szCs w:val="21"/>
          <w:highlight w:val="none"/>
        </w:rPr>
        <w:t>投标人应根据</w:t>
      </w:r>
      <w:r>
        <w:rPr>
          <w:rFonts w:hint="eastAsia" w:ascii="宋体"/>
          <w:color w:val="auto"/>
          <w:szCs w:val="21"/>
          <w:highlight w:val="none"/>
          <w:lang w:eastAsia="zh-CN"/>
        </w:rPr>
        <w:t>货物</w:t>
      </w:r>
      <w:r>
        <w:rPr>
          <w:rFonts w:hint="eastAsia" w:ascii="宋体"/>
          <w:color w:val="auto"/>
          <w:szCs w:val="21"/>
          <w:highlight w:val="none"/>
        </w:rPr>
        <w:t>的状况列出随机备品备件的清单和数量，并将该备品备件价格计入总投标价，若所提供的产品无需备件，则应在投标文件中说明；无论投标人在报价中列明随机备品备件的数量及价格多少，在</w:t>
      </w:r>
      <w:r>
        <w:rPr>
          <w:rFonts w:hint="eastAsia" w:ascii="宋体"/>
          <w:color w:val="auto"/>
          <w:szCs w:val="21"/>
          <w:highlight w:val="none"/>
          <w:lang w:eastAsia="zh-CN"/>
        </w:rPr>
        <w:t>质保</w:t>
      </w:r>
      <w:r>
        <w:rPr>
          <w:rFonts w:hint="eastAsia" w:ascii="宋体"/>
          <w:color w:val="auto"/>
          <w:szCs w:val="21"/>
          <w:highlight w:val="none"/>
        </w:rPr>
        <w:t>期内采购人均无需为维护维修保养所需的专用工具和备品备件另行支付费用。</w:t>
      </w:r>
    </w:p>
    <w:p w14:paraId="5CA1185D">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23.投标有效期</w:t>
      </w:r>
    </w:p>
    <w:p w14:paraId="592944D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23.1 除投标人须知前附表另有规定外，投标有效期为90天。</w:t>
      </w:r>
    </w:p>
    <w:p w14:paraId="57E9DE2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23.2在投标有效期内，投标人撤销或修改其投标文件的，应承担招标文件和法律规定的责任。</w:t>
      </w:r>
    </w:p>
    <w:p w14:paraId="3D5F9A9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4C6CAFBF">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24.投标保证金</w:t>
      </w:r>
    </w:p>
    <w:p w14:paraId="43743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24.1本项目不要求投标人提交投标保证金。</w:t>
      </w:r>
    </w:p>
    <w:p w14:paraId="5BDF4CE6">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7" w:name="_Toc6570_WPSOffice_Level3"/>
      <w:bookmarkEnd w:id="37"/>
      <w:bookmarkStart w:id="38" w:name="_Toc26398"/>
      <w:r>
        <w:rPr>
          <w:rFonts w:hint="eastAsia" w:ascii="宋体" w:hAnsi="宋体" w:eastAsia="宋体" w:cs="宋体"/>
          <w:b/>
          <w:bCs w:val="0"/>
          <w:color w:val="auto"/>
          <w:kern w:val="0"/>
          <w:sz w:val="24"/>
          <w:szCs w:val="24"/>
          <w:highlight w:val="none"/>
          <w:u w:color="000000"/>
          <w:lang w:val="en-US" w:eastAsia="zh-CN" w:bidi="ar"/>
        </w:rPr>
        <w:t>（四）投标文件的递交</w:t>
      </w:r>
      <w:bookmarkEnd w:id="38"/>
    </w:p>
    <w:p w14:paraId="62F99162">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auto"/>
          <w:highlight w:val="none"/>
          <w:lang w:val="en-US"/>
        </w:rPr>
      </w:pPr>
      <w:bookmarkStart w:id="39" w:name="_Toc30407_WPSOffice_Level3"/>
      <w:bookmarkEnd w:id="39"/>
      <w:bookmarkStart w:id="40" w:name="_Toc490"/>
      <w:bookmarkEnd w:id="40"/>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744D5FF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25.1</w:t>
      </w:r>
      <w:r>
        <w:rPr>
          <w:rFonts w:hint="eastAsia" w:ascii="宋体" w:hAnsi="宋体" w:eastAsia="宋体" w:cs="宋体"/>
          <w:b/>
          <w:bCs/>
          <w:color w:val="auto"/>
          <w:kern w:val="0"/>
          <w:sz w:val="21"/>
          <w:szCs w:val="21"/>
          <w:highlight w:val="none"/>
          <w:u w:color="000000"/>
          <w:lang w:val="en-US" w:eastAsia="zh-CN" w:bidi="ar"/>
        </w:rPr>
        <w:t>投标文件份数：正本1份，副本2份。</w:t>
      </w:r>
    </w:p>
    <w:p w14:paraId="330DCC9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25.2按格式文件要求签字或盖章，否则经评委会一致认定且经过招标人同意后, 按照无效投标处理。</w:t>
      </w:r>
    </w:p>
    <w:p w14:paraId="21541337">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26. 投标文件的提交</w:t>
      </w:r>
    </w:p>
    <w:p w14:paraId="5757242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26.1 投标人须在投标人须知前附表规定的投标截止时间前递交投标文件。</w:t>
      </w:r>
    </w:p>
    <w:p w14:paraId="4A6F75B3">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27．投标文件的</w:t>
      </w:r>
      <w:r>
        <w:rPr>
          <w:rFonts w:hint="eastAsia" w:ascii="宋体"/>
          <w:b/>
          <w:color w:val="auto"/>
          <w:szCs w:val="21"/>
          <w:highlight w:val="none"/>
        </w:rPr>
        <w:t>修改与撤回</w:t>
      </w:r>
    </w:p>
    <w:p w14:paraId="14DB4E0B">
      <w:pPr>
        <w:spacing w:line="440" w:lineRule="exact"/>
        <w:ind w:firstLine="315" w:firstLineChars="150"/>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0"/>
          <w:sz w:val="21"/>
          <w:szCs w:val="21"/>
          <w:highlight w:val="none"/>
          <w:u w:color="000000"/>
          <w:lang w:val="en-US" w:eastAsia="zh-CN" w:bidi="ar"/>
        </w:rPr>
        <w:t>27.1</w:t>
      </w:r>
      <w:r>
        <w:rPr>
          <w:rFonts w:hint="eastAsia" w:ascii="宋体" w:hAnsi="宋体" w:eastAsia="宋体" w:cs="宋体"/>
          <w:color w:val="auto"/>
          <w:szCs w:val="21"/>
          <w:highlight w:val="none"/>
        </w:rPr>
        <w:t>在投标人须知前附表规定的投标截止时间前，投标人可以修改或撤回已递交的投标文件，但应以书面形式通知招标人</w:t>
      </w:r>
      <w:r>
        <w:rPr>
          <w:rFonts w:hint="eastAsia" w:ascii="宋体" w:hAnsi="宋体" w:eastAsia="宋体" w:cs="宋体"/>
          <w:color w:val="auto"/>
          <w:szCs w:val="21"/>
          <w:highlight w:val="none"/>
          <w:lang w:eastAsia="zh-CN"/>
        </w:rPr>
        <w:t>。</w:t>
      </w:r>
    </w:p>
    <w:p w14:paraId="4BBD3E14">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rPr>
        <w:t>2 投标人修改或撤回已递交投标文件的书面通知应按照本章的要求签字或盖章。招标人收到书面通知后，投标人签到登记。</w:t>
      </w:r>
    </w:p>
    <w:p w14:paraId="54A5C8EF">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rPr>
        <w:t>.3 投标人撤回投标文件的，招标人自收到投标人书面撤回通知之日起5日内退还已收取的投标保证金。</w:t>
      </w:r>
    </w:p>
    <w:p w14:paraId="57C85067">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rPr>
        <w:t>.4 修改的内容为投标文件的组成部分。修改的投标文件应按照本章第3条、第4条规定进行编制、密封、标记和递交，并标明“修改”字样。</w:t>
      </w:r>
    </w:p>
    <w:p w14:paraId="167D3E38">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（五）开标、评标和定标</w:t>
      </w:r>
    </w:p>
    <w:p w14:paraId="54989F76">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color w:val="auto"/>
          <w:highlight w:val="none"/>
          <w:lang w:val="en-US"/>
        </w:rPr>
      </w:pPr>
      <w:bookmarkStart w:id="41" w:name="_Toc28864"/>
      <w:bookmarkEnd w:id="41"/>
      <w:bookmarkStart w:id="42" w:name="_Toc8453_WPSOffice_Level3"/>
      <w:r>
        <w:rPr>
          <w:rFonts w:hint="eastAsia" w:ascii="宋体" w:hAnsi="宋体" w:eastAsia="宋体" w:cs="宋体"/>
          <w:b/>
          <w:bCs w:val="0"/>
          <w:color w:val="auto"/>
          <w:kern w:val="0"/>
          <w:sz w:val="21"/>
          <w:szCs w:val="21"/>
          <w:highlight w:val="none"/>
          <w:u w:color="000000"/>
          <w:lang w:val="en-US" w:eastAsia="zh-CN" w:bidi="ar"/>
        </w:rPr>
        <w:t>28.</w:t>
      </w:r>
      <w:r>
        <w:rPr>
          <w:rFonts w:hint="eastAsia" w:ascii="黑体" w:hAnsi="宋体" w:eastAsia="黑体" w:cs="宋体"/>
          <w:b/>
          <w:bCs w:val="0"/>
          <w:color w:val="auto"/>
          <w:kern w:val="0"/>
          <w:sz w:val="21"/>
          <w:szCs w:val="21"/>
          <w:highlight w:val="none"/>
          <w:u w:color="000000"/>
          <w:lang w:val="en-US" w:eastAsia="zh-CN" w:bidi="ar"/>
        </w:rPr>
        <w:t>开标</w:t>
      </w:r>
    </w:p>
    <w:p w14:paraId="6A9D764F">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716F647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28.1.1招标人投标须知前附表规定的提交投标文件的截止时间和地点公开开标。</w:t>
      </w:r>
    </w:p>
    <w:p w14:paraId="4E9F0D26">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48B0B5D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spacing w:val="-8"/>
          <w:highlight w:val="none"/>
          <w:lang w:val="en-US"/>
        </w:rPr>
      </w:pPr>
      <w:bookmarkStart w:id="43" w:name="_Toc15542_WPSOffice_Level3"/>
      <w:bookmarkEnd w:id="43"/>
      <w:r>
        <w:rPr>
          <w:rFonts w:hint="eastAsia" w:ascii="宋体" w:hAnsi="宋体" w:eastAsia="宋体" w:cs="宋体"/>
          <w:color w:val="auto"/>
          <w:kern w:val="0"/>
          <w:sz w:val="21"/>
          <w:szCs w:val="21"/>
          <w:highlight w:val="none"/>
          <w:u w:color="000000"/>
          <w:lang w:val="en-US" w:eastAsia="zh-CN" w:bidi="ar"/>
        </w:rPr>
        <w:t>28.2.1招标人可以邀请相关监管部门参加。</w:t>
      </w:r>
    </w:p>
    <w:p w14:paraId="3F48EB85">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37DD40AD">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auto"/>
          <w:kern w:val="0"/>
          <w:sz w:val="21"/>
          <w:szCs w:val="21"/>
          <w:highlight w:val="none"/>
          <w:u w:color="000000"/>
          <w:lang w:val="en-US" w:eastAsia="zh-CN" w:bidi="ar"/>
        </w:rPr>
        <w:t>主持。</w:t>
      </w:r>
    </w:p>
    <w:p w14:paraId="239611C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（1）宣布开标纪律；</w:t>
      </w:r>
    </w:p>
    <w:p w14:paraId="5743512A">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（2）宣布采购人、代理机构主持人、见证人等有关人员姓名；</w:t>
      </w:r>
    </w:p>
    <w:p w14:paraId="735A820B">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（3）按照投标人须知前附表规定检查投标文件的密封情况；</w:t>
      </w:r>
    </w:p>
    <w:p w14:paraId="2D285411">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（4）按照投标人须知前附表的规定确定并宣布投标文件开标顺序；</w:t>
      </w:r>
    </w:p>
    <w:p w14:paraId="1025D04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（5）公布投标人投标报价、服务期及其他内容，并记录在案；</w:t>
      </w:r>
    </w:p>
    <w:p w14:paraId="05814CD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（6）开标结束。</w:t>
      </w:r>
    </w:p>
    <w:p w14:paraId="5199A559">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29.开标异议</w:t>
      </w:r>
    </w:p>
    <w:p w14:paraId="12282E5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2A56D8A0">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30.评标委员会</w:t>
      </w:r>
    </w:p>
    <w:p w14:paraId="66925612">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  评标委员会的组成</w:t>
      </w:r>
    </w:p>
    <w:p w14:paraId="56ECA4D6">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1AC46D9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6778609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0F2DF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37DCF1D">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9652FF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68A37F2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6546C18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AE1271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30.4</w:t>
      </w:r>
      <w:r>
        <w:rPr>
          <w:rFonts w:hint="eastAsia" w:ascii="宋体" w:hAnsi="宋体" w:eastAsia="宋体" w:cs="宋体"/>
          <w:b/>
          <w:bCs/>
          <w:color w:val="auto"/>
          <w:kern w:val="0"/>
          <w:sz w:val="21"/>
          <w:szCs w:val="21"/>
          <w:highlight w:val="none"/>
          <w:u w:color="000000"/>
          <w:lang w:val="en-US" w:eastAsia="zh-CN" w:bidi="ar"/>
        </w:rPr>
        <w:t>招标人授权评标委员会对投标人资格进行审查。</w:t>
      </w:r>
    </w:p>
    <w:p w14:paraId="4E85C25D">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 评标</w:t>
      </w:r>
    </w:p>
    <w:p w14:paraId="74F417C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14:paraId="16FB25C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66BF55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3787805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bookmarkStart w:id="44" w:name="_Toc5272_WPSOffice_Level3"/>
      <w:bookmarkEnd w:id="44"/>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239840B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31.4报价合理性的判断</w:t>
      </w:r>
    </w:p>
    <w:p w14:paraId="66AEB9B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24B6FED1">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55E067A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790071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w:t>
      </w:r>
      <w:r>
        <w:rPr>
          <w:rFonts w:hint="eastAsia" w:ascii="宋体" w:hAnsi="Times New Roman" w:eastAsia="宋体" w:cs="Times New Roman"/>
          <w:color w:val="auto"/>
          <w:szCs w:val="21"/>
          <w:highlight w:val="none"/>
          <w:lang w:val="en-US" w:eastAsia="zh-CN"/>
        </w:rPr>
        <w:t>监督机构</w:t>
      </w:r>
      <w:r>
        <w:rPr>
          <w:rFonts w:hint="eastAsia" w:ascii="宋体" w:hAnsi="Times New Roman" w:eastAsia="宋体" w:cs="Times New Roman"/>
          <w:color w:val="auto"/>
          <w:szCs w:val="21"/>
          <w:highlight w:val="none"/>
        </w:rPr>
        <w:t>认为需要重新进行评标的，评标委员会成员应当按照</w:t>
      </w:r>
      <w:r>
        <w:rPr>
          <w:rFonts w:hint="eastAsia" w:ascii="宋体" w:hAnsi="Times New Roman" w:eastAsia="宋体" w:cs="Times New Roman"/>
          <w:color w:val="auto"/>
          <w:szCs w:val="21"/>
          <w:highlight w:val="none"/>
          <w:lang w:val="en-US" w:eastAsia="zh-CN"/>
        </w:rPr>
        <w:t>监督机构</w:t>
      </w:r>
      <w:r>
        <w:rPr>
          <w:rFonts w:hint="eastAsia" w:ascii="宋体" w:hAnsi="Times New Roman" w:eastAsia="宋体" w:cs="Times New Roman"/>
          <w:color w:val="auto"/>
          <w:szCs w:val="21"/>
          <w:highlight w:val="none"/>
        </w:rPr>
        <w:t>要求重新评标。</w:t>
      </w:r>
    </w:p>
    <w:p w14:paraId="533D724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3F1E3AF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37387E4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1ECDF35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3744451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32.重新招标 </w:t>
      </w:r>
    </w:p>
    <w:p w14:paraId="38524966">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32.1有下列情形之一的，招标人将重新招标：</w:t>
      </w:r>
    </w:p>
    <w:p w14:paraId="647E17F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(1)经评标委员会评审后否决所有投标的；</w:t>
      </w:r>
    </w:p>
    <w:p w14:paraId="71E5C48D">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auto"/>
          <w:kern w:val="0"/>
          <w:sz w:val="21"/>
          <w:szCs w:val="21"/>
          <w:highlight w:val="none"/>
          <w:u w:color="000000"/>
          <w:lang w:val="en-US" w:eastAsia="zh-CN" w:bidi="ar"/>
        </w:rPr>
        <w:t>；</w:t>
      </w:r>
    </w:p>
    <w:p w14:paraId="187ED21D">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auto"/>
          <w:kern w:val="0"/>
          <w:sz w:val="21"/>
          <w:szCs w:val="21"/>
          <w:highlight w:val="none"/>
          <w:u w:color="000000"/>
          <w:lang w:val="en-US" w:eastAsia="zh-CN" w:bidi="ar"/>
        </w:rPr>
        <w:t>。</w:t>
      </w:r>
    </w:p>
    <w:p w14:paraId="16CD28F8">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（六）合同授予</w:t>
      </w:r>
      <w:bookmarkEnd w:id="42"/>
    </w:p>
    <w:p w14:paraId="5B550AF8">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33. 中标公示</w:t>
      </w:r>
    </w:p>
    <w:p w14:paraId="5194FB3D">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w:t>
      </w:r>
    </w:p>
    <w:p w14:paraId="3357FD6B">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kern w:val="2"/>
          <w:sz w:val="21"/>
          <w:szCs w:val="21"/>
          <w:highlight w:val="none"/>
          <w:lang w:val="en-US" w:eastAsia="zh-CN" w:bidi="ar-SA"/>
        </w:rPr>
        <w:t>34.</w:t>
      </w:r>
      <w:r>
        <w:rPr>
          <w:rFonts w:hint="eastAsia" w:ascii="宋体" w:hAnsi="Times New Roman" w:eastAsia="宋体" w:cs="Times New Roman"/>
          <w:b/>
          <w:color w:val="auto"/>
          <w:spacing w:val="0"/>
          <w:sz w:val="21"/>
          <w:szCs w:val="21"/>
          <w:highlight w:val="none"/>
        </w:rPr>
        <w:t>评标结果异议</w:t>
      </w:r>
    </w:p>
    <w:p w14:paraId="5635C324">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5BDCBBBC">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default" w:ascii="宋体" w:hAnsi="Times New Roman" w:eastAsia="宋体" w:cs="Times New Roman"/>
          <w:b/>
          <w:color w:val="auto"/>
          <w:spacing w:val="0"/>
          <w:kern w:val="2"/>
          <w:sz w:val="21"/>
          <w:szCs w:val="21"/>
          <w:highlight w:val="none"/>
          <w:lang w:val="en-US" w:eastAsia="zh-CN" w:bidi="ar-SA"/>
        </w:rPr>
        <w:t>3</w:t>
      </w:r>
      <w:r>
        <w:rPr>
          <w:rFonts w:hint="eastAsia" w:ascii="宋体" w:hAnsi="Times New Roman" w:eastAsia="宋体" w:cs="Times New Roman"/>
          <w:b/>
          <w:color w:val="auto"/>
          <w:spacing w:val="0"/>
          <w:kern w:val="2"/>
          <w:sz w:val="21"/>
          <w:szCs w:val="21"/>
          <w:highlight w:val="none"/>
          <w:lang w:val="en-US" w:eastAsia="zh-CN" w:bidi="ar-SA"/>
        </w:rPr>
        <w:t>5</w:t>
      </w:r>
      <w:r>
        <w:rPr>
          <w:rFonts w:hint="default" w:ascii="宋体" w:hAnsi="Times New Roman" w:eastAsia="宋体" w:cs="Times New Roman"/>
          <w:b/>
          <w:color w:val="auto"/>
          <w:spacing w:val="0"/>
          <w:kern w:val="2"/>
          <w:sz w:val="21"/>
          <w:szCs w:val="21"/>
          <w:highlight w:val="none"/>
          <w:lang w:val="en-US" w:eastAsia="zh-CN" w:bidi="ar-SA"/>
        </w:rPr>
        <w:t>.</w:t>
      </w:r>
      <w:r>
        <w:rPr>
          <w:rFonts w:hint="eastAsia" w:ascii="宋体" w:hAnsi="Times New Roman" w:eastAsia="宋体" w:cs="Times New Roman"/>
          <w:b/>
          <w:color w:val="auto"/>
          <w:spacing w:val="0"/>
          <w:sz w:val="21"/>
          <w:szCs w:val="21"/>
          <w:highlight w:val="none"/>
        </w:rPr>
        <w:t>定标</w:t>
      </w:r>
    </w:p>
    <w:p w14:paraId="20D9B4C5">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39B0AAB0">
      <w:pPr>
        <w:keepNext w:val="0"/>
        <w:keepLines w:val="0"/>
        <w:pageBreakBefore w:val="0"/>
        <w:widowControl w:val="0"/>
        <w:numPr>
          <w:ilvl w:val="0"/>
          <w:numId w:val="0"/>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kern w:val="2"/>
          <w:sz w:val="21"/>
          <w:szCs w:val="21"/>
          <w:highlight w:val="none"/>
          <w:lang w:val="en-US" w:eastAsia="zh-CN" w:bidi="ar-SA"/>
        </w:rPr>
        <w:t>36.</w:t>
      </w:r>
      <w:r>
        <w:rPr>
          <w:rFonts w:hint="eastAsia" w:ascii="宋体" w:hAnsi="Times New Roman" w:eastAsia="宋体" w:cs="Times New Roman"/>
          <w:b/>
          <w:color w:val="auto"/>
          <w:spacing w:val="0"/>
          <w:sz w:val="21"/>
          <w:szCs w:val="21"/>
          <w:highlight w:val="none"/>
          <w:lang w:val="en-US" w:eastAsia="zh-CN"/>
        </w:rPr>
        <w:t>中标通知</w:t>
      </w:r>
    </w:p>
    <w:p w14:paraId="22247478">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color w:val="auto"/>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14:paraId="2E6BC3F7">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5" w:name="_Toc7247"/>
      <w:bookmarkEnd w:id="45"/>
      <w:r>
        <w:rPr>
          <w:rFonts w:hint="eastAsia" w:ascii="宋体" w:hAnsi="Times New Roman" w:eastAsia="宋体" w:cs="Times New Roman"/>
          <w:b/>
          <w:color w:val="auto"/>
          <w:spacing w:val="0"/>
          <w:sz w:val="21"/>
          <w:szCs w:val="21"/>
          <w:highlight w:val="none"/>
          <w:lang w:val="en-US" w:eastAsia="zh-CN"/>
        </w:rPr>
        <w:t xml:space="preserve"> 37.</w:t>
      </w:r>
      <w:bookmarkStart w:id="46" w:name="_Toc217446068"/>
      <w:r>
        <w:rPr>
          <w:rFonts w:hint="eastAsia" w:ascii="宋体" w:hAnsi="Times New Roman" w:eastAsia="宋体" w:cs="Times New Roman"/>
          <w:b/>
          <w:color w:val="auto"/>
          <w:spacing w:val="0"/>
          <w:sz w:val="21"/>
          <w:szCs w:val="21"/>
          <w:highlight w:val="none"/>
          <w:lang w:val="en-US" w:eastAsia="zh-CN"/>
        </w:rPr>
        <w:t>履约保证金</w:t>
      </w:r>
      <w:bookmarkEnd w:id="46"/>
    </w:p>
    <w:p w14:paraId="693D96ED">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7" w:name="_Toc316_WPSOffice_Level3"/>
      <w:bookmarkEnd w:id="47"/>
      <w:bookmarkStart w:id="48" w:name="_Toc23484"/>
      <w:r>
        <w:rPr>
          <w:rFonts w:hint="eastAsia" w:ascii="宋体" w:hAnsi="Times New Roman" w:eastAsia="宋体" w:cs="Times New Roman"/>
          <w:color w:val="auto"/>
          <w:spacing w:val="0"/>
          <w:sz w:val="21"/>
          <w:szCs w:val="21"/>
          <w:highlight w:val="none"/>
          <w:lang w:val="en-US" w:eastAsia="zh-CN"/>
        </w:rPr>
        <w:t>37.1</w:t>
      </w:r>
      <w:bookmarkEnd w:id="48"/>
      <w:r>
        <w:rPr>
          <w:rFonts w:hint="eastAsia" w:ascii="宋体" w:hAnsi="Times New Roman" w:eastAsia="宋体" w:cs="Times New Roman"/>
          <w:color w:val="auto"/>
          <w:spacing w:val="0"/>
          <w:sz w:val="21"/>
          <w:szCs w:val="21"/>
          <w:highlight w:val="none"/>
          <w:lang w:val="en-US" w:eastAsia="zh-CN"/>
        </w:rPr>
        <w:t>详见投标人须知前附表要求。</w:t>
      </w:r>
    </w:p>
    <w:p w14:paraId="0303DA42">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31AB1442">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 xml:space="preserve">38.对招标人的纪律要求 </w:t>
      </w:r>
    </w:p>
    <w:p w14:paraId="315EA03B">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14:paraId="42DEA0D3">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 xml:space="preserve">39.对投标人的纪律要求 </w:t>
      </w:r>
    </w:p>
    <w:p w14:paraId="7EA28199">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14:paraId="168C7FCB">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 xml:space="preserve">40.对评标委员会成员的纪律要求 </w:t>
      </w:r>
    </w:p>
    <w:p w14:paraId="797A6083">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color w:val="auto"/>
          <w:kern w:val="10"/>
          <w:highlight w:val="none"/>
          <w:lang w:val="en-US"/>
        </w:rPr>
      </w:pPr>
      <w:r>
        <w:rPr>
          <w:rFonts w:hint="eastAsia" w:ascii="宋体" w:hAnsi="宋体" w:eastAsia="宋体" w:cs="宋体"/>
          <w:color w:val="auto"/>
          <w:kern w:val="10"/>
          <w:sz w:val="21"/>
          <w:szCs w:val="21"/>
          <w:highlight w:val="none"/>
          <w:u w:color="000000"/>
          <w:lang w:val="en-US" w:eastAsia="zh-CN" w:bidi="ar"/>
        </w:rPr>
        <w:t>40.1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22F43D8">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 xml:space="preserve">41.对与评标活动有关的工作人员的纪律要求 </w:t>
      </w:r>
    </w:p>
    <w:p w14:paraId="3103B3B3">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color w:val="auto"/>
          <w:highlight w:val="none"/>
          <w:lang w:val="en-US"/>
        </w:rPr>
      </w:pPr>
      <w:r>
        <w:rPr>
          <w:rFonts w:hint="eastAsia" w:ascii="宋体" w:hAnsi="宋体" w:eastAsia="宋体" w:cs="宋体"/>
          <w:color w:val="auto"/>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ECB02E">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color w:val="auto"/>
          <w:sz w:val="28"/>
          <w:szCs w:val="28"/>
          <w:highlight w:val="none"/>
          <w:lang w:val="en-US"/>
        </w:rPr>
      </w:pPr>
      <w:r>
        <w:rPr>
          <w:rFonts w:hint="eastAsia" w:ascii="宋体" w:hAnsi="宋体" w:eastAsia="宋体" w:cs="宋体"/>
          <w:b/>
          <w:bCs w:val="0"/>
          <w:color w:val="auto"/>
          <w:kern w:val="0"/>
          <w:sz w:val="24"/>
          <w:szCs w:val="24"/>
          <w:highlight w:val="none"/>
          <w:u w:color="000000"/>
          <w:lang w:val="en-US" w:eastAsia="zh-CN" w:bidi="ar"/>
        </w:rPr>
        <w:t>（八）投诉</w:t>
      </w:r>
    </w:p>
    <w:p w14:paraId="7BDAA6B2">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42. 投诉</w:t>
      </w:r>
    </w:p>
    <w:p w14:paraId="54AF5F12">
      <w:pPr>
        <w:adjustRightInd w:val="0"/>
        <w:snapToGrid w:val="0"/>
        <w:spacing w:line="420" w:lineRule="exact"/>
        <w:ind w:firstLine="315" w:firstLineChars="150"/>
        <w:rPr>
          <w:rFonts w:hint="eastAsia" w:ascii="宋体" w:hAnsi="宋体" w:cs="宋体"/>
          <w:color w:val="auto"/>
          <w:szCs w:val="21"/>
          <w:highlight w:val="none"/>
        </w:rPr>
      </w:pPr>
      <w:r>
        <w:rPr>
          <w:rFonts w:hint="eastAsia" w:ascii="宋体" w:hAnsi="Times New Roman" w:eastAsia="宋体" w:cs="Times New Roman"/>
          <w:color w:val="auto"/>
          <w:kern w:val="10"/>
          <w:szCs w:val="21"/>
          <w:highlight w:val="none"/>
          <w:lang w:val="en-US" w:eastAsia="zh-CN"/>
        </w:rPr>
        <w:t>42.1</w:t>
      </w:r>
      <w:r>
        <w:rPr>
          <w:rFonts w:hint="eastAsia" w:ascii="宋体" w:hAnsi="宋体" w:cs="宋体"/>
          <w:color w:val="auto"/>
          <w:szCs w:val="21"/>
          <w:highlight w:val="none"/>
        </w:rPr>
        <w:t>投标人或者其他利害关系人认为招标投标活动违反法律、法规和规章规定的，有权向相关行政监督部门投诉。投诉应当有明确的请求和必要的证明材料。</w:t>
      </w:r>
    </w:p>
    <w:p w14:paraId="37C06B5E">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42.2</w:t>
      </w:r>
      <w:r>
        <w:rPr>
          <w:rFonts w:hint="eastAsia" w:ascii="宋体" w:hAnsi="宋体" w:cs="宋体"/>
          <w:color w:val="auto"/>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color w:val="auto"/>
          <w:kern w:val="10"/>
          <w:szCs w:val="21"/>
          <w:highlight w:val="none"/>
        </w:rPr>
        <w:t>异议答复期间不计算在第</w:t>
      </w:r>
      <w:r>
        <w:rPr>
          <w:rFonts w:hint="eastAsia" w:ascii="宋体" w:hAnsi="Times New Roman" w:eastAsia="宋体" w:cs="Times New Roman"/>
          <w:color w:val="auto"/>
          <w:kern w:val="10"/>
          <w:szCs w:val="21"/>
          <w:highlight w:val="none"/>
          <w:lang w:val="en-US" w:eastAsia="zh-CN"/>
        </w:rPr>
        <w:t>34.1</w:t>
      </w:r>
      <w:r>
        <w:rPr>
          <w:rFonts w:hint="eastAsia" w:ascii="宋体" w:hAnsi="Times New Roman" w:eastAsia="宋体" w:cs="Times New Roman"/>
          <w:color w:val="auto"/>
          <w:kern w:val="10"/>
          <w:szCs w:val="21"/>
          <w:highlight w:val="none"/>
        </w:rPr>
        <w:t>项规定的期限内。</w:t>
      </w:r>
    </w:p>
    <w:p w14:paraId="399E1FB3">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sz w:val="30"/>
          <w:szCs w:val="30"/>
          <w:highlight w:val="none"/>
          <w:lang w:val="en-US"/>
        </w:rPr>
      </w:pPr>
      <w:r>
        <w:rPr>
          <w:rFonts w:hint="eastAsia" w:ascii="黑体" w:hAnsi="宋体" w:eastAsia="黑体" w:cs="黑体"/>
          <w:color w:val="auto"/>
          <w:kern w:val="0"/>
          <w:sz w:val="30"/>
          <w:szCs w:val="30"/>
          <w:highlight w:val="none"/>
          <w:u w:color="000000"/>
          <w:lang w:val="en-US" w:eastAsia="zh-CN" w:bidi="ar"/>
        </w:rPr>
        <w:t xml:space="preserve"> </w:t>
      </w:r>
    </w:p>
    <w:p w14:paraId="0075B6ED">
      <w:pPr>
        <w:rPr>
          <w:rFonts w:hint="eastAsia" w:ascii="宋体" w:hAnsi="宋体" w:eastAsia="宋体" w:cs="宋体"/>
          <w:b/>
          <w:bCs w:val="0"/>
          <w:color w:val="auto"/>
          <w:kern w:val="44"/>
          <w:sz w:val="28"/>
          <w:szCs w:val="28"/>
          <w:highlight w:val="none"/>
          <w:u w:color="000000"/>
          <w:lang w:val="en-US" w:eastAsia="zh-CN" w:bidi="ar"/>
        </w:rPr>
      </w:pPr>
      <w:r>
        <w:rPr>
          <w:rFonts w:hint="eastAsia" w:ascii="宋体" w:hAnsi="宋体" w:eastAsia="宋体" w:cs="宋体"/>
          <w:b/>
          <w:bCs w:val="0"/>
          <w:color w:val="auto"/>
          <w:kern w:val="44"/>
          <w:sz w:val="28"/>
          <w:szCs w:val="28"/>
          <w:highlight w:val="none"/>
          <w:u w:color="000000"/>
          <w:lang w:val="en-US" w:eastAsia="zh-CN" w:bidi="ar"/>
        </w:rPr>
        <w:br w:type="page"/>
      </w:r>
    </w:p>
    <w:p w14:paraId="0E05B1BF">
      <w:pPr>
        <w:numPr>
          <w:ilvl w:val="0"/>
          <w:numId w:val="0"/>
        </w:numPr>
        <w:spacing w:before="156" w:beforeLines="50" w:after="156" w:afterLines="50"/>
        <w:jc w:val="center"/>
        <w:outlineLvl w:val="0"/>
        <w:rPr>
          <w:rFonts w:hint="default" w:ascii="宋体" w:hAnsi="宋体" w:eastAsia="宋体" w:cs="宋体"/>
          <w:b/>
          <w:bCs w:val="0"/>
          <w:color w:val="auto"/>
          <w:kern w:val="44"/>
          <w:sz w:val="32"/>
          <w:szCs w:val="32"/>
          <w:highlight w:val="none"/>
          <w:u w:color="000000"/>
          <w:lang w:val="en-US" w:eastAsia="zh-CN" w:bidi="ar"/>
        </w:rPr>
      </w:pPr>
      <w:bookmarkStart w:id="49" w:name="_Toc29327"/>
      <w:r>
        <w:rPr>
          <w:rFonts w:hint="eastAsia" w:ascii="宋体" w:hAnsi="宋体" w:eastAsia="宋体" w:cs="宋体"/>
          <w:b/>
          <w:bCs w:val="0"/>
          <w:color w:val="auto"/>
          <w:kern w:val="44"/>
          <w:sz w:val="32"/>
          <w:szCs w:val="32"/>
          <w:highlight w:val="none"/>
          <w:u w:color="000000"/>
          <w:lang w:val="en-US" w:eastAsia="zh-CN" w:bidi="ar"/>
        </w:rPr>
        <w:t>第三章 评标办法</w:t>
      </w:r>
      <w:bookmarkEnd w:id="49"/>
      <w:r>
        <w:rPr>
          <w:rFonts w:hint="eastAsia" w:ascii="宋体" w:hAnsi="宋体" w:eastAsia="宋体" w:cs="宋体"/>
          <w:b/>
          <w:bCs w:val="0"/>
          <w:color w:val="auto"/>
          <w:kern w:val="44"/>
          <w:sz w:val="32"/>
          <w:szCs w:val="32"/>
          <w:highlight w:val="none"/>
          <w:u w:color="000000"/>
          <w:lang w:val="en-US" w:eastAsia="zh-CN" w:bidi="ar"/>
        </w:rPr>
        <w:t xml:space="preserve"> </w:t>
      </w:r>
    </w:p>
    <w:p w14:paraId="49FB071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bookmarkStart w:id="50" w:name="_Toc9679_WPSOffice_Level2"/>
      <w:r>
        <w:rPr>
          <w:rFonts w:hint="eastAsia" w:ascii="宋体" w:hAnsi="宋体" w:eastAsia="宋体" w:cs="宋体"/>
          <w:b/>
          <w:bCs w:val="0"/>
          <w:color w:val="auto"/>
          <w:kern w:val="0"/>
          <w:sz w:val="24"/>
          <w:szCs w:val="24"/>
          <w:highlight w:val="none"/>
          <w:u w:color="000000"/>
          <w:lang w:val="en-US" w:eastAsia="zh-CN" w:bidi="ar"/>
        </w:rPr>
        <w:t>一</w:t>
      </w:r>
      <w:bookmarkEnd w:id="50"/>
      <w:r>
        <w:rPr>
          <w:rFonts w:hint="eastAsia" w:ascii="宋体" w:hAnsi="宋体" w:eastAsia="宋体" w:cs="宋体"/>
          <w:b/>
          <w:bCs w:val="0"/>
          <w:color w:val="auto"/>
          <w:kern w:val="0"/>
          <w:sz w:val="24"/>
          <w:szCs w:val="24"/>
          <w:highlight w:val="none"/>
          <w:u w:color="000000"/>
          <w:lang w:val="en-US" w:eastAsia="zh-CN" w:bidi="ar"/>
        </w:rPr>
        <w:t>、总则</w:t>
      </w:r>
    </w:p>
    <w:p w14:paraId="192817B9">
      <w:pPr>
        <w:spacing w:line="440" w:lineRule="exact"/>
        <w:ind w:firstLine="422" w:firstLineChars="200"/>
        <w:jc w:val="left"/>
        <w:rPr>
          <w:rFonts w:hint="eastAsia" w:ascii="黑体" w:eastAsia="黑体"/>
          <w:b/>
          <w:color w:val="auto"/>
          <w:szCs w:val="21"/>
          <w:highlight w:val="none"/>
        </w:rPr>
      </w:pPr>
      <w:bookmarkStart w:id="51" w:name="_Toc14651"/>
      <w:bookmarkEnd w:id="51"/>
      <w:bookmarkStart w:id="52" w:name="_Toc10907_WPSOffice_Level3"/>
      <w:r>
        <w:rPr>
          <w:rFonts w:hint="eastAsia" w:ascii="黑体" w:eastAsia="黑体"/>
          <w:b/>
          <w:color w:val="auto"/>
          <w:szCs w:val="21"/>
          <w:highlight w:val="none"/>
        </w:rPr>
        <w:t>1.本次评标采用综合评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52"/>
    </w:p>
    <w:p w14:paraId="4D2D6AD2">
      <w:pPr>
        <w:adjustRightInd w:val="0"/>
        <w:snapToGrid w:val="0"/>
        <w:spacing w:line="42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本次评标采用</w:t>
      </w:r>
      <w:r>
        <w:rPr>
          <w:rFonts w:hint="eastAsia" w:ascii="宋体" w:hAnsi="宋体" w:cs="宋体"/>
          <w:color w:val="auto"/>
          <w:szCs w:val="21"/>
          <w:highlight w:val="none"/>
          <w:lang w:val="en-US" w:eastAsia="zh-CN"/>
        </w:rPr>
        <w:t>综合评分</w:t>
      </w:r>
      <w:r>
        <w:rPr>
          <w:rFonts w:hint="eastAsia" w:ascii="宋体" w:hAnsi="宋体" w:cs="宋体"/>
          <w:color w:val="auto"/>
          <w:szCs w:val="21"/>
          <w:highlight w:val="none"/>
        </w:rPr>
        <w:t>法。评标委员会对满足招标文件实质性要求的投标文件，按照本章规定的评分标准进行打分，并按总得分由高到低顺序推荐中标候选人应当不超过3名</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本项目推荐3名中标候选人</w:t>
      </w:r>
      <w:r>
        <w:rPr>
          <w:rFonts w:hint="eastAsia" w:ascii="宋体" w:hAnsi="宋体" w:cs="宋体"/>
          <w:color w:val="auto"/>
          <w:szCs w:val="21"/>
          <w:highlight w:val="none"/>
          <w:lang w:eastAsia="zh-CN"/>
        </w:rPr>
        <w:t>）</w:t>
      </w:r>
      <w:r>
        <w:rPr>
          <w:rFonts w:hint="eastAsia" w:ascii="宋体" w:hAnsi="宋体" w:cs="宋体"/>
          <w:color w:val="auto"/>
          <w:szCs w:val="21"/>
          <w:highlight w:val="none"/>
        </w:rPr>
        <w:t>，并标明排序，但投标报价低于其成本的除外。如总得分相等，以投标报价低的优先，投标报价仍相等由招标人随机抽取确定排名。</w:t>
      </w:r>
    </w:p>
    <w:p w14:paraId="4EEDB8A5">
      <w:pPr>
        <w:spacing w:line="440" w:lineRule="exact"/>
        <w:ind w:firstLine="422" w:firstLineChars="200"/>
        <w:jc w:val="left"/>
        <w:rPr>
          <w:rFonts w:hint="eastAsia" w:ascii="黑体" w:eastAsia="黑体"/>
          <w:b/>
          <w:color w:val="auto"/>
          <w:szCs w:val="21"/>
          <w:highlight w:val="none"/>
          <w:lang w:val="en-US"/>
        </w:rPr>
      </w:pPr>
      <w:r>
        <w:rPr>
          <w:rFonts w:hint="eastAsia" w:ascii="黑体" w:eastAsia="黑体"/>
          <w:b/>
          <w:color w:val="auto"/>
          <w:szCs w:val="21"/>
          <w:highlight w:val="none"/>
          <w:lang w:val="en-US" w:eastAsia="zh-CN"/>
        </w:rPr>
        <w:t>2．评标程序</w:t>
      </w:r>
    </w:p>
    <w:p w14:paraId="33F7CC70">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2.1投标文件的初审</w:t>
      </w:r>
    </w:p>
    <w:p w14:paraId="23297797">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14:paraId="282FA981">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14:paraId="1EB14FEA">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2.2投标文件的澄清</w:t>
      </w:r>
    </w:p>
    <w:p w14:paraId="0FDCA073">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14:paraId="2FC0D17E">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1E54D520">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2.2.3 招标人不接受投标单位主动提出的澄清。</w:t>
      </w:r>
    </w:p>
    <w:p w14:paraId="239F6B06">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2.3比较与评价</w:t>
      </w:r>
    </w:p>
    <w:p w14:paraId="3B9F42ED">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14:paraId="4B451C41">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2.4推荐中标候选人名单</w:t>
      </w:r>
    </w:p>
    <w:p w14:paraId="619CEDA9">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2.4.1中标候选人数量应当根据采购需要确定，但必须按顺序排列中标候选人。</w:t>
      </w:r>
    </w:p>
    <w:p w14:paraId="16ADA49A">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14:paraId="09D8A921">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kern w:val="0"/>
          <w:sz w:val="24"/>
          <w:szCs w:val="24"/>
          <w:highlight w:val="none"/>
          <w:u w:color="000000"/>
          <w:lang w:val="en-US" w:eastAsia="zh-CN" w:bidi="ar"/>
        </w:rPr>
      </w:pPr>
    </w:p>
    <w:p w14:paraId="7B35792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kern w:val="0"/>
          <w:sz w:val="24"/>
          <w:szCs w:val="24"/>
          <w:highlight w:val="none"/>
          <w:u w:color="000000"/>
          <w:lang w:val="en-US" w:eastAsia="zh-CN" w:bidi="ar"/>
        </w:rPr>
      </w:pPr>
    </w:p>
    <w:p w14:paraId="4F209D3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kern w:val="0"/>
          <w:sz w:val="24"/>
          <w:szCs w:val="24"/>
          <w:highlight w:val="none"/>
          <w:u w:color="000000"/>
          <w:lang w:val="en-US" w:eastAsia="zh-CN" w:bidi="ar"/>
        </w:rPr>
      </w:pPr>
    </w:p>
    <w:p w14:paraId="5DD8E075">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二、投标文件审查</w:t>
      </w:r>
    </w:p>
    <w:p w14:paraId="7BB38948">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bookmarkStart w:id="53" w:name="_Toc9092_WPSOffice_Level3"/>
      <w:bookmarkEnd w:id="53"/>
      <w:r>
        <w:rPr>
          <w:rFonts w:hint="eastAsia" w:ascii="黑体" w:hAnsi="宋体" w:eastAsia="黑体" w:cs="宋体"/>
          <w:b/>
          <w:bCs w:val="0"/>
          <w:color w:val="auto"/>
          <w:kern w:val="0"/>
          <w:sz w:val="21"/>
          <w:szCs w:val="21"/>
          <w:highlight w:val="none"/>
          <w:u w:color="000000"/>
          <w:lang w:val="en-US" w:eastAsia="zh-CN" w:bidi="ar"/>
        </w:rPr>
        <w:t>3.资格性审查</w:t>
      </w:r>
    </w:p>
    <w:p w14:paraId="42E8BAF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3.1评审细则</w:t>
      </w:r>
    </w:p>
    <w:tbl>
      <w:tblPr>
        <w:tblStyle w:val="26"/>
        <w:tblW w:w="9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4633"/>
      </w:tblGrid>
      <w:tr w14:paraId="18EB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0444F6D5">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黑体" w:hAnsi="宋体" w:eastAsia="黑体" w:cs="黑体"/>
                <w:b/>
                <w:bCs/>
                <w:color w:val="auto"/>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0DB507">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评审因素</w:t>
            </w:r>
          </w:p>
        </w:tc>
        <w:tc>
          <w:tcPr>
            <w:tcW w:w="4633" w:type="dxa"/>
            <w:tcBorders>
              <w:top w:val="single" w:color="auto" w:sz="4" w:space="0"/>
              <w:left w:val="single" w:color="auto" w:sz="4" w:space="0"/>
              <w:bottom w:val="single" w:color="auto" w:sz="4" w:space="0"/>
              <w:right w:val="single" w:color="auto" w:sz="4" w:space="0"/>
            </w:tcBorders>
            <w:shd w:val="clear" w:color="auto" w:fill="auto"/>
            <w:vAlign w:val="center"/>
          </w:tcPr>
          <w:p w14:paraId="2C343ACD">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评审标准</w:t>
            </w:r>
          </w:p>
        </w:tc>
      </w:tr>
      <w:tr w14:paraId="17EF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4" w:hRule="atLeast"/>
        </w:trPr>
        <w:tc>
          <w:tcPr>
            <w:tcW w:w="725" w:type="dxa"/>
            <w:tcBorders>
              <w:top w:val="single" w:color="auto" w:sz="4" w:space="0"/>
              <w:left w:val="single" w:color="auto" w:sz="4" w:space="0"/>
              <w:right w:val="single" w:color="auto" w:sz="4" w:space="0"/>
            </w:tcBorders>
            <w:shd w:val="clear" w:color="auto" w:fill="auto"/>
            <w:vAlign w:val="center"/>
          </w:tcPr>
          <w:p w14:paraId="3149E887">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1</w:t>
            </w:r>
          </w:p>
        </w:tc>
        <w:tc>
          <w:tcPr>
            <w:tcW w:w="1235" w:type="dxa"/>
            <w:tcBorders>
              <w:top w:val="single" w:color="auto" w:sz="4" w:space="0"/>
              <w:left w:val="single" w:color="auto" w:sz="4" w:space="0"/>
              <w:right w:val="single" w:color="auto" w:sz="4" w:space="0"/>
            </w:tcBorders>
            <w:shd w:val="clear" w:color="auto" w:fill="auto"/>
            <w:vAlign w:val="center"/>
          </w:tcPr>
          <w:p w14:paraId="12737F1F">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重要要求</w:t>
            </w:r>
          </w:p>
        </w:tc>
        <w:tc>
          <w:tcPr>
            <w:tcW w:w="3009" w:type="dxa"/>
            <w:tcBorders>
              <w:top w:val="single" w:color="auto" w:sz="4" w:space="0"/>
              <w:left w:val="single" w:color="auto" w:sz="4" w:space="0"/>
              <w:right w:val="single" w:color="auto" w:sz="4" w:space="0"/>
            </w:tcBorders>
            <w:shd w:val="clear" w:color="auto" w:fill="auto"/>
            <w:vAlign w:val="center"/>
          </w:tcPr>
          <w:p w14:paraId="1DAD92A8">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w:t>
            </w:r>
            <w:r>
              <w:rPr>
                <w:rFonts w:hint="default" w:ascii="Times New Roman" w:hAnsi="Times New Roman" w:eastAsia="宋体" w:cs="Times New Roman"/>
                <w:color w:val="auto"/>
                <w:kern w:val="2"/>
                <w:sz w:val="21"/>
                <w:szCs w:val="21"/>
                <w:highlight w:val="none"/>
                <w:u w:color="000000"/>
                <w:lang w:val="en-US" w:eastAsia="zh-CN" w:bidi="ar"/>
              </w:rPr>
              <w:t>1</w:t>
            </w:r>
            <w:r>
              <w:rPr>
                <w:rFonts w:hint="eastAsia" w:ascii="宋体" w:hAnsi="宋体" w:eastAsia="宋体" w:cs="宋体"/>
                <w:color w:val="auto"/>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auto"/>
                <w:kern w:val="2"/>
                <w:sz w:val="21"/>
                <w:szCs w:val="21"/>
                <w:highlight w:val="none"/>
                <w:u w:color="000000"/>
                <w:lang w:val="en-US" w:eastAsia="zh-CN" w:bidi="ar"/>
              </w:rPr>
              <w:t>(</w:t>
            </w:r>
            <w:r>
              <w:rPr>
                <w:rFonts w:hint="eastAsia" w:ascii="宋体" w:hAnsi="宋体" w:eastAsia="宋体" w:cs="宋体"/>
                <w:color w:val="auto"/>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auto"/>
                <w:kern w:val="2"/>
                <w:sz w:val="21"/>
                <w:szCs w:val="21"/>
                <w:highlight w:val="none"/>
                <w:u w:color="000000"/>
                <w:lang w:val="en-US" w:eastAsia="zh-CN" w:bidi="ar"/>
              </w:rPr>
              <w:t>)</w:t>
            </w:r>
          </w:p>
        </w:tc>
        <w:tc>
          <w:tcPr>
            <w:tcW w:w="4633" w:type="dxa"/>
            <w:tcBorders>
              <w:top w:val="single" w:color="auto" w:sz="4" w:space="0"/>
              <w:left w:val="single" w:color="auto" w:sz="4" w:space="0"/>
              <w:bottom w:val="single" w:color="auto" w:sz="4" w:space="0"/>
              <w:right w:val="single" w:color="auto" w:sz="4" w:space="0"/>
            </w:tcBorders>
            <w:shd w:val="clear" w:color="auto" w:fill="auto"/>
            <w:vAlign w:val="center"/>
          </w:tcPr>
          <w:p w14:paraId="289DD8F0">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color w:val="auto"/>
                <w:kern w:val="2"/>
                <w:highlight w:val="none"/>
                <w:lang w:val="en-US"/>
              </w:rPr>
            </w:pPr>
            <w:r>
              <w:rPr>
                <w:rFonts w:hint="eastAsia" w:ascii="宋体" w:hAnsi="宋体" w:eastAsia="宋体" w:cs="宋体"/>
                <w:b/>
                <w:bCs w:val="0"/>
                <w:color w:val="auto"/>
                <w:kern w:val="2"/>
                <w:sz w:val="21"/>
                <w:szCs w:val="21"/>
                <w:highlight w:val="none"/>
                <w:u w:color="000000"/>
                <w:lang w:val="en-US" w:eastAsia="zh-CN" w:bidi="ar"/>
              </w:rPr>
              <w:t xml:space="preserve"> </w:t>
            </w:r>
            <w:r>
              <w:rPr>
                <w:rFonts w:hint="eastAsia" w:ascii="宋体" w:hAnsi="宋体" w:eastAsia="宋体" w:cs="宋体"/>
                <w:color w:val="auto"/>
                <w:kern w:val="2"/>
                <w:sz w:val="21"/>
                <w:szCs w:val="21"/>
                <w:highlight w:val="none"/>
                <w:u w:color="000000"/>
                <w:lang w:val="en-US" w:eastAsia="zh-CN" w:bidi="ar"/>
              </w:rPr>
              <w:t>法定代表人身份证明和有效身份复印件（或授权委托书及委托代理人有效身份证复印件）</w:t>
            </w:r>
          </w:p>
        </w:tc>
      </w:tr>
      <w:tr w14:paraId="2C6C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14:paraId="6511B450">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14:paraId="3470A17B">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7F43A105">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（2）具有独立承担民事责任的能力</w:t>
            </w:r>
          </w:p>
        </w:tc>
        <w:tc>
          <w:tcPr>
            <w:tcW w:w="4633" w:type="dxa"/>
            <w:tcBorders>
              <w:top w:val="single" w:color="auto" w:sz="4" w:space="0"/>
              <w:left w:val="single" w:color="auto" w:sz="4" w:space="0"/>
              <w:bottom w:val="single" w:color="auto" w:sz="4" w:space="0"/>
              <w:right w:val="single" w:color="auto" w:sz="4" w:space="0"/>
            </w:tcBorders>
            <w:shd w:val="clear" w:color="auto" w:fill="auto"/>
            <w:vAlign w:val="center"/>
          </w:tcPr>
          <w:p w14:paraId="3B89F012">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auto"/>
                <w:kern w:val="2"/>
                <w:sz w:val="21"/>
                <w:szCs w:val="21"/>
                <w:highlight w:val="none"/>
                <w:u w:color="000000"/>
                <w:lang w:val="en-US" w:eastAsia="zh-CN" w:bidi="ar"/>
              </w:rPr>
            </w:pPr>
            <w:r>
              <w:rPr>
                <w:rFonts w:hint="eastAsia" w:ascii="宋体" w:hAnsi="宋体" w:eastAsia="宋体" w:cs="宋体"/>
                <w:b/>
                <w:bCs w:val="0"/>
                <w:color w:val="auto"/>
                <w:kern w:val="2"/>
                <w:sz w:val="21"/>
                <w:szCs w:val="21"/>
                <w:highlight w:val="none"/>
                <w:u w:color="000000"/>
                <w:lang w:val="en-US" w:eastAsia="zh-CN" w:bidi="ar"/>
              </w:rPr>
              <w:t>评审核验标书中的下列证书、证明材料：</w:t>
            </w:r>
          </w:p>
          <w:p w14:paraId="60A9C18C">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投标人有效的营业执照、税务登记证、组织机构码证（或“三证合一证书”）复印件加盖投标人公章</w:t>
            </w:r>
          </w:p>
        </w:tc>
      </w:tr>
      <w:tr w14:paraId="2303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0" w:hRule="atLeast"/>
        </w:trPr>
        <w:tc>
          <w:tcPr>
            <w:tcW w:w="725" w:type="dxa"/>
            <w:vMerge w:val="continue"/>
            <w:tcBorders>
              <w:left w:val="single" w:color="auto" w:sz="4" w:space="0"/>
              <w:right w:val="single" w:color="auto" w:sz="4" w:space="0"/>
            </w:tcBorders>
            <w:shd w:val="clear" w:color="auto" w:fill="auto"/>
            <w:vAlign w:val="center"/>
          </w:tcPr>
          <w:p w14:paraId="774F29C4">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14:paraId="25E191DC">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14:paraId="1FF81ED7">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color w:val="auto"/>
                <w:szCs w:val="21"/>
                <w:highlight w:val="none"/>
                <w:lang w:val="en-US" w:eastAsia="zh-CN"/>
              </w:rPr>
              <w:t>（3）</w:t>
            </w:r>
            <w:r>
              <w:rPr>
                <w:rFonts w:hint="eastAsia" w:ascii="宋体" w:hAnsi="宋体" w:eastAsia="宋体" w:cs="宋体"/>
                <w:color w:val="auto"/>
                <w:kern w:val="2"/>
                <w:sz w:val="21"/>
                <w:szCs w:val="21"/>
                <w:highlight w:val="none"/>
                <w:u w:color="000000"/>
                <w:lang w:val="en-US" w:eastAsia="zh-CN" w:bidi="ar"/>
              </w:rPr>
              <w:t>诚信投标承诺书</w:t>
            </w:r>
          </w:p>
        </w:tc>
        <w:tc>
          <w:tcPr>
            <w:tcW w:w="4633" w:type="dxa"/>
            <w:tcBorders>
              <w:top w:val="single" w:color="auto" w:sz="4" w:space="0"/>
              <w:left w:val="single" w:color="auto" w:sz="4" w:space="0"/>
              <w:bottom w:val="single" w:color="auto" w:sz="4" w:space="0"/>
              <w:right w:val="single" w:color="auto" w:sz="4" w:space="0"/>
            </w:tcBorders>
            <w:shd w:val="clear" w:color="auto" w:fill="auto"/>
            <w:vAlign w:val="center"/>
          </w:tcPr>
          <w:p w14:paraId="29DDC00B">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b/>
                <w:bCs w:val="0"/>
                <w:color w:val="auto"/>
                <w:kern w:val="2"/>
                <w:sz w:val="21"/>
                <w:szCs w:val="21"/>
                <w:highlight w:val="none"/>
                <w:u w:color="000000"/>
                <w:lang w:val="en-US" w:eastAsia="zh-CN" w:bidi="ar"/>
              </w:rPr>
              <w:t>评审核验标书中的下述文件：</w:t>
            </w:r>
          </w:p>
          <w:p w14:paraId="0C809B52">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 xml:space="preserve">诚信投标承诺书，核验标书 </w:t>
            </w:r>
          </w:p>
        </w:tc>
      </w:tr>
    </w:tbl>
    <w:p w14:paraId="7ED28E6D">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4.符合性审查</w:t>
      </w:r>
    </w:p>
    <w:p w14:paraId="2181E05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color w:val="auto"/>
          <w:highlight w:val="none"/>
          <w:lang w:val="en-US"/>
        </w:rPr>
      </w:pPr>
      <w:bookmarkStart w:id="54" w:name="_Toc4660368"/>
      <w:bookmarkEnd w:id="54"/>
      <w:r>
        <w:rPr>
          <w:rFonts w:hint="eastAsia" w:ascii="宋体" w:hAnsi="宋体" w:eastAsia="宋体" w:cs="宋体"/>
          <w:color w:val="auto"/>
          <w:kern w:val="0"/>
          <w:sz w:val="21"/>
          <w:szCs w:val="21"/>
          <w:highlight w:val="none"/>
          <w:u w:color="000000"/>
          <w:lang w:val="en-US" w:eastAsia="zh-CN" w:bidi="ar"/>
        </w:rPr>
        <w:t>4.1评审细则</w:t>
      </w:r>
    </w:p>
    <w:tbl>
      <w:tblPr>
        <w:tblStyle w:val="26"/>
        <w:tblW w:w="9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5548"/>
      </w:tblGrid>
      <w:tr w14:paraId="10E6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68980ED">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序号</w:t>
            </w:r>
          </w:p>
        </w:tc>
        <w:tc>
          <w:tcPr>
            <w:tcW w:w="35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0264AE">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审查因素</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5380317D">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u w:color="000000"/>
                <w:lang w:val="en-US" w:eastAsia="zh-CN" w:bidi="ar"/>
              </w:rPr>
              <w:t>审查内容</w:t>
            </w:r>
          </w:p>
        </w:tc>
      </w:tr>
      <w:tr w14:paraId="0E0D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DA61AE">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1</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EDD994">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投标文件的有效性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09EDAF14">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（1）投标文件签署</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210749B6">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签字、盖章符合要求。</w:t>
            </w:r>
          </w:p>
        </w:tc>
      </w:tr>
      <w:tr w14:paraId="666D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039271">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1AC806">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22AA11C8">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（2）投标方案</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116BC72F">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只能有一个方案投标。</w:t>
            </w:r>
          </w:p>
        </w:tc>
      </w:tr>
      <w:tr w14:paraId="2C23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02E8D9">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1FF4EE">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7B673917">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（3）报价唯一</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3B82B95B">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color w:val="auto"/>
                <w:kern w:val="2"/>
                <w:highlight w:val="none"/>
                <w:lang w:val="en-US"/>
              </w:rPr>
            </w:pPr>
            <w:r>
              <w:rPr>
                <w:rFonts w:hint="eastAsia" w:ascii="宋体" w:hAnsi="宋体" w:cs="宋体"/>
                <w:color w:val="auto"/>
                <w:szCs w:val="21"/>
                <w:highlight w:val="none"/>
              </w:rPr>
              <w:t>只能有一个报价</w:t>
            </w:r>
            <w:r>
              <w:rPr>
                <w:rFonts w:hint="eastAsia" w:ascii="宋体" w:hAnsi="宋体" w:eastAsia="宋体" w:cs="仿宋_GB2312"/>
                <w:color w:val="auto"/>
                <w:kern w:val="2"/>
                <w:sz w:val="21"/>
                <w:szCs w:val="21"/>
                <w:highlight w:val="none"/>
                <w:u w:color="000000"/>
                <w:lang w:val="en-US" w:eastAsia="zh-CN" w:bidi="ar"/>
              </w:rPr>
              <w:t>。</w:t>
            </w:r>
          </w:p>
        </w:tc>
      </w:tr>
      <w:tr w14:paraId="7131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476B9F">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60077C">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02A1960A">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 xml:space="preserve"> (4) 投标文件的有效期</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0F0FF6DB">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完全响应。</w:t>
            </w:r>
          </w:p>
        </w:tc>
      </w:tr>
      <w:tr w14:paraId="201A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5A828E">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2</w:t>
            </w:r>
          </w:p>
        </w:tc>
        <w:tc>
          <w:tcPr>
            <w:tcW w:w="1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A5E542">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投标文件的完整性</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23AAC0D0">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（5）投标文件份数</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13009B54">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color w:val="auto"/>
                <w:kern w:val="2"/>
                <w:highlight w:val="none"/>
                <w:lang w:val="en-US"/>
              </w:rPr>
            </w:pPr>
            <w:r>
              <w:rPr>
                <w:rFonts w:hint="eastAsia" w:ascii="宋体" w:hAnsi="宋体" w:eastAsia="宋体" w:cs="仿宋_GB2312"/>
                <w:color w:val="auto"/>
                <w:kern w:val="2"/>
                <w:sz w:val="21"/>
                <w:szCs w:val="21"/>
                <w:highlight w:val="none"/>
                <w:u w:color="000000"/>
                <w:lang w:val="en-US" w:eastAsia="zh-CN" w:bidi="ar"/>
              </w:rPr>
              <w:t>符合招标文件要求。</w:t>
            </w:r>
          </w:p>
        </w:tc>
      </w:tr>
      <w:tr w14:paraId="4375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80"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472055">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208FCE">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7A899EC4">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u w:color="000000"/>
                <w:lang w:val="en-US" w:eastAsia="zh-CN" w:bidi="ar"/>
              </w:rPr>
              <w:t>（6）投标文件形式内容</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1CB15617">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u w:color="000000"/>
                <w:lang w:val="en-US" w:eastAsia="zh-CN" w:bidi="ar"/>
              </w:rPr>
              <w:t>投标文件内容清晰、齐全无遗漏。</w:t>
            </w:r>
          </w:p>
        </w:tc>
      </w:tr>
      <w:tr w14:paraId="7CF9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80" w:hRule="atLeast"/>
        </w:trPr>
        <w:tc>
          <w:tcPr>
            <w:tcW w:w="567" w:type="dxa"/>
            <w:vMerge w:val="restart"/>
            <w:tcBorders>
              <w:top w:val="single" w:color="auto" w:sz="4" w:space="0"/>
              <w:left w:val="single" w:color="auto" w:sz="4" w:space="0"/>
              <w:right w:val="single" w:color="auto" w:sz="4" w:space="0"/>
            </w:tcBorders>
            <w:shd w:val="clear" w:color="auto" w:fill="auto"/>
            <w:vAlign w:val="center"/>
          </w:tcPr>
          <w:p w14:paraId="6CB95B6A">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w:t>
            </w:r>
          </w:p>
        </w:tc>
        <w:tc>
          <w:tcPr>
            <w:tcW w:w="1000" w:type="dxa"/>
            <w:vMerge w:val="restart"/>
            <w:tcBorders>
              <w:top w:val="single" w:color="auto" w:sz="4" w:space="0"/>
              <w:left w:val="single" w:color="auto" w:sz="4" w:space="0"/>
              <w:right w:val="single" w:color="auto" w:sz="4" w:space="0"/>
            </w:tcBorders>
            <w:shd w:val="clear" w:color="auto" w:fill="auto"/>
            <w:vAlign w:val="center"/>
          </w:tcPr>
          <w:p w14:paraId="21125A9A">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color w:val="auto"/>
                <w:kern w:val="2"/>
                <w:highlight w:val="none"/>
                <w:lang w:val="en-US"/>
              </w:rPr>
            </w:pPr>
            <w:r>
              <w:rPr>
                <w:rFonts w:hint="default" w:ascii="宋体" w:hAnsi="宋体" w:eastAsia="宋体" w:cs="宋体"/>
                <w:color w:val="auto"/>
                <w:kern w:val="2"/>
                <w:highlight w:val="none"/>
                <w:lang w:val="en-US"/>
              </w:rPr>
              <w:t>标书的响应程度</w:t>
            </w: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58E822D4">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（7）技术参数响应程度</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5EA4D4AF">
            <w:pPr>
              <w:keepNext w:val="0"/>
              <w:keepLines w:val="0"/>
              <w:widowControl/>
              <w:suppressLineNumbers w:val="0"/>
              <w:spacing w:before="0" w:beforeAutospacing="0" w:after="0" w:afterAutospacing="0" w:line="440" w:lineRule="exact"/>
              <w:ind w:left="0" w:right="0"/>
              <w:jc w:val="both"/>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 xml:space="preserve">最大限度满足招标文件要求。 </w:t>
            </w:r>
          </w:p>
        </w:tc>
      </w:tr>
      <w:tr w14:paraId="2D0A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80" w:hRule="atLeast"/>
        </w:trPr>
        <w:tc>
          <w:tcPr>
            <w:tcW w:w="567" w:type="dxa"/>
            <w:vMerge w:val="continue"/>
            <w:tcBorders>
              <w:left w:val="single" w:color="auto" w:sz="4" w:space="0"/>
              <w:bottom w:val="single" w:color="auto" w:sz="4" w:space="0"/>
              <w:right w:val="single" w:color="auto" w:sz="4" w:space="0"/>
            </w:tcBorders>
            <w:shd w:val="clear" w:color="auto" w:fill="auto"/>
            <w:vAlign w:val="center"/>
          </w:tcPr>
          <w:p w14:paraId="3101B178">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color w:val="auto"/>
                <w:kern w:val="2"/>
                <w:highlight w:val="none"/>
                <w:lang w:val="en-US"/>
              </w:rPr>
            </w:pPr>
          </w:p>
        </w:tc>
        <w:tc>
          <w:tcPr>
            <w:tcW w:w="1000" w:type="dxa"/>
            <w:vMerge w:val="continue"/>
            <w:tcBorders>
              <w:left w:val="single" w:color="auto" w:sz="4" w:space="0"/>
              <w:bottom w:val="single" w:color="auto" w:sz="4" w:space="0"/>
              <w:right w:val="single" w:color="auto" w:sz="4" w:space="0"/>
            </w:tcBorders>
            <w:shd w:val="clear" w:color="auto" w:fill="auto"/>
            <w:vAlign w:val="center"/>
          </w:tcPr>
          <w:p w14:paraId="35707D40">
            <w:pPr>
              <w:keepNext w:val="0"/>
              <w:keepLines w:val="0"/>
              <w:widowControl/>
              <w:suppressLineNumbers w:val="0"/>
              <w:spacing w:before="0" w:beforeAutospacing="0" w:after="0" w:afterAutospacing="0" w:line="440" w:lineRule="exact"/>
              <w:ind w:left="0" w:right="0"/>
              <w:jc w:val="center"/>
              <w:rPr>
                <w:rFonts w:hint="default" w:ascii="宋体" w:hAnsi="宋体" w:eastAsia="宋体" w:cs="宋体"/>
                <w:color w:val="auto"/>
                <w:kern w:val="2"/>
                <w:highlight w:val="none"/>
                <w:lang w:val="en-US"/>
              </w:rPr>
            </w:pPr>
          </w:p>
        </w:tc>
        <w:tc>
          <w:tcPr>
            <w:tcW w:w="2501" w:type="dxa"/>
            <w:tcBorders>
              <w:top w:val="single" w:color="auto" w:sz="4" w:space="0"/>
              <w:left w:val="single" w:color="auto" w:sz="4" w:space="0"/>
              <w:bottom w:val="single" w:color="auto" w:sz="4" w:space="0"/>
              <w:right w:val="single" w:color="auto" w:sz="4" w:space="0"/>
            </w:tcBorders>
            <w:shd w:val="clear" w:color="auto" w:fill="auto"/>
            <w:vAlign w:val="center"/>
          </w:tcPr>
          <w:p w14:paraId="2BBE171A">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auto"/>
                <w:kern w:val="2"/>
                <w:sz w:val="21"/>
                <w:szCs w:val="24"/>
                <w:highlight w:val="none"/>
                <w:lang w:val="en-US" w:eastAsia="zh-CN" w:bidi="ar-SA"/>
              </w:rPr>
            </w:pPr>
            <w:r>
              <w:rPr>
                <w:rFonts w:hint="eastAsia" w:ascii="宋体" w:hAnsi="宋体" w:eastAsia="宋体" w:cs="仿宋_GB2312"/>
                <w:color w:val="auto"/>
                <w:kern w:val="2"/>
                <w:sz w:val="21"/>
                <w:szCs w:val="21"/>
                <w:highlight w:val="none"/>
                <w:u w:color="000000"/>
                <w:lang w:val="en-US" w:eastAsia="zh-CN" w:bidi="ar"/>
              </w:rPr>
              <w:t>（8）商务条款响应程度</w:t>
            </w:r>
          </w:p>
        </w:tc>
        <w:tc>
          <w:tcPr>
            <w:tcW w:w="5548" w:type="dxa"/>
            <w:tcBorders>
              <w:top w:val="single" w:color="auto" w:sz="4" w:space="0"/>
              <w:left w:val="single" w:color="auto" w:sz="4" w:space="0"/>
              <w:bottom w:val="single" w:color="auto" w:sz="4" w:space="0"/>
              <w:right w:val="single" w:color="auto" w:sz="4" w:space="0"/>
            </w:tcBorders>
            <w:shd w:val="clear" w:color="auto" w:fill="auto"/>
            <w:vAlign w:val="center"/>
          </w:tcPr>
          <w:p w14:paraId="66EE30D6">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auto"/>
                <w:kern w:val="2"/>
                <w:sz w:val="21"/>
                <w:szCs w:val="24"/>
                <w:highlight w:val="none"/>
                <w:lang w:val="en-US" w:eastAsia="zh-CN" w:bidi="ar-SA"/>
              </w:rPr>
            </w:pPr>
            <w:r>
              <w:rPr>
                <w:rFonts w:hint="eastAsia" w:ascii="宋体" w:hAnsi="宋体" w:eastAsia="宋体" w:cs="仿宋_GB2312"/>
                <w:color w:val="auto"/>
                <w:kern w:val="2"/>
                <w:sz w:val="21"/>
                <w:szCs w:val="21"/>
                <w:highlight w:val="none"/>
                <w:u w:color="000000"/>
                <w:lang w:val="en-US" w:eastAsia="zh-CN" w:bidi="ar"/>
              </w:rPr>
              <w:t>最大限度满足招标文件要求。不满足者按评分细则进行评审评分。</w:t>
            </w:r>
          </w:p>
        </w:tc>
      </w:tr>
    </w:tbl>
    <w:p w14:paraId="664B21AD">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14:paraId="59D9AF51">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14:paraId="2B3D6D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4.4只有通过初审的投标人才能进入下一步程序。</w:t>
      </w:r>
    </w:p>
    <w:p w14:paraId="5B2B2827">
      <w:pPr>
        <w:widowControl w:val="0"/>
        <w:numPr>
          <w:ilvl w:val="0"/>
          <w:numId w:val="3"/>
        </w:numPr>
        <w:snapToGrid w:val="0"/>
        <w:spacing w:before="156" w:beforeLines="50" w:after="156" w:afterLines="50" w:line="440" w:lineRule="exact"/>
        <w:jc w:val="center"/>
        <w:outlineLvl w:val="1"/>
        <w:rPr>
          <w:rFonts w:hint="eastAsia" w:ascii="宋体"/>
          <w:b/>
          <w:color w:val="auto"/>
          <w:sz w:val="28"/>
          <w:szCs w:val="28"/>
          <w:highlight w:val="none"/>
        </w:rPr>
      </w:pPr>
      <w:r>
        <w:rPr>
          <w:rFonts w:hint="eastAsia" w:ascii="宋体"/>
          <w:b/>
          <w:color w:val="auto"/>
          <w:sz w:val="28"/>
          <w:szCs w:val="28"/>
          <w:highlight w:val="none"/>
        </w:rPr>
        <w:t>比较与评价</w:t>
      </w:r>
    </w:p>
    <w:p w14:paraId="2A3ACB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5.</w:t>
      </w:r>
      <w:r>
        <w:rPr>
          <w:rFonts w:hint="eastAsia" w:ascii="宋体" w:hAnsi="宋体"/>
          <w:b/>
          <w:color w:val="auto"/>
          <w:szCs w:val="21"/>
          <w:highlight w:val="none"/>
        </w:rPr>
        <w:t>详细评审即</w:t>
      </w:r>
      <w:r>
        <w:rPr>
          <w:rFonts w:ascii="宋体" w:hAnsi="宋体"/>
          <w:b/>
          <w:color w:val="auto"/>
          <w:szCs w:val="21"/>
          <w:highlight w:val="none"/>
        </w:rPr>
        <w:t>按</w:t>
      </w:r>
      <w:r>
        <w:rPr>
          <w:rFonts w:hint="eastAsia" w:ascii="宋体" w:hAnsi="宋体"/>
          <w:b/>
          <w:color w:val="auto"/>
          <w:szCs w:val="21"/>
          <w:highlight w:val="none"/>
          <w:lang w:eastAsia="zh-CN"/>
        </w:rPr>
        <w:t>招标文件</w:t>
      </w:r>
      <w:r>
        <w:rPr>
          <w:rFonts w:ascii="宋体" w:hAnsi="宋体"/>
          <w:b/>
          <w:color w:val="auto"/>
          <w:szCs w:val="21"/>
          <w:highlight w:val="none"/>
        </w:rPr>
        <w:t>中规定的评标方法和标准，</w:t>
      </w:r>
      <w:r>
        <w:rPr>
          <w:rFonts w:hint="eastAsia" w:ascii="宋体" w:hAnsi="宋体"/>
          <w:b/>
          <w:color w:val="auto"/>
          <w:szCs w:val="21"/>
          <w:highlight w:val="none"/>
        </w:rPr>
        <w:t>评标委员会将</w:t>
      </w:r>
      <w:r>
        <w:rPr>
          <w:rFonts w:ascii="宋体" w:hAnsi="宋体"/>
          <w:b/>
          <w:color w:val="auto"/>
          <w:szCs w:val="21"/>
          <w:highlight w:val="none"/>
        </w:rPr>
        <w:t>对</w:t>
      </w:r>
      <w:r>
        <w:rPr>
          <w:rFonts w:hint="eastAsia" w:ascii="宋体" w:hAnsi="宋体"/>
          <w:b/>
          <w:color w:val="auto"/>
          <w:szCs w:val="21"/>
          <w:highlight w:val="none"/>
        </w:rPr>
        <w:t>通过初审</w:t>
      </w:r>
      <w:r>
        <w:rPr>
          <w:rFonts w:ascii="宋体" w:hAnsi="宋体"/>
          <w:b/>
          <w:color w:val="auto"/>
          <w:szCs w:val="21"/>
          <w:highlight w:val="none"/>
        </w:rPr>
        <w:t>的投标</w:t>
      </w:r>
      <w:r>
        <w:rPr>
          <w:rFonts w:hint="eastAsia" w:ascii="宋体" w:hAnsi="宋体"/>
          <w:b/>
          <w:color w:val="auto"/>
          <w:szCs w:val="21"/>
          <w:highlight w:val="none"/>
        </w:rPr>
        <w:t>文件，</w:t>
      </w:r>
      <w:r>
        <w:rPr>
          <w:rFonts w:ascii="宋体" w:hAnsi="宋体"/>
          <w:b/>
          <w:color w:val="auto"/>
          <w:szCs w:val="21"/>
          <w:highlight w:val="none"/>
        </w:rPr>
        <w:t>进行</w:t>
      </w:r>
      <w:r>
        <w:rPr>
          <w:rFonts w:hint="eastAsia" w:ascii="宋体" w:hAnsi="宋体"/>
          <w:b/>
          <w:color w:val="auto"/>
          <w:szCs w:val="21"/>
          <w:highlight w:val="none"/>
          <w:lang w:val="en-US" w:eastAsia="zh-CN"/>
        </w:rPr>
        <w:t>资信、技术和</w:t>
      </w:r>
      <w:r>
        <w:rPr>
          <w:rFonts w:hint="eastAsia" w:ascii="宋体" w:hAnsi="宋体"/>
          <w:b/>
          <w:color w:val="auto"/>
          <w:szCs w:val="21"/>
          <w:highlight w:val="none"/>
        </w:rPr>
        <w:t>商务</w:t>
      </w:r>
      <w:r>
        <w:rPr>
          <w:rFonts w:hint="eastAsia" w:ascii="宋体" w:hAnsi="宋体"/>
          <w:b/>
          <w:color w:val="auto"/>
          <w:szCs w:val="21"/>
          <w:highlight w:val="none"/>
          <w:lang w:val="en-US" w:eastAsia="zh-CN"/>
        </w:rPr>
        <w:t>部分</w:t>
      </w:r>
      <w:r>
        <w:rPr>
          <w:rFonts w:ascii="宋体" w:hAnsi="宋体"/>
          <w:b/>
          <w:color w:val="auto"/>
          <w:szCs w:val="21"/>
          <w:highlight w:val="none"/>
        </w:rPr>
        <w:t>评估</w:t>
      </w:r>
      <w:r>
        <w:rPr>
          <w:rFonts w:hint="eastAsia" w:ascii="宋体" w:hAnsi="宋体"/>
          <w:b/>
          <w:color w:val="auto"/>
          <w:szCs w:val="21"/>
          <w:highlight w:val="none"/>
        </w:rPr>
        <w:t>、</w:t>
      </w:r>
      <w:r>
        <w:rPr>
          <w:rFonts w:ascii="宋体" w:hAnsi="宋体"/>
          <w:b/>
          <w:color w:val="auto"/>
          <w:szCs w:val="21"/>
          <w:highlight w:val="none"/>
        </w:rPr>
        <w:t>综合比较与评价</w:t>
      </w:r>
      <w:r>
        <w:rPr>
          <w:rFonts w:hint="eastAsia" w:ascii="宋体" w:hAnsi="宋体"/>
          <w:b/>
          <w:color w:val="auto"/>
          <w:szCs w:val="21"/>
          <w:highlight w:val="none"/>
        </w:rPr>
        <w:t>。</w:t>
      </w:r>
    </w:p>
    <w:p w14:paraId="04195D89">
      <w:pPr>
        <w:spacing w:line="440" w:lineRule="exact"/>
        <w:ind w:firstLine="211" w:firstLineChars="100"/>
        <w:rPr>
          <w:rFonts w:ascii="宋体" w:hAnsi="宋体" w:cs="宋体"/>
          <w:b/>
          <w:bCs/>
          <w:color w:val="auto"/>
          <w:szCs w:val="21"/>
          <w:highlight w:val="none"/>
        </w:rPr>
      </w:pPr>
      <w:r>
        <w:rPr>
          <w:rFonts w:hint="eastAsia" w:ascii="宋体" w:hAnsi="宋体" w:cs="宋体"/>
          <w:b/>
          <w:bCs/>
          <w:color w:val="auto"/>
          <w:szCs w:val="21"/>
          <w:highlight w:val="none"/>
          <w:lang w:val="en-US" w:eastAsia="zh-CN"/>
        </w:rPr>
        <w:t>5.1</w:t>
      </w:r>
      <w:r>
        <w:rPr>
          <w:rFonts w:hint="eastAsia" w:ascii="宋体" w:hAnsi="宋体" w:cs="宋体"/>
          <w:b/>
          <w:bCs/>
          <w:color w:val="auto"/>
          <w:szCs w:val="21"/>
          <w:highlight w:val="none"/>
        </w:rPr>
        <w:t>资信标评审（</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分）</w:t>
      </w:r>
    </w:p>
    <w:tbl>
      <w:tblPr>
        <w:tblStyle w:val="26"/>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891"/>
        <w:gridCol w:w="841"/>
        <w:gridCol w:w="4865"/>
        <w:gridCol w:w="2044"/>
      </w:tblGrid>
      <w:tr w14:paraId="5AD0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32" w:type="dxa"/>
            <w:noWrap w:val="0"/>
            <w:vAlign w:val="center"/>
          </w:tcPr>
          <w:p w14:paraId="25A7A97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91" w:type="dxa"/>
            <w:noWrap w:val="0"/>
            <w:vAlign w:val="center"/>
          </w:tcPr>
          <w:p w14:paraId="753B338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因素</w:t>
            </w:r>
          </w:p>
        </w:tc>
        <w:tc>
          <w:tcPr>
            <w:tcW w:w="841" w:type="dxa"/>
            <w:noWrap w:val="0"/>
            <w:vAlign w:val="center"/>
          </w:tcPr>
          <w:p w14:paraId="322DA1F6">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4865" w:type="dxa"/>
            <w:noWrap w:val="0"/>
            <w:vAlign w:val="center"/>
          </w:tcPr>
          <w:p w14:paraId="2FCE88E3">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c>
          <w:tcPr>
            <w:tcW w:w="2044" w:type="dxa"/>
            <w:noWrap w:val="0"/>
            <w:vAlign w:val="center"/>
          </w:tcPr>
          <w:p w14:paraId="06766067">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须提供的证明材料</w:t>
            </w:r>
          </w:p>
        </w:tc>
      </w:tr>
      <w:tr w14:paraId="20BA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8" w:hRule="atLeast"/>
          <w:jc w:val="center"/>
        </w:trPr>
        <w:tc>
          <w:tcPr>
            <w:tcW w:w="732" w:type="dxa"/>
            <w:noWrap w:val="0"/>
            <w:vAlign w:val="center"/>
          </w:tcPr>
          <w:p w14:paraId="641CF9E7">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28"/>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891" w:type="dxa"/>
            <w:noWrap w:val="0"/>
            <w:vAlign w:val="center"/>
          </w:tcPr>
          <w:p w14:paraId="3170BCD4">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投标人业绩</w:t>
            </w:r>
          </w:p>
        </w:tc>
        <w:tc>
          <w:tcPr>
            <w:tcW w:w="841" w:type="dxa"/>
            <w:noWrap w:val="0"/>
            <w:vAlign w:val="center"/>
          </w:tcPr>
          <w:p w14:paraId="6079E29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4865" w:type="dxa"/>
            <w:noWrap w:val="0"/>
            <w:vAlign w:val="center"/>
          </w:tcPr>
          <w:p w14:paraId="55C104D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年01月01日（以合同签订时间为准）以来，投标人具有毛毯、毛巾被、床上用品或纺织被褥类供货业绩的，每提供一项得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分，其他的不得分，本项满分</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5D3F89FD">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2044" w:type="dxa"/>
            <w:noWrap w:val="0"/>
            <w:vAlign w:val="center"/>
          </w:tcPr>
          <w:p w14:paraId="10C0539A">
            <w:pPr>
              <w:keepNext w:val="0"/>
              <w:keepLines w:val="0"/>
              <w:pageBreakBefore w:val="0"/>
              <w:suppressLineNumbers w:val="0"/>
              <w:kinsoku/>
              <w:wordWrap/>
              <w:overflowPunct/>
              <w:topLinePunct w:val="0"/>
              <w:autoSpaceDE/>
              <w:autoSpaceDN/>
              <w:bidi w:val="0"/>
              <w:spacing w:before="0" w:beforeAutospacing="0" w:after="0" w:afterAutospacing="0" w:line="360" w:lineRule="auto"/>
              <w:ind w:left="-40" w:leftChars="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投标文件中提供业绩合同扫描件，时间以合同签订时间为准；若合同材料中无法体现签订时间、供货内容等关键评审因素的，须另附业主（合同甲方）出具的证明材料，未提供或提供不全的不得分。</w:t>
            </w:r>
          </w:p>
        </w:tc>
      </w:tr>
      <w:tr w14:paraId="5316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3" w:hRule="atLeast"/>
          <w:jc w:val="center"/>
        </w:trPr>
        <w:tc>
          <w:tcPr>
            <w:tcW w:w="732" w:type="dxa"/>
            <w:noWrap w:val="0"/>
            <w:vAlign w:val="center"/>
          </w:tcPr>
          <w:p w14:paraId="46CE34B6">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28"/>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91" w:type="dxa"/>
            <w:noWrap w:val="0"/>
            <w:vAlign w:val="center"/>
          </w:tcPr>
          <w:p w14:paraId="7B34878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免费质保期</w:t>
            </w:r>
          </w:p>
        </w:tc>
        <w:tc>
          <w:tcPr>
            <w:tcW w:w="841" w:type="dxa"/>
            <w:noWrap w:val="0"/>
            <w:vAlign w:val="center"/>
          </w:tcPr>
          <w:p w14:paraId="7A2EB1B3">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4865" w:type="dxa"/>
            <w:noWrap w:val="0"/>
            <w:vAlign w:val="center"/>
          </w:tcPr>
          <w:p w14:paraId="0D93ABA3">
            <w:pPr>
              <w:keepNext w:val="0"/>
              <w:keepLines w:val="0"/>
              <w:suppressLineNumbers w:val="0"/>
              <w:spacing w:before="0" w:beforeAutospacing="0" w:after="0" w:afterAutospacing="0" w:line="360" w:lineRule="auto"/>
              <w:ind w:left="0" w:right="0"/>
              <w:jc w:val="both"/>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投标人在满足招标文件要求的免费质保期（自验收合格之日起</w:t>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年）的基础上，承诺所投全部产品</w:t>
            </w:r>
            <w:r>
              <w:rPr>
                <w:rFonts w:hint="eastAsia" w:ascii="宋体" w:hAnsi="宋体" w:eastAsia="宋体" w:cs="宋体"/>
                <w:color w:val="auto"/>
                <w:sz w:val="21"/>
                <w:szCs w:val="21"/>
                <w:highlight w:val="none"/>
                <w:lang w:val="en-US" w:eastAsia="zh-CN"/>
              </w:rPr>
              <w:t>每</w:t>
            </w:r>
            <w:r>
              <w:rPr>
                <w:rFonts w:hint="default" w:ascii="宋体" w:hAnsi="宋体" w:eastAsia="宋体" w:cs="宋体"/>
                <w:color w:val="auto"/>
                <w:sz w:val="21"/>
                <w:szCs w:val="21"/>
                <w:highlight w:val="none"/>
                <w:lang w:val="en-US" w:eastAsia="zh-CN"/>
              </w:rPr>
              <w:t>增加一年的免费质保期的加</w:t>
            </w:r>
            <w:r>
              <w:rPr>
                <w:rFonts w:hint="eastAsia" w:ascii="宋体" w:hAnsi="宋体" w:eastAsia="宋体" w:cs="宋体"/>
                <w:color w:val="auto"/>
                <w:sz w:val="21"/>
                <w:szCs w:val="21"/>
                <w:highlight w:val="none"/>
                <w:lang w:val="en-US" w:eastAsia="zh-CN"/>
              </w:rPr>
              <w:t>5</w:t>
            </w:r>
            <w:r>
              <w:rPr>
                <w:rFonts w:hint="default" w:ascii="宋体" w:hAnsi="宋体" w:eastAsia="宋体" w:cs="宋体"/>
                <w:color w:val="auto"/>
                <w:sz w:val="21"/>
                <w:szCs w:val="21"/>
                <w:highlight w:val="none"/>
                <w:lang w:val="en-US" w:eastAsia="zh-CN"/>
              </w:rPr>
              <w:t>分，本项最多得</w:t>
            </w:r>
            <w:r>
              <w:rPr>
                <w:rFonts w:hint="eastAsia" w:ascii="宋体" w:hAnsi="宋体" w:eastAsia="宋体" w:cs="宋体"/>
                <w:color w:val="auto"/>
                <w:sz w:val="21"/>
                <w:szCs w:val="21"/>
                <w:highlight w:val="none"/>
                <w:lang w:val="en-US" w:eastAsia="zh-CN"/>
              </w:rPr>
              <w:t>10</w:t>
            </w:r>
            <w:r>
              <w:rPr>
                <w:rFonts w:hint="default" w:ascii="宋体" w:hAnsi="宋体" w:eastAsia="宋体" w:cs="宋体"/>
                <w:color w:val="auto"/>
                <w:sz w:val="21"/>
                <w:szCs w:val="21"/>
                <w:highlight w:val="none"/>
                <w:lang w:val="en-US" w:eastAsia="zh-CN"/>
              </w:rPr>
              <w:t>分（质保期限增加时间不满一个整年度的不计分），</w:t>
            </w:r>
            <w:r>
              <w:rPr>
                <w:rFonts w:hint="eastAsia" w:ascii="宋体" w:hAnsi="宋体" w:eastAsia="宋体" w:cs="Times New Roman"/>
                <w:b/>
                <w:bCs/>
                <w:color w:val="auto"/>
                <w:sz w:val="24"/>
                <w:szCs w:val="20"/>
                <w:highlight w:val="none"/>
                <w:lang w:val="en-US" w:eastAsia="zh-CN"/>
              </w:rPr>
              <w:t>注：</w:t>
            </w:r>
            <w:r>
              <w:rPr>
                <w:rFonts w:hint="default" w:ascii="宋体" w:hAnsi="宋体" w:eastAsia="宋体" w:cs="Times New Roman"/>
                <w:b/>
                <w:bCs/>
                <w:color w:val="auto"/>
                <w:sz w:val="24"/>
                <w:szCs w:val="20"/>
                <w:highlight w:val="none"/>
                <w:lang w:val="en-US" w:eastAsia="zh-CN"/>
              </w:rPr>
              <w:t>提供承诺书，写明质保年限，格式自拟。</w:t>
            </w:r>
          </w:p>
        </w:tc>
        <w:tc>
          <w:tcPr>
            <w:tcW w:w="2044" w:type="dxa"/>
            <w:noWrap w:val="0"/>
            <w:vAlign w:val="center"/>
          </w:tcPr>
          <w:p w14:paraId="528BF59D">
            <w:pPr>
              <w:keepNext w:val="0"/>
              <w:keepLines w:val="0"/>
              <w:pageBreakBefore w:val="0"/>
              <w:suppressLineNumbers w:val="0"/>
              <w:kinsoku/>
              <w:wordWrap/>
              <w:overflowPunct/>
              <w:topLinePunct w:val="0"/>
              <w:autoSpaceDE/>
              <w:autoSpaceDN/>
              <w:bidi w:val="0"/>
              <w:spacing w:before="0" w:beforeAutospacing="0" w:after="0" w:afterAutospacing="0" w:line="360" w:lineRule="auto"/>
              <w:ind w:left="-40" w:leftChars="0" w:right="0"/>
              <w:jc w:val="center"/>
              <w:textAlignment w:val="auto"/>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投标文件中投标人承诺的免费质保期为评审依据。</w:t>
            </w:r>
          </w:p>
        </w:tc>
      </w:tr>
    </w:tbl>
    <w:p w14:paraId="6F6D1282">
      <w:pPr>
        <w:spacing w:line="440" w:lineRule="exact"/>
        <w:ind w:right="36" w:rightChars="17"/>
        <w:jc w:val="left"/>
        <w:rPr>
          <w:rFonts w:hint="eastAsia" w:ascii="宋体" w:hAnsi="宋体" w:eastAsia="宋体" w:cs="宋体"/>
          <w:b/>
          <w:color w:val="auto"/>
          <w:sz w:val="21"/>
          <w:szCs w:val="21"/>
          <w:highlight w:val="none"/>
        </w:rPr>
      </w:pPr>
      <w:r>
        <w:rPr>
          <w:rFonts w:hint="eastAsia" w:ascii="宋体" w:hAnsi="宋体"/>
          <w:b/>
          <w:color w:val="auto"/>
          <w:szCs w:val="21"/>
          <w:highlight w:val="none"/>
          <w:lang w:val="en-US" w:eastAsia="zh-CN"/>
        </w:rPr>
        <w:t>5.2</w:t>
      </w:r>
      <w:r>
        <w:rPr>
          <w:rFonts w:hint="eastAsia" w:ascii="宋体" w:hAnsi="宋体" w:eastAsia="宋体" w:cs="宋体"/>
          <w:b/>
          <w:color w:val="auto"/>
          <w:sz w:val="21"/>
          <w:szCs w:val="21"/>
          <w:highlight w:val="none"/>
          <w:lang w:val="en-US" w:eastAsia="zh-CN"/>
        </w:rPr>
        <w:t>技术</w:t>
      </w:r>
      <w:r>
        <w:rPr>
          <w:rFonts w:hint="eastAsia" w:ascii="宋体" w:hAnsi="宋体" w:eastAsia="宋体" w:cs="宋体"/>
          <w:b/>
          <w:color w:val="auto"/>
          <w:sz w:val="21"/>
          <w:szCs w:val="21"/>
          <w:highlight w:val="none"/>
        </w:rPr>
        <w:t>标评审细则（</w:t>
      </w:r>
      <w:r>
        <w:rPr>
          <w:rFonts w:hint="eastAsia" w:ascii="宋体" w:hAnsi="宋体" w:eastAsia="宋体" w:cs="宋体"/>
          <w:b/>
          <w:color w:val="auto"/>
          <w:sz w:val="21"/>
          <w:szCs w:val="21"/>
          <w:highlight w:val="none"/>
          <w:lang w:val="en-US" w:eastAsia="zh-CN"/>
        </w:rPr>
        <w:t>50</w:t>
      </w:r>
      <w:r>
        <w:rPr>
          <w:rFonts w:hint="eastAsia" w:ascii="宋体" w:hAnsi="宋体" w:eastAsia="宋体" w:cs="宋体"/>
          <w:b/>
          <w:color w:val="auto"/>
          <w:sz w:val="21"/>
          <w:szCs w:val="21"/>
          <w:highlight w:val="none"/>
        </w:rPr>
        <w:t>分）</w:t>
      </w:r>
    </w:p>
    <w:tbl>
      <w:tblPr>
        <w:tblStyle w:val="26"/>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99"/>
        <w:gridCol w:w="763"/>
        <w:gridCol w:w="6076"/>
      </w:tblGrid>
      <w:tr w14:paraId="65D5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11EA934F">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399" w:type="dxa"/>
            <w:noWrap w:val="0"/>
            <w:vAlign w:val="center"/>
          </w:tcPr>
          <w:p w14:paraId="1435D4F6">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763" w:type="dxa"/>
            <w:noWrap w:val="0"/>
            <w:vAlign w:val="center"/>
          </w:tcPr>
          <w:p w14:paraId="40D462DB">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076" w:type="dxa"/>
            <w:noWrap w:val="0"/>
            <w:vAlign w:val="center"/>
          </w:tcPr>
          <w:p w14:paraId="162E2766">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58E8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14:paraId="0D0780F9">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w:t>
            </w:r>
          </w:p>
        </w:tc>
        <w:tc>
          <w:tcPr>
            <w:tcW w:w="1399" w:type="dxa"/>
            <w:noWrap w:val="0"/>
            <w:vAlign w:val="center"/>
          </w:tcPr>
          <w:p w14:paraId="76646CF7">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val="0"/>
                <w:bCs w:val="0"/>
                <w:color w:val="auto"/>
                <w:szCs w:val="21"/>
                <w:highlight w:val="none"/>
                <w:lang w:val="en-US" w:eastAsia="zh-CN"/>
              </w:rPr>
            </w:pPr>
            <w:r>
              <w:rPr>
                <w:rFonts w:hint="default" w:ascii="宋体" w:hAnsi="Times New Roman" w:eastAsia="宋体" w:cs="Times New Roman"/>
                <w:b w:val="0"/>
                <w:bCs w:val="0"/>
                <w:color w:val="auto"/>
                <w:szCs w:val="21"/>
                <w:highlight w:val="none"/>
                <w:lang w:val="en-US" w:eastAsia="zh-CN"/>
              </w:rPr>
              <w:t>质量保证措施</w:t>
            </w:r>
          </w:p>
        </w:tc>
        <w:tc>
          <w:tcPr>
            <w:tcW w:w="763" w:type="dxa"/>
            <w:noWrap w:val="0"/>
            <w:vAlign w:val="center"/>
          </w:tcPr>
          <w:p w14:paraId="01F8CC48">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10分</w:t>
            </w:r>
          </w:p>
        </w:tc>
        <w:tc>
          <w:tcPr>
            <w:tcW w:w="6076" w:type="dxa"/>
            <w:noWrap w:val="0"/>
            <w:vAlign w:val="center"/>
          </w:tcPr>
          <w:p w14:paraId="1E8C1167">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评标委员会根据投标文件对本项目产品生产及质量保障措施等方面的描述等进行综合评审：</w:t>
            </w:r>
          </w:p>
          <w:p w14:paraId="7B9A0D6D">
            <w:pPr>
              <w:keepNext w:val="0"/>
              <w:keepLines w:val="0"/>
              <w:suppressLineNumbers w:val="0"/>
              <w:spacing w:before="0" w:beforeAutospacing="0" w:after="0" w:afterAutospacing="0" w:line="440" w:lineRule="exact"/>
              <w:ind w:left="0" w:right="0"/>
              <w:jc w:val="both"/>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优秀的得10分，良好的得7-9分、一般的得4-6分，较差的得1-3分，未提供或不合格的不得分。</w:t>
            </w:r>
          </w:p>
        </w:tc>
      </w:tr>
      <w:tr w14:paraId="6426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14:paraId="16922C72">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2</w:t>
            </w:r>
          </w:p>
        </w:tc>
        <w:tc>
          <w:tcPr>
            <w:tcW w:w="1399" w:type="dxa"/>
            <w:noWrap w:val="0"/>
            <w:vAlign w:val="center"/>
          </w:tcPr>
          <w:p w14:paraId="39AF56AC">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售后服务方案</w:t>
            </w:r>
          </w:p>
        </w:tc>
        <w:tc>
          <w:tcPr>
            <w:tcW w:w="763" w:type="dxa"/>
            <w:noWrap w:val="0"/>
            <w:vAlign w:val="center"/>
          </w:tcPr>
          <w:p w14:paraId="3473C867">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10分</w:t>
            </w:r>
          </w:p>
        </w:tc>
        <w:tc>
          <w:tcPr>
            <w:tcW w:w="6076" w:type="dxa"/>
            <w:noWrap w:val="0"/>
            <w:vAlign w:val="center"/>
          </w:tcPr>
          <w:p w14:paraId="3D67E7B6">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根据投标人提供售后服务保障方案：包含售后服务点设置、人员配备、配件备品备库等内容，由评委会进行综合评审：</w:t>
            </w:r>
          </w:p>
          <w:p w14:paraId="2FADFAED">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优秀的得10分，良好的得7-9分、一般的得4-6分，较差的得1-3分，未提供或不合格的不得分。</w:t>
            </w:r>
          </w:p>
        </w:tc>
      </w:tr>
      <w:tr w14:paraId="3332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14:paraId="5983E00A">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w:t>
            </w:r>
          </w:p>
        </w:tc>
        <w:tc>
          <w:tcPr>
            <w:tcW w:w="1399" w:type="dxa"/>
            <w:noWrap w:val="0"/>
            <w:vAlign w:val="center"/>
          </w:tcPr>
          <w:p w14:paraId="468E9AB2">
            <w:pPr>
              <w:keepNext w:val="0"/>
              <w:keepLines w:val="0"/>
              <w:suppressLineNumbers w:val="0"/>
              <w:spacing w:before="0" w:beforeAutospacing="0" w:after="0" w:afterAutospacing="0" w:line="440" w:lineRule="exact"/>
              <w:ind w:left="0" w:right="0"/>
              <w:jc w:val="center"/>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毛毯样品质量</w:t>
            </w:r>
          </w:p>
        </w:tc>
        <w:tc>
          <w:tcPr>
            <w:tcW w:w="763" w:type="dxa"/>
            <w:noWrap w:val="0"/>
            <w:vAlign w:val="center"/>
          </w:tcPr>
          <w:p w14:paraId="15D42A42">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15分</w:t>
            </w:r>
          </w:p>
        </w:tc>
        <w:tc>
          <w:tcPr>
            <w:tcW w:w="6076" w:type="dxa"/>
            <w:noWrap w:val="0"/>
            <w:vAlign w:val="center"/>
          </w:tcPr>
          <w:p w14:paraId="49ADFCCD">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评标委员会对投标人按要求现场递交的毛毯实物样品进行综合评审：</w:t>
            </w:r>
          </w:p>
          <w:p w14:paraId="455455C8">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优秀的得15分，良好的得10-14分、一般的得6-9分，较差的得1-5分，未提供或不合格的不得分。</w:t>
            </w:r>
          </w:p>
        </w:tc>
      </w:tr>
      <w:tr w14:paraId="2BD2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6" w:type="dxa"/>
            <w:noWrap w:val="0"/>
            <w:vAlign w:val="center"/>
          </w:tcPr>
          <w:p w14:paraId="10BF765C">
            <w:pPr>
              <w:keepNext w:val="0"/>
              <w:keepLines w:val="0"/>
              <w:suppressLineNumbers w:val="0"/>
              <w:spacing w:before="0" w:beforeAutospacing="0" w:after="0" w:afterAutospacing="0" w:line="440" w:lineRule="exact"/>
              <w:ind w:left="0" w:right="0"/>
              <w:jc w:val="center"/>
              <w:rPr>
                <w:rFonts w:hint="default"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4</w:t>
            </w:r>
          </w:p>
        </w:tc>
        <w:tc>
          <w:tcPr>
            <w:tcW w:w="1399" w:type="dxa"/>
            <w:shd w:val="clear" w:color="auto" w:fill="auto"/>
            <w:noWrap w:val="0"/>
            <w:vAlign w:val="center"/>
          </w:tcPr>
          <w:p w14:paraId="545EA6DD">
            <w:pPr>
              <w:keepNext w:val="0"/>
              <w:keepLines w:val="0"/>
              <w:suppressLineNumbers w:val="0"/>
              <w:spacing w:before="0" w:beforeAutospacing="0" w:after="0" w:afterAutospacing="0" w:line="440" w:lineRule="exact"/>
              <w:ind w:left="0" w:leftChars="0" w:right="0" w:right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Cs w:val="21"/>
                <w:highlight w:val="none"/>
                <w:lang w:val="en-US" w:eastAsia="zh-CN"/>
              </w:rPr>
              <w:t>毛巾被样品质量</w:t>
            </w:r>
          </w:p>
        </w:tc>
        <w:tc>
          <w:tcPr>
            <w:tcW w:w="763" w:type="dxa"/>
            <w:shd w:val="clear" w:color="auto" w:fill="auto"/>
            <w:noWrap w:val="0"/>
            <w:vAlign w:val="center"/>
          </w:tcPr>
          <w:p w14:paraId="7CCCD827">
            <w:pPr>
              <w:keepNext w:val="0"/>
              <w:keepLines w:val="0"/>
              <w:suppressLineNumbers w:val="0"/>
              <w:spacing w:before="0" w:beforeAutospacing="0" w:after="0" w:afterAutospacing="0" w:line="440" w:lineRule="exact"/>
              <w:ind w:left="0" w:leftChars="0" w:right="0" w:rightChars="0"/>
              <w:jc w:val="center"/>
              <w:rPr>
                <w:rFonts w:hint="eastAsia" w:ascii="宋体" w:hAnsi="Times New Roman" w:eastAsia="宋体" w:cs="Times New Roman"/>
                <w:b w:val="0"/>
                <w:bCs w:val="0"/>
                <w:color w:val="auto"/>
                <w:kern w:val="2"/>
                <w:sz w:val="21"/>
                <w:szCs w:val="21"/>
                <w:highlight w:val="none"/>
                <w:lang w:val="en-US" w:eastAsia="zh-CN" w:bidi="ar-SA"/>
              </w:rPr>
            </w:pPr>
            <w:r>
              <w:rPr>
                <w:rFonts w:hint="eastAsia" w:ascii="宋体" w:hAnsi="Times New Roman" w:eastAsia="宋体" w:cs="Times New Roman"/>
                <w:b w:val="0"/>
                <w:bCs w:val="0"/>
                <w:color w:val="auto"/>
                <w:szCs w:val="21"/>
                <w:highlight w:val="none"/>
                <w:lang w:val="en-US" w:eastAsia="zh-CN"/>
              </w:rPr>
              <w:t>15分</w:t>
            </w:r>
          </w:p>
        </w:tc>
        <w:tc>
          <w:tcPr>
            <w:tcW w:w="6076" w:type="dxa"/>
            <w:shd w:val="clear" w:color="auto" w:fill="auto"/>
            <w:noWrap w:val="0"/>
            <w:vAlign w:val="center"/>
          </w:tcPr>
          <w:p w14:paraId="1AE36085">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评标委员会对投标人按要求现场递交的毛巾被实物样品进行综合评审：</w:t>
            </w:r>
          </w:p>
          <w:p w14:paraId="31F6F327">
            <w:pPr>
              <w:keepNext w:val="0"/>
              <w:keepLines w:val="0"/>
              <w:suppressLineNumbers w:val="0"/>
              <w:spacing w:before="0" w:beforeAutospacing="0" w:after="0" w:afterAutospacing="0" w:line="440" w:lineRule="exact"/>
              <w:ind w:left="0" w:right="0"/>
              <w:jc w:val="both"/>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优秀的得15分，良好的得10-14分、一般的得6-9分，较差的得1-5分，未提供或不合格的不得分。</w:t>
            </w:r>
          </w:p>
        </w:tc>
      </w:tr>
    </w:tbl>
    <w:p w14:paraId="07F3AB4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5.2</w:t>
      </w:r>
      <w:r>
        <w:rPr>
          <w:rFonts w:hint="eastAsia" w:ascii="宋体" w:hAnsi="宋体"/>
          <w:b/>
          <w:color w:val="auto"/>
          <w:szCs w:val="21"/>
          <w:highlight w:val="none"/>
        </w:rPr>
        <w:t>商务标评审细则</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30</w:t>
      </w:r>
      <w:r>
        <w:rPr>
          <w:rFonts w:hint="eastAsia" w:ascii="宋体" w:hAnsi="宋体"/>
          <w:b/>
          <w:color w:val="auto"/>
          <w:szCs w:val="21"/>
          <w:highlight w:val="none"/>
        </w:rPr>
        <w:t>分</w:t>
      </w:r>
      <w:r>
        <w:rPr>
          <w:rFonts w:hint="eastAsia" w:ascii="宋体" w:hAnsi="宋体"/>
          <w:b/>
          <w:color w:val="auto"/>
          <w:szCs w:val="21"/>
          <w:highlight w:val="none"/>
          <w:lang w:eastAsia="zh-CN"/>
        </w:rPr>
        <w:t>）</w:t>
      </w:r>
    </w:p>
    <w:tbl>
      <w:tblPr>
        <w:tblStyle w:val="2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230"/>
        <w:gridCol w:w="771"/>
        <w:gridCol w:w="6505"/>
      </w:tblGrid>
      <w:tr w14:paraId="35A1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3A748141">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序号</w:t>
            </w:r>
          </w:p>
        </w:tc>
        <w:tc>
          <w:tcPr>
            <w:tcW w:w="1230" w:type="dxa"/>
            <w:noWrap w:val="0"/>
            <w:vAlign w:val="center"/>
          </w:tcPr>
          <w:p w14:paraId="4322DF35">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评分因素</w:t>
            </w:r>
          </w:p>
        </w:tc>
        <w:tc>
          <w:tcPr>
            <w:tcW w:w="771" w:type="dxa"/>
            <w:noWrap w:val="0"/>
            <w:vAlign w:val="center"/>
          </w:tcPr>
          <w:p w14:paraId="500921D9">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分值</w:t>
            </w:r>
          </w:p>
        </w:tc>
        <w:tc>
          <w:tcPr>
            <w:tcW w:w="6505" w:type="dxa"/>
            <w:noWrap w:val="0"/>
            <w:vAlign w:val="center"/>
          </w:tcPr>
          <w:p w14:paraId="31770D1B">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bCs/>
                <w:color w:val="auto"/>
                <w:szCs w:val="21"/>
                <w:highlight w:val="none"/>
                <w:lang w:val="en-US" w:eastAsia="zh-CN"/>
              </w:rPr>
            </w:pPr>
            <w:r>
              <w:rPr>
                <w:rFonts w:hint="eastAsia" w:ascii="宋体" w:hAnsi="Times New Roman" w:eastAsia="宋体" w:cs="Times New Roman"/>
                <w:b/>
                <w:bCs/>
                <w:color w:val="auto"/>
                <w:szCs w:val="21"/>
                <w:highlight w:val="none"/>
                <w:lang w:val="en-US" w:eastAsia="zh-CN"/>
              </w:rPr>
              <w:t>评审细则</w:t>
            </w:r>
          </w:p>
        </w:tc>
      </w:tr>
      <w:tr w14:paraId="20F7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46" w:type="dxa"/>
            <w:noWrap w:val="0"/>
            <w:vAlign w:val="center"/>
          </w:tcPr>
          <w:p w14:paraId="4D7B8E4C">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1</w:t>
            </w:r>
          </w:p>
        </w:tc>
        <w:tc>
          <w:tcPr>
            <w:tcW w:w="1230" w:type="dxa"/>
            <w:noWrap w:val="0"/>
            <w:vAlign w:val="center"/>
          </w:tcPr>
          <w:p w14:paraId="0A13EE8B">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报价</w:t>
            </w:r>
          </w:p>
        </w:tc>
        <w:tc>
          <w:tcPr>
            <w:tcW w:w="771" w:type="dxa"/>
            <w:noWrap w:val="0"/>
            <w:vAlign w:val="center"/>
          </w:tcPr>
          <w:p w14:paraId="050C8266">
            <w:pPr>
              <w:keepNext w:val="0"/>
              <w:keepLines w:val="0"/>
              <w:suppressLineNumbers w:val="0"/>
              <w:spacing w:before="0" w:beforeAutospacing="0" w:after="0" w:afterAutospacing="0" w:line="440" w:lineRule="exact"/>
              <w:ind w:left="0" w:right="0"/>
              <w:jc w:val="center"/>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30分</w:t>
            </w:r>
          </w:p>
        </w:tc>
        <w:tc>
          <w:tcPr>
            <w:tcW w:w="6505" w:type="dxa"/>
            <w:noWrap w:val="0"/>
            <w:vAlign w:val="center"/>
          </w:tcPr>
          <w:p w14:paraId="4F54B095">
            <w:pPr>
              <w:keepNext w:val="0"/>
              <w:keepLines w:val="0"/>
              <w:suppressLineNumbers w:val="0"/>
              <w:spacing w:before="0" w:beforeAutospacing="0" w:after="0" w:afterAutospacing="0" w:line="440" w:lineRule="exact"/>
              <w:ind w:left="0" w:right="0"/>
              <w:jc w:val="both"/>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采购人</w:t>
            </w:r>
            <w:r>
              <w:rPr>
                <w:rFonts w:hint="eastAsia" w:ascii="宋体" w:hAnsi="宋体"/>
                <w:b w:val="0"/>
                <w:bCs w:val="0"/>
                <w:color w:val="auto"/>
                <w:szCs w:val="21"/>
                <w:highlight w:val="none"/>
              </w:rPr>
              <w:t>设置投标报价最高限价，各投标人有效报价不得高于最高限价，否则，其投标文件按无效标处理。</w:t>
            </w:r>
          </w:p>
          <w:p w14:paraId="565C2306">
            <w:pPr>
              <w:keepNext w:val="0"/>
              <w:keepLines w:val="0"/>
              <w:suppressLineNumbers w:val="0"/>
              <w:spacing w:before="0" w:beforeAutospacing="0" w:after="0" w:afterAutospacing="0" w:line="440" w:lineRule="exact"/>
              <w:ind w:left="0" w:right="0"/>
              <w:jc w:val="both"/>
              <w:rPr>
                <w:rFonts w:hint="eastAsia" w:ascii="宋体" w:hAnsi="宋体"/>
                <w:b w:val="0"/>
                <w:bCs w:val="0"/>
                <w:color w:val="auto"/>
                <w:szCs w:val="21"/>
                <w:highlight w:val="none"/>
              </w:rPr>
            </w:pPr>
            <w:r>
              <w:rPr>
                <w:rFonts w:hint="eastAsia" w:ascii="宋体" w:hAnsi="宋体"/>
                <w:b w:val="0"/>
                <w:bCs w:val="0"/>
                <w:color w:val="auto"/>
                <w:szCs w:val="21"/>
                <w:highlight w:val="none"/>
              </w:rPr>
              <w:t>1.评审基准价=所有有效投标人的最低报价；其得分为满分；</w:t>
            </w:r>
          </w:p>
          <w:p w14:paraId="37A05E19">
            <w:pPr>
              <w:keepNext w:val="0"/>
              <w:keepLines w:val="0"/>
              <w:suppressLineNumbers w:val="0"/>
              <w:spacing w:before="0" w:beforeAutospacing="0" w:after="0" w:afterAutospacing="0" w:line="440" w:lineRule="exact"/>
              <w:ind w:left="0" w:right="0"/>
              <w:jc w:val="both"/>
              <w:rPr>
                <w:rFonts w:hint="eastAsia" w:ascii="宋体" w:hAnsi="宋体"/>
                <w:b w:val="0"/>
                <w:bCs w:val="0"/>
                <w:color w:val="auto"/>
                <w:szCs w:val="21"/>
                <w:highlight w:val="none"/>
              </w:rPr>
            </w:pPr>
            <w:r>
              <w:rPr>
                <w:rFonts w:hint="eastAsia" w:ascii="宋体" w:hAnsi="宋体"/>
                <w:b w:val="0"/>
                <w:bCs w:val="0"/>
                <w:color w:val="auto"/>
                <w:szCs w:val="21"/>
                <w:highlight w:val="none"/>
              </w:rPr>
              <w:t>2.其它报价得分=评审基准价/投标报价*满分，小数点后保留两位小数，第三位四舍五入；</w:t>
            </w:r>
          </w:p>
          <w:p w14:paraId="09B2FF7F">
            <w:pPr>
              <w:keepNext w:val="0"/>
              <w:keepLines w:val="0"/>
              <w:suppressLineNumbers w:val="0"/>
              <w:spacing w:before="0" w:beforeAutospacing="0" w:after="0" w:afterAutospacing="0" w:line="440" w:lineRule="exact"/>
              <w:ind w:left="0" w:right="0"/>
              <w:jc w:val="both"/>
              <w:rPr>
                <w:rFonts w:hint="eastAsia" w:ascii="宋体" w:hAnsi="Times New Roman" w:eastAsia="宋体" w:cs="Times New Roman"/>
                <w:b w:val="0"/>
                <w:bCs w:val="0"/>
                <w:color w:val="auto"/>
                <w:szCs w:val="21"/>
                <w:highlight w:val="none"/>
                <w:lang w:val="en-US" w:eastAsia="zh-CN"/>
              </w:rPr>
            </w:pPr>
            <w:r>
              <w:rPr>
                <w:rFonts w:hint="eastAsia" w:ascii="宋体" w:hAnsi="宋体"/>
                <w:b w:val="0"/>
                <w:bCs w:val="0"/>
                <w:color w:val="auto"/>
                <w:szCs w:val="21"/>
                <w:highlight w:val="none"/>
              </w:rPr>
              <w:t>3.本项分值由评审委员会负责组织计算。</w:t>
            </w:r>
          </w:p>
        </w:tc>
      </w:tr>
    </w:tbl>
    <w:p w14:paraId="0329FB48">
      <w:pPr>
        <w:spacing w:line="440" w:lineRule="exact"/>
        <w:rPr>
          <w:rFonts w:hint="eastAsia" w:ascii="宋体" w:hAnsi="Times New Roman" w:eastAsia="宋体" w:cs="Times New Roman"/>
          <w:b w:val="0"/>
          <w:bCs w:val="0"/>
          <w:color w:val="auto"/>
          <w:szCs w:val="21"/>
          <w:highlight w:val="none"/>
          <w:lang w:val="en-US" w:eastAsia="zh-CN"/>
        </w:rPr>
      </w:pPr>
      <w:r>
        <w:rPr>
          <w:rFonts w:hint="eastAsia" w:ascii="宋体" w:hAnsi="Times New Roman" w:eastAsia="宋体" w:cs="Times New Roman"/>
          <w:b w:val="0"/>
          <w:bCs w:val="0"/>
          <w:color w:val="auto"/>
          <w:szCs w:val="21"/>
          <w:highlight w:val="none"/>
          <w:lang w:val="en-US" w:eastAsia="zh-CN"/>
        </w:rPr>
        <w:t>特别说明：</w:t>
      </w:r>
    </w:p>
    <w:p w14:paraId="69AFF0D4">
      <w:pPr>
        <w:spacing w:line="400" w:lineRule="exact"/>
        <w:ind w:firstLine="420" w:firstLineChars="200"/>
        <w:rPr>
          <w:rFonts w:hint="eastAsia"/>
          <w:color w:val="auto"/>
          <w:highlight w:val="none"/>
        </w:rPr>
      </w:pPr>
      <w:r>
        <w:rPr>
          <w:rFonts w:hint="eastAsia" w:ascii="宋体" w:hAnsi="Times New Roman" w:eastAsia="宋体" w:cs="Times New Roman"/>
          <w:b w:val="0"/>
          <w:bCs w:val="0"/>
          <w:color w:val="auto"/>
          <w:szCs w:val="21"/>
          <w:highlight w:val="none"/>
          <w:lang w:val="en-US" w:eastAsia="zh-CN"/>
        </w:rPr>
        <w:t>以上分值均保留二位小数，小数点后第三位四舍五入。</w:t>
      </w:r>
    </w:p>
    <w:p w14:paraId="5A0B60CA">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四、推荐中标候选人</w:t>
      </w:r>
    </w:p>
    <w:p w14:paraId="7ACCE25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7.评标委员会按资信标、技术标和商务标得分之和，从高到低按顺序推荐3名中标候选人。</w:t>
      </w:r>
    </w:p>
    <w:p w14:paraId="049454B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7.1如总得分相等，以投标报价低的优先，投标报价仍相等由招标人随机抽取确定排名。</w:t>
      </w:r>
    </w:p>
    <w:p w14:paraId="5972937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p>
    <w:p w14:paraId="4E7CC32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14:paraId="4BE8559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未在投标截止时间前递交投标文件的，投标将被拒绝。</w:t>
      </w:r>
    </w:p>
    <w:p w14:paraId="3E1FD35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14:paraId="284DB5D3">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26A89C8F">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14:paraId="7AB7F34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14:paraId="4D7439E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w:t>
      </w:r>
    </w:p>
    <w:p w14:paraId="554A476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14:paraId="33FB65E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14:paraId="69CDE36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14:paraId="1A60E9E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14:paraId="085C0EB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14:paraId="71ED626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14:paraId="7779F7D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229EA7ED">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14:paraId="20D0BD89">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14:paraId="5E89B86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14:paraId="1C46649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14:paraId="21901E5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14:paraId="2FD03B5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14:paraId="5C12420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5" w:name="_Toc95223440"/>
      <w:r>
        <w:rPr>
          <w:rFonts w:hint="eastAsia" w:ascii="宋体"/>
          <w:color w:val="auto"/>
          <w:szCs w:val="21"/>
          <w:highlight w:val="none"/>
          <w:lang w:val="en-US" w:eastAsia="zh-CN"/>
        </w:rPr>
        <w:t>10.评分标准</w:t>
      </w:r>
      <w:bookmarkEnd w:id="55"/>
    </w:p>
    <w:p w14:paraId="5947D62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10.1评分标准：见资信、商务评分表。</w:t>
      </w:r>
    </w:p>
    <w:p w14:paraId="757B8CC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14:paraId="57BEE5A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14:paraId="115465A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14:paraId="32608535">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14:paraId="5AE081C6">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14:paraId="418B2D7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14:paraId="255A1B5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14:paraId="271695D4">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14:paraId="35E25AF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14:paraId="72BA362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14:paraId="1EC93D0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14:paraId="1EC468D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14:paraId="4CEC19EB">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14:paraId="0C332DB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08E48DC">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14:paraId="012B585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b/>
          <w:color w:val="auto"/>
          <w:sz w:val="32"/>
          <w:szCs w:val="32"/>
          <w:highlight w:val="none"/>
        </w:rPr>
      </w:pPr>
      <w:r>
        <w:rPr>
          <w:rFonts w:hint="eastAsia" w:ascii="宋体"/>
          <w:color w:val="auto"/>
          <w:szCs w:val="21"/>
          <w:highlight w:val="none"/>
          <w:lang w:val="en-US" w:eastAsia="zh-CN"/>
        </w:rPr>
        <w:t>投标人提供的与投标文件有关的各类证书、证明、文件、资料等的真实性、合法性由投标人负全责。</w:t>
      </w:r>
      <w:bookmarkStart w:id="56" w:name="_Toc9683"/>
      <w:bookmarkStart w:id="57" w:name="_Toc17330"/>
    </w:p>
    <w:p w14:paraId="2D1F079D">
      <w:pPr>
        <w:pStyle w:val="12"/>
        <w:rPr>
          <w:rFonts w:hint="eastAsia"/>
          <w:color w:val="auto"/>
          <w:highlight w:val="none"/>
        </w:rPr>
      </w:pPr>
    </w:p>
    <w:p w14:paraId="6E2AF6A8">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第四章  采购需求</w:t>
      </w:r>
      <w:bookmarkEnd w:id="56"/>
    </w:p>
    <w:p w14:paraId="6933A6B0">
      <w:pPr>
        <w:spacing w:line="360" w:lineRule="auto"/>
        <w:ind w:firstLine="422" w:firstLineChars="200"/>
        <w:rPr>
          <w:rFonts w:hint="eastAsia"/>
          <w:b/>
          <w:bCs/>
          <w:color w:val="auto"/>
          <w:highlight w:val="none"/>
          <w:lang w:val="en-US" w:eastAsia="zh-CN"/>
        </w:rPr>
      </w:pPr>
      <w:r>
        <w:rPr>
          <w:rFonts w:hint="eastAsia"/>
          <w:b/>
          <w:bCs/>
          <w:color w:val="auto"/>
          <w:highlight w:val="none"/>
          <w:lang w:val="en-US" w:eastAsia="zh-CN"/>
        </w:rPr>
        <w:t>一、采购清单及技术要求</w:t>
      </w:r>
    </w:p>
    <w:tbl>
      <w:tblPr>
        <w:tblStyle w:val="2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884"/>
        <w:gridCol w:w="2700"/>
        <w:gridCol w:w="1183"/>
        <w:gridCol w:w="741"/>
        <w:gridCol w:w="1312"/>
        <w:gridCol w:w="1876"/>
      </w:tblGrid>
      <w:tr w14:paraId="4A51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tcBorders>
              <w:top w:val="single" w:color="auto" w:sz="4" w:space="0"/>
              <w:left w:val="single" w:color="auto" w:sz="4" w:space="0"/>
              <w:bottom w:val="single" w:color="auto" w:sz="4" w:space="0"/>
              <w:right w:val="single" w:color="auto" w:sz="4" w:space="0"/>
            </w:tcBorders>
            <w:noWrap/>
            <w:vAlign w:val="center"/>
          </w:tcPr>
          <w:p w14:paraId="471CEE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序号</w:t>
            </w:r>
          </w:p>
        </w:tc>
        <w:tc>
          <w:tcPr>
            <w:tcW w:w="884" w:type="dxa"/>
            <w:tcBorders>
              <w:top w:val="single" w:color="auto" w:sz="4" w:space="0"/>
              <w:left w:val="single" w:color="auto" w:sz="4" w:space="0"/>
              <w:bottom w:val="single" w:color="auto" w:sz="4" w:space="0"/>
              <w:right w:val="single" w:color="auto" w:sz="4" w:space="0"/>
            </w:tcBorders>
            <w:noWrap/>
            <w:vAlign w:val="center"/>
          </w:tcPr>
          <w:p w14:paraId="5C33790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物资名称</w:t>
            </w:r>
          </w:p>
        </w:tc>
        <w:tc>
          <w:tcPr>
            <w:tcW w:w="2700" w:type="dxa"/>
            <w:tcBorders>
              <w:top w:val="single" w:color="auto" w:sz="4" w:space="0"/>
              <w:left w:val="single" w:color="auto" w:sz="4" w:space="0"/>
              <w:bottom w:val="single" w:color="auto" w:sz="4" w:space="0"/>
              <w:right w:val="single" w:color="auto" w:sz="4" w:space="0"/>
            </w:tcBorders>
            <w:noWrap/>
            <w:vAlign w:val="center"/>
          </w:tcPr>
          <w:p w14:paraId="6D76E6F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参数</w:t>
            </w:r>
          </w:p>
        </w:tc>
        <w:tc>
          <w:tcPr>
            <w:tcW w:w="1183" w:type="dxa"/>
            <w:tcBorders>
              <w:top w:val="single" w:color="auto" w:sz="4" w:space="0"/>
              <w:left w:val="single" w:color="auto" w:sz="4" w:space="0"/>
              <w:bottom w:val="single" w:color="auto" w:sz="4" w:space="0"/>
              <w:right w:val="single" w:color="auto" w:sz="4" w:space="0"/>
            </w:tcBorders>
            <w:noWrap/>
            <w:vAlign w:val="center"/>
          </w:tcPr>
          <w:p w14:paraId="634878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单价最高限价（元）</w:t>
            </w:r>
          </w:p>
        </w:tc>
        <w:tc>
          <w:tcPr>
            <w:tcW w:w="741" w:type="dxa"/>
            <w:tcBorders>
              <w:top w:val="single" w:color="auto" w:sz="4" w:space="0"/>
              <w:left w:val="single" w:color="auto" w:sz="4" w:space="0"/>
              <w:bottom w:val="single" w:color="auto" w:sz="4" w:space="0"/>
              <w:right w:val="single" w:color="auto" w:sz="4" w:space="0"/>
            </w:tcBorders>
            <w:noWrap/>
            <w:vAlign w:val="center"/>
          </w:tcPr>
          <w:p w14:paraId="1F3FEE8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数量</w:t>
            </w:r>
          </w:p>
        </w:tc>
        <w:tc>
          <w:tcPr>
            <w:tcW w:w="1312" w:type="dxa"/>
            <w:tcBorders>
              <w:top w:val="single" w:color="auto" w:sz="4" w:space="0"/>
              <w:left w:val="single" w:color="auto" w:sz="4" w:space="0"/>
              <w:bottom w:val="single" w:color="auto" w:sz="4" w:space="0"/>
              <w:right w:val="single" w:color="auto" w:sz="4" w:space="0"/>
            </w:tcBorders>
            <w:noWrap/>
            <w:vAlign w:val="center"/>
          </w:tcPr>
          <w:p w14:paraId="20E5797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合价（元）</w:t>
            </w:r>
          </w:p>
        </w:tc>
        <w:tc>
          <w:tcPr>
            <w:tcW w:w="1876" w:type="dxa"/>
            <w:tcBorders>
              <w:top w:val="single" w:color="auto" w:sz="4" w:space="0"/>
              <w:left w:val="single" w:color="auto" w:sz="4" w:space="0"/>
              <w:bottom w:val="single" w:color="auto" w:sz="4" w:space="0"/>
              <w:right w:val="single" w:color="auto" w:sz="4" w:space="0"/>
            </w:tcBorders>
            <w:noWrap/>
            <w:vAlign w:val="center"/>
          </w:tcPr>
          <w:p w14:paraId="770BE9E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备注</w:t>
            </w:r>
          </w:p>
        </w:tc>
      </w:tr>
      <w:tr w14:paraId="5755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tcBorders>
              <w:top w:val="single" w:color="auto" w:sz="4" w:space="0"/>
              <w:left w:val="single" w:color="auto" w:sz="4" w:space="0"/>
              <w:bottom w:val="single" w:color="auto" w:sz="4" w:space="0"/>
              <w:right w:val="single" w:color="auto" w:sz="4" w:space="0"/>
            </w:tcBorders>
            <w:noWrap/>
            <w:vAlign w:val="center"/>
          </w:tcPr>
          <w:p w14:paraId="70C3AA5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firstLine="235"/>
              <w:jc w:val="both"/>
              <w:textAlignment w:val="baseline"/>
              <w:rPr>
                <w:rFonts w:hint="eastAsia" w:ascii="宋体" w:hAnsi="宋体" w:eastAsia="宋体" w:cs="宋体"/>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1</w:t>
            </w:r>
          </w:p>
        </w:tc>
        <w:tc>
          <w:tcPr>
            <w:tcW w:w="884" w:type="dxa"/>
            <w:tcBorders>
              <w:top w:val="single" w:color="auto" w:sz="4" w:space="0"/>
              <w:left w:val="single" w:color="auto" w:sz="4" w:space="0"/>
              <w:bottom w:val="single" w:color="auto" w:sz="4" w:space="0"/>
              <w:right w:val="single" w:color="auto" w:sz="4" w:space="0"/>
            </w:tcBorders>
            <w:noWrap/>
            <w:vAlign w:val="center"/>
          </w:tcPr>
          <w:p w14:paraId="75A4F53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毛毯</w:t>
            </w:r>
          </w:p>
        </w:tc>
        <w:tc>
          <w:tcPr>
            <w:tcW w:w="2700" w:type="dxa"/>
            <w:tcBorders>
              <w:top w:val="single" w:color="auto" w:sz="4" w:space="0"/>
              <w:left w:val="single" w:color="auto" w:sz="4" w:space="0"/>
              <w:bottom w:val="single" w:color="auto" w:sz="4" w:space="0"/>
              <w:right w:val="single" w:color="auto" w:sz="4" w:space="0"/>
            </w:tcBorders>
            <w:noWrap/>
            <w:vAlign w:val="center"/>
          </w:tcPr>
          <w:p w14:paraId="42ABE65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参照安徽省地方标准DB34/T4869-2024《生活类救灾物资采购及仓储管控技术要求》</w:t>
            </w:r>
          </w:p>
        </w:tc>
        <w:tc>
          <w:tcPr>
            <w:tcW w:w="1183" w:type="dxa"/>
            <w:tcBorders>
              <w:top w:val="single" w:color="auto" w:sz="4" w:space="0"/>
              <w:left w:val="single" w:color="auto" w:sz="4" w:space="0"/>
              <w:bottom w:val="single" w:color="auto" w:sz="4" w:space="0"/>
              <w:right w:val="single" w:color="auto" w:sz="4" w:space="0"/>
            </w:tcBorders>
            <w:noWrap/>
            <w:vAlign w:val="center"/>
          </w:tcPr>
          <w:p w14:paraId="05940B4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80.00</w:t>
            </w:r>
          </w:p>
        </w:tc>
        <w:tc>
          <w:tcPr>
            <w:tcW w:w="741" w:type="dxa"/>
            <w:tcBorders>
              <w:top w:val="single" w:color="auto" w:sz="4" w:space="0"/>
              <w:left w:val="single" w:color="auto" w:sz="4" w:space="0"/>
              <w:bottom w:val="single" w:color="auto" w:sz="4" w:space="0"/>
              <w:right w:val="single" w:color="auto" w:sz="4" w:space="0"/>
            </w:tcBorders>
            <w:noWrap/>
            <w:vAlign w:val="center"/>
          </w:tcPr>
          <w:p w14:paraId="54D8ED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1400</w:t>
            </w:r>
          </w:p>
        </w:tc>
        <w:tc>
          <w:tcPr>
            <w:tcW w:w="1312" w:type="dxa"/>
            <w:tcBorders>
              <w:top w:val="single" w:color="auto" w:sz="4" w:space="0"/>
              <w:left w:val="single" w:color="auto" w:sz="4" w:space="0"/>
              <w:bottom w:val="single" w:color="auto" w:sz="4" w:space="0"/>
              <w:right w:val="single" w:color="auto" w:sz="4" w:space="0"/>
            </w:tcBorders>
            <w:noWrap/>
            <w:vAlign w:val="center"/>
          </w:tcPr>
          <w:p w14:paraId="3CF5DF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112000</w:t>
            </w:r>
          </w:p>
        </w:tc>
        <w:tc>
          <w:tcPr>
            <w:tcW w:w="1876" w:type="dxa"/>
            <w:vMerge w:val="restart"/>
            <w:tcBorders>
              <w:top w:val="single" w:color="auto" w:sz="4" w:space="0"/>
              <w:left w:val="single" w:color="auto" w:sz="4" w:space="0"/>
              <w:right w:val="single" w:color="auto" w:sz="4" w:space="0"/>
            </w:tcBorders>
            <w:noWrap/>
            <w:vAlign w:val="center"/>
          </w:tcPr>
          <w:p w14:paraId="144F253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rPr>
              <w:t>招标阶段数量暂定为各1400条，实际</w:t>
            </w:r>
            <w:r>
              <w:rPr>
                <w:rFonts w:hint="eastAsia" w:ascii="宋体" w:hAnsi="宋体" w:eastAsia="宋体" w:cs="宋体"/>
                <w:b/>
                <w:bCs/>
                <w:color w:val="auto"/>
                <w:kern w:val="0"/>
                <w:sz w:val="21"/>
                <w:szCs w:val="21"/>
                <w:highlight w:val="none"/>
              </w:rPr>
              <w:t>数量以本项目预算</w:t>
            </w:r>
            <w:r>
              <w:rPr>
                <w:rFonts w:hint="eastAsia" w:ascii="宋体" w:hAnsi="宋体" w:eastAsia="宋体" w:cs="宋体"/>
                <w:b/>
                <w:bCs/>
                <w:color w:val="auto"/>
                <w:kern w:val="0"/>
                <w:sz w:val="21"/>
                <w:szCs w:val="21"/>
                <w:highlight w:val="none"/>
                <w:lang w:val="en-US" w:eastAsia="zh-CN"/>
              </w:rPr>
              <w:t>21.7</w:t>
            </w:r>
            <w:r>
              <w:rPr>
                <w:rFonts w:hint="eastAsia" w:ascii="宋体" w:hAnsi="宋体" w:eastAsia="宋体" w:cs="宋体"/>
                <w:b/>
                <w:bCs/>
                <w:color w:val="auto"/>
                <w:kern w:val="0"/>
                <w:sz w:val="21"/>
                <w:szCs w:val="21"/>
                <w:highlight w:val="none"/>
              </w:rPr>
              <w:t>万元</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毛毯</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毛巾被</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用完对应的实际供货数量为准</w:t>
            </w:r>
            <w:r>
              <w:rPr>
                <w:rFonts w:hint="eastAsia" w:ascii="宋体" w:hAnsi="宋体" w:eastAsia="宋体" w:cs="宋体"/>
                <w:b/>
                <w:bCs/>
                <w:color w:val="auto"/>
                <w:kern w:val="0"/>
                <w:sz w:val="21"/>
                <w:szCs w:val="21"/>
                <w:highlight w:val="none"/>
                <w:lang w:eastAsia="zh-CN"/>
              </w:rPr>
              <w:t>。</w:t>
            </w:r>
          </w:p>
          <w:p w14:paraId="7239D02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b/>
                <w:bCs/>
                <w:color w:val="auto"/>
                <w:kern w:val="0"/>
                <w:sz w:val="21"/>
                <w:szCs w:val="21"/>
                <w:highlight w:val="none"/>
              </w:rPr>
            </w:pPr>
          </w:p>
        </w:tc>
      </w:tr>
      <w:tr w14:paraId="5845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tcBorders>
              <w:top w:val="single" w:color="auto" w:sz="4" w:space="0"/>
              <w:left w:val="single" w:color="auto" w:sz="4" w:space="0"/>
              <w:bottom w:val="single" w:color="auto" w:sz="4" w:space="0"/>
              <w:right w:val="single" w:color="auto" w:sz="4" w:space="0"/>
            </w:tcBorders>
            <w:noWrap/>
            <w:vAlign w:val="center"/>
          </w:tcPr>
          <w:p w14:paraId="2819A18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firstLine="235"/>
              <w:jc w:val="both"/>
              <w:textAlignment w:val="baseline"/>
              <w:rPr>
                <w:rFonts w:hint="default"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2</w:t>
            </w:r>
          </w:p>
        </w:tc>
        <w:tc>
          <w:tcPr>
            <w:tcW w:w="884" w:type="dxa"/>
            <w:tcBorders>
              <w:top w:val="single" w:color="auto" w:sz="4" w:space="0"/>
              <w:left w:val="single" w:color="auto" w:sz="4" w:space="0"/>
              <w:bottom w:val="single" w:color="auto" w:sz="4" w:space="0"/>
              <w:right w:val="single" w:color="auto" w:sz="4" w:space="0"/>
            </w:tcBorders>
            <w:noWrap/>
            <w:vAlign w:val="center"/>
          </w:tcPr>
          <w:p w14:paraId="1560DB3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毛巾被</w:t>
            </w:r>
          </w:p>
        </w:tc>
        <w:tc>
          <w:tcPr>
            <w:tcW w:w="2700" w:type="dxa"/>
            <w:tcBorders>
              <w:top w:val="single" w:color="auto" w:sz="4" w:space="0"/>
              <w:left w:val="single" w:color="auto" w:sz="4" w:space="0"/>
              <w:bottom w:val="single" w:color="auto" w:sz="4" w:space="0"/>
              <w:right w:val="single" w:color="auto" w:sz="4" w:space="0"/>
            </w:tcBorders>
            <w:noWrap/>
            <w:vAlign w:val="center"/>
          </w:tcPr>
          <w:p w14:paraId="16A4306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参照安徽省地方标准DB34/T4869-2024《生活类救灾物资采购及仓储管控技术要求》</w:t>
            </w:r>
          </w:p>
        </w:tc>
        <w:tc>
          <w:tcPr>
            <w:tcW w:w="1183" w:type="dxa"/>
            <w:tcBorders>
              <w:top w:val="single" w:color="auto" w:sz="4" w:space="0"/>
              <w:left w:val="single" w:color="auto" w:sz="4" w:space="0"/>
              <w:bottom w:val="single" w:color="auto" w:sz="4" w:space="0"/>
              <w:right w:val="single" w:color="auto" w:sz="4" w:space="0"/>
            </w:tcBorders>
            <w:noWrap/>
            <w:vAlign w:val="center"/>
          </w:tcPr>
          <w:p w14:paraId="240251F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75.00</w:t>
            </w:r>
          </w:p>
        </w:tc>
        <w:tc>
          <w:tcPr>
            <w:tcW w:w="741" w:type="dxa"/>
            <w:tcBorders>
              <w:top w:val="single" w:color="auto" w:sz="4" w:space="0"/>
              <w:left w:val="single" w:color="auto" w:sz="4" w:space="0"/>
              <w:bottom w:val="single" w:color="auto" w:sz="4" w:space="0"/>
              <w:right w:val="single" w:color="auto" w:sz="4" w:space="0"/>
            </w:tcBorders>
            <w:noWrap/>
            <w:vAlign w:val="center"/>
          </w:tcPr>
          <w:p w14:paraId="678206D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1400</w:t>
            </w:r>
          </w:p>
        </w:tc>
        <w:tc>
          <w:tcPr>
            <w:tcW w:w="1312" w:type="dxa"/>
            <w:tcBorders>
              <w:top w:val="single" w:color="auto" w:sz="4" w:space="0"/>
              <w:left w:val="single" w:color="auto" w:sz="4" w:space="0"/>
              <w:bottom w:val="single" w:color="auto" w:sz="4" w:space="0"/>
              <w:right w:val="single" w:color="auto" w:sz="4" w:space="0"/>
            </w:tcBorders>
            <w:noWrap/>
            <w:vAlign w:val="center"/>
          </w:tcPr>
          <w:p w14:paraId="58C96E0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105000</w:t>
            </w:r>
          </w:p>
        </w:tc>
        <w:tc>
          <w:tcPr>
            <w:tcW w:w="1876" w:type="dxa"/>
            <w:vMerge w:val="continue"/>
            <w:tcBorders>
              <w:left w:val="single" w:color="auto" w:sz="4" w:space="0"/>
              <w:right w:val="single" w:color="auto" w:sz="4" w:space="0"/>
            </w:tcBorders>
            <w:noWrap/>
            <w:vAlign w:val="center"/>
          </w:tcPr>
          <w:p w14:paraId="7FE779E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b/>
                <w:bCs/>
                <w:color w:val="auto"/>
                <w:kern w:val="0"/>
                <w:sz w:val="21"/>
                <w:szCs w:val="21"/>
                <w:highlight w:val="none"/>
              </w:rPr>
            </w:pPr>
          </w:p>
        </w:tc>
      </w:tr>
      <w:tr w14:paraId="2821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dxa"/>
            <w:gridSpan w:val="2"/>
            <w:tcBorders>
              <w:top w:val="single" w:color="auto" w:sz="4" w:space="0"/>
              <w:left w:val="single" w:color="auto" w:sz="4" w:space="0"/>
              <w:bottom w:val="single" w:color="auto" w:sz="4" w:space="0"/>
              <w:right w:val="single" w:color="auto" w:sz="4" w:space="0"/>
            </w:tcBorders>
            <w:noWrap/>
            <w:vAlign w:val="center"/>
          </w:tcPr>
          <w:p w14:paraId="1A1818A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合计（元）</w:t>
            </w:r>
          </w:p>
        </w:tc>
        <w:tc>
          <w:tcPr>
            <w:tcW w:w="7812" w:type="dxa"/>
            <w:gridSpan w:val="5"/>
            <w:tcBorders>
              <w:top w:val="single" w:color="auto" w:sz="4" w:space="0"/>
              <w:left w:val="single" w:color="auto" w:sz="4" w:space="0"/>
              <w:bottom w:val="single" w:color="auto" w:sz="4" w:space="0"/>
              <w:right w:val="single" w:color="auto" w:sz="4" w:space="0"/>
            </w:tcBorders>
            <w:noWrap/>
            <w:vAlign w:val="center"/>
          </w:tcPr>
          <w:p w14:paraId="183FFB1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217000.00</w:t>
            </w:r>
          </w:p>
        </w:tc>
      </w:tr>
    </w:tbl>
    <w:p w14:paraId="0645597F">
      <w:pPr>
        <w:pStyle w:val="12"/>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注：1.产品外包装须采用《应急救灾物资标识推广使用指南》文件中所规定的应急救灾物资标识，质保2年，质保期间免费维护，所有质保费用均包含在投标报价中。</w:t>
      </w:r>
    </w:p>
    <w:p w14:paraId="017494F2">
      <w:pPr>
        <w:pStyle w:val="12"/>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2.中标人须设有维修服务电话，负责解答用户在货物使用中遇到的问题，及时提出解决问题的建议和操作方法。</w:t>
      </w:r>
    </w:p>
    <w:p w14:paraId="312CFADF">
      <w:pPr>
        <w:pStyle w:val="1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3.售后服务响应时间：如货物出现故障，电话响应无法解决，中标人必须在接报修电话12小时到现场并解决问题。</w:t>
      </w:r>
    </w:p>
    <w:p w14:paraId="4F2DAA8B">
      <w:pPr>
        <w:spacing w:line="360" w:lineRule="auto"/>
        <w:ind w:firstLine="482" w:firstLineChars="200"/>
        <w:rPr>
          <w:rFonts w:hint="default" w:ascii="宋体" w:hAnsi="宋体" w:eastAsia="宋体" w:cs="宋体"/>
          <w:b/>
          <w:bCs/>
          <w:color w:val="auto"/>
          <w:kern w:val="0"/>
          <w:sz w:val="24"/>
          <w:szCs w:val="24"/>
          <w:highlight w:val="none"/>
          <w:u w:val="none" w:color="000000"/>
          <w:lang w:val="en-US" w:eastAsia="zh-CN" w:bidi="ar-SA"/>
        </w:rPr>
      </w:pPr>
      <w:r>
        <w:rPr>
          <w:rFonts w:hint="eastAsia" w:ascii="宋体" w:hAnsi="宋体" w:eastAsia="宋体" w:cs="宋体"/>
          <w:b/>
          <w:bCs/>
          <w:color w:val="auto"/>
          <w:kern w:val="0"/>
          <w:sz w:val="24"/>
          <w:szCs w:val="24"/>
          <w:highlight w:val="none"/>
          <w:u w:val="none" w:color="000000"/>
          <w:lang w:val="en-US" w:eastAsia="zh-CN" w:bidi="ar-SA"/>
        </w:rPr>
        <w:t>4.本项目采购物资实行第三方质量检测，毛毯检测费用约2680元，毛巾被检测费用约2950元。货物检测合格，则检测费用由甲方（采购方）支付；若检测不合格，检测费则由乙方（供货商）全额支付，乙方负责免费更换不合格物资，并承担因质量不合格造成的一切相关损失及相应违约责任。</w:t>
      </w:r>
    </w:p>
    <w:p w14:paraId="63121946">
      <w:pPr>
        <w:spacing w:line="360" w:lineRule="auto"/>
        <w:ind w:firstLine="422" w:firstLineChars="200"/>
        <w:rPr>
          <w:rFonts w:hint="eastAsia"/>
          <w:b/>
          <w:bCs/>
          <w:color w:val="auto"/>
          <w:highlight w:val="none"/>
          <w:lang w:val="en-US" w:eastAsia="zh-CN"/>
        </w:rPr>
      </w:pPr>
      <w:r>
        <w:rPr>
          <w:rFonts w:hint="eastAsia"/>
          <w:b/>
          <w:bCs/>
          <w:color w:val="auto"/>
          <w:highlight w:val="none"/>
          <w:lang w:val="en-US" w:eastAsia="zh-CN"/>
        </w:rPr>
        <w:t>二、报价要求</w:t>
      </w:r>
    </w:p>
    <w:p w14:paraId="0AF448B6">
      <w:pPr>
        <w:spacing w:line="360" w:lineRule="auto"/>
        <w:ind w:firstLine="420" w:firstLineChars="200"/>
        <w:rPr>
          <w:rFonts w:hint="eastAsia"/>
          <w:b w:val="0"/>
          <w:bCs w:val="0"/>
          <w:color w:val="auto"/>
          <w:highlight w:val="none"/>
          <w:lang w:val="en-US" w:eastAsia="zh-CN"/>
        </w:rPr>
      </w:pPr>
      <w:bookmarkStart w:id="58" w:name="_Toc8283"/>
      <w:bookmarkStart w:id="59" w:name="_Toc18794"/>
      <w:r>
        <w:rPr>
          <w:rFonts w:hint="eastAsia"/>
          <w:b w:val="0"/>
          <w:bCs w:val="0"/>
          <w:color w:val="auto"/>
          <w:highlight w:val="none"/>
          <w:lang w:val="en-US" w:eastAsia="zh-CN"/>
        </w:rPr>
        <w:t>1.投标人所报价格包含提供以上服务所需全部费用，投标人报价包含服务（货物）、利润、税金、政策性文件规定及合同包含的所有风险、责任、义务等，即为完成招标文件要求的服务（货物）内容所包含的一切应有费用。项目服务过程中所出现的任何遗漏，必须由中标人免费提供，采购人将不再支付任何费用，投标人须自行考虑投标风险。</w:t>
      </w:r>
      <w:bookmarkEnd w:id="58"/>
      <w:bookmarkEnd w:id="59"/>
    </w:p>
    <w:p w14:paraId="35A4B152">
      <w:pPr>
        <w:spacing w:line="56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2.本次报价只允许有一个方案，一个报价，多方案、多报价的将不被接受，最终供货数量以本项目预算21.7万元用完对应的实际供货数量为准。</w:t>
      </w:r>
    </w:p>
    <w:p w14:paraId="7A8EEBF9">
      <w:pPr>
        <w:spacing w:line="560" w:lineRule="exact"/>
        <w:ind w:firstLine="420" w:firstLineChars="200"/>
        <w:jc w:val="left"/>
        <w:rPr>
          <w:rFonts w:hint="eastAsia"/>
          <w:b w:val="0"/>
          <w:bCs w:val="0"/>
          <w:color w:val="auto"/>
          <w:highlight w:val="none"/>
          <w:lang w:val="en-US" w:eastAsia="zh-CN"/>
        </w:rPr>
      </w:pPr>
      <w:r>
        <w:rPr>
          <w:rFonts w:hint="eastAsia" w:ascii="宋体" w:hAnsi="宋体" w:eastAsia="宋体" w:cs="宋体"/>
          <w:color w:val="auto"/>
          <w:sz w:val="21"/>
          <w:szCs w:val="21"/>
          <w:highlight w:val="none"/>
          <w:lang w:val="en-US" w:eastAsia="zh-CN"/>
        </w:rPr>
        <w:t>3.投标报价表上的报价为项目的基准单价，是履行合同的基准价格，投标报价今后将不作任何调整。</w:t>
      </w:r>
    </w:p>
    <w:p w14:paraId="1A351FED">
      <w:pPr>
        <w:spacing w:line="560" w:lineRule="exact"/>
        <w:ind w:firstLine="422" w:firstLineChars="20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三、服务要求</w:t>
      </w:r>
    </w:p>
    <w:p w14:paraId="7A08821F">
      <w:pPr>
        <w:spacing w:line="5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1.中标供应商需提供及时有效的服务，在招标人指定时间内完成供货服务并送至指定地点。 </w:t>
      </w:r>
    </w:p>
    <w:p w14:paraId="497EA2E4">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2.质量要求：物料制作符合国家相关行业标准、招标文件要求及招标人实际使用需求，安装牢固、美观，质保期内出现质量问题由中标人无偿维修更换。</w:t>
      </w:r>
    </w:p>
    <w:p w14:paraId="080346C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3.合同履约期间，中标人需自行解决物流、运输等相关问题。必须保障送货及时，满足招标人的时间要求，若因中标人因素造成延误，损失由中标人承担。</w:t>
      </w:r>
    </w:p>
    <w:p w14:paraId="508F1EF6">
      <w:pPr>
        <w:keepNext w:val="0"/>
        <w:keepLines w:val="0"/>
        <w:pageBreakBefore w:val="0"/>
        <w:widowControl w:val="0"/>
        <w:kinsoku/>
        <w:wordWrap/>
        <w:overflowPunct/>
        <w:topLinePunct w:val="0"/>
        <w:autoSpaceDE/>
        <w:autoSpaceDN/>
        <w:bidi w:val="0"/>
        <w:adjustRightInd/>
        <w:snapToGrid/>
        <w:spacing w:line="560" w:lineRule="exact"/>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四、其它要求</w:t>
      </w:r>
    </w:p>
    <w:p w14:paraId="0C5E1A8A">
      <w:pPr>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安徽省地方标准DB34/T4869-2024《生活类救灾物资采购及仓储管控技术要求》</w:t>
      </w:r>
    </w:p>
    <w:p w14:paraId="4690E9C0">
      <w:pPr>
        <w:keepNext w:val="0"/>
        <w:keepLines w:val="0"/>
        <w:pageBreakBefore w:val="0"/>
        <w:widowControl w:val="0"/>
        <w:kinsoku/>
        <w:wordWrap/>
        <w:overflowPunct/>
        <w:topLinePunct w:val="0"/>
        <w:autoSpaceDE/>
        <w:autoSpaceDN/>
        <w:bidi w:val="0"/>
        <w:adjustRightInd/>
        <w:snapToGrid/>
        <w:spacing w:line="560" w:lineRule="exact"/>
        <w:ind w:firstLine="422" w:firstLineChars="200"/>
        <w:jc w:val="both"/>
        <w:textAlignment w:val="auto"/>
        <w:rPr>
          <w:rFonts w:hint="default" w:ascii="宋体" w:hAnsi="宋体" w:eastAsia="宋体" w:cs="宋体"/>
          <w:b/>
          <w:bCs/>
          <w:color w:val="auto"/>
          <w:sz w:val="21"/>
          <w:szCs w:val="21"/>
          <w:highlight w:val="none"/>
          <w:lang w:val="en-US" w:eastAsia="zh-CN"/>
        </w:rPr>
      </w:pPr>
    </w:p>
    <w:p w14:paraId="104F7AD5">
      <w:pPr>
        <w:spacing w:line="360" w:lineRule="auto"/>
        <w:ind w:firstLine="420" w:firstLineChars="200"/>
        <w:rPr>
          <w:rFonts w:hint="eastAsia"/>
          <w:b w:val="0"/>
          <w:bCs w:val="0"/>
          <w:color w:val="auto"/>
          <w:highlight w:val="none"/>
          <w:lang w:val="en-US" w:eastAsia="zh-CN"/>
        </w:rPr>
      </w:pPr>
    </w:p>
    <w:p w14:paraId="7AA69650">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0E044E3">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7AE07CE9">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69551B3D">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7014C73F">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2DEEDE05">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06AF8A16">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38BC0799">
      <w:pPr>
        <w:jc w:val="center"/>
        <w:outlineLvl w:val="0"/>
        <w:rPr>
          <w:rFonts w:hint="eastAsia" w:ascii="宋体" w:hAnsi="Times New Roman" w:eastAsia="宋体" w:cs="Times New Roman"/>
          <w:b/>
          <w:bCs w:val="0"/>
          <w:color w:val="auto"/>
          <w:kern w:val="2"/>
          <w:sz w:val="32"/>
          <w:szCs w:val="32"/>
          <w:highlight w:val="none"/>
          <w:lang w:val="en-US" w:eastAsia="zh-CN" w:bidi="ar-SA"/>
        </w:rPr>
      </w:pPr>
    </w:p>
    <w:p w14:paraId="23D817D7">
      <w:pPr>
        <w:jc w:val="center"/>
        <w:outlineLvl w:val="0"/>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57"/>
    </w:p>
    <w:p w14:paraId="4FCACB05">
      <w:pPr>
        <w:pStyle w:val="12"/>
        <w:spacing w:before="98" w:line="220" w:lineRule="auto"/>
        <w:ind w:left="2103"/>
        <w:outlineLvl w:val="0"/>
        <w:rPr>
          <w:b/>
          <w:bCs/>
          <w:color w:val="auto"/>
          <w:spacing w:val="-8"/>
          <w:sz w:val="48"/>
          <w:szCs w:val="48"/>
          <w:highlight w:val="none"/>
          <w:u w:val="none" w:color="auto"/>
        </w:rPr>
      </w:pPr>
      <w:bookmarkStart w:id="60" w:name="_Toc24238"/>
    </w:p>
    <w:p w14:paraId="127D7B40">
      <w:pPr>
        <w:spacing w:line="360" w:lineRule="auto"/>
        <w:ind w:left="420" w:leftChars="200"/>
        <w:rPr>
          <w:rFonts w:hint="eastAsia" w:ascii="宋体" w:hAnsi="宋体" w:eastAsia="宋体" w:cs="宋体"/>
          <w:color w:val="auto"/>
          <w:kern w:val="0"/>
          <w:sz w:val="24"/>
          <w:szCs w:val="24"/>
          <w:highlight w:val="none"/>
        </w:rPr>
      </w:pPr>
    </w:p>
    <w:p w14:paraId="73C0DB2A">
      <w:pPr>
        <w:spacing w:line="360" w:lineRule="auto"/>
        <w:ind w:left="420" w:leftChars="200"/>
        <w:rPr>
          <w:rFonts w:hint="eastAsia" w:ascii="宋体" w:hAnsi="宋体" w:eastAsia="宋体" w:cs="宋体"/>
          <w:color w:val="auto"/>
          <w:kern w:val="0"/>
          <w:sz w:val="24"/>
          <w:szCs w:val="24"/>
          <w:highlight w:val="none"/>
        </w:rPr>
      </w:pPr>
    </w:p>
    <w:p w14:paraId="5FC7D060">
      <w:pPr>
        <w:spacing w:line="360" w:lineRule="auto"/>
        <w:ind w:left="420" w:leftChars="200"/>
        <w:rPr>
          <w:rFonts w:hint="eastAsia" w:ascii="宋体" w:hAnsi="宋体" w:eastAsia="宋体" w:cs="宋体"/>
          <w:color w:val="auto"/>
          <w:kern w:val="0"/>
          <w:sz w:val="24"/>
          <w:szCs w:val="24"/>
          <w:highlight w:val="none"/>
        </w:rPr>
      </w:pPr>
    </w:p>
    <w:p w14:paraId="33B4C928">
      <w:pPr>
        <w:spacing w:line="360" w:lineRule="auto"/>
        <w:ind w:left="420" w:leftChars="200"/>
        <w:rPr>
          <w:rFonts w:hint="eastAsia" w:ascii="宋体" w:hAnsi="宋体" w:eastAsia="宋体" w:cs="宋体"/>
          <w:color w:val="auto"/>
          <w:kern w:val="0"/>
          <w:sz w:val="24"/>
          <w:szCs w:val="24"/>
          <w:highlight w:val="none"/>
        </w:rPr>
      </w:pPr>
    </w:p>
    <w:p w14:paraId="74C963D9">
      <w:pPr>
        <w:spacing w:line="360" w:lineRule="auto"/>
        <w:ind w:left="420" w:leftChars="200"/>
        <w:rPr>
          <w:rFonts w:hint="eastAsia" w:ascii="宋体" w:hAnsi="宋体" w:eastAsia="宋体" w:cs="宋体"/>
          <w:color w:val="auto"/>
          <w:kern w:val="0"/>
          <w:sz w:val="24"/>
          <w:szCs w:val="24"/>
          <w:highlight w:val="none"/>
        </w:rPr>
      </w:pPr>
    </w:p>
    <w:p w14:paraId="2EFEC503">
      <w:pPr>
        <w:spacing w:line="360" w:lineRule="auto"/>
        <w:ind w:left="420" w:leftChars="200"/>
        <w:rPr>
          <w:rFonts w:hint="eastAsia" w:ascii="宋体" w:hAnsi="宋体" w:eastAsia="宋体" w:cs="宋体"/>
          <w:color w:val="auto"/>
          <w:kern w:val="0"/>
          <w:sz w:val="24"/>
          <w:szCs w:val="24"/>
          <w:highlight w:val="none"/>
        </w:rPr>
      </w:pPr>
    </w:p>
    <w:p w14:paraId="46B9D89D">
      <w:pPr>
        <w:spacing w:line="360" w:lineRule="auto"/>
        <w:ind w:left="420" w:leftChars="200"/>
        <w:rPr>
          <w:rFonts w:hint="eastAsia" w:ascii="宋体" w:hAnsi="宋体" w:eastAsia="宋体" w:cs="宋体"/>
          <w:color w:val="auto"/>
          <w:kern w:val="0"/>
          <w:sz w:val="24"/>
          <w:szCs w:val="24"/>
          <w:highlight w:val="none"/>
        </w:rPr>
      </w:pPr>
    </w:p>
    <w:p w14:paraId="67C757D6">
      <w:pPr>
        <w:spacing w:line="360" w:lineRule="auto"/>
        <w:ind w:left="420" w:leftChars="200"/>
        <w:rPr>
          <w:rFonts w:hint="eastAsia" w:ascii="宋体" w:hAnsi="宋体" w:eastAsia="宋体" w:cs="宋体"/>
          <w:color w:val="auto"/>
          <w:kern w:val="0"/>
          <w:sz w:val="24"/>
          <w:szCs w:val="24"/>
          <w:highlight w:val="none"/>
        </w:rPr>
      </w:pPr>
    </w:p>
    <w:p w14:paraId="7C40D72E">
      <w:pPr>
        <w:spacing w:line="360" w:lineRule="auto"/>
        <w:ind w:left="420" w:leftChars="200"/>
        <w:rPr>
          <w:rFonts w:hint="eastAsia" w:ascii="宋体" w:hAnsi="宋体" w:eastAsia="宋体" w:cs="宋体"/>
          <w:color w:val="auto"/>
          <w:kern w:val="0"/>
          <w:sz w:val="24"/>
          <w:szCs w:val="24"/>
          <w:highlight w:val="none"/>
        </w:rPr>
      </w:pPr>
    </w:p>
    <w:p w14:paraId="55174430">
      <w:pPr>
        <w:spacing w:line="360" w:lineRule="auto"/>
        <w:ind w:left="420" w:leftChars="200"/>
        <w:rPr>
          <w:rFonts w:hint="eastAsia" w:ascii="宋体" w:hAnsi="宋体" w:eastAsia="宋体" w:cs="宋体"/>
          <w:color w:val="auto"/>
          <w:kern w:val="0"/>
          <w:sz w:val="24"/>
          <w:szCs w:val="24"/>
          <w:highlight w:val="none"/>
        </w:rPr>
      </w:pPr>
    </w:p>
    <w:p w14:paraId="2F9D35EB">
      <w:pPr>
        <w:spacing w:line="360" w:lineRule="auto"/>
        <w:ind w:left="420" w:leftChars="200"/>
        <w:rPr>
          <w:rFonts w:hint="eastAsia" w:ascii="宋体" w:hAnsi="宋体" w:eastAsia="宋体" w:cs="宋体"/>
          <w:color w:val="auto"/>
          <w:kern w:val="0"/>
          <w:sz w:val="24"/>
          <w:szCs w:val="24"/>
          <w:highlight w:val="none"/>
        </w:rPr>
      </w:pPr>
    </w:p>
    <w:p w14:paraId="0BA6B862">
      <w:pPr>
        <w:spacing w:line="360" w:lineRule="auto"/>
        <w:ind w:left="420" w:leftChars="200"/>
        <w:rPr>
          <w:rFonts w:hint="eastAsia" w:ascii="宋体" w:hAnsi="宋体" w:eastAsia="宋体" w:cs="宋体"/>
          <w:color w:val="auto"/>
          <w:kern w:val="0"/>
          <w:sz w:val="24"/>
          <w:szCs w:val="24"/>
          <w:highlight w:val="none"/>
        </w:rPr>
      </w:pPr>
    </w:p>
    <w:p w14:paraId="2B62772A">
      <w:pPr>
        <w:spacing w:line="360" w:lineRule="auto"/>
        <w:ind w:left="420" w:leftChars="200"/>
        <w:rPr>
          <w:rFonts w:hint="eastAsia" w:ascii="宋体" w:hAnsi="宋体" w:eastAsia="宋体" w:cs="宋体"/>
          <w:color w:val="auto"/>
          <w:kern w:val="0"/>
          <w:sz w:val="24"/>
          <w:szCs w:val="24"/>
          <w:highlight w:val="none"/>
        </w:rPr>
      </w:pPr>
    </w:p>
    <w:p w14:paraId="1E30E208">
      <w:pPr>
        <w:spacing w:line="360" w:lineRule="auto"/>
        <w:ind w:left="420" w:leftChars="200"/>
        <w:rPr>
          <w:rFonts w:hint="eastAsia" w:ascii="宋体" w:hAnsi="宋体" w:eastAsia="宋体" w:cs="宋体"/>
          <w:color w:val="auto"/>
          <w:kern w:val="0"/>
          <w:sz w:val="24"/>
          <w:szCs w:val="24"/>
          <w:highlight w:val="none"/>
        </w:rPr>
      </w:pPr>
    </w:p>
    <w:p w14:paraId="6BB36F97">
      <w:pPr>
        <w:spacing w:line="360" w:lineRule="auto"/>
        <w:ind w:left="420" w:leftChars="200"/>
        <w:rPr>
          <w:rFonts w:hint="eastAsia" w:ascii="宋体" w:hAnsi="宋体" w:eastAsia="宋体" w:cs="宋体"/>
          <w:color w:val="auto"/>
          <w:kern w:val="0"/>
          <w:sz w:val="24"/>
          <w:szCs w:val="24"/>
          <w:highlight w:val="none"/>
        </w:rPr>
      </w:pPr>
    </w:p>
    <w:p w14:paraId="42A2CA4E">
      <w:pPr>
        <w:spacing w:line="360" w:lineRule="auto"/>
        <w:ind w:left="420" w:leftChars="200"/>
        <w:rPr>
          <w:rFonts w:hint="eastAsia" w:ascii="宋体" w:hAnsi="宋体" w:eastAsia="宋体" w:cs="宋体"/>
          <w:color w:val="auto"/>
          <w:kern w:val="0"/>
          <w:sz w:val="24"/>
          <w:szCs w:val="24"/>
          <w:highlight w:val="none"/>
        </w:rPr>
      </w:pPr>
    </w:p>
    <w:p w14:paraId="638F2E34">
      <w:pPr>
        <w:spacing w:line="360" w:lineRule="auto"/>
        <w:ind w:left="420" w:leftChars="20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p>
    <w:p w14:paraId="6709EC12">
      <w:pPr>
        <w:spacing w:line="360" w:lineRule="auto"/>
        <w:ind w:left="420" w:leftChars="200"/>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2A6E986E">
      <w:pPr>
        <w:spacing w:line="360" w:lineRule="auto"/>
        <w:ind w:left="420" w:left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178A5AA">
      <w:pPr>
        <w:spacing w:line="360" w:lineRule="auto"/>
        <w:ind w:left="420" w:leftChars="200"/>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55FE0B5B">
      <w:pPr>
        <w:spacing w:line="360" w:lineRule="auto"/>
        <w:ind w:left="420" w:leftChars="200"/>
        <w:rPr>
          <w:rFonts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18974AB4">
      <w:pPr>
        <w:spacing w:line="360" w:lineRule="auto"/>
        <w:ind w:left="420" w:left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74ED5C70">
      <w:pPr>
        <w:spacing w:line="360" w:lineRule="auto"/>
        <w:rPr>
          <w:rFonts w:ascii="宋体" w:hAnsi="宋体" w:eastAsia="宋体" w:cs="宋体"/>
          <w:color w:val="auto"/>
          <w:sz w:val="24"/>
          <w:szCs w:val="24"/>
          <w:highlight w:val="none"/>
        </w:rPr>
      </w:pPr>
    </w:p>
    <w:p w14:paraId="6E0C5A15">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2D5AC70B">
      <w:pPr>
        <w:widowControl/>
        <w:spacing w:line="440" w:lineRule="exact"/>
        <w:ind w:left="360"/>
        <w:jc w:val="center"/>
        <w:textAlignment w:val="baseline"/>
        <w:outlineLvl w:val="1"/>
        <w:rPr>
          <w:rFonts w:ascii="黑体" w:eastAsia="黑体"/>
          <w:b/>
          <w:color w:val="auto"/>
          <w:sz w:val="30"/>
          <w:szCs w:val="30"/>
          <w:highlight w:val="none"/>
        </w:rPr>
      </w:pPr>
      <w:bookmarkStart w:id="61" w:name="_Toc192"/>
      <w:r>
        <w:rPr>
          <w:rFonts w:hint="eastAsia" w:ascii="宋体" w:hAnsi="宋体" w:eastAsia="宋体" w:cs="宋体"/>
          <w:b/>
          <w:bCs/>
          <w:color w:val="auto"/>
          <w:sz w:val="24"/>
          <w:szCs w:val="24"/>
          <w:highlight w:val="none"/>
        </w:rPr>
        <w:t>一、合同协议书（格式）</w:t>
      </w:r>
      <w:bookmarkEnd w:id="61"/>
    </w:p>
    <w:p w14:paraId="3C050E6B">
      <w:pPr>
        <w:spacing w:line="312" w:lineRule="auto"/>
        <w:ind w:firstLine="480" w:firstLineChars="200"/>
        <w:rPr>
          <w:rFonts w:ascii="宋体" w:hAnsi="宋体" w:eastAsia="宋体" w:cs="宋体"/>
          <w:color w:val="auto"/>
          <w:sz w:val="24"/>
          <w:szCs w:val="24"/>
          <w:highlight w:val="none"/>
        </w:rPr>
      </w:pPr>
    </w:p>
    <w:p w14:paraId="1ECB3C13">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买    方：                                   卖    方：</w:t>
      </w:r>
    </w:p>
    <w:p w14:paraId="10CAF3AC">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                                   电    话：</w:t>
      </w:r>
    </w:p>
    <w:p w14:paraId="4557741F">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住    所：                                   住    所：                       </w:t>
      </w:r>
    </w:p>
    <w:p w14:paraId="4DD302AD">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（买方）</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中所需</w:t>
      </w:r>
      <w:r>
        <w:rPr>
          <w:rFonts w:hint="eastAsia" w:ascii="宋体" w:hAnsi="宋体" w:eastAsia="宋体" w:cs="宋体"/>
          <w:color w:val="auto"/>
          <w:sz w:val="24"/>
          <w:szCs w:val="24"/>
          <w:highlight w:val="none"/>
          <w:u w:val="single"/>
        </w:rPr>
        <w:t>（产品名称）</w:t>
      </w:r>
      <w:r>
        <w:rPr>
          <w:rFonts w:hint="eastAsia" w:ascii="宋体" w:hAnsi="宋体" w:eastAsia="宋体" w:cs="宋体"/>
          <w:color w:val="auto"/>
          <w:sz w:val="24"/>
          <w:szCs w:val="24"/>
          <w:highlight w:val="none"/>
        </w:rPr>
        <w:t xml:space="preserve"> 经公开招标，确定</w:t>
      </w:r>
      <w:r>
        <w:rPr>
          <w:rFonts w:hint="eastAsia" w:ascii="宋体" w:hAnsi="宋体" w:eastAsia="宋体" w:cs="宋体"/>
          <w:color w:val="auto"/>
          <w:sz w:val="24"/>
          <w:szCs w:val="24"/>
          <w:highlight w:val="none"/>
          <w:u w:val="single"/>
        </w:rPr>
        <w:t>（卖方）</w:t>
      </w:r>
      <w:r>
        <w:rPr>
          <w:rFonts w:hint="eastAsia" w:ascii="宋体" w:hAnsi="宋体" w:eastAsia="宋体" w:cs="宋体"/>
          <w:color w:val="auto"/>
          <w:sz w:val="24"/>
          <w:szCs w:val="24"/>
          <w:highlight w:val="none"/>
        </w:rPr>
        <w:t>为中标人。按照《中华人民共和国民法典》的规定，买卖双方同意按照下述的条款和条件，签署本合同。</w:t>
      </w:r>
    </w:p>
    <w:p w14:paraId="2D515680">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1.本合同文件</w:t>
      </w:r>
    </w:p>
    <w:p w14:paraId="3C9C0AEE">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下列每一文件均应作为合同的组成部分进行阅读和解释：</w:t>
      </w:r>
    </w:p>
    <w:p w14:paraId="1812C459">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（1）招标文件（2）投标文件（3）中标通知书</w:t>
      </w:r>
    </w:p>
    <w:p w14:paraId="29903395">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（4）经双方确认进入合同的其它文件、补充条款或说明</w:t>
      </w:r>
    </w:p>
    <w:p w14:paraId="7A572CB7">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2.采购标的、数量、质量要求</w:t>
      </w:r>
    </w:p>
    <w:p w14:paraId="48A7FDBA">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3.合同总价</w:t>
      </w:r>
    </w:p>
    <w:p w14:paraId="33D19154">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合同总价为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w:t>
      </w:r>
    </w:p>
    <w:p w14:paraId="2C72BB9B">
      <w:pPr>
        <w:spacing w:line="312" w:lineRule="auto"/>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4.付款方式：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b w:val="0"/>
          <w:color w:val="auto"/>
          <w:sz w:val="24"/>
          <w:highlight w:val="none"/>
          <w:u w:val="singl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p>
    <w:p w14:paraId="27F555D5">
      <w:pPr>
        <w:keepNext w:val="0"/>
        <w:keepLines w:val="0"/>
        <w:pageBreakBefore w:val="0"/>
        <w:widowControl w:val="0"/>
        <w:kinsoku/>
        <w:wordWrap w:val="0"/>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5.合同供货（服务）期限及地点和方式：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b w:val="0"/>
          <w:color w:val="auto"/>
          <w:sz w:val="24"/>
          <w:highlight w:val="none"/>
          <w:u w:val="single"/>
        </w:rPr>
        <w:t>。</w:t>
      </w:r>
      <w:r>
        <w:rPr>
          <w:rFonts w:hint="eastAsia" w:ascii="宋体" w:hAnsi="宋体" w:eastAsia="宋体" w:cs="宋体"/>
          <w:color w:val="auto"/>
          <w:sz w:val="24"/>
          <w:szCs w:val="24"/>
          <w:highlight w:val="none"/>
          <w:u w:val="single"/>
        </w:rPr>
        <w:t xml:space="preserve"> </w:t>
      </w:r>
    </w:p>
    <w:p w14:paraId="78244F06">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6.验收要求及违约责任：</w:t>
      </w:r>
    </w:p>
    <w:p w14:paraId="02C17564">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7.违约责任及解决争议方法：</w:t>
      </w:r>
    </w:p>
    <w:p w14:paraId="50ED8104">
      <w:pPr>
        <w:spacing w:line="312"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8.合同的生效</w:t>
      </w:r>
    </w:p>
    <w:p w14:paraId="71394B57">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合同经双方授权代表签署，买卖双方加盖印章之后生效。</w:t>
      </w:r>
    </w:p>
    <w:p w14:paraId="03193A13">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本合同一式     份，双方各执     份。</w:t>
      </w:r>
    </w:p>
    <w:p w14:paraId="1D55B69B">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买  方：                          卖  方：</w:t>
      </w:r>
    </w:p>
    <w:p w14:paraId="474AC4AC">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名  称：（盖章）                  名  称：（盖章）</w:t>
      </w:r>
    </w:p>
    <w:p w14:paraId="16AB55FB">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法定代表人（或委托代理人）：      法定代表人（或委托代理人）：</w:t>
      </w:r>
    </w:p>
    <w:p w14:paraId="027CFB02">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（签字）                        （签字）</w:t>
      </w:r>
    </w:p>
    <w:p w14:paraId="4B06E734">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地    址：                        地    址：</w:t>
      </w:r>
    </w:p>
    <w:p w14:paraId="1F7B88CB">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邮政编码：                        邮政编码：</w:t>
      </w:r>
    </w:p>
    <w:p w14:paraId="48E1B15E">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电    话：                        电    话：</w:t>
      </w:r>
    </w:p>
    <w:p w14:paraId="4ECC6E7C">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rPr>
        <w:t>开户银行：                        开户银行：</w:t>
      </w:r>
    </w:p>
    <w:p w14:paraId="3A3358B0">
      <w:pPr>
        <w:pStyle w:val="69"/>
        <w:spacing w:after="0" w:line="312" w:lineRule="auto"/>
        <w:ind w:left="0" w:leftChars="0" w:firstLine="480" w:firstLineChars="200"/>
        <w:rPr>
          <w:rFonts w:ascii="宋体" w:hAnsi="宋体" w:eastAsia="宋体" w:cs="宋体"/>
          <w:color w:val="auto"/>
          <w:kern w:val="0"/>
          <w:sz w:val="24"/>
          <w:szCs w:val="24"/>
          <w:highlight w:val="none"/>
          <w:u w:val="none" w:color="000000"/>
        </w:rPr>
      </w:pPr>
      <w:r>
        <w:rPr>
          <w:rFonts w:hint="eastAsia" w:ascii="宋体" w:hAnsi="宋体" w:eastAsia="宋体" w:cs="宋体"/>
          <w:color w:val="auto"/>
          <w:kern w:val="0"/>
          <w:sz w:val="24"/>
          <w:szCs w:val="24"/>
          <w:highlight w:val="none"/>
          <w:u w:val="none" w:color="000000"/>
          <w:lang w:val="en-US" w:eastAsia="zh-CN"/>
        </w:rPr>
        <w:t>账</w:t>
      </w:r>
      <w:r>
        <w:rPr>
          <w:rFonts w:hint="eastAsia" w:ascii="宋体" w:hAnsi="宋体" w:eastAsia="宋体" w:cs="宋体"/>
          <w:color w:val="auto"/>
          <w:kern w:val="0"/>
          <w:sz w:val="24"/>
          <w:szCs w:val="24"/>
          <w:highlight w:val="none"/>
          <w:u w:val="none" w:color="000000"/>
        </w:rPr>
        <w:t xml:space="preserve">    号：                        </w:t>
      </w:r>
      <w:r>
        <w:rPr>
          <w:rFonts w:hint="eastAsia" w:ascii="宋体" w:hAnsi="宋体" w:eastAsia="宋体" w:cs="宋体"/>
          <w:color w:val="auto"/>
          <w:kern w:val="0"/>
          <w:sz w:val="24"/>
          <w:szCs w:val="24"/>
          <w:highlight w:val="none"/>
          <w:u w:val="none" w:color="000000"/>
          <w:lang w:val="en-US" w:eastAsia="zh-CN"/>
        </w:rPr>
        <w:t>账</w:t>
      </w:r>
      <w:r>
        <w:rPr>
          <w:rFonts w:hint="eastAsia" w:ascii="宋体" w:hAnsi="宋体" w:eastAsia="宋体" w:cs="宋体"/>
          <w:color w:val="auto"/>
          <w:kern w:val="0"/>
          <w:sz w:val="24"/>
          <w:szCs w:val="24"/>
          <w:highlight w:val="none"/>
          <w:u w:val="none" w:color="000000"/>
        </w:rPr>
        <w:t xml:space="preserve">    号：</w:t>
      </w:r>
    </w:p>
    <w:p w14:paraId="1787BD50">
      <w:pPr>
        <w:pageBreakBefore/>
        <w:widowControl/>
        <w:spacing w:line="400" w:lineRule="exact"/>
        <w:ind w:left="363"/>
        <w:jc w:val="center"/>
        <w:textAlignment w:val="baseline"/>
        <w:outlineLvl w:val="1"/>
        <w:rPr>
          <w:rFonts w:ascii="宋体" w:hAnsi="宋体" w:eastAsia="宋体" w:cs="宋体"/>
          <w:b/>
          <w:color w:val="auto"/>
          <w:sz w:val="24"/>
          <w:szCs w:val="24"/>
          <w:highlight w:val="none"/>
        </w:rPr>
      </w:pPr>
      <w:bookmarkStart w:id="62" w:name="_Toc247085768"/>
      <w:bookmarkStart w:id="63" w:name="_Toc179632628"/>
      <w:bookmarkStart w:id="64" w:name="_Toc449028947"/>
      <w:bookmarkStart w:id="65" w:name="_Toc58430331"/>
      <w:bookmarkStart w:id="66" w:name="_Toc246996996"/>
      <w:bookmarkStart w:id="67" w:name="_Toc152045610"/>
      <w:bookmarkStart w:id="68" w:name="_Toc144974578"/>
      <w:bookmarkStart w:id="69" w:name="_Toc246996253"/>
      <w:bookmarkStart w:id="70" w:name="_Toc19879"/>
      <w:bookmarkStart w:id="71" w:name="_Toc152042388"/>
      <w:bookmarkStart w:id="72" w:name="_Toc296602498"/>
      <w:r>
        <w:rPr>
          <w:rFonts w:hint="eastAsia" w:ascii="宋体" w:hAnsi="宋体" w:eastAsia="宋体" w:cs="宋体"/>
          <w:b/>
          <w:color w:val="auto"/>
          <w:sz w:val="24"/>
          <w:szCs w:val="24"/>
          <w:highlight w:val="none"/>
        </w:rPr>
        <w:t>二、合同条款</w:t>
      </w:r>
      <w:bookmarkEnd w:id="62"/>
      <w:bookmarkEnd w:id="63"/>
      <w:bookmarkEnd w:id="64"/>
      <w:bookmarkEnd w:id="65"/>
      <w:bookmarkEnd w:id="66"/>
      <w:bookmarkEnd w:id="67"/>
      <w:bookmarkEnd w:id="68"/>
      <w:bookmarkEnd w:id="69"/>
      <w:bookmarkEnd w:id="70"/>
      <w:bookmarkEnd w:id="71"/>
      <w:bookmarkEnd w:id="72"/>
    </w:p>
    <w:p w14:paraId="36D26087">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  合同文件</w:t>
      </w:r>
    </w:p>
    <w:p w14:paraId="516026F8">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1.合同文件适用法律</w:t>
      </w:r>
    </w:p>
    <w:p w14:paraId="0F6946B7">
      <w:pPr>
        <w:spacing w:line="440" w:lineRule="exact"/>
        <w:ind w:firstLine="720" w:firstLineChars="3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适用于合同文件的法律是中华人民共和国现行法律、法规及采购人所在地的地方性法规。</w:t>
      </w:r>
    </w:p>
    <w:p w14:paraId="7288CCF6">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2.合同文件组成和解释顺序</w:t>
      </w:r>
    </w:p>
    <w:p w14:paraId="092AFF40">
      <w:pPr>
        <w:spacing w:line="44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(1)合同文件的组成和解释顺序如下：</w:t>
      </w:r>
    </w:p>
    <w:p w14:paraId="12CE2CAD">
      <w:pPr>
        <w:spacing w:line="44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&lt;1&gt;合同的主要条款；</w:t>
      </w:r>
    </w:p>
    <w:p w14:paraId="4C8303B7">
      <w:pPr>
        <w:spacing w:line="44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&lt;2&gt;合同的一般性条款；</w:t>
      </w:r>
    </w:p>
    <w:p w14:paraId="158F4C21">
      <w:pPr>
        <w:spacing w:line="44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&lt;3&gt;洽商、变更等明确双方权利义务的纪要、协议；</w:t>
      </w:r>
    </w:p>
    <w:p w14:paraId="270A1286">
      <w:pPr>
        <w:spacing w:line="44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&lt;4&gt;中标通知书、投标文件和招标文件；</w:t>
      </w:r>
    </w:p>
    <w:p w14:paraId="4EF62423">
      <w:pPr>
        <w:spacing w:line="44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&lt;5&gt;有关图纸、标准、规范和其它有关技术资料、技术要求。</w:t>
      </w:r>
    </w:p>
    <w:p w14:paraId="44D54B2E">
      <w:pPr>
        <w:spacing w:line="44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&lt;6&gt;合同的主要条款的效力优于合同的一般性条款的效力。</w:t>
      </w:r>
    </w:p>
    <w:p w14:paraId="29B33ED3">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3.合同文件使用文字</w:t>
      </w:r>
    </w:p>
    <w:p w14:paraId="02B3AD0C">
      <w:pPr>
        <w:pStyle w:val="73"/>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(1)合同文件使用中文书写、解释和说明。</w:t>
      </w:r>
    </w:p>
    <w:p w14:paraId="60F0AB13">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 xml:space="preserve">(2)合同文件使用技术性条款约定的为国家标准和规范；国家没有相应标准、规范时，可使用行业标准、规范。非标货物应按约定的技术性条款的标准和规范。 </w:t>
      </w:r>
    </w:p>
    <w:p w14:paraId="32654DE0">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  标的物的一般条款</w:t>
      </w:r>
    </w:p>
    <w:p w14:paraId="4CCE4B7E">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4.完整物权</w:t>
      </w:r>
    </w:p>
    <w:p w14:paraId="498C6732">
      <w:pPr>
        <w:tabs>
          <w:tab w:val="left" w:pos="660"/>
        </w:tabs>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对于出卖的标的物，卖方应当拥有完整物权，并且卖方负有保证第三人不得向买方主张任何权利（包括知识产权）的义务。</w:t>
      </w:r>
    </w:p>
    <w:p w14:paraId="521D22A5">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5.质量保证</w:t>
      </w:r>
    </w:p>
    <w:p w14:paraId="7F2C0449">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6FAC083F">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2067A12A">
      <w:pPr>
        <w:pStyle w:val="73"/>
        <w:tabs>
          <w:tab w:val="left" w:pos="900"/>
        </w:tabs>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37774B56">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6.包装</w:t>
      </w:r>
    </w:p>
    <w:p w14:paraId="33E785A7">
      <w:pPr>
        <w:pStyle w:val="73"/>
        <w:tabs>
          <w:tab w:val="left" w:pos="900"/>
        </w:tabs>
        <w:spacing w:line="440" w:lineRule="exact"/>
        <w:ind w:firstLine="540" w:firstLineChars="225"/>
        <w:rPr>
          <w:rFonts w:hAnsi="宋体" w:cs="宋体"/>
          <w:color w:val="auto"/>
          <w:szCs w:val="24"/>
          <w:highlight w:val="none"/>
          <w:u w:val="none" w:color="000000"/>
        </w:rPr>
      </w:pPr>
      <w:r>
        <w:rPr>
          <w:rFonts w:hint="eastAsia" w:hAnsi="宋体" w:cs="宋体"/>
          <w:color w:val="auto"/>
          <w:szCs w:val="24"/>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1DA992A4">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7.伴随服务</w:t>
      </w:r>
    </w:p>
    <w:p w14:paraId="5A2501F6">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(1)卖方除应履行按期按量交付合格标的物的义务之外，还应提供下列服务：</w:t>
      </w:r>
    </w:p>
    <w:p w14:paraId="04C03DB6">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&lt;1&gt;标的物的现场安装或指导安装、启动、调试、监督（如果必须安装、调试的话）；</w:t>
      </w:r>
    </w:p>
    <w:p w14:paraId="3D291745">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&lt;2&gt;提供标的物组装和一般维修所必须的工具；</w:t>
      </w:r>
    </w:p>
    <w:p w14:paraId="5E7984CC">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&lt;3&gt;在合同规定的期限内对所提供标的物实行运行监督、维修服务的前提条件是该服务并不能免除卖方在质量保证期内所承担的义务；</w:t>
      </w:r>
    </w:p>
    <w:p w14:paraId="258D2FE1">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&lt;4&gt;对买方技术人员的技术指导或培训。</w:t>
      </w:r>
    </w:p>
    <w:p w14:paraId="38043581">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(2)除合同另有规定之外，伴随服务的费用均已含在合同价款中，买方不再另行进行支付。</w:t>
      </w:r>
    </w:p>
    <w:p w14:paraId="525C0FDC">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  标的物的交付、检验和验收</w:t>
      </w:r>
    </w:p>
    <w:p w14:paraId="76AC199D">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8.标的物的交付</w:t>
      </w:r>
    </w:p>
    <w:p w14:paraId="39B9D3E2">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(1)标的物的所有权自标的物交付时转移。</w:t>
      </w:r>
    </w:p>
    <w:p w14:paraId="343DB018">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(2)卖方应当按照约定的期限和约定的地点交付符合招标文件要求的标的物。</w:t>
      </w:r>
    </w:p>
    <w:p w14:paraId="6DB4AE42">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(3)卖方应当按照约定或者交易习惯向采购人交付提取标的物单证以外的有关单证和资料。</w:t>
      </w:r>
    </w:p>
    <w:p w14:paraId="040D14E2">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9.检验和验收</w:t>
      </w:r>
    </w:p>
    <w:p w14:paraId="20EF8029">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4ED278C5">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(2)买方根据合同规定的内容和验收标准进行验收，经检验无误后出具验收合格证明，该证明作为最终付款所需文件的组成部分。</w:t>
      </w:r>
    </w:p>
    <w:p w14:paraId="1EC13457">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(3)验收期限自收到乙方验收申请后5个工作日内组织开展验收。特殊情况需延长的，双方应在合同条款中约定。</w:t>
      </w:r>
    </w:p>
    <w:p w14:paraId="4ED63648">
      <w:pPr>
        <w:pStyle w:val="73"/>
        <w:tabs>
          <w:tab w:val="left" w:pos="900"/>
        </w:tabs>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4）买方和相关部门按照国家规定标准验收，没有国家标准的按行业标准验收，无行业标准的按地方或企业标准验收，卖方予以配合。涉及安全、消防、环保等其他需要由质检或行业主管部门验收的项目，买方须约请相关部门和专家参加项目验收。</w:t>
      </w:r>
    </w:p>
    <w:p w14:paraId="71035A0A">
      <w:pPr>
        <w:pStyle w:val="73"/>
        <w:tabs>
          <w:tab w:val="left" w:pos="900"/>
        </w:tabs>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（5）货物在验收时，卖方应提供发票、制造厂家出具的产品合格证书、装箱清单等,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卖方提供的必要文件。</w:t>
      </w:r>
    </w:p>
    <w:p w14:paraId="5D139A98">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 对标的物提出异议的时间和办法</w:t>
      </w:r>
    </w:p>
    <w:p w14:paraId="25E226A8">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10.对标的物提出异议的时间和办法 </w:t>
      </w:r>
    </w:p>
    <w:p w14:paraId="6CD794D3">
      <w:pPr>
        <w:pStyle w:val="73"/>
        <w:overflowPunct w:val="0"/>
        <w:spacing w:line="440" w:lineRule="exact"/>
        <w:ind w:firstLine="480" w:firstLineChars="200"/>
        <w:rPr>
          <w:rFonts w:hAnsi="宋体" w:cs="宋体"/>
          <w:color w:val="auto"/>
          <w:szCs w:val="24"/>
          <w:highlight w:val="none"/>
          <w:u w:val="none" w:color="000000"/>
        </w:rPr>
      </w:pPr>
      <w:r>
        <w:rPr>
          <w:rFonts w:hint="eastAsia" w:hAnsi="宋体" w:cs="宋体"/>
          <w:color w:val="auto"/>
          <w:szCs w:val="24"/>
          <w:highlight w:val="none"/>
          <w:u w:val="none" w:color="000000"/>
        </w:rPr>
        <w:t>(1)买方在验收过程中，应当于双方约定的检验期间内将标的物的数量或质量不符合约定的情形及处理方式以书面形式通知卖方。</w:t>
      </w:r>
    </w:p>
    <w:p w14:paraId="512EFE5E">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(2)如买方在验收期满后既不出具验收合格证明又未提出书面异议的视为卖方所交标的物符合合同规定。</w:t>
      </w:r>
    </w:p>
    <w:p w14:paraId="3B896D85">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(3)卖方应在收到买方书面异议后七天内负责处理问题，否则将视为默认买方提出的异议和处理意见。</w:t>
      </w:r>
    </w:p>
    <w:p w14:paraId="4A41A1A6">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 合同价款和支付</w:t>
      </w:r>
    </w:p>
    <w:p w14:paraId="19502A35">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11.合同价款和支付</w:t>
      </w:r>
    </w:p>
    <w:p w14:paraId="55984348">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(1)本合同的结算货币为人民币，单位元。</w:t>
      </w:r>
    </w:p>
    <w:p w14:paraId="2B9B2281">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(2)卖方应按照双方签订的合同规定交货并在合同主要条款规定的期限内持下列单据结算货款：</w:t>
      </w:r>
    </w:p>
    <w:p w14:paraId="252203F2">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&lt;1&gt;合格的销售发票；</w:t>
      </w:r>
    </w:p>
    <w:p w14:paraId="16F471CF">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&lt;2&gt;买方盖章签收后的送货回单和验收合格证明。</w:t>
      </w:r>
    </w:p>
    <w:p w14:paraId="44993CC7">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(3)买方应按合同主要条款规定的期限和方式付款。</w:t>
      </w:r>
    </w:p>
    <w:p w14:paraId="03E6F60B">
      <w:pPr>
        <w:pStyle w:val="73"/>
        <w:tabs>
          <w:tab w:val="left" w:pos="540"/>
        </w:tabs>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(4)根据现行税法对买方征收的与本合同有关的一切税费均由买方承担；根据现行税法对卖方征收的与本合同有关的一切税费均由卖方承担。</w:t>
      </w:r>
    </w:p>
    <w:p w14:paraId="7DE84854">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 违约责任</w:t>
      </w:r>
    </w:p>
    <w:p w14:paraId="1053794D">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12.违约责任</w:t>
      </w:r>
    </w:p>
    <w:p w14:paraId="68B58CDA">
      <w:pPr>
        <w:pStyle w:val="73"/>
        <w:spacing w:line="440" w:lineRule="exact"/>
        <w:ind w:firstLine="480" w:firstLineChars="200"/>
        <w:rPr>
          <w:rFonts w:hAnsi="宋体" w:cs="宋体"/>
          <w:color w:val="auto"/>
          <w:szCs w:val="24"/>
          <w:highlight w:val="none"/>
          <w:u w:val="none" w:color="000000"/>
        </w:rPr>
      </w:pPr>
      <w:r>
        <w:rPr>
          <w:rFonts w:hint="eastAsia" w:hAnsi="宋体" w:cs="宋体"/>
          <w:color w:val="auto"/>
          <w:szCs w:val="24"/>
          <w:highlight w:val="none"/>
          <w:u w:val="none" w:color="000000"/>
        </w:rPr>
        <w:t>合同一方不履行合同义务或者履行合同义务不符合约定的，应当承担继续履行、采取补救措施或者赔偿损失等违约责任。</w:t>
      </w:r>
    </w:p>
    <w:p w14:paraId="57C6628E">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13.买方违约责任</w:t>
      </w:r>
    </w:p>
    <w:p w14:paraId="61C1E817">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(1)在合同生效后，买方要求退货的，应向卖方偿付合同总价款的5%，作为违约金，违约金不足以补偿损失的，卖方有权要求甲方补足。</w:t>
      </w:r>
    </w:p>
    <w:p w14:paraId="394FD154">
      <w:pPr>
        <w:pStyle w:val="73"/>
        <w:overflowPunct w:val="0"/>
        <w:spacing w:line="440" w:lineRule="exact"/>
        <w:ind w:right="-334" w:rightChars="-159"/>
        <w:rPr>
          <w:rFonts w:hAnsi="宋体" w:cs="宋体"/>
          <w:color w:val="auto"/>
          <w:szCs w:val="24"/>
          <w:highlight w:val="none"/>
          <w:u w:val="none" w:color="000000"/>
        </w:rPr>
      </w:pPr>
      <w:r>
        <w:rPr>
          <w:rFonts w:hint="eastAsia" w:hAnsi="宋体" w:cs="宋体"/>
          <w:color w:val="auto"/>
          <w:szCs w:val="24"/>
          <w:highlight w:val="none"/>
          <w:u w:val="none" w:color="000000"/>
        </w:rPr>
        <w:t>(2)买方逾期付款的应按照逾期付款金额的每天万分之四支付逾期付款违约金。</w:t>
      </w:r>
    </w:p>
    <w:p w14:paraId="5EA5228C">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(3)买方违反合同规定，拒绝接收卖方交付的符合招标文件要求的合格标的物，应当承担卖方由此造成的损失。</w:t>
      </w:r>
    </w:p>
    <w:p w14:paraId="4D0C145E">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14.卖方违约责任</w:t>
      </w:r>
    </w:p>
    <w:p w14:paraId="285812D8">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(1)卖方不能交货（逾期超过五天视为不能交货），或交货不合格从而影响买方按期正常使用的，应向买方偿付合同总价款5%的违约金，违约金不足以补偿损失的，买方有权要求卖方补足。</w:t>
      </w:r>
    </w:p>
    <w:p w14:paraId="65DAE154">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16476543">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15.不可抗力</w:t>
      </w:r>
    </w:p>
    <w:p w14:paraId="60B2041B">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(1)因水灾、火灾、地震、战争等不可抗力不能履行合同的，根据不可抗力的影响，部分或者全部免除责任。但合同一方迟延履行后发生不可抗力的，不能免除责任。</w:t>
      </w:r>
    </w:p>
    <w:p w14:paraId="3BDB6D73">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(2)合同一方因不可抗力不能履行合同的，应当及时通知对方，以减轻可能给对方造成的损失，并应当在合理期限内提供证明。</w:t>
      </w:r>
    </w:p>
    <w:p w14:paraId="2CFC4D79">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 索赔</w:t>
      </w:r>
    </w:p>
    <w:p w14:paraId="5C37047D">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16.索赔</w:t>
      </w:r>
    </w:p>
    <w:p w14:paraId="123D91C8">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(1)买方有权根据当地产品质量检验机构或其它有权威部门出具的检验证书向卖方提出索赔。</w:t>
      </w:r>
    </w:p>
    <w:p w14:paraId="3A3639E2">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(2)在本合同规定的检验期和质量保证期内，如果卖方对买方提出的索赔或差异有责任，则卖方应按买方同意的下列一种或多种方式解决索赔事宜：</w:t>
      </w:r>
    </w:p>
    <w:p w14:paraId="79C4CDC4">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3BAD6360">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&lt;2&gt;根据标的物的低劣程度、损坏程度以及甲方遭受损失的数额，经双方协商确定降低标的物的价格；</w:t>
      </w:r>
    </w:p>
    <w:p w14:paraId="308BADAE">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32E2F3BC">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5EF24739">
      <w:pPr>
        <w:pStyle w:val="73"/>
        <w:overflowPunct w:val="0"/>
        <w:spacing w:line="440" w:lineRule="exact"/>
        <w:ind w:firstLine="600" w:firstLineChars="250"/>
        <w:rPr>
          <w:rFonts w:hAnsi="宋体" w:cs="宋体"/>
          <w:color w:val="auto"/>
          <w:szCs w:val="24"/>
          <w:highlight w:val="none"/>
          <w:u w:val="none" w:color="000000"/>
        </w:rPr>
      </w:pPr>
      <w:r>
        <w:rPr>
          <w:rFonts w:hint="eastAsia" w:hAnsi="宋体" w:cs="宋体"/>
          <w:color w:val="auto"/>
          <w:szCs w:val="24"/>
          <w:highlight w:val="none"/>
          <w:u w:val="none" w:color="000000"/>
        </w:rPr>
        <w:t>(4)买方提出索赔的书面材料应报当地政府采购管理部门备案。卖方同意的索赔方案应报当地政府采购管理部门审核。</w:t>
      </w:r>
    </w:p>
    <w:p w14:paraId="0E05AEBD">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 履约保证金</w:t>
      </w:r>
    </w:p>
    <w:p w14:paraId="634CA8FE">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17.履约保证金</w:t>
      </w:r>
    </w:p>
    <w:p w14:paraId="31229DC8">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(1)卖方应在本合同签订时，按招标文件的约定提供相应的履约保证金，保证金的有效期应不低于合同有效期。</w:t>
      </w:r>
    </w:p>
    <w:p w14:paraId="52A171D5">
      <w:pPr>
        <w:pStyle w:val="73"/>
        <w:overflowPunct w:val="0"/>
        <w:spacing w:line="440" w:lineRule="exact"/>
        <w:ind w:right="-334" w:rightChars="-159"/>
        <w:rPr>
          <w:rFonts w:hAnsi="宋体" w:cs="宋体"/>
          <w:color w:val="auto"/>
          <w:szCs w:val="24"/>
          <w:highlight w:val="none"/>
          <w:u w:val="none" w:color="000000"/>
        </w:rPr>
      </w:pPr>
      <w:r>
        <w:rPr>
          <w:rFonts w:hint="eastAsia" w:hAnsi="宋体" w:cs="宋体"/>
          <w:color w:val="auto"/>
          <w:szCs w:val="24"/>
          <w:highlight w:val="none"/>
          <w:u w:val="none" w:color="000000"/>
        </w:rPr>
        <w:t>(2)如果卖方未能履行合同规定的任何义务，买方有权从履约保证金中取得补偿。</w:t>
      </w:r>
    </w:p>
    <w:p w14:paraId="1FC78A78">
      <w:pPr>
        <w:pStyle w:val="73"/>
        <w:overflowPunct w:val="0"/>
        <w:spacing w:line="440" w:lineRule="exact"/>
        <w:ind w:right="-334" w:rightChars="-159" w:firstLine="0"/>
        <w:rPr>
          <w:rFonts w:hAnsi="宋体" w:cs="宋体"/>
          <w:b/>
          <w:color w:val="auto"/>
          <w:kern w:val="2"/>
          <w:szCs w:val="24"/>
          <w:highlight w:val="none"/>
        </w:rPr>
      </w:pPr>
      <w:r>
        <w:rPr>
          <w:rFonts w:hint="eastAsia" w:hAnsi="宋体" w:cs="宋体"/>
          <w:b/>
          <w:color w:val="auto"/>
          <w:kern w:val="2"/>
          <w:szCs w:val="24"/>
          <w:highlight w:val="none"/>
        </w:rPr>
        <w:t>九.  合同的解除和转让</w:t>
      </w:r>
    </w:p>
    <w:p w14:paraId="7CD63F0D">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18.合同的解除</w:t>
      </w:r>
    </w:p>
    <w:p w14:paraId="75E5070A">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(1)买方和卖方协商一致，可以解除合同。</w:t>
      </w:r>
    </w:p>
    <w:p w14:paraId="2A4AA3BA">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(2)有下列情形之一，合同一方可以解除合同：</w:t>
      </w:r>
    </w:p>
    <w:p w14:paraId="1B320738">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&lt;1&gt;因不可抗力致使不能实现合同目的，未受不可抗力影响的一方有权解除合同；</w:t>
      </w:r>
    </w:p>
    <w:p w14:paraId="4881FB0E">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&lt;2&gt;因合同一方违约导致合同不能履行，另一方有权解除合同。</w:t>
      </w:r>
    </w:p>
    <w:p w14:paraId="352C524A">
      <w:pPr>
        <w:pStyle w:val="73"/>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(3)有权解除合同的一方，应当在违约事实或不可抗力发生之后三十天内书面通知对方以主张解除合同，合同在书面通知到达对方时解除。</w:t>
      </w:r>
    </w:p>
    <w:p w14:paraId="4A61CD2B">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19.合同的转让</w:t>
      </w:r>
    </w:p>
    <w:p w14:paraId="0FBF2262">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合同的部分和全部都不得转让。</w:t>
      </w:r>
    </w:p>
    <w:p w14:paraId="365EAECA">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 合同的生效</w:t>
      </w:r>
    </w:p>
    <w:p w14:paraId="27B310FC">
      <w:pPr>
        <w:spacing w:line="44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20.合同的生效</w:t>
      </w:r>
    </w:p>
    <w:p w14:paraId="139436B9">
      <w:pPr>
        <w:spacing w:line="440" w:lineRule="exact"/>
        <w:ind w:firstLine="664" w:firstLineChars="27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本合同在双方签字盖章后生效。</w:t>
      </w:r>
    </w:p>
    <w:p w14:paraId="636DC741">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 争议解决</w:t>
      </w:r>
    </w:p>
    <w:p w14:paraId="476F9CBE">
      <w:pPr>
        <w:spacing w:line="440" w:lineRule="exact"/>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21.争议解决</w:t>
      </w:r>
    </w:p>
    <w:p w14:paraId="00A60AD2">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买卖双方因合同发生争议，进行调解，协商不成，可选择：（2）</w:t>
      </w:r>
    </w:p>
    <w:p w14:paraId="4EAF826E">
      <w:pPr>
        <w:pStyle w:val="73"/>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(1)双方同时</w:t>
      </w:r>
      <w:r>
        <w:rPr>
          <w:rFonts w:hint="eastAsia" w:hAnsi="宋体" w:cs="宋体"/>
          <w:color w:val="auto"/>
          <w:szCs w:val="24"/>
          <w:highlight w:val="none"/>
        </w:rPr>
        <w:t>将争议提交滁州仲裁委员会</w:t>
      </w:r>
      <w:r>
        <w:rPr>
          <w:rFonts w:hint="eastAsia" w:hAnsi="宋体" w:cs="宋体"/>
          <w:color w:val="auto"/>
          <w:szCs w:val="24"/>
          <w:highlight w:val="none"/>
          <w:u w:val="none" w:color="000000"/>
        </w:rPr>
        <w:t>进行仲裁；</w:t>
      </w:r>
    </w:p>
    <w:p w14:paraId="43146FBC">
      <w:pPr>
        <w:pStyle w:val="73"/>
        <w:tabs>
          <w:tab w:val="left" w:pos="900"/>
        </w:tabs>
        <w:overflowPunct w:val="0"/>
        <w:spacing w:line="440" w:lineRule="exact"/>
        <w:rPr>
          <w:rFonts w:hAnsi="宋体" w:cs="宋体"/>
          <w:color w:val="auto"/>
          <w:szCs w:val="24"/>
          <w:highlight w:val="none"/>
          <w:u w:val="none" w:color="000000"/>
        </w:rPr>
      </w:pPr>
      <w:r>
        <w:rPr>
          <w:rFonts w:hint="eastAsia" w:hAnsi="宋体" w:cs="宋体"/>
          <w:color w:val="auto"/>
          <w:szCs w:val="24"/>
          <w:highlight w:val="none"/>
          <w:u w:val="none" w:color="000000"/>
        </w:rPr>
        <w:t>(2)向买方所在地人民法院提起诉讼。</w:t>
      </w:r>
    </w:p>
    <w:p w14:paraId="3213F911">
      <w:pPr>
        <w:spacing w:line="44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十二 .附则</w:t>
      </w:r>
    </w:p>
    <w:p w14:paraId="26556D01">
      <w:pPr>
        <w:spacing w:line="440" w:lineRule="exact"/>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22.合同份数。</w:t>
      </w:r>
    </w:p>
    <w:p w14:paraId="1624B867">
      <w:pPr>
        <w:spacing w:line="440" w:lineRule="exact"/>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本合同一式陆份，买卖双方各执二份，招标代理机构一份，招标采购管理部门一份。</w:t>
      </w:r>
    </w:p>
    <w:p w14:paraId="142A7A38">
      <w:pPr>
        <w:spacing w:line="440" w:lineRule="exact"/>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23.未尽事宜</w:t>
      </w:r>
    </w:p>
    <w:p w14:paraId="41E6036A">
      <w:pPr>
        <w:spacing w:line="440" w:lineRule="exact"/>
        <w:ind w:firstLine="720" w:firstLineChars="3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本合同未尽事宜应按《中华人民共和国政府采购法》、《中华人民共和国民法典》、《中华人民共和国产品质量法》之规定解释。</w:t>
      </w:r>
    </w:p>
    <w:p w14:paraId="37B5FFD2">
      <w:pPr>
        <w:spacing w:line="360" w:lineRule="auto"/>
        <w:jc w:val="center"/>
        <w:outlineLvl w:val="0"/>
        <w:rPr>
          <w:rFonts w:ascii="宋体" w:hAnsi="宋体" w:eastAsia="宋体"/>
          <w:b/>
          <w:color w:val="auto"/>
          <w:sz w:val="28"/>
          <w:highlight w:val="none"/>
        </w:rPr>
      </w:pPr>
    </w:p>
    <w:p w14:paraId="4B2E7AB3">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25B593F3">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619FF675">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5C90FF89">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3B50E918">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1D346D76">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413835DE">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4D1F1318">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2205B01C">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4B7B97E1">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0355819A">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4DFDCD19">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p>
    <w:p w14:paraId="49C48915">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color w:val="auto"/>
          <w:kern w:val="2"/>
          <w:sz w:val="32"/>
          <w:szCs w:val="32"/>
          <w:highlight w:val="none"/>
          <w:u w:color="auto"/>
          <w:lang w:val="en-US" w:eastAsia="zh-CN" w:bidi="ar"/>
        </w:rPr>
      </w:pPr>
      <w:r>
        <w:rPr>
          <w:rFonts w:hint="eastAsia" w:ascii="宋体" w:hAnsi="宋体" w:eastAsia="宋体" w:cs="宋体"/>
          <w:b/>
          <w:bCs/>
          <w:color w:val="auto"/>
          <w:kern w:val="2"/>
          <w:sz w:val="32"/>
          <w:szCs w:val="32"/>
          <w:highlight w:val="none"/>
          <w:u w:color="auto"/>
          <w:lang w:val="en-US" w:eastAsia="zh-CN" w:bidi="ar"/>
        </w:rPr>
        <w:t>第六章 投标文件格式</w:t>
      </w:r>
      <w:bookmarkEnd w:id="60"/>
    </w:p>
    <w:p w14:paraId="120CE150">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color w:val="auto"/>
          <w:sz w:val="28"/>
          <w:szCs w:val="28"/>
          <w:highlight w:val="none"/>
          <w:lang w:val="en-US"/>
        </w:rPr>
      </w:pPr>
    </w:p>
    <w:p w14:paraId="15F4E56E">
      <w:pPr>
        <w:pStyle w:val="7"/>
        <w:rPr>
          <w:rFonts w:hint="eastAsia"/>
          <w:color w:val="auto"/>
          <w:highlight w:val="none"/>
          <w:lang w:val="en-US"/>
        </w:rPr>
      </w:pPr>
    </w:p>
    <w:p w14:paraId="588F5AEA">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p>
    <w:p w14:paraId="3853B827">
      <w:pPr>
        <w:keepNext w:val="0"/>
        <w:keepLines w:val="0"/>
        <w:widowControl/>
        <w:suppressLineNumbers w:val="0"/>
        <w:spacing w:before="0" w:beforeAutospacing="0" w:after="0" w:afterAutospacing="0" w:line="357" w:lineRule="atLeast"/>
        <w:ind w:left="0" w:right="0"/>
        <w:jc w:val="center"/>
        <w:outlineLvl w:val="1"/>
        <w:rPr>
          <w:rFonts w:hint="default" w:ascii="宋体" w:hAnsi="宋体" w:eastAsia="宋体" w:cs="宋体"/>
          <w:b/>
          <w:bCs w:val="0"/>
          <w:color w:val="auto"/>
          <w:sz w:val="44"/>
          <w:szCs w:val="44"/>
          <w:highlight w:val="none"/>
          <w:lang w:val="en-US"/>
        </w:rPr>
      </w:pPr>
      <w:bookmarkStart w:id="73" w:name="_Toc21573"/>
      <w:bookmarkEnd w:id="73"/>
      <w:bookmarkStart w:id="74" w:name="_Toc128_WPSOffice_Level1"/>
      <w:r>
        <w:rPr>
          <w:rFonts w:hint="eastAsia" w:ascii="宋体" w:hAnsi="宋体" w:eastAsia="宋体" w:cs="宋体"/>
          <w:b/>
          <w:bCs w:val="0"/>
          <w:color w:val="auto"/>
          <w:kern w:val="0"/>
          <w:sz w:val="44"/>
          <w:szCs w:val="44"/>
          <w:highlight w:val="none"/>
          <w:u w:color="000000"/>
          <w:lang w:val="en-US" w:eastAsia="zh-CN" w:bidi="ar"/>
        </w:rPr>
        <w:t>资格证明文件</w:t>
      </w:r>
      <w:bookmarkEnd w:id="74"/>
    </w:p>
    <w:p w14:paraId="2D36BF0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bookmarkStart w:id="75" w:name="_Toc19336_WPSOffice_Level2"/>
      <w:bookmarkEnd w:id="75"/>
      <w:r>
        <w:rPr>
          <w:rFonts w:hint="eastAsia" w:ascii="宋体" w:hAnsi="宋体" w:eastAsia="宋体" w:cs="宋体"/>
          <w:color w:val="auto"/>
          <w:kern w:val="0"/>
          <w:sz w:val="32"/>
          <w:szCs w:val="32"/>
          <w:highlight w:val="none"/>
          <w:u w:color="000000"/>
          <w:lang w:val="en-US" w:eastAsia="zh-CN" w:bidi="ar"/>
        </w:rPr>
        <w:t>（投标文件一）</w:t>
      </w:r>
    </w:p>
    <w:p w14:paraId="44ED10A3">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65B56242">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bookmarkStart w:id="76" w:name="_Toc7180_WPSOffice_Level3"/>
      <w:bookmarkEnd w:id="76"/>
      <w:r>
        <w:rPr>
          <w:rFonts w:hint="eastAsia" w:ascii="宋体" w:hAnsi="宋体" w:eastAsia="宋体" w:cs="宋体"/>
          <w:color w:val="auto"/>
          <w:kern w:val="0"/>
          <w:sz w:val="30"/>
          <w:szCs w:val="30"/>
          <w:highlight w:val="none"/>
          <w:u w:color="000000"/>
          <w:lang w:val="en-US" w:eastAsia="zh-CN" w:bidi="ar"/>
        </w:rPr>
        <w:t>项目名称：</w:t>
      </w:r>
    </w:p>
    <w:p w14:paraId="20D35E7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5AF8762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117FCF1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2A1E6E9">
      <w:pPr>
        <w:pStyle w:val="7"/>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1928ED4E">
      <w:pPr>
        <w:pStyle w:val="19"/>
        <w:widowControl/>
        <w:rPr>
          <w:color w:val="auto"/>
          <w:highlight w:val="none"/>
          <w:lang w:val="en-US"/>
        </w:rPr>
      </w:pPr>
      <w:r>
        <w:rPr>
          <w:color w:val="auto"/>
          <w:highlight w:val="none"/>
          <w:lang w:val="en-US"/>
        </w:rPr>
        <w:t xml:space="preserve"> </w:t>
      </w:r>
    </w:p>
    <w:p w14:paraId="32A585A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kern w:val="0"/>
          <w:sz w:val="28"/>
          <w:szCs w:val="28"/>
          <w:highlight w:val="none"/>
          <w:u w:color="000000"/>
          <w:lang w:val="en-US" w:eastAsia="zh-CN" w:bidi="ar"/>
        </w:rPr>
      </w:pPr>
      <w:r>
        <w:rPr>
          <w:rFonts w:hint="eastAsia" w:ascii="宋体" w:hAnsi="宋体" w:eastAsia="宋体" w:cs="宋体"/>
          <w:color w:val="auto"/>
          <w:kern w:val="0"/>
          <w:sz w:val="28"/>
          <w:szCs w:val="28"/>
          <w:highlight w:val="none"/>
          <w:u w:color="000000"/>
          <w:lang w:val="en-US" w:eastAsia="zh-CN" w:bidi="ar"/>
        </w:rPr>
        <w:t xml:space="preserve"> </w:t>
      </w:r>
    </w:p>
    <w:p w14:paraId="3ECB319E">
      <w:pPr>
        <w:pStyle w:val="7"/>
        <w:rPr>
          <w:rFonts w:hint="eastAsia" w:ascii="宋体" w:hAnsi="宋体" w:eastAsia="宋体" w:cs="宋体"/>
          <w:color w:val="auto"/>
          <w:kern w:val="0"/>
          <w:sz w:val="28"/>
          <w:szCs w:val="28"/>
          <w:highlight w:val="none"/>
          <w:u w:color="000000"/>
          <w:lang w:val="en-US" w:eastAsia="zh-CN" w:bidi="ar"/>
        </w:rPr>
      </w:pPr>
    </w:p>
    <w:p w14:paraId="54B43FD9">
      <w:pPr>
        <w:rPr>
          <w:rFonts w:hint="eastAsia"/>
          <w:color w:val="auto"/>
          <w:highlight w:val="none"/>
          <w:lang w:val="en-US"/>
        </w:rPr>
      </w:pPr>
    </w:p>
    <w:p w14:paraId="340C2DA2">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2DDED4FF">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rPr>
        <w:t>（签字或盖章）</w:t>
      </w:r>
    </w:p>
    <w:p w14:paraId="700D36A9">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620F6D3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color w:val="auto"/>
          <w:sz w:val="44"/>
          <w:szCs w:val="44"/>
          <w:highlight w:val="none"/>
          <w:lang w:val="en-US"/>
        </w:rPr>
      </w:pPr>
      <w:r>
        <w:rPr>
          <w:rFonts w:hint="default" w:ascii="Times New Roman" w:hAnsi="Times New Roman" w:eastAsia="宋体" w:cs="Times New Roman"/>
          <w:b/>
          <w:bCs w:val="0"/>
          <w:color w:val="auto"/>
          <w:kern w:val="0"/>
          <w:sz w:val="44"/>
          <w:szCs w:val="44"/>
          <w:highlight w:val="none"/>
          <w:lang w:val="en-US" w:eastAsia="zh-CN" w:bidi="ar"/>
        </w:rPr>
        <w:br w:type="page"/>
      </w:r>
      <w:bookmarkStart w:id="77" w:name="_Toc14710_WPSOffice_Level1"/>
      <w:bookmarkEnd w:id="77"/>
      <w:r>
        <w:rPr>
          <w:rFonts w:hint="eastAsia" w:ascii="宋体" w:hAnsi="宋体" w:eastAsia="宋体" w:cs="宋体"/>
          <w:b/>
          <w:bCs w:val="0"/>
          <w:color w:val="auto"/>
          <w:kern w:val="0"/>
          <w:sz w:val="44"/>
          <w:szCs w:val="44"/>
          <w:highlight w:val="none"/>
          <w:u w:color="000000"/>
          <w:lang w:val="en-US" w:eastAsia="zh-CN" w:bidi="ar"/>
        </w:rPr>
        <w:t>目   录</w:t>
      </w:r>
    </w:p>
    <w:p w14:paraId="3723FF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p>
    <w:p w14:paraId="4444199F">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6A39D228">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66C70C3B">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29D410FB">
      <w:pPr>
        <w:spacing w:line="360" w:lineRule="auto"/>
        <w:ind w:firstLine="420" w:firstLineChars="200"/>
        <w:rPr>
          <w:rFonts w:hint="default"/>
          <w:color w:val="auto"/>
          <w:highlight w:val="none"/>
          <w:lang w:val="en-US"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2C4B0284">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）资信评审评分细则中所需要的证明材料；</w:t>
      </w:r>
    </w:p>
    <w:p w14:paraId="5614665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）投标人认为需要提供的其他资信证明材料（</w:t>
      </w:r>
      <w:r>
        <w:rPr>
          <w:rFonts w:hint="eastAsia" w:ascii="宋体" w:hAnsi="Times New Roman" w:eastAsia="宋体" w:cs="Times New Roman"/>
          <w:color w:val="auto"/>
          <w:szCs w:val="21"/>
          <w:highlight w:val="none"/>
          <w:lang w:val="en-US" w:eastAsia="zh-CN"/>
        </w:rPr>
        <w:t>如有）</w:t>
      </w:r>
      <w:r>
        <w:rPr>
          <w:rFonts w:hint="eastAsia" w:ascii="宋体" w:hAnsi="Times New Roman" w:eastAsia="宋体" w:cs="Times New Roman"/>
          <w:color w:val="auto"/>
          <w:szCs w:val="21"/>
          <w:highlight w:val="none"/>
          <w:lang w:eastAsia="zh-CN"/>
        </w:rPr>
        <w:t>。</w:t>
      </w:r>
    </w:p>
    <w:p w14:paraId="7E9F2B3F">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5C9E1F08">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22B5ADB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color w:val="auto"/>
          <w:sz w:val="28"/>
          <w:szCs w:val="28"/>
          <w:highlight w:val="none"/>
          <w:lang w:val="en-US"/>
        </w:rPr>
      </w:pPr>
      <w:r>
        <w:rPr>
          <w:rFonts w:hint="default" w:ascii="Times New Roman" w:hAnsi="Times New Roman" w:eastAsia="宋体" w:cs="Times New Roman"/>
          <w:b/>
          <w:bCs w:val="0"/>
          <w:color w:val="auto"/>
          <w:kern w:val="0"/>
          <w:sz w:val="28"/>
          <w:szCs w:val="28"/>
          <w:highlight w:val="none"/>
          <w:lang w:val="en-US" w:eastAsia="zh-CN" w:bidi="ar"/>
        </w:rPr>
        <w:br w:type="page"/>
      </w:r>
      <w:r>
        <w:rPr>
          <w:rFonts w:hint="eastAsia" w:ascii="宋体" w:hAnsi="宋体" w:eastAsia="宋体" w:cs="宋体"/>
          <w:b/>
          <w:bCs w:val="0"/>
          <w:color w:val="auto"/>
          <w:kern w:val="0"/>
          <w:sz w:val="28"/>
          <w:szCs w:val="28"/>
          <w:highlight w:val="none"/>
          <w:u w:color="000000"/>
          <w:lang w:val="en-US" w:eastAsia="zh-CN" w:bidi="ar"/>
        </w:rPr>
        <w:t>附件</w:t>
      </w:r>
      <w:r>
        <w:rPr>
          <w:rFonts w:hint="default" w:ascii="Times New Roman" w:hAnsi="Times New Roman" w:eastAsia="宋体" w:cs="Times New Roman"/>
          <w:b/>
          <w:bCs w:val="0"/>
          <w:color w:val="auto"/>
          <w:kern w:val="0"/>
          <w:sz w:val="28"/>
          <w:szCs w:val="28"/>
          <w:highlight w:val="none"/>
          <w:u w:color="000000"/>
          <w:lang w:val="en-US" w:eastAsia="zh-CN" w:bidi="ar"/>
        </w:rPr>
        <w:t>1</w:t>
      </w:r>
    </w:p>
    <w:p w14:paraId="3939ED14">
      <w:pPr>
        <w:pStyle w:val="45"/>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1.法定代表人身份证明</w:t>
      </w:r>
    </w:p>
    <w:p w14:paraId="51C6AD87">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8CEEC8F">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单位性质：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1AF21D7">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BF3E516">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C21DBEB">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7E76273">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w:t>
      </w:r>
    </w:p>
    <w:p w14:paraId="1AA5B8C1">
      <w:pPr>
        <w:keepNext w:val="0"/>
        <w:keepLines w:val="0"/>
        <w:pageBreakBefore w:val="0"/>
        <w:kinsoku/>
        <w:overflowPunct/>
        <w:topLinePunct w:val="0"/>
        <w:autoSpaceDE/>
        <w:autoSpaceDN/>
        <w:bidi w:val="0"/>
        <w:adjustRightInd/>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70D21C05">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14:paraId="27ABD67B">
      <w:pPr>
        <w:keepNext w:val="0"/>
        <w:keepLines w:val="0"/>
        <w:pageBreakBefore w:val="0"/>
        <w:kinsoku/>
        <w:wordWrap w:val="0"/>
        <w:overflowPunct/>
        <w:topLinePunct w:val="0"/>
        <w:autoSpaceDE/>
        <w:autoSpaceDN/>
        <w:bidi w:val="0"/>
        <w:adjustRightInd/>
        <w:snapToGrid/>
        <w:spacing w:line="40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年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7C967304">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132" w:firstLineChars="13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2.授权委托书</w:t>
      </w:r>
    </w:p>
    <w:p w14:paraId="05B41E3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”(项目名称、编号）</w:t>
      </w:r>
      <w:r>
        <w:rPr>
          <w:rFonts w:hint="eastAsia" w:ascii="宋体" w:hAnsi="宋体" w:eastAsia="宋体" w:cs="宋体"/>
          <w:color w:val="auto"/>
          <w:sz w:val="24"/>
          <w:szCs w:val="24"/>
          <w:highlight w:val="none"/>
          <w:lang w:val="en-US" w:eastAsia="zh-CN"/>
        </w:rPr>
        <w:t>投</w:t>
      </w:r>
      <w:r>
        <w:rPr>
          <w:rFonts w:hint="eastAsia" w:ascii="宋体" w:hAnsi="宋体" w:eastAsia="宋体" w:cs="宋体"/>
          <w:color w:val="auto"/>
          <w:sz w:val="24"/>
          <w:szCs w:val="24"/>
          <w:highlight w:val="none"/>
        </w:rPr>
        <w:t>标文件，全权处理与该项目投标、评审答疑、签订合同以及与合同执行有关的一切事务，其法律后果由我方承担。</w:t>
      </w:r>
    </w:p>
    <w:p w14:paraId="62D405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662218C">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代理人无转委托权，特此委托。</w:t>
      </w:r>
    </w:p>
    <w:p w14:paraId="2FD10CC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附：委托</w:t>
      </w:r>
      <w:r>
        <w:rPr>
          <w:rFonts w:hint="eastAsia" w:ascii="宋体" w:hAnsi="宋体" w:eastAsia="宋体" w:cs="宋体"/>
          <w:color w:val="auto"/>
          <w:sz w:val="24"/>
          <w:szCs w:val="24"/>
          <w:highlight w:val="none"/>
          <w:lang w:val="en-US" w:eastAsia="zh-CN"/>
        </w:rPr>
        <w:t>代理</w:t>
      </w:r>
      <w:r>
        <w:rPr>
          <w:rFonts w:hint="eastAsia" w:ascii="宋体" w:hAnsi="宋体" w:eastAsia="宋体" w:cs="宋体"/>
          <w:color w:val="auto"/>
          <w:sz w:val="24"/>
          <w:szCs w:val="24"/>
          <w:highlight w:val="none"/>
        </w:rPr>
        <w:t>人有效身份证</w:t>
      </w:r>
      <w:r>
        <w:rPr>
          <w:rFonts w:hint="eastAsia" w:ascii="宋体" w:hAnsi="宋体" w:eastAsia="宋体" w:cs="宋体"/>
          <w:color w:val="auto"/>
          <w:sz w:val="24"/>
          <w:szCs w:val="24"/>
          <w:highlight w:val="none"/>
          <w:lang w:val="en-US" w:eastAsia="zh-CN"/>
        </w:rPr>
        <w:t>复印件</w:t>
      </w:r>
    </w:p>
    <w:p w14:paraId="65F48A2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法定代表人有效身份证</w:t>
      </w:r>
      <w:r>
        <w:rPr>
          <w:rFonts w:hint="eastAsia" w:ascii="宋体" w:hAnsi="宋体" w:eastAsia="宋体" w:cs="宋体"/>
          <w:color w:val="auto"/>
          <w:sz w:val="24"/>
          <w:szCs w:val="24"/>
          <w:highlight w:val="none"/>
          <w:lang w:val="en-US" w:eastAsia="zh-CN"/>
        </w:rPr>
        <w:t>复印件</w:t>
      </w:r>
    </w:p>
    <w:p w14:paraId="17CB586C">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color w:val="auto"/>
          <w:sz w:val="24"/>
          <w:szCs w:val="24"/>
          <w:highlight w:val="none"/>
          <w:lang w:val="en-US"/>
        </w:rPr>
      </w:pPr>
    </w:p>
    <w:p w14:paraId="508E577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14:paraId="1F6CA00F">
      <w:pPr>
        <w:keepNext w:val="0"/>
        <w:keepLines w:val="0"/>
        <w:widowControl/>
        <w:suppressLineNumbers w:val="0"/>
        <w:spacing w:before="0" w:beforeAutospacing="0" w:after="0" w:afterAutospacing="0" w:line="357" w:lineRule="atLeast"/>
        <w:ind w:left="0" w:right="0" w:firstLine="2880" w:firstLineChars="1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投标人（盖单位章）：</w:t>
      </w:r>
    </w:p>
    <w:p w14:paraId="788098EB">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法定代表人（身份证号码）：           （签字或盖章）</w:t>
      </w:r>
    </w:p>
    <w:p w14:paraId="507B1B41">
      <w:pPr>
        <w:keepNext w:val="0"/>
        <w:keepLines w:val="0"/>
        <w:widowControl/>
        <w:suppressLineNumbers w:val="0"/>
        <w:spacing w:before="0" w:beforeAutospacing="0" w:after="0" w:afterAutospacing="0" w:line="480" w:lineRule="exact"/>
        <w:ind w:left="0" w:right="0" w:firstLine="2280" w:firstLineChars="95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委托代理人（身份证号码）：           （签字或盖章）</w:t>
      </w:r>
    </w:p>
    <w:p w14:paraId="465BFA0B">
      <w:pPr>
        <w:keepNext w:val="0"/>
        <w:keepLines w:val="0"/>
        <w:widowControl/>
        <w:suppressLineNumbers w:val="0"/>
        <w:spacing w:before="0" w:beforeAutospacing="0" w:after="0" w:afterAutospacing="0" w:line="480" w:lineRule="exact"/>
        <w:ind w:left="0" w:right="0" w:firstLine="2820" w:firstLineChars="1175"/>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年    月    日</w:t>
      </w:r>
    </w:p>
    <w:p w14:paraId="18574A00">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380AC080">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13FFE6D2">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2F599704">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32161023">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6EB99238">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Calibri" w:hAnsi="Calibri" w:eastAsia="宋体" w:cs="Calibri"/>
          <w:b/>
          <w:bCs w:val="0"/>
          <w:color w:val="auto"/>
          <w:kern w:val="0"/>
          <w:sz w:val="28"/>
          <w:szCs w:val="28"/>
          <w:highlight w:val="none"/>
          <w:u w:color="000000"/>
          <w:lang w:val="en-US" w:eastAsia="zh-CN" w:bidi="ar"/>
        </w:rPr>
        <w:t>2</w:t>
      </w:r>
    </w:p>
    <w:p w14:paraId="21003282">
      <w:pPr>
        <w:spacing w:line="360" w:lineRule="exact"/>
        <w:ind w:firstLine="413" w:firstLineChars="147"/>
        <w:jc w:val="center"/>
        <w:rPr>
          <w:rFonts w:hint="default" w:ascii="Calibri" w:hAnsi="Calibri" w:cs="Times New Roman"/>
          <w:b/>
          <w:bCs w:val="0"/>
          <w:color w:val="auto"/>
          <w:sz w:val="28"/>
          <w:szCs w:val="28"/>
          <w:highlight w:val="none"/>
          <w:lang w:val="en-US"/>
        </w:rPr>
      </w:pPr>
      <w:r>
        <w:rPr>
          <w:rFonts w:hint="eastAsia"/>
          <w:b/>
          <w:color w:val="auto"/>
          <w:sz w:val="28"/>
          <w:szCs w:val="28"/>
          <w:highlight w:val="none"/>
        </w:rPr>
        <w:t>诚信投标承诺书</w:t>
      </w:r>
    </w:p>
    <w:p w14:paraId="25B89C88">
      <w:pPr>
        <w:spacing w:line="500" w:lineRule="exact"/>
        <w:rPr>
          <w:rFonts w:ascii="宋体" w:hAnsi="宋体" w:eastAsia="宋体" w:cs="宋体"/>
          <w:color w:val="auto"/>
          <w:szCs w:val="21"/>
          <w:highlight w:val="none"/>
        </w:rPr>
      </w:pPr>
      <w:bookmarkStart w:id="78" w:name="_Toc425084385"/>
      <w:bookmarkStart w:id="79" w:name="_Toc451384148"/>
      <w:r>
        <w:rPr>
          <w:rFonts w:hint="eastAsia" w:ascii="宋体" w:hAnsi="宋体" w:eastAsia="宋体" w:cs="宋体"/>
          <w:color w:val="auto"/>
          <w:szCs w:val="21"/>
          <w:highlight w:val="none"/>
        </w:rPr>
        <w:t>本人以企业法定代表人的身份郑重承诺：</w:t>
      </w:r>
    </w:p>
    <w:p w14:paraId="471FB144">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一、将遵循公开、公正和诚实信用的原则自愿参加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项目的投标，所提供的一切材料都是真实、有效、合法的；</w:t>
      </w:r>
    </w:p>
    <w:p w14:paraId="716308F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170E27A5">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三、不出借、转让资质证书，不让他人挂靠投标，不以他人名义投标或者以其他方式弄虚作假，骗取中标；</w:t>
      </w:r>
    </w:p>
    <w:p w14:paraId="2BA6A371">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四、不与其他投标人相互串通投标报价，不排挤其他投标人的公平竞争、损害招标人的合法权益；</w:t>
      </w:r>
    </w:p>
    <w:p w14:paraId="4F3E7BE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五、不与招标人、招标代理机构或其他投标人串通投标，损害国家利益、社会公共利益或者他人的合法权益；</w:t>
      </w:r>
    </w:p>
    <w:p w14:paraId="4537889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六、</w:t>
      </w:r>
      <w:r>
        <w:rPr>
          <w:rFonts w:hint="eastAsia" w:ascii="宋体" w:hAnsi="宋体" w:eastAsia="宋体" w:cs="宋体"/>
          <w:color w:val="auto"/>
          <w:kern w:val="2"/>
          <w:sz w:val="21"/>
          <w:szCs w:val="21"/>
          <w:highlight w:val="none"/>
          <w:u w:val="single"/>
          <w:lang w:val="en-US" w:eastAsia="zh-CN" w:bidi="ar"/>
        </w:rPr>
        <w:t xml:space="preserve">       （企业名称）</w:t>
      </w:r>
      <w:r>
        <w:rPr>
          <w:rFonts w:hint="eastAsia" w:ascii="宋体" w:hAnsi="宋体" w:eastAsia="宋体" w:cs="宋体"/>
          <w:color w:val="auto"/>
          <w:kern w:val="2"/>
          <w:sz w:val="21"/>
          <w:szCs w:val="21"/>
          <w:highlight w:val="none"/>
          <w:lang w:val="en-US" w:eastAsia="zh-CN" w:bidi="ar"/>
        </w:rPr>
        <w:t>或</w:t>
      </w:r>
      <w:r>
        <w:rPr>
          <w:rFonts w:hint="eastAsia" w:ascii="宋体" w:hAnsi="宋体" w:eastAsia="宋体" w:cs="宋体"/>
          <w:color w:val="auto"/>
          <w:kern w:val="2"/>
          <w:sz w:val="21"/>
          <w:szCs w:val="21"/>
          <w:highlight w:val="none"/>
          <w:u w:val="single"/>
          <w:lang w:val="en-US" w:eastAsia="zh-CN" w:bidi="ar"/>
        </w:rPr>
        <w:t xml:space="preserve">       （企业名称）</w:t>
      </w:r>
      <w:r>
        <w:rPr>
          <w:rFonts w:hint="eastAsia" w:ascii="宋体" w:hAnsi="宋体" w:eastAsia="宋体" w:cs="宋体"/>
          <w:color w:val="auto"/>
          <w:kern w:val="2"/>
          <w:sz w:val="21"/>
          <w:szCs w:val="21"/>
          <w:highlight w:val="none"/>
          <w:lang w:val="en-US" w:eastAsia="zh-CN"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58D5EDD5">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、严格遵守开标现场纪律，服从监管人员管理；</w:t>
      </w:r>
    </w:p>
    <w:p w14:paraId="74E44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、保证中标后不转包，若有分包征得招标人同意；</w:t>
      </w:r>
    </w:p>
    <w:p w14:paraId="5A85D41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、保证中标之后，按照投标文件要求提供相关后续服务；</w:t>
      </w:r>
    </w:p>
    <w:p w14:paraId="27DF9932">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十、保证企业及所属相关人员在本次投标中无行贿等犯罪行为；</w:t>
      </w:r>
    </w:p>
    <w:p w14:paraId="5B4BCFBE">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5BC9A9F">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1A33A824">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719B214E">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开户银行：                      基本账户：</w:t>
      </w:r>
    </w:p>
    <w:p w14:paraId="46BBC7CE">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投标单位（盖单位章）：          法定代表人（签字或盖章）：</w:t>
      </w:r>
    </w:p>
    <w:p w14:paraId="606FD9D0">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7E8E98CC">
      <w:pPr>
        <w:widowControl/>
        <w:ind w:firstLine="420" w:firstLineChars="200"/>
        <w:jc w:val="left"/>
        <w:rPr>
          <w:rFonts w:asciiTheme="minorEastAsia" w:hAnsiTheme="minorEastAsia" w:eastAsiaTheme="minorEastAsia"/>
          <w:b/>
          <w:color w:val="auto"/>
          <w:sz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p>
    <w:p w14:paraId="1C654CCC">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p>
    <w:bookmarkEnd w:id="78"/>
    <w:bookmarkEnd w:id="79"/>
    <w:p w14:paraId="492E2F17">
      <w:pPr>
        <w:pageBreakBefore w:val="0"/>
        <w:widowControl w:val="0"/>
        <w:kinsoku/>
        <w:wordWrap/>
        <w:overflowPunct/>
        <w:topLinePunct w:val="0"/>
        <w:autoSpaceDE/>
        <w:autoSpaceDN/>
        <w:bidi w:val="0"/>
        <w:spacing w:line="3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DF5AC10">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kern w:val="0"/>
          <w:sz w:val="44"/>
          <w:szCs w:val="44"/>
          <w:highlight w:val="none"/>
          <w:u w:color="000000"/>
          <w:lang w:val="en-US" w:eastAsia="zh-CN" w:bidi="ar"/>
        </w:rPr>
      </w:pPr>
    </w:p>
    <w:p w14:paraId="0F817501">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kern w:val="0"/>
          <w:sz w:val="44"/>
          <w:szCs w:val="44"/>
          <w:highlight w:val="none"/>
          <w:u w:color="000000"/>
          <w:lang w:val="en-US" w:eastAsia="zh-CN" w:bidi="ar"/>
        </w:rPr>
      </w:pPr>
    </w:p>
    <w:p w14:paraId="682EA8EE">
      <w:pPr>
        <w:pStyle w:val="12"/>
        <w:rPr>
          <w:rFonts w:hint="eastAsia"/>
          <w:color w:val="auto"/>
          <w:highlight w:val="none"/>
          <w:lang w:val="en-US" w:eastAsia="zh-CN"/>
        </w:rPr>
      </w:pPr>
    </w:p>
    <w:p w14:paraId="222A88F9">
      <w:pPr>
        <w:keepNext w:val="0"/>
        <w:keepLines w:val="0"/>
        <w:widowControl/>
        <w:suppressLineNumbers w:val="0"/>
        <w:spacing w:before="0" w:beforeAutospacing="0" w:after="0" w:afterAutospacing="0" w:line="357" w:lineRule="atLeast"/>
        <w:ind w:left="0" w:right="0"/>
        <w:jc w:val="center"/>
        <w:outlineLvl w:val="1"/>
        <w:rPr>
          <w:rFonts w:hint="default"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技术标文件</w:t>
      </w:r>
    </w:p>
    <w:p w14:paraId="70434FF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（投标文件二）</w:t>
      </w:r>
    </w:p>
    <w:p w14:paraId="1EDE11CA">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2269330D">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14:paraId="2118754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68DE695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314DD4F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118AF2ED">
      <w:pPr>
        <w:pStyle w:val="7"/>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67C2C7F6">
      <w:pPr>
        <w:pStyle w:val="19"/>
        <w:widowControl/>
        <w:rPr>
          <w:color w:val="auto"/>
          <w:highlight w:val="none"/>
          <w:lang w:val="en-US"/>
        </w:rPr>
      </w:pPr>
      <w:r>
        <w:rPr>
          <w:color w:val="auto"/>
          <w:highlight w:val="none"/>
          <w:lang w:val="en-US"/>
        </w:rPr>
        <w:t xml:space="preserve"> </w:t>
      </w:r>
    </w:p>
    <w:p w14:paraId="46C5B2F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kern w:val="0"/>
          <w:sz w:val="28"/>
          <w:szCs w:val="28"/>
          <w:highlight w:val="none"/>
          <w:u w:color="000000"/>
          <w:lang w:val="en-US" w:eastAsia="zh-CN" w:bidi="ar"/>
        </w:rPr>
      </w:pPr>
      <w:r>
        <w:rPr>
          <w:rFonts w:hint="eastAsia" w:ascii="宋体" w:hAnsi="宋体" w:eastAsia="宋体" w:cs="宋体"/>
          <w:color w:val="auto"/>
          <w:kern w:val="0"/>
          <w:sz w:val="28"/>
          <w:szCs w:val="28"/>
          <w:highlight w:val="none"/>
          <w:u w:color="000000"/>
          <w:lang w:val="en-US" w:eastAsia="zh-CN" w:bidi="ar"/>
        </w:rPr>
        <w:t xml:space="preserve"> </w:t>
      </w:r>
    </w:p>
    <w:p w14:paraId="32DEEBF8">
      <w:pPr>
        <w:pStyle w:val="12"/>
        <w:rPr>
          <w:rFonts w:hint="eastAsia"/>
          <w:color w:val="auto"/>
          <w:highlight w:val="none"/>
          <w:lang w:val="en-US" w:eastAsia="zh-CN"/>
        </w:rPr>
      </w:pPr>
    </w:p>
    <w:p w14:paraId="2A81B0E4">
      <w:pPr>
        <w:pStyle w:val="7"/>
        <w:rPr>
          <w:rFonts w:hint="eastAsia" w:ascii="宋体" w:hAnsi="宋体" w:eastAsia="宋体" w:cs="宋体"/>
          <w:color w:val="auto"/>
          <w:kern w:val="0"/>
          <w:sz w:val="28"/>
          <w:szCs w:val="28"/>
          <w:highlight w:val="none"/>
          <w:u w:color="000000"/>
          <w:lang w:val="en-US" w:eastAsia="zh-CN" w:bidi="ar"/>
        </w:rPr>
      </w:pPr>
    </w:p>
    <w:p w14:paraId="15EFB49E">
      <w:pPr>
        <w:rPr>
          <w:rFonts w:hint="eastAsia"/>
          <w:color w:val="auto"/>
          <w:highlight w:val="none"/>
          <w:lang w:val="en-US"/>
        </w:rPr>
      </w:pPr>
    </w:p>
    <w:p w14:paraId="45402A3E">
      <w:pPr>
        <w:pStyle w:val="12"/>
        <w:rPr>
          <w:rFonts w:hint="eastAsia"/>
          <w:color w:val="auto"/>
          <w:highlight w:val="none"/>
          <w:lang w:val="en-US"/>
        </w:rPr>
      </w:pPr>
    </w:p>
    <w:p w14:paraId="143113A5">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CBA3640">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rPr>
        <w:t>（签字或盖章）</w:t>
      </w:r>
    </w:p>
    <w:p w14:paraId="163DF647">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7F321EA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color w:val="auto"/>
          <w:sz w:val="44"/>
          <w:szCs w:val="44"/>
          <w:highlight w:val="none"/>
          <w:lang w:val="en-US"/>
        </w:rPr>
      </w:pPr>
      <w:r>
        <w:rPr>
          <w:rFonts w:hint="default" w:ascii="Times New Roman" w:hAnsi="Times New Roman" w:eastAsia="宋体" w:cs="Times New Roman"/>
          <w:b/>
          <w:bCs w:val="0"/>
          <w:color w:val="auto"/>
          <w:kern w:val="0"/>
          <w:sz w:val="44"/>
          <w:szCs w:val="44"/>
          <w:highlight w:val="none"/>
          <w:lang w:val="en-US" w:eastAsia="zh-CN" w:bidi="ar"/>
        </w:rPr>
        <w:br w:type="page"/>
      </w:r>
      <w:r>
        <w:rPr>
          <w:rFonts w:hint="eastAsia" w:ascii="宋体" w:hAnsi="宋体" w:eastAsia="宋体" w:cs="宋体"/>
          <w:b/>
          <w:bCs w:val="0"/>
          <w:color w:val="auto"/>
          <w:kern w:val="0"/>
          <w:sz w:val="44"/>
          <w:szCs w:val="44"/>
          <w:highlight w:val="none"/>
          <w:u w:color="000000"/>
          <w:lang w:val="en-US" w:eastAsia="zh-CN" w:bidi="ar"/>
        </w:rPr>
        <w:t>目   录</w:t>
      </w:r>
    </w:p>
    <w:p w14:paraId="08FC299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p>
    <w:p w14:paraId="15466216">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0FCAAC02">
      <w:pPr>
        <w:spacing w:line="360" w:lineRule="auto"/>
        <w:ind w:firstLine="420" w:firstLineChars="200"/>
        <w:rPr>
          <w:rFonts w:hint="default"/>
          <w:color w:val="auto"/>
          <w:highlight w:val="none"/>
          <w:lang w:val="en-US" w:eastAsia="zh-CN"/>
        </w:rPr>
      </w:pPr>
      <w:r>
        <w:rPr>
          <w:rFonts w:hint="eastAsia" w:ascii="宋体" w:hAnsi="Times New Roman" w:eastAsia="宋体" w:cs="Times New Roman"/>
          <w:color w:val="auto"/>
          <w:szCs w:val="21"/>
          <w:highlight w:val="none"/>
        </w:rPr>
        <w:t>（1）</w:t>
      </w:r>
      <w:r>
        <w:rPr>
          <w:rFonts w:hint="eastAsia" w:ascii="宋体" w:hAnsi="Times New Roman" w:eastAsia="宋体" w:cs="Times New Roman"/>
          <w:color w:val="auto"/>
          <w:szCs w:val="21"/>
          <w:highlight w:val="none"/>
          <w:lang w:val="en-US" w:eastAsia="zh-CN"/>
        </w:rPr>
        <w:t>招标文件中要求的技术标评审材料；</w:t>
      </w:r>
    </w:p>
    <w:p w14:paraId="1780FE7A">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lang w:eastAsia="zh-CN"/>
        </w:rPr>
        <w:t>）投标人认为需要提供的其他</w:t>
      </w:r>
      <w:r>
        <w:rPr>
          <w:rFonts w:hint="eastAsia" w:ascii="宋体" w:hAnsi="Times New Roman" w:eastAsia="宋体" w:cs="Times New Roman"/>
          <w:color w:val="auto"/>
          <w:szCs w:val="21"/>
          <w:highlight w:val="none"/>
          <w:lang w:val="en-US" w:eastAsia="zh-CN"/>
        </w:rPr>
        <w:t>技术标</w:t>
      </w:r>
      <w:r>
        <w:rPr>
          <w:rFonts w:hint="eastAsia" w:ascii="宋体" w:hAnsi="Times New Roman" w:eastAsia="宋体" w:cs="Times New Roman"/>
          <w:color w:val="auto"/>
          <w:szCs w:val="21"/>
          <w:highlight w:val="none"/>
          <w:lang w:eastAsia="zh-CN"/>
        </w:rPr>
        <w:t>证明材料。</w:t>
      </w:r>
    </w:p>
    <w:p w14:paraId="05542255">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47B7D267">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26F889C4">
      <w:pPr>
        <w:pStyle w:val="12"/>
        <w:rPr>
          <w:rFonts w:hint="eastAsia"/>
          <w:color w:val="auto"/>
          <w:highlight w:val="none"/>
          <w:lang w:val="en-US" w:eastAsia="zh-CN"/>
        </w:rPr>
      </w:pPr>
      <w:r>
        <w:rPr>
          <w:rFonts w:hint="default" w:ascii="Times New Roman" w:hAnsi="Times New Roman" w:eastAsia="宋体" w:cs="Times New Roman"/>
          <w:b/>
          <w:bCs w:val="0"/>
          <w:color w:val="auto"/>
          <w:kern w:val="0"/>
          <w:sz w:val="28"/>
          <w:szCs w:val="28"/>
          <w:highlight w:val="none"/>
          <w:lang w:val="en-US" w:eastAsia="zh-CN" w:bidi="ar"/>
        </w:rPr>
        <w:br w:type="page"/>
      </w:r>
    </w:p>
    <w:p w14:paraId="1A2A1CF2">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kern w:val="0"/>
          <w:sz w:val="44"/>
          <w:szCs w:val="44"/>
          <w:highlight w:val="none"/>
          <w:u w:color="000000"/>
          <w:lang w:val="en-US" w:eastAsia="zh-CN" w:bidi="ar"/>
        </w:rPr>
      </w:pPr>
    </w:p>
    <w:p w14:paraId="359730E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kern w:val="0"/>
          <w:sz w:val="44"/>
          <w:szCs w:val="44"/>
          <w:highlight w:val="none"/>
          <w:u w:color="000000"/>
          <w:lang w:val="en-US" w:eastAsia="zh-CN" w:bidi="ar"/>
        </w:rPr>
      </w:pPr>
    </w:p>
    <w:p w14:paraId="1F121AC1">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商务标</w:t>
      </w:r>
    </w:p>
    <w:p w14:paraId="7FAA22A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6"/>
          <w:szCs w:val="36"/>
          <w:highlight w:val="none"/>
          <w:lang w:val="en-US"/>
        </w:rPr>
      </w:pPr>
      <w:bookmarkStart w:id="80" w:name="_Toc27638_WPSOffice_Level2"/>
      <w:bookmarkEnd w:id="80"/>
      <w:r>
        <w:rPr>
          <w:rFonts w:hint="eastAsia" w:ascii="宋体" w:hAnsi="宋体" w:eastAsia="宋体" w:cs="宋体"/>
          <w:color w:val="auto"/>
          <w:kern w:val="0"/>
          <w:sz w:val="44"/>
          <w:szCs w:val="44"/>
          <w:highlight w:val="none"/>
          <w:u w:color="000000"/>
          <w:lang w:val="en-US" w:eastAsia="zh-CN" w:bidi="ar"/>
        </w:rPr>
        <w:t>（</w:t>
      </w:r>
      <w:r>
        <w:rPr>
          <w:rFonts w:hint="eastAsia" w:ascii="宋体" w:hAnsi="宋体" w:eastAsia="宋体" w:cs="宋体"/>
          <w:color w:val="auto"/>
          <w:kern w:val="0"/>
          <w:sz w:val="36"/>
          <w:szCs w:val="36"/>
          <w:highlight w:val="none"/>
          <w:u w:color="000000"/>
          <w:lang w:val="en-US" w:eastAsia="zh-CN" w:bidi="ar"/>
        </w:rPr>
        <w:t>投标文件三）</w:t>
      </w:r>
    </w:p>
    <w:p w14:paraId="36A53FA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6"/>
          <w:szCs w:val="36"/>
          <w:highlight w:val="none"/>
          <w:lang w:val="en-US"/>
        </w:rPr>
      </w:pPr>
      <w:r>
        <w:rPr>
          <w:rFonts w:hint="eastAsia" w:ascii="宋体" w:hAnsi="宋体" w:eastAsia="宋体" w:cs="宋体"/>
          <w:color w:val="auto"/>
          <w:kern w:val="0"/>
          <w:sz w:val="36"/>
          <w:szCs w:val="36"/>
          <w:highlight w:val="none"/>
          <w:u w:color="000000"/>
          <w:lang w:val="en-US" w:eastAsia="zh-CN" w:bidi="ar"/>
        </w:rPr>
        <w:t xml:space="preserve"> </w:t>
      </w:r>
    </w:p>
    <w:p w14:paraId="50280E71">
      <w:pPr>
        <w:keepNext w:val="0"/>
        <w:keepLines w:val="0"/>
        <w:widowControl/>
        <w:suppressLineNumbers w:val="0"/>
        <w:spacing w:before="0" w:beforeAutospacing="0" w:after="0" w:afterAutospacing="0" w:line="357" w:lineRule="atLeast"/>
        <w:ind w:left="0" w:right="0" w:firstLine="2700" w:firstLineChars="90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14:paraId="22ACBF2D">
      <w:pPr>
        <w:pStyle w:val="19"/>
        <w:widowControl/>
        <w:jc w:val="center"/>
        <w:rPr>
          <w:rFonts w:hint="eastAsia" w:ascii="宋体" w:hAnsi="宋体" w:eastAsia="宋体" w:cs="宋体"/>
          <w:color w:val="auto"/>
          <w:sz w:val="44"/>
          <w:szCs w:val="44"/>
          <w:highlight w:val="none"/>
          <w:lang w:val="en-US"/>
        </w:rPr>
      </w:pPr>
      <w:r>
        <w:rPr>
          <w:rFonts w:hint="eastAsia" w:ascii="宋体" w:hAnsi="宋体" w:eastAsia="宋体" w:cs="宋体"/>
          <w:color w:val="auto"/>
          <w:kern w:val="0"/>
          <w:sz w:val="44"/>
          <w:szCs w:val="44"/>
          <w:highlight w:val="none"/>
          <w:u w:color="000000"/>
          <w:lang w:val="en-US" w:eastAsia="zh-CN" w:bidi="ar"/>
        </w:rPr>
        <w:t xml:space="preserve"> </w:t>
      </w:r>
    </w:p>
    <w:p w14:paraId="398C7E99">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C862AE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6461693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5F7CE6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D2D90B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7332C3A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F16047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kern w:val="0"/>
          <w:sz w:val="28"/>
          <w:szCs w:val="28"/>
          <w:highlight w:val="none"/>
          <w:u w:color="000000"/>
          <w:lang w:val="en-US" w:eastAsia="zh-CN" w:bidi="ar"/>
        </w:rPr>
      </w:pPr>
      <w:r>
        <w:rPr>
          <w:rFonts w:hint="eastAsia" w:ascii="宋体" w:hAnsi="宋体" w:eastAsia="宋体" w:cs="宋体"/>
          <w:color w:val="auto"/>
          <w:kern w:val="0"/>
          <w:sz w:val="28"/>
          <w:szCs w:val="28"/>
          <w:highlight w:val="none"/>
          <w:u w:color="000000"/>
          <w:lang w:val="en-US" w:eastAsia="zh-CN" w:bidi="ar"/>
        </w:rPr>
        <w:t xml:space="preserve"> </w:t>
      </w:r>
    </w:p>
    <w:p w14:paraId="496AE596">
      <w:pPr>
        <w:pStyle w:val="7"/>
        <w:rPr>
          <w:rFonts w:hint="eastAsia" w:ascii="宋体" w:hAnsi="宋体" w:eastAsia="宋体" w:cs="宋体"/>
          <w:color w:val="auto"/>
          <w:kern w:val="0"/>
          <w:sz w:val="28"/>
          <w:szCs w:val="28"/>
          <w:highlight w:val="none"/>
          <w:u w:color="000000"/>
          <w:lang w:val="en-US" w:eastAsia="zh-CN" w:bidi="ar"/>
        </w:rPr>
      </w:pPr>
    </w:p>
    <w:p w14:paraId="46CF0AEC">
      <w:pPr>
        <w:rPr>
          <w:rFonts w:hint="eastAsia" w:ascii="宋体" w:hAnsi="宋体" w:eastAsia="宋体" w:cs="宋体"/>
          <w:color w:val="auto"/>
          <w:kern w:val="0"/>
          <w:sz w:val="28"/>
          <w:szCs w:val="28"/>
          <w:highlight w:val="none"/>
          <w:u w:color="000000"/>
          <w:lang w:val="en-US" w:eastAsia="zh-CN" w:bidi="ar"/>
        </w:rPr>
      </w:pPr>
    </w:p>
    <w:p w14:paraId="6E490D6E">
      <w:pPr>
        <w:pStyle w:val="7"/>
        <w:rPr>
          <w:rFonts w:hint="eastAsia"/>
          <w:color w:val="auto"/>
          <w:highlight w:val="none"/>
          <w:lang w:val="en-US"/>
        </w:rPr>
      </w:pPr>
    </w:p>
    <w:p w14:paraId="7BDFFA6F">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7A143B5">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4043AEED">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125CAB9E">
      <w:pPr>
        <w:rPr>
          <w:color w:val="auto"/>
          <w:highlight w:val="none"/>
          <w:lang w:val="en-US"/>
        </w:rPr>
      </w:pPr>
      <w:r>
        <w:rPr>
          <w:color w:val="auto"/>
          <w:highlight w:val="none"/>
          <w:lang w:val="en-US"/>
        </w:rPr>
        <w:br w:type="page"/>
      </w:r>
    </w:p>
    <w:p w14:paraId="29E3D448">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sz w:val="36"/>
          <w:szCs w:val="36"/>
          <w:highlight w:val="none"/>
          <w:lang w:val="en-US"/>
        </w:rPr>
      </w:pPr>
      <w:r>
        <w:rPr>
          <w:color w:val="auto"/>
          <w:highlight w:val="none"/>
          <w:lang w:val="en-US"/>
        </w:rPr>
        <w:t xml:space="preserve"> </w:t>
      </w:r>
      <w:r>
        <w:rPr>
          <w:rFonts w:hint="eastAsia" w:ascii="宋体" w:hAnsi="宋体" w:eastAsia="宋体" w:cs="宋体"/>
          <w:b/>
          <w:bCs w:val="0"/>
          <w:color w:val="auto"/>
          <w:kern w:val="0"/>
          <w:sz w:val="44"/>
          <w:szCs w:val="44"/>
          <w:highlight w:val="none"/>
          <w:u w:color="000000"/>
          <w:lang w:val="en-US" w:eastAsia="zh-CN" w:bidi="ar"/>
        </w:rPr>
        <w:t>目</w:t>
      </w:r>
      <w:r>
        <w:rPr>
          <w:rFonts w:hint="default" w:ascii="Calibri" w:hAnsi="Calibri" w:eastAsia="宋体" w:cs="Times New Roman"/>
          <w:b/>
          <w:bCs w:val="0"/>
          <w:color w:val="auto"/>
          <w:kern w:val="0"/>
          <w:sz w:val="44"/>
          <w:szCs w:val="44"/>
          <w:highlight w:val="none"/>
          <w:u w:color="000000"/>
          <w:lang w:val="en-US" w:eastAsia="zh-CN" w:bidi="ar"/>
        </w:rPr>
        <w:t xml:space="preserve">   </w:t>
      </w:r>
      <w:r>
        <w:rPr>
          <w:rFonts w:hint="eastAsia" w:ascii="Calibri" w:hAnsi="Calibri" w:eastAsia="宋体" w:cs="宋体"/>
          <w:b/>
          <w:bCs w:val="0"/>
          <w:color w:val="auto"/>
          <w:kern w:val="0"/>
          <w:sz w:val="44"/>
          <w:szCs w:val="44"/>
          <w:highlight w:val="none"/>
          <w:u w:color="000000"/>
          <w:lang w:val="en-US" w:eastAsia="zh-CN" w:bidi="ar"/>
        </w:rPr>
        <w:t>录</w:t>
      </w:r>
    </w:p>
    <w:p w14:paraId="70B4FE0E">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 xml:space="preserve"> </w:t>
      </w:r>
    </w:p>
    <w:p w14:paraId="2B9C84AB">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auto"/>
          <w:kern w:val="0"/>
          <w:sz w:val="21"/>
          <w:szCs w:val="21"/>
          <w:highlight w:val="none"/>
          <w:u w:color="000000"/>
          <w:lang w:val="en-US" w:eastAsia="zh-CN" w:bidi="ar"/>
        </w:rPr>
      </w:pPr>
      <w:r>
        <w:rPr>
          <w:rFonts w:hint="eastAsia" w:ascii="宋体" w:hAnsi="Calibri" w:eastAsia="宋体" w:cs="宋体"/>
          <w:color w:val="auto"/>
          <w:kern w:val="0"/>
          <w:sz w:val="21"/>
          <w:szCs w:val="21"/>
          <w:highlight w:val="none"/>
          <w:u w:color="000000"/>
          <w:lang w:val="en-US" w:eastAsia="zh-CN" w:bidi="ar"/>
        </w:rPr>
        <w:t>（1）投标函（格式见附件）；</w:t>
      </w:r>
    </w:p>
    <w:p w14:paraId="128652E6">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auto"/>
          <w:kern w:val="0"/>
          <w:sz w:val="21"/>
          <w:szCs w:val="21"/>
          <w:highlight w:val="none"/>
          <w:u w:color="000000"/>
          <w:lang w:val="en-US" w:eastAsia="zh-CN" w:bidi="ar"/>
        </w:rPr>
      </w:pPr>
      <w:r>
        <w:rPr>
          <w:rFonts w:hint="eastAsia" w:ascii="宋体" w:hAnsi="Calibri" w:eastAsia="宋体" w:cs="宋体"/>
          <w:color w:val="auto"/>
          <w:kern w:val="0"/>
          <w:sz w:val="21"/>
          <w:szCs w:val="21"/>
          <w:highlight w:val="none"/>
          <w:u w:color="000000"/>
          <w:lang w:val="en-US" w:eastAsia="zh-CN" w:bidi="ar"/>
        </w:rPr>
        <w:t>（2）分项清单报价表（格式见附件）；</w:t>
      </w:r>
    </w:p>
    <w:p w14:paraId="5D91BD13">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auto"/>
          <w:kern w:val="0"/>
          <w:sz w:val="21"/>
          <w:szCs w:val="21"/>
          <w:highlight w:val="none"/>
          <w:u w:color="000000"/>
          <w:lang w:val="en-US" w:eastAsia="zh-CN" w:bidi="ar"/>
        </w:rPr>
      </w:pPr>
      <w:r>
        <w:rPr>
          <w:rFonts w:hint="eastAsia" w:ascii="宋体" w:hAnsi="Calibri" w:eastAsia="宋体" w:cs="宋体"/>
          <w:color w:val="auto"/>
          <w:kern w:val="0"/>
          <w:sz w:val="21"/>
          <w:szCs w:val="21"/>
          <w:highlight w:val="none"/>
          <w:u w:color="000000"/>
          <w:lang w:val="en-US" w:eastAsia="zh-CN" w:bidi="ar"/>
        </w:rPr>
        <w:t>（3）投标人认为需要提供的其他材料（如有）。</w:t>
      </w:r>
    </w:p>
    <w:p w14:paraId="29945D62">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auto"/>
          <w:kern w:val="0"/>
          <w:sz w:val="21"/>
          <w:szCs w:val="21"/>
          <w:highlight w:val="none"/>
          <w:u w:color="000000"/>
          <w:lang w:val="en-US" w:eastAsia="zh-CN" w:bidi="ar"/>
        </w:rPr>
      </w:pPr>
      <w:r>
        <w:rPr>
          <w:rFonts w:hint="eastAsia" w:ascii="宋体" w:hAnsi="Calibri" w:eastAsia="宋体" w:cs="宋体"/>
          <w:color w:val="auto"/>
          <w:kern w:val="0"/>
          <w:sz w:val="21"/>
          <w:szCs w:val="21"/>
          <w:highlight w:val="none"/>
          <w:u w:color="000000"/>
          <w:lang w:val="en-US" w:eastAsia="zh-CN" w:bidi="ar"/>
        </w:rPr>
        <w:t xml:space="preserve"> </w:t>
      </w:r>
    </w:p>
    <w:p w14:paraId="27C0C6F2">
      <w:pPr>
        <w:rPr>
          <w:rFonts w:hint="eastAsia" w:ascii="宋体" w:hAnsi="宋体" w:eastAsia="宋体" w:cs="宋体"/>
          <w:b/>
          <w:bCs w:val="0"/>
          <w:color w:val="auto"/>
          <w:kern w:val="0"/>
          <w:sz w:val="32"/>
          <w:szCs w:val="32"/>
          <w:highlight w:val="none"/>
          <w:u w:color="000000"/>
          <w:lang w:val="en-US" w:eastAsia="zh-CN" w:bidi="ar"/>
        </w:rPr>
      </w:pPr>
      <w:r>
        <w:rPr>
          <w:rFonts w:hint="eastAsia" w:ascii="宋体" w:hAnsi="宋体" w:eastAsia="宋体" w:cs="宋体"/>
          <w:b/>
          <w:bCs w:val="0"/>
          <w:color w:val="auto"/>
          <w:kern w:val="0"/>
          <w:sz w:val="32"/>
          <w:szCs w:val="32"/>
          <w:highlight w:val="none"/>
          <w:u w:color="000000"/>
          <w:lang w:val="en-US" w:eastAsia="zh-CN" w:bidi="ar"/>
        </w:rPr>
        <w:br w:type="page"/>
      </w:r>
    </w:p>
    <w:p w14:paraId="11B8522A">
      <w:pPr>
        <w:jc w:val="left"/>
        <w:rPr>
          <w:rFonts w:hint="default"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附件1</w:t>
      </w:r>
    </w:p>
    <w:p w14:paraId="66B82906">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36"/>
          <w:szCs w:val="36"/>
          <w:highlight w:val="none"/>
          <w:u w:color="000000"/>
          <w:lang w:val="en-US" w:eastAsia="zh-CN" w:bidi="ar"/>
        </w:rPr>
        <w:t>投  标  函</w:t>
      </w:r>
    </w:p>
    <w:p w14:paraId="07747121">
      <w:pPr>
        <w:widowControl/>
        <w:spacing w:before="100" w:beforeAutospacing="1" w:after="100" w:afterAutospacing="1" w:line="50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致：</w:t>
      </w:r>
      <w:r>
        <w:rPr>
          <w:rFonts w:hint="eastAsia" w:ascii="宋体" w:hAnsi="宋体" w:cs="宋体"/>
          <w:color w:val="auto"/>
          <w:kern w:val="0"/>
          <w:sz w:val="24"/>
          <w:highlight w:val="none"/>
          <w:u w:val="single"/>
        </w:rPr>
        <w:t>      （招标人）      </w:t>
      </w:r>
    </w:p>
    <w:p w14:paraId="411FD84C">
      <w:pPr>
        <w:widowControl/>
        <w:spacing w:before="100" w:beforeAutospacing="1" w:after="100" w:afterAutospacing="1" w:line="460" w:lineRule="exact"/>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1、我们决定参加贵单位组织的“</w:t>
      </w:r>
      <w:r>
        <w:rPr>
          <w:rFonts w:hint="eastAsia" w:ascii="宋体" w:hAnsi="宋体" w:cs="宋体"/>
          <w:color w:val="auto"/>
          <w:kern w:val="0"/>
          <w:sz w:val="24"/>
          <w:highlight w:val="none"/>
          <w:u w:val="single"/>
        </w:rPr>
        <w:t>    （项目名称）     </w:t>
      </w:r>
      <w:r>
        <w:rPr>
          <w:rFonts w:hint="eastAsia" w:ascii="宋体" w:hAnsi="宋体" w:cs="宋体"/>
          <w:color w:val="auto"/>
          <w:kern w:val="0"/>
          <w:sz w:val="24"/>
          <w:highlight w:val="none"/>
        </w:rPr>
        <w:t>”的招标。我方授权 </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(姓名和职务</w:t>
      </w:r>
      <w:r>
        <w:rPr>
          <w:rFonts w:ascii="Arial" w:hAnsi="Arial" w:cs="Arial"/>
          <w:color w:val="auto"/>
          <w:kern w:val="0"/>
          <w:sz w:val="24"/>
          <w:highlight w:val="none"/>
        </w:rPr>
        <w:t>)</w:t>
      </w:r>
      <w:r>
        <w:rPr>
          <w:rFonts w:hint="eastAsia" w:ascii="宋体" w:hAnsi="宋体" w:cs="宋体"/>
          <w:color w:val="auto"/>
          <w:kern w:val="0"/>
          <w:sz w:val="24"/>
          <w:highlight w:val="none"/>
        </w:rPr>
        <w:t>代表我方</w:t>
      </w:r>
      <w:r>
        <w:rPr>
          <w:rFonts w:hint="eastAsia" w:ascii="宋体" w:hAnsi="宋体" w:cs="宋体"/>
          <w:color w:val="auto"/>
          <w:kern w:val="0"/>
          <w:sz w:val="24"/>
          <w:highlight w:val="none"/>
          <w:u w:val="single"/>
        </w:rPr>
        <w:t>  （投标单位的名称）</w:t>
      </w:r>
      <w:r>
        <w:rPr>
          <w:rFonts w:hint="eastAsia" w:ascii="宋体" w:hAnsi="宋体" w:cs="宋体"/>
          <w:color w:val="auto"/>
          <w:kern w:val="0"/>
          <w:sz w:val="24"/>
          <w:highlight w:val="none"/>
        </w:rPr>
        <w:t>全权处理本项目投标的有关事宜。</w:t>
      </w:r>
    </w:p>
    <w:p w14:paraId="2E6EB72C">
      <w:pPr>
        <w:spacing w:line="460" w:lineRule="exact"/>
        <w:ind w:firstLine="482"/>
        <w:rPr>
          <w:rFonts w:hint="eastAsia" w:ascii="宋体" w:hAnsi="宋体"/>
          <w:color w:val="auto"/>
          <w:sz w:val="24"/>
          <w:highlight w:val="none"/>
        </w:rPr>
      </w:pPr>
      <w:r>
        <w:rPr>
          <w:rFonts w:hint="eastAsia" w:ascii="宋体" w:hAnsi="宋体" w:cs="宋体"/>
          <w:color w:val="auto"/>
          <w:kern w:val="0"/>
          <w:sz w:val="24"/>
          <w:highlight w:val="none"/>
        </w:rPr>
        <w:t>2、</w:t>
      </w:r>
      <w:r>
        <w:rPr>
          <w:rFonts w:hint="eastAsia" w:ascii="宋体" w:hAnsi="宋体"/>
          <w:color w:val="auto"/>
          <w:sz w:val="24"/>
          <w:highlight w:val="none"/>
        </w:rPr>
        <w:t>我方愿意按照</w:t>
      </w:r>
      <w:r>
        <w:rPr>
          <w:rFonts w:hint="eastAsia" w:ascii="宋体" w:hAnsi="宋体"/>
          <w:color w:val="auto"/>
          <w:sz w:val="24"/>
          <w:highlight w:val="none"/>
          <w:lang w:val="en-US" w:eastAsia="zh-CN"/>
        </w:rPr>
        <w:t>询价</w:t>
      </w:r>
      <w:r>
        <w:rPr>
          <w:rFonts w:hint="eastAsia" w:ascii="宋体" w:hAnsi="宋体"/>
          <w:color w:val="auto"/>
          <w:sz w:val="24"/>
          <w:highlight w:val="none"/>
        </w:rPr>
        <w:t xml:space="preserve">文件规定的各项要求，向招标人提供“ </w:t>
      </w:r>
      <w:r>
        <w:rPr>
          <w:rFonts w:hint="eastAsia" w:ascii="宋体" w:hAnsi="宋体"/>
          <w:color w:val="auto"/>
          <w:sz w:val="24"/>
          <w:highlight w:val="none"/>
          <w:u w:val="single"/>
        </w:rPr>
        <w:t xml:space="preserve"> </w:t>
      </w:r>
      <w:r>
        <w:rPr>
          <w:rFonts w:hint="eastAsia" w:ascii="宋体" w:hAnsi="宋体" w:cs="宋体"/>
          <w:color w:val="auto"/>
          <w:kern w:val="0"/>
          <w:sz w:val="24"/>
          <w:highlight w:val="none"/>
          <w:u w:val="single"/>
        </w:rPr>
        <w:t>（项目名称） </w:t>
      </w:r>
      <w:r>
        <w:rPr>
          <w:rFonts w:hint="eastAsia" w:ascii="宋体" w:hAnsi="宋体"/>
          <w:color w:val="auto"/>
          <w:sz w:val="24"/>
          <w:highlight w:val="none"/>
          <w:u w:val="single"/>
        </w:rPr>
        <w:t xml:space="preserve"> </w:t>
      </w:r>
      <w:r>
        <w:rPr>
          <w:rFonts w:hint="eastAsia" w:ascii="宋体" w:hAnsi="宋体"/>
          <w:color w:val="auto"/>
          <w:sz w:val="24"/>
          <w:highlight w:val="none"/>
        </w:rPr>
        <w:t>”的货物和服务，总投标价为人民币（大写）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，小写：</w:t>
      </w:r>
      <w:r>
        <w:rPr>
          <w:rFonts w:hint="eastAsia" w:ascii="宋体" w:hAnsi="宋体"/>
          <w:color w:val="auto"/>
          <w:sz w:val="24"/>
          <w:highlight w:val="none"/>
          <w:u w:val="single"/>
        </w:rPr>
        <w:t xml:space="preserve">     </w:t>
      </w:r>
      <w:r>
        <w:rPr>
          <w:rFonts w:hint="eastAsia" w:ascii="宋体" w:hAnsi="宋体"/>
          <w:color w:val="auto"/>
          <w:sz w:val="24"/>
          <w:highlight w:val="none"/>
        </w:rPr>
        <w:t>元。</w:t>
      </w:r>
    </w:p>
    <w:p w14:paraId="6714E7E1">
      <w:pPr>
        <w:widowControl/>
        <w:spacing w:before="100" w:beforeAutospacing="1" w:after="100" w:afterAutospacing="1" w:line="460" w:lineRule="exact"/>
        <w:ind w:firstLine="482"/>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3、一旦我方中标，</w:t>
      </w:r>
      <w:r>
        <w:rPr>
          <w:rFonts w:hint="eastAsia" w:ascii="宋体" w:hAnsi="宋体" w:cs="宋体"/>
          <w:color w:val="auto"/>
          <w:kern w:val="0"/>
          <w:sz w:val="24"/>
          <w:highlight w:val="none"/>
        </w:rPr>
        <w:t>保证</w:t>
      </w:r>
      <w:r>
        <w:rPr>
          <w:rFonts w:hint="eastAsia" w:ascii="宋体" w:hAnsi="宋体"/>
          <w:color w:val="auto"/>
          <w:sz w:val="24"/>
          <w:highlight w:val="none"/>
        </w:rPr>
        <w:t>严格履行交易文件及合同规定的责任和义务</w:t>
      </w:r>
      <w:r>
        <w:rPr>
          <w:rFonts w:hint="eastAsia" w:ascii="宋体" w:hAnsi="宋体" w:eastAsia="宋体" w:cs="宋体"/>
          <w:color w:val="auto"/>
          <w:kern w:val="0"/>
          <w:sz w:val="24"/>
          <w:highlight w:val="none"/>
        </w:rPr>
        <w:t>。</w:t>
      </w:r>
    </w:p>
    <w:p w14:paraId="3C83981B">
      <w:pPr>
        <w:widowControl/>
        <w:spacing w:before="100" w:beforeAutospacing="1" w:after="100" w:afterAutospacing="1" w:line="460" w:lineRule="exact"/>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4、我方为本项目提交的投标投标书一式三份，其中正本一份、副本二份。</w:t>
      </w:r>
    </w:p>
    <w:p w14:paraId="1A24DA69">
      <w:pPr>
        <w:widowControl/>
        <w:spacing w:before="100" w:beforeAutospacing="1" w:after="100" w:afterAutospacing="1" w:line="460" w:lineRule="exact"/>
        <w:ind w:firstLine="482"/>
        <w:jc w:val="left"/>
        <w:rPr>
          <w:rFonts w:ascii="宋体" w:hAnsi="宋体" w:cs="宋体"/>
          <w:color w:val="auto"/>
          <w:kern w:val="0"/>
          <w:sz w:val="24"/>
          <w:highlight w:val="none"/>
        </w:rPr>
      </w:pPr>
      <w:r>
        <w:rPr>
          <w:rFonts w:hint="eastAsia" w:ascii="宋体" w:hAnsi="宋体" w:cs="宋体"/>
          <w:color w:val="auto"/>
          <w:kern w:val="0"/>
          <w:sz w:val="24"/>
          <w:highlight w:val="none"/>
        </w:rPr>
        <w:t>5、我方愿意提供可能另外要求的、与招标投标有关的文件资料，并保证我方已提供和将要提供的文件是真实的、准确的。</w:t>
      </w:r>
    </w:p>
    <w:p w14:paraId="24DF533F">
      <w:pPr>
        <w:widowControl/>
        <w:spacing w:before="100" w:beforeAutospacing="1" w:after="100" w:afterAutospacing="1" w:line="440" w:lineRule="atLeast"/>
        <w:ind w:firstLine="360"/>
        <w:jc w:val="left"/>
        <w:rPr>
          <w:rFonts w:ascii="宋体" w:hAnsi="宋体" w:cs="宋体"/>
          <w:color w:val="auto"/>
          <w:kern w:val="0"/>
          <w:sz w:val="24"/>
          <w:highlight w:val="none"/>
          <w:u w:val="single"/>
        </w:rPr>
      </w:pPr>
      <w:r>
        <w:rPr>
          <w:rFonts w:hint="eastAsia" w:ascii="宋体" w:hAnsi="宋体" w:cs="宋体"/>
          <w:color w:val="auto"/>
          <w:kern w:val="0"/>
          <w:sz w:val="24"/>
          <w:highlight w:val="none"/>
        </w:rPr>
        <w:t> 投标单位名称</w:t>
      </w:r>
      <w:r>
        <w:rPr>
          <w:rFonts w:hint="eastAsia" w:ascii="宋体" w:hAnsi="宋体" w:cs="宋体"/>
          <w:color w:val="auto"/>
          <w:kern w:val="0"/>
          <w:sz w:val="24"/>
          <w:highlight w:val="none"/>
          <w:u w:val="single"/>
        </w:rPr>
        <w:t>：                      （公  章）</w:t>
      </w:r>
    </w:p>
    <w:p w14:paraId="22B14AF2">
      <w:pPr>
        <w:widowControl/>
        <w:spacing w:before="100" w:beforeAutospacing="1" w:after="100" w:afterAutospacing="1" w:line="440" w:lineRule="atLeast"/>
        <w:ind w:firstLine="360"/>
        <w:jc w:val="left"/>
        <w:rPr>
          <w:rFonts w:ascii="宋体" w:hAnsi="宋体" w:cs="宋体"/>
          <w:color w:val="auto"/>
          <w:kern w:val="0"/>
          <w:sz w:val="24"/>
          <w:highlight w:val="none"/>
        </w:rPr>
      </w:pPr>
      <w:r>
        <w:rPr>
          <w:rFonts w:hint="eastAsia" w:ascii="宋体" w:hAnsi="宋体" w:cs="宋体"/>
          <w:color w:val="auto"/>
          <w:kern w:val="0"/>
          <w:sz w:val="24"/>
          <w:highlight w:val="none"/>
        </w:rPr>
        <w:t> 投标单位法定代表人或授权代表姓名（签字或盖章）：</w:t>
      </w:r>
      <w:r>
        <w:rPr>
          <w:rFonts w:hint="eastAsia" w:ascii="宋体" w:hAnsi="宋体" w:cs="宋体"/>
          <w:color w:val="auto"/>
          <w:kern w:val="0"/>
          <w:sz w:val="24"/>
          <w:highlight w:val="none"/>
          <w:u w:val="single"/>
        </w:rPr>
        <w:t>        </w:t>
      </w:r>
    </w:p>
    <w:p w14:paraId="5D6DBC1B">
      <w:pPr>
        <w:widowControl/>
        <w:spacing w:before="100" w:beforeAutospacing="1" w:after="100" w:afterAutospacing="1" w:line="440" w:lineRule="atLeast"/>
        <w:ind w:firstLine="2880" w:firstLineChars="1200"/>
        <w:jc w:val="left"/>
        <w:rPr>
          <w:rFonts w:ascii="宋体" w:hAnsi="宋体" w:cs="宋体"/>
          <w:color w:val="auto"/>
          <w:kern w:val="0"/>
          <w:sz w:val="24"/>
          <w:highlight w:val="none"/>
        </w:rPr>
      </w:pPr>
      <w:r>
        <w:rPr>
          <w:rFonts w:hint="eastAsia" w:ascii="宋体" w:hAnsi="宋体" w:cs="宋体"/>
          <w:color w:val="auto"/>
          <w:kern w:val="0"/>
          <w:sz w:val="24"/>
          <w:highlight w:val="none"/>
        </w:rPr>
        <w:t>日  期：</w:t>
      </w:r>
      <w:r>
        <w:rPr>
          <w:rFonts w:hint="eastAsia" w:ascii="宋体" w:hAnsi="宋体" w:cs="宋体"/>
          <w:color w:val="auto"/>
          <w:kern w:val="0"/>
          <w:sz w:val="24"/>
          <w:highlight w:val="none"/>
          <w:u w:val="single"/>
        </w:rPr>
        <w:t>              </w:t>
      </w:r>
    </w:p>
    <w:p w14:paraId="37A68220">
      <w:pPr>
        <w:widowControl/>
        <w:spacing w:before="100" w:beforeAutospacing="1" w:after="100" w:afterAutospacing="1" w:line="440" w:lineRule="atLeast"/>
        <w:ind w:firstLine="2880" w:firstLineChars="1200"/>
        <w:jc w:val="left"/>
        <w:rPr>
          <w:rFonts w:ascii="宋体" w:hAnsi="宋体" w:cs="宋体"/>
          <w:color w:val="auto"/>
          <w:kern w:val="0"/>
          <w:sz w:val="24"/>
          <w:highlight w:val="none"/>
        </w:rPr>
      </w:pPr>
      <w:r>
        <w:rPr>
          <w:rFonts w:hint="eastAsia" w:ascii="宋体" w:hAnsi="宋体" w:cs="宋体"/>
          <w:color w:val="auto"/>
          <w:kern w:val="0"/>
          <w:sz w:val="24"/>
          <w:highlight w:val="none"/>
        </w:rPr>
        <w:t>通讯地址：</w:t>
      </w:r>
      <w:r>
        <w:rPr>
          <w:rFonts w:hint="eastAsia" w:ascii="宋体" w:hAnsi="宋体" w:cs="宋体"/>
          <w:color w:val="auto"/>
          <w:kern w:val="0"/>
          <w:sz w:val="24"/>
          <w:highlight w:val="none"/>
          <w:u w:val="single"/>
        </w:rPr>
        <w:t>                    </w:t>
      </w:r>
    </w:p>
    <w:p w14:paraId="10A32899">
      <w:pPr>
        <w:widowControl/>
        <w:spacing w:before="100" w:beforeAutospacing="1" w:after="100" w:afterAutospacing="1" w:line="440" w:lineRule="atLeast"/>
        <w:ind w:firstLine="2880" w:firstLineChars="1200"/>
        <w:jc w:val="left"/>
        <w:rPr>
          <w:rFonts w:ascii="宋体" w:hAnsi="宋体" w:cs="宋体"/>
          <w:color w:val="auto"/>
          <w:kern w:val="0"/>
          <w:sz w:val="24"/>
          <w:highlight w:val="none"/>
        </w:rPr>
      </w:pPr>
      <w:r>
        <w:rPr>
          <w:rFonts w:hint="eastAsia" w:ascii="宋体" w:hAnsi="宋体" w:cs="宋体"/>
          <w:color w:val="auto"/>
          <w:kern w:val="0"/>
          <w:sz w:val="24"/>
          <w:highlight w:val="none"/>
        </w:rPr>
        <w:t>电   话：</w:t>
      </w:r>
      <w:r>
        <w:rPr>
          <w:rFonts w:hint="eastAsia" w:ascii="宋体" w:hAnsi="宋体" w:cs="宋体"/>
          <w:color w:val="auto"/>
          <w:kern w:val="0"/>
          <w:sz w:val="24"/>
          <w:highlight w:val="none"/>
          <w:u w:val="single"/>
        </w:rPr>
        <w:t>           </w:t>
      </w:r>
    </w:p>
    <w:p w14:paraId="4A9FA534">
      <w:pPr>
        <w:widowControl/>
        <w:spacing w:before="100" w:beforeAutospacing="1" w:after="100" w:afterAutospacing="1" w:line="440" w:lineRule="atLeast"/>
        <w:ind w:firstLine="2880" w:firstLineChars="1200"/>
        <w:jc w:val="left"/>
        <w:rPr>
          <w:rFonts w:ascii="宋体" w:hAnsi="宋体" w:cs="宋体"/>
          <w:color w:val="auto"/>
          <w:kern w:val="0"/>
          <w:sz w:val="24"/>
          <w:highlight w:val="none"/>
        </w:rPr>
      </w:pPr>
      <w:r>
        <w:rPr>
          <w:rFonts w:hint="eastAsia" w:ascii="宋体" w:hAnsi="宋体" w:cs="宋体"/>
          <w:color w:val="auto"/>
          <w:kern w:val="0"/>
          <w:sz w:val="24"/>
          <w:highlight w:val="none"/>
        </w:rPr>
        <w:t>传   真：</w:t>
      </w:r>
      <w:r>
        <w:rPr>
          <w:rFonts w:hint="eastAsia" w:ascii="宋体" w:hAnsi="宋体" w:cs="宋体"/>
          <w:color w:val="auto"/>
          <w:kern w:val="0"/>
          <w:sz w:val="24"/>
          <w:highlight w:val="none"/>
          <w:u w:val="single"/>
        </w:rPr>
        <w:t>           </w:t>
      </w:r>
    </w:p>
    <w:p w14:paraId="6A818566">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1F55FC2B">
      <w:pPr>
        <w:numPr>
          <w:ilvl w:val="0"/>
          <w:numId w:val="0"/>
        </w:numPr>
        <w:spacing w:line="360" w:lineRule="exact"/>
        <w:ind w:right="-512" w:rightChars="-244"/>
        <w:jc w:val="center"/>
        <w:rPr>
          <w:rFonts w:hint="eastAsia" w:ascii="宋体" w:hAnsi="宋体" w:cs="宋体"/>
          <w:b/>
          <w:bCs/>
          <w:color w:val="auto"/>
          <w:kern w:val="0"/>
          <w:sz w:val="32"/>
          <w:szCs w:val="32"/>
          <w:highlight w:val="none"/>
          <w:lang w:val="en-US" w:eastAsia="zh-CN"/>
        </w:rPr>
      </w:pPr>
    </w:p>
    <w:p w14:paraId="2659041D">
      <w:pPr>
        <w:numPr>
          <w:ilvl w:val="0"/>
          <w:numId w:val="0"/>
        </w:numPr>
        <w:spacing w:line="360" w:lineRule="exact"/>
        <w:ind w:right="-512" w:rightChars="-244"/>
        <w:jc w:val="center"/>
        <w:rPr>
          <w:rFonts w:hint="eastAsia" w:ascii="宋体" w:hAnsi="宋体" w:cs="宋体"/>
          <w:b/>
          <w:bCs/>
          <w:color w:val="auto"/>
          <w:kern w:val="0"/>
          <w:sz w:val="32"/>
          <w:szCs w:val="32"/>
          <w:highlight w:val="none"/>
          <w:lang w:val="en-US" w:eastAsia="zh-CN"/>
        </w:rPr>
      </w:pPr>
    </w:p>
    <w:p w14:paraId="0174D400">
      <w:pPr>
        <w:numPr>
          <w:ilvl w:val="0"/>
          <w:numId w:val="0"/>
        </w:numPr>
        <w:spacing w:line="360" w:lineRule="exact"/>
        <w:ind w:right="-512" w:rightChars="-244"/>
        <w:jc w:val="center"/>
        <w:rPr>
          <w:rFonts w:hint="eastAsia" w:ascii="宋体" w:hAnsi="宋体" w:cs="宋体"/>
          <w:b/>
          <w:bCs/>
          <w:color w:val="auto"/>
          <w:kern w:val="0"/>
          <w:sz w:val="32"/>
          <w:szCs w:val="32"/>
          <w:highlight w:val="none"/>
          <w:lang w:val="en-US" w:eastAsia="zh-CN"/>
        </w:rPr>
      </w:pPr>
    </w:p>
    <w:p w14:paraId="254EDBD6">
      <w:pPr>
        <w:numPr>
          <w:ilvl w:val="0"/>
          <w:numId w:val="0"/>
        </w:numPr>
        <w:spacing w:line="360" w:lineRule="exact"/>
        <w:ind w:right="-512" w:rightChars="-244"/>
        <w:jc w:val="center"/>
        <w:rPr>
          <w:rFonts w:hint="eastAsia" w:ascii="宋体" w:hAnsi="宋体" w:cs="宋体"/>
          <w:b/>
          <w:bCs/>
          <w:color w:val="auto"/>
          <w:kern w:val="0"/>
          <w:sz w:val="32"/>
          <w:szCs w:val="32"/>
          <w:highlight w:val="none"/>
          <w:lang w:val="en-US" w:eastAsia="zh-CN"/>
        </w:rPr>
      </w:pPr>
    </w:p>
    <w:p w14:paraId="35D25FCE">
      <w:pPr>
        <w:jc w:val="left"/>
        <w:rPr>
          <w:rFonts w:hint="default"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附件2</w:t>
      </w:r>
    </w:p>
    <w:p w14:paraId="60BF135B">
      <w:pPr>
        <w:numPr>
          <w:ilvl w:val="0"/>
          <w:numId w:val="0"/>
        </w:numPr>
        <w:spacing w:line="360" w:lineRule="exact"/>
        <w:ind w:right="-512" w:rightChars="-244"/>
        <w:jc w:val="center"/>
        <w:rPr>
          <w:rFonts w:hint="eastAsia" w:ascii="宋体" w:hAnsi="宋体" w:cs="宋体"/>
          <w:b/>
          <w:bCs/>
          <w:color w:val="auto"/>
          <w:kern w:val="0"/>
          <w:sz w:val="32"/>
          <w:szCs w:val="32"/>
          <w:highlight w:val="none"/>
          <w:lang w:val="en-US" w:eastAsia="zh-CN"/>
        </w:rPr>
      </w:pPr>
    </w:p>
    <w:p w14:paraId="4D626F8C">
      <w:pPr>
        <w:numPr>
          <w:ilvl w:val="0"/>
          <w:numId w:val="0"/>
        </w:numPr>
        <w:spacing w:line="360" w:lineRule="exact"/>
        <w:ind w:right="-512" w:rightChars="-244"/>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分项清单报价表</w:t>
      </w:r>
    </w:p>
    <w:p w14:paraId="44A400B7">
      <w:pPr>
        <w:spacing w:line="360" w:lineRule="exact"/>
        <w:ind w:right="-512" w:rightChars="-244"/>
        <w:jc w:val="center"/>
        <w:rPr>
          <w:rFonts w:hint="eastAsia" w:ascii="宋体" w:hAnsi="宋体" w:cs="宋体"/>
          <w:b/>
          <w:bCs/>
          <w:color w:val="auto"/>
          <w:kern w:val="0"/>
          <w:sz w:val="32"/>
          <w:szCs w:val="32"/>
          <w:highlight w:val="none"/>
        </w:rPr>
      </w:pPr>
    </w:p>
    <w:tbl>
      <w:tblPr>
        <w:tblStyle w:val="26"/>
        <w:tblW w:w="9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560"/>
        <w:gridCol w:w="2409"/>
        <w:gridCol w:w="900"/>
        <w:gridCol w:w="816"/>
        <w:gridCol w:w="1284"/>
        <w:gridCol w:w="1239"/>
        <w:gridCol w:w="1031"/>
      </w:tblGrid>
      <w:tr w14:paraId="0BC8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14:paraId="62986A20">
            <w:pPr>
              <w:keepNext w:val="0"/>
              <w:keepLines w:val="0"/>
              <w:suppressLineNumbers w:val="0"/>
              <w:spacing w:before="0" w:beforeAutospacing="0" w:after="0" w:afterAutospacing="0" w:line="420" w:lineRule="exact"/>
              <w:ind w:left="0" w:right="0"/>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序号</w:t>
            </w:r>
          </w:p>
        </w:tc>
        <w:tc>
          <w:tcPr>
            <w:tcW w:w="1560" w:type="dxa"/>
            <w:noWrap w:val="0"/>
            <w:vAlign w:val="center"/>
          </w:tcPr>
          <w:p w14:paraId="605FD283">
            <w:pPr>
              <w:keepNext w:val="0"/>
              <w:keepLines w:val="0"/>
              <w:suppressLineNumbers w:val="0"/>
              <w:spacing w:before="0" w:beforeAutospacing="0" w:after="0" w:afterAutospacing="0" w:line="420" w:lineRule="exact"/>
              <w:ind w:left="0" w:right="0"/>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lang w:val="en-US" w:eastAsia="zh-CN"/>
              </w:rPr>
              <w:t>货物</w:t>
            </w:r>
            <w:r>
              <w:rPr>
                <w:rFonts w:hint="eastAsia" w:ascii="宋体" w:hAnsi="宋体" w:cs="宋体"/>
                <w:b/>
                <w:color w:val="auto"/>
                <w:kern w:val="0"/>
                <w:sz w:val="24"/>
                <w:highlight w:val="none"/>
              </w:rPr>
              <w:t>名称</w:t>
            </w:r>
          </w:p>
        </w:tc>
        <w:tc>
          <w:tcPr>
            <w:tcW w:w="2409" w:type="dxa"/>
            <w:noWrap w:val="0"/>
            <w:vAlign w:val="center"/>
          </w:tcPr>
          <w:p w14:paraId="1539E5E0">
            <w:pPr>
              <w:keepNext w:val="0"/>
              <w:keepLines w:val="0"/>
              <w:suppressLineNumbers w:val="0"/>
              <w:spacing w:before="0" w:beforeAutospacing="0" w:after="0" w:afterAutospacing="0" w:line="420" w:lineRule="exact"/>
              <w:ind w:left="0" w:right="0"/>
              <w:jc w:val="center"/>
              <w:rPr>
                <w:rFonts w:hint="eastAsia" w:ascii="宋体" w:hAnsi="宋体" w:eastAsia="宋体" w:cs="宋体"/>
                <w:b/>
                <w:color w:val="auto"/>
                <w:kern w:val="0"/>
                <w:sz w:val="24"/>
                <w:highlight w:val="none"/>
                <w:lang w:val="en-US" w:eastAsia="zh-CN"/>
              </w:rPr>
            </w:pPr>
            <w:r>
              <w:rPr>
                <w:rFonts w:hint="eastAsia" w:ascii="宋体" w:hAnsi="宋体" w:eastAsia="宋体" w:cs="宋体"/>
                <w:b/>
                <w:color w:val="auto"/>
                <w:kern w:val="0"/>
                <w:sz w:val="24"/>
                <w:highlight w:val="none"/>
                <w:lang w:val="en-US" w:eastAsia="zh-CN"/>
              </w:rPr>
              <w:t>参数</w:t>
            </w:r>
          </w:p>
        </w:tc>
        <w:tc>
          <w:tcPr>
            <w:tcW w:w="900" w:type="dxa"/>
            <w:noWrap w:val="0"/>
            <w:vAlign w:val="center"/>
          </w:tcPr>
          <w:p w14:paraId="3CC31EA3">
            <w:pPr>
              <w:keepNext w:val="0"/>
              <w:keepLines w:val="0"/>
              <w:suppressLineNumbers w:val="0"/>
              <w:spacing w:before="0" w:beforeAutospacing="0" w:after="0" w:afterAutospacing="0" w:line="420" w:lineRule="exact"/>
              <w:ind w:left="0" w:right="0"/>
              <w:jc w:val="center"/>
              <w:rPr>
                <w:rFonts w:hint="eastAsia" w:ascii="宋体" w:hAnsi="宋体" w:eastAsia="宋体" w:cs="宋体"/>
                <w:b/>
                <w:color w:val="auto"/>
                <w:kern w:val="0"/>
                <w:sz w:val="24"/>
                <w:highlight w:val="none"/>
                <w:lang w:val="en-US" w:eastAsia="zh-CN"/>
              </w:rPr>
            </w:pPr>
            <w:r>
              <w:rPr>
                <w:rFonts w:hint="eastAsia" w:ascii="宋体" w:hAnsi="宋体" w:eastAsia="宋体" w:cs="宋体"/>
                <w:b/>
                <w:color w:val="auto"/>
                <w:kern w:val="0"/>
                <w:sz w:val="24"/>
                <w:highlight w:val="none"/>
                <w:lang w:val="en-US" w:eastAsia="zh-CN"/>
              </w:rPr>
              <w:t>单位</w:t>
            </w:r>
          </w:p>
        </w:tc>
        <w:tc>
          <w:tcPr>
            <w:tcW w:w="816" w:type="dxa"/>
            <w:noWrap w:val="0"/>
            <w:vAlign w:val="center"/>
          </w:tcPr>
          <w:p w14:paraId="2339F7CF">
            <w:pPr>
              <w:keepNext w:val="0"/>
              <w:keepLines w:val="0"/>
              <w:suppressLineNumbers w:val="0"/>
              <w:spacing w:before="0" w:beforeAutospacing="0" w:after="0" w:afterAutospacing="0" w:line="420" w:lineRule="exact"/>
              <w:ind w:left="0" w:right="0"/>
              <w:jc w:val="center"/>
              <w:rPr>
                <w:rFonts w:hint="eastAsia" w:ascii="宋体" w:hAnsi="宋体" w:eastAsia="宋体" w:cs="宋体"/>
                <w:b/>
                <w:color w:val="auto"/>
                <w:kern w:val="0"/>
                <w:sz w:val="24"/>
                <w:highlight w:val="none"/>
                <w:lang w:val="en-US" w:eastAsia="zh-CN"/>
              </w:rPr>
            </w:pPr>
            <w:r>
              <w:rPr>
                <w:rFonts w:hint="eastAsia" w:ascii="宋体" w:hAnsi="宋体" w:eastAsia="宋体" w:cs="宋体"/>
                <w:b/>
                <w:color w:val="auto"/>
                <w:kern w:val="0"/>
                <w:sz w:val="24"/>
                <w:highlight w:val="none"/>
                <w:lang w:val="en-US" w:eastAsia="zh-CN"/>
              </w:rPr>
              <w:t>数量</w:t>
            </w:r>
          </w:p>
        </w:tc>
        <w:tc>
          <w:tcPr>
            <w:tcW w:w="1284" w:type="dxa"/>
            <w:noWrap w:val="0"/>
            <w:vAlign w:val="center"/>
          </w:tcPr>
          <w:p w14:paraId="558FCCEF">
            <w:pPr>
              <w:keepNext w:val="0"/>
              <w:keepLines w:val="0"/>
              <w:suppressLineNumbers w:val="0"/>
              <w:spacing w:before="0" w:beforeAutospacing="0" w:after="0" w:afterAutospacing="0" w:line="420" w:lineRule="exact"/>
              <w:ind w:left="0" w:right="0"/>
              <w:jc w:val="center"/>
              <w:rPr>
                <w:rFonts w:hint="default" w:ascii="宋体" w:hAnsi="宋体" w:eastAsia="宋体" w:cs="宋体"/>
                <w:b/>
                <w:color w:val="auto"/>
                <w:kern w:val="0"/>
                <w:sz w:val="24"/>
                <w:highlight w:val="none"/>
                <w:lang w:val="en-US" w:eastAsia="zh-CN"/>
              </w:rPr>
            </w:pPr>
            <w:r>
              <w:rPr>
                <w:rFonts w:hint="eastAsia" w:ascii="宋体" w:hAnsi="宋体" w:eastAsia="宋体" w:cs="宋体"/>
                <w:b/>
                <w:color w:val="auto"/>
                <w:kern w:val="0"/>
                <w:sz w:val="24"/>
                <w:highlight w:val="none"/>
                <w:lang w:val="en-US" w:eastAsia="zh-CN"/>
              </w:rPr>
              <w:t>响应单价（元）</w:t>
            </w:r>
          </w:p>
        </w:tc>
        <w:tc>
          <w:tcPr>
            <w:tcW w:w="1239" w:type="dxa"/>
            <w:noWrap w:val="0"/>
            <w:vAlign w:val="center"/>
          </w:tcPr>
          <w:p w14:paraId="262833E5">
            <w:pPr>
              <w:keepNext w:val="0"/>
              <w:keepLines w:val="0"/>
              <w:suppressLineNumbers w:val="0"/>
              <w:spacing w:before="0" w:beforeAutospacing="0" w:after="0" w:afterAutospacing="0" w:line="420" w:lineRule="exact"/>
              <w:ind w:left="0" w:right="0"/>
              <w:jc w:val="center"/>
              <w:rPr>
                <w:rFonts w:hint="default" w:ascii="宋体" w:hAnsi="宋体" w:eastAsia="宋体" w:cs="宋体"/>
                <w:b/>
                <w:color w:val="auto"/>
                <w:kern w:val="0"/>
                <w:sz w:val="24"/>
                <w:highlight w:val="none"/>
                <w:lang w:val="en-US" w:eastAsia="zh-CN"/>
              </w:rPr>
            </w:pPr>
            <w:r>
              <w:rPr>
                <w:rFonts w:hint="eastAsia" w:ascii="宋体" w:hAnsi="宋体" w:cs="宋体"/>
                <w:b/>
                <w:color w:val="auto"/>
                <w:kern w:val="0"/>
                <w:sz w:val="24"/>
                <w:highlight w:val="none"/>
              </w:rPr>
              <w:t>合价</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lang w:val="en-US" w:eastAsia="zh-CN"/>
              </w:rPr>
              <w:t>元）</w:t>
            </w:r>
          </w:p>
        </w:tc>
        <w:tc>
          <w:tcPr>
            <w:tcW w:w="1031" w:type="dxa"/>
            <w:noWrap w:val="0"/>
            <w:vAlign w:val="center"/>
          </w:tcPr>
          <w:p w14:paraId="5513B1D3">
            <w:pPr>
              <w:keepNext w:val="0"/>
              <w:keepLines w:val="0"/>
              <w:suppressLineNumbers w:val="0"/>
              <w:spacing w:before="0" w:beforeAutospacing="0" w:after="0" w:afterAutospacing="0" w:line="420" w:lineRule="exact"/>
              <w:ind w:left="0" w:right="0"/>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备注</w:t>
            </w:r>
          </w:p>
        </w:tc>
      </w:tr>
      <w:tr w14:paraId="73D9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86" w:type="dxa"/>
            <w:noWrap w:val="0"/>
            <w:vAlign w:val="center"/>
          </w:tcPr>
          <w:p w14:paraId="160404C9">
            <w:pPr>
              <w:keepNext w:val="0"/>
              <w:keepLines w:val="0"/>
              <w:suppressLineNumbers w:val="0"/>
              <w:spacing w:before="0" w:beforeAutospacing="0" w:after="0" w:afterAutospacing="0" w:line="420" w:lineRule="exact"/>
              <w:ind w:left="0" w:right="0"/>
              <w:jc w:val="center"/>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p>
        </w:tc>
        <w:tc>
          <w:tcPr>
            <w:tcW w:w="1560" w:type="dxa"/>
            <w:noWrap w:val="0"/>
            <w:vAlign w:val="center"/>
          </w:tcPr>
          <w:p w14:paraId="7A1448D4">
            <w:pPr>
              <w:keepNext w:val="0"/>
              <w:keepLines w:val="0"/>
              <w:suppressLineNumbers w:val="0"/>
              <w:spacing w:before="0" w:beforeAutospacing="0" w:after="0" w:afterAutospacing="0" w:line="420" w:lineRule="exac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毛毯</w:t>
            </w:r>
          </w:p>
        </w:tc>
        <w:tc>
          <w:tcPr>
            <w:tcW w:w="2409" w:type="dxa"/>
            <w:noWrap w:val="0"/>
            <w:vAlign w:val="top"/>
          </w:tcPr>
          <w:p w14:paraId="1113D50D">
            <w:pPr>
              <w:keepNext w:val="0"/>
              <w:keepLines w:val="0"/>
              <w:suppressLineNumbers w:val="0"/>
              <w:spacing w:before="0" w:beforeAutospacing="0" w:after="0" w:afterAutospacing="0" w:line="420" w:lineRule="exact"/>
              <w:ind w:left="0" w:right="0"/>
              <w:jc w:val="left"/>
              <w:rPr>
                <w:rFonts w:hint="eastAsia" w:ascii="宋体" w:hAnsi="宋体" w:eastAsia="宋体" w:cs="宋体"/>
                <w:color w:val="auto"/>
                <w:kern w:val="0"/>
                <w:sz w:val="21"/>
                <w:szCs w:val="21"/>
                <w:highlight w:val="none"/>
                <w:lang w:val="en-US" w:eastAsia="zh-CN" w:bidi="ar-SA"/>
              </w:rPr>
            </w:pPr>
          </w:p>
        </w:tc>
        <w:tc>
          <w:tcPr>
            <w:tcW w:w="900" w:type="dxa"/>
            <w:noWrap w:val="0"/>
            <w:vAlign w:val="center"/>
          </w:tcPr>
          <w:p w14:paraId="2E38E6A9">
            <w:pPr>
              <w:keepNext w:val="0"/>
              <w:keepLines w:val="0"/>
              <w:suppressLineNumbers w:val="0"/>
              <w:spacing w:before="0" w:beforeAutospacing="0" w:after="0" w:afterAutospacing="0"/>
              <w:ind w:left="0" w:right="0"/>
              <w:jc w:val="center"/>
              <w:rPr>
                <w:rFonts w:hint="default" w:ascii="宋体" w:hAnsi="宋体" w:eastAsia="宋体"/>
                <w:color w:val="auto"/>
                <w:kern w:val="2"/>
                <w:sz w:val="21"/>
                <w:szCs w:val="21"/>
                <w:highlight w:val="none"/>
                <w:lang w:val="en-US" w:eastAsia="zh-CN" w:bidi="ar-SA"/>
              </w:rPr>
            </w:pPr>
            <w:r>
              <w:rPr>
                <w:rFonts w:hint="eastAsia" w:ascii="宋体" w:hAnsi="宋体" w:eastAsia="宋体"/>
                <w:color w:val="auto"/>
                <w:kern w:val="2"/>
                <w:sz w:val="21"/>
                <w:szCs w:val="21"/>
                <w:highlight w:val="none"/>
                <w:lang w:val="en-US" w:eastAsia="zh-CN" w:bidi="ar-SA"/>
              </w:rPr>
              <w:t>条</w:t>
            </w:r>
          </w:p>
        </w:tc>
        <w:tc>
          <w:tcPr>
            <w:tcW w:w="816" w:type="dxa"/>
            <w:noWrap w:val="0"/>
            <w:vAlign w:val="center"/>
          </w:tcPr>
          <w:p w14:paraId="238538C8">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1400</w:t>
            </w:r>
          </w:p>
        </w:tc>
        <w:tc>
          <w:tcPr>
            <w:tcW w:w="1284" w:type="dxa"/>
            <w:noWrap w:val="0"/>
            <w:vAlign w:val="top"/>
          </w:tcPr>
          <w:p w14:paraId="04B60A45">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c>
          <w:tcPr>
            <w:tcW w:w="1239" w:type="dxa"/>
            <w:noWrap w:val="0"/>
            <w:vAlign w:val="top"/>
          </w:tcPr>
          <w:p w14:paraId="5EF36DDB">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c>
          <w:tcPr>
            <w:tcW w:w="1031" w:type="dxa"/>
            <w:noWrap w:val="0"/>
            <w:vAlign w:val="center"/>
          </w:tcPr>
          <w:p w14:paraId="7DF54027">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r>
      <w:tr w14:paraId="4774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6" w:type="dxa"/>
            <w:noWrap w:val="0"/>
            <w:vAlign w:val="center"/>
          </w:tcPr>
          <w:p w14:paraId="3F0A44A4">
            <w:pPr>
              <w:keepNext w:val="0"/>
              <w:keepLines w:val="0"/>
              <w:suppressLineNumbers w:val="0"/>
              <w:spacing w:before="0" w:beforeAutospacing="0" w:after="0" w:afterAutospacing="0" w:line="420" w:lineRule="exact"/>
              <w:ind w:left="0" w:right="0"/>
              <w:jc w:val="center"/>
              <w:rPr>
                <w:rFonts w:hint="default" w:eastAsia="宋体"/>
                <w:color w:val="auto"/>
                <w:highlight w:val="none"/>
                <w:lang w:val="en-US" w:eastAsia="zh-CN"/>
              </w:rPr>
            </w:pPr>
            <w:r>
              <w:rPr>
                <w:rFonts w:hint="eastAsia" w:eastAsia="宋体"/>
                <w:color w:val="auto"/>
                <w:highlight w:val="none"/>
                <w:lang w:val="en-US" w:eastAsia="zh-CN"/>
              </w:rPr>
              <w:t>2</w:t>
            </w:r>
          </w:p>
        </w:tc>
        <w:tc>
          <w:tcPr>
            <w:tcW w:w="1560" w:type="dxa"/>
            <w:noWrap w:val="0"/>
            <w:vAlign w:val="center"/>
          </w:tcPr>
          <w:p w14:paraId="09F1C293">
            <w:pPr>
              <w:keepNext w:val="0"/>
              <w:keepLines w:val="0"/>
              <w:suppressLineNumbers w:val="0"/>
              <w:spacing w:before="0" w:beforeAutospacing="0" w:after="0" w:afterAutospacing="0" w:line="420" w:lineRule="exac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毛巾被</w:t>
            </w:r>
          </w:p>
        </w:tc>
        <w:tc>
          <w:tcPr>
            <w:tcW w:w="2409" w:type="dxa"/>
            <w:noWrap w:val="0"/>
            <w:vAlign w:val="top"/>
          </w:tcPr>
          <w:p w14:paraId="3D6FA571">
            <w:pPr>
              <w:keepNext w:val="0"/>
              <w:keepLines w:val="0"/>
              <w:suppressLineNumbers w:val="0"/>
              <w:spacing w:before="0" w:beforeAutospacing="0" w:after="0" w:afterAutospacing="0" w:line="420" w:lineRule="exact"/>
              <w:ind w:left="0" w:right="0"/>
              <w:jc w:val="left"/>
              <w:rPr>
                <w:rFonts w:hint="eastAsia" w:ascii="宋体" w:hAnsi="宋体" w:eastAsia="宋体" w:cs="宋体"/>
                <w:color w:val="auto"/>
                <w:kern w:val="0"/>
                <w:sz w:val="21"/>
                <w:szCs w:val="21"/>
                <w:highlight w:val="none"/>
                <w:lang w:val="en-US" w:eastAsia="zh-CN" w:bidi="ar-SA"/>
              </w:rPr>
            </w:pPr>
          </w:p>
        </w:tc>
        <w:tc>
          <w:tcPr>
            <w:tcW w:w="900" w:type="dxa"/>
            <w:noWrap w:val="0"/>
            <w:vAlign w:val="center"/>
          </w:tcPr>
          <w:p w14:paraId="57FC2F19">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条</w:t>
            </w:r>
          </w:p>
        </w:tc>
        <w:tc>
          <w:tcPr>
            <w:tcW w:w="816" w:type="dxa"/>
            <w:noWrap w:val="0"/>
            <w:vAlign w:val="center"/>
          </w:tcPr>
          <w:p w14:paraId="04E8A7F1">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1400</w:t>
            </w:r>
          </w:p>
        </w:tc>
        <w:tc>
          <w:tcPr>
            <w:tcW w:w="1284" w:type="dxa"/>
            <w:noWrap w:val="0"/>
            <w:vAlign w:val="top"/>
          </w:tcPr>
          <w:p w14:paraId="3F3106E6">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c>
          <w:tcPr>
            <w:tcW w:w="1239" w:type="dxa"/>
            <w:noWrap w:val="0"/>
            <w:vAlign w:val="top"/>
          </w:tcPr>
          <w:p w14:paraId="30625791">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c>
          <w:tcPr>
            <w:tcW w:w="1031" w:type="dxa"/>
            <w:noWrap w:val="0"/>
            <w:vAlign w:val="center"/>
          </w:tcPr>
          <w:p w14:paraId="7731B98F">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r>
      <w:tr w14:paraId="54CE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6" w:type="dxa"/>
            <w:noWrap w:val="0"/>
            <w:vAlign w:val="center"/>
          </w:tcPr>
          <w:p w14:paraId="52A7282D">
            <w:pPr>
              <w:keepNext w:val="0"/>
              <w:keepLines w:val="0"/>
              <w:suppressLineNumbers w:val="0"/>
              <w:spacing w:before="0" w:beforeAutospacing="0" w:after="0" w:afterAutospacing="0" w:line="420" w:lineRule="exact"/>
              <w:ind w:left="0" w:right="0"/>
              <w:jc w:val="center"/>
              <w:rPr>
                <w:rFonts w:hint="eastAsia" w:eastAsia="宋体"/>
                <w:color w:val="auto"/>
                <w:highlight w:val="none"/>
                <w:lang w:val="en-US" w:eastAsia="zh-CN"/>
              </w:rPr>
            </w:pPr>
          </w:p>
        </w:tc>
        <w:tc>
          <w:tcPr>
            <w:tcW w:w="1560" w:type="dxa"/>
            <w:noWrap w:val="0"/>
            <w:vAlign w:val="center"/>
          </w:tcPr>
          <w:p w14:paraId="23B1955B">
            <w:pPr>
              <w:keepNext w:val="0"/>
              <w:keepLines w:val="0"/>
              <w:suppressLineNumbers w:val="0"/>
              <w:spacing w:before="0" w:beforeAutospacing="0" w:after="0" w:afterAutospacing="0" w:line="420" w:lineRule="exact"/>
              <w:ind w:left="0" w:right="0"/>
              <w:jc w:val="center"/>
              <w:rPr>
                <w:rFonts w:hint="eastAsia" w:ascii="宋体" w:hAnsi="宋体" w:eastAsia="宋体" w:cs="宋体"/>
                <w:color w:val="auto"/>
                <w:kern w:val="0"/>
                <w:sz w:val="21"/>
                <w:szCs w:val="21"/>
                <w:highlight w:val="none"/>
                <w:lang w:val="en-US" w:eastAsia="zh-CN" w:bidi="ar-SA"/>
              </w:rPr>
            </w:pPr>
          </w:p>
        </w:tc>
        <w:tc>
          <w:tcPr>
            <w:tcW w:w="2409" w:type="dxa"/>
            <w:noWrap w:val="0"/>
            <w:vAlign w:val="top"/>
          </w:tcPr>
          <w:p w14:paraId="4444023D">
            <w:pPr>
              <w:keepNext w:val="0"/>
              <w:keepLines w:val="0"/>
              <w:suppressLineNumbers w:val="0"/>
              <w:spacing w:before="0" w:beforeAutospacing="0" w:after="0" w:afterAutospacing="0" w:line="420" w:lineRule="exact"/>
              <w:ind w:left="0" w:right="0"/>
              <w:jc w:val="left"/>
              <w:rPr>
                <w:rFonts w:hint="eastAsia" w:ascii="宋体" w:hAnsi="宋体" w:eastAsia="宋体" w:cs="宋体"/>
                <w:color w:val="auto"/>
                <w:kern w:val="0"/>
                <w:sz w:val="21"/>
                <w:szCs w:val="21"/>
                <w:highlight w:val="none"/>
                <w:lang w:val="en-US" w:eastAsia="zh-CN" w:bidi="ar-SA"/>
              </w:rPr>
            </w:pPr>
          </w:p>
        </w:tc>
        <w:tc>
          <w:tcPr>
            <w:tcW w:w="900" w:type="dxa"/>
            <w:noWrap w:val="0"/>
            <w:vAlign w:val="center"/>
          </w:tcPr>
          <w:p w14:paraId="39E3378C">
            <w:pPr>
              <w:keepNext w:val="0"/>
              <w:keepLines w:val="0"/>
              <w:suppressLineNumbers w:val="0"/>
              <w:spacing w:before="0" w:beforeAutospacing="0" w:after="0" w:afterAutospacing="0"/>
              <w:ind w:left="0" w:right="0"/>
              <w:jc w:val="center"/>
              <w:rPr>
                <w:rFonts w:hint="eastAsia"/>
                <w:color w:val="auto"/>
                <w:highlight w:val="none"/>
                <w:lang w:val="en-US" w:eastAsia="zh-CN"/>
              </w:rPr>
            </w:pPr>
          </w:p>
        </w:tc>
        <w:tc>
          <w:tcPr>
            <w:tcW w:w="816" w:type="dxa"/>
            <w:noWrap w:val="0"/>
            <w:vAlign w:val="center"/>
          </w:tcPr>
          <w:p w14:paraId="551D1AD5">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bidi="ar-SA"/>
              </w:rPr>
            </w:pPr>
          </w:p>
        </w:tc>
        <w:tc>
          <w:tcPr>
            <w:tcW w:w="1284" w:type="dxa"/>
            <w:noWrap w:val="0"/>
            <w:vAlign w:val="top"/>
          </w:tcPr>
          <w:p w14:paraId="6901CA04">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c>
          <w:tcPr>
            <w:tcW w:w="1239" w:type="dxa"/>
            <w:noWrap w:val="0"/>
            <w:vAlign w:val="top"/>
          </w:tcPr>
          <w:p w14:paraId="471DEED1">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c>
          <w:tcPr>
            <w:tcW w:w="1031" w:type="dxa"/>
            <w:noWrap w:val="0"/>
            <w:vAlign w:val="center"/>
          </w:tcPr>
          <w:p w14:paraId="7EF63A69">
            <w:pPr>
              <w:keepNext w:val="0"/>
              <w:keepLines w:val="0"/>
              <w:suppressLineNumbers w:val="0"/>
              <w:spacing w:before="0" w:beforeAutospacing="0" w:after="0" w:afterAutospacing="0" w:line="420" w:lineRule="exact"/>
              <w:ind w:left="0" w:right="0"/>
              <w:jc w:val="center"/>
              <w:rPr>
                <w:rFonts w:hint="eastAsia" w:ascii="宋体" w:hAnsi="宋体" w:cs="宋体"/>
                <w:color w:val="auto"/>
                <w:kern w:val="0"/>
                <w:sz w:val="21"/>
                <w:szCs w:val="21"/>
                <w:highlight w:val="none"/>
              </w:rPr>
            </w:pPr>
          </w:p>
        </w:tc>
      </w:tr>
      <w:tr w14:paraId="0667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586" w:type="dxa"/>
            <w:noWrap w:val="0"/>
            <w:vAlign w:val="center"/>
          </w:tcPr>
          <w:p w14:paraId="52F09D02">
            <w:pPr>
              <w:keepNext w:val="0"/>
              <w:keepLines w:val="0"/>
              <w:suppressLineNumbers w:val="0"/>
              <w:spacing w:before="0" w:beforeAutospacing="0" w:after="0" w:afterAutospacing="0" w:line="42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w:t>
            </w:r>
          </w:p>
        </w:tc>
        <w:tc>
          <w:tcPr>
            <w:tcW w:w="9239" w:type="dxa"/>
            <w:gridSpan w:val="7"/>
            <w:noWrap w:val="0"/>
            <w:vAlign w:val="center"/>
          </w:tcPr>
          <w:p w14:paraId="5DDF527C">
            <w:pPr>
              <w:keepNext w:val="0"/>
              <w:keepLines w:val="0"/>
              <w:suppressLineNumbers w:val="0"/>
              <w:spacing w:before="0" w:beforeAutospacing="0" w:after="0" w:afterAutospacing="0" w:line="300" w:lineRule="exact"/>
              <w:ind w:left="0" w:right="0"/>
              <w:rPr>
                <w:rFonts w:hint="eastAsia" w:ascii="宋体" w:hAnsi="宋体"/>
                <w:b/>
                <w:color w:val="auto"/>
                <w:sz w:val="24"/>
                <w:highlight w:val="none"/>
              </w:rPr>
            </w:pPr>
            <w:r>
              <w:rPr>
                <w:rFonts w:hint="eastAsia" w:ascii="宋体" w:hAnsi="宋体"/>
                <w:b/>
                <w:color w:val="auto"/>
                <w:sz w:val="24"/>
                <w:highlight w:val="none"/>
              </w:rPr>
              <w:t>投标总报价（大写）：</w:t>
            </w:r>
            <w:r>
              <w:rPr>
                <w:rFonts w:hint="eastAsia" w:ascii="宋体" w:hAnsi="宋体"/>
                <w:b/>
                <w:color w:val="auto"/>
                <w:sz w:val="24"/>
                <w:highlight w:val="none"/>
                <w:u w:val="single"/>
              </w:rPr>
              <w:t xml:space="preserve">                                 </w:t>
            </w:r>
            <w:r>
              <w:rPr>
                <w:rFonts w:hint="eastAsia" w:ascii="宋体" w:hAnsi="宋体"/>
                <w:b/>
                <w:color w:val="auto"/>
                <w:sz w:val="24"/>
                <w:highlight w:val="none"/>
              </w:rPr>
              <w:t>元；</w:t>
            </w:r>
          </w:p>
          <w:p w14:paraId="241EBBA9">
            <w:pPr>
              <w:keepNext w:val="0"/>
              <w:keepLines w:val="0"/>
              <w:suppressLineNumbers w:val="0"/>
              <w:spacing w:before="0" w:beforeAutospacing="0" w:after="0" w:afterAutospacing="0" w:line="420" w:lineRule="exact"/>
              <w:ind w:left="0" w:right="0" w:firstLine="1178" w:firstLineChars="489"/>
              <w:rPr>
                <w:rFonts w:hint="eastAsia" w:ascii="宋体" w:hAnsi="宋体" w:cs="宋体"/>
                <w:color w:val="auto"/>
                <w:kern w:val="0"/>
                <w:szCs w:val="21"/>
                <w:highlight w:val="none"/>
              </w:rPr>
            </w:pPr>
            <w:r>
              <w:rPr>
                <w:rFonts w:hint="eastAsia" w:ascii="宋体" w:hAnsi="宋体"/>
                <w:b/>
                <w:color w:val="auto"/>
                <w:sz w:val="24"/>
                <w:highlight w:val="none"/>
              </w:rPr>
              <w:t>（小写）：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w:t>
            </w:r>
          </w:p>
        </w:tc>
      </w:tr>
    </w:tbl>
    <w:p w14:paraId="4A62D399">
      <w:pPr>
        <w:spacing w:line="440" w:lineRule="exact"/>
        <w:rPr>
          <w:rFonts w:hint="eastAsia" w:ascii="宋体"/>
          <w:b/>
          <w:color w:val="auto"/>
          <w:sz w:val="24"/>
          <w:highlight w:val="none"/>
          <w:lang w:val="en-US" w:eastAsia="zh-CN"/>
        </w:rPr>
      </w:pPr>
      <w:r>
        <w:rPr>
          <w:rFonts w:hint="eastAsia" w:ascii="宋体"/>
          <w:b/>
          <w:color w:val="auto"/>
          <w:sz w:val="24"/>
          <w:highlight w:val="none"/>
          <w:lang w:val="en-US" w:eastAsia="zh-CN"/>
        </w:rPr>
        <w:t>注：1.招标阶段数量暂定为各1400条，实际数量以本项目预算21.7万元（毛毯、毛巾被）用完对应的实际供货数量为准。</w:t>
      </w:r>
    </w:p>
    <w:p w14:paraId="4CE4C74A">
      <w:pPr>
        <w:spacing w:line="440" w:lineRule="exact"/>
        <w:rPr>
          <w:rFonts w:hint="eastAsia" w:ascii="宋体"/>
          <w:b/>
          <w:color w:val="auto"/>
          <w:sz w:val="24"/>
          <w:highlight w:val="none"/>
          <w:lang w:eastAsia="zh-CN"/>
        </w:rPr>
      </w:pPr>
      <w:r>
        <w:rPr>
          <w:rFonts w:hint="eastAsia" w:ascii="宋体"/>
          <w:b/>
          <w:color w:val="auto"/>
          <w:sz w:val="24"/>
          <w:highlight w:val="none"/>
          <w:lang w:val="en-US" w:eastAsia="zh-CN"/>
        </w:rPr>
        <w:t>2.</w:t>
      </w:r>
      <w:r>
        <w:rPr>
          <w:rFonts w:hint="eastAsia" w:ascii="宋体"/>
          <w:b/>
          <w:color w:val="auto"/>
          <w:sz w:val="24"/>
          <w:highlight w:val="none"/>
        </w:rPr>
        <w:t>所有投标只能选择一种方案，单价和合价的报价只能是唯一，否则为无效标</w:t>
      </w:r>
      <w:r>
        <w:rPr>
          <w:rFonts w:hint="eastAsia" w:ascii="宋体"/>
          <w:b/>
          <w:color w:val="auto"/>
          <w:sz w:val="24"/>
          <w:highlight w:val="none"/>
          <w:lang w:eastAsia="zh-CN"/>
        </w:rPr>
        <w:t>。</w:t>
      </w:r>
    </w:p>
    <w:p w14:paraId="241C4E8C">
      <w:pPr>
        <w:spacing w:line="440" w:lineRule="exact"/>
        <w:rPr>
          <w:rFonts w:hint="eastAsia" w:ascii="宋体"/>
          <w:b/>
          <w:color w:val="auto"/>
          <w:sz w:val="24"/>
          <w:highlight w:val="none"/>
        </w:rPr>
      </w:pPr>
    </w:p>
    <w:p w14:paraId="26AC702E">
      <w:pPr>
        <w:spacing w:line="360" w:lineRule="auto"/>
        <w:ind w:firstLine="2160" w:firstLineChars="900"/>
        <w:rPr>
          <w:rFonts w:hint="eastAsia" w:ascii="宋体"/>
          <w:color w:val="auto"/>
          <w:sz w:val="24"/>
          <w:highlight w:val="none"/>
        </w:rPr>
      </w:pPr>
      <w:r>
        <w:rPr>
          <w:rFonts w:hint="eastAsia" w:ascii="宋体"/>
          <w:color w:val="auto"/>
          <w:sz w:val="24"/>
          <w:highlight w:val="none"/>
        </w:rPr>
        <w:t>投标人名称（盖章）：</w:t>
      </w:r>
      <w:r>
        <w:rPr>
          <w:rFonts w:hint="eastAsia" w:ascii="宋体"/>
          <w:color w:val="auto"/>
          <w:sz w:val="24"/>
          <w:highlight w:val="none"/>
          <w:u w:val="single"/>
        </w:rPr>
        <w:t xml:space="preserve">                                </w:t>
      </w:r>
    </w:p>
    <w:p w14:paraId="63CC5A9C">
      <w:pPr>
        <w:spacing w:line="360" w:lineRule="auto"/>
        <w:ind w:firstLine="2160" w:firstLineChars="900"/>
        <w:rPr>
          <w:rFonts w:hint="eastAsia" w:ascii="宋体"/>
          <w:color w:val="auto"/>
          <w:sz w:val="24"/>
          <w:highlight w:val="none"/>
        </w:rPr>
      </w:pPr>
      <w:r>
        <w:rPr>
          <w:rFonts w:hint="eastAsia" w:ascii="宋体"/>
          <w:color w:val="auto"/>
          <w:sz w:val="24"/>
          <w:highlight w:val="none"/>
        </w:rPr>
        <w:t>法定代表人或授权代理人(签字或盖章)：</w:t>
      </w:r>
      <w:r>
        <w:rPr>
          <w:rFonts w:hint="eastAsia" w:ascii="宋体"/>
          <w:color w:val="auto"/>
          <w:sz w:val="24"/>
          <w:highlight w:val="none"/>
          <w:u w:val="single"/>
        </w:rPr>
        <w:t xml:space="preserve">                </w:t>
      </w:r>
    </w:p>
    <w:p w14:paraId="4EDEA4C1">
      <w:pPr>
        <w:spacing w:line="360" w:lineRule="auto"/>
        <w:ind w:firstLine="2160" w:firstLineChars="90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314E4881">
      <w:pPr>
        <w:rPr>
          <w:rFonts w:hint="eastAsia"/>
          <w:color w:val="auto"/>
          <w:highlight w:val="none"/>
        </w:rPr>
      </w:pPr>
    </w:p>
    <w:p w14:paraId="038D087C">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771C4F5A">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7A0E8AFC">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5BD4D9DC">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7F5C66D9">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1EE394A2">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7D5F80D0">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6DFBF1BF">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1137FB09">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28422756">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5F1D4F71">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2CDA59B9">
      <w:pPr>
        <w:spacing w:line="440" w:lineRule="exact"/>
        <w:jc w:val="center"/>
        <w:outlineLvl w:val="0"/>
        <w:rPr>
          <w:rFonts w:hint="eastAsia" w:ascii="Times New Roman" w:hAnsi="宋体" w:eastAsia="宋体" w:cs="Times New Roman"/>
          <w:b/>
          <w:bCs/>
          <w:color w:val="auto"/>
          <w:sz w:val="32"/>
          <w:szCs w:val="32"/>
          <w:highlight w:val="none"/>
          <w:lang w:val="en-US" w:eastAsia="zh-CN"/>
        </w:rPr>
      </w:pPr>
    </w:p>
    <w:p w14:paraId="1327C3CB">
      <w:pPr>
        <w:spacing w:line="440" w:lineRule="exact"/>
        <w:jc w:val="center"/>
        <w:outlineLvl w:val="0"/>
        <w:rPr>
          <w:rFonts w:hint="eastAsia" w:ascii="宋体"/>
          <w:color w:val="auto"/>
          <w:sz w:val="24"/>
          <w:highlight w:val="none"/>
          <w:u w:val="single"/>
        </w:rPr>
      </w:pPr>
      <w:r>
        <w:rPr>
          <w:rFonts w:hint="eastAsia" w:ascii="Times New Roman" w:hAnsi="宋体" w:eastAsia="宋体" w:cs="Times New Roman"/>
          <w:b/>
          <w:bCs/>
          <w:color w:val="auto"/>
          <w:sz w:val="32"/>
          <w:szCs w:val="32"/>
          <w:highlight w:val="none"/>
          <w:lang w:val="en-US" w:eastAsia="zh-CN"/>
        </w:rPr>
        <w:t>第七章  招标单位、招标代理机构对本招标文件的确认</w:t>
      </w:r>
    </w:p>
    <w:tbl>
      <w:tblPr>
        <w:tblStyle w:val="26"/>
        <w:tblpPr w:leftFromText="180" w:rightFromText="180" w:vertAnchor="text" w:horzAnchor="page" w:tblpX="1353" w:tblpY="417"/>
        <w:tblOverlap w:val="never"/>
        <w:tblW w:w="0" w:type="auto"/>
        <w:tblInd w:w="0" w:type="dxa"/>
        <w:tblLayout w:type="fixed"/>
        <w:tblCellMar>
          <w:top w:w="0" w:type="dxa"/>
          <w:left w:w="108" w:type="dxa"/>
          <w:bottom w:w="0" w:type="dxa"/>
          <w:right w:w="108" w:type="dxa"/>
        </w:tblCellMar>
      </w:tblPr>
      <w:tblGrid>
        <w:gridCol w:w="9374"/>
      </w:tblGrid>
      <w:tr w14:paraId="6A6F395C">
        <w:tblPrEx>
          <w:tblCellMar>
            <w:top w:w="0" w:type="dxa"/>
            <w:left w:w="108" w:type="dxa"/>
            <w:bottom w:w="0" w:type="dxa"/>
            <w:right w:w="108" w:type="dxa"/>
          </w:tblCellMar>
        </w:tblPrEx>
        <w:trPr>
          <w:trHeight w:val="4493"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14:paraId="0E9CF2C8">
            <w:pPr>
              <w:keepNext w:val="0"/>
              <w:keepLines w:val="0"/>
              <w:suppressLineNumbers w:val="0"/>
              <w:spacing w:before="0" w:beforeAutospacing="0" w:after="0" w:afterAutospacing="0" w:line="440" w:lineRule="exact"/>
              <w:ind w:left="0" w:right="0" w:firstLine="560" w:firstLineChars="200"/>
              <w:rPr>
                <w:rFonts w:hint="eastAsia" w:ascii="宋体" w:cs="宋体"/>
                <w:color w:val="auto"/>
                <w:sz w:val="28"/>
                <w:szCs w:val="28"/>
                <w:highlight w:val="none"/>
              </w:rPr>
            </w:pPr>
          </w:p>
          <w:p w14:paraId="35FA57B3">
            <w:pPr>
              <w:keepNext w:val="0"/>
              <w:keepLines w:val="0"/>
              <w:suppressLineNumbers w:val="0"/>
              <w:spacing w:before="0" w:beforeAutospacing="0" w:after="156" w:afterLines="50" w:afterAutospacing="0"/>
              <w:ind w:left="0" w:right="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lang w:eastAsia="zh-CN"/>
              </w:rPr>
              <w:t>滁州市发展和改革委员会2026年度市级救灾物资采购项目</w:t>
            </w:r>
            <w:r>
              <w:rPr>
                <w:rFonts w:hint="eastAsia" w:ascii="宋体" w:cs="宋体"/>
                <w:color w:val="auto"/>
                <w:sz w:val="28"/>
                <w:szCs w:val="28"/>
                <w:highlight w:val="none"/>
              </w:rPr>
              <w:t>的招标文件进行确认。</w:t>
            </w:r>
          </w:p>
          <w:p w14:paraId="513F1E31">
            <w:pPr>
              <w:keepNext w:val="0"/>
              <w:keepLines w:val="0"/>
              <w:suppressLineNumbers w:val="0"/>
              <w:spacing w:before="0" w:beforeAutospacing="0" w:after="0" w:afterAutospacing="0" w:line="540" w:lineRule="exact"/>
              <w:ind w:left="0" w:right="0" w:firstLine="560" w:firstLineChars="200"/>
              <w:rPr>
                <w:rFonts w:hint="eastAsia" w:ascii="宋体" w:cs="宋体"/>
                <w:color w:val="auto"/>
                <w:sz w:val="28"/>
                <w:szCs w:val="28"/>
                <w:highlight w:val="none"/>
                <w:lang w:val="en-US" w:eastAsia="zh-CN"/>
              </w:rPr>
            </w:pPr>
            <w:r>
              <w:rPr>
                <w:rFonts w:hint="eastAsia" w:ascii="宋体" w:cs="宋体"/>
                <w:color w:val="auto"/>
                <w:sz w:val="28"/>
                <w:szCs w:val="28"/>
                <w:highlight w:val="none"/>
                <w:lang w:eastAsia="zh-CN"/>
              </w:rPr>
              <w:t>招标人</w:t>
            </w:r>
            <w:r>
              <w:rPr>
                <w:rFonts w:hint="eastAsia" w:ascii="宋体" w:cs="宋体"/>
                <w:color w:val="auto"/>
                <w:sz w:val="28"/>
                <w:szCs w:val="28"/>
                <w:highlight w:val="none"/>
              </w:rPr>
              <w:t>：</w:t>
            </w:r>
            <w:r>
              <w:rPr>
                <w:rFonts w:hint="eastAsia" w:ascii="宋体" w:cs="宋体"/>
                <w:color w:val="auto"/>
                <w:sz w:val="28"/>
                <w:szCs w:val="28"/>
                <w:highlight w:val="none"/>
                <w:lang w:val="en-US" w:eastAsia="zh-CN"/>
              </w:rPr>
              <w:t>滁州市发展和改革委员会</w:t>
            </w:r>
          </w:p>
          <w:p w14:paraId="3FBF2A53">
            <w:pPr>
              <w:keepNext w:val="0"/>
              <w:keepLines w:val="0"/>
              <w:suppressLineNumbers w:val="0"/>
              <w:spacing w:before="0" w:beforeAutospacing="0" w:after="0" w:afterAutospacing="0" w:line="540" w:lineRule="exact"/>
              <w:ind w:left="0" w:right="0" w:firstLine="560" w:firstLineChars="200"/>
              <w:rPr>
                <w:rFonts w:hint="eastAsia"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经办人：杨超</w:t>
            </w:r>
          </w:p>
          <w:p w14:paraId="08A5B105">
            <w:pPr>
              <w:keepNext w:val="0"/>
              <w:keepLines w:val="0"/>
              <w:suppressLineNumbers w:val="0"/>
              <w:spacing w:before="0" w:beforeAutospacing="0" w:after="0" w:afterAutospacing="0" w:line="540" w:lineRule="exact"/>
              <w:ind w:left="0" w:right="0" w:firstLine="560" w:firstLineChars="200"/>
              <w:rPr>
                <w:rFonts w:hint="eastAsia" w:ascii="宋体" w:hAnsi="Times New Roman" w:eastAsia="宋体" w:cs="宋体"/>
                <w:b w:val="0"/>
                <w:bCs w:val="0"/>
                <w:color w:val="auto"/>
                <w:sz w:val="28"/>
                <w:szCs w:val="28"/>
                <w:highlight w:val="none"/>
                <w:lang w:val="en-US" w:eastAsia="zh-CN"/>
              </w:rPr>
            </w:pPr>
            <w:r>
              <w:rPr>
                <w:rFonts w:hint="eastAsia" w:ascii="宋体" w:hAnsi="Times New Roman" w:eastAsia="宋体" w:cs="宋体"/>
                <w:b w:val="0"/>
                <w:bCs w:val="0"/>
                <w:color w:val="auto"/>
                <w:sz w:val="28"/>
                <w:szCs w:val="28"/>
                <w:highlight w:val="none"/>
                <w:lang w:val="en-US" w:eastAsia="zh-CN"/>
              </w:rPr>
              <w:t>联系电话：18019875989</w:t>
            </w:r>
          </w:p>
          <w:p w14:paraId="0D7F744A">
            <w:pPr>
              <w:keepNext w:val="0"/>
              <w:keepLines w:val="0"/>
              <w:suppressLineNumbers w:val="0"/>
              <w:spacing w:before="0" w:beforeAutospacing="0" w:after="0" w:afterAutospacing="0" w:line="540" w:lineRule="exact"/>
              <w:ind w:left="0" w:right="0" w:firstLine="5600" w:firstLineChars="2000"/>
              <w:rPr>
                <w:rFonts w:hint="eastAsia" w:ascii="宋体" w:cs="宋体"/>
                <w:color w:val="auto"/>
                <w:sz w:val="28"/>
                <w:szCs w:val="28"/>
                <w:highlight w:val="none"/>
              </w:rPr>
            </w:pPr>
          </w:p>
          <w:p w14:paraId="615E1A79">
            <w:pPr>
              <w:keepNext w:val="0"/>
              <w:keepLines w:val="0"/>
              <w:suppressLineNumbers w:val="0"/>
              <w:spacing w:before="0" w:beforeAutospacing="0" w:after="0" w:afterAutospacing="0" w:line="540" w:lineRule="exact"/>
              <w:ind w:left="0" w:right="0" w:firstLine="6300" w:firstLineChars="2250"/>
              <w:rPr>
                <w:rFonts w:hint="eastAsia" w:ascii="宋体" w:cs="宋体"/>
                <w:color w:val="auto"/>
                <w:sz w:val="28"/>
                <w:szCs w:val="28"/>
                <w:highlight w:val="none"/>
              </w:rPr>
            </w:pPr>
          </w:p>
          <w:p w14:paraId="5F6E6FEB">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lang w:eastAsia="zh-CN"/>
              </w:rPr>
              <w:t>2026年8月</w:t>
            </w:r>
            <w:r>
              <w:rPr>
                <w:rFonts w:hint="eastAsia" w:ascii="宋体" w:cs="宋体"/>
                <w:color w:val="auto"/>
                <w:sz w:val="28"/>
                <w:szCs w:val="28"/>
                <w:highlight w:val="none"/>
                <w:lang w:val="en-US" w:eastAsia="zh-CN"/>
              </w:rPr>
              <w:t xml:space="preserve"> </w:t>
            </w:r>
          </w:p>
          <w:p w14:paraId="3C20A38A">
            <w:pPr>
              <w:keepNext w:val="0"/>
              <w:keepLines w:val="0"/>
              <w:suppressLineNumbers w:val="0"/>
              <w:spacing w:before="0" w:beforeAutospacing="0" w:after="0" w:afterAutospacing="0" w:line="540" w:lineRule="exact"/>
              <w:ind w:left="0" w:right="0" w:firstLine="5880" w:firstLineChars="2100"/>
              <w:rPr>
                <w:rFonts w:hint="eastAsia" w:ascii="宋体" w:cs="宋体"/>
                <w:color w:val="auto"/>
                <w:sz w:val="28"/>
                <w:szCs w:val="28"/>
                <w:highlight w:val="none"/>
              </w:rPr>
            </w:pPr>
          </w:p>
        </w:tc>
      </w:tr>
      <w:tr w14:paraId="67F121F2">
        <w:tblPrEx>
          <w:tblCellMar>
            <w:top w:w="0" w:type="dxa"/>
            <w:left w:w="108" w:type="dxa"/>
            <w:bottom w:w="0" w:type="dxa"/>
            <w:right w:w="108" w:type="dxa"/>
          </w:tblCellMar>
        </w:tblPrEx>
        <w:trPr>
          <w:trHeight w:val="5310" w:hRule="atLeast"/>
        </w:trPr>
        <w:tc>
          <w:tcPr>
            <w:tcW w:w="9374" w:type="dxa"/>
            <w:tcBorders>
              <w:top w:val="single" w:color="auto" w:sz="4" w:space="0"/>
              <w:left w:val="single" w:color="auto" w:sz="4" w:space="0"/>
              <w:bottom w:val="single" w:color="auto" w:sz="4" w:space="0"/>
              <w:right w:val="single" w:color="auto" w:sz="4" w:space="0"/>
            </w:tcBorders>
            <w:noWrap w:val="0"/>
            <w:vAlign w:val="top"/>
          </w:tcPr>
          <w:p w14:paraId="5CD04A56">
            <w:pPr>
              <w:keepNext w:val="0"/>
              <w:keepLines w:val="0"/>
              <w:suppressLineNumbers w:val="0"/>
              <w:spacing w:before="0" w:beforeAutospacing="0" w:after="0" w:afterAutospacing="0" w:line="440" w:lineRule="exact"/>
              <w:ind w:left="0" w:right="0"/>
              <w:rPr>
                <w:rFonts w:hint="eastAsia" w:ascii="宋体" w:cs="宋体"/>
                <w:color w:val="auto"/>
                <w:sz w:val="28"/>
                <w:szCs w:val="28"/>
                <w:highlight w:val="none"/>
              </w:rPr>
            </w:pPr>
          </w:p>
          <w:p w14:paraId="69AA4A9D">
            <w:pPr>
              <w:keepNext w:val="0"/>
              <w:keepLines w:val="0"/>
              <w:suppressLineNumbers w:val="0"/>
              <w:spacing w:before="0" w:beforeAutospacing="0" w:after="0" w:afterAutospacing="0" w:line="560" w:lineRule="exact"/>
              <w:ind w:left="0" w:right="0" w:firstLine="560" w:firstLineChars="200"/>
              <w:rPr>
                <w:rFonts w:hint="eastAsia"/>
                <w:color w:val="auto"/>
                <w:sz w:val="28"/>
                <w:szCs w:val="28"/>
                <w:highlight w:val="none"/>
              </w:rPr>
            </w:pPr>
            <w:r>
              <w:rPr>
                <w:rFonts w:hint="eastAsia"/>
                <w:color w:val="auto"/>
                <w:sz w:val="28"/>
                <w:szCs w:val="28"/>
                <w:highlight w:val="none"/>
              </w:rPr>
              <w:t>招标代理机构：滁州市城投工程咨询管理有限公司</w:t>
            </w:r>
          </w:p>
          <w:p w14:paraId="45FAD9C8">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联系人：</w:t>
            </w:r>
            <w:r>
              <w:rPr>
                <w:rFonts w:hint="eastAsia"/>
                <w:color w:val="auto"/>
                <w:sz w:val="28"/>
                <w:szCs w:val="28"/>
                <w:highlight w:val="none"/>
                <w:lang w:val="en-US" w:eastAsia="zh-CN"/>
              </w:rPr>
              <w:t>周晓培</w:t>
            </w:r>
          </w:p>
          <w:p w14:paraId="58B98B24">
            <w:pPr>
              <w:keepNext w:val="0"/>
              <w:keepLines w:val="0"/>
              <w:suppressLineNumbers w:val="0"/>
              <w:spacing w:before="0" w:beforeAutospacing="0" w:after="0" w:afterAutospacing="0" w:line="560" w:lineRule="exact"/>
              <w:ind w:left="0" w:right="0" w:firstLine="560" w:firstLineChars="200"/>
              <w:rPr>
                <w:rFonts w:hint="default" w:eastAsia="宋体"/>
                <w:color w:val="auto"/>
                <w:sz w:val="28"/>
                <w:szCs w:val="28"/>
                <w:highlight w:val="none"/>
                <w:lang w:val="en-US" w:eastAsia="zh-CN"/>
              </w:rPr>
            </w:pPr>
            <w:r>
              <w:rPr>
                <w:rFonts w:hint="eastAsia"/>
                <w:color w:val="auto"/>
                <w:sz w:val="28"/>
                <w:szCs w:val="28"/>
                <w:highlight w:val="none"/>
              </w:rPr>
              <w:t>联系电话：</w:t>
            </w:r>
            <w:r>
              <w:rPr>
                <w:rFonts w:hint="eastAsia" w:ascii="宋体" w:hAnsi="宋体"/>
                <w:color w:val="auto"/>
                <w:sz w:val="28"/>
                <w:szCs w:val="28"/>
                <w:highlight w:val="none"/>
                <w:lang w:eastAsia="zh-CN"/>
              </w:rPr>
              <w:t>0550-3519512</w:t>
            </w: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18255055896</w:t>
            </w:r>
          </w:p>
          <w:p w14:paraId="66A90F19">
            <w:pPr>
              <w:keepNext w:val="0"/>
              <w:keepLines w:val="0"/>
              <w:suppressLineNumbers w:val="0"/>
              <w:spacing w:before="0" w:beforeAutospacing="0" w:after="0" w:afterAutospacing="0" w:line="560" w:lineRule="exact"/>
              <w:ind w:left="0" w:right="0" w:firstLine="280" w:firstLineChars="100"/>
              <w:rPr>
                <w:rFonts w:hint="eastAsia"/>
                <w:color w:val="auto"/>
                <w:sz w:val="28"/>
                <w:szCs w:val="28"/>
                <w:highlight w:val="none"/>
              </w:rPr>
            </w:pPr>
            <w:r>
              <w:rPr>
                <w:rFonts w:hint="eastAsia"/>
                <w:color w:val="auto"/>
                <w:sz w:val="28"/>
                <w:szCs w:val="28"/>
                <w:highlight w:val="none"/>
              </w:rPr>
              <w:t xml:space="preserve">                                  </w:t>
            </w:r>
          </w:p>
          <w:p w14:paraId="56D9CC7E">
            <w:pPr>
              <w:keepNext w:val="0"/>
              <w:keepLines w:val="0"/>
              <w:suppressLineNumbers w:val="0"/>
              <w:spacing w:before="0" w:beforeAutospacing="0" w:after="0" w:afterAutospacing="0" w:line="520" w:lineRule="exact"/>
              <w:ind w:left="0" w:right="0" w:firstLine="560" w:firstLineChars="200"/>
              <w:rPr>
                <w:rFonts w:hint="eastAsia" w:ascii="宋体" w:cs="宋体"/>
                <w:color w:val="auto"/>
                <w:sz w:val="28"/>
                <w:szCs w:val="28"/>
                <w:highlight w:val="none"/>
              </w:rPr>
            </w:pPr>
            <w:r>
              <w:rPr>
                <w:rFonts w:hint="eastAsia"/>
                <w:color w:val="auto"/>
                <w:sz w:val="28"/>
                <w:szCs w:val="28"/>
                <w:highlight w:val="none"/>
              </w:rPr>
              <w:t xml:space="preserve">                                      </w:t>
            </w:r>
          </w:p>
          <w:p w14:paraId="1211F246">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14:paraId="44FEC44A">
            <w:pPr>
              <w:keepNext w:val="0"/>
              <w:keepLines w:val="0"/>
              <w:suppressLineNumbers w:val="0"/>
              <w:spacing w:before="0" w:beforeAutospacing="0" w:after="0" w:afterAutospacing="0" w:line="520" w:lineRule="exact"/>
              <w:ind w:left="0" w:right="0" w:firstLine="6300" w:firstLineChars="2250"/>
              <w:rPr>
                <w:rFonts w:hint="eastAsia" w:ascii="宋体" w:cs="宋体"/>
                <w:color w:val="auto"/>
                <w:sz w:val="28"/>
                <w:szCs w:val="28"/>
                <w:highlight w:val="none"/>
              </w:rPr>
            </w:pPr>
          </w:p>
          <w:p w14:paraId="2B0643CC">
            <w:pPr>
              <w:keepNext w:val="0"/>
              <w:keepLines w:val="0"/>
              <w:suppressLineNumbers w:val="0"/>
              <w:spacing w:before="0" w:beforeAutospacing="0" w:after="0" w:afterAutospacing="0" w:line="540" w:lineRule="exact"/>
              <w:ind w:left="0" w:right="0" w:firstLine="5880" w:firstLineChars="21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lang w:eastAsia="zh-CN"/>
              </w:rPr>
              <w:t>2026年8月</w:t>
            </w:r>
            <w:r>
              <w:rPr>
                <w:rFonts w:hint="eastAsia" w:ascii="宋体" w:cs="宋体"/>
                <w:color w:val="auto"/>
                <w:sz w:val="28"/>
                <w:szCs w:val="28"/>
                <w:highlight w:val="none"/>
                <w:lang w:val="en-US" w:eastAsia="zh-CN"/>
              </w:rPr>
              <w:t xml:space="preserve"> </w:t>
            </w:r>
          </w:p>
          <w:p w14:paraId="6A50567D">
            <w:pPr>
              <w:keepNext w:val="0"/>
              <w:keepLines w:val="0"/>
              <w:suppressLineNumbers w:val="0"/>
              <w:spacing w:before="0" w:beforeAutospacing="0" w:after="0" w:afterAutospacing="0" w:line="540" w:lineRule="exact"/>
              <w:ind w:left="0" w:right="0" w:firstLine="5952" w:firstLineChars="2126"/>
              <w:rPr>
                <w:rFonts w:hint="eastAsia" w:ascii="宋体" w:cs="宋体"/>
                <w:color w:val="auto"/>
                <w:sz w:val="28"/>
                <w:szCs w:val="28"/>
                <w:highlight w:val="none"/>
              </w:rPr>
            </w:pPr>
          </w:p>
        </w:tc>
      </w:tr>
    </w:tbl>
    <w:p w14:paraId="72DC6B70">
      <w:pPr>
        <w:pStyle w:val="7"/>
        <w:ind w:left="0" w:leftChars="0" w:firstLine="0" w:firstLineChars="0"/>
        <w:rPr>
          <w:rFonts w:hint="default" w:eastAsia="宋体"/>
          <w:color w:val="auto"/>
          <w:highlight w:val="none"/>
          <w:lang w:val="en-US" w:eastAsia="zh-CN"/>
        </w:rPr>
      </w:pPr>
    </w:p>
    <w:p w14:paraId="27427C5B">
      <w:pPr>
        <w:rPr>
          <w:color w:val="auto"/>
          <w:highlight w:val="none"/>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1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〇.">
    <w:altName w:val="宋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83" w:usb1="288F0000" w:usb2="0000000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9B18B">
    <w:pPr>
      <w:pStyle w:val="16"/>
      <w:ind w:right="360"/>
      <w:rPr>
        <w:rStyle w:val="30"/>
      </w:rPr>
    </w:pPr>
  </w:p>
  <w:p w14:paraId="388DE3EE">
    <w:pPr>
      <w:pStyle w:val="16"/>
      <w:framePr w:wrap="around" w:vAnchor="text" w:hAnchor="margin" w:xAlign="center" w:y="1"/>
      <w:ind w:right="360"/>
      <w:rPr>
        <w:rStyle w:val="30"/>
      </w:rPr>
    </w:pPr>
  </w:p>
  <w:p w14:paraId="670617ED">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2BA87">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CD36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ECD36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7566">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02EDD58"/>
    <w:multiLevelType w:val="singleLevel"/>
    <w:tmpl w:val="602EDD58"/>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wYWRmYzhhOTE3YjUzYjEwMzQ0YzA4OWMwMDBlNzYifQ=="/>
  </w:docVars>
  <w:rsids>
    <w:rsidRoot w:val="440F4D94"/>
    <w:rsid w:val="00625C16"/>
    <w:rsid w:val="00774D08"/>
    <w:rsid w:val="00886085"/>
    <w:rsid w:val="00FF60D6"/>
    <w:rsid w:val="013C690E"/>
    <w:rsid w:val="01A21D6C"/>
    <w:rsid w:val="01D118B5"/>
    <w:rsid w:val="01E37862"/>
    <w:rsid w:val="01E872A1"/>
    <w:rsid w:val="022950E4"/>
    <w:rsid w:val="0232372D"/>
    <w:rsid w:val="02502671"/>
    <w:rsid w:val="030D0562"/>
    <w:rsid w:val="032031D0"/>
    <w:rsid w:val="03351867"/>
    <w:rsid w:val="03DD6186"/>
    <w:rsid w:val="03F1316B"/>
    <w:rsid w:val="04115E30"/>
    <w:rsid w:val="043D09D3"/>
    <w:rsid w:val="05045994"/>
    <w:rsid w:val="0523406D"/>
    <w:rsid w:val="052D4B75"/>
    <w:rsid w:val="05924D4E"/>
    <w:rsid w:val="059D1414"/>
    <w:rsid w:val="06053772"/>
    <w:rsid w:val="06B45DD4"/>
    <w:rsid w:val="06C278B5"/>
    <w:rsid w:val="06D54ED0"/>
    <w:rsid w:val="06DB44D3"/>
    <w:rsid w:val="06DC0977"/>
    <w:rsid w:val="07011EC4"/>
    <w:rsid w:val="079C0106"/>
    <w:rsid w:val="07C425FF"/>
    <w:rsid w:val="07F341CA"/>
    <w:rsid w:val="08387E2F"/>
    <w:rsid w:val="085D2841"/>
    <w:rsid w:val="08674270"/>
    <w:rsid w:val="08A47272"/>
    <w:rsid w:val="08CB1CB5"/>
    <w:rsid w:val="09572537"/>
    <w:rsid w:val="09B259BF"/>
    <w:rsid w:val="09E6624A"/>
    <w:rsid w:val="0ACE6829"/>
    <w:rsid w:val="0AFF501E"/>
    <w:rsid w:val="0B925AA8"/>
    <w:rsid w:val="0BAA1044"/>
    <w:rsid w:val="0C3C5A14"/>
    <w:rsid w:val="0CEF01A1"/>
    <w:rsid w:val="0CF307C8"/>
    <w:rsid w:val="0D0E1C25"/>
    <w:rsid w:val="0D4228C9"/>
    <w:rsid w:val="0D7116ED"/>
    <w:rsid w:val="0D7D3AFE"/>
    <w:rsid w:val="0DFA7935"/>
    <w:rsid w:val="0DFC36AD"/>
    <w:rsid w:val="0EA24254"/>
    <w:rsid w:val="0EBB3464"/>
    <w:rsid w:val="0ECA5559"/>
    <w:rsid w:val="0ED15076"/>
    <w:rsid w:val="0F5A3543"/>
    <w:rsid w:val="0FAB2693"/>
    <w:rsid w:val="0FDF4C74"/>
    <w:rsid w:val="10161464"/>
    <w:rsid w:val="101C4945"/>
    <w:rsid w:val="10303AE2"/>
    <w:rsid w:val="104E10A7"/>
    <w:rsid w:val="10545A22"/>
    <w:rsid w:val="106C64C8"/>
    <w:rsid w:val="10AB3168"/>
    <w:rsid w:val="10AF2C58"/>
    <w:rsid w:val="10E43038"/>
    <w:rsid w:val="110765F0"/>
    <w:rsid w:val="11145782"/>
    <w:rsid w:val="11273F56"/>
    <w:rsid w:val="114E421F"/>
    <w:rsid w:val="11666BBB"/>
    <w:rsid w:val="1182211B"/>
    <w:rsid w:val="11AE1162"/>
    <w:rsid w:val="11B524F0"/>
    <w:rsid w:val="12086AC4"/>
    <w:rsid w:val="122B100A"/>
    <w:rsid w:val="12431559"/>
    <w:rsid w:val="12495F1F"/>
    <w:rsid w:val="12E63FA6"/>
    <w:rsid w:val="12F928B1"/>
    <w:rsid w:val="12FB2185"/>
    <w:rsid w:val="12FD414F"/>
    <w:rsid w:val="13051255"/>
    <w:rsid w:val="1323348A"/>
    <w:rsid w:val="13294F44"/>
    <w:rsid w:val="132E09AA"/>
    <w:rsid w:val="13DC1FB6"/>
    <w:rsid w:val="14334ED5"/>
    <w:rsid w:val="144E4536"/>
    <w:rsid w:val="14A300CE"/>
    <w:rsid w:val="14CF38C9"/>
    <w:rsid w:val="14DE3B0C"/>
    <w:rsid w:val="158226E9"/>
    <w:rsid w:val="159A586B"/>
    <w:rsid w:val="162403C8"/>
    <w:rsid w:val="16655F19"/>
    <w:rsid w:val="1674297A"/>
    <w:rsid w:val="16826719"/>
    <w:rsid w:val="169F551D"/>
    <w:rsid w:val="16E80C72"/>
    <w:rsid w:val="17250168"/>
    <w:rsid w:val="18023FB5"/>
    <w:rsid w:val="18267CA4"/>
    <w:rsid w:val="18A84B5D"/>
    <w:rsid w:val="196545EF"/>
    <w:rsid w:val="19E70870"/>
    <w:rsid w:val="1A2C0203"/>
    <w:rsid w:val="1A772A39"/>
    <w:rsid w:val="1A9D7FC6"/>
    <w:rsid w:val="1AB53561"/>
    <w:rsid w:val="1B0B6A26"/>
    <w:rsid w:val="1B22608C"/>
    <w:rsid w:val="1B3C77DE"/>
    <w:rsid w:val="1B6C188C"/>
    <w:rsid w:val="1B811695"/>
    <w:rsid w:val="1BD6378F"/>
    <w:rsid w:val="1C4526C3"/>
    <w:rsid w:val="1C534D67"/>
    <w:rsid w:val="1C782A98"/>
    <w:rsid w:val="1CDD6D9F"/>
    <w:rsid w:val="1D232A04"/>
    <w:rsid w:val="1D33169F"/>
    <w:rsid w:val="1D583653"/>
    <w:rsid w:val="1D905BC0"/>
    <w:rsid w:val="1DD7722D"/>
    <w:rsid w:val="1E1C0BBD"/>
    <w:rsid w:val="1E474369"/>
    <w:rsid w:val="1ECA7563"/>
    <w:rsid w:val="1ED3045A"/>
    <w:rsid w:val="1EE672C4"/>
    <w:rsid w:val="1EF26B32"/>
    <w:rsid w:val="1FBE5586"/>
    <w:rsid w:val="2035457B"/>
    <w:rsid w:val="204506D8"/>
    <w:rsid w:val="20D42B7F"/>
    <w:rsid w:val="20F63292"/>
    <w:rsid w:val="21391D2B"/>
    <w:rsid w:val="21416F2F"/>
    <w:rsid w:val="21545A4D"/>
    <w:rsid w:val="21BA2506"/>
    <w:rsid w:val="21BE621E"/>
    <w:rsid w:val="21C04848"/>
    <w:rsid w:val="21C127EB"/>
    <w:rsid w:val="21D53CD0"/>
    <w:rsid w:val="21E108C6"/>
    <w:rsid w:val="21FC6157"/>
    <w:rsid w:val="220152DE"/>
    <w:rsid w:val="222D5B93"/>
    <w:rsid w:val="22596EC8"/>
    <w:rsid w:val="226F2247"/>
    <w:rsid w:val="228D060C"/>
    <w:rsid w:val="22B1131D"/>
    <w:rsid w:val="22F95FB5"/>
    <w:rsid w:val="231D6147"/>
    <w:rsid w:val="233F60BE"/>
    <w:rsid w:val="2369138D"/>
    <w:rsid w:val="237B0CD6"/>
    <w:rsid w:val="23B26890"/>
    <w:rsid w:val="24533AF8"/>
    <w:rsid w:val="24575689"/>
    <w:rsid w:val="245C67FB"/>
    <w:rsid w:val="251B0465"/>
    <w:rsid w:val="25C21DB8"/>
    <w:rsid w:val="25FA62CC"/>
    <w:rsid w:val="26342D45"/>
    <w:rsid w:val="264834DB"/>
    <w:rsid w:val="264A1001"/>
    <w:rsid w:val="264B6AA6"/>
    <w:rsid w:val="266B4AD8"/>
    <w:rsid w:val="26F954CE"/>
    <w:rsid w:val="27377E1D"/>
    <w:rsid w:val="27427F5F"/>
    <w:rsid w:val="27D8263D"/>
    <w:rsid w:val="27E62FAC"/>
    <w:rsid w:val="287E4991"/>
    <w:rsid w:val="28B5297E"/>
    <w:rsid w:val="28C17575"/>
    <w:rsid w:val="28D87037"/>
    <w:rsid w:val="29DD03DE"/>
    <w:rsid w:val="2A1A6F3D"/>
    <w:rsid w:val="2A61691A"/>
    <w:rsid w:val="2AA607D0"/>
    <w:rsid w:val="2B2F07C6"/>
    <w:rsid w:val="2B4E2E20"/>
    <w:rsid w:val="2BDB26FC"/>
    <w:rsid w:val="2C201D36"/>
    <w:rsid w:val="2C231C4E"/>
    <w:rsid w:val="2C7A0167"/>
    <w:rsid w:val="2C867F83"/>
    <w:rsid w:val="2CD7749F"/>
    <w:rsid w:val="2CF577ED"/>
    <w:rsid w:val="2D377E06"/>
    <w:rsid w:val="2D825525"/>
    <w:rsid w:val="2DCC49F2"/>
    <w:rsid w:val="2E071D36"/>
    <w:rsid w:val="2E3A7BAD"/>
    <w:rsid w:val="2F0106CB"/>
    <w:rsid w:val="2F61116A"/>
    <w:rsid w:val="2F7D2448"/>
    <w:rsid w:val="2FB13E9F"/>
    <w:rsid w:val="30146BDF"/>
    <w:rsid w:val="30F81F4D"/>
    <w:rsid w:val="31105507"/>
    <w:rsid w:val="31146559"/>
    <w:rsid w:val="3138414C"/>
    <w:rsid w:val="3163741B"/>
    <w:rsid w:val="32013042"/>
    <w:rsid w:val="32543208"/>
    <w:rsid w:val="325E3380"/>
    <w:rsid w:val="327376B8"/>
    <w:rsid w:val="32870EE7"/>
    <w:rsid w:val="32CB5278"/>
    <w:rsid w:val="32E77BD8"/>
    <w:rsid w:val="32EB3B6C"/>
    <w:rsid w:val="330E33B7"/>
    <w:rsid w:val="33864FF7"/>
    <w:rsid w:val="33D219EE"/>
    <w:rsid w:val="33F622C6"/>
    <w:rsid w:val="33FE6BEC"/>
    <w:rsid w:val="340A0022"/>
    <w:rsid w:val="3412575F"/>
    <w:rsid w:val="34156AD4"/>
    <w:rsid w:val="34242DD3"/>
    <w:rsid w:val="34592D57"/>
    <w:rsid w:val="3463108F"/>
    <w:rsid w:val="346F257B"/>
    <w:rsid w:val="347A68F8"/>
    <w:rsid w:val="34B306BA"/>
    <w:rsid w:val="34F30AB6"/>
    <w:rsid w:val="359202CF"/>
    <w:rsid w:val="35C04688"/>
    <w:rsid w:val="37040D59"/>
    <w:rsid w:val="371B2546"/>
    <w:rsid w:val="37751C56"/>
    <w:rsid w:val="37E1109A"/>
    <w:rsid w:val="37EF7C5B"/>
    <w:rsid w:val="381274A5"/>
    <w:rsid w:val="382F16B6"/>
    <w:rsid w:val="387B14EE"/>
    <w:rsid w:val="38D83B76"/>
    <w:rsid w:val="38DE1A7D"/>
    <w:rsid w:val="39C562C9"/>
    <w:rsid w:val="3A8D5509"/>
    <w:rsid w:val="3A971EE4"/>
    <w:rsid w:val="3AE57A8F"/>
    <w:rsid w:val="3B1112B0"/>
    <w:rsid w:val="3B585B17"/>
    <w:rsid w:val="3B5E746C"/>
    <w:rsid w:val="3BCC2061"/>
    <w:rsid w:val="3C2459F9"/>
    <w:rsid w:val="3C495460"/>
    <w:rsid w:val="3CB74ABF"/>
    <w:rsid w:val="3CCA77EC"/>
    <w:rsid w:val="3D000214"/>
    <w:rsid w:val="3D143CBF"/>
    <w:rsid w:val="3D2327C4"/>
    <w:rsid w:val="3D2E74B7"/>
    <w:rsid w:val="3D3B749E"/>
    <w:rsid w:val="3D7F110E"/>
    <w:rsid w:val="3D8B68BD"/>
    <w:rsid w:val="3DA037A5"/>
    <w:rsid w:val="3DF71617"/>
    <w:rsid w:val="3E10723D"/>
    <w:rsid w:val="3E29379B"/>
    <w:rsid w:val="3E6C3C86"/>
    <w:rsid w:val="3E720C9E"/>
    <w:rsid w:val="3E725142"/>
    <w:rsid w:val="3EDC6A5F"/>
    <w:rsid w:val="3F7153F9"/>
    <w:rsid w:val="3F767786"/>
    <w:rsid w:val="3FB05F21"/>
    <w:rsid w:val="3FBB0422"/>
    <w:rsid w:val="3FDC1609"/>
    <w:rsid w:val="402661E4"/>
    <w:rsid w:val="40585B1F"/>
    <w:rsid w:val="407078D0"/>
    <w:rsid w:val="40A610D2"/>
    <w:rsid w:val="41067DC3"/>
    <w:rsid w:val="41564E37"/>
    <w:rsid w:val="41AF3FB7"/>
    <w:rsid w:val="41C76417"/>
    <w:rsid w:val="41DC0B42"/>
    <w:rsid w:val="41EE4ADF"/>
    <w:rsid w:val="42130902"/>
    <w:rsid w:val="421D3C7F"/>
    <w:rsid w:val="428B3D82"/>
    <w:rsid w:val="42AB7679"/>
    <w:rsid w:val="42D60DEB"/>
    <w:rsid w:val="42F933B2"/>
    <w:rsid w:val="42FD71D2"/>
    <w:rsid w:val="431B7645"/>
    <w:rsid w:val="43244531"/>
    <w:rsid w:val="43340C18"/>
    <w:rsid w:val="43480D41"/>
    <w:rsid w:val="43E73EDC"/>
    <w:rsid w:val="440F4D94"/>
    <w:rsid w:val="44121234"/>
    <w:rsid w:val="441A605F"/>
    <w:rsid w:val="446B68BB"/>
    <w:rsid w:val="44A616A1"/>
    <w:rsid w:val="44FF5255"/>
    <w:rsid w:val="45132EF4"/>
    <w:rsid w:val="453749EF"/>
    <w:rsid w:val="45602117"/>
    <w:rsid w:val="4571765C"/>
    <w:rsid w:val="457C2402"/>
    <w:rsid w:val="45C36283"/>
    <w:rsid w:val="45E961FB"/>
    <w:rsid w:val="46026DAB"/>
    <w:rsid w:val="46501639"/>
    <w:rsid w:val="465B64BB"/>
    <w:rsid w:val="465F41FD"/>
    <w:rsid w:val="471C20EE"/>
    <w:rsid w:val="472F1E22"/>
    <w:rsid w:val="474318BA"/>
    <w:rsid w:val="47767A51"/>
    <w:rsid w:val="47DC16A5"/>
    <w:rsid w:val="48287183"/>
    <w:rsid w:val="48351379"/>
    <w:rsid w:val="484E463E"/>
    <w:rsid w:val="48A936DC"/>
    <w:rsid w:val="48AB197C"/>
    <w:rsid w:val="48AE4E97"/>
    <w:rsid w:val="49064E04"/>
    <w:rsid w:val="491938C4"/>
    <w:rsid w:val="49335641"/>
    <w:rsid w:val="49560276"/>
    <w:rsid w:val="496D09DF"/>
    <w:rsid w:val="49830A4D"/>
    <w:rsid w:val="49A308A5"/>
    <w:rsid w:val="49DE18DD"/>
    <w:rsid w:val="4A0330F2"/>
    <w:rsid w:val="4A3859E6"/>
    <w:rsid w:val="4A8A076F"/>
    <w:rsid w:val="4A933697"/>
    <w:rsid w:val="4AB80380"/>
    <w:rsid w:val="4B78366B"/>
    <w:rsid w:val="4B8A2C90"/>
    <w:rsid w:val="4B9E1324"/>
    <w:rsid w:val="4BA42599"/>
    <w:rsid w:val="4BD531A1"/>
    <w:rsid w:val="4BE60F1D"/>
    <w:rsid w:val="4C2D08FA"/>
    <w:rsid w:val="4C3857CB"/>
    <w:rsid w:val="4C65665F"/>
    <w:rsid w:val="4C96649F"/>
    <w:rsid w:val="4CC10091"/>
    <w:rsid w:val="4CE657A0"/>
    <w:rsid w:val="4D1675E0"/>
    <w:rsid w:val="4D1A0E7E"/>
    <w:rsid w:val="4D4F2C7D"/>
    <w:rsid w:val="4D551EB6"/>
    <w:rsid w:val="4D84279B"/>
    <w:rsid w:val="4DA1334D"/>
    <w:rsid w:val="4DDE110F"/>
    <w:rsid w:val="4DF27705"/>
    <w:rsid w:val="4E173610"/>
    <w:rsid w:val="4E21623C"/>
    <w:rsid w:val="4E50267E"/>
    <w:rsid w:val="4E7B3BF3"/>
    <w:rsid w:val="4EDF35D4"/>
    <w:rsid w:val="4F2C6C47"/>
    <w:rsid w:val="4F522371"/>
    <w:rsid w:val="4F625F52"/>
    <w:rsid w:val="4FA12577"/>
    <w:rsid w:val="4FA1515E"/>
    <w:rsid w:val="4FE15C83"/>
    <w:rsid w:val="501955FB"/>
    <w:rsid w:val="50271928"/>
    <w:rsid w:val="502838B2"/>
    <w:rsid w:val="502F586C"/>
    <w:rsid w:val="5052092F"/>
    <w:rsid w:val="506A143A"/>
    <w:rsid w:val="509C2507"/>
    <w:rsid w:val="509C604E"/>
    <w:rsid w:val="50C07F8E"/>
    <w:rsid w:val="510E11AC"/>
    <w:rsid w:val="517D19DC"/>
    <w:rsid w:val="51870AAC"/>
    <w:rsid w:val="51911F10"/>
    <w:rsid w:val="51A90A23"/>
    <w:rsid w:val="51AB479B"/>
    <w:rsid w:val="51BA49DE"/>
    <w:rsid w:val="51DE6AF8"/>
    <w:rsid w:val="51EE0B2B"/>
    <w:rsid w:val="524A2661"/>
    <w:rsid w:val="52BA27BB"/>
    <w:rsid w:val="5324220F"/>
    <w:rsid w:val="53636A16"/>
    <w:rsid w:val="539574B0"/>
    <w:rsid w:val="547F3CBD"/>
    <w:rsid w:val="54F616B0"/>
    <w:rsid w:val="5523352E"/>
    <w:rsid w:val="55741347"/>
    <w:rsid w:val="55912550"/>
    <w:rsid w:val="55E069DD"/>
    <w:rsid w:val="564C5E20"/>
    <w:rsid w:val="565F3DA6"/>
    <w:rsid w:val="5683704F"/>
    <w:rsid w:val="56A874FB"/>
    <w:rsid w:val="56B57E6A"/>
    <w:rsid w:val="56EB2722"/>
    <w:rsid w:val="57C64326"/>
    <w:rsid w:val="57D3727A"/>
    <w:rsid w:val="58133B49"/>
    <w:rsid w:val="581666E6"/>
    <w:rsid w:val="583A6878"/>
    <w:rsid w:val="58444517"/>
    <w:rsid w:val="58466FA3"/>
    <w:rsid w:val="58D81BED"/>
    <w:rsid w:val="590B0FBC"/>
    <w:rsid w:val="59575208"/>
    <w:rsid w:val="5AB50438"/>
    <w:rsid w:val="5AB972A9"/>
    <w:rsid w:val="5AC41FE9"/>
    <w:rsid w:val="5B697EEF"/>
    <w:rsid w:val="5B6D0D13"/>
    <w:rsid w:val="5B8354A2"/>
    <w:rsid w:val="5BC36B85"/>
    <w:rsid w:val="5BE213C8"/>
    <w:rsid w:val="5C82434A"/>
    <w:rsid w:val="5CC53758"/>
    <w:rsid w:val="5CEE5E83"/>
    <w:rsid w:val="5D1B384F"/>
    <w:rsid w:val="5D2B5019"/>
    <w:rsid w:val="5D7002D3"/>
    <w:rsid w:val="5D891708"/>
    <w:rsid w:val="5DCA5FA9"/>
    <w:rsid w:val="5E111E29"/>
    <w:rsid w:val="5E2751A9"/>
    <w:rsid w:val="5E9860A7"/>
    <w:rsid w:val="5EB279F6"/>
    <w:rsid w:val="5EF20DA9"/>
    <w:rsid w:val="5F37766E"/>
    <w:rsid w:val="5FAD5B82"/>
    <w:rsid w:val="5FFB1028"/>
    <w:rsid w:val="5FFB4038"/>
    <w:rsid w:val="604D11B9"/>
    <w:rsid w:val="606103C9"/>
    <w:rsid w:val="606D7E92"/>
    <w:rsid w:val="6089214B"/>
    <w:rsid w:val="60F5158E"/>
    <w:rsid w:val="611E542F"/>
    <w:rsid w:val="613D2F35"/>
    <w:rsid w:val="61C176C2"/>
    <w:rsid w:val="61C72A64"/>
    <w:rsid w:val="61CF3C72"/>
    <w:rsid w:val="62AC3ECF"/>
    <w:rsid w:val="62C47C43"/>
    <w:rsid w:val="630930CF"/>
    <w:rsid w:val="635C3B47"/>
    <w:rsid w:val="638B7F88"/>
    <w:rsid w:val="642F4DB7"/>
    <w:rsid w:val="64A21A2D"/>
    <w:rsid w:val="6509245E"/>
    <w:rsid w:val="65516FAF"/>
    <w:rsid w:val="65F22540"/>
    <w:rsid w:val="65F32069"/>
    <w:rsid w:val="65FE70CA"/>
    <w:rsid w:val="66171FA7"/>
    <w:rsid w:val="668A2779"/>
    <w:rsid w:val="668A652A"/>
    <w:rsid w:val="669453A6"/>
    <w:rsid w:val="66A31A8D"/>
    <w:rsid w:val="67254250"/>
    <w:rsid w:val="6727446C"/>
    <w:rsid w:val="672E75A8"/>
    <w:rsid w:val="677837F1"/>
    <w:rsid w:val="678436AC"/>
    <w:rsid w:val="67980EC5"/>
    <w:rsid w:val="686B65DA"/>
    <w:rsid w:val="68A76039"/>
    <w:rsid w:val="6985190F"/>
    <w:rsid w:val="6A246A40"/>
    <w:rsid w:val="6A507835"/>
    <w:rsid w:val="6A617146"/>
    <w:rsid w:val="6A7C687C"/>
    <w:rsid w:val="6A9260A0"/>
    <w:rsid w:val="6AD40FE2"/>
    <w:rsid w:val="6B15282D"/>
    <w:rsid w:val="6B572E46"/>
    <w:rsid w:val="6B6C68F1"/>
    <w:rsid w:val="6C07661A"/>
    <w:rsid w:val="6C1B20C5"/>
    <w:rsid w:val="6C3118E9"/>
    <w:rsid w:val="6C67530A"/>
    <w:rsid w:val="6CEE52C1"/>
    <w:rsid w:val="6CF325ED"/>
    <w:rsid w:val="6D1159A2"/>
    <w:rsid w:val="6D2A6A64"/>
    <w:rsid w:val="6D7134E0"/>
    <w:rsid w:val="6D7B72BF"/>
    <w:rsid w:val="6D8C327A"/>
    <w:rsid w:val="6D965EA7"/>
    <w:rsid w:val="6DB602F7"/>
    <w:rsid w:val="6DCF760B"/>
    <w:rsid w:val="6E6E75D4"/>
    <w:rsid w:val="6E82467D"/>
    <w:rsid w:val="6E82642B"/>
    <w:rsid w:val="6EA934B6"/>
    <w:rsid w:val="6EAE0FCF"/>
    <w:rsid w:val="6EC24710"/>
    <w:rsid w:val="6ED21161"/>
    <w:rsid w:val="6F032D50"/>
    <w:rsid w:val="6F2A2D4B"/>
    <w:rsid w:val="6F4F78BF"/>
    <w:rsid w:val="6FAF3250"/>
    <w:rsid w:val="706E041E"/>
    <w:rsid w:val="70763D6E"/>
    <w:rsid w:val="70A1703D"/>
    <w:rsid w:val="70CD6084"/>
    <w:rsid w:val="70E97CF9"/>
    <w:rsid w:val="71245B20"/>
    <w:rsid w:val="712A28CF"/>
    <w:rsid w:val="713A724C"/>
    <w:rsid w:val="7157511F"/>
    <w:rsid w:val="71973F9C"/>
    <w:rsid w:val="726C1C4A"/>
    <w:rsid w:val="72A03324"/>
    <w:rsid w:val="72A92734"/>
    <w:rsid w:val="72EB3AA8"/>
    <w:rsid w:val="737A3B75"/>
    <w:rsid w:val="73D6524F"/>
    <w:rsid w:val="73E7734C"/>
    <w:rsid w:val="73EC4A73"/>
    <w:rsid w:val="741E536F"/>
    <w:rsid w:val="746C0AE0"/>
    <w:rsid w:val="74D13C69"/>
    <w:rsid w:val="75266C08"/>
    <w:rsid w:val="75466405"/>
    <w:rsid w:val="75675DB8"/>
    <w:rsid w:val="75843174"/>
    <w:rsid w:val="75F714AD"/>
    <w:rsid w:val="760F0C92"/>
    <w:rsid w:val="761B163F"/>
    <w:rsid w:val="7626188F"/>
    <w:rsid w:val="76B7003F"/>
    <w:rsid w:val="7729634A"/>
    <w:rsid w:val="775070C7"/>
    <w:rsid w:val="776C37AC"/>
    <w:rsid w:val="78370287"/>
    <w:rsid w:val="787B0173"/>
    <w:rsid w:val="79254583"/>
    <w:rsid w:val="794E7636"/>
    <w:rsid w:val="79607369"/>
    <w:rsid w:val="79757E4E"/>
    <w:rsid w:val="79DD1288"/>
    <w:rsid w:val="79F301DD"/>
    <w:rsid w:val="7A2A6204"/>
    <w:rsid w:val="7A432F13"/>
    <w:rsid w:val="7A590988"/>
    <w:rsid w:val="7A654670"/>
    <w:rsid w:val="7AA30CA1"/>
    <w:rsid w:val="7ADE75AE"/>
    <w:rsid w:val="7AF4420D"/>
    <w:rsid w:val="7AF5326F"/>
    <w:rsid w:val="7B1228E5"/>
    <w:rsid w:val="7BB340C8"/>
    <w:rsid w:val="7C1F5618"/>
    <w:rsid w:val="7CB36BCF"/>
    <w:rsid w:val="7D170D15"/>
    <w:rsid w:val="7D235B8E"/>
    <w:rsid w:val="7D256A57"/>
    <w:rsid w:val="7D2F76D5"/>
    <w:rsid w:val="7D913F95"/>
    <w:rsid w:val="7DF84902"/>
    <w:rsid w:val="7E097FCF"/>
    <w:rsid w:val="7E134D72"/>
    <w:rsid w:val="7E783F85"/>
    <w:rsid w:val="7E7A711F"/>
    <w:rsid w:val="7E8D57A7"/>
    <w:rsid w:val="7EC87E8B"/>
    <w:rsid w:val="7ECF2FC7"/>
    <w:rsid w:val="7EE822DB"/>
    <w:rsid w:val="7F034FD4"/>
    <w:rsid w:val="7F2D4191"/>
    <w:rsid w:val="7F782CD8"/>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7"/>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qFormat/>
    <w:uiPriority w:val="0"/>
    <w:pPr>
      <w:keepNext/>
      <w:keepLines/>
      <w:outlineLvl w:val="2"/>
    </w:pPr>
    <w:rPr>
      <w:kern w:val="0"/>
      <w:sz w:val="28"/>
      <w:szCs w:val="20"/>
    </w:rPr>
  </w:style>
  <w:style w:type="character" w:default="1" w:styleId="28">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Normal Indent"/>
    <w:basedOn w:val="1"/>
    <w:next w:val="7"/>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39"/>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38"/>
    <w:qFormat/>
    <w:uiPriority w:val="0"/>
    <w:pPr>
      <w:spacing w:after="120" w:afterLines="0" w:afterAutospacing="0"/>
      <w:ind w:left="420" w:leftChars="200"/>
    </w:pPr>
  </w:style>
  <w:style w:type="paragraph" w:styleId="9">
    <w:name w:val="envelope return"/>
    <w:basedOn w:val="1"/>
    <w:next w:val="5"/>
    <w:qFormat/>
    <w:uiPriority w:val="0"/>
    <w:pPr>
      <w:snapToGrid w:val="0"/>
    </w:pPr>
    <w:rPr>
      <w:rFonts w:ascii="Arial" w:hAnsi="Arial"/>
    </w:rPr>
  </w:style>
  <w:style w:type="paragraph" w:styleId="10">
    <w:name w:val="annotation text"/>
    <w:basedOn w:val="1"/>
    <w:qFormat/>
    <w:uiPriority w:val="0"/>
    <w:pPr>
      <w:jc w:val="left"/>
    </w:p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
    <w:qFormat/>
    <w:uiPriority w:val="0"/>
    <w:pPr>
      <w:widowControl w:val="0"/>
      <w:snapToGrid w:val="0"/>
      <w:spacing w:line="360" w:lineRule="auto"/>
    </w:pPr>
    <w:rPr>
      <w:rFonts w:ascii="Arial" w:hAnsi="Arial" w:eastAsia="仿宋_GB2312"/>
      <w:sz w:val="31"/>
    </w:rPr>
  </w:style>
  <w:style w:type="paragraph" w:styleId="13">
    <w:name w:val="toc 3"/>
    <w:basedOn w:val="1"/>
    <w:next w:val="1"/>
    <w:qFormat/>
    <w:uiPriority w:val="39"/>
    <w:pPr>
      <w:jc w:val="left"/>
    </w:pPr>
    <w:rPr>
      <w:rFonts w:ascii="Calibri" w:hAnsi="Calibri"/>
      <w:smallCaps/>
      <w:sz w:val="22"/>
      <w:szCs w:val="22"/>
    </w:rPr>
  </w:style>
  <w:style w:type="paragraph" w:styleId="14">
    <w:name w:val="Plain Text"/>
    <w:basedOn w:val="1"/>
    <w:next w:val="1"/>
    <w:link w:val="43"/>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40"/>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44"/>
    <w:qFormat/>
    <w:uiPriority w:val="0"/>
    <w:pPr>
      <w:tabs>
        <w:tab w:val="center" w:pos="4153"/>
        <w:tab w:val="right" w:pos="8306"/>
      </w:tabs>
      <w:snapToGrid w:val="0"/>
      <w:jc w:val="left"/>
    </w:pPr>
    <w:rPr>
      <w:sz w:val="18"/>
    </w:rPr>
  </w:style>
  <w:style w:type="paragraph" w:styleId="17">
    <w:name w:val="header"/>
    <w:basedOn w:val="1"/>
    <w:link w:val="4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39"/>
    <w:pPr>
      <w:spacing w:before="120" w:after="120"/>
      <w:jc w:val="left"/>
    </w:pPr>
    <w:rPr>
      <w:b/>
      <w:bCs/>
      <w:caps/>
      <w:sz w:val="20"/>
    </w:rPr>
  </w:style>
  <w:style w:type="paragraph" w:styleId="19">
    <w:name w:val="List"/>
    <w:basedOn w:val="1"/>
    <w:next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footnote text"/>
    <w:basedOn w:val="1"/>
    <w:semiHidden/>
    <w:unhideWhenUsed/>
    <w:qFormat/>
    <w:uiPriority w:val="99"/>
    <w:pPr>
      <w:snapToGrid w:val="0"/>
      <w:jc w:val="left"/>
    </w:pPr>
    <w:rPr>
      <w:sz w:val="18"/>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Body Text 2"/>
    <w:basedOn w:val="1"/>
    <w:qFormat/>
    <w:uiPriority w:val="0"/>
    <w:rPr>
      <w:kern w:val="0"/>
      <w:sz w:val="24"/>
    </w:rPr>
  </w:style>
  <w:style w:type="paragraph" w:styleId="2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Title"/>
    <w:basedOn w:val="1"/>
    <w:next w:val="1"/>
    <w:qFormat/>
    <w:uiPriority w:val="0"/>
    <w:pPr>
      <w:numPr>
        <w:ilvl w:val="0"/>
        <w:numId w:val="1"/>
      </w:numPr>
      <w:spacing w:line="360" w:lineRule="auto"/>
      <w:jc w:val="left"/>
      <w:outlineLvl w:val="0"/>
    </w:pPr>
    <w:rPr>
      <w:rFonts w:ascii="Cambria" w:hAnsi="Cambria" w:eastAsia="宋体" w:cs="Times New Roman"/>
      <w:b/>
      <w:bCs/>
      <w:sz w:val="28"/>
      <w:szCs w:val="32"/>
    </w:rPr>
  </w:style>
  <w:style w:type="paragraph" w:styleId="25">
    <w:name w:val="Body Text First Indent"/>
    <w:basedOn w:val="12"/>
    <w:qFormat/>
    <w:uiPriority w:val="0"/>
    <w:pPr>
      <w:adjustRightInd/>
      <w:spacing w:after="120" w:line="240" w:lineRule="auto"/>
      <w:ind w:firstLine="420" w:firstLineChars="100"/>
      <w:jc w:val="both"/>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basedOn w:val="28"/>
    <w:qFormat/>
    <w:uiPriority w:val="0"/>
    <w:rPr>
      <w:color w:val="771CAA"/>
      <w:u w:val="none"/>
    </w:rPr>
  </w:style>
  <w:style w:type="character" w:styleId="32">
    <w:name w:val="Emphasis"/>
    <w:basedOn w:val="28"/>
    <w:qFormat/>
    <w:uiPriority w:val="0"/>
    <w:rPr>
      <w:color w:val="F73131"/>
    </w:rPr>
  </w:style>
  <w:style w:type="character" w:styleId="33">
    <w:name w:val="Hyperlink"/>
    <w:basedOn w:val="28"/>
    <w:qFormat/>
    <w:uiPriority w:val="99"/>
    <w:rPr>
      <w:color w:val="0000FF"/>
      <w:u w:val="single"/>
    </w:rPr>
  </w:style>
  <w:style w:type="character" w:styleId="34">
    <w:name w:val="HTML Cite"/>
    <w:basedOn w:val="28"/>
    <w:qFormat/>
    <w:uiPriority w:val="0"/>
    <w:rPr>
      <w:color w:val="008000"/>
    </w:rPr>
  </w:style>
  <w:style w:type="character" w:styleId="35">
    <w:name w:val="footnote reference"/>
    <w:basedOn w:val="28"/>
    <w:semiHidden/>
    <w:unhideWhenUsed/>
    <w:qFormat/>
    <w:uiPriority w:val="99"/>
    <w:rPr>
      <w:vertAlign w:val="superscript"/>
    </w:rPr>
  </w:style>
  <w:style w:type="paragraph" w:customStyle="1" w:styleId="36">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7">
    <w:name w:val="正文文字 8"/>
    <w:basedOn w:val="1"/>
    <w:next w:val="1"/>
    <w:qFormat/>
    <w:uiPriority w:val="0"/>
    <w:pPr>
      <w:ind w:left="240"/>
    </w:pPr>
    <w:rPr>
      <w:sz w:val="16"/>
    </w:rPr>
  </w:style>
  <w:style w:type="character" w:customStyle="1" w:styleId="38">
    <w:name w:val="正文文本缩进 Char"/>
    <w:basedOn w:val="28"/>
    <w:link w:val="8"/>
    <w:qFormat/>
    <w:uiPriority w:val="0"/>
    <w:rPr>
      <w:rFonts w:hint="default" w:ascii="Times New Roman" w:hAnsi="Times New Roman" w:eastAsia="宋体" w:cs="Times New Roman"/>
      <w:color w:val="000000"/>
      <w:kern w:val="0"/>
      <w:szCs w:val="21"/>
      <w:u w:color="000000"/>
    </w:rPr>
  </w:style>
  <w:style w:type="character" w:customStyle="1" w:styleId="39">
    <w:name w:val="正文首行缩进 2 Char"/>
    <w:basedOn w:val="38"/>
    <w:link w:val="7"/>
    <w:qFormat/>
    <w:uiPriority w:val="0"/>
    <w:rPr>
      <w:rFonts w:hint="default" w:ascii="Times New Roman" w:hAnsi="Times New Roman" w:eastAsia="宋体" w:cs="Times New Roman"/>
      <w:color w:val="000000"/>
      <w:kern w:val="0"/>
      <w:szCs w:val="21"/>
      <w:u w:color="000000"/>
    </w:rPr>
  </w:style>
  <w:style w:type="character" w:customStyle="1" w:styleId="40">
    <w:name w:val="日期 Char"/>
    <w:basedOn w:val="28"/>
    <w:link w:val="15"/>
    <w:qFormat/>
    <w:uiPriority w:val="0"/>
    <w:rPr>
      <w:rFonts w:ascii="Arial" w:hAnsi="Arial" w:eastAsia="仿宋_GB2312" w:cs="Arial"/>
      <w:color w:val="000000"/>
      <w:sz w:val="32"/>
      <w:szCs w:val="32"/>
      <w:u w:color="000000"/>
    </w:rPr>
  </w:style>
  <w:style w:type="character" w:customStyle="1" w:styleId="41">
    <w:name w:val="标题 2 Char"/>
    <w:basedOn w:val="28"/>
    <w:link w:val="3"/>
    <w:qFormat/>
    <w:uiPriority w:val="0"/>
    <w:rPr>
      <w:rFonts w:hint="default" w:ascii="Times New Roman" w:hAnsi="Times New Roman" w:eastAsia="宋体" w:cs="Times New Roman"/>
      <w:kern w:val="0"/>
      <w:sz w:val="24"/>
      <w:szCs w:val="24"/>
    </w:rPr>
  </w:style>
  <w:style w:type="character" w:customStyle="1" w:styleId="42">
    <w:name w:val="页眉 Char"/>
    <w:basedOn w:val="28"/>
    <w:link w:val="17"/>
    <w:qFormat/>
    <w:uiPriority w:val="0"/>
    <w:rPr>
      <w:rFonts w:hint="default" w:ascii="Times New Roman" w:hAnsi="Times New Roman" w:eastAsia="宋体" w:cs="Times New Roman"/>
      <w:color w:val="000000"/>
      <w:kern w:val="0"/>
      <w:sz w:val="18"/>
      <w:szCs w:val="18"/>
      <w:u w:color="000000"/>
    </w:rPr>
  </w:style>
  <w:style w:type="character" w:customStyle="1" w:styleId="43">
    <w:name w:val="纯文本 Char"/>
    <w:basedOn w:val="28"/>
    <w:link w:val="14"/>
    <w:qFormat/>
    <w:uiPriority w:val="0"/>
    <w:rPr>
      <w:rFonts w:hint="eastAsia" w:ascii="宋体" w:hAnsi="宋体" w:eastAsia="宋体" w:cs="宋体"/>
      <w:szCs w:val="21"/>
    </w:rPr>
  </w:style>
  <w:style w:type="character" w:customStyle="1" w:styleId="44">
    <w:name w:val="页脚 Char"/>
    <w:basedOn w:val="28"/>
    <w:link w:val="16"/>
    <w:qFormat/>
    <w:uiPriority w:val="0"/>
    <w:rPr>
      <w:rFonts w:hint="default" w:ascii="Times New Roman" w:hAnsi="Times New Roman" w:eastAsia="宋体" w:cs="Times New Roman"/>
      <w:color w:val="000000"/>
      <w:kern w:val="0"/>
      <w:sz w:val="18"/>
      <w:szCs w:val="18"/>
      <w:u w:color="000000"/>
    </w:rPr>
  </w:style>
  <w:style w:type="paragraph" w:customStyle="1" w:styleId="45">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6">
    <w:name w:val="List Paragraph"/>
    <w:basedOn w:val="1"/>
    <w:qFormat/>
    <w:uiPriority w:val="0"/>
    <w:pPr>
      <w:widowControl w:val="0"/>
      <w:spacing w:line="240" w:lineRule="auto"/>
      <w:ind w:firstLine="200" w:firstLineChars="200"/>
      <w:textAlignment w:val="auto"/>
    </w:pPr>
    <w:rPr>
      <w:u w:val="none" w:color="000000"/>
    </w:rPr>
  </w:style>
  <w:style w:type="character" w:customStyle="1" w:styleId="47">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8">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9">
    <w:name w:val="font51"/>
    <w:basedOn w:val="28"/>
    <w:qFormat/>
    <w:uiPriority w:val="0"/>
    <w:rPr>
      <w:rFonts w:hint="eastAsia" w:ascii="宋体" w:hAnsi="宋体" w:eastAsia="宋体" w:cs="宋体"/>
      <w:color w:val="000000"/>
      <w:sz w:val="22"/>
      <w:szCs w:val="22"/>
      <w:u w:val="none"/>
    </w:rPr>
  </w:style>
  <w:style w:type="character" w:customStyle="1" w:styleId="50">
    <w:name w:val="font31"/>
    <w:basedOn w:val="28"/>
    <w:qFormat/>
    <w:uiPriority w:val="0"/>
    <w:rPr>
      <w:rFonts w:hint="default" w:ascii="Times New Roman" w:hAnsi="Times New Roman" w:cs="Times New Roman"/>
      <w:color w:val="000000"/>
      <w:sz w:val="22"/>
      <w:szCs w:val="22"/>
      <w:u w:val="none"/>
    </w:rPr>
  </w:style>
  <w:style w:type="character" w:customStyle="1" w:styleId="51">
    <w:name w:val="font61"/>
    <w:basedOn w:val="28"/>
    <w:qFormat/>
    <w:uiPriority w:val="0"/>
    <w:rPr>
      <w:rFonts w:hint="default" w:ascii="Times New Roman" w:hAnsi="Times New Roman" w:cs="Times New Roman"/>
      <w:color w:val="000000"/>
      <w:sz w:val="21"/>
      <w:szCs w:val="21"/>
      <w:u w:val="none"/>
    </w:rPr>
  </w:style>
  <w:style w:type="character" w:customStyle="1" w:styleId="52">
    <w:name w:val="font71"/>
    <w:basedOn w:val="28"/>
    <w:qFormat/>
    <w:uiPriority w:val="0"/>
    <w:rPr>
      <w:rFonts w:hint="eastAsia" w:ascii="宋体" w:hAnsi="宋体" w:eastAsia="宋体" w:cs="宋体"/>
      <w:color w:val="000000"/>
      <w:sz w:val="21"/>
      <w:szCs w:val="21"/>
      <w:u w:val="none"/>
    </w:rPr>
  </w:style>
  <w:style w:type="character" w:customStyle="1" w:styleId="53">
    <w:name w:val="font01"/>
    <w:basedOn w:val="28"/>
    <w:qFormat/>
    <w:uiPriority w:val="0"/>
    <w:rPr>
      <w:rFonts w:hint="eastAsia" w:ascii="宋体" w:hAnsi="宋体" w:eastAsia="宋体" w:cs="宋体"/>
      <w:color w:val="000000"/>
      <w:sz w:val="22"/>
      <w:szCs w:val="22"/>
      <w:u w:val="none"/>
    </w:rPr>
  </w:style>
  <w:style w:type="character" w:customStyle="1" w:styleId="54">
    <w:name w:val="font11"/>
    <w:basedOn w:val="28"/>
    <w:qFormat/>
    <w:uiPriority w:val="0"/>
    <w:rPr>
      <w:rFonts w:hint="eastAsia" w:ascii="宋体" w:hAnsi="宋体" w:eastAsia="宋体" w:cs="宋体"/>
      <w:color w:val="000000"/>
      <w:sz w:val="21"/>
      <w:szCs w:val="21"/>
      <w:u w:val="none"/>
    </w:rPr>
  </w:style>
  <w:style w:type="character" w:customStyle="1" w:styleId="55">
    <w:name w:val="font41"/>
    <w:basedOn w:val="28"/>
    <w:qFormat/>
    <w:uiPriority w:val="0"/>
    <w:rPr>
      <w:rFonts w:hint="default" w:ascii="Times New Roman" w:hAnsi="Times New Roman" w:cs="Times New Roman"/>
      <w:color w:val="000000"/>
      <w:sz w:val="22"/>
      <w:szCs w:val="22"/>
      <w:u w:val="none"/>
    </w:rPr>
  </w:style>
  <w:style w:type="paragraph" w:customStyle="1" w:styleId="56">
    <w:name w:val="二级标题"/>
    <w:basedOn w:val="1"/>
    <w:next w:val="1"/>
    <w:qFormat/>
    <w:uiPriority w:val="0"/>
    <w:rPr>
      <w:rFonts w:hint="eastAsia" w:eastAsia="楷体"/>
    </w:rPr>
  </w:style>
  <w:style w:type="paragraph" w:customStyle="1" w:styleId="57">
    <w:name w:val="首行缩进"/>
    <w:basedOn w:val="1"/>
    <w:qFormat/>
    <w:uiPriority w:val="0"/>
    <w:pPr>
      <w:ind w:firstLine="480" w:firstLineChars="200"/>
    </w:pPr>
    <w:rPr>
      <w:rFonts w:eastAsia="楷体_GB2312"/>
      <w:lang w:val="zh-CN"/>
    </w:rPr>
  </w:style>
  <w:style w:type="character" w:customStyle="1" w:styleId="58">
    <w:name w:val="c-icon28"/>
    <w:basedOn w:val="28"/>
    <w:qFormat/>
    <w:uiPriority w:val="0"/>
  </w:style>
  <w:style w:type="character" w:customStyle="1" w:styleId="59">
    <w:name w:val="hover26"/>
    <w:basedOn w:val="28"/>
    <w:qFormat/>
    <w:uiPriority w:val="0"/>
    <w:rPr>
      <w:color w:val="315EFB"/>
      <w:shd w:val="clear" w:fill="F0F3FD"/>
    </w:rPr>
  </w:style>
  <w:style w:type="character" w:customStyle="1" w:styleId="60">
    <w:name w:val="hover27"/>
    <w:basedOn w:val="28"/>
    <w:qFormat/>
    <w:uiPriority w:val="0"/>
    <w:rPr>
      <w:color w:val="315EFB"/>
    </w:rPr>
  </w:style>
  <w:style w:type="character" w:customStyle="1" w:styleId="61">
    <w:name w:val="hover28"/>
    <w:basedOn w:val="28"/>
    <w:qFormat/>
    <w:uiPriority w:val="0"/>
  </w:style>
  <w:style w:type="character" w:customStyle="1" w:styleId="62">
    <w:name w:val="hover29"/>
    <w:basedOn w:val="28"/>
    <w:qFormat/>
    <w:uiPriority w:val="0"/>
    <w:rPr>
      <w:color w:val="315EFB"/>
    </w:rPr>
  </w:style>
  <w:style w:type="paragraph" w:customStyle="1" w:styleId="63">
    <w:name w:val="xl25"/>
    <w:basedOn w:val="1"/>
    <w:qFormat/>
    <w:uiPriority w:val="0"/>
    <w:pPr>
      <w:widowControl/>
      <w:spacing w:before="100" w:beforeLines="0" w:beforeAutospacing="1" w:after="100" w:afterLines="0" w:afterAutospacing="1"/>
      <w:jc w:val="right"/>
    </w:pPr>
    <w:rPr>
      <w:rFonts w:ascii="Arial Unicode MS" w:hAnsi="Arial Unicode MS" w:eastAsia="宋体" w:cs="Arial Unicode MS"/>
      <w:color w:val="000000"/>
      <w:kern w:val="0"/>
      <w:sz w:val="18"/>
      <w:szCs w:val="18"/>
    </w:rPr>
  </w:style>
  <w:style w:type="paragraph" w:customStyle="1" w:styleId="64">
    <w:name w:val="Table Text"/>
    <w:basedOn w:val="1"/>
    <w:qFormat/>
    <w:uiPriority w:val="0"/>
    <w:rPr>
      <w:rFonts w:ascii="宋体" w:hAnsi="宋体" w:eastAsia="宋体" w:cs="宋体"/>
      <w:sz w:val="21"/>
      <w:szCs w:val="21"/>
      <w:lang w:val="en-US" w:eastAsia="en-US"/>
    </w:rPr>
  </w:style>
  <w:style w:type="paragraph" w:customStyle="1" w:styleId="65">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66">
    <w:name w:val="标题 2_0_0_0"/>
    <w:basedOn w:val="1"/>
    <w:next w:val="1"/>
    <w:qFormat/>
    <w:uiPriority w:val="0"/>
    <w:pPr>
      <w:widowControl/>
      <w:contextualSpacing/>
      <w:jc w:val="center"/>
      <w:outlineLvl w:val="1"/>
    </w:pPr>
    <w:rPr>
      <w:b/>
      <w:bCs/>
      <w:sz w:val="28"/>
      <w:szCs w:val="28"/>
    </w:rPr>
  </w:style>
  <w:style w:type="paragraph" w:customStyle="1" w:styleId="67">
    <w:name w:val="正文 + 四号"/>
    <w:basedOn w:val="1"/>
    <w:qFormat/>
    <w:uiPriority w:val="0"/>
    <w:pPr>
      <w:tabs>
        <w:tab w:val="left" w:pos="3240"/>
        <w:tab w:val="left" w:pos="4320"/>
      </w:tabs>
    </w:pPr>
    <w:rPr>
      <w:b/>
      <w:sz w:val="28"/>
      <w:szCs w:val="28"/>
    </w:rPr>
  </w:style>
  <w:style w:type="paragraph" w:customStyle="1" w:styleId="68">
    <w:name w:val="Body Text First Indent 2"/>
    <w:basedOn w:val="69"/>
    <w:next w:val="1"/>
    <w:qFormat/>
    <w:uiPriority w:val="0"/>
    <w:pPr>
      <w:ind w:left="420" w:firstLine="420" w:firstLineChars="200"/>
    </w:pPr>
  </w:style>
  <w:style w:type="paragraph" w:customStyle="1" w:styleId="69">
    <w:name w:val="Body Text Indent"/>
    <w:basedOn w:val="1"/>
    <w:next w:val="70"/>
    <w:qFormat/>
    <w:uiPriority w:val="0"/>
    <w:pPr>
      <w:spacing w:after="120" w:afterLines="0"/>
      <w:ind w:left="200" w:leftChars="200"/>
    </w:pPr>
    <w:rPr>
      <w:kern w:val="2"/>
      <w:sz w:val="21"/>
      <w:szCs w:val="24"/>
    </w:rPr>
  </w:style>
  <w:style w:type="paragraph" w:customStyle="1" w:styleId="70">
    <w:name w:val="envelope return"/>
    <w:basedOn w:val="1"/>
    <w:qFormat/>
    <w:uiPriority w:val="0"/>
    <w:pPr>
      <w:snapToGrid w:val="0"/>
    </w:pPr>
    <w:rPr>
      <w:rFonts w:ascii="Arial" w:hAnsi="Arial"/>
    </w:rPr>
  </w:style>
  <w:style w:type="paragraph" w:customStyle="1" w:styleId="71">
    <w:name w:val="Table Paragraph"/>
    <w:basedOn w:val="1"/>
    <w:qFormat/>
    <w:uiPriority w:val="0"/>
    <w:rPr>
      <w:rFonts w:ascii="宋体" w:hAnsi="宋体" w:eastAsia="宋体" w:cs="宋体"/>
      <w:lang w:val="zh-CN" w:eastAsia="zh-CN" w:bidi="zh-CN"/>
    </w:rPr>
  </w:style>
  <w:style w:type="paragraph" w:customStyle="1" w:styleId="72">
    <w:name w:val="Char Char Char Char Char Char Char1 Char"/>
    <w:basedOn w:val="1"/>
    <w:qFormat/>
    <w:uiPriority w:val="0"/>
    <w:rPr>
      <w:rFonts w:ascii="Arial" w:hAnsi="Arial" w:eastAsia="宋体" w:cs="Arial"/>
      <w:sz w:val="24"/>
    </w:rPr>
  </w:style>
  <w:style w:type="paragraph" w:customStyle="1" w:styleId="73">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14849</Words>
  <Characters>15921</Characters>
  <Lines>1</Lines>
  <Paragraphs>1</Paragraphs>
  <TotalTime>21</TotalTime>
  <ScaleCrop>false</ScaleCrop>
  <LinksUpToDate>false</LinksUpToDate>
  <CharactersWithSpaces>16950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Pim Pom丶</cp:lastModifiedBy>
  <cp:lastPrinted>2022-04-11T07:26:00Z</cp:lastPrinted>
  <dcterms:modified xsi:type="dcterms:W3CDTF">2026-08-05T08:09:09Z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DA5B7FF4081246E1A7E119400C263689_13</vt:lpwstr>
  </property>
  <property fmtid="{D5CDD505-2E9C-101B-9397-08002B2CF9AE}" pid="4" name="KSOTemplateDocerSaveRecord">
    <vt:lpwstr>eyJoZGlkIjoiMDk2MmQyNTdjMmYyM2I4Njk3YjVkOTliYjhhNDZiYTEiLCJ1c2VySWQiOiI0MDkyMjI1MTkifQ==</vt:lpwstr>
  </property>
</Properties>
</file>