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4A912">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1F7E222C">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062F25E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安徽省政府采购项目</w:t>
      </w:r>
    </w:p>
    <w:p w14:paraId="428777C5">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竞争性磋商文件示范文本（服务类）</w:t>
      </w:r>
    </w:p>
    <w:bookmarkEnd w:id="0"/>
    <w:p w14:paraId="3498F8BC">
      <w:pPr>
        <w:tabs>
          <w:tab w:val="left" w:pos="315"/>
          <w:tab w:val="left" w:pos="8820"/>
        </w:tabs>
        <w:spacing w:before="240" w:beforeLines="100" w:after="120" w:afterLines="50" w:line="500" w:lineRule="exact"/>
        <w:ind w:right="267" w:rightChars="127"/>
        <w:jc w:val="center"/>
        <w:rPr>
          <w:rFonts w:ascii="宋体" w:hAnsi="宋体" w:eastAsia="宋体"/>
          <w:bCs/>
          <w:color w:val="auto"/>
          <w:sz w:val="44"/>
          <w:szCs w:val="44"/>
          <w:highlight w:val="none"/>
        </w:rPr>
      </w:pPr>
      <w:r>
        <w:rPr>
          <w:rFonts w:hint="eastAsia" w:ascii="宋体" w:hAnsi="宋体" w:eastAsia="宋体"/>
          <w:b/>
          <w:bCs/>
          <w:color w:val="auto"/>
          <w:sz w:val="52"/>
          <w:szCs w:val="52"/>
          <w:highlight w:val="none"/>
        </w:rPr>
        <w:t>（2024版）</w:t>
      </w:r>
    </w:p>
    <w:p w14:paraId="2A8DE88E">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0FF8D74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17336E63">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EF991CA">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3D7B6E48">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5BCE79B">
      <w:pPr>
        <w:tabs>
          <w:tab w:val="left" w:pos="2410"/>
        </w:tabs>
        <w:autoSpaceDE w:val="0"/>
        <w:autoSpaceDN w:val="0"/>
        <w:adjustRightInd w:val="0"/>
        <w:snapToGrid w:val="0"/>
        <w:spacing w:line="360" w:lineRule="auto"/>
        <w:ind w:left="2244" w:leftChars="304" w:hanging="1606" w:hangingChars="500"/>
        <w:rPr>
          <w:rFonts w:ascii="宋体" w:hAnsi="宋体" w:eastAsia="宋体"/>
          <w:b/>
          <w:color w:val="auto"/>
          <w:kern w:val="0"/>
          <w:sz w:val="32"/>
          <w:szCs w:val="32"/>
          <w:highlight w:val="none"/>
        </w:rPr>
      </w:pPr>
    </w:p>
    <w:p w14:paraId="3AEBB0A4">
      <w:pPr>
        <w:tabs>
          <w:tab w:val="left" w:pos="2410"/>
        </w:tabs>
        <w:autoSpaceDE w:val="0"/>
        <w:autoSpaceDN w:val="0"/>
        <w:adjustRightInd w:val="0"/>
        <w:snapToGrid w:val="0"/>
        <w:spacing w:line="360" w:lineRule="auto"/>
        <w:ind w:left="2244" w:leftChars="304" w:hanging="1606" w:hangingChars="500"/>
        <w:rPr>
          <w:rFonts w:ascii="宋体" w:hAnsi="宋体" w:eastAsia="宋体"/>
          <w:b/>
          <w:color w:val="auto"/>
          <w:kern w:val="0"/>
          <w:sz w:val="32"/>
          <w:szCs w:val="32"/>
          <w:highlight w:val="none"/>
        </w:rPr>
      </w:pPr>
    </w:p>
    <w:p w14:paraId="55CADC82">
      <w:pPr>
        <w:tabs>
          <w:tab w:val="left" w:pos="2410"/>
        </w:tabs>
        <w:autoSpaceDE w:val="0"/>
        <w:autoSpaceDN w:val="0"/>
        <w:adjustRightInd w:val="0"/>
        <w:snapToGrid w:val="0"/>
        <w:spacing w:line="360" w:lineRule="auto"/>
        <w:ind w:left="2244" w:leftChars="304" w:hanging="1606" w:hangingChars="500"/>
        <w:rPr>
          <w:rFonts w:hint="eastAsia" w:ascii="宋体" w:hAnsi="宋体" w:eastAsia="宋体"/>
          <w:b/>
          <w:color w:val="auto"/>
          <w:kern w:val="0"/>
          <w:sz w:val="32"/>
          <w:szCs w:val="32"/>
          <w:highlight w:val="none"/>
          <w:lang w:eastAsia="zh-CN"/>
        </w:rPr>
      </w:pPr>
      <w:r>
        <w:rPr>
          <w:rFonts w:hint="eastAsia" w:ascii="宋体" w:hAnsi="宋体" w:eastAsia="宋体"/>
          <w:b/>
          <w:color w:val="auto"/>
          <w:kern w:val="0"/>
          <w:sz w:val="32"/>
          <w:szCs w:val="32"/>
          <w:highlight w:val="none"/>
        </w:rPr>
        <w:t>项目名称：</w:t>
      </w:r>
      <w:r>
        <w:rPr>
          <w:rFonts w:hint="eastAsia" w:ascii="宋体" w:hAnsi="宋体" w:eastAsia="宋体"/>
          <w:b/>
          <w:color w:val="auto"/>
          <w:kern w:val="0"/>
          <w:sz w:val="32"/>
          <w:szCs w:val="32"/>
          <w:highlight w:val="none"/>
          <w:u w:val="single"/>
          <w:lang w:eastAsia="zh-CN"/>
        </w:rPr>
        <w:t>滁城应急供水工程运行维护项目</w:t>
      </w:r>
    </w:p>
    <w:p w14:paraId="56D55D59">
      <w:pPr>
        <w:tabs>
          <w:tab w:val="left" w:pos="2410"/>
        </w:tabs>
        <w:autoSpaceDE w:val="0"/>
        <w:autoSpaceDN w:val="0"/>
        <w:adjustRightInd w:val="0"/>
        <w:snapToGrid w:val="0"/>
        <w:spacing w:line="360" w:lineRule="auto"/>
        <w:ind w:firstLine="643" w:firstLineChars="200"/>
        <w:rPr>
          <w:rFonts w:hint="default" w:ascii="宋体" w:hAnsi="宋体" w:eastAsia="宋体"/>
          <w:b/>
          <w:color w:val="auto"/>
          <w:kern w:val="0"/>
          <w:sz w:val="32"/>
          <w:szCs w:val="32"/>
          <w:highlight w:val="none"/>
          <w:u w:val="single"/>
          <w:lang w:eastAsia="zh-CN"/>
        </w:rPr>
      </w:pPr>
      <w:r>
        <w:rPr>
          <w:rFonts w:hint="eastAsia" w:ascii="宋体" w:hAnsi="宋体" w:eastAsia="宋体"/>
          <w:b/>
          <w:color w:val="auto"/>
          <w:kern w:val="0"/>
          <w:sz w:val="32"/>
          <w:szCs w:val="32"/>
          <w:highlight w:val="none"/>
        </w:rPr>
        <w:t>项目编号：</w:t>
      </w:r>
      <w:r>
        <w:rPr>
          <w:rFonts w:hint="default" w:ascii="宋体" w:hAnsi="宋体" w:eastAsia="宋体"/>
          <w:b/>
          <w:color w:val="auto"/>
          <w:kern w:val="0"/>
          <w:sz w:val="32"/>
          <w:szCs w:val="32"/>
          <w:highlight w:val="none"/>
          <w:u w:val="single"/>
          <w:lang w:eastAsia="zh-CN"/>
        </w:rPr>
        <w:t>czsjcg202511-052</w:t>
      </w:r>
    </w:p>
    <w:p w14:paraId="3EF7F7ED">
      <w:pPr>
        <w:tabs>
          <w:tab w:val="left" w:pos="2410"/>
        </w:tabs>
        <w:autoSpaceDE w:val="0"/>
        <w:autoSpaceDN w:val="0"/>
        <w:adjustRightInd w:val="0"/>
        <w:snapToGrid w:val="0"/>
        <w:spacing w:line="360" w:lineRule="auto"/>
        <w:ind w:firstLine="643" w:firstLineChars="200"/>
        <w:rPr>
          <w:rFonts w:hint="eastAsia" w:ascii="宋体" w:hAnsi="宋体" w:eastAsia="宋体"/>
          <w:b/>
          <w:color w:val="auto"/>
          <w:kern w:val="0"/>
          <w:sz w:val="32"/>
          <w:szCs w:val="32"/>
          <w:highlight w:val="none"/>
          <w:lang w:eastAsia="zh-CN"/>
        </w:rPr>
      </w:pPr>
      <w:r>
        <w:rPr>
          <w:rFonts w:hint="eastAsia" w:ascii="宋体" w:hAnsi="宋体" w:eastAsia="宋体"/>
          <w:b/>
          <w:color w:val="auto"/>
          <w:kern w:val="0"/>
          <w:sz w:val="32"/>
          <w:szCs w:val="32"/>
          <w:highlight w:val="none"/>
        </w:rPr>
        <w:t>采 购 人：</w:t>
      </w:r>
      <w:r>
        <w:rPr>
          <w:rFonts w:hint="eastAsia" w:ascii="宋体" w:hAnsi="宋体" w:eastAsia="宋体"/>
          <w:b/>
          <w:color w:val="auto"/>
          <w:spacing w:val="-6"/>
          <w:kern w:val="0"/>
          <w:sz w:val="32"/>
          <w:szCs w:val="32"/>
          <w:highlight w:val="none"/>
          <w:u w:val="single"/>
          <w:lang w:eastAsia="zh-CN"/>
        </w:rPr>
        <w:t>滁州市水利局</w:t>
      </w:r>
    </w:p>
    <w:p w14:paraId="275CDB20">
      <w:pPr>
        <w:tabs>
          <w:tab w:val="left" w:pos="2410"/>
        </w:tabs>
        <w:autoSpaceDE w:val="0"/>
        <w:autoSpaceDN w:val="0"/>
        <w:adjustRightInd w:val="0"/>
        <w:snapToGrid w:val="0"/>
        <w:spacing w:line="360" w:lineRule="auto"/>
        <w:ind w:firstLine="643" w:firstLineChars="200"/>
        <w:rPr>
          <w:rFonts w:ascii="宋体" w:hAnsi="宋体" w:eastAsia="宋体"/>
          <w:b/>
          <w:color w:val="auto"/>
          <w:kern w:val="0"/>
          <w:sz w:val="32"/>
          <w:szCs w:val="32"/>
          <w:highlight w:val="none"/>
        </w:rPr>
      </w:pPr>
      <w:r>
        <w:rPr>
          <w:rFonts w:hint="eastAsia" w:ascii="宋体" w:hAnsi="宋体" w:eastAsia="宋体"/>
          <w:b/>
          <w:color w:val="auto"/>
          <w:kern w:val="0"/>
          <w:sz w:val="32"/>
          <w:szCs w:val="32"/>
          <w:highlight w:val="none"/>
        </w:rPr>
        <w:t>采购代理机构：</w:t>
      </w:r>
      <w:r>
        <w:rPr>
          <w:rFonts w:hint="eastAsia" w:ascii="宋体" w:hAnsi="宋体" w:eastAsia="宋体"/>
          <w:b/>
          <w:color w:val="auto"/>
          <w:kern w:val="0"/>
          <w:sz w:val="32"/>
          <w:szCs w:val="32"/>
          <w:highlight w:val="none"/>
          <w:u w:val="single"/>
        </w:rPr>
        <w:t>滁州市城投工程咨询管理有限公司</w:t>
      </w:r>
    </w:p>
    <w:p w14:paraId="0C6B3C60">
      <w:pPr>
        <w:tabs>
          <w:tab w:val="left" w:pos="2410"/>
        </w:tabs>
        <w:autoSpaceDE w:val="0"/>
        <w:autoSpaceDN w:val="0"/>
        <w:adjustRightInd w:val="0"/>
        <w:snapToGrid w:val="0"/>
        <w:spacing w:line="360" w:lineRule="auto"/>
        <w:ind w:firstLine="643" w:firstLineChars="200"/>
        <w:rPr>
          <w:rFonts w:ascii="宋体" w:hAnsi="宋体" w:eastAsia="宋体"/>
          <w:b/>
          <w:color w:val="auto"/>
          <w:kern w:val="0"/>
          <w:sz w:val="32"/>
          <w:szCs w:val="32"/>
          <w:highlight w:val="none"/>
        </w:rPr>
      </w:pPr>
    </w:p>
    <w:p w14:paraId="0C42EB95">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u w:val="none"/>
          <w:lang w:eastAsia="zh-CN"/>
        </w:rPr>
      </w:pPr>
      <w:r>
        <w:rPr>
          <w:rFonts w:hint="eastAsia" w:ascii="宋体" w:hAnsi="宋体" w:eastAsia="宋体"/>
          <w:b/>
          <w:color w:val="auto"/>
          <w:sz w:val="36"/>
          <w:highlight w:val="none"/>
          <w:u w:val="none"/>
        </w:rPr>
        <w:t xml:space="preserve"> </w:t>
      </w:r>
      <w:r>
        <w:rPr>
          <w:rFonts w:hint="eastAsia" w:ascii="宋体" w:hAnsi="宋体" w:eastAsia="宋体"/>
          <w:b/>
          <w:color w:val="auto"/>
          <w:sz w:val="36"/>
          <w:highlight w:val="none"/>
          <w:u w:val="none"/>
          <w:lang w:eastAsia="zh-CN"/>
        </w:rPr>
        <w:t xml:space="preserve">2025 年 </w:t>
      </w:r>
      <w:r>
        <w:rPr>
          <w:rFonts w:hint="eastAsia" w:ascii="宋体" w:hAnsi="宋体" w:eastAsia="宋体"/>
          <w:b/>
          <w:color w:val="auto"/>
          <w:sz w:val="36"/>
          <w:highlight w:val="none"/>
          <w:u w:val="none"/>
          <w:lang w:val="en-US" w:eastAsia="zh-CN"/>
        </w:rPr>
        <w:t>11</w:t>
      </w:r>
      <w:r>
        <w:rPr>
          <w:rFonts w:hint="eastAsia" w:ascii="宋体" w:hAnsi="宋体" w:eastAsia="宋体"/>
          <w:b/>
          <w:color w:val="auto"/>
          <w:sz w:val="36"/>
          <w:highlight w:val="none"/>
          <w:u w:val="none"/>
          <w:lang w:eastAsia="zh-CN"/>
        </w:rPr>
        <w:t xml:space="preserve"> 月</w:t>
      </w:r>
    </w:p>
    <w:p w14:paraId="70E36472">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ascii="宋体" w:hAnsi="宋体" w:eastAsia="宋体"/>
          <w:b/>
          <w:color w:val="auto"/>
          <w:sz w:val="36"/>
          <w:highlight w:val="none"/>
        </w:rPr>
        <w:br w:type="page"/>
      </w:r>
    </w:p>
    <w:p w14:paraId="1803F0C4">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72B4B851">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79E5622C">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p>
    <w:p w14:paraId="3CCB60D3">
      <w:pPr>
        <w:pStyle w:val="18"/>
        <w:tabs>
          <w:tab w:val="right" w:leader="dot" w:pos="8279"/>
        </w:tabs>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"1-1" \h \u </w:instrText>
      </w:r>
      <w:r>
        <w:rPr>
          <w:rFonts w:hint="eastAsia" w:ascii="宋体" w:hAnsi="宋体" w:eastAsia="宋体" w:cs="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"_Toc19927" </w:instrText>
      </w:r>
      <w:r>
        <w:rPr>
          <w:color w:val="auto"/>
          <w:highlight w:val="none"/>
        </w:rPr>
        <w:fldChar w:fldCharType="separate"/>
      </w:r>
      <w:r>
        <w:rPr>
          <w:rFonts w:hint="eastAsia" w:ascii="宋体" w:hAnsi="宋体" w:eastAsia="宋体" w:cs="宋体"/>
          <w:color w:val="auto"/>
          <w:sz w:val="24"/>
          <w:szCs w:val="24"/>
          <w:highlight w:val="none"/>
        </w:rPr>
        <w:t>第一章  磋商邀请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p>
    <w:p w14:paraId="2A77ADFE">
      <w:pPr>
        <w:pStyle w:val="18"/>
        <w:tabs>
          <w:tab w:val="right" w:leader="dot" w:pos="8279"/>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"_Toc3785" </w:instrText>
      </w:r>
      <w:r>
        <w:rPr>
          <w:color w:val="auto"/>
          <w:highlight w:val="none"/>
        </w:rPr>
        <w:fldChar w:fldCharType="separate"/>
      </w:r>
      <w:r>
        <w:rPr>
          <w:rFonts w:hint="eastAsia" w:ascii="宋体" w:hAnsi="宋体" w:eastAsia="宋体" w:cs="宋体"/>
          <w:color w:val="auto"/>
          <w:sz w:val="24"/>
          <w:szCs w:val="24"/>
          <w:highlight w:val="none"/>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p>
    <w:p w14:paraId="220986D0">
      <w:pPr>
        <w:pStyle w:val="18"/>
        <w:tabs>
          <w:tab w:val="right" w:leader="dot" w:pos="8279"/>
        </w:tabs>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"_Toc28125" </w:instrText>
      </w:r>
      <w:r>
        <w:rPr>
          <w:color w:val="auto"/>
          <w:highlight w:val="none"/>
        </w:rPr>
        <w:fldChar w:fldCharType="separate"/>
      </w:r>
      <w:r>
        <w:rPr>
          <w:rFonts w:hint="eastAsia" w:ascii="宋体" w:hAnsi="宋体" w:eastAsia="宋体" w:cs="宋体"/>
          <w:color w:val="auto"/>
          <w:sz w:val="24"/>
          <w:szCs w:val="24"/>
          <w:highlight w:val="none"/>
        </w:rPr>
        <w:t>第三章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3</w:t>
      </w:r>
    </w:p>
    <w:p w14:paraId="1EA85D29">
      <w:pPr>
        <w:pStyle w:val="18"/>
        <w:tabs>
          <w:tab w:val="right" w:leader="dot" w:pos="8279"/>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"_Toc17554" </w:instrText>
      </w:r>
      <w:r>
        <w:rPr>
          <w:color w:val="auto"/>
          <w:highlight w:val="none"/>
        </w:rPr>
        <w:fldChar w:fldCharType="separate"/>
      </w:r>
      <w:r>
        <w:rPr>
          <w:rFonts w:hint="eastAsia" w:ascii="宋体" w:hAnsi="宋体" w:eastAsia="宋体" w:cs="宋体"/>
          <w:color w:val="auto"/>
          <w:sz w:val="24"/>
          <w:szCs w:val="24"/>
          <w:highlight w:val="none"/>
        </w:rPr>
        <w:t>第四章  评审方法和标准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_Toc17554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738FBB2">
      <w:pPr>
        <w:pStyle w:val="18"/>
        <w:tabs>
          <w:tab w:val="right" w:leader="dot" w:pos="8279"/>
        </w:tabs>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"_Toc6037" </w:instrText>
      </w:r>
      <w:r>
        <w:rPr>
          <w:color w:val="auto"/>
          <w:highlight w:val="none"/>
        </w:rPr>
        <w:fldChar w:fldCharType="separate"/>
      </w:r>
      <w:r>
        <w:rPr>
          <w:rFonts w:hint="eastAsia" w:ascii="宋体" w:hAnsi="宋体" w:eastAsia="宋体" w:cs="宋体"/>
          <w:color w:val="auto"/>
          <w:sz w:val="24"/>
          <w:szCs w:val="24"/>
          <w:highlight w:val="none"/>
        </w:rPr>
        <w:t>第五章  政府采购合同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7</w:t>
      </w:r>
    </w:p>
    <w:p w14:paraId="763CDEB3">
      <w:pPr>
        <w:pStyle w:val="18"/>
        <w:tabs>
          <w:tab w:val="right" w:leader="dot" w:pos="8279"/>
        </w:tabs>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"_Toc16475" </w:instrText>
      </w:r>
      <w:r>
        <w:rPr>
          <w:color w:val="auto"/>
          <w:highlight w:val="none"/>
        </w:rPr>
        <w:fldChar w:fldCharType="separate"/>
      </w:r>
      <w:r>
        <w:rPr>
          <w:rFonts w:hint="eastAsia" w:ascii="宋体" w:hAnsi="宋体" w:eastAsia="宋体" w:cs="宋体"/>
          <w:color w:val="auto"/>
          <w:sz w:val="24"/>
          <w:szCs w:val="24"/>
          <w:highlight w:val="none"/>
        </w:rPr>
        <w:t>第六章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6</w:t>
      </w:r>
    </w:p>
    <w:p w14:paraId="5E0A87AD">
      <w:pPr>
        <w:pStyle w:val="18"/>
        <w:tabs>
          <w:tab w:val="right" w:leader="dot" w:pos="8279"/>
        </w:tabs>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"_Toc7345" </w:instrText>
      </w:r>
      <w:r>
        <w:rPr>
          <w:color w:val="auto"/>
          <w:highlight w:val="none"/>
        </w:rPr>
        <w:fldChar w:fldCharType="separate"/>
      </w:r>
      <w:r>
        <w:rPr>
          <w:rFonts w:hint="eastAsia" w:ascii="宋体" w:hAnsi="宋体" w:eastAsia="宋体" w:cs="宋体"/>
          <w:bCs/>
          <w:color w:val="auto"/>
          <w:sz w:val="24"/>
          <w:szCs w:val="24"/>
          <w:highlight w:val="none"/>
        </w:rPr>
        <w:t>第七章  政府采购</w:t>
      </w:r>
      <w:r>
        <w:rPr>
          <w:rFonts w:hint="eastAsia" w:ascii="宋体" w:hAnsi="宋体" w:eastAsia="宋体" w:cs="宋体"/>
          <w:color w:val="auto"/>
          <w:sz w:val="24"/>
          <w:szCs w:val="24"/>
          <w:highlight w:val="none"/>
        </w:rPr>
        <w:t>供应</w:t>
      </w:r>
      <w:r>
        <w:rPr>
          <w:rFonts w:hint="eastAsia" w:ascii="宋体" w:hAnsi="宋体" w:eastAsia="宋体" w:cs="宋体"/>
          <w:bCs/>
          <w:color w:val="auto"/>
          <w:sz w:val="24"/>
          <w:szCs w:val="24"/>
          <w:highlight w:val="none"/>
        </w:rPr>
        <w:t>商询问函和质疑函范本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_Toc7345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85AA193">
      <w:pPr>
        <w:pStyle w:val="20"/>
        <w:tabs>
          <w:tab w:val="right" w:leader="dot" w:pos="8296"/>
        </w:tabs>
        <w:rPr>
          <w:rFonts w:asciiTheme="minorEastAsia" w:hAnsiTheme="minorEastAsia"/>
          <w:b/>
          <w:color w:val="auto"/>
          <w:sz w:val="32"/>
          <w:highlight w:val="none"/>
        </w:rPr>
      </w:pPr>
      <w:r>
        <w:rPr>
          <w:rFonts w:hint="eastAsia" w:ascii="宋体" w:hAnsi="宋体" w:eastAsia="宋体" w:cs="宋体"/>
          <w:color w:val="auto"/>
          <w:sz w:val="24"/>
          <w:szCs w:val="24"/>
          <w:highlight w:val="none"/>
        </w:rPr>
        <w:fldChar w:fldCharType="end"/>
      </w:r>
    </w:p>
    <w:p w14:paraId="7EC30EAB">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72414522">
      <w:pPr>
        <w:spacing w:line="360" w:lineRule="auto"/>
        <w:jc w:val="center"/>
        <w:outlineLvl w:val="0"/>
        <w:rPr>
          <w:rFonts w:asciiTheme="minorEastAsia" w:hAnsiTheme="minorEastAsia" w:eastAsiaTheme="minorEastAsia"/>
          <w:b/>
          <w:color w:val="auto"/>
          <w:sz w:val="28"/>
          <w:highlight w:val="none"/>
        </w:rPr>
      </w:pPr>
      <w:bookmarkStart w:id="1" w:name="_Toc501"/>
      <w:bookmarkStart w:id="2" w:name="_Toc19927"/>
      <w:bookmarkStart w:id="3" w:name="_Toc19988"/>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bookmarkEnd w:id="2"/>
      <w:bookmarkEnd w:id="3"/>
    </w:p>
    <w:p w14:paraId="5D93C5A7">
      <w:pPr>
        <w:autoSpaceDE w:val="0"/>
        <w:autoSpaceDN w:val="0"/>
        <w:adjustRightInd w:val="0"/>
        <w:spacing w:line="480" w:lineRule="exact"/>
        <w:ind w:firstLine="436" w:firstLineChars="182"/>
        <w:jc w:val="left"/>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项目概况</w:t>
      </w:r>
    </w:p>
    <w:p w14:paraId="6BBF9098">
      <w:pPr>
        <w:autoSpaceDE w:val="0"/>
        <w:autoSpaceDN w:val="0"/>
        <w:adjustRightInd w:val="0"/>
        <w:spacing w:line="480" w:lineRule="exact"/>
        <w:ind w:firstLine="436" w:firstLineChars="182"/>
        <w:jc w:val="left"/>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u w:val="single"/>
          <w:lang w:eastAsia="zh-CN" w:bidi="ar"/>
        </w:rPr>
        <w:t>滁城应急供水工程运行维护项目</w:t>
      </w:r>
      <w:r>
        <w:rPr>
          <w:rFonts w:hint="eastAsia" w:ascii="宋体" w:hAnsi="宋体" w:eastAsia="宋体" w:cs="宋体"/>
          <w:color w:val="auto"/>
          <w:sz w:val="24"/>
          <w:szCs w:val="24"/>
          <w:highlight w:val="none"/>
          <w:lang w:bidi="ar"/>
        </w:rPr>
        <w:t>的潜在供应商应在滁州市公共资源交易中心网（http://ggzy.chuzhou.gov.cn/）获取采购文件，并于</w:t>
      </w:r>
      <w:r>
        <w:rPr>
          <w:rFonts w:hint="eastAsia" w:ascii="宋体" w:hAnsi="宋体" w:eastAsia="宋体" w:cs="宋体"/>
          <w:color w:val="auto"/>
          <w:sz w:val="24"/>
          <w:szCs w:val="24"/>
          <w:highlight w:val="none"/>
          <w:lang w:eastAsia="zh-CN" w:bidi="ar"/>
        </w:rPr>
        <w:t>2025年</w:t>
      </w:r>
      <w:r>
        <w:rPr>
          <w:rFonts w:hint="eastAsia" w:ascii="宋体" w:hAnsi="宋体" w:eastAsia="宋体" w:cs="宋体"/>
          <w:color w:val="auto"/>
          <w:sz w:val="24"/>
          <w:szCs w:val="24"/>
          <w:highlight w:val="none"/>
          <w:lang w:val="en-US" w:eastAsia="zh-CN" w:bidi="ar"/>
        </w:rPr>
        <w:t>12</w:t>
      </w:r>
      <w:r>
        <w:rPr>
          <w:rFonts w:hint="eastAsia" w:ascii="宋体" w:hAnsi="宋体" w:eastAsia="宋体" w:cs="宋体"/>
          <w:color w:val="auto"/>
          <w:sz w:val="24"/>
          <w:szCs w:val="24"/>
          <w:highlight w:val="none"/>
          <w:lang w:eastAsia="zh-CN" w:bidi="ar"/>
        </w:rPr>
        <w:t>月</w:t>
      </w:r>
      <w:r>
        <w:rPr>
          <w:rFonts w:hint="eastAsia" w:ascii="宋体" w:hAnsi="宋体" w:eastAsia="宋体" w:cs="宋体"/>
          <w:color w:val="auto"/>
          <w:sz w:val="24"/>
          <w:szCs w:val="24"/>
          <w:highlight w:val="none"/>
          <w:lang w:val="en-US" w:eastAsia="zh-CN" w:bidi="ar"/>
        </w:rPr>
        <w:t>9</w:t>
      </w:r>
      <w:r>
        <w:rPr>
          <w:rFonts w:hint="eastAsia" w:ascii="宋体" w:hAnsi="宋体" w:eastAsia="宋体" w:cs="宋体"/>
          <w:color w:val="auto"/>
          <w:sz w:val="24"/>
          <w:szCs w:val="24"/>
          <w:highlight w:val="none"/>
          <w:lang w:eastAsia="zh-CN" w:bidi="ar"/>
        </w:rPr>
        <w:t>日</w:t>
      </w:r>
      <w:r>
        <w:rPr>
          <w:rFonts w:hint="eastAsia" w:ascii="宋体" w:hAnsi="宋体" w:eastAsia="宋体" w:cs="宋体"/>
          <w:color w:val="auto"/>
          <w:sz w:val="24"/>
          <w:szCs w:val="24"/>
          <w:highlight w:val="none"/>
          <w:lang w:bidi="ar"/>
        </w:rPr>
        <w:t>8点</w:t>
      </w:r>
      <w:r>
        <w:rPr>
          <w:rFonts w:hint="eastAsia" w:ascii="宋体" w:hAnsi="宋体" w:eastAsia="宋体" w:cs="宋体"/>
          <w:color w:val="auto"/>
          <w:sz w:val="24"/>
          <w:szCs w:val="24"/>
          <w:highlight w:val="none"/>
          <w:lang w:val="en-US" w:eastAsia="zh-CN" w:bidi="ar"/>
        </w:rPr>
        <w:t>5</w:t>
      </w:r>
      <w:r>
        <w:rPr>
          <w:rFonts w:hint="eastAsia" w:ascii="宋体" w:hAnsi="宋体" w:eastAsia="宋体" w:cs="宋体"/>
          <w:color w:val="auto"/>
          <w:sz w:val="24"/>
          <w:szCs w:val="24"/>
          <w:highlight w:val="none"/>
          <w:lang w:bidi="ar"/>
        </w:rPr>
        <w:t>0分（北京时间）前递交响应文件。</w:t>
      </w:r>
    </w:p>
    <w:p w14:paraId="5E37F716">
      <w:pPr>
        <w:spacing w:line="480" w:lineRule="exact"/>
        <w:ind w:firstLine="435"/>
        <w:outlineLvl w:val="1"/>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一、项目名称及内容</w:t>
      </w:r>
    </w:p>
    <w:p w14:paraId="30206F27">
      <w:pPr>
        <w:autoSpaceDE w:val="0"/>
        <w:autoSpaceDN w:val="0"/>
        <w:adjustRightInd w:val="0"/>
        <w:spacing w:line="480" w:lineRule="exact"/>
        <w:ind w:firstLine="436" w:firstLineChars="182"/>
        <w:jc w:val="left"/>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bidi="ar"/>
        </w:rPr>
        <w:t>项目</w:t>
      </w:r>
      <w:r>
        <w:rPr>
          <w:rFonts w:hint="eastAsia" w:ascii="宋体" w:hAnsi="宋体" w:eastAsia="宋体" w:cs="宋体"/>
          <w:color w:val="auto"/>
          <w:sz w:val="24"/>
          <w:szCs w:val="24"/>
          <w:highlight w:val="none"/>
          <w:lang w:eastAsia="zh-CN" w:bidi="ar"/>
        </w:rPr>
        <w:t>编号：</w:t>
      </w:r>
      <w:r>
        <w:rPr>
          <w:rFonts w:hint="default" w:ascii="宋体" w:hAnsi="宋体" w:eastAsia="宋体" w:cs="宋体"/>
          <w:color w:val="auto"/>
          <w:sz w:val="24"/>
          <w:szCs w:val="24"/>
          <w:highlight w:val="none"/>
          <w:lang w:eastAsia="zh-CN" w:bidi="ar"/>
        </w:rPr>
        <w:t>czsjcg202511-052</w:t>
      </w:r>
      <w:r>
        <w:rPr>
          <w:rFonts w:hint="eastAsia" w:ascii="宋体" w:hAnsi="宋体" w:eastAsia="宋体" w:cs="宋体"/>
          <w:color w:val="auto"/>
          <w:sz w:val="24"/>
          <w:szCs w:val="24"/>
          <w:highlight w:val="none"/>
          <w:lang w:eastAsia="zh-CN" w:bidi="ar"/>
        </w:rPr>
        <w:t xml:space="preserve"> </w:t>
      </w:r>
    </w:p>
    <w:p w14:paraId="13AF0E27">
      <w:pPr>
        <w:autoSpaceDE w:val="0"/>
        <w:autoSpaceDN w:val="0"/>
        <w:adjustRightInd w:val="0"/>
        <w:spacing w:line="480" w:lineRule="exact"/>
        <w:ind w:firstLine="436" w:firstLineChars="182"/>
        <w:jc w:val="left"/>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bidi="ar"/>
        </w:rPr>
        <w:t>项目名称：</w:t>
      </w:r>
      <w:r>
        <w:rPr>
          <w:rFonts w:hint="eastAsia" w:ascii="宋体" w:hAnsi="宋体" w:eastAsia="宋体" w:cs="宋体"/>
          <w:color w:val="auto"/>
          <w:sz w:val="24"/>
          <w:szCs w:val="24"/>
          <w:highlight w:val="none"/>
          <w:lang w:eastAsia="zh-CN" w:bidi="ar"/>
        </w:rPr>
        <w:t>滁城应急供水工程运行维护项目</w:t>
      </w:r>
    </w:p>
    <w:p w14:paraId="67E3C50A">
      <w:pPr>
        <w:autoSpaceDE w:val="0"/>
        <w:autoSpaceDN w:val="0"/>
        <w:adjustRightInd w:val="0"/>
        <w:spacing w:line="480" w:lineRule="exact"/>
        <w:ind w:firstLine="436" w:firstLineChars="182"/>
        <w:jc w:val="left"/>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采购方式：竞争性磋商</w:t>
      </w:r>
    </w:p>
    <w:p w14:paraId="76414ED9">
      <w:pPr>
        <w:autoSpaceDE w:val="0"/>
        <w:autoSpaceDN w:val="0"/>
        <w:adjustRightInd w:val="0"/>
        <w:spacing w:line="480" w:lineRule="exact"/>
        <w:ind w:firstLine="436" w:firstLineChars="182"/>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预算金额：</w:t>
      </w:r>
      <w:r>
        <w:rPr>
          <w:rFonts w:hint="eastAsia" w:ascii="宋体" w:hAnsi="宋体" w:eastAsia="宋体" w:cs="宋体"/>
          <w:color w:val="auto"/>
          <w:sz w:val="24"/>
          <w:szCs w:val="24"/>
          <w:highlight w:val="none"/>
          <w:lang w:val="en-US" w:eastAsia="zh-CN" w:bidi="ar"/>
        </w:rPr>
        <w:t>165万元</w:t>
      </w:r>
    </w:p>
    <w:p w14:paraId="158EF8BC">
      <w:pPr>
        <w:autoSpaceDE w:val="0"/>
        <w:autoSpaceDN w:val="0"/>
        <w:adjustRightInd w:val="0"/>
        <w:spacing w:line="480" w:lineRule="exact"/>
        <w:ind w:firstLine="436" w:firstLineChars="182"/>
        <w:jc w:val="left"/>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最高限价：</w:t>
      </w:r>
      <w:r>
        <w:rPr>
          <w:rFonts w:hint="eastAsia" w:ascii="宋体" w:hAnsi="宋体" w:eastAsia="宋体" w:cs="宋体"/>
          <w:color w:val="auto"/>
          <w:sz w:val="24"/>
          <w:szCs w:val="24"/>
          <w:highlight w:val="none"/>
          <w:lang w:val="en-US" w:eastAsia="zh-CN" w:bidi="ar"/>
        </w:rPr>
        <w:t>165万元</w:t>
      </w:r>
      <w:r>
        <w:rPr>
          <w:rFonts w:hint="eastAsia" w:ascii="宋体" w:hAnsi="宋体" w:eastAsia="宋体" w:cs="宋体"/>
          <w:color w:val="auto"/>
          <w:sz w:val="24"/>
          <w:szCs w:val="24"/>
          <w:highlight w:val="none"/>
          <w:lang w:bidi="ar"/>
        </w:rPr>
        <w:t>，响应报价不得高于最高限价，否则按无效响应处理</w:t>
      </w:r>
    </w:p>
    <w:p w14:paraId="2E5FE01D">
      <w:pPr>
        <w:autoSpaceDE w:val="0"/>
        <w:autoSpaceDN w:val="0"/>
        <w:adjustRightInd w:val="0"/>
        <w:spacing w:line="480" w:lineRule="exact"/>
        <w:ind w:firstLine="436" w:firstLineChars="182"/>
        <w:jc w:val="left"/>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采购需求：</w:t>
      </w:r>
      <w:r>
        <w:rPr>
          <w:rFonts w:hint="default" w:ascii="宋体" w:hAnsi="宋体" w:eastAsia="宋体" w:cs="宋体"/>
          <w:color w:val="auto"/>
          <w:sz w:val="24"/>
          <w:szCs w:val="24"/>
          <w:highlight w:val="none"/>
          <w:lang w:val="en-US" w:eastAsia="zh-CN" w:bidi="ar"/>
        </w:rPr>
        <w:t>滁城应急供水工程新建的土桥二级站、中心沟（八支渠）站等2座临时泵站工程日常运行及常规维护；自全椒县古城闸至清流河九梓大桥拦水坝段引调水渠道管道工程日常巡检、渠道清杂清障及配套涵闸设施维护。</w:t>
      </w:r>
    </w:p>
    <w:p w14:paraId="78588F42">
      <w:pPr>
        <w:autoSpaceDE w:val="0"/>
        <w:autoSpaceDN w:val="0"/>
        <w:adjustRightInd w:val="0"/>
        <w:spacing w:line="480" w:lineRule="exact"/>
        <w:ind w:firstLine="436" w:firstLineChars="182"/>
        <w:jc w:val="left"/>
        <w:rPr>
          <w:rFonts w:hint="default" w:ascii="宋体" w:hAnsi="宋体" w:eastAsia="宋体" w:cs="宋体"/>
          <w:color w:val="auto"/>
          <w:sz w:val="24"/>
          <w:szCs w:val="24"/>
          <w:highlight w:val="none"/>
          <w:lang w:val="en-US" w:eastAsia="zh-CN" w:bidi="ar"/>
        </w:rPr>
      </w:pPr>
      <w:r>
        <w:rPr>
          <w:rFonts w:hint="default" w:ascii="宋体" w:hAnsi="宋体" w:eastAsia="宋体" w:cs="宋体"/>
          <w:color w:val="auto"/>
          <w:sz w:val="24"/>
          <w:szCs w:val="24"/>
          <w:highlight w:val="none"/>
          <w:lang w:val="en-US" w:eastAsia="zh-CN" w:bidi="ar"/>
        </w:rPr>
        <w:t>滁城应急供水工程调水路线涉及的</w:t>
      </w:r>
      <w:r>
        <w:rPr>
          <w:rFonts w:hint="eastAsia" w:ascii="宋体" w:hAnsi="宋体" w:eastAsia="宋体" w:cs="宋体"/>
          <w:color w:val="auto"/>
          <w:sz w:val="24"/>
          <w:szCs w:val="24"/>
          <w:highlight w:val="none"/>
          <w:lang w:val="en-US" w:eastAsia="zh-CN" w:bidi="ar"/>
        </w:rPr>
        <w:t>6</w:t>
      </w:r>
      <w:r>
        <w:rPr>
          <w:rFonts w:hint="default" w:ascii="宋体" w:hAnsi="宋体" w:eastAsia="宋体" w:cs="宋体"/>
          <w:color w:val="auto"/>
          <w:sz w:val="24"/>
          <w:szCs w:val="24"/>
          <w:highlight w:val="none"/>
          <w:lang w:val="en-US" w:eastAsia="zh-CN" w:bidi="ar"/>
        </w:rPr>
        <w:t>处泵站（军民一级站、军民二级站、土桥二级临时泵站、中心沟（八支渠）临时泵站、城西一级临时泵站、城西二级临时泵站）、2处水闸（古城闸、马圩闸）以及2处拦水坝（九梓大桥拦水坝、西庄拦水坝）以及沿线沟渠管道等工程</w:t>
      </w:r>
      <w:r>
        <w:rPr>
          <w:rFonts w:hint="eastAsia" w:ascii="宋体" w:hAnsi="宋体" w:eastAsia="宋体" w:cs="宋体"/>
          <w:color w:val="auto"/>
          <w:sz w:val="24"/>
          <w:szCs w:val="24"/>
          <w:highlight w:val="none"/>
          <w:lang w:val="en-US" w:eastAsia="zh-CN" w:bidi="ar"/>
        </w:rPr>
        <w:t>设备</w:t>
      </w:r>
      <w:r>
        <w:rPr>
          <w:rFonts w:hint="default" w:ascii="宋体" w:hAnsi="宋体" w:eastAsia="宋体" w:cs="宋体"/>
          <w:color w:val="auto"/>
          <w:sz w:val="24"/>
          <w:szCs w:val="24"/>
          <w:highlight w:val="none"/>
          <w:lang w:val="en-US" w:eastAsia="zh-CN" w:bidi="ar"/>
        </w:rPr>
        <w:t>故障检修、突发异常情况应急抢险处置；视情增加架设临时水泵以及采购必要的备品备件等。</w:t>
      </w:r>
    </w:p>
    <w:p w14:paraId="215B3F58">
      <w:pPr>
        <w:autoSpaceDE w:val="0"/>
        <w:autoSpaceDN w:val="0"/>
        <w:adjustRightInd w:val="0"/>
        <w:spacing w:line="480" w:lineRule="exact"/>
        <w:ind w:firstLine="436" w:firstLineChars="182"/>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合同履行期限：</w:t>
      </w:r>
      <w:r>
        <w:rPr>
          <w:rFonts w:hint="default" w:ascii="宋体" w:hAnsi="宋体" w:eastAsia="宋体" w:cs="宋体"/>
          <w:color w:val="auto"/>
          <w:sz w:val="24"/>
          <w:szCs w:val="24"/>
          <w:highlight w:val="none"/>
          <w:lang w:val="en-US" w:eastAsia="zh-CN" w:bidi="ar"/>
        </w:rPr>
        <w:t>暂定为</w:t>
      </w:r>
      <w:r>
        <w:rPr>
          <w:rFonts w:hint="eastAsia" w:ascii="宋体" w:hAnsi="宋体" w:eastAsia="宋体" w:cs="宋体"/>
          <w:color w:val="auto"/>
          <w:sz w:val="24"/>
          <w:szCs w:val="24"/>
          <w:highlight w:val="none"/>
          <w:lang w:val="en-US" w:eastAsia="zh-CN" w:bidi="ar"/>
        </w:rPr>
        <w:t>7</w:t>
      </w:r>
      <w:r>
        <w:rPr>
          <w:rFonts w:hint="default" w:ascii="宋体" w:hAnsi="宋体" w:eastAsia="宋体" w:cs="宋体"/>
          <w:color w:val="auto"/>
          <w:sz w:val="24"/>
          <w:szCs w:val="24"/>
          <w:highlight w:val="none"/>
          <w:lang w:val="en-US" w:eastAsia="zh-CN" w:bidi="ar"/>
        </w:rPr>
        <w:t>个月，根据</w:t>
      </w:r>
      <w:r>
        <w:rPr>
          <w:rFonts w:hint="eastAsia" w:ascii="宋体" w:hAnsi="宋体" w:eastAsia="宋体" w:cs="宋体"/>
          <w:color w:val="auto"/>
          <w:sz w:val="24"/>
          <w:szCs w:val="24"/>
          <w:highlight w:val="none"/>
          <w:lang w:val="en-US" w:eastAsia="zh-CN" w:bidi="ar"/>
        </w:rPr>
        <w:t>2026年</w:t>
      </w:r>
      <w:r>
        <w:rPr>
          <w:rFonts w:hint="default" w:ascii="宋体" w:hAnsi="宋体" w:eastAsia="宋体" w:cs="宋体"/>
          <w:color w:val="auto"/>
          <w:sz w:val="24"/>
          <w:szCs w:val="24"/>
          <w:highlight w:val="none"/>
          <w:lang w:val="en-US" w:eastAsia="zh-CN" w:bidi="ar"/>
        </w:rPr>
        <w:t>入汛前后降雨蓄水情况，视情延期或提前终止。</w:t>
      </w:r>
    </w:p>
    <w:p w14:paraId="3EA732A3">
      <w:pPr>
        <w:autoSpaceDE w:val="0"/>
        <w:autoSpaceDN w:val="0"/>
        <w:adjustRightInd w:val="0"/>
        <w:spacing w:line="480" w:lineRule="exact"/>
        <w:ind w:firstLine="436" w:firstLineChars="182"/>
        <w:jc w:val="left"/>
        <w:rPr>
          <w:rFonts w:ascii="宋体" w:hAnsi="宋体" w:eastAsia="宋体"/>
          <w:color w:val="auto"/>
          <w:sz w:val="24"/>
          <w:szCs w:val="24"/>
          <w:highlight w:val="none"/>
        </w:rPr>
      </w:pPr>
      <w:r>
        <w:rPr>
          <w:rFonts w:hint="eastAsia" w:ascii="宋体" w:hAnsi="宋体" w:eastAsia="宋体" w:cs="宋体"/>
          <w:color w:val="auto"/>
          <w:sz w:val="24"/>
          <w:szCs w:val="24"/>
          <w:highlight w:val="none"/>
          <w:lang w:bidi="ar"/>
        </w:rPr>
        <w:t>本项目</w:t>
      </w:r>
      <w:r>
        <w:rPr>
          <w:rFonts w:hint="eastAsia" w:ascii="宋体" w:hAnsi="宋体" w:eastAsia="宋体" w:cs="宋体"/>
          <w:color w:val="auto"/>
          <w:sz w:val="24"/>
          <w:szCs w:val="24"/>
          <w:highlight w:val="none"/>
          <w:lang w:val="en-US" w:eastAsia="zh-CN" w:bidi="ar"/>
        </w:rPr>
        <w:t>不</w:t>
      </w:r>
      <w:r>
        <w:rPr>
          <w:rFonts w:hint="eastAsia" w:ascii="宋体" w:hAnsi="宋体" w:eastAsia="宋体" w:cs="宋体"/>
          <w:color w:val="auto"/>
          <w:sz w:val="24"/>
          <w:szCs w:val="24"/>
          <w:highlight w:val="none"/>
          <w:lang w:bidi="ar"/>
        </w:rPr>
        <w:t>接受联合体。</w:t>
      </w:r>
    </w:p>
    <w:p w14:paraId="5DB48A3F">
      <w:pPr>
        <w:spacing w:line="480" w:lineRule="exact"/>
        <w:ind w:firstLine="435"/>
        <w:outlineLvl w:val="1"/>
        <w:rPr>
          <w:rFonts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二</w:t>
      </w:r>
      <w:r>
        <w:rPr>
          <w:rFonts w:hint="eastAsia" w:ascii="宋体" w:hAnsi="宋体" w:eastAsia="宋体" w:cs="宋体"/>
          <w:b/>
          <w:color w:val="auto"/>
          <w:sz w:val="24"/>
          <w:szCs w:val="24"/>
          <w:highlight w:val="none"/>
          <w:lang w:bidi="ar"/>
        </w:rPr>
        <w:t>、</w:t>
      </w:r>
      <w:r>
        <w:rPr>
          <w:rFonts w:hint="eastAsia" w:ascii="宋体" w:hAnsi="宋体" w:eastAsia="宋体" w:cs="宋体"/>
          <w:b/>
          <w:bCs/>
          <w:color w:val="auto"/>
          <w:sz w:val="24"/>
          <w:szCs w:val="24"/>
          <w:highlight w:val="none"/>
          <w:lang w:bidi="ar"/>
        </w:rPr>
        <w:t>申请人的资格要求</w:t>
      </w:r>
    </w:p>
    <w:p w14:paraId="3C88F11B">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1.满足《中华人民共和国政府采购法》第二十二条规定；</w:t>
      </w:r>
    </w:p>
    <w:p w14:paraId="6B5D1488">
      <w:pPr>
        <w:keepNext w:val="0"/>
        <w:keepLines w:val="0"/>
        <w:widowControl w:val="0"/>
        <w:suppressLineNumbers w:val="0"/>
        <w:autoSpaceDE w:val="0"/>
        <w:autoSpaceDN w:val="0"/>
        <w:adjustRightInd w:val="0"/>
        <w:spacing w:before="0" w:beforeAutospacing="0" w:after="0" w:afterAutospacing="0" w:line="480" w:lineRule="exact"/>
        <w:ind w:left="0" w:right="0" w:firstLine="436" w:firstLineChars="182"/>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4"/>
          <w:highlight w:val="none"/>
          <w:lang w:bidi="ar"/>
        </w:rPr>
        <w:t>2.落实政府采购政策需满足的资格要求：</w:t>
      </w:r>
      <w:r>
        <w:rPr>
          <w:rFonts w:hint="eastAsia" w:ascii="宋体" w:hAnsi="宋体" w:eastAsia="宋体" w:cs="宋体"/>
          <w:color w:val="auto"/>
          <w:kern w:val="2"/>
          <w:sz w:val="24"/>
          <w:szCs w:val="24"/>
          <w:highlight w:val="none"/>
          <w:lang w:val="en-US" w:eastAsia="zh-CN" w:bidi="ar"/>
        </w:rPr>
        <w:t>按照财政部、工业和信息化部制定的《政府采购促进中小企业发展管理办法》，本项目为专门面向中小企业采购项目。企业划型标准按照《关于印发中小企业划型标准规定的通知》（工信部联企业〔2011〕300号）规定执行。</w:t>
      </w:r>
    </w:p>
    <w:p w14:paraId="3E4A8918">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3.本项目的特定资格要求：具有</w:t>
      </w:r>
      <w:r>
        <w:rPr>
          <w:rFonts w:hint="eastAsia" w:ascii="宋体" w:hAnsi="宋体" w:eastAsia="宋体" w:cs="宋体"/>
          <w:color w:val="auto"/>
          <w:sz w:val="24"/>
          <w:szCs w:val="24"/>
          <w:highlight w:val="none"/>
          <w:lang w:val="en-US" w:eastAsia="zh-CN" w:bidi="ar"/>
        </w:rPr>
        <w:t>水利水电工程施工总承包三级及以上资质或</w:t>
      </w:r>
      <w:r>
        <w:rPr>
          <w:rFonts w:hint="eastAsia" w:ascii="宋体" w:hAnsi="宋体" w:eastAsia="宋体" w:cs="宋体"/>
          <w:color w:val="auto"/>
          <w:sz w:val="24"/>
          <w:szCs w:val="24"/>
          <w:highlight w:val="none"/>
          <w:lang w:bidi="ar"/>
        </w:rPr>
        <w:t>水利水电机电安装工程专业承包</w:t>
      </w:r>
      <w:r>
        <w:rPr>
          <w:rFonts w:hint="eastAsia" w:ascii="宋体" w:hAnsi="宋体" w:eastAsia="宋体" w:cs="宋体"/>
          <w:color w:val="auto"/>
          <w:sz w:val="24"/>
          <w:szCs w:val="24"/>
          <w:highlight w:val="none"/>
          <w:lang w:val="en-US" w:eastAsia="zh-CN" w:bidi="ar"/>
        </w:rPr>
        <w:t>三</w:t>
      </w:r>
      <w:r>
        <w:rPr>
          <w:rFonts w:hint="eastAsia" w:ascii="宋体" w:hAnsi="宋体" w:eastAsia="宋体" w:cs="宋体"/>
          <w:color w:val="auto"/>
          <w:sz w:val="24"/>
          <w:szCs w:val="24"/>
          <w:highlight w:val="none"/>
          <w:lang w:bidi="ar"/>
        </w:rPr>
        <w:t>级及以上</w:t>
      </w:r>
      <w:r>
        <w:rPr>
          <w:rFonts w:hint="eastAsia" w:ascii="宋体" w:hAnsi="宋体" w:eastAsia="宋体" w:cs="宋体"/>
          <w:color w:val="auto"/>
          <w:sz w:val="24"/>
          <w:szCs w:val="24"/>
          <w:highlight w:val="none"/>
          <w:lang w:val="en-US" w:eastAsia="zh-CN" w:bidi="ar"/>
        </w:rPr>
        <w:t>资质</w:t>
      </w:r>
      <w:r>
        <w:rPr>
          <w:rFonts w:hint="eastAsia" w:ascii="宋体" w:hAnsi="宋体" w:eastAsia="宋体" w:cs="宋体"/>
          <w:color w:val="auto"/>
          <w:sz w:val="24"/>
          <w:szCs w:val="24"/>
          <w:highlight w:val="none"/>
          <w:lang w:bidi="ar"/>
        </w:rPr>
        <w:t>。</w:t>
      </w:r>
    </w:p>
    <w:p w14:paraId="2048AB48">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4.信誉要求：</w:t>
      </w:r>
      <w:r>
        <w:rPr>
          <w:rFonts w:hint="eastAsia" w:ascii="宋体" w:hAnsi="宋体" w:eastAsia="宋体" w:cs="宋体"/>
          <w:color w:val="auto"/>
          <w:sz w:val="24"/>
          <w:szCs w:val="24"/>
          <w:highlight w:val="none"/>
          <w:lang w:eastAsia="zh-CN" w:bidi="ar"/>
        </w:rPr>
        <w:t>供应商</w:t>
      </w:r>
      <w:r>
        <w:rPr>
          <w:rFonts w:hint="eastAsia" w:ascii="宋体" w:hAnsi="宋体" w:eastAsia="宋体" w:cs="宋体"/>
          <w:color w:val="auto"/>
          <w:sz w:val="24"/>
          <w:szCs w:val="24"/>
          <w:highlight w:val="none"/>
          <w:lang w:bidi="ar"/>
        </w:rPr>
        <w:t>不得存在以下情形：</w:t>
      </w:r>
    </w:p>
    <w:p w14:paraId="35787462">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①被列入“信用中国”网站“失信被执行人”的；</w:t>
      </w:r>
    </w:p>
    <w:p w14:paraId="4CDE85D5">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②被列入“信用中国”网站“重大税收违法失信主体”的；</w:t>
      </w:r>
    </w:p>
    <w:p w14:paraId="0086861D">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③被列入“信用中国”网站 “严重失信主体名单”的；</w:t>
      </w:r>
    </w:p>
    <w:p w14:paraId="78038FDE">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④在“信用中国”网站上披露的仍在公示期的严重失信行为(具体行为类别及判定依据见“信用中国”查询的严重失信行为类别及判定依据)的。</w:t>
      </w:r>
    </w:p>
    <w:p w14:paraId="72666843">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⑤被列入国家企业信用信息公示系统网站“经营异常名录”或者“严重违法失信名单”的。</w:t>
      </w:r>
    </w:p>
    <w:p w14:paraId="49DA9AF9">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⑥被列入中国政府采购网站“政府采购严重违法失信行为信息记录”的。</w:t>
      </w:r>
    </w:p>
    <w:p w14:paraId="3C27F9D4">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⑦前三年有行贿犯罪行为的单位和个人。</w:t>
      </w:r>
    </w:p>
    <w:p w14:paraId="1115B2B1">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w:t>
      </w:r>
      <w:r>
        <w:rPr>
          <w:rFonts w:hint="eastAsia" w:ascii="宋体" w:hAnsi="宋体" w:eastAsia="宋体" w:cs="宋体"/>
          <w:color w:val="auto"/>
          <w:sz w:val="24"/>
          <w:szCs w:val="24"/>
          <w:highlight w:val="none"/>
          <w:lang w:eastAsia="zh-CN" w:bidi="ar"/>
        </w:rPr>
        <w:t>供应商</w:t>
      </w:r>
      <w:r>
        <w:rPr>
          <w:rFonts w:hint="eastAsia" w:ascii="宋体" w:hAnsi="宋体" w:eastAsia="宋体" w:cs="宋体"/>
          <w:color w:val="auto"/>
          <w:sz w:val="24"/>
          <w:szCs w:val="24"/>
          <w:highlight w:val="none"/>
          <w:lang w:bidi="ar"/>
        </w:rPr>
        <w:t>所属分公司、办事处等分支机构存在第4款信誉要求①-⑦项情形之一的，接受</w:t>
      </w:r>
      <w:r>
        <w:rPr>
          <w:rFonts w:hint="eastAsia" w:ascii="宋体" w:hAnsi="宋体" w:eastAsia="宋体" w:cs="宋体"/>
          <w:color w:val="auto"/>
          <w:sz w:val="24"/>
          <w:szCs w:val="24"/>
          <w:highlight w:val="none"/>
          <w:lang w:eastAsia="zh-CN" w:bidi="ar"/>
        </w:rPr>
        <w:t>供应商</w:t>
      </w:r>
      <w:r>
        <w:rPr>
          <w:rFonts w:hint="eastAsia" w:ascii="宋体" w:hAnsi="宋体" w:eastAsia="宋体" w:cs="宋体"/>
          <w:color w:val="auto"/>
          <w:sz w:val="24"/>
          <w:szCs w:val="24"/>
          <w:highlight w:val="none"/>
          <w:lang w:bidi="ar"/>
        </w:rPr>
        <w:t>参加本项目。</w:t>
      </w:r>
    </w:p>
    <w:p w14:paraId="197ED446">
      <w:pPr>
        <w:spacing w:line="360" w:lineRule="auto"/>
        <w:ind w:firstLine="435"/>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备注：第4、5条按照“关于联合惩戒失信行为加强信用查询管理的通知”查询或承诺。</w:t>
      </w:r>
    </w:p>
    <w:p w14:paraId="61FCF1DE">
      <w:pPr>
        <w:spacing w:line="480" w:lineRule="exact"/>
        <w:ind w:firstLine="435"/>
        <w:outlineLvl w:val="1"/>
        <w:rPr>
          <w:rFonts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三</w:t>
      </w:r>
      <w:r>
        <w:rPr>
          <w:rFonts w:hint="eastAsia" w:ascii="宋体" w:hAnsi="宋体" w:eastAsia="宋体" w:cs="宋体"/>
          <w:b/>
          <w:color w:val="auto"/>
          <w:sz w:val="24"/>
          <w:szCs w:val="24"/>
          <w:highlight w:val="none"/>
          <w:lang w:bidi="ar"/>
        </w:rPr>
        <w:t>、获取采购文件</w:t>
      </w:r>
    </w:p>
    <w:p w14:paraId="6FEAE30D">
      <w:pPr>
        <w:adjustRightInd w:val="0"/>
        <w:snapToGrid w:val="0"/>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val="en-US" w:eastAsia="zh-CN" w:bidi="ar"/>
        </w:rPr>
        <w:t>11</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val="en-US" w:eastAsia="zh-CN" w:bidi="ar"/>
        </w:rPr>
        <w:t xml:space="preserve">28 </w:t>
      </w:r>
      <w:r>
        <w:rPr>
          <w:rFonts w:hint="eastAsia" w:ascii="宋体" w:hAnsi="宋体" w:eastAsia="宋体" w:cs="宋体"/>
          <w:color w:val="auto"/>
          <w:sz w:val="24"/>
          <w:szCs w:val="24"/>
          <w:highlight w:val="none"/>
          <w:lang w:bidi="ar"/>
        </w:rPr>
        <w:t>日至</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val="en-US" w:eastAsia="zh-CN" w:bidi="ar"/>
        </w:rPr>
        <w:t>12</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val="en-US" w:eastAsia="zh-CN" w:bidi="ar"/>
        </w:rPr>
        <w:t xml:space="preserve"> 9 </w:t>
      </w:r>
      <w:r>
        <w:rPr>
          <w:rFonts w:hint="eastAsia" w:ascii="宋体" w:hAnsi="宋体" w:eastAsia="宋体" w:cs="宋体"/>
          <w:color w:val="auto"/>
          <w:sz w:val="24"/>
          <w:szCs w:val="24"/>
          <w:highlight w:val="none"/>
          <w:lang w:bidi="ar"/>
        </w:rPr>
        <w:t>日（磋商文件的发售期限自开始之日起不得少于5个工作日）</w:t>
      </w:r>
    </w:p>
    <w:p w14:paraId="34312BE5">
      <w:pPr>
        <w:adjustRightInd w:val="0"/>
        <w:snapToGrid w:val="0"/>
        <w:spacing w:line="480" w:lineRule="exact"/>
        <w:ind w:firstLine="480" w:firstLineChars="200"/>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地点：</w:t>
      </w:r>
      <w:r>
        <w:rPr>
          <w:rFonts w:hint="eastAsia" w:ascii="宋体" w:hAnsi="宋体" w:eastAsia="宋体" w:cs="宋体"/>
          <w:color w:val="auto"/>
          <w:sz w:val="24"/>
          <w:szCs w:val="24"/>
          <w:highlight w:val="none"/>
          <w:u w:val="single"/>
          <w:lang w:bidi="ar"/>
        </w:rPr>
        <w:t>滁州市公共资源交易中心网</w:t>
      </w:r>
    </w:p>
    <w:p w14:paraId="442757DE">
      <w:pPr>
        <w:autoSpaceDE w:val="0"/>
        <w:spacing w:line="480" w:lineRule="exact"/>
        <w:ind w:firstLine="480" w:firstLineChars="200"/>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方式：</w:t>
      </w:r>
      <w:r>
        <w:rPr>
          <w:rFonts w:hint="eastAsia" w:ascii="宋体" w:hAnsi="宋体" w:eastAsia="宋体" w:cs="宋体"/>
          <w:color w:val="auto"/>
          <w:sz w:val="24"/>
          <w:szCs w:val="24"/>
          <w:highlight w:val="none"/>
          <w:u w:val="single"/>
          <w:lang w:bidi="ar"/>
        </w:rPr>
        <w:t>网上下载</w:t>
      </w:r>
    </w:p>
    <w:p w14:paraId="221BB486">
      <w:pPr>
        <w:autoSpaceDE w:val="0"/>
        <w:spacing w:line="48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售价：</w:t>
      </w:r>
      <w:r>
        <w:rPr>
          <w:rFonts w:hint="eastAsia" w:ascii="宋体" w:hAnsi="宋体" w:eastAsia="宋体" w:cs="宋体"/>
          <w:color w:val="auto"/>
          <w:sz w:val="24"/>
          <w:szCs w:val="24"/>
          <w:highlight w:val="none"/>
          <w:u w:val="single"/>
          <w:lang w:bidi="ar"/>
        </w:rPr>
        <w:t>0元</w:t>
      </w:r>
    </w:p>
    <w:p w14:paraId="1C303588">
      <w:pPr>
        <w:spacing w:line="480" w:lineRule="exact"/>
        <w:ind w:firstLine="435"/>
        <w:outlineLvl w:val="1"/>
        <w:rPr>
          <w:rFonts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四</w:t>
      </w:r>
      <w:r>
        <w:rPr>
          <w:rFonts w:hint="eastAsia" w:ascii="宋体" w:hAnsi="宋体" w:eastAsia="宋体" w:cs="宋体"/>
          <w:b/>
          <w:color w:val="auto"/>
          <w:sz w:val="24"/>
          <w:szCs w:val="24"/>
          <w:highlight w:val="none"/>
          <w:lang w:bidi="ar"/>
        </w:rPr>
        <w:t>、</w:t>
      </w:r>
      <w:r>
        <w:rPr>
          <w:rFonts w:hint="eastAsia" w:ascii="宋体" w:hAnsi="宋体" w:eastAsia="宋体" w:cs="宋体"/>
          <w:b/>
          <w:bCs/>
          <w:color w:val="auto"/>
          <w:sz w:val="24"/>
          <w:szCs w:val="24"/>
          <w:highlight w:val="none"/>
          <w:lang w:bidi="ar"/>
        </w:rPr>
        <w:t>响应文件提交</w:t>
      </w:r>
    </w:p>
    <w:p w14:paraId="234E720B">
      <w:pPr>
        <w:spacing w:line="48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截止时间：</w:t>
      </w:r>
      <w:r>
        <w:rPr>
          <w:rFonts w:hint="eastAsia" w:ascii="宋体" w:hAnsi="宋体" w:eastAsia="宋体" w:cs="宋体"/>
          <w:bCs/>
          <w:color w:val="auto"/>
          <w:sz w:val="24"/>
          <w:szCs w:val="24"/>
          <w:highlight w:val="none"/>
          <w:u w:val="single"/>
          <w:lang w:eastAsia="zh-CN" w:bidi="ar"/>
        </w:rPr>
        <w:t>2025</w:t>
      </w:r>
      <w:r>
        <w:rPr>
          <w:rFonts w:hint="eastAsia" w:ascii="宋体" w:hAnsi="宋体" w:eastAsia="宋体" w:cs="宋体"/>
          <w:bCs/>
          <w:color w:val="auto"/>
          <w:sz w:val="24"/>
          <w:szCs w:val="24"/>
          <w:highlight w:val="none"/>
          <w:u w:val="none"/>
          <w:lang w:eastAsia="zh-CN" w:bidi="ar"/>
        </w:rPr>
        <w:t>年</w:t>
      </w:r>
      <w:r>
        <w:rPr>
          <w:rFonts w:hint="eastAsia" w:ascii="宋体" w:hAnsi="宋体" w:eastAsia="宋体" w:cs="宋体"/>
          <w:bCs/>
          <w:color w:val="auto"/>
          <w:sz w:val="24"/>
          <w:szCs w:val="24"/>
          <w:highlight w:val="none"/>
          <w:u w:val="single"/>
          <w:lang w:val="en-US" w:eastAsia="zh-CN" w:bidi="ar"/>
        </w:rPr>
        <w:t>12</w:t>
      </w:r>
      <w:r>
        <w:rPr>
          <w:rFonts w:hint="eastAsia" w:ascii="宋体" w:hAnsi="宋体" w:eastAsia="宋体" w:cs="宋体"/>
          <w:bCs/>
          <w:color w:val="auto"/>
          <w:sz w:val="24"/>
          <w:szCs w:val="24"/>
          <w:highlight w:val="none"/>
          <w:lang w:bidi="ar"/>
        </w:rPr>
        <w:t>月</w:t>
      </w:r>
      <w:r>
        <w:rPr>
          <w:rFonts w:hint="eastAsia" w:ascii="宋体" w:hAnsi="宋体" w:eastAsia="宋体" w:cs="宋体"/>
          <w:bCs/>
          <w:color w:val="auto"/>
          <w:sz w:val="24"/>
          <w:szCs w:val="24"/>
          <w:highlight w:val="none"/>
          <w:u w:val="single"/>
          <w:lang w:val="en-US" w:eastAsia="zh-CN" w:bidi="ar"/>
        </w:rPr>
        <w:t xml:space="preserve"> 9 </w:t>
      </w:r>
      <w:r>
        <w:rPr>
          <w:rFonts w:hint="eastAsia" w:ascii="宋体" w:hAnsi="宋体" w:eastAsia="宋体" w:cs="宋体"/>
          <w:bCs/>
          <w:color w:val="auto"/>
          <w:sz w:val="24"/>
          <w:szCs w:val="24"/>
          <w:highlight w:val="none"/>
          <w:lang w:bidi="ar"/>
        </w:rPr>
        <w:t>日</w:t>
      </w:r>
      <w:r>
        <w:rPr>
          <w:rFonts w:hint="eastAsia" w:ascii="宋体" w:hAnsi="宋体" w:eastAsia="宋体" w:cs="宋体"/>
          <w:bCs/>
          <w:color w:val="auto"/>
          <w:sz w:val="24"/>
          <w:szCs w:val="24"/>
          <w:highlight w:val="none"/>
          <w:u w:val="single"/>
          <w:lang w:bidi="ar"/>
        </w:rPr>
        <w:t>8</w:t>
      </w:r>
      <w:r>
        <w:rPr>
          <w:rFonts w:hint="eastAsia" w:ascii="宋体" w:hAnsi="宋体" w:eastAsia="宋体" w:cs="宋体"/>
          <w:bCs/>
          <w:color w:val="auto"/>
          <w:sz w:val="24"/>
          <w:szCs w:val="24"/>
          <w:highlight w:val="none"/>
          <w:lang w:bidi="ar"/>
        </w:rPr>
        <w:t>点</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0</w:t>
      </w:r>
      <w:r>
        <w:rPr>
          <w:rFonts w:hint="eastAsia" w:ascii="宋体" w:hAnsi="宋体" w:eastAsia="宋体" w:cs="宋体"/>
          <w:bCs/>
          <w:color w:val="auto"/>
          <w:sz w:val="24"/>
          <w:szCs w:val="24"/>
          <w:highlight w:val="none"/>
          <w:lang w:bidi="ar"/>
        </w:rPr>
        <w:t>分（北京时间）（从磋商文件开始发出之日起至供应商提交首次响应文件截止之日止不得少于10日）</w:t>
      </w:r>
    </w:p>
    <w:p w14:paraId="03FFEDE0">
      <w:pPr>
        <w:spacing w:line="480" w:lineRule="exact"/>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lang w:bidi="ar"/>
        </w:rPr>
        <w:t>地点：滁州市公共资源交易平台电子交易系统</w:t>
      </w:r>
    </w:p>
    <w:p w14:paraId="04733B2C">
      <w:pPr>
        <w:spacing w:line="480" w:lineRule="exact"/>
        <w:ind w:firstLine="435"/>
        <w:outlineLvl w:val="1"/>
        <w:rPr>
          <w:rFonts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五</w:t>
      </w:r>
      <w:r>
        <w:rPr>
          <w:rFonts w:hint="eastAsia" w:ascii="宋体" w:hAnsi="宋体" w:eastAsia="宋体" w:cs="宋体"/>
          <w:b/>
          <w:color w:val="auto"/>
          <w:sz w:val="24"/>
          <w:szCs w:val="24"/>
          <w:highlight w:val="none"/>
          <w:lang w:bidi="ar"/>
        </w:rPr>
        <w:t>、</w:t>
      </w:r>
      <w:r>
        <w:rPr>
          <w:rFonts w:hint="eastAsia" w:ascii="宋体" w:hAnsi="宋体" w:eastAsia="宋体" w:cs="宋体"/>
          <w:b/>
          <w:bCs/>
          <w:color w:val="auto"/>
          <w:sz w:val="24"/>
          <w:szCs w:val="24"/>
          <w:highlight w:val="none"/>
          <w:lang w:bidi="ar"/>
        </w:rPr>
        <w:t>开启</w:t>
      </w:r>
    </w:p>
    <w:p w14:paraId="05695CBF">
      <w:pPr>
        <w:adjustRightInd w:val="0"/>
        <w:snapToGrid w:val="0"/>
        <w:spacing w:line="48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时间：</w:t>
      </w:r>
      <w:r>
        <w:rPr>
          <w:rFonts w:hint="eastAsia" w:ascii="宋体" w:hAnsi="宋体" w:eastAsia="宋体" w:cs="宋体"/>
          <w:bCs/>
          <w:color w:val="auto"/>
          <w:sz w:val="24"/>
          <w:szCs w:val="24"/>
          <w:highlight w:val="none"/>
          <w:u w:val="single"/>
          <w:lang w:eastAsia="zh-CN" w:bidi="ar"/>
        </w:rPr>
        <w:t>2025</w:t>
      </w:r>
      <w:r>
        <w:rPr>
          <w:rFonts w:hint="eastAsia" w:ascii="宋体" w:hAnsi="宋体" w:eastAsia="宋体" w:cs="宋体"/>
          <w:bCs/>
          <w:color w:val="auto"/>
          <w:sz w:val="24"/>
          <w:szCs w:val="24"/>
          <w:highlight w:val="none"/>
          <w:u w:val="none"/>
          <w:lang w:eastAsia="zh-CN" w:bidi="ar"/>
        </w:rPr>
        <w:t>年</w:t>
      </w: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val="en-US" w:eastAsia="zh-CN" w:bidi="ar"/>
        </w:rPr>
        <w:t>12</w:t>
      </w: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月</w:t>
      </w: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val="en-US" w:eastAsia="zh-CN" w:bidi="ar"/>
        </w:rPr>
        <w:t>9</w:t>
      </w:r>
      <w:r>
        <w:rPr>
          <w:rFonts w:hint="eastAsia" w:ascii="宋体" w:hAnsi="宋体" w:eastAsia="宋体" w:cs="宋体"/>
          <w:bCs/>
          <w:color w:val="auto"/>
          <w:sz w:val="24"/>
          <w:szCs w:val="24"/>
          <w:highlight w:val="none"/>
          <w:lang w:bidi="ar"/>
        </w:rPr>
        <w:t>日</w:t>
      </w:r>
      <w:r>
        <w:rPr>
          <w:rFonts w:hint="eastAsia" w:ascii="宋体" w:hAnsi="宋体" w:eastAsia="宋体" w:cs="宋体"/>
          <w:bCs/>
          <w:color w:val="auto"/>
          <w:sz w:val="24"/>
          <w:szCs w:val="24"/>
          <w:highlight w:val="none"/>
          <w:u w:val="single"/>
          <w:lang w:bidi="ar"/>
        </w:rPr>
        <w:t>8</w:t>
      </w:r>
      <w:r>
        <w:rPr>
          <w:rFonts w:hint="eastAsia" w:ascii="宋体" w:hAnsi="宋体" w:eastAsia="宋体" w:cs="宋体"/>
          <w:bCs/>
          <w:color w:val="auto"/>
          <w:sz w:val="24"/>
          <w:szCs w:val="24"/>
          <w:highlight w:val="none"/>
          <w:lang w:bidi="ar"/>
        </w:rPr>
        <w:t>点</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0</w:t>
      </w:r>
      <w:r>
        <w:rPr>
          <w:rFonts w:hint="eastAsia" w:ascii="宋体" w:hAnsi="宋体" w:eastAsia="宋体" w:cs="宋体"/>
          <w:bCs/>
          <w:color w:val="auto"/>
          <w:sz w:val="24"/>
          <w:szCs w:val="24"/>
          <w:highlight w:val="none"/>
          <w:lang w:bidi="ar"/>
        </w:rPr>
        <w:t>分（北京时间）</w:t>
      </w:r>
    </w:p>
    <w:p w14:paraId="7DEE0D1E">
      <w:pPr>
        <w:adjustRightInd w:val="0"/>
        <w:snapToGrid w:val="0"/>
        <w:spacing w:line="480" w:lineRule="exact"/>
        <w:ind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lang w:bidi="ar"/>
        </w:rPr>
        <w:t>地点：滁州市公共资源交易平台电子交易系统</w:t>
      </w:r>
    </w:p>
    <w:p w14:paraId="6BD0C6E9">
      <w:pPr>
        <w:spacing w:line="480" w:lineRule="exact"/>
        <w:ind w:firstLine="435"/>
        <w:outlineLvl w:val="1"/>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六、公告期限</w:t>
      </w:r>
    </w:p>
    <w:p w14:paraId="5E1E982F">
      <w:pPr>
        <w:adjustRightInd w:val="0"/>
        <w:snapToGrid w:val="0"/>
        <w:spacing w:line="48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自本公告发布之日起3个工作日。</w:t>
      </w:r>
    </w:p>
    <w:p w14:paraId="19CE579B">
      <w:pPr>
        <w:spacing w:line="480" w:lineRule="exact"/>
        <w:ind w:firstLine="435"/>
        <w:outlineLvl w:val="1"/>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七、其他补充事宜</w:t>
      </w:r>
    </w:p>
    <w:p w14:paraId="0CDC89B4">
      <w:pPr>
        <w:wordWrap w:val="0"/>
        <w:autoSpaceDE w:val="0"/>
        <w:spacing w:line="480" w:lineRule="exact"/>
        <w:ind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lang w:bidi="ar"/>
        </w:rPr>
        <w:t>1.本项目只接受在安徽省公共资源交易市场主体库（http://ggzy.ah.gov.cn/ahggfwpt-zhutiku/dengludenglu）登记并进行信息确认提交的供应商参与，未登记的供应商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；2.CA数字证书有关问题：安徽CA客服400-880-4959、0550-3019013（工作日），CFCA客服025-66085508 、0550-3801669（工作日）；3.市场主体招标环节和投标环节系统使用问题：400-998-0000（8：00-21：00）、0550-3801701（工作日）。因未及时通过CA数字证书登录省主体库对相关信息进行补充完善并确认提交，导致无法参与本项目的，责任自负。为保证系统使用过程中产生的问题能够及时得到解决，请各主体进行主体信息登记、更新、响应文件制作等相关操作。</w:t>
      </w:r>
    </w:p>
    <w:p w14:paraId="495714C0">
      <w:pPr>
        <w:wordWrap w:val="0"/>
        <w:autoSpaceDE w:val="0"/>
        <w:spacing w:line="480" w:lineRule="exact"/>
        <w:ind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lang w:bidi="ar"/>
        </w:rPr>
        <w:t>2.请供应商登录滁州市公共资源交易中心网站查看参加本项目的程序。（具体操作步骤和程序请参见服务指南&gt;交易须知&gt;</w:t>
      </w:r>
      <w:r>
        <w:rPr>
          <w:rFonts w:hint="eastAsia" w:ascii="宋体" w:hAnsi="宋体" w:eastAsia="宋体" w:cs="宋体"/>
          <w:color w:val="auto"/>
          <w:sz w:val="24"/>
          <w:szCs w:val="24"/>
          <w:highlight w:val="none"/>
          <w:lang w:eastAsia="zh-CN" w:bidi="ar"/>
        </w:rPr>
        <w:t>供应商</w:t>
      </w:r>
      <w:r>
        <w:rPr>
          <w:rFonts w:hint="eastAsia" w:ascii="宋体" w:hAnsi="宋体" w:eastAsia="宋体" w:cs="宋体"/>
          <w:color w:val="auto"/>
          <w:sz w:val="24"/>
          <w:szCs w:val="24"/>
          <w:highlight w:val="none"/>
          <w:lang w:bidi="ar"/>
        </w:rPr>
        <w:t>填写投标信息、下载文件及网上提问操作手册）。</w:t>
      </w:r>
    </w:p>
    <w:p w14:paraId="70922689">
      <w:pPr>
        <w:wordWrap w:val="0"/>
        <w:autoSpaceDE w:val="0"/>
        <w:spacing w:line="480" w:lineRule="exact"/>
        <w:ind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lang w:bidi="ar"/>
        </w:rPr>
        <w:t>3.本项目采用不见面（远程解密)方式，开启时供应商无须至现场进行解密，采取远程解密方式解密响应文件，解密方式为：供应商在开启时间前使用CA数字证书登录滁州市“不见面开标系统”，网址为https://ggzy.chuzhou.gov.cn/BidOpening,等待开启并按系统提示进行相应的供应商解密等事项，无需到现场。采用本方式可以观看开启现场音视频直播并进行互动交流。具体操作方法见中心网站&gt;服务指南&gt;交易须知中的《滁州市不见面开标系统操作手册》。</w:t>
      </w:r>
    </w:p>
    <w:p w14:paraId="24DA8628">
      <w:pPr>
        <w:wordWrap w:val="0"/>
        <w:autoSpaceDE w:val="0"/>
        <w:spacing w:line="480" w:lineRule="exact"/>
        <w:ind w:firstLine="480" w:firstLineChars="200"/>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4.供应商接到远程解密指令后，须在规定时间内解密。因供应商自身原因导致响应文件在规定时间内未能解密、解密失败或解密超时，响应文件无效；因采购代理机构原因或网上平台发生故障，导致无法按时完成响应文件解密的，经采购代理机构申请后可延迟解密时间。</w:t>
      </w:r>
      <w:bookmarkStart w:id="242" w:name="_GoBack"/>
      <w:bookmarkEnd w:id="242"/>
    </w:p>
    <w:p w14:paraId="483D5599">
      <w:pPr>
        <w:spacing w:line="360" w:lineRule="auto"/>
        <w:ind w:firstLine="435"/>
        <w:outlineLvl w:val="1"/>
        <w:rPr>
          <w:rFonts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八</w:t>
      </w:r>
      <w:r>
        <w:rPr>
          <w:rFonts w:hint="eastAsia" w:ascii="宋体" w:hAnsi="宋体" w:eastAsia="宋体" w:cs="宋体"/>
          <w:b/>
          <w:color w:val="auto"/>
          <w:sz w:val="24"/>
          <w:szCs w:val="24"/>
          <w:highlight w:val="none"/>
          <w:lang w:bidi="ar"/>
        </w:rPr>
        <w:t>、</w:t>
      </w:r>
      <w:r>
        <w:rPr>
          <w:rFonts w:hint="eastAsia" w:ascii="宋体" w:hAnsi="宋体" w:eastAsia="宋体" w:cs="宋体"/>
          <w:b/>
          <w:bCs/>
          <w:color w:val="auto"/>
          <w:sz w:val="24"/>
          <w:szCs w:val="24"/>
          <w:highlight w:val="none"/>
          <w:lang w:bidi="ar"/>
        </w:rPr>
        <w:t>凡对本次采购提出询问，请按以下方式联系</w:t>
      </w:r>
    </w:p>
    <w:p w14:paraId="29B221E5">
      <w:pPr>
        <w:spacing w:line="360" w:lineRule="auto"/>
        <w:ind w:firstLine="437"/>
        <w:outlineLvl w:val="2"/>
        <w:rPr>
          <w:rFonts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2260DD97">
      <w:pPr>
        <w:spacing w:line="360" w:lineRule="auto"/>
        <w:ind w:firstLine="435"/>
        <w:rPr>
          <w:rFonts w:hint="eastAsia" w:ascii="宋体" w:hAnsi="宋体" w:eastAsia="宋体"/>
          <w:color w:val="auto"/>
          <w:sz w:val="24"/>
          <w:szCs w:val="24"/>
          <w:highlight w:val="none"/>
          <w:lang w:eastAsia="zh-CN"/>
        </w:rPr>
      </w:pPr>
      <w:r>
        <w:rPr>
          <w:rFonts w:hint="eastAsia" w:ascii="宋体" w:hAnsi="宋体" w:eastAsia="宋体" w:cs="宋体"/>
          <w:color w:val="auto"/>
          <w:sz w:val="24"/>
          <w:szCs w:val="24"/>
          <w:highlight w:val="none"/>
          <w:lang w:bidi="ar"/>
        </w:rPr>
        <w:t>名  称：</w:t>
      </w:r>
      <w:r>
        <w:rPr>
          <w:rFonts w:hint="eastAsia" w:ascii="宋体" w:hAnsi="宋体" w:eastAsia="宋体" w:cs="宋体"/>
          <w:color w:val="auto"/>
          <w:sz w:val="24"/>
          <w:szCs w:val="24"/>
          <w:highlight w:val="none"/>
          <w:u w:val="single"/>
          <w:lang w:eastAsia="zh-CN" w:bidi="ar"/>
        </w:rPr>
        <w:t>滁州市水利局</w:t>
      </w:r>
    </w:p>
    <w:p w14:paraId="288D6F49">
      <w:pPr>
        <w:spacing w:line="360" w:lineRule="auto"/>
        <w:ind w:firstLine="435"/>
        <w:rPr>
          <w:rFonts w:hint="eastAsia" w:ascii="宋体" w:hAnsi="宋体" w:eastAsia="宋体"/>
          <w:color w:val="auto"/>
          <w:sz w:val="24"/>
          <w:szCs w:val="24"/>
          <w:highlight w:val="none"/>
          <w:u w:val="single"/>
          <w:lang w:eastAsia="zh-CN"/>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s="宋体"/>
          <w:color w:val="auto"/>
          <w:sz w:val="24"/>
          <w:szCs w:val="24"/>
          <w:highlight w:val="none"/>
          <w:u w:val="single"/>
          <w:lang w:eastAsia="zh-CN" w:bidi="ar"/>
        </w:rPr>
        <w:t>安徽省滁州市南谯区龙蟠大道75号</w:t>
      </w:r>
    </w:p>
    <w:p w14:paraId="2D954477">
      <w:pPr>
        <w:spacing w:line="360" w:lineRule="auto"/>
        <w:ind w:firstLine="435"/>
        <w:rPr>
          <w:rFonts w:hint="eastAsia" w:ascii="宋体" w:hAnsi="宋体" w:eastAsia="宋体"/>
          <w:color w:val="auto"/>
          <w:sz w:val="24"/>
          <w:szCs w:val="24"/>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s="宋体"/>
          <w:color w:val="auto"/>
          <w:sz w:val="24"/>
          <w:szCs w:val="24"/>
          <w:highlight w:val="none"/>
          <w:u w:val="single"/>
          <w:lang w:eastAsia="zh-CN" w:bidi="ar"/>
        </w:rPr>
        <w:t>张静松</w:t>
      </w:r>
    </w:p>
    <w:p w14:paraId="1F851893">
      <w:pPr>
        <w:spacing w:line="360" w:lineRule="auto"/>
        <w:ind w:firstLine="435"/>
        <w:rPr>
          <w:rFonts w:hint="eastAsia" w:ascii="宋体" w:hAnsi="宋体" w:eastAsia="宋体"/>
          <w:color w:val="auto"/>
          <w:sz w:val="24"/>
          <w:szCs w:val="24"/>
          <w:highlight w:val="none"/>
          <w:lang w:eastAsia="zh-CN"/>
        </w:rPr>
      </w:pPr>
      <w:r>
        <w:rPr>
          <w:rFonts w:hint="eastAsia" w:ascii="宋体" w:hAnsi="宋体" w:eastAsia="宋体" w:cs="宋体"/>
          <w:color w:val="auto"/>
          <w:sz w:val="24"/>
          <w:szCs w:val="24"/>
          <w:highlight w:val="none"/>
          <w:lang w:bidi="ar"/>
        </w:rPr>
        <w:t>联系方式：</w:t>
      </w:r>
      <w:r>
        <w:rPr>
          <w:rFonts w:hint="eastAsia" w:ascii="宋体" w:hAnsi="宋体" w:eastAsia="宋体" w:cs="宋体"/>
          <w:color w:val="auto"/>
          <w:sz w:val="24"/>
          <w:szCs w:val="24"/>
          <w:highlight w:val="none"/>
          <w:u w:val="single"/>
          <w:lang w:eastAsia="zh-CN" w:bidi="ar"/>
        </w:rPr>
        <w:t>0550-3043257</w:t>
      </w:r>
    </w:p>
    <w:p w14:paraId="613DEC7D">
      <w:pPr>
        <w:spacing w:line="360" w:lineRule="auto"/>
        <w:ind w:firstLine="437"/>
        <w:outlineLvl w:val="2"/>
        <w:rPr>
          <w:rFonts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077CFB6C">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s="宋体"/>
          <w:color w:val="auto"/>
          <w:sz w:val="24"/>
          <w:szCs w:val="24"/>
          <w:highlight w:val="none"/>
          <w:u w:val="single"/>
          <w:lang w:bidi="ar"/>
        </w:rPr>
        <w:t>滁州市城投工程咨询管理有限公司</w:t>
      </w:r>
    </w:p>
    <w:p w14:paraId="2BE07DE9">
      <w:pPr>
        <w:spacing w:line="360" w:lineRule="auto"/>
        <w:ind w:firstLine="435"/>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s="宋体"/>
          <w:color w:val="auto"/>
          <w:sz w:val="24"/>
          <w:szCs w:val="24"/>
          <w:highlight w:val="none"/>
          <w:u w:val="single"/>
          <w:lang w:bidi="ar"/>
        </w:rPr>
        <w:t>滁州市龙蟠大道109号房产商务大厦6楼</w:t>
      </w:r>
    </w:p>
    <w:p w14:paraId="17BA27DE">
      <w:pPr>
        <w:spacing w:line="360" w:lineRule="auto"/>
        <w:ind w:firstLine="435"/>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s="宋体"/>
          <w:color w:val="auto"/>
          <w:sz w:val="24"/>
          <w:szCs w:val="24"/>
          <w:highlight w:val="none"/>
          <w:u w:val="single"/>
          <w:lang w:eastAsia="zh-CN" w:bidi="ar"/>
        </w:rPr>
        <w:t>王芳</w:t>
      </w:r>
    </w:p>
    <w:p w14:paraId="32878CCE">
      <w:pPr>
        <w:spacing w:line="360" w:lineRule="auto"/>
        <w:ind w:firstLine="435"/>
        <w:rPr>
          <w:rFonts w:hint="eastAsia" w:ascii="宋体" w:hAnsi="宋体" w:eastAsia="宋体"/>
          <w:color w:val="auto"/>
          <w:sz w:val="24"/>
          <w:szCs w:val="24"/>
          <w:highlight w:val="none"/>
          <w:lang w:eastAsia="zh-CN"/>
        </w:rPr>
      </w:pPr>
      <w:r>
        <w:rPr>
          <w:rFonts w:hint="eastAsia" w:ascii="宋体" w:hAnsi="宋体" w:eastAsia="宋体" w:cs="宋体"/>
          <w:color w:val="auto"/>
          <w:sz w:val="24"/>
          <w:szCs w:val="24"/>
          <w:highlight w:val="none"/>
          <w:lang w:bidi="ar"/>
        </w:rPr>
        <w:t>联系方式：</w:t>
      </w:r>
      <w:r>
        <w:rPr>
          <w:rFonts w:hint="eastAsia" w:ascii="宋体" w:hAnsi="宋体" w:eastAsia="宋体" w:cs="宋体"/>
          <w:color w:val="auto"/>
          <w:sz w:val="24"/>
          <w:szCs w:val="24"/>
          <w:highlight w:val="none"/>
          <w:u w:val="single"/>
          <w:lang w:eastAsia="zh-CN" w:bidi="ar"/>
        </w:rPr>
        <w:t>0550-3519519</w:t>
      </w:r>
      <w:r>
        <w:rPr>
          <w:rFonts w:hint="eastAsia" w:ascii="宋体" w:hAnsi="宋体" w:eastAsia="宋体" w:cs="宋体"/>
          <w:color w:val="auto"/>
          <w:sz w:val="24"/>
          <w:szCs w:val="24"/>
          <w:highlight w:val="none"/>
          <w:u w:val="single"/>
          <w:lang w:bidi="ar"/>
        </w:rPr>
        <w:t>、</w:t>
      </w:r>
      <w:r>
        <w:rPr>
          <w:rFonts w:hint="eastAsia" w:ascii="宋体" w:hAnsi="宋体" w:eastAsia="宋体" w:cs="宋体"/>
          <w:color w:val="auto"/>
          <w:sz w:val="24"/>
          <w:szCs w:val="24"/>
          <w:highlight w:val="none"/>
          <w:u w:val="single"/>
          <w:lang w:eastAsia="zh-CN" w:bidi="ar"/>
        </w:rPr>
        <w:t>18955055067</w:t>
      </w:r>
    </w:p>
    <w:p w14:paraId="5C10DE21">
      <w:pPr>
        <w:spacing w:line="360" w:lineRule="auto"/>
        <w:ind w:firstLine="437"/>
        <w:outlineLvl w:val="2"/>
        <w:rPr>
          <w:rFonts w:ascii="宋体" w:hAnsi="宋体" w:eastAsia="宋体"/>
          <w:b/>
          <w:color w:val="auto"/>
          <w:sz w:val="24"/>
          <w:szCs w:val="24"/>
          <w:highlight w:val="none"/>
        </w:rPr>
      </w:pPr>
      <w:r>
        <w:rPr>
          <w:rFonts w:hint="eastAsia" w:ascii="宋体" w:hAnsi="宋体" w:eastAsia="宋体" w:cs="宋体"/>
          <w:bCs/>
          <w:color w:val="auto"/>
          <w:sz w:val="24"/>
          <w:szCs w:val="24"/>
          <w:highlight w:val="none"/>
          <w:lang w:bidi="ar"/>
        </w:rPr>
        <w:t>3</w:t>
      </w:r>
      <w:r>
        <w:rPr>
          <w:rFonts w:hint="eastAsia" w:ascii="宋体" w:hAnsi="宋体" w:eastAsia="宋体" w:cs="宋体"/>
          <w:b/>
          <w:color w:val="auto"/>
          <w:sz w:val="24"/>
          <w:szCs w:val="24"/>
          <w:highlight w:val="none"/>
          <w:lang w:bidi="ar"/>
        </w:rPr>
        <w:t>.</w:t>
      </w:r>
      <w:r>
        <w:rPr>
          <w:rFonts w:hint="eastAsia" w:ascii="宋体" w:hAnsi="宋体" w:eastAsia="宋体" w:cs="宋体"/>
          <w:color w:val="auto"/>
          <w:sz w:val="24"/>
          <w:szCs w:val="24"/>
          <w:highlight w:val="none"/>
          <w:lang w:bidi="ar"/>
        </w:rPr>
        <w:t>政府采购监督管理部门信息</w:t>
      </w:r>
    </w:p>
    <w:p w14:paraId="5C584AEF">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s="宋体"/>
          <w:color w:val="auto"/>
          <w:sz w:val="24"/>
          <w:szCs w:val="24"/>
          <w:highlight w:val="none"/>
          <w:u w:val="single"/>
          <w:lang w:bidi="ar"/>
        </w:rPr>
        <w:t>滁州市公共资源交易监督管理局</w:t>
      </w:r>
    </w:p>
    <w:p w14:paraId="740ADF26">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s="宋体"/>
          <w:color w:val="auto"/>
          <w:sz w:val="24"/>
          <w:szCs w:val="24"/>
          <w:highlight w:val="none"/>
          <w:u w:val="single"/>
          <w:lang w:bidi="ar"/>
        </w:rPr>
        <w:t>滁州市龙蟠大道109号房产大厦三楼</w:t>
      </w:r>
    </w:p>
    <w:p w14:paraId="1BE0DCED">
      <w:pPr>
        <w:spacing w:line="360" w:lineRule="auto"/>
        <w:ind w:firstLine="435"/>
        <w:rPr>
          <w:color w:val="auto"/>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s="宋体"/>
          <w:color w:val="auto"/>
          <w:sz w:val="24"/>
          <w:szCs w:val="24"/>
          <w:highlight w:val="none"/>
          <w:u w:val="single"/>
          <w:lang w:bidi="ar"/>
        </w:rPr>
        <w:t>0550-3801656</w:t>
      </w:r>
    </w:p>
    <w:p w14:paraId="2EB2BDED">
      <w:pPr>
        <w:spacing w:line="360" w:lineRule="auto"/>
        <w:ind w:firstLine="435"/>
        <w:rPr>
          <w:rFonts w:ascii="宋体" w:hAnsi="宋体" w:eastAsia="宋体"/>
          <w:color w:val="auto"/>
          <w:sz w:val="24"/>
          <w:szCs w:val="18"/>
          <w:highlight w:val="none"/>
          <w:u w:val="single"/>
        </w:rPr>
      </w:pPr>
    </w:p>
    <w:p w14:paraId="3411B50B">
      <w:pPr>
        <w:spacing w:line="360" w:lineRule="auto"/>
        <w:ind w:firstLine="435"/>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1E65AF54">
      <w:pPr>
        <w:spacing w:line="360" w:lineRule="auto"/>
        <w:jc w:val="center"/>
        <w:outlineLvl w:val="0"/>
        <w:rPr>
          <w:rFonts w:asciiTheme="minorEastAsia" w:hAnsiTheme="minorEastAsia" w:eastAsiaTheme="minorEastAsia"/>
          <w:b/>
          <w:color w:val="auto"/>
          <w:sz w:val="28"/>
          <w:highlight w:val="none"/>
        </w:rPr>
      </w:pPr>
      <w:bookmarkStart w:id="4" w:name="_Toc7162"/>
      <w:bookmarkStart w:id="5" w:name="_Toc378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4"/>
      <w:bookmarkEnd w:id="5"/>
    </w:p>
    <w:p w14:paraId="6D14119D">
      <w:pPr>
        <w:spacing w:line="360" w:lineRule="auto"/>
        <w:jc w:val="center"/>
        <w:outlineLvl w:val="1"/>
        <w:rPr>
          <w:rFonts w:asciiTheme="minorEastAsia" w:hAnsiTheme="minorEastAsia" w:eastAsiaTheme="minorEastAsia"/>
          <w:b/>
          <w:color w:val="auto"/>
          <w:sz w:val="24"/>
          <w:highlight w:val="none"/>
        </w:rPr>
      </w:pPr>
      <w:bookmarkStart w:id="6" w:name="_Toc11709"/>
      <w:bookmarkStart w:id="7" w:name="_Toc11383"/>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6"/>
      <w:bookmarkEnd w:id="7"/>
    </w:p>
    <w:p w14:paraId="1940BE5F">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1"/>
        <w:gridCol w:w="5722"/>
      </w:tblGrid>
      <w:tr w14:paraId="7A2D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AE5DC5E">
            <w:pPr>
              <w:pStyle w:val="43"/>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60" w:type="pct"/>
            <w:vAlign w:val="center"/>
          </w:tcPr>
          <w:p w14:paraId="629D8455">
            <w:pPr>
              <w:pStyle w:val="43"/>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67" w:type="pct"/>
            <w:vAlign w:val="center"/>
          </w:tcPr>
          <w:p w14:paraId="07067A50">
            <w:pPr>
              <w:pStyle w:val="43"/>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4C5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FD37CAD">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04BAD88A">
            <w:pPr>
              <w:pStyle w:val="4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kern w:val="2"/>
                <w:sz w:val="24"/>
                <w:szCs w:val="22"/>
                <w:highlight w:val="none"/>
              </w:rPr>
              <w:t>现场考察或标前答疑会</w:t>
            </w:r>
          </w:p>
        </w:tc>
        <w:tc>
          <w:tcPr>
            <w:tcW w:w="3267" w:type="pct"/>
            <w:vAlign w:val="center"/>
          </w:tcPr>
          <w:p w14:paraId="41A36F1A">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58589960">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p w14:paraId="6DFC9AC3">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38AFDA7B">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5257A4EB">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119440B9">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Cs w:val="0"/>
                <w:color w:val="auto"/>
                <w:sz w:val="24"/>
                <w:highlight w:val="none"/>
              </w:rPr>
              <w:t>注：如供应商未参加采购人统一组织的现场考察或采购人统一召开的标前答疑会，视同放弃现场考察或标前答疑会，由此引起的一切责任由供应商自行承担。</w:t>
            </w:r>
          </w:p>
        </w:tc>
      </w:tr>
      <w:tr w14:paraId="778C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D6910E1">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60" w:type="pct"/>
            <w:vAlign w:val="center"/>
          </w:tcPr>
          <w:p w14:paraId="015EEDAB">
            <w:pPr>
              <w:pStyle w:val="4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67" w:type="pct"/>
            <w:vAlign w:val="center"/>
          </w:tcPr>
          <w:p w14:paraId="51BA2955">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5</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12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3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17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30</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5503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2" w:type="dxa"/>
            <w:vAlign w:val="center"/>
          </w:tcPr>
          <w:p w14:paraId="6AD45C62">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7.1</w:t>
            </w:r>
          </w:p>
        </w:tc>
        <w:tc>
          <w:tcPr>
            <w:tcW w:w="1160" w:type="pct"/>
            <w:vAlign w:val="center"/>
          </w:tcPr>
          <w:p w14:paraId="06A2DEFF">
            <w:pPr>
              <w:pStyle w:val="4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67" w:type="pct"/>
            <w:vAlign w:val="center"/>
          </w:tcPr>
          <w:p w14:paraId="59030409">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分为</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w:t>
            </w:r>
            <w:r>
              <w:rPr>
                <w:rFonts w:ascii="宋体" w:hAnsi="宋体" w:eastAsia="宋体"/>
                <w:b w:val="0"/>
                <w:color w:val="auto"/>
                <w:sz w:val="24"/>
                <w:highlight w:val="none"/>
                <w:u w:val="single"/>
              </w:rPr>
              <w:t xml:space="preserve"> </w:t>
            </w:r>
          </w:p>
          <w:p w14:paraId="60FE36D1">
            <w:pPr>
              <w:pStyle w:val="43"/>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bCs w:val="0"/>
                <w:color w:val="auto"/>
                <w:sz w:val="24"/>
                <w:szCs w:val="24"/>
                <w:highlight w:val="none"/>
              </w:rPr>
              <w:t>供应商参加多个包磋商的成交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color w:val="auto"/>
                <w:sz w:val="24"/>
                <w:szCs w:val="24"/>
                <w:highlight w:val="none"/>
                <w:u w:val="single"/>
                <w:lang w:val="en-US" w:eastAsia="zh-CN"/>
              </w:rPr>
              <w:t>/</w:t>
            </w:r>
          </w:p>
        </w:tc>
      </w:tr>
      <w:tr w14:paraId="054E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02" w:type="dxa"/>
            <w:vAlign w:val="center"/>
          </w:tcPr>
          <w:p w14:paraId="5828F3D4">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10.1</w:t>
            </w:r>
          </w:p>
        </w:tc>
        <w:tc>
          <w:tcPr>
            <w:tcW w:w="1160" w:type="pct"/>
            <w:vAlign w:val="center"/>
          </w:tcPr>
          <w:p w14:paraId="31CD62E0">
            <w:pPr>
              <w:pStyle w:val="4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3267" w:type="pct"/>
            <w:vAlign w:val="center"/>
          </w:tcPr>
          <w:p w14:paraId="43EA111A">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7B17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8DD35E8">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60" w:type="pct"/>
            <w:vAlign w:val="center"/>
          </w:tcPr>
          <w:p w14:paraId="0CA105B5">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3267" w:type="pct"/>
            <w:vAlign w:val="center"/>
          </w:tcPr>
          <w:p w14:paraId="17835C23">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90 </w:t>
            </w:r>
            <w:r>
              <w:rPr>
                <w:rFonts w:hint="eastAsia" w:ascii="宋体" w:hAnsi="宋体" w:eastAsia="宋体"/>
                <w:b w:val="0"/>
                <w:color w:val="auto"/>
                <w:sz w:val="24"/>
                <w:highlight w:val="none"/>
              </w:rPr>
              <w:t>日历日</w:t>
            </w:r>
          </w:p>
        </w:tc>
      </w:tr>
      <w:tr w14:paraId="0F2C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78240F1">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12</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60" w:type="pct"/>
            <w:vAlign w:val="center"/>
          </w:tcPr>
          <w:p w14:paraId="5B5ADBD6">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3267" w:type="pct"/>
            <w:vAlign w:val="center"/>
          </w:tcPr>
          <w:p w14:paraId="726B0204">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响应文件提交截止时间后</w:t>
            </w:r>
            <w:r>
              <w:rPr>
                <w:rFonts w:hint="eastAsia" w:ascii="宋体" w:hAnsi="宋体" w:eastAsia="宋体"/>
                <w:b w:val="0"/>
                <w:color w:val="auto"/>
                <w:sz w:val="24"/>
                <w:highlight w:val="none"/>
                <w:u w:val="single"/>
              </w:rPr>
              <w:t xml:space="preserve"> 60 </w:t>
            </w:r>
            <w:r>
              <w:rPr>
                <w:rFonts w:hint="eastAsia" w:ascii="宋体" w:hAnsi="宋体" w:eastAsia="宋体"/>
                <w:b w:val="0"/>
                <w:color w:val="auto"/>
                <w:sz w:val="24"/>
                <w:highlight w:val="none"/>
              </w:rPr>
              <w:t>分钟内（以本项目网上招投标系统解密倒计时为准）。</w:t>
            </w:r>
          </w:p>
        </w:tc>
      </w:tr>
      <w:tr w14:paraId="0618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9251797">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14.2</w:t>
            </w:r>
          </w:p>
        </w:tc>
        <w:tc>
          <w:tcPr>
            <w:tcW w:w="1160" w:type="pct"/>
            <w:vAlign w:val="center"/>
          </w:tcPr>
          <w:p w14:paraId="1D42D461">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267" w:type="pct"/>
            <w:vAlign w:val="center"/>
          </w:tcPr>
          <w:p w14:paraId="20E2B29F">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综合评分法</w:t>
            </w:r>
          </w:p>
        </w:tc>
      </w:tr>
      <w:tr w14:paraId="684A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EB1DDC0">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17.4</w:t>
            </w:r>
          </w:p>
        </w:tc>
        <w:tc>
          <w:tcPr>
            <w:tcW w:w="1160" w:type="pct"/>
            <w:vAlign w:val="center"/>
          </w:tcPr>
          <w:p w14:paraId="235358DA">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最后报价扣除</w:t>
            </w:r>
            <w:r>
              <w:rPr>
                <w:rFonts w:hint="eastAsia" w:ascii="宋体" w:hAnsi="宋体" w:eastAsia="宋体"/>
                <w:b w:val="0"/>
                <w:i/>
                <w:color w:val="auto"/>
                <w:sz w:val="24"/>
                <w:highlight w:val="none"/>
              </w:rPr>
              <w:t>（非专门面向中小企业采购项目适用）</w:t>
            </w:r>
          </w:p>
        </w:tc>
        <w:tc>
          <w:tcPr>
            <w:tcW w:w="3267" w:type="pct"/>
            <w:vAlign w:val="center"/>
          </w:tcPr>
          <w:p w14:paraId="7655D17C">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对小型和微型企业产品的价格给予10%的扣除后参与评审；其评审价=投标报价*90%</w:t>
            </w:r>
            <w:r>
              <w:rPr>
                <w:rFonts w:hint="eastAsia" w:ascii="宋体" w:hAnsi="宋体" w:eastAsia="宋体"/>
                <w:b w:val="0"/>
                <w:color w:val="auto"/>
                <w:sz w:val="24"/>
                <w:highlight w:val="none"/>
              </w:rPr>
              <w:t>。</w:t>
            </w:r>
          </w:p>
          <w:p w14:paraId="081522BA">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1D3077DC">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6DC68061">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p>
          <w:p w14:paraId="0C3ACE5F">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rPr>
              <w:t xml:space="preserve">  / </w:t>
            </w:r>
            <w:r>
              <w:rPr>
                <w:rFonts w:hint="eastAsia" w:ascii="宋体" w:hAnsi="宋体" w:eastAsia="宋体"/>
                <w:b w:val="0"/>
                <w:color w:val="auto"/>
                <w:sz w:val="24"/>
                <w:highlight w:val="none"/>
              </w:rPr>
              <w:t>。</w:t>
            </w:r>
          </w:p>
        </w:tc>
      </w:tr>
      <w:tr w14:paraId="58CB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Merge w:val="restart"/>
            <w:vAlign w:val="center"/>
          </w:tcPr>
          <w:p w14:paraId="5550329F">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19</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60" w:type="pct"/>
            <w:vMerge w:val="restart"/>
            <w:vAlign w:val="center"/>
          </w:tcPr>
          <w:p w14:paraId="756355DD">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267" w:type="pct"/>
            <w:vAlign w:val="center"/>
          </w:tcPr>
          <w:p w14:paraId="198ADCD8">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p>
          <w:p w14:paraId="3BFC2B87">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注：法律、法规另有规定的，从其规定。</w:t>
            </w:r>
          </w:p>
        </w:tc>
      </w:tr>
      <w:tr w14:paraId="2CBD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486691F6">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p>
        </w:tc>
        <w:tc>
          <w:tcPr>
            <w:tcW w:w="1160" w:type="pct"/>
            <w:vMerge w:val="continue"/>
            <w:vAlign w:val="center"/>
          </w:tcPr>
          <w:p w14:paraId="112560B1">
            <w:pPr>
              <w:pStyle w:val="43"/>
              <w:widowControl w:val="0"/>
              <w:spacing w:before="0" w:beforeAutospacing="0" w:after="0" w:afterAutospacing="0" w:line="360" w:lineRule="auto"/>
              <w:jc w:val="both"/>
              <w:rPr>
                <w:rFonts w:ascii="宋体" w:hAnsi="宋体" w:eastAsia="宋体"/>
                <w:b w:val="0"/>
                <w:color w:val="auto"/>
                <w:sz w:val="24"/>
                <w:highlight w:val="none"/>
              </w:rPr>
            </w:pPr>
          </w:p>
        </w:tc>
        <w:tc>
          <w:tcPr>
            <w:tcW w:w="3267" w:type="pct"/>
            <w:vAlign w:val="center"/>
          </w:tcPr>
          <w:p w14:paraId="38218450">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02673FA7">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 xml:space="preserve">□采购人委托磋商小组确定     </w:t>
            </w:r>
            <w:r>
              <w:rPr>
                <w:rFonts w:hint="eastAsia" w:ascii="宋体" w:hAnsi="宋体" w:eastAsia="宋体"/>
                <w:b w:val="0"/>
                <w:color w:val="auto"/>
                <w:sz w:val="24"/>
                <w:highlight w:val="none"/>
              </w:rPr>
              <w:sym w:font="Wingdings" w:char="00FE"/>
            </w:r>
            <w:r>
              <w:rPr>
                <w:rFonts w:hint="eastAsia" w:ascii="宋体" w:hAnsi="宋体" w:eastAsia="宋体"/>
                <w:b w:val="0"/>
                <w:color w:val="auto"/>
                <w:sz w:val="24"/>
                <w:highlight w:val="none"/>
              </w:rPr>
              <w:t>采购人确定</w:t>
            </w:r>
          </w:p>
        </w:tc>
      </w:tr>
      <w:tr w14:paraId="1BA1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00DEA12">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6DC099A1">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3267" w:type="pct"/>
            <w:vAlign w:val="center"/>
          </w:tcPr>
          <w:p w14:paraId="4D5E9056">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（1）中小企业声明函（如有）；</w:t>
            </w:r>
          </w:p>
          <w:p w14:paraId="1CE4842F">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（2）残疾人福利性单位声明函（如有）；</w:t>
            </w:r>
          </w:p>
          <w:p w14:paraId="7921CB6D">
            <w:pPr>
              <w:pStyle w:val="43"/>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w:t>
            </w:r>
            <w:r>
              <w:rPr>
                <w:rFonts w:hint="eastAsia" w:ascii="宋体" w:hAnsi="宋体" w:eastAsia="宋体"/>
                <w:b w:val="0"/>
                <w:color w:val="auto"/>
                <w:sz w:val="24"/>
                <w:highlight w:val="none"/>
                <w:lang w:val="en-US" w:eastAsia="zh-CN"/>
              </w:rPr>
              <w:t>3</w:t>
            </w:r>
            <w:r>
              <w:rPr>
                <w:rFonts w:hint="eastAsia" w:ascii="宋体" w:hAnsi="宋体" w:eastAsia="宋体"/>
                <w:b w:val="0"/>
                <w:color w:val="auto"/>
                <w:sz w:val="24"/>
                <w:highlight w:val="none"/>
              </w:rPr>
              <w:t>）成交供应商的评审总得分</w:t>
            </w:r>
            <w:r>
              <w:rPr>
                <w:rFonts w:hint="eastAsia" w:ascii="宋体" w:hAnsi="宋体" w:eastAsia="宋体"/>
                <w:b w:val="0"/>
                <w:color w:val="auto"/>
                <w:sz w:val="24"/>
                <w:highlight w:val="none"/>
                <w:lang w:eastAsia="zh-CN"/>
              </w:rPr>
              <w:t>。</w:t>
            </w:r>
          </w:p>
        </w:tc>
      </w:tr>
      <w:tr w14:paraId="4DF6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F28BDB7">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23</w:t>
            </w:r>
            <w:r>
              <w:rPr>
                <w:rFonts w:ascii="宋体" w:hAnsi="宋体" w:eastAsia="宋体"/>
                <w:bCs/>
                <w:color w:val="auto"/>
                <w:kern w:val="2"/>
                <w:highlight w:val="none"/>
              </w:rPr>
              <w:t>.1</w:t>
            </w:r>
          </w:p>
        </w:tc>
        <w:tc>
          <w:tcPr>
            <w:tcW w:w="1160" w:type="pct"/>
            <w:vAlign w:val="center"/>
          </w:tcPr>
          <w:p w14:paraId="35C644E3">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267" w:type="pct"/>
            <w:vAlign w:val="center"/>
          </w:tcPr>
          <w:p w14:paraId="567EE532">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color w:val="auto"/>
                <w:sz w:val="24"/>
                <w:highlight w:val="none"/>
              </w:rPr>
              <w:t>数据电文</w:t>
            </w:r>
          </w:p>
        </w:tc>
      </w:tr>
      <w:tr w14:paraId="2615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30A1A93">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60" w:type="pct"/>
            <w:vAlign w:val="center"/>
          </w:tcPr>
          <w:p w14:paraId="22DDB5FB">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3267" w:type="pct"/>
            <w:vAlign w:val="center"/>
          </w:tcPr>
          <w:p w14:paraId="00D6BE95">
            <w:pPr>
              <w:pStyle w:val="4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rPr>
              <w:t>交易</w:t>
            </w:r>
            <w:r>
              <w:rPr>
                <w:rFonts w:hint="eastAsia" w:ascii="宋体" w:hAnsi="宋体" w:eastAsia="宋体"/>
                <w:b w:val="0"/>
                <w:bCs w:val="0"/>
                <w:color w:val="auto"/>
                <w:sz w:val="24"/>
                <w:szCs w:val="24"/>
                <w:highlight w:val="none"/>
              </w:rPr>
              <w:t>系统查看</w:t>
            </w:r>
          </w:p>
          <w:p w14:paraId="16675A39">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□磋商现场告知</w:t>
            </w:r>
          </w:p>
        </w:tc>
      </w:tr>
      <w:tr w14:paraId="189D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45988BA">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60" w:type="pct"/>
            <w:vAlign w:val="center"/>
          </w:tcPr>
          <w:p w14:paraId="54914579">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67" w:type="pct"/>
          </w:tcPr>
          <w:p w14:paraId="7C5F62D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20E445CB">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71EFCF89">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1F9B8ED5">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5BBD3DB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41B18CC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0CA67DBB">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6A58A8C8">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609676EE">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49C74B02">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98097F8">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E67056D">
            <w:pPr>
              <w:pStyle w:val="43"/>
              <w:widowControl w:val="0"/>
              <w:spacing w:before="0" w:beforeAutospacing="0" w:after="0" w:afterAutospacing="0" w:line="360" w:lineRule="auto"/>
              <w:jc w:val="both"/>
              <w:rPr>
                <w:rFonts w:ascii="宋体" w:hAnsi="宋体" w:eastAsia="宋体"/>
                <w:color w:val="auto"/>
                <w:sz w:val="24"/>
                <w:highlight w:val="none"/>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7278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C48A15C">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60" w:type="pct"/>
            <w:vAlign w:val="center"/>
          </w:tcPr>
          <w:p w14:paraId="06F31476">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67" w:type="pct"/>
            <w:vAlign w:val="center"/>
          </w:tcPr>
          <w:p w14:paraId="79E2FF71">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cs="宋体"/>
                <w:color w:val="auto"/>
                <w:spacing w:val="14"/>
                <w:sz w:val="24"/>
                <w:szCs w:val="24"/>
                <w:highlight w:val="none"/>
              </w:rPr>
              <w:t>成交供应商</w:t>
            </w:r>
          </w:p>
          <w:p w14:paraId="5845F2CB">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领取成交通知书时一次性支付给代理机构。</w:t>
            </w:r>
          </w:p>
          <w:p w14:paraId="39B49EE3">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b w:val="0"/>
                <w:color w:val="auto"/>
                <w:sz w:val="24"/>
                <w:highlight w:val="none"/>
                <w:u w:val="single"/>
                <w:lang w:val="en-US" w:eastAsia="zh-CN"/>
              </w:rPr>
              <w:t>1.01万</w:t>
            </w:r>
            <w:r>
              <w:rPr>
                <w:rFonts w:hint="eastAsia" w:ascii="宋体" w:hAnsi="宋体" w:eastAsia="宋体" w:cs="宋体"/>
                <w:b w:val="0"/>
                <w:color w:val="auto"/>
                <w:sz w:val="24"/>
                <w:szCs w:val="24"/>
                <w:highlight w:val="none"/>
                <w:u w:val="single"/>
              </w:rPr>
              <w:t>元，</w:t>
            </w:r>
            <w:r>
              <w:rPr>
                <w:rFonts w:hint="eastAsia" w:ascii="宋体" w:hAnsi="宋体" w:eastAsia="宋体" w:cs="宋体"/>
                <w:b w:val="0"/>
                <w:color w:val="auto"/>
                <w:sz w:val="24"/>
                <w:szCs w:val="24"/>
                <w:highlight w:val="none"/>
                <w:u w:val="single"/>
                <w:lang w:val="en-US" w:eastAsia="zh-CN"/>
              </w:rPr>
              <w:t>参考《关于进一步明确代理费计取标准的通知》（滁公管综〔2023〕19号）标准</w:t>
            </w:r>
            <w:r>
              <w:rPr>
                <w:rFonts w:hint="eastAsia" w:ascii="宋体" w:hAnsi="宋体" w:eastAsia="宋体" w:cs="宋体"/>
                <w:b w:val="0"/>
                <w:color w:val="auto"/>
                <w:sz w:val="24"/>
                <w:szCs w:val="24"/>
                <w:highlight w:val="none"/>
                <w:u w:val="single"/>
              </w:rPr>
              <w:t>。</w:t>
            </w:r>
          </w:p>
        </w:tc>
      </w:tr>
      <w:tr w14:paraId="5A39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2F3744C">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27.1</w:t>
            </w:r>
          </w:p>
        </w:tc>
        <w:tc>
          <w:tcPr>
            <w:tcW w:w="1160" w:type="pct"/>
            <w:vAlign w:val="center"/>
          </w:tcPr>
          <w:p w14:paraId="209DDD12">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67" w:type="pct"/>
            <w:vAlign w:val="center"/>
          </w:tcPr>
          <w:p w14:paraId="79D20107">
            <w:pPr>
              <w:pStyle w:val="43"/>
              <w:widowControl w:val="0"/>
              <w:spacing w:before="0" w:beforeAutospacing="0" w:after="0" w:afterAutospacing="0" w:line="360" w:lineRule="auto"/>
              <w:jc w:val="both"/>
              <w:rPr>
                <w:rFonts w:ascii="宋体" w:hAnsi="宋体" w:eastAsia="宋体"/>
                <w:bCs w:val="0"/>
                <w:color w:val="auto"/>
                <w:sz w:val="24"/>
                <w:highlight w:val="none"/>
              </w:rPr>
            </w:pPr>
            <w:r>
              <w:rPr>
                <w:rFonts w:hint="eastAsia" w:ascii="宋体" w:hAnsi="宋体" w:eastAsia="宋体"/>
                <w:bCs w:val="0"/>
                <w:color w:val="auto"/>
                <w:sz w:val="24"/>
                <w:highlight w:val="none"/>
              </w:rPr>
              <w:t>（1）采购人与成交供应商应当自发出成交通知书之日起7个工作日内签订合同，采购合同签订之日起2个工作日内完成政府采购合同公开。</w:t>
            </w:r>
          </w:p>
          <w:p w14:paraId="366534E1">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cs="宋体"/>
                <w:bCs w:val="0"/>
                <w:color w:val="auto"/>
                <w:sz w:val="24"/>
                <w:szCs w:val="24"/>
                <w:highlight w:val="none"/>
              </w:rPr>
              <w:t>（2）采购人与</w:t>
            </w:r>
            <w:r>
              <w:rPr>
                <w:rFonts w:hint="eastAsia" w:ascii="宋体" w:hAnsi="宋体" w:eastAsia="宋体"/>
                <w:bCs w:val="0"/>
                <w:color w:val="auto"/>
                <w:sz w:val="24"/>
                <w:highlight w:val="none"/>
              </w:rPr>
              <w:t>成交供应商</w:t>
            </w:r>
            <w:r>
              <w:rPr>
                <w:rFonts w:ascii="宋体" w:hAnsi="宋体" w:eastAsia="宋体" w:cs="宋体"/>
                <w:color w:val="auto"/>
                <w:sz w:val="24"/>
                <w:szCs w:val="24"/>
                <w:highlight w:val="none"/>
              </w:rPr>
              <w:t>不得擅自变更合同，依照政府采购法确需变更政府采购合同内容的，采购人应当自合同变更之日起2个工作日内在安徽省政府采购网</w:t>
            </w:r>
            <w:r>
              <w:rPr>
                <w:rFonts w:hint="eastAsia" w:ascii="宋体" w:hAnsi="宋体" w:eastAsia="宋体" w:cs="宋体"/>
                <w:color w:val="auto"/>
                <w:sz w:val="24"/>
                <w:szCs w:val="24"/>
                <w:highlight w:val="none"/>
              </w:rPr>
              <w:t>和滁州市公共资源交易中心网</w:t>
            </w:r>
            <w:r>
              <w:rPr>
                <w:rFonts w:ascii="宋体" w:hAnsi="宋体" w:eastAsia="宋体" w:cs="宋体"/>
                <w:color w:val="auto"/>
                <w:sz w:val="24"/>
                <w:szCs w:val="24"/>
                <w:highlight w:val="none"/>
              </w:rPr>
              <w:t>发布政府采购合同变更公告，但涉及国家秘密、商业秘密的信息和其他依法不得公开的信息除外。</w:t>
            </w:r>
          </w:p>
        </w:tc>
      </w:tr>
      <w:tr w14:paraId="54A8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E0911F3">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29.3</w:t>
            </w:r>
          </w:p>
        </w:tc>
        <w:tc>
          <w:tcPr>
            <w:tcW w:w="1160" w:type="pct"/>
            <w:vAlign w:val="center"/>
          </w:tcPr>
          <w:p w14:paraId="07FA5320">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67" w:type="pct"/>
            <w:vAlign w:val="center"/>
          </w:tcPr>
          <w:p w14:paraId="378DB940">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color w:val="auto"/>
                <w:sz w:val="24"/>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03D3ED40">
            <w:pPr>
              <w:pStyle w:val="43"/>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color w:val="auto"/>
                <w:sz w:val="24"/>
                <w:highlight w:val="none"/>
                <w:u w:val="single"/>
                <w:lang w:eastAsia="zh-CN"/>
              </w:rPr>
              <w:t xml:space="preserve"> 滁州市水利局</w:t>
            </w:r>
            <w:r>
              <w:rPr>
                <w:rFonts w:hint="eastAsia" w:ascii="宋体" w:hAnsi="宋体" w:eastAsia="宋体"/>
                <w:color w:val="auto"/>
                <w:sz w:val="24"/>
                <w:highlight w:val="none"/>
                <w:u w:val="single"/>
              </w:rPr>
              <w:t>、滁州市城投工程咨询管理有限公司；</w:t>
            </w:r>
          </w:p>
          <w:p w14:paraId="577EC2DF">
            <w:pPr>
              <w:pStyle w:val="43"/>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color w:val="auto"/>
                <w:sz w:val="24"/>
                <w:highlight w:val="none"/>
                <w:u w:val="single"/>
                <w:lang w:eastAsia="zh-CN"/>
              </w:rPr>
              <w:t>0550-3043257、0550-3519519；</w:t>
            </w:r>
          </w:p>
          <w:p w14:paraId="11B66923">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color w:val="auto"/>
                <w:sz w:val="24"/>
                <w:highlight w:val="none"/>
                <w:u w:val="single"/>
                <w:lang w:eastAsia="zh-CN"/>
              </w:rPr>
              <w:t>安徽省滁州市南谯区龙蟠大道75号</w:t>
            </w:r>
            <w:r>
              <w:rPr>
                <w:rFonts w:hint="eastAsia" w:ascii="宋体" w:hAnsi="宋体" w:eastAsia="宋体"/>
                <w:color w:val="auto"/>
                <w:sz w:val="24"/>
                <w:highlight w:val="none"/>
                <w:u w:val="single"/>
              </w:rPr>
              <w:t>、滁州市龙蟠大道109号房产商务大厦6楼。</w:t>
            </w:r>
          </w:p>
        </w:tc>
      </w:tr>
      <w:tr w14:paraId="3A41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9330393">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30</w:t>
            </w:r>
          </w:p>
        </w:tc>
        <w:tc>
          <w:tcPr>
            <w:tcW w:w="1160" w:type="pct"/>
            <w:vAlign w:val="center"/>
          </w:tcPr>
          <w:p w14:paraId="5D225ED3">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6274" w:type="dxa"/>
            <w:vAlign w:val="center"/>
          </w:tcPr>
          <w:p w14:paraId="092A0BE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1.解释权</w:t>
            </w:r>
          </w:p>
          <w:p w14:paraId="7CD8307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92B3B8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21482F75">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2068E328">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2F8E4B0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人负责解释。</w:t>
            </w:r>
          </w:p>
          <w:p w14:paraId="3ABCAD24">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2.“政采贷”融资指引：有融资需求的</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Theme="minorEastAsia" w:hAnsiTheme="minorEastAsia" w:eastAsiaTheme="minorEastAsia"/>
                <w:bCs/>
                <w:color w:val="auto"/>
                <w:sz w:val="24"/>
                <w:szCs w:val="24"/>
                <w:highlight w:val="none"/>
              </w:rPr>
              <w:t>融资申请信息推送第三方平台、意向金融机构。</w:t>
            </w:r>
          </w:p>
          <w:p w14:paraId="11C2D5C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3.电子保函指引：成交供应商可访问安徽省政府采购网“融资/保函”栏目，申请办理电子保函（包括：履约保函、预付款保函）。</w:t>
            </w:r>
          </w:p>
          <w:p w14:paraId="7FC483D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bCs/>
                <w:color w:val="auto"/>
                <w:sz w:val="24"/>
                <w:szCs w:val="24"/>
                <w:highlight w:val="none"/>
              </w:rPr>
              <w:t>4.</w:t>
            </w:r>
            <w:r>
              <w:rPr>
                <w:rFonts w:hint="eastAsia" w:asciiTheme="minorEastAsia" w:hAnsiTheme="minorEastAsia" w:eastAsiaTheme="minorEastAsia"/>
                <w:color w:val="auto"/>
                <w:sz w:val="24"/>
                <w:szCs w:val="24"/>
                <w:highlight w:val="none"/>
              </w:rPr>
              <w:t>部分可提供线下政采贷的金融机构：</w:t>
            </w:r>
          </w:p>
          <w:p w14:paraId="419791B0">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市本级</w:t>
            </w:r>
          </w:p>
          <w:p w14:paraId="195FB752">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金融机构名称：兴业银行滁州分行</w:t>
            </w:r>
          </w:p>
          <w:p w14:paraId="6DD90DF6">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安徽省滁州市琅琊区丰乐大道1090号</w:t>
            </w:r>
          </w:p>
          <w:p w14:paraId="04078B02">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伏庚：17755080811</w:t>
            </w:r>
          </w:p>
          <w:p w14:paraId="087BD36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5.特别提示：</w:t>
            </w:r>
          </w:p>
          <w:p w14:paraId="61516AB5">
            <w:pPr>
              <w:pStyle w:val="43"/>
              <w:widowControl w:val="0"/>
              <w:spacing w:before="0" w:beforeAutospacing="0" w:after="0" w:afterAutospacing="0" w:line="360" w:lineRule="auto"/>
              <w:jc w:val="both"/>
              <w:rPr>
                <w:rFonts w:asciiTheme="minorEastAsia" w:hAnsiTheme="minorEastAsia" w:eastAsiaTheme="minorEastAsia"/>
                <w:b w:val="0"/>
                <w:bCs w:val="0"/>
                <w:color w:val="auto"/>
                <w:kern w:val="2"/>
                <w:sz w:val="24"/>
                <w:szCs w:val="24"/>
                <w:highlight w:val="none"/>
              </w:rPr>
            </w:pPr>
            <w:r>
              <w:rPr>
                <w:rFonts w:hint="eastAsia" w:asciiTheme="minorEastAsia" w:hAnsiTheme="minorEastAsia" w:eastAsiaTheme="minorEastAsia"/>
                <w:b w:val="0"/>
                <w:bCs w:val="0"/>
                <w:color w:val="auto"/>
                <w:kern w:val="2"/>
                <w:sz w:val="24"/>
                <w:szCs w:val="24"/>
                <w:highlight w:val="none"/>
              </w:rPr>
              <w:t>（1）供应商应填写投标信息并下载采购文件，否则无法上传响应文件。</w:t>
            </w:r>
          </w:p>
          <w:p w14:paraId="78D8BF8F">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本项目采用电子招标投标，请供应商在滁州市公共资源交易中心网&gt;服务指南&gt;软件下载栏目点击下载响应文件制作工具。供应商需采用最新版响应文件制作工具。软件运行需在国际互联网络通畅状态，供应商需注意更新，以免造成响应文件制作错误，如因此导致磋商小组否决其磋商资格，责任自负。如有技术问题请联系0550-3801701，4009980000。</w:t>
            </w:r>
          </w:p>
          <w:p w14:paraId="3AD41831">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（3）如果过程中出现采购文件更改，应以最后发布的招标答疑澄清文件中的模板制作本项目最新响应文件。</w:t>
            </w:r>
          </w:p>
          <w:p w14:paraId="1D20A4C1">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（4）供应商应当用本单位CA数字证书制作响应文件，制作成功后进行响应文件上传。 </w:t>
            </w:r>
          </w:p>
          <w:p w14:paraId="177258C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供应商须用CA数字证书盖章和加密响应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0612D572">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（6）请供应商注意加密响应文件CA数字证书的有效期，不在有效期的CA数字证书无法解密响应文件。</w:t>
            </w:r>
          </w:p>
          <w:p w14:paraId="2A5F10BC">
            <w:pPr>
              <w:pStyle w:val="21"/>
              <w:spacing w:before="0" w:beforeAutospacing="0" w:after="0" w:afterAutospacing="0" w:line="440" w:lineRule="exact"/>
              <w:jc w:val="both"/>
              <w:rPr>
                <w:rFonts w:ascii="宋体" w:hAnsi="宋体" w:eastAsia="宋体" w:cs="@仿宋_GB2312"/>
                <w:bCs/>
                <w:color w:val="auto"/>
                <w:kern w:val="2"/>
                <w:szCs w:val="24"/>
                <w:highlight w:val="none"/>
              </w:rPr>
            </w:pPr>
            <w:r>
              <w:rPr>
                <w:rFonts w:hint="eastAsia" w:asciiTheme="minorEastAsia" w:hAnsiTheme="minorEastAsia" w:eastAsiaTheme="minorEastAsia"/>
                <w:color w:val="auto"/>
                <w:kern w:val="2"/>
                <w:szCs w:val="24"/>
                <w:highlight w:val="none"/>
              </w:rPr>
              <w:t>（7）</w:t>
            </w:r>
            <w:r>
              <w:rPr>
                <w:rFonts w:hint="eastAsia" w:ascii="宋体" w:hAnsi="宋体" w:eastAsia="宋体" w:cs="宋体"/>
                <w:bCs/>
                <w:color w:val="auto"/>
                <w:kern w:val="2"/>
                <w:szCs w:val="24"/>
                <w:highlight w:val="none"/>
                <w:lang w:bidi="ar"/>
              </w:rPr>
              <w:t>供应商投标MAC地址或供应商联系人或联系电话相同的，由磋商小组否决其响应，并报告监管部门作不良行为处理和进一步调查。</w:t>
            </w:r>
          </w:p>
          <w:p w14:paraId="6604DD2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（8）供应商单方面出现其他供应商材料的，由磋商小组否决其响应。</w:t>
            </w:r>
          </w:p>
          <w:p w14:paraId="3BF2DDC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评审时查询响应文件制作机器码、文件创建标识码及造价软件加密锁号。若存在响应文件制作机器码或创建标识码或造价软件加密锁号信息与其他供应商雷同的，由磋商小组否决其响应，依法依规予以处理。</w:t>
            </w:r>
          </w:p>
          <w:p w14:paraId="6B70B95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电子加密响应文件上传到系统后，需要供应商和采购代理公司到截止时间后共同解锁，不存在商务报价等投标信息通过系统泄密的风险；截止时间前，已上传的响应文件也可以撤回修改。集中到开标截止时间前上传电子加密响应文件，可能出现由于投标企业制作电子响应文件不熟练、网络拥堵等不可预知的情况而且无法及时解决，丧失投标机会，请各投标企业提前制作、上传电子加密响应文件，否则由于无法及时上传电子加密响应文件而无效响应的情况，责任自负！</w:t>
            </w:r>
          </w:p>
          <w:p w14:paraId="549E7487">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6.评审过程中的澄清、说明或补正：</w:t>
            </w:r>
          </w:p>
          <w:p w14:paraId="2C96392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（1）磋商小组通过网上招投标系统将需要澄清、说明或补正的内容以询标函的形式发送给供应商，供应商应安排专人登录网上招投标系统并保持在线状态，以便及时接收磋商小组可能发出的询标函。</w:t>
            </w:r>
          </w:p>
          <w:p w14:paraId="72B1E35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因供应商未登录网上招投标系统导致无法及时接收询标函（远程网上询标）或未在规定时间内按磋商小组要求进行澄清、说明或补正内容的视同供应商放弃澄清、说明或补正内容的权利，磋商小组可按对供应商不利的解释进行判定。</w:t>
            </w:r>
          </w:p>
          <w:p w14:paraId="06CDB11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7.同义词语：</w:t>
            </w:r>
          </w:p>
          <w:p w14:paraId="0D212F1F">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磋商文件第六章  响应文件格式、附件1“关于联合惩戒失信行为 加强信用查询管理的通知”等章节中 “</w:t>
            </w:r>
            <w:r>
              <w:rPr>
                <w:rFonts w:hint="eastAsia" w:asciiTheme="minorEastAsia" w:hAnsiTheme="minorEastAsia" w:eastAsiaTheme="minorEastAsia"/>
                <w:color w:val="auto"/>
                <w:sz w:val="24"/>
                <w:szCs w:val="24"/>
                <w:highlight w:val="none"/>
                <w:lang w:eastAsia="zh-CN"/>
              </w:rPr>
              <w:t>采购人</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”，等同于“采购人”、“供应商”。</w:t>
            </w:r>
          </w:p>
          <w:p w14:paraId="5E6DE56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8.落实政府采购支持节能产品、环境标志产品政策。</w:t>
            </w:r>
          </w:p>
          <w:p w14:paraId="3A127438">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color w:val="auto"/>
                <w:sz w:val="24"/>
                <w:szCs w:val="24"/>
                <w:highlight w:val="none"/>
              </w:rPr>
              <w:t>9.系统中提供的表格与采购文件中不一致时，以采购文件中提供的表格格式为准。</w:t>
            </w:r>
          </w:p>
        </w:tc>
      </w:tr>
    </w:tbl>
    <w:p w14:paraId="11E5B2D3">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8" w:name="_Toc14293"/>
      <w:bookmarkStart w:id="9" w:name="_Toc27470"/>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8"/>
      <w:bookmarkEnd w:id="9"/>
    </w:p>
    <w:p w14:paraId="662F0C1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390184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21A178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7E438C5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r>
        <w:rPr>
          <w:rFonts w:ascii="宋体" w:hAnsi="宋体" w:eastAsia="宋体"/>
          <w:color w:val="auto"/>
          <w:sz w:val="24"/>
          <w:highlight w:val="none"/>
        </w:rPr>
        <w:t>。</w:t>
      </w:r>
    </w:p>
    <w:p w14:paraId="6FB92AC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7F7DDF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3B2D498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rPr>
        <w:t>磋商</w:t>
      </w:r>
      <w:r>
        <w:rPr>
          <w:rFonts w:ascii="宋体" w:hAnsi="宋体" w:eastAsia="宋体"/>
          <w:color w:val="auto"/>
          <w:sz w:val="24"/>
          <w:highlight w:val="none"/>
        </w:rPr>
        <w:t>文件。</w:t>
      </w:r>
    </w:p>
    <w:p w14:paraId="6C4A0B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rPr>
        <w:t>供应商</w:t>
      </w:r>
      <w:r>
        <w:rPr>
          <w:rFonts w:ascii="宋体" w:hAnsi="宋体" w:eastAsia="宋体"/>
          <w:color w:val="auto"/>
          <w:sz w:val="24"/>
          <w:highlight w:val="none"/>
        </w:rPr>
        <w:t>应保证所投产品可履行合法报通关手续进入中国关境内。</w:t>
      </w:r>
    </w:p>
    <w:p w14:paraId="26F2051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若采购需求中未写明允许采购进口产品，如供应商所投产品为进口产品，其响应文件将被认定为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48FDE1E5">
      <w:pPr>
        <w:spacing w:line="360" w:lineRule="auto"/>
        <w:ind w:firstLine="435"/>
        <w:rPr>
          <w:rFonts w:ascii="宋体" w:hAnsi="宋体" w:eastAsia="宋体"/>
          <w:color w:val="auto"/>
          <w:sz w:val="24"/>
          <w:highlight w:val="none"/>
        </w:rPr>
      </w:pPr>
      <w:bookmarkStart w:id="10" w:name="_Hlk60607583"/>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若竞争性磋商公告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参加磋商</w:t>
      </w:r>
      <w:r>
        <w:rPr>
          <w:rFonts w:ascii="宋体" w:hAnsi="宋体" w:eastAsia="宋体"/>
          <w:bCs/>
          <w:color w:val="auto"/>
          <w:kern w:val="0"/>
          <w:sz w:val="24"/>
          <w:szCs w:val="28"/>
          <w:highlight w:val="none"/>
        </w:rPr>
        <w:t>，对联合体规定如下：</w:t>
      </w:r>
    </w:p>
    <w:bookmarkEnd w:id="10"/>
    <w:p w14:paraId="48A25D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。联合体参加磋商的，</w:t>
      </w:r>
      <w:r>
        <w:rPr>
          <w:rFonts w:hint="eastAsia" w:ascii="宋体" w:hAnsi="宋体" w:eastAsia="宋体"/>
          <w:color w:val="auto"/>
          <w:sz w:val="24"/>
          <w:highlight w:val="none"/>
        </w:rPr>
        <w:t>磋商文件获取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任一</w:t>
      </w:r>
      <w:r>
        <w:rPr>
          <w:rFonts w:hint="eastAsia" w:ascii="宋体" w:hAnsi="宋体" w:eastAsia="宋体"/>
          <w:color w:val="auto"/>
          <w:sz w:val="24"/>
          <w:highlight w:val="none"/>
        </w:rPr>
        <w:t>成员单位</w:t>
      </w:r>
      <w:r>
        <w:rPr>
          <w:rFonts w:ascii="宋体" w:hAnsi="宋体" w:eastAsia="宋体"/>
          <w:color w:val="auto"/>
          <w:sz w:val="24"/>
          <w:highlight w:val="none"/>
        </w:rPr>
        <w:t>办理均可。</w:t>
      </w:r>
    </w:p>
    <w:p w14:paraId="253108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45B1B5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61D021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B0CE7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6FE6EC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275C5A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036680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.8对联合体参加磋商的其他资格要求见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4163D12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6E2904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.1本项目的采购人已获得足以支付本次磋商后所签订的合同项下的资金。</w:t>
      </w:r>
    </w:p>
    <w:p w14:paraId="1B6964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776BDEAD">
      <w:pPr>
        <w:spacing w:line="360" w:lineRule="auto"/>
        <w:ind w:firstLine="480" w:firstLineChars="200"/>
        <w:outlineLvl w:val="2"/>
        <w:rPr>
          <w:rFonts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733C8DF1">
      <w:pPr>
        <w:spacing w:line="360" w:lineRule="auto"/>
        <w:ind w:firstLine="482" w:firstLineChars="200"/>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67D92C76">
      <w:pPr>
        <w:spacing w:line="360" w:lineRule="auto"/>
        <w:ind w:firstLine="480" w:firstLineChars="200"/>
        <w:outlineLvl w:val="2"/>
        <w:rPr>
          <w:rFonts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197F190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6E43DBB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5.1磋商文件包括下列内容：</w:t>
      </w:r>
    </w:p>
    <w:p w14:paraId="34BB6AC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734232E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1040FA3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4EB33B6A">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0F7BE23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3290A20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191CA03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7910F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7B868D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67BD8E9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2E3BB1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7BFBD8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2采购人可主动地或在答复供应商提出的询问时对磋商文件进行澄清与修改。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11" w:name="_Hlk16458572"/>
      <w:r>
        <w:rPr>
          <w:rFonts w:hint="eastAsia" w:ascii="宋体" w:hAnsi="宋体" w:eastAsia="宋体"/>
          <w:color w:val="auto"/>
          <w:sz w:val="24"/>
          <w:szCs w:val="18"/>
          <w:highlight w:val="none"/>
        </w:rPr>
        <w:t>安徽省政府采购网</w:t>
      </w:r>
      <w:bookmarkEnd w:id="11"/>
      <w:r>
        <w:rPr>
          <w:rFonts w:hint="eastAsia" w:ascii="宋体" w:hAnsi="宋体" w:eastAsia="宋体"/>
          <w:color w:val="auto"/>
          <w:sz w:val="24"/>
          <w:szCs w:val="18"/>
          <w:highlight w:val="none"/>
        </w:rPr>
        <w:t>和滁州市公共资源交易中心网</w:t>
      </w:r>
      <w:r>
        <w:rPr>
          <w:rFonts w:hint="eastAsia" w:asciiTheme="minorEastAsia" w:hAnsiTheme="minorEastAsia" w:eastAsiaTheme="minorEastAsia"/>
          <w:color w:val="auto"/>
          <w:sz w:val="24"/>
          <w:highlight w:val="none"/>
        </w:rPr>
        <w:t>以发布更正公告的方式澄清或者修改磋商文件，更正公告的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0229AB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2A1E8494">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w:t>
      </w:r>
    </w:p>
    <w:p w14:paraId="6AAA75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49EB55D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127146A6">
      <w:pPr>
        <w:spacing w:line="360" w:lineRule="auto"/>
        <w:ind w:firstLine="435"/>
        <w:rPr>
          <w:rFonts w:eastAsiaTheme="minorEastAsia"/>
          <w:color w:val="auto"/>
          <w:highlight w:val="none"/>
        </w:rPr>
      </w:pPr>
      <w:r>
        <w:rPr>
          <w:rFonts w:hint="eastAsia" w:asciiTheme="minorEastAsia" w:hAnsiTheme="minorEastAsia" w:eastAsiaTheme="minorEastAsia"/>
          <w:color w:val="auto"/>
          <w:sz w:val="24"/>
          <w:highlight w:val="none"/>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574962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无论磋商文件中是否要求，供应商所投货物及伴随的服务和工程均应符合国家强制性标准。</w:t>
      </w:r>
    </w:p>
    <w:p w14:paraId="776A0B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4B08C9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2ECA56A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1039AC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具体内容详见本项目响应文件格式的相关内容。</w:t>
      </w:r>
    </w:p>
    <w:p w14:paraId="439267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hint="eastAsia" w:ascii="宋体" w:hAnsi="宋体" w:eastAsia="宋体"/>
          <w:color w:val="auto"/>
          <w:sz w:val="24"/>
          <w:highlight w:val="none"/>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磋商文件要求的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rPr>
        <w:t>等。</w:t>
      </w:r>
    </w:p>
    <w:p w14:paraId="69D3AF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111EEA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11E15A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。除磋商文件另有规定外，所有内容均应以人民币报价，供应商的磋商报价应遵守《中华人民共和国价格法》。</w:t>
      </w:r>
    </w:p>
    <w:p w14:paraId="6D8A71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6ED48C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17DE24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138A493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3DA765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10.1本项目不收取磋商保证金。</w:t>
      </w:r>
    </w:p>
    <w:p w14:paraId="641E9DE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0549B8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7BDF21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BE9B1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0B9F64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690DD6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12.1供应商应当在第一章竞争性磋商公告规定的响应文件提交截止时间前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5FF655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6DEB93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规定的解密时间前对其响应文件进行解密。未在规定时间内进行解密的，</w:t>
      </w:r>
      <w:r>
        <w:rPr>
          <w:rFonts w:hint="eastAsia" w:asciiTheme="minorEastAsia" w:hAnsiTheme="minorEastAsia" w:eastAsiaTheme="minorEastAsia"/>
          <w:b/>
          <w:bCs/>
          <w:color w:val="auto"/>
          <w:sz w:val="24"/>
          <w:highlight w:val="none"/>
        </w:rPr>
        <w:t>响应无效。</w:t>
      </w:r>
    </w:p>
    <w:p w14:paraId="4FDA23FF">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12.4在响应文件提交截止时间之后，供应商不得对其响应文件做任何修改。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06B0F48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1057DC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单数组成，磋商小组及其成员应当依照政府采购的有关规定履行相关职责和义务。</w:t>
      </w:r>
    </w:p>
    <w:p w14:paraId="2807D5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643345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6943246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.响应文件的评审与磋商</w:t>
      </w:r>
    </w:p>
    <w:p w14:paraId="5D9784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1采购人和采购代理机构将在竞争性磋商公告规定的时间和地点组织磋商。</w:t>
      </w:r>
    </w:p>
    <w:p w14:paraId="170FAB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14.2竞争性磋商活动采用综合评分法评审。</w:t>
      </w:r>
    </w:p>
    <w:p w14:paraId="31906A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1EACBA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14.3磋商小组将按照磋商文件规定的评审方法和标准对供应商独立进行评审。评审程序如下：</w:t>
      </w:r>
    </w:p>
    <w:p w14:paraId="050DA6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36CA5A91">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65FABCB8">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以联合体形式参加磋商的，联合体成员存在以上不良信用记录的，联合体磋商将被认定为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09531E13">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68A9C2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7F826B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0565B7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732E75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14.4相关说明。</w:t>
      </w:r>
    </w:p>
    <w:p w14:paraId="52B47C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14.4.1为保证磋商活动顺利进行，供应商可派相关技术人员进行网上答疑； </w:t>
      </w:r>
    </w:p>
    <w:p w14:paraId="44D8D8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586DB0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456C34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0EF7B0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7F841C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F7E879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.终止竞争性磋商</w:t>
      </w:r>
    </w:p>
    <w:p w14:paraId="62BF62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15.1出现下列情况之一时，采购人和采购代理机构有权宣布终止竞争性磋商采购，并将理由通知所有供应商：</w:t>
      </w:r>
    </w:p>
    <w:p w14:paraId="41628C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2A565E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5B9D34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04D324A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7E0C0AF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39E899F1">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54D6F9A0">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rPr>
        <w:t>16.2磋商小组要求供应商澄清、说明或者更正响应文件应当以书面形式（询标）作出。供应商的澄清、说明或者更正应当由法定代表人或其授权代表签字或者加盖公章（电子签章）。</w:t>
      </w:r>
    </w:p>
    <w:p w14:paraId="78883C76">
      <w:pPr>
        <w:spacing w:line="360" w:lineRule="auto"/>
        <w:ind w:firstLine="435"/>
        <w:rPr>
          <w:rFonts w:ascii="宋体" w:hAnsi="宋体" w:eastAsia="宋体"/>
          <w:b/>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10AE2606">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本项目采用远程开标，具体操作方法详见服务指南&gt;交易须知&gt;开标大厅远程解密、质疑(异议)及回复以及评标过程中询标流程操作手册。</w:t>
      </w:r>
    </w:p>
    <w:p w14:paraId="314DB9B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.最后报价</w:t>
      </w:r>
    </w:p>
    <w:p w14:paraId="49BE915A">
      <w:pPr>
        <w:spacing w:line="520" w:lineRule="exact"/>
        <w:ind w:firstLine="435"/>
        <w:rPr>
          <w:rFonts w:ascii="宋体" w:hAnsi="宋体" w:eastAsia="宋体" w:cs="宋体"/>
          <w:color w:val="auto"/>
          <w:kern w:val="0"/>
          <w:sz w:val="24"/>
          <w:highlight w:val="none"/>
        </w:rPr>
      </w:pPr>
      <w:r>
        <w:rPr>
          <w:rFonts w:hint="eastAsia" w:asciiTheme="minorEastAsia" w:hAnsiTheme="minorEastAsia" w:eastAsiaTheme="minorEastAsia"/>
          <w:color w:val="auto"/>
          <w:sz w:val="24"/>
          <w:highlight w:val="none"/>
        </w:rPr>
        <w:t>17.1</w:t>
      </w:r>
      <w:r>
        <w:rPr>
          <w:rFonts w:asciiTheme="minorEastAsia" w:hAnsiTheme="minorEastAsia" w:eastAsiaTheme="minorEastAsia"/>
          <w:color w:val="auto"/>
          <w:sz w:val="24"/>
          <w:highlight w:val="none"/>
        </w:rPr>
        <w:t>磋商并不限定只进行二轮报价，如果磋商小组认为有必要，可以要求供应商进行多轮报价</w:t>
      </w:r>
      <w:r>
        <w:rPr>
          <w:rFonts w:hint="eastAsia" w:ascii="宋体" w:hAnsi="宋体" w:eastAsia="宋体" w:cs="宋体"/>
          <w:color w:val="auto"/>
          <w:kern w:val="0"/>
          <w:sz w:val="24"/>
          <w:highlight w:val="none"/>
        </w:rPr>
        <w:t>（本项目约定为两次报价）</w:t>
      </w:r>
      <w:r>
        <w:rPr>
          <w:rFonts w:asciiTheme="minorEastAsia" w:hAnsiTheme="minorEastAsia" w:eastAsiaTheme="minorEastAsia"/>
          <w:color w:val="auto"/>
          <w:sz w:val="24"/>
          <w:highlight w:val="none"/>
        </w:rPr>
        <w:t>。</w:t>
      </w:r>
    </w:p>
    <w:p w14:paraId="6A2A29D5">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b/>
          <w:color w:val="auto"/>
          <w:kern w:val="0"/>
          <w:sz w:val="24"/>
          <w:highlight w:val="none"/>
        </w:rPr>
        <w:t>本次磋商实行两次报价。第一次报价为供应商在响应文件中填报的报价，第二次报价在响应文件通过评审后，由磋商小组通过评标系统以询标方式，向响应文件评审有效的各供应商进行询标，各供应商应在评标系统询标规定的时间内，通过“评标澄清回复”进行二次报价。各供应商应及时查看系统质询问题并及时进行二次报价，第二次报价即为最后报价，若供应商未在系统询标规定的时间内进行二次报价（最后报价）或二次报价被磋商小组认为不符合要求的，磋商小组默认其响应文件中填报的价格为供应商的最后报价，磋商价格分以供应商的最后报价为准，即满足磋商文件要求且最后报价最低的供应商的价格为磋商基准价，其价格分为满分。二次报价（最后报价）不得高于最高限价，否则取消其磋商资格。望各供应商务必全程在线，及时进行回复，否则，因此给其造成相关后果，自行承担。</w:t>
      </w:r>
    </w:p>
    <w:p w14:paraId="5F39FF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04989F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17.3</w:t>
      </w:r>
      <w:r>
        <w:rPr>
          <w:rFonts w:asciiTheme="minorEastAsia" w:hAnsiTheme="minorEastAsia" w:eastAsiaTheme="minorEastAsia"/>
          <w:color w:val="auto"/>
          <w:sz w:val="24"/>
          <w:highlight w:val="none"/>
        </w:rPr>
        <w:t>最后报价是供应商响应文件的有效组成部分，最后报价也是签订合同的依据。</w:t>
      </w:r>
    </w:p>
    <w:p w14:paraId="60EC5E56">
      <w:pPr>
        <w:spacing w:line="360" w:lineRule="auto"/>
        <w:ind w:firstLine="435"/>
        <w:rPr>
          <w:rFonts w:asciiTheme="majorEastAsia" w:hAnsiTheme="majorEastAsia" w:eastAsiaTheme="majorEastAsia"/>
          <w:color w:val="auto"/>
          <w:sz w:val="24"/>
          <w:highlight w:val="none"/>
        </w:rPr>
      </w:pPr>
      <w:bookmarkStart w:id="12" w:name="_Hlk60607655"/>
      <w:bookmarkStart w:id="13" w:name="_Hlk60607673"/>
      <w:r>
        <w:rPr>
          <w:rFonts w:hint="eastAsia" w:asciiTheme="majorEastAsia" w:hAnsiTheme="majorEastAsia" w:eastAsiaTheme="majorEastAsia"/>
          <w:color w:val="auto"/>
          <w:sz w:val="24"/>
          <w:highlight w:val="none"/>
        </w:rPr>
        <w:t>17.</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13F5AA3E">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435D69FD">
      <w:pPr>
        <w:spacing w:line="360" w:lineRule="auto"/>
        <w:ind w:firstLine="435"/>
        <w:rPr>
          <w:rFonts w:asciiTheme="minorEastAsia" w:hAnsiTheme="minorEastAsia" w:eastAsiaTheme="min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12"/>
    </w:p>
    <w:bookmarkEnd w:id="13"/>
    <w:p w14:paraId="0F4AB5C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4C49D9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5977AD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71180C14">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19.1磋商小组根据综合评分的结果和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p>
    <w:p w14:paraId="5CC00EF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.编写评审报告</w:t>
      </w:r>
    </w:p>
    <w:p w14:paraId="08278E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43CB3E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67D50D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21.1评审将在严格保密的情况下进行。</w:t>
      </w:r>
    </w:p>
    <w:p w14:paraId="661387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595F28E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.成交结果公告</w:t>
      </w:r>
    </w:p>
    <w:p w14:paraId="0D9F42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w:t>
      </w:r>
      <w:r>
        <w:rPr>
          <w:rFonts w:asciiTheme="minorEastAsia" w:hAnsiTheme="minorEastAsia" w:eastAsiaTheme="minorEastAsia"/>
          <w:color w:val="auto"/>
          <w:sz w:val="24"/>
          <w:highlight w:val="none"/>
        </w:rPr>
        <w:t>.1为体现“公开、公平、公正”的原则，磋商结束后，</w:t>
      </w:r>
      <w:r>
        <w:rPr>
          <w:rFonts w:hint="eastAsia" w:ascii="宋体" w:hAnsi="宋体" w:eastAsia="宋体"/>
          <w:color w:val="auto"/>
          <w:sz w:val="24"/>
          <w:szCs w:val="18"/>
          <w:highlight w:val="none"/>
        </w:rPr>
        <w:t>采购代理机构将在安徽省政府采购网（www.ccgp-anhui.gov.cn）和滁州市公共资源交易中心网</w:t>
      </w:r>
      <w:r>
        <w:rPr>
          <w:rFonts w:asciiTheme="minorEastAsia" w:hAnsiTheme="minorEastAsia" w:eastAsiaTheme="minorEastAsia"/>
          <w:color w:val="auto"/>
          <w:sz w:val="24"/>
          <w:highlight w:val="none"/>
        </w:rPr>
        <w:t>上发布成交结果公告。</w:t>
      </w:r>
    </w:p>
    <w:p w14:paraId="27AD91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w:t>
      </w:r>
      <w:r>
        <w:rPr>
          <w:rFonts w:hint="eastAsia" w:asciiTheme="minorEastAsia" w:hAnsiTheme="minorEastAsia" w:eastAsiaTheme="minorEastAsia"/>
          <w:color w:val="auto"/>
          <w:sz w:val="24"/>
          <w:highlight w:val="none"/>
        </w:rPr>
        <w:t>服务范围、服务要求、服务时间、服务标准</w:t>
      </w:r>
      <w:r>
        <w:rPr>
          <w:rFonts w:asciiTheme="minorEastAsia" w:hAnsiTheme="minorEastAsia" w:eastAsiaTheme="minorEastAsia"/>
          <w:color w:val="auto"/>
          <w:sz w:val="24"/>
          <w:highlight w:val="none"/>
        </w:rPr>
        <w:t>，成交结果公告期限、评审专家名单以及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7AE318F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4B02660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r>
        <w:rPr>
          <w:rFonts w:hint="eastAsia" w:ascii="宋体" w:hAnsi="宋体" w:eastAsia="宋体"/>
          <w:color w:val="auto"/>
          <w:sz w:val="24"/>
          <w:highlight w:val="none"/>
        </w:rPr>
        <w:t>。成交通知书须加盖采购人、采购代理机构公章并经公共资源交易中心加盖见证章后，方可发出</w:t>
      </w:r>
      <w:r>
        <w:rPr>
          <w:rFonts w:ascii="宋体" w:hAnsi="宋体" w:eastAsia="宋体"/>
          <w:color w:val="auto"/>
          <w:sz w:val="24"/>
          <w:highlight w:val="none"/>
        </w:rPr>
        <w:t>。</w:t>
      </w:r>
    </w:p>
    <w:p w14:paraId="61B908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23A785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.3成交通知书是合同的组成部分。</w:t>
      </w:r>
    </w:p>
    <w:p w14:paraId="2E64EB3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5D2E5D8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48F9F29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2F90556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25</w:t>
      </w:r>
      <w:r>
        <w:rPr>
          <w:rFonts w:ascii="宋体" w:hAnsi="宋体" w:eastAsia="宋体"/>
          <w:b/>
          <w:color w:val="auto"/>
          <w:sz w:val="24"/>
          <w:highlight w:val="none"/>
        </w:rPr>
        <w:t>.履约保证金</w:t>
      </w:r>
    </w:p>
    <w:p w14:paraId="47C778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4F657C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3898D64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26</w:t>
      </w:r>
      <w:r>
        <w:rPr>
          <w:rFonts w:ascii="宋体" w:hAnsi="宋体" w:eastAsia="宋体"/>
          <w:b/>
          <w:color w:val="auto"/>
          <w:sz w:val="24"/>
          <w:highlight w:val="none"/>
        </w:rPr>
        <w:t>.</w:t>
      </w:r>
      <w:r>
        <w:rPr>
          <w:rFonts w:hint="eastAsia" w:ascii="宋体" w:hAnsi="宋体" w:eastAsia="宋体"/>
          <w:b/>
          <w:color w:val="auto"/>
          <w:sz w:val="24"/>
          <w:highlight w:val="none"/>
        </w:rPr>
        <w:t>代理费用</w:t>
      </w:r>
    </w:p>
    <w:p w14:paraId="0338F2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26</w:t>
      </w:r>
      <w:r>
        <w:rPr>
          <w:rFonts w:ascii="宋体" w:hAnsi="宋体" w:eastAsia="宋体"/>
          <w:color w:val="auto"/>
          <w:sz w:val="24"/>
          <w:highlight w:val="none"/>
        </w:rPr>
        <w:t>.1本项目</w:t>
      </w:r>
      <w:r>
        <w:rPr>
          <w:rFonts w:hint="eastAsia" w:ascii="宋体" w:hAnsi="宋体" w:eastAsia="宋体"/>
          <w:color w:val="auto"/>
          <w:sz w:val="24"/>
          <w:highlight w:val="none"/>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71E1EAE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252C61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5DE9618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.2磋商文件、成交供应商的响应文件及其澄清文件等，均为签订合同的依据。</w:t>
      </w:r>
    </w:p>
    <w:p w14:paraId="0595E40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3B2E0DE8">
      <w:pPr>
        <w:spacing w:line="360" w:lineRule="auto"/>
        <w:ind w:firstLine="470" w:firstLineChars="196"/>
        <w:rPr>
          <w:rFonts w:ascii="宋体" w:hAnsi="宋体" w:eastAsia="宋体"/>
          <w:color w:val="auto"/>
          <w:sz w:val="24"/>
          <w:highlight w:val="none"/>
        </w:rPr>
      </w:pPr>
      <w:bookmarkStart w:id="14" w:name="_Hlk60264926"/>
      <w:r>
        <w:rPr>
          <w:rFonts w:hint="eastAsia" w:ascii="宋体" w:hAnsi="宋体" w:eastAsia="宋体"/>
          <w:color w:val="auto"/>
          <w:sz w:val="24"/>
          <w:highlight w:val="none"/>
        </w:rPr>
        <w:t>27.</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14"/>
    </w:p>
    <w:p w14:paraId="2B06F9E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2A2EF9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.1采购代理机构工作人员不得以不正当手段获取政府采购代理业务，不得与采购人、供应商恶意串通。</w:t>
      </w:r>
    </w:p>
    <w:p w14:paraId="45EFB7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271AC73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7AC3ADD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29.1供应商认为磋商文件、采购过程和成交结果使自己的权益受到损害的，可以在知道或者应知其权益受到损害之日起七个工作日内，以书面形式向采购人或其委托的采购代理机构提出质疑。</w:t>
      </w:r>
    </w:p>
    <w:p w14:paraId="1A4129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29.2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6504A8BB">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29.3采购代理机构质疑函接收部门、联系电话和通讯地址，见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2024C6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29.4采购人或采购代理机构在收到供应商的质疑函后，将审查质疑函的格式、内容以及所附的证明文件是否符合要求。如不符合，说明原因退回供应商；如符合要求，则接受该质疑函。供应商对评审过程、成交结果提出质疑的，采购人、采购代理机构可以组织原磋商小组协助答复质疑。处理质疑的时间，从实际接受供应商质疑函的时间开始计算。</w:t>
      </w:r>
    </w:p>
    <w:p w14:paraId="66B9857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53ED642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30</w:t>
      </w:r>
      <w:r>
        <w:rPr>
          <w:rFonts w:ascii="宋体" w:hAnsi="宋体" w:eastAsia="宋体"/>
          <w:b/>
          <w:color w:val="auto"/>
          <w:sz w:val="24"/>
          <w:highlight w:val="none"/>
        </w:rPr>
        <w:t>.</w:t>
      </w:r>
      <w:r>
        <w:rPr>
          <w:rFonts w:hint="eastAsia" w:ascii="宋体" w:hAnsi="宋体" w:eastAsia="宋体"/>
          <w:b/>
          <w:color w:val="auto"/>
          <w:sz w:val="24"/>
          <w:highlight w:val="none"/>
        </w:rPr>
        <w:t>投诉</w:t>
      </w:r>
    </w:p>
    <w:p w14:paraId="7A49C047">
      <w:pPr>
        <w:wordWrap w:val="0"/>
        <w:spacing w:line="360" w:lineRule="auto"/>
        <w:ind w:firstLine="437"/>
        <w:rPr>
          <w:rFonts w:ascii="宋体" w:hAnsi="宋体" w:eastAsia="宋体"/>
          <w:color w:val="auto"/>
          <w:sz w:val="24"/>
          <w:highlight w:val="none"/>
        </w:rPr>
      </w:pPr>
      <w:r>
        <w:rPr>
          <w:rFonts w:hint="eastAsia" w:ascii="宋体" w:hAnsi="宋体" w:eastAsia="宋体"/>
          <w:color w:val="auto"/>
          <w:sz w:val="24"/>
          <w:highlight w:val="none"/>
        </w:rPr>
        <w:t>30.1质疑供应商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6ABB69F9">
      <w:pPr>
        <w:wordWrap w:val="0"/>
        <w:spacing w:line="360" w:lineRule="auto"/>
        <w:ind w:firstLine="437"/>
        <w:rPr>
          <w:rFonts w:ascii="宋体" w:hAnsi="宋体" w:eastAsia="宋体"/>
          <w:color w:val="auto"/>
          <w:sz w:val="24"/>
          <w:highlight w:val="none"/>
        </w:rPr>
      </w:pPr>
      <w:r>
        <w:rPr>
          <w:rFonts w:hint="eastAsia" w:ascii="宋体" w:hAnsi="宋体" w:eastAsia="宋体"/>
          <w:color w:val="auto"/>
          <w:sz w:val="24"/>
          <w:highlight w:val="none"/>
        </w:rPr>
        <w:t>30.2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5AFC401A">
      <w:pPr>
        <w:wordWrap w:val="0"/>
        <w:spacing w:line="360" w:lineRule="auto"/>
        <w:ind w:firstLine="437"/>
        <w:rPr>
          <w:rFonts w:ascii="宋体" w:hAnsi="宋体" w:eastAsia="宋体"/>
          <w:color w:val="auto"/>
          <w:sz w:val="24"/>
          <w:highlight w:val="none"/>
        </w:rPr>
      </w:pPr>
      <w:r>
        <w:rPr>
          <w:rFonts w:hint="eastAsia" w:ascii="宋体" w:hAnsi="宋体" w:eastAsia="宋体"/>
          <w:color w:val="auto"/>
          <w:sz w:val="24"/>
          <w:highlight w:val="none"/>
        </w:rPr>
        <w:t>30.3政府采购监督管理部门在处理投诉事项期间，可以视具体情况书面通知采购人暂停采购活动，但暂停时间最长不得超过30日。</w:t>
      </w:r>
    </w:p>
    <w:p w14:paraId="00DD091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31.</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073EB622">
      <w:pPr>
        <w:spacing w:line="360" w:lineRule="auto"/>
        <w:ind w:firstLine="437"/>
        <w:outlineLvl w:val="2"/>
        <w:rPr>
          <w:rFonts w:asciiTheme="minorEastAsia" w:hAnsiTheme="minorEastAsia" w:eastAsiaTheme="minorEastAsia"/>
          <w:b/>
          <w:color w:val="auto"/>
          <w:sz w:val="28"/>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r>
        <w:rPr>
          <w:rFonts w:asciiTheme="minorEastAsia" w:hAnsiTheme="minorEastAsia" w:eastAsiaTheme="minorEastAsia"/>
          <w:color w:val="auto"/>
          <w:sz w:val="24"/>
          <w:highlight w:val="none"/>
        </w:rPr>
        <w:br w:type="page"/>
      </w:r>
    </w:p>
    <w:p w14:paraId="774BCF1E">
      <w:pPr>
        <w:spacing w:line="360" w:lineRule="auto"/>
        <w:jc w:val="center"/>
        <w:outlineLvl w:val="0"/>
        <w:rPr>
          <w:rFonts w:asciiTheme="minorEastAsia" w:hAnsiTheme="minorEastAsia" w:eastAsiaTheme="minorEastAsia"/>
          <w:b/>
          <w:color w:val="auto"/>
          <w:sz w:val="28"/>
          <w:highlight w:val="none"/>
        </w:rPr>
      </w:pPr>
      <w:bookmarkStart w:id="15" w:name="_Toc28125"/>
      <w:bookmarkStart w:id="16" w:name="_Toc19440"/>
      <w:r>
        <w:rPr>
          <w:rFonts w:hint="eastAsia" w:asciiTheme="minorEastAsia" w:hAnsiTheme="minorEastAsia" w:eastAsiaTheme="minorEastAsia"/>
          <w:b/>
          <w:color w:val="auto"/>
          <w:sz w:val="28"/>
          <w:highlight w:val="none"/>
        </w:rPr>
        <w:t>第三章  采购需求</w:t>
      </w:r>
      <w:bookmarkEnd w:id="15"/>
      <w:bookmarkEnd w:id="16"/>
    </w:p>
    <w:p w14:paraId="0859C694">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12826B8B">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1.本采购需求中提出的服务方案仅为参考，如无明确限制，供应商可以进行优化，提供满足采购人实际需要的更优（或者性能实质上不低于的）服务方案，且此方案须经磋商小组评审认可。</w:t>
      </w:r>
    </w:p>
    <w:p w14:paraId="79F85370">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2.下列采购需求中</w:t>
      </w:r>
      <w:r>
        <w:rPr>
          <w:rFonts w:ascii="宋体" w:hAnsi="宋体" w:eastAsia="宋体" w:cs="宋体"/>
          <w:color w:val="auto"/>
          <w:sz w:val="24"/>
          <w:szCs w:val="24"/>
          <w:highlight w:val="none"/>
        </w:rPr>
        <w:t>（包括但不限于下列具体政策要求</w:t>
      </w:r>
      <w:r>
        <w:rPr>
          <w:rFonts w:hint="eastAsia" w:ascii="宋体" w:hAnsi="宋体" w:eastAsia="宋体" w:cs="宋体"/>
          <w:color w:val="auto"/>
          <w:sz w:val="24"/>
          <w:szCs w:val="24"/>
          <w:highlight w:val="none"/>
        </w:rPr>
        <w:t>）</w:t>
      </w:r>
      <w:r>
        <w:rPr>
          <w:rFonts w:hint="eastAsia" w:ascii="宋体" w:hAnsi="宋体" w:eastAsia="宋体"/>
          <w:color w:val="auto"/>
          <w:sz w:val="24"/>
          <w:szCs w:val="18"/>
          <w:highlight w:val="none"/>
        </w:rPr>
        <w:t>：</w:t>
      </w:r>
    </w:p>
    <w:p w14:paraId="10F8364A">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供应商在响应文件中提供所投产品须具有市场监管总局公布的《参与实施政府采购节能产品认证机构目录》中的认证机构出具的、处于有效期内的节能产品认证证书。</w:t>
      </w:r>
    </w:p>
    <w:p w14:paraId="1CE1CCE8">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FE4B1D5">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szCs w:val="18"/>
          <w:highlight w:val="none"/>
        </w:rPr>
        <w:t>3.如采购人允许采用分包方式履行合同的，应当明确可以分包履行的相关内容：</w:t>
      </w:r>
      <w:r>
        <w:rPr>
          <w:rFonts w:hint="eastAsia" w:ascii="宋体" w:hAnsi="宋体" w:eastAsia="宋体"/>
          <w:color w:val="auto"/>
          <w:sz w:val="24"/>
          <w:szCs w:val="18"/>
          <w:highlight w:val="none"/>
          <w:u w:val="single"/>
        </w:rPr>
        <w:t>本项目不允许分包</w:t>
      </w:r>
      <w:r>
        <w:rPr>
          <w:rFonts w:hint="eastAsia" w:ascii="宋体" w:hAnsi="宋体" w:eastAsia="宋体"/>
          <w:color w:val="auto"/>
          <w:sz w:val="24"/>
          <w:szCs w:val="18"/>
          <w:highlight w:val="none"/>
        </w:rPr>
        <w:t>。</w:t>
      </w:r>
    </w:p>
    <w:p w14:paraId="3136DE72">
      <w:pPr>
        <w:spacing w:line="360" w:lineRule="auto"/>
        <w:ind w:firstLine="437"/>
        <w:outlineLvl w:val="1"/>
        <w:rPr>
          <w:rFonts w:ascii="宋体" w:hAnsi="宋体" w:eastAsia="宋体"/>
          <w:b/>
          <w:color w:val="auto"/>
          <w:sz w:val="24"/>
          <w:szCs w:val="18"/>
          <w:highlight w:val="none"/>
        </w:rPr>
      </w:pPr>
      <w:bookmarkStart w:id="17" w:name="_Toc26349"/>
      <w:bookmarkStart w:id="18" w:name="_Toc7699"/>
      <w:r>
        <w:rPr>
          <w:rFonts w:hint="eastAsia" w:ascii="宋体" w:hAnsi="宋体" w:eastAsia="宋体"/>
          <w:b/>
          <w:color w:val="auto"/>
          <w:sz w:val="24"/>
          <w:szCs w:val="18"/>
          <w:highlight w:val="none"/>
        </w:rPr>
        <w:t>一、采购需求前附表</w:t>
      </w:r>
      <w:bookmarkEnd w:id="17"/>
      <w:bookmarkEnd w:id="18"/>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3F90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E5CE6F1">
            <w:pPr>
              <w:pStyle w:val="44"/>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19" w:name="_Hlk16461016"/>
            <w:r>
              <w:rPr>
                <w:rFonts w:hint="eastAsia" w:ascii="宋体" w:hAnsi="宋体" w:eastAsia="宋体"/>
                <w:b/>
                <w:color w:val="auto"/>
                <w:kern w:val="2"/>
                <w:highlight w:val="none"/>
              </w:rPr>
              <w:t>序号</w:t>
            </w:r>
          </w:p>
        </w:tc>
        <w:tc>
          <w:tcPr>
            <w:tcW w:w="1192" w:type="pct"/>
            <w:vAlign w:val="center"/>
          </w:tcPr>
          <w:p w14:paraId="0E71ACBD">
            <w:pPr>
              <w:pStyle w:val="4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2522F256">
            <w:pPr>
              <w:pStyle w:val="4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805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94891D1">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F7C5076">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420127B9">
            <w:pPr>
              <w:pStyle w:val="43"/>
              <w:widowControl w:val="0"/>
              <w:spacing w:before="0" w:beforeAutospacing="0" w:after="0" w:afterAutospacing="0" w:line="360" w:lineRule="auto"/>
              <w:jc w:val="both"/>
              <w:rPr>
                <w:rFonts w:hint="eastAsia" w:ascii="宋体" w:hAnsi="宋体" w:eastAsia="宋体"/>
                <w:b w:val="0"/>
                <w:color w:val="auto"/>
                <w:sz w:val="24"/>
                <w:highlight w:val="none"/>
                <w:u w:val="single"/>
                <w:lang w:eastAsia="zh-CN"/>
              </w:rPr>
            </w:pPr>
            <w:r>
              <w:rPr>
                <w:rFonts w:hint="eastAsia" w:ascii="宋体" w:hAnsi="宋体" w:eastAsia="宋体"/>
                <w:b w:val="0"/>
                <w:color w:val="auto"/>
                <w:sz w:val="24"/>
                <w:highlight w:val="none"/>
                <w:u w:val="none"/>
                <w:lang w:eastAsia="zh-CN"/>
              </w:rPr>
              <w:t>合同签订生效并具备实施条件后支付合同金额（扣除泵站设备、输水管道、渠道运行应急抢修费及税金）的</w:t>
            </w:r>
            <w:r>
              <w:rPr>
                <w:rFonts w:hint="eastAsia" w:ascii="宋体" w:hAnsi="宋体" w:eastAsia="宋体"/>
                <w:b w:val="0"/>
                <w:color w:val="auto"/>
                <w:sz w:val="24"/>
                <w:highlight w:val="none"/>
                <w:u w:val="none"/>
                <w:lang w:val="en-US" w:eastAsia="zh-CN"/>
              </w:rPr>
              <w:t>6</w:t>
            </w:r>
            <w:r>
              <w:rPr>
                <w:rFonts w:hint="eastAsia" w:ascii="宋体" w:hAnsi="宋体" w:eastAsia="宋体"/>
                <w:b w:val="0"/>
                <w:color w:val="auto"/>
                <w:sz w:val="24"/>
                <w:highlight w:val="none"/>
                <w:u w:val="none"/>
                <w:lang w:eastAsia="zh-CN"/>
              </w:rPr>
              <w:t>0%预付款（预付款支付前，成交供应商须提供等额的见索即付预付款保函。</w:t>
            </w:r>
            <w:r>
              <w:rPr>
                <w:rFonts w:hint="eastAsia" w:ascii="宋体" w:hAnsi="宋体" w:eastAsia="宋体"/>
                <w:b w:val="0"/>
                <w:color w:val="auto"/>
                <w:sz w:val="24"/>
                <w:highlight w:val="none"/>
                <w:u w:val="none"/>
                <w:lang w:val="en-US" w:eastAsia="zh-CN"/>
              </w:rPr>
              <w:t>预付款如超过50万元，按50万元支付</w:t>
            </w:r>
            <w:r>
              <w:rPr>
                <w:rFonts w:hint="eastAsia" w:ascii="宋体" w:hAnsi="宋体" w:eastAsia="宋体"/>
                <w:b w:val="0"/>
                <w:color w:val="auto"/>
                <w:sz w:val="24"/>
                <w:highlight w:val="none"/>
                <w:u w:val="none"/>
                <w:lang w:eastAsia="zh-CN"/>
              </w:rPr>
              <w:t>），服务期满后且经采购人验收合格后一次性付清剩余价款。</w:t>
            </w:r>
          </w:p>
        </w:tc>
      </w:tr>
      <w:tr w14:paraId="034F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CA7F007">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12604845">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07685D79">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 xml:space="preserve">滁州市内，采购人指定地点 </w:t>
            </w:r>
          </w:p>
        </w:tc>
      </w:tr>
      <w:tr w14:paraId="6E8D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B314161">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D32387E">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45F09DBD">
            <w:pPr>
              <w:autoSpaceDE w:val="0"/>
              <w:autoSpaceDN w:val="0"/>
              <w:adjustRightInd w:val="0"/>
              <w:spacing w:line="480" w:lineRule="exact"/>
              <w:jc w:val="left"/>
              <w:rPr>
                <w:rFonts w:hint="eastAsia" w:ascii="宋体" w:hAnsi="宋体" w:eastAsia="宋体"/>
                <w:b w:val="0"/>
                <w:color w:val="auto"/>
                <w:sz w:val="24"/>
                <w:highlight w:val="none"/>
                <w:lang w:eastAsia="zh-CN"/>
              </w:rPr>
            </w:pPr>
            <w:r>
              <w:rPr>
                <w:rFonts w:hint="default" w:ascii="宋体" w:hAnsi="宋体" w:eastAsia="宋体"/>
                <w:b w:val="0"/>
                <w:color w:val="auto"/>
                <w:sz w:val="24"/>
                <w:highlight w:val="none"/>
                <w:lang w:val="en-US" w:eastAsia="zh-CN"/>
              </w:rPr>
              <w:t>暂定</w:t>
            </w:r>
            <w:r>
              <w:rPr>
                <w:rFonts w:hint="eastAsia" w:ascii="宋体" w:hAnsi="宋体" w:eastAsia="宋体"/>
                <w:b w:val="0"/>
                <w:color w:val="auto"/>
                <w:sz w:val="24"/>
                <w:highlight w:val="none"/>
                <w:lang w:val="en-US" w:eastAsia="zh-CN"/>
              </w:rPr>
              <w:t>为</w:t>
            </w:r>
            <w:r>
              <w:rPr>
                <w:rFonts w:hint="default" w:ascii="宋体" w:hAnsi="宋体" w:eastAsia="宋体"/>
                <w:b w:val="0"/>
                <w:color w:val="auto"/>
                <w:sz w:val="24"/>
                <w:highlight w:val="none"/>
                <w:lang w:val="en-US" w:eastAsia="zh-CN"/>
              </w:rPr>
              <w:t>7个月，根据入汛前后降雨蓄水情况，视情延期或提前终止。</w:t>
            </w:r>
          </w:p>
        </w:tc>
      </w:tr>
      <w:tr w14:paraId="4A9C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590" w:type="pct"/>
            <w:vAlign w:val="center"/>
          </w:tcPr>
          <w:p w14:paraId="7717F621">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2122D26F">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vAlign w:val="center"/>
          </w:tcPr>
          <w:p w14:paraId="2001A175">
            <w:pPr>
              <w:spacing w:line="360" w:lineRule="auto"/>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标的名称</w:t>
            </w:r>
            <w:r>
              <w:rPr>
                <w:rFonts w:hint="eastAsia" w:asciiTheme="minorEastAsia" w:hAnsiTheme="minorEastAsia" w:eastAsiaTheme="minorEastAsia"/>
                <w:color w:val="auto"/>
                <w:sz w:val="24"/>
                <w:highlight w:val="none"/>
                <w:lang w:eastAsia="zh-CN"/>
              </w:rPr>
              <w:t>：滁城应急供水工程运行维护项目</w:t>
            </w:r>
          </w:p>
          <w:p w14:paraId="4931434E">
            <w:pPr>
              <w:spacing w:line="360" w:lineRule="auto"/>
              <w:jc w:val="left"/>
              <w:rPr>
                <w:rFonts w:hint="default" w:ascii="宋体" w:hAnsi="宋体"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lang w:eastAsia="zh-CN"/>
              </w:rPr>
              <w:t>所属行业：</w:t>
            </w:r>
            <w:r>
              <w:rPr>
                <w:rFonts w:hint="eastAsia" w:asciiTheme="minorEastAsia" w:hAnsiTheme="minorEastAsia" w:eastAsiaTheme="minorEastAsia"/>
                <w:color w:val="auto"/>
                <w:sz w:val="24"/>
                <w:highlight w:val="none"/>
                <w:lang w:val="en-US" w:eastAsia="zh-CN"/>
              </w:rPr>
              <w:t>其他未列明行业。</w:t>
            </w:r>
          </w:p>
        </w:tc>
      </w:tr>
    </w:tbl>
    <w:p w14:paraId="4FCAE879">
      <w:pPr>
        <w:spacing w:line="360" w:lineRule="auto"/>
        <w:ind w:firstLine="437"/>
        <w:outlineLvl w:val="1"/>
        <w:rPr>
          <w:rFonts w:hint="eastAsia" w:ascii="宋体" w:hAnsi="宋体" w:eastAsia="宋体"/>
          <w:b/>
          <w:color w:val="auto"/>
          <w:sz w:val="24"/>
          <w:szCs w:val="18"/>
          <w:highlight w:val="none"/>
        </w:rPr>
      </w:pPr>
      <w:bookmarkStart w:id="20" w:name="_Toc12910"/>
      <w:bookmarkStart w:id="21" w:name="_Toc18052"/>
    </w:p>
    <w:p w14:paraId="59292F9C">
      <w:pPr>
        <w:spacing w:line="360" w:lineRule="auto"/>
        <w:ind w:firstLine="437"/>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二、服务内容及要求</w:t>
      </w:r>
    </w:p>
    <w:p w14:paraId="2146A8B5">
      <w:pPr>
        <w:spacing w:line="360" w:lineRule="auto"/>
        <w:ind w:firstLine="480" w:firstLineChars="200"/>
        <w:outlineLvl w:val="2"/>
        <w:rPr>
          <w:rFonts w:hint="eastAsia"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（一）、招标采购需求</w:t>
      </w:r>
    </w:p>
    <w:p w14:paraId="02D03DDF">
      <w:pPr>
        <w:spacing w:line="360" w:lineRule="auto"/>
        <w:ind w:firstLine="480" w:firstLineChars="200"/>
        <w:outlineLvl w:val="2"/>
        <w:rPr>
          <w:rFonts w:hint="default" w:ascii="宋体" w:hAnsi="宋体" w:eastAsia="宋体" w:cs="宋体"/>
          <w:strike w:val="0"/>
          <w:dstrike w:val="0"/>
          <w:color w:val="auto"/>
          <w:sz w:val="24"/>
          <w:szCs w:val="24"/>
          <w:highlight w:val="none"/>
          <w:u w:val="none"/>
          <w:lang w:val="en-US" w:eastAsia="zh-CN"/>
        </w:rPr>
      </w:pPr>
      <w:r>
        <w:rPr>
          <w:rFonts w:hint="default" w:ascii="宋体" w:hAnsi="宋体" w:eastAsia="宋体" w:cs="宋体"/>
          <w:strike w:val="0"/>
          <w:dstrike w:val="0"/>
          <w:color w:val="auto"/>
          <w:sz w:val="24"/>
          <w:szCs w:val="24"/>
          <w:highlight w:val="none"/>
          <w:u w:val="none"/>
          <w:lang w:val="en-US" w:eastAsia="zh-CN"/>
        </w:rPr>
        <w:t>1</w:t>
      </w:r>
      <w:r>
        <w:rPr>
          <w:rFonts w:hint="eastAsia" w:ascii="宋体" w:hAnsi="宋体" w:eastAsia="宋体" w:cs="宋体"/>
          <w:strike w:val="0"/>
          <w:dstrike w:val="0"/>
          <w:color w:val="auto"/>
          <w:sz w:val="24"/>
          <w:szCs w:val="24"/>
          <w:highlight w:val="none"/>
          <w:u w:val="none"/>
          <w:lang w:val="en-US" w:eastAsia="zh-CN"/>
        </w:rPr>
        <w:t>、</w:t>
      </w:r>
      <w:r>
        <w:rPr>
          <w:rFonts w:hint="default" w:ascii="宋体" w:hAnsi="宋体" w:eastAsia="宋体" w:cs="宋体"/>
          <w:color w:val="auto"/>
          <w:sz w:val="24"/>
          <w:szCs w:val="24"/>
          <w:highlight w:val="none"/>
          <w:lang w:val="en-US" w:eastAsia="zh-CN" w:bidi="ar"/>
        </w:rPr>
        <w:t>滁城应急供水工程新建的土桥二级站、中心沟（八支渠）站等2座临时泵站工程日常运行及常规维护；自全椒县古城闸至清流河九梓大桥拦水坝段引调水渠道管道工程日常巡检、渠道清杂清障及配套涵闸设施维护。</w:t>
      </w:r>
    </w:p>
    <w:p w14:paraId="5C163C2C">
      <w:pPr>
        <w:autoSpaceDE w:val="0"/>
        <w:autoSpaceDN w:val="0"/>
        <w:adjustRightInd w:val="0"/>
        <w:spacing w:line="480" w:lineRule="exact"/>
        <w:ind w:firstLine="436" w:firstLineChars="182"/>
        <w:jc w:val="left"/>
        <w:rPr>
          <w:rFonts w:hint="default" w:ascii="宋体" w:hAnsi="宋体" w:eastAsia="宋体" w:cs="宋体"/>
          <w:color w:val="auto"/>
          <w:sz w:val="24"/>
          <w:szCs w:val="24"/>
          <w:highlight w:val="none"/>
          <w:lang w:val="en-US" w:eastAsia="zh-CN" w:bidi="ar"/>
        </w:rPr>
      </w:pPr>
      <w:r>
        <w:rPr>
          <w:rFonts w:hint="default" w:ascii="宋体" w:hAnsi="宋体" w:eastAsia="宋体" w:cs="宋体"/>
          <w:strike w:val="0"/>
          <w:dstrike w:val="0"/>
          <w:color w:val="auto"/>
          <w:sz w:val="24"/>
          <w:szCs w:val="24"/>
          <w:highlight w:val="none"/>
          <w:u w:val="none"/>
          <w:lang w:val="en-US" w:eastAsia="zh-CN"/>
        </w:rPr>
        <w:t>2</w:t>
      </w:r>
      <w:r>
        <w:rPr>
          <w:rFonts w:hint="eastAsia" w:ascii="宋体" w:hAnsi="宋体" w:eastAsia="宋体" w:cs="宋体"/>
          <w:strike w:val="0"/>
          <w:dstrike w:val="0"/>
          <w:color w:val="auto"/>
          <w:sz w:val="24"/>
          <w:szCs w:val="24"/>
          <w:highlight w:val="none"/>
          <w:u w:val="none"/>
          <w:lang w:val="en-US" w:eastAsia="zh-CN"/>
        </w:rPr>
        <w:t>、</w:t>
      </w:r>
      <w:r>
        <w:rPr>
          <w:rFonts w:hint="default" w:ascii="宋体" w:hAnsi="宋体" w:eastAsia="宋体" w:cs="宋体"/>
          <w:color w:val="auto"/>
          <w:sz w:val="24"/>
          <w:szCs w:val="24"/>
          <w:highlight w:val="none"/>
          <w:lang w:val="en-US" w:eastAsia="zh-CN" w:bidi="ar"/>
        </w:rPr>
        <w:t>滁城应急供水工程调水路线涉及的</w:t>
      </w:r>
      <w:r>
        <w:rPr>
          <w:rFonts w:hint="eastAsia" w:ascii="宋体" w:hAnsi="宋体" w:eastAsia="宋体" w:cs="宋体"/>
          <w:color w:val="auto"/>
          <w:sz w:val="24"/>
          <w:szCs w:val="24"/>
          <w:highlight w:val="none"/>
          <w:lang w:val="en-US" w:eastAsia="zh-CN" w:bidi="ar"/>
        </w:rPr>
        <w:t>6</w:t>
      </w:r>
      <w:r>
        <w:rPr>
          <w:rFonts w:hint="default" w:ascii="宋体" w:hAnsi="宋体" w:eastAsia="宋体" w:cs="宋体"/>
          <w:color w:val="auto"/>
          <w:sz w:val="24"/>
          <w:szCs w:val="24"/>
          <w:highlight w:val="none"/>
          <w:lang w:val="en-US" w:eastAsia="zh-CN" w:bidi="ar"/>
        </w:rPr>
        <w:t>处泵站（军民一级站、军民二级站、土桥二级临时泵站、中心沟（八支渠）临时泵站、城西一级临时泵站、城西二级临时泵站）、2处水闸（古城闸、马圩闸）以及2处拦水坝（九梓大桥拦水坝、西庄拦水坝）以及沿线沟渠管道等工程</w:t>
      </w:r>
      <w:r>
        <w:rPr>
          <w:rFonts w:hint="eastAsia" w:ascii="宋体" w:hAnsi="宋体" w:eastAsia="宋体" w:cs="宋体"/>
          <w:color w:val="auto"/>
          <w:sz w:val="24"/>
          <w:szCs w:val="24"/>
          <w:highlight w:val="none"/>
          <w:lang w:val="en-US" w:eastAsia="zh-CN" w:bidi="ar"/>
        </w:rPr>
        <w:t>设备</w:t>
      </w:r>
      <w:r>
        <w:rPr>
          <w:rFonts w:hint="default" w:ascii="宋体" w:hAnsi="宋体" w:eastAsia="宋体" w:cs="宋体"/>
          <w:color w:val="auto"/>
          <w:sz w:val="24"/>
          <w:szCs w:val="24"/>
          <w:highlight w:val="none"/>
          <w:lang w:val="en-US" w:eastAsia="zh-CN" w:bidi="ar"/>
        </w:rPr>
        <w:t>故障检修、突发异常情况应急抢险处置；视情增加架设临时水泵以及采购必要的备品备件等。（备注：以上日常</w:t>
      </w:r>
      <w:r>
        <w:rPr>
          <w:rFonts w:hint="eastAsia" w:ascii="宋体" w:hAnsi="宋体" w:eastAsia="宋体" w:cs="宋体"/>
          <w:color w:val="auto"/>
          <w:sz w:val="24"/>
          <w:szCs w:val="24"/>
          <w:highlight w:val="none"/>
          <w:lang w:val="en-US" w:eastAsia="zh-CN" w:bidi="ar"/>
        </w:rPr>
        <w:t>运维</w:t>
      </w:r>
      <w:r>
        <w:rPr>
          <w:rFonts w:hint="default" w:ascii="宋体" w:hAnsi="宋体" w:eastAsia="宋体" w:cs="宋体"/>
          <w:color w:val="auto"/>
          <w:sz w:val="24"/>
          <w:szCs w:val="24"/>
          <w:highlight w:val="none"/>
          <w:lang w:val="en-US" w:eastAsia="zh-CN" w:bidi="ar"/>
        </w:rPr>
        <w:t>范围外的工作内容，由</w:t>
      </w:r>
      <w:r>
        <w:rPr>
          <w:rFonts w:hint="eastAsia" w:ascii="宋体" w:hAnsi="宋体" w:eastAsia="宋体" w:cs="宋体"/>
          <w:color w:val="auto"/>
          <w:sz w:val="24"/>
          <w:szCs w:val="24"/>
          <w:highlight w:val="none"/>
          <w:lang w:val="en-US" w:eastAsia="zh-CN" w:bidi="ar"/>
        </w:rPr>
        <w:t>采购人</w:t>
      </w:r>
      <w:r>
        <w:rPr>
          <w:rFonts w:hint="default" w:ascii="宋体" w:hAnsi="宋体" w:eastAsia="宋体" w:cs="宋体"/>
          <w:color w:val="auto"/>
          <w:sz w:val="24"/>
          <w:szCs w:val="24"/>
          <w:highlight w:val="none"/>
          <w:lang w:val="en-US" w:eastAsia="zh-CN" w:bidi="ar"/>
        </w:rPr>
        <w:t>、监理、跟踪审计单位认定并同意后，按成本据实结算，仅计取税金，不计其它费用。）</w:t>
      </w:r>
    </w:p>
    <w:p w14:paraId="74B38A84">
      <w:pPr>
        <w:autoSpaceDE w:val="0"/>
        <w:autoSpaceDN w:val="0"/>
        <w:adjustRightInd w:val="0"/>
        <w:spacing w:line="480" w:lineRule="exact"/>
        <w:ind w:firstLine="436" w:firstLineChars="182"/>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strike w:val="0"/>
          <w:dstrike w:val="0"/>
          <w:color w:val="auto"/>
          <w:sz w:val="24"/>
          <w:szCs w:val="24"/>
          <w:highlight w:val="none"/>
          <w:u w:val="none"/>
          <w:lang w:val="en-US" w:eastAsia="zh-CN"/>
        </w:rPr>
        <w:t>（二）</w:t>
      </w:r>
      <w:r>
        <w:rPr>
          <w:rFonts w:hint="default" w:ascii="宋体" w:hAnsi="宋体" w:eastAsia="宋体" w:cs="宋体"/>
          <w:strike w:val="0"/>
          <w:dstrike w:val="0"/>
          <w:color w:val="auto"/>
          <w:sz w:val="24"/>
          <w:szCs w:val="24"/>
          <w:highlight w:val="none"/>
          <w:u w:val="none"/>
          <w:lang w:val="en-US" w:eastAsia="zh-CN"/>
        </w:rPr>
        <w:t>采购服务时</w:t>
      </w:r>
      <w:r>
        <w:rPr>
          <w:rFonts w:hint="eastAsia" w:ascii="宋体" w:hAnsi="宋体" w:eastAsia="宋体" w:cs="宋体"/>
          <w:strike w:val="0"/>
          <w:dstrike w:val="0"/>
          <w:color w:val="auto"/>
          <w:sz w:val="24"/>
          <w:szCs w:val="24"/>
          <w:highlight w:val="none"/>
          <w:u w:val="none"/>
          <w:lang w:val="en-US" w:eastAsia="zh-CN"/>
        </w:rPr>
        <w:t>长</w:t>
      </w:r>
      <w:r>
        <w:rPr>
          <w:rFonts w:hint="default" w:ascii="宋体" w:hAnsi="宋体" w:eastAsia="宋体" w:cs="宋体"/>
          <w:strike w:val="0"/>
          <w:dstrike w:val="0"/>
          <w:color w:val="auto"/>
          <w:sz w:val="24"/>
          <w:szCs w:val="24"/>
          <w:highlight w:val="none"/>
          <w:u w:val="none"/>
          <w:lang w:val="en-US" w:eastAsia="zh-CN"/>
        </w:rPr>
        <w:t>：</w:t>
      </w:r>
      <w:r>
        <w:rPr>
          <w:rFonts w:hint="default" w:ascii="宋体" w:hAnsi="宋体" w:eastAsia="宋体" w:cs="宋体"/>
          <w:color w:val="auto"/>
          <w:sz w:val="24"/>
          <w:szCs w:val="24"/>
          <w:highlight w:val="none"/>
          <w:lang w:val="en-US" w:eastAsia="zh-CN" w:bidi="ar"/>
        </w:rPr>
        <w:t>暂定为</w:t>
      </w:r>
      <w:r>
        <w:rPr>
          <w:rFonts w:hint="eastAsia" w:ascii="宋体" w:hAnsi="宋体" w:eastAsia="宋体" w:cs="宋体"/>
          <w:color w:val="auto"/>
          <w:sz w:val="24"/>
          <w:szCs w:val="24"/>
          <w:highlight w:val="none"/>
          <w:lang w:val="en-US" w:eastAsia="zh-CN" w:bidi="ar"/>
        </w:rPr>
        <w:t>7</w:t>
      </w:r>
      <w:r>
        <w:rPr>
          <w:rFonts w:hint="default" w:ascii="宋体" w:hAnsi="宋体" w:eastAsia="宋体" w:cs="宋体"/>
          <w:color w:val="auto"/>
          <w:sz w:val="24"/>
          <w:szCs w:val="24"/>
          <w:highlight w:val="none"/>
          <w:lang w:val="en-US" w:eastAsia="zh-CN" w:bidi="ar"/>
        </w:rPr>
        <w:t>个月，根据</w:t>
      </w:r>
      <w:r>
        <w:rPr>
          <w:rFonts w:hint="eastAsia" w:ascii="宋体" w:hAnsi="宋体" w:eastAsia="宋体" w:cs="宋体"/>
          <w:color w:val="auto"/>
          <w:sz w:val="24"/>
          <w:szCs w:val="24"/>
          <w:highlight w:val="none"/>
          <w:lang w:val="en-US" w:eastAsia="zh-CN" w:bidi="ar"/>
        </w:rPr>
        <w:t>明年</w:t>
      </w:r>
      <w:r>
        <w:rPr>
          <w:rFonts w:hint="default" w:ascii="宋体" w:hAnsi="宋体" w:eastAsia="宋体" w:cs="宋体"/>
          <w:color w:val="auto"/>
          <w:sz w:val="24"/>
          <w:szCs w:val="24"/>
          <w:highlight w:val="none"/>
          <w:lang w:val="en-US" w:eastAsia="zh-CN" w:bidi="ar"/>
        </w:rPr>
        <w:t>入汛前后降雨蓄水情况，视情延期或提前终止。</w:t>
      </w:r>
    </w:p>
    <w:p w14:paraId="722E0B83">
      <w:pPr>
        <w:spacing w:line="360" w:lineRule="auto"/>
        <w:ind w:firstLine="480" w:firstLineChars="200"/>
        <w:outlineLvl w:val="2"/>
        <w:rPr>
          <w:rFonts w:hint="default"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（三）具体</w:t>
      </w:r>
      <w:r>
        <w:rPr>
          <w:rFonts w:hint="default" w:ascii="宋体" w:hAnsi="宋体" w:eastAsia="宋体" w:cs="宋体"/>
          <w:strike w:val="0"/>
          <w:dstrike w:val="0"/>
          <w:color w:val="auto"/>
          <w:sz w:val="24"/>
          <w:szCs w:val="24"/>
          <w:highlight w:val="none"/>
          <w:u w:val="none"/>
          <w:lang w:val="en-US" w:eastAsia="zh-CN"/>
        </w:rPr>
        <w:t>工作</w:t>
      </w:r>
      <w:r>
        <w:rPr>
          <w:rFonts w:hint="eastAsia" w:ascii="宋体" w:hAnsi="宋体" w:eastAsia="宋体" w:cs="宋体"/>
          <w:strike w:val="0"/>
          <w:dstrike w:val="0"/>
          <w:color w:val="auto"/>
          <w:sz w:val="24"/>
          <w:szCs w:val="24"/>
          <w:highlight w:val="none"/>
          <w:u w:val="none"/>
          <w:lang w:val="en-US" w:eastAsia="zh-CN"/>
        </w:rPr>
        <w:t>内容</w:t>
      </w:r>
      <w:r>
        <w:rPr>
          <w:rFonts w:hint="default" w:ascii="宋体" w:hAnsi="宋体" w:eastAsia="宋体" w:cs="宋体"/>
          <w:strike w:val="0"/>
          <w:dstrike w:val="0"/>
          <w:color w:val="auto"/>
          <w:sz w:val="24"/>
          <w:szCs w:val="24"/>
          <w:highlight w:val="none"/>
          <w:u w:val="none"/>
          <w:lang w:val="en-US" w:eastAsia="zh-CN"/>
        </w:rPr>
        <w:t>：</w:t>
      </w:r>
    </w:p>
    <w:p w14:paraId="15D31953">
      <w:pPr>
        <w:spacing w:line="360" w:lineRule="auto"/>
        <w:ind w:firstLine="480" w:firstLineChars="200"/>
        <w:outlineLvl w:val="2"/>
        <w:rPr>
          <w:rFonts w:hint="default"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1、</w:t>
      </w:r>
      <w:r>
        <w:rPr>
          <w:rFonts w:hint="default" w:ascii="宋体" w:hAnsi="宋体" w:eastAsia="宋体" w:cs="宋体"/>
          <w:strike w:val="0"/>
          <w:dstrike w:val="0"/>
          <w:color w:val="auto"/>
          <w:sz w:val="24"/>
          <w:szCs w:val="24"/>
          <w:highlight w:val="none"/>
          <w:u w:val="none"/>
          <w:lang w:val="en-US" w:eastAsia="zh-CN"/>
        </w:rPr>
        <w:t>泵站运行</w:t>
      </w:r>
      <w:r>
        <w:rPr>
          <w:rFonts w:hint="eastAsia" w:ascii="宋体" w:hAnsi="宋体" w:eastAsia="宋体" w:cs="宋体"/>
          <w:strike w:val="0"/>
          <w:dstrike w:val="0"/>
          <w:color w:val="auto"/>
          <w:sz w:val="24"/>
          <w:szCs w:val="24"/>
          <w:highlight w:val="none"/>
          <w:u w:val="none"/>
          <w:lang w:val="en-US" w:eastAsia="zh-CN"/>
        </w:rPr>
        <w:t>维护</w:t>
      </w:r>
      <w:r>
        <w:rPr>
          <w:rFonts w:hint="default" w:ascii="宋体" w:hAnsi="宋体" w:eastAsia="宋体" w:cs="宋体"/>
          <w:strike w:val="0"/>
          <w:dstrike w:val="0"/>
          <w:color w:val="auto"/>
          <w:sz w:val="24"/>
          <w:szCs w:val="24"/>
          <w:highlight w:val="none"/>
          <w:u w:val="none"/>
          <w:lang w:val="en-US" w:eastAsia="zh-CN"/>
        </w:rPr>
        <w:t>服务。</w:t>
      </w:r>
    </w:p>
    <w:p w14:paraId="62E55894">
      <w:pPr>
        <w:spacing w:line="360" w:lineRule="auto"/>
        <w:ind w:firstLine="480" w:firstLineChars="200"/>
        <w:outlineLvl w:val="2"/>
        <w:rPr>
          <w:rFonts w:hint="default" w:ascii="宋体" w:hAnsi="宋体" w:eastAsia="宋体" w:cs="宋体"/>
          <w:strike w:val="0"/>
          <w:dstrike w:val="0"/>
          <w:color w:val="auto"/>
          <w:sz w:val="24"/>
          <w:szCs w:val="24"/>
          <w:highlight w:val="none"/>
          <w:u w:val="none"/>
          <w:lang w:val="en-US" w:eastAsia="zh-CN"/>
        </w:rPr>
      </w:pPr>
      <w:r>
        <w:rPr>
          <w:rFonts w:hint="default" w:ascii="宋体" w:hAnsi="宋体" w:eastAsia="宋体" w:cs="宋体"/>
          <w:strike w:val="0"/>
          <w:dstrike w:val="0"/>
          <w:color w:val="auto"/>
          <w:sz w:val="24"/>
          <w:szCs w:val="24"/>
          <w:highlight w:val="none"/>
          <w:u w:val="none"/>
          <w:lang w:val="en-US" w:eastAsia="zh-CN"/>
        </w:rPr>
        <w:t>1.1</w:t>
      </w:r>
      <w:r>
        <w:rPr>
          <w:rFonts w:hint="eastAsia" w:ascii="宋体" w:hAnsi="宋体" w:eastAsia="宋体" w:cs="宋体"/>
          <w:strike w:val="0"/>
          <w:dstrike w:val="0"/>
          <w:color w:val="auto"/>
          <w:sz w:val="24"/>
          <w:szCs w:val="24"/>
          <w:highlight w:val="none"/>
          <w:u w:val="none"/>
          <w:lang w:val="en-US" w:eastAsia="zh-CN"/>
        </w:rPr>
        <w:t>成交供应商</w:t>
      </w:r>
      <w:r>
        <w:rPr>
          <w:rFonts w:hint="default" w:ascii="宋体" w:hAnsi="宋体" w:eastAsia="宋体" w:cs="宋体"/>
          <w:strike w:val="0"/>
          <w:dstrike w:val="0"/>
          <w:color w:val="auto"/>
          <w:sz w:val="24"/>
          <w:szCs w:val="24"/>
          <w:highlight w:val="none"/>
          <w:u w:val="none"/>
          <w:lang w:val="en-US" w:eastAsia="zh-CN"/>
        </w:rPr>
        <w:t>应建立服务响应机制，对可能出现的突发情况，如极端天气、设备突发故障等，能够迅速、有效地进行应对，保障泵站设备安全</w:t>
      </w:r>
      <w:r>
        <w:rPr>
          <w:rFonts w:hint="eastAsia" w:ascii="宋体" w:hAnsi="宋体" w:eastAsia="宋体" w:cs="宋体"/>
          <w:strike w:val="0"/>
          <w:dstrike w:val="0"/>
          <w:color w:val="auto"/>
          <w:sz w:val="24"/>
          <w:szCs w:val="24"/>
          <w:highlight w:val="none"/>
          <w:u w:val="none"/>
          <w:lang w:val="en-US" w:eastAsia="zh-CN"/>
        </w:rPr>
        <w:t>运行，</w:t>
      </w:r>
    </w:p>
    <w:p w14:paraId="1D18A5F6">
      <w:pPr>
        <w:spacing w:line="360" w:lineRule="auto"/>
        <w:ind w:firstLine="480" w:firstLineChars="200"/>
        <w:outlineLvl w:val="2"/>
        <w:rPr>
          <w:rFonts w:hint="default"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1.2成交供应商</w:t>
      </w:r>
      <w:r>
        <w:rPr>
          <w:rFonts w:hint="default" w:ascii="宋体" w:hAnsi="宋体" w:eastAsia="宋体" w:cs="宋体"/>
          <w:strike w:val="0"/>
          <w:dstrike w:val="0"/>
          <w:color w:val="auto"/>
          <w:sz w:val="24"/>
          <w:szCs w:val="24"/>
          <w:highlight w:val="none"/>
          <w:u w:val="none"/>
          <w:lang w:val="en-US" w:eastAsia="zh-CN"/>
        </w:rPr>
        <w:t>应密切关注天气情况，服从采购人调度，在最短的时间内做好泵站运行的准备工作，按照指令要求完成泵站运行工作。</w:t>
      </w:r>
    </w:p>
    <w:p w14:paraId="30671C77">
      <w:pPr>
        <w:spacing w:line="360" w:lineRule="auto"/>
        <w:ind w:firstLine="480" w:firstLineChars="200"/>
        <w:outlineLvl w:val="2"/>
        <w:rPr>
          <w:rFonts w:hint="default" w:ascii="宋体" w:hAnsi="宋体" w:eastAsia="宋体" w:cs="宋体"/>
          <w:strike w:val="0"/>
          <w:dstrike w:val="0"/>
          <w:color w:val="auto"/>
          <w:sz w:val="24"/>
          <w:szCs w:val="24"/>
          <w:highlight w:val="none"/>
          <w:u w:val="none"/>
          <w:lang w:val="en-US" w:eastAsia="zh-CN"/>
        </w:rPr>
      </w:pPr>
      <w:r>
        <w:rPr>
          <w:rFonts w:hint="default" w:ascii="宋体" w:hAnsi="宋体" w:eastAsia="宋体" w:cs="宋体"/>
          <w:strike w:val="0"/>
          <w:dstrike w:val="0"/>
          <w:color w:val="auto"/>
          <w:sz w:val="24"/>
          <w:szCs w:val="24"/>
          <w:highlight w:val="none"/>
          <w:u w:val="none"/>
          <w:lang w:val="en-US" w:eastAsia="zh-CN"/>
        </w:rPr>
        <w:t>1.3泵站运行期间，对各泵站设备进行巡视巡查，巡视内容包括记录设备的运行状态、运行电压、运行电流及开停机时间、台数及水量等，做好一切运行记录并建立台帐；要负责清理泵站进水口及前池拦污栅的杂物垃圾，确保进出水流道畅顺，进出水池无漂浮垃圾，要保持泵站及周边环境卫生、清洁。巡查并能及时解决潜在的安全隐患，保障泵站设备安全和</w:t>
      </w:r>
      <w:r>
        <w:rPr>
          <w:rFonts w:hint="eastAsia" w:ascii="宋体" w:hAnsi="宋体" w:eastAsia="宋体" w:cs="宋体"/>
          <w:strike w:val="0"/>
          <w:dstrike w:val="0"/>
          <w:color w:val="auto"/>
          <w:sz w:val="24"/>
          <w:szCs w:val="24"/>
          <w:highlight w:val="none"/>
          <w:u w:val="none"/>
          <w:lang w:val="en-US" w:eastAsia="zh-CN"/>
        </w:rPr>
        <w:t>持续</w:t>
      </w:r>
      <w:r>
        <w:rPr>
          <w:rFonts w:hint="default" w:ascii="宋体" w:hAnsi="宋体" w:eastAsia="宋体" w:cs="宋体"/>
          <w:strike w:val="0"/>
          <w:dstrike w:val="0"/>
          <w:color w:val="auto"/>
          <w:sz w:val="24"/>
          <w:szCs w:val="24"/>
          <w:highlight w:val="none"/>
          <w:u w:val="none"/>
          <w:lang w:val="en-US" w:eastAsia="zh-CN"/>
        </w:rPr>
        <w:t>运行。</w:t>
      </w:r>
    </w:p>
    <w:p w14:paraId="4094037E">
      <w:pPr>
        <w:spacing w:line="360" w:lineRule="auto"/>
        <w:ind w:firstLine="480" w:firstLineChars="200"/>
        <w:outlineLvl w:val="2"/>
        <w:rPr>
          <w:rFonts w:hint="default" w:ascii="宋体" w:hAnsi="宋体" w:eastAsia="宋体" w:cs="宋体"/>
          <w:strike w:val="0"/>
          <w:dstrike w:val="0"/>
          <w:color w:val="auto"/>
          <w:sz w:val="24"/>
          <w:szCs w:val="24"/>
          <w:highlight w:val="none"/>
          <w:u w:val="none"/>
          <w:lang w:val="en-US" w:eastAsia="zh-CN"/>
        </w:rPr>
      </w:pPr>
      <w:r>
        <w:rPr>
          <w:rFonts w:hint="default" w:ascii="宋体" w:hAnsi="宋体" w:eastAsia="宋体" w:cs="宋体"/>
          <w:strike w:val="0"/>
          <w:dstrike w:val="0"/>
          <w:color w:val="auto"/>
          <w:sz w:val="24"/>
          <w:szCs w:val="24"/>
          <w:highlight w:val="none"/>
          <w:u w:val="none"/>
          <w:lang w:val="en-US" w:eastAsia="zh-CN"/>
        </w:rPr>
        <w:t>1.4泵站运行停机期间，对各泵站设备及附属物以防火、防盗、防破坏、防治安事故等为重点，确保管护安全。</w:t>
      </w:r>
    </w:p>
    <w:p w14:paraId="69A24F97">
      <w:pPr>
        <w:spacing w:line="360" w:lineRule="auto"/>
        <w:ind w:firstLine="480" w:firstLineChars="200"/>
        <w:outlineLvl w:val="2"/>
        <w:rPr>
          <w:rFonts w:hint="default"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2、</w:t>
      </w:r>
      <w:r>
        <w:rPr>
          <w:rFonts w:hint="default" w:ascii="宋体" w:hAnsi="宋体" w:eastAsia="宋体" w:cs="宋体"/>
          <w:strike w:val="0"/>
          <w:dstrike w:val="0"/>
          <w:color w:val="auto"/>
          <w:sz w:val="24"/>
          <w:szCs w:val="24"/>
          <w:highlight w:val="none"/>
          <w:u w:val="none"/>
          <w:lang w:val="en-US" w:eastAsia="zh-CN"/>
        </w:rPr>
        <w:t>输水渠道、管道及堤坝</w:t>
      </w:r>
      <w:r>
        <w:rPr>
          <w:rFonts w:hint="eastAsia" w:ascii="宋体" w:hAnsi="宋体" w:eastAsia="宋体" w:cs="宋体"/>
          <w:strike w:val="0"/>
          <w:dstrike w:val="0"/>
          <w:color w:val="auto"/>
          <w:sz w:val="24"/>
          <w:szCs w:val="24"/>
          <w:highlight w:val="none"/>
          <w:u w:val="none"/>
          <w:lang w:val="en-US" w:eastAsia="zh-CN"/>
        </w:rPr>
        <w:t>、涵闸</w:t>
      </w:r>
      <w:r>
        <w:rPr>
          <w:rFonts w:hint="default" w:ascii="宋体" w:hAnsi="宋体" w:eastAsia="宋体" w:cs="宋体"/>
          <w:strike w:val="0"/>
          <w:dstrike w:val="0"/>
          <w:color w:val="auto"/>
          <w:sz w:val="24"/>
          <w:szCs w:val="24"/>
          <w:highlight w:val="none"/>
          <w:u w:val="none"/>
          <w:lang w:val="en-US" w:eastAsia="zh-CN"/>
        </w:rPr>
        <w:t>运行</w:t>
      </w:r>
      <w:r>
        <w:rPr>
          <w:rFonts w:hint="eastAsia" w:ascii="宋体" w:hAnsi="宋体" w:eastAsia="宋体" w:cs="宋体"/>
          <w:strike w:val="0"/>
          <w:dstrike w:val="0"/>
          <w:color w:val="auto"/>
          <w:sz w:val="24"/>
          <w:szCs w:val="24"/>
          <w:highlight w:val="none"/>
          <w:u w:val="none"/>
          <w:lang w:val="en-US" w:eastAsia="zh-CN"/>
        </w:rPr>
        <w:t>维护</w:t>
      </w:r>
      <w:r>
        <w:rPr>
          <w:rFonts w:hint="default" w:ascii="宋体" w:hAnsi="宋体" w:eastAsia="宋体" w:cs="宋体"/>
          <w:strike w:val="0"/>
          <w:dstrike w:val="0"/>
          <w:color w:val="auto"/>
          <w:sz w:val="24"/>
          <w:szCs w:val="24"/>
          <w:highlight w:val="none"/>
          <w:u w:val="none"/>
          <w:lang w:val="en-US" w:eastAsia="zh-CN"/>
        </w:rPr>
        <w:t>服务。</w:t>
      </w:r>
    </w:p>
    <w:p w14:paraId="53F45430">
      <w:pPr>
        <w:spacing w:line="360" w:lineRule="auto"/>
        <w:ind w:firstLine="480" w:firstLineChars="200"/>
        <w:outlineLvl w:val="2"/>
        <w:rPr>
          <w:rFonts w:hint="default" w:ascii="宋体" w:hAnsi="宋体" w:eastAsia="宋体" w:cs="宋体"/>
          <w:strike w:val="0"/>
          <w:dstrike w:val="0"/>
          <w:color w:val="auto"/>
          <w:sz w:val="24"/>
          <w:szCs w:val="24"/>
          <w:highlight w:val="none"/>
          <w:u w:val="none"/>
          <w:lang w:val="en-US" w:eastAsia="zh-CN"/>
        </w:rPr>
      </w:pPr>
      <w:r>
        <w:rPr>
          <w:rFonts w:hint="default" w:ascii="宋体" w:hAnsi="宋体" w:eastAsia="宋体" w:cs="宋体"/>
          <w:strike w:val="0"/>
          <w:dstrike w:val="0"/>
          <w:color w:val="auto"/>
          <w:sz w:val="24"/>
          <w:szCs w:val="24"/>
          <w:highlight w:val="none"/>
          <w:u w:val="none"/>
          <w:lang w:val="en-US" w:eastAsia="zh-CN"/>
        </w:rPr>
        <w:t>2.1输水渠道、堤坝日常巡视巡查，包括渠道、堤坝边坡是否稳定，有无滑坡、塌方等安全隐患，整个输水线路是否畅通，有无杂物堵塞；渠道及堤坝运行安全无“跑冒滴漏”严重情况、严防污水污物进入输水渠道、河道。</w:t>
      </w:r>
    </w:p>
    <w:p w14:paraId="39B0BD48">
      <w:pPr>
        <w:spacing w:line="360" w:lineRule="auto"/>
        <w:ind w:firstLine="480" w:firstLineChars="200"/>
        <w:outlineLvl w:val="2"/>
        <w:rPr>
          <w:rFonts w:hint="default" w:ascii="宋体" w:hAnsi="宋体" w:eastAsia="宋体" w:cs="宋体"/>
          <w:strike w:val="0"/>
          <w:dstrike w:val="0"/>
          <w:color w:val="auto"/>
          <w:sz w:val="24"/>
          <w:szCs w:val="24"/>
          <w:highlight w:val="none"/>
          <w:u w:val="none"/>
          <w:lang w:val="en-US" w:eastAsia="zh-CN"/>
        </w:rPr>
      </w:pPr>
      <w:r>
        <w:rPr>
          <w:rFonts w:hint="default" w:ascii="宋体" w:hAnsi="宋体" w:eastAsia="宋体" w:cs="宋体"/>
          <w:strike w:val="0"/>
          <w:dstrike w:val="0"/>
          <w:color w:val="auto"/>
          <w:sz w:val="24"/>
          <w:szCs w:val="24"/>
          <w:highlight w:val="none"/>
          <w:u w:val="none"/>
          <w:lang w:val="en-US" w:eastAsia="zh-CN"/>
        </w:rPr>
        <w:t>2.2输水管道巡视巡查，包括检查</w:t>
      </w:r>
      <w:r>
        <w:rPr>
          <w:rFonts w:hint="eastAsia" w:ascii="宋体" w:hAnsi="宋体" w:eastAsia="宋体" w:cs="宋体"/>
          <w:strike w:val="0"/>
          <w:dstrike w:val="0"/>
          <w:color w:val="auto"/>
          <w:sz w:val="24"/>
          <w:szCs w:val="24"/>
          <w:highlight w:val="none"/>
          <w:u w:val="none"/>
          <w:lang w:val="en-US" w:eastAsia="zh-CN"/>
        </w:rPr>
        <w:t>管道及</w:t>
      </w:r>
      <w:r>
        <w:rPr>
          <w:rFonts w:hint="default" w:ascii="宋体" w:hAnsi="宋体" w:eastAsia="宋体" w:cs="宋体"/>
          <w:strike w:val="0"/>
          <w:dstrike w:val="0"/>
          <w:color w:val="auto"/>
          <w:sz w:val="24"/>
          <w:szCs w:val="24"/>
          <w:highlight w:val="none"/>
          <w:u w:val="none"/>
          <w:lang w:val="en-US" w:eastAsia="zh-CN"/>
        </w:rPr>
        <w:t>接口是否存在渗漏、滴水</w:t>
      </w:r>
      <w:r>
        <w:rPr>
          <w:rFonts w:hint="eastAsia" w:ascii="宋体" w:hAnsi="宋体" w:eastAsia="宋体" w:cs="宋体"/>
          <w:strike w:val="0"/>
          <w:dstrike w:val="0"/>
          <w:color w:val="auto"/>
          <w:sz w:val="24"/>
          <w:szCs w:val="24"/>
          <w:highlight w:val="none"/>
          <w:u w:val="none"/>
          <w:lang w:val="en-US" w:eastAsia="zh-CN"/>
        </w:rPr>
        <w:t>、断裂</w:t>
      </w:r>
      <w:r>
        <w:rPr>
          <w:rFonts w:hint="default" w:ascii="宋体" w:hAnsi="宋体" w:eastAsia="宋体" w:cs="宋体"/>
          <w:strike w:val="0"/>
          <w:dstrike w:val="0"/>
          <w:color w:val="auto"/>
          <w:sz w:val="24"/>
          <w:szCs w:val="24"/>
          <w:highlight w:val="none"/>
          <w:u w:val="none"/>
          <w:lang w:val="en-US" w:eastAsia="zh-CN"/>
        </w:rPr>
        <w:t>等现象，有无较大的位移变化，输水管道的</w:t>
      </w:r>
      <w:r>
        <w:rPr>
          <w:rFonts w:hint="eastAsia" w:ascii="宋体" w:hAnsi="宋体" w:eastAsia="宋体" w:cs="宋体"/>
          <w:strike w:val="0"/>
          <w:dstrike w:val="0"/>
          <w:color w:val="auto"/>
          <w:sz w:val="24"/>
          <w:szCs w:val="24"/>
          <w:highlight w:val="none"/>
          <w:u w:val="none"/>
          <w:lang w:val="en-US" w:eastAsia="zh-CN"/>
        </w:rPr>
        <w:t>垫层</w:t>
      </w:r>
      <w:r>
        <w:rPr>
          <w:rFonts w:hint="default" w:ascii="宋体" w:hAnsi="宋体" w:eastAsia="宋体" w:cs="宋体"/>
          <w:strike w:val="0"/>
          <w:dstrike w:val="0"/>
          <w:color w:val="auto"/>
          <w:sz w:val="24"/>
          <w:szCs w:val="24"/>
          <w:highlight w:val="none"/>
          <w:u w:val="none"/>
          <w:lang w:val="en-US" w:eastAsia="zh-CN"/>
        </w:rPr>
        <w:t>及镇墩、支墩有无变</w:t>
      </w:r>
      <w:r>
        <w:rPr>
          <w:rFonts w:hint="eastAsia" w:ascii="宋体" w:hAnsi="宋体" w:eastAsia="宋体" w:cs="宋体"/>
          <w:strike w:val="0"/>
          <w:dstrike w:val="0"/>
          <w:color w:val="auto"/>
          <w:sz w:val="24"/>
          <w:szCs w:val="24"/>
          <w:highlight w:val="none"/>
          <w:u w:val="none"/>
          <w:lang w:val="en-US" w:eastAsia="zh-CN"/>
        </w:rPr>
        <w:t>性</w:t>
      </w:r>
      <w:r>
        <w:rPr>
          <w:rFonts w:hint="default" w:ascii="宋体" w:hAnsi="宋体" w:eastAsia="宋体" w:cs="宋体"/>
          <w:strike w:val="0"/>
          <w:dstrike w:val="0"/>
          <w:color w:val="auto"/>
          <w:sz w:val="24"/>
          <w:szCs w:val="24"/>
          <w:highlight w:val="none"/>
          <w:u w:val="none"/>
          <w:lang w:val="en-US" w:eastAsia="zh-CN"/>
        </w:rPr>
        <w:t>、</w:t>
      </w:r>
      <w:r>
        <w:rPr>
          <w:rFonts w:hint="eastAsia" w:ascii="宋体" w:hAnsi="宋体" w:eastAsia="宋体" w:cs="宋体"/>
          <w:strike w:val="0"/>
          <w:dstrike w:val="0"/>
          <w:color w:val="auto"/>
          <w:sz w:val="24"/>
          <w:szCs w:val="24"/>
          <w:highlight w:val="none"/>
          <w:u w:val="none"/>
          <w:lang w:val="en-US" w:eastAsia="zh-CN"/>
        </w:rPr>
        <w:t>坍塌</w:t>
      </w:r>
      <w:r>
        <w:rPr>
          <w:rFonts w:hint="default" w:ascii="宋体" w:hAnsi="宋体" w:eastAsia="宋体" w:cs="宋体"/>
          <w:strike w:val="0"/>
          <w:dstrike w:val="0"/>
          <w:color w:val="auto"/>
          <w:sz w:val="24"/>
          <w:szCs w:val="24"/>
          <w:highlight w:val="none"/>
          <w:u w:val="none"/>
          <w:lang w:val="en-US" w:eastAsia="zh-CN"/>
        </w:rPr>
        <w:t>沉陷。</w:t>
      </w:r>
    </w:p>
    <w:p w14:paraId="0C857F94">
      <w:pPr>
        <w:spacing w:line="360" w:lineRule="auto"/>
        <w:ind w:firstLine="480" w:firstLineChars="200"/>
        <w:outlineLvl w:val="2"/>
        <w:rPr>
          <w:rFonts w:hint="default" w:ascii="宋体" w:hAnsi="宋体" w:eastAsia="宋体" w:cs="宋体"/>
          <w:strike w:val="0"/>
          <w:dstrike w:val="0"/>
          <w:color w:val="auto"/>
          <w:sz w:val="24"/>
          <w:szCs w:val="24"/>
          <w:highlight w:val="none"/>
          <w:u w:val="none"/>
          <w:lang w:val="en-US" w:eastAsia="zh-CN"/>
        </w:rPr>
      </w:pPr>
      <w:r>
        <w:rPr>
          <w:rFonts w:hint="default" w:ascii="宋体" w:hAnsi="宋体" w:eastAsia="宋体" w:cs="宋体"/>
          <w:strike w:val="0"/>
          <w:dstrike w:val="0"/>
          <w:color w:val="auto"/>
          <w:sz w:val="24"/>
          <w:szCs w:val="24"/>
          <w:highlight w:val="none"/>
          <w:u w:val="none"/>
          <w:lang w:val="en-US" w:eastAsia="zh-CN"/>
        </w:rPr>
        <w:t>2.3巡视巡查人员根据巡查结果，记录巡查日志。巡查记录应包括但不限于巡查影像、巡查日期，巡查人员姓名，巡查范围，巡查发现情况等；对巡查中发现难以处理的问题及时上报采购人。</w:t>
      </w:r>
    </w:p>
    <w:p w14:paraId="010D7BE1">
      <w:pPr>
        <w:keepNext w:val="0"/>
        <w:keepLines w:val="0"/>
        <w:widowControl/>
        <w:suppressLineNumbers w:val="0"/>
        <w:spacing w:line="360" w:lineRule="auto"/>
        <w:ind w:firstLine="480" w:firstLineChars="200"/>
        <w:jc w:val="left"/>
        <w:rPr>
          <w:rFonts w:hint="default"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2.4</w:t>
      </w:r>
      <w:r>
        <w:rPr>
          <w:rFonts w:hint="eastAsia" w:ascii="宋体" w:hAnsi="宋体" w:eastAsia="宋体" w:cs="宋体"/>
          <w:b w:val="0"/>
          <w:bCs w:val="0"/>
          <w:snapToGrid w:val="0"/>
          <w:color w:val="auto"/>
          <w:kern w:val="0"/>
          <w:sz w:val="24"/>
          <w:szCs w:val="24"/>
          <w:highlight w:val="none"/>
          <w:lang w:val="en-US" w:eastAsia="zh-CN" w:bidi="ar"/>
        </w:rPr>
        <w:t>涵闸</w:t>
      </w:r>
      <w:r>
        <w:rPr>
          <w:rFonts w:hint="default" w:ascii="宋体" w:hAnsi="宋体" w:eastAsia="宋体" w:cs="宋体"/>
          <w:b w:val="0"/>
          <w:bCs w:val="0"/>
          <w:strike w:val="0"/>
          <w:dstrike w:val="0"/>
          <w:color w:val="auto"/>
          <w:sz w:val="24"/>
          <w:szCs w:val="24"/>
          <w:highlight w:val="none"/>
          <w:u w:val="none"/>
          <w:lang w:val="en-US" w:eastAsia="zh-CN"/>
        </w:rPr>
        <w:t>巡视巡查</w:t>
      </w:r>
      <w:r>
        <w:rPr>
          <w:rFonts w:hint="eastAsia" w:ascii="宋体" w:hAnsi="宋体" w:eastAsia="宋体" w:cs="宋体"/>
          <w:b/>
          <w:bCs/>
          <w:snapToGrid w:val="0"/>
          <w:color w:val="auto"/>
          <w:kern w:val="0"/>
          <w:sz w:val="24"/>
          <w:szCs w:val="24"/>
          <w:highlight w:val="none"/>
          <w:lang w:val="en-US" w:eastAsia="zh-CN" w:bidi="ar"/>
        </w:rPr>
        <w:t>，</w:t>
      </w:r>
      <w:r>
        <w:rPr>
          <w:rFonts w:hint="eastAsia" w:ascii="宋体" w:hAnsi="宋体" w:eastAsia="宋体" w:cs="宋体"/>
          <w:snapToGrid w:val="0"/>
          <w:color w:val="auto"/>
          <w:kern w:val="0"/>
          <w:sz w:val="24"/>
          <w:szCs w:val="24"/>
          <w:highlight w:val="none"/>
          <w:lang w:val="en-US" w:eastAsia="zh-CN" w:bidi="ar"/>
        </w:rPr>
        <w:t>调水运行期间要服从采购人调度，在最短的时间内做好进水闸、退水闸、节制闸等运行启闭的准备工作，按照指令要求完成水闸启闭机设备巡视巡查，要集中开展一次整个调水工程中所涉及的涵洞、水闸启闭设备专项检查，重点排查启闭机设备、电气设备、闸门控制系统及各种线路是否存在影响水闸安全启闭的问题，以及涵洞是否泄漏并做好检查记录。对检查发现的简单问题及时处理，难以处理的及时上报采购人并及时处置。</w:t>
      </w:r>
    </w:p>
    <w:p w14:paraId="43A02DA7">
      <w:pPr>
        <w:spacing w:line="360" w:lineRule="auto"/>
        <w:ind w:firstLine="480" w:firstLineChars="200"/>
        <w:outlineLvl w:val="2"/>
        <w:rPr>
          <w:rFonts w:hint="default"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3、</w:t>
      </w:r>
      <w:r>
        <w:rPr>
          <w:rFonts w:hint="default" w:ascii="宋体" w:hAnsi="宋体" w:eastAsia="宋体" w:cs="宋体"/>
          <w:strike w:val="0"/>
          <w:dstrike w:val="0"/>
          <w:color w:val="auto"/>
          <w:sz w:val="24"/>
          <w:szCs w:val="24"/>
          <w:highlight w:val="none"/>
          <w:u w:val="none"/>
          <w:lang w:val="en-US" w:eastAsia="zh-CN"/>
        </w:rPr>
        <w:t>应急抢修服务。</w:t>
      </w:r>
    </w:p>
    <w:p w14:paraId="13F7BEFA">
      <w:pPr>
        <w:spacing w:line="360" w:lineRule="auto"/>
        <w:ind w:firstLine="480" w:firstLineChars="200"/>
        <w:outlineLvl w:val="2"/>
        <w:rPr>
          <w:rFonts w:hint="default"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3</w:t>
      </w:r>
      <w:r>
        <w:rPr>
          <w:rFonts w:hint="default" w:ascii="宋体" w:hAnsi="宋体" w:eastAsia="宋体" w:cs="宋体"/>
          <w:strike w:val="0"/>
          <w:dstrike w:val="0"/>
          <w:color w:val="auto"/>
          <w:sz w:val="24"/>
          <w:szCs w:val="24"/>
          <w:highlight w:val="none"/>
          <w:u w:val="none"/>
          <w:lang w:val="en-US" w:eastAsia="zh-CN"/>
        </w:rPr>
        <w:t>.1泵站设备、输水渠道、管道</w:t>
      </w:r>
      <w:r>
        <w:rPr>
          <w:rFonts w:hint="eastAsia" w:ascii="宋体" w:hAnsi="宋体" w:eastAsia="宋体" w:cs="宋体"/>
          <w:strike w:val="0"/>
          <w:dstrike w:val="0"/>
          <w:color w:val="auto"/>
          <w:sz w:val="24"/>
          <w:szCs w:val="24"/>
          <w:highlight w:val="none"/>
          <w:u w:val="none"/>
          <w:lang w:val="en-US" w:eastAsia="zh-CN"/>
        </w:rPr>
        <w:t>拦水坝、涵闸</w:t>
      </w:r>
      <w:r>
        <w:rPr>
          <w:rFonts w:hint="default" w:ascii="宋体" w:hAnsi="宋体" w:eastAsia="宋体" w:cs="宋体"/>
          <w:strike w:val="0"/>
          <w:dstrike w:val="0"/>
          <w:color w:val="auto"/>
          <w:sz w:val="24"/>
          <w:szCs w:val="24"/>
          <w:highlight w:val="none"/>
          <w:u w:val="none"/>
          <w:lang w:val="en-US" w:eastAsia="zh-CN"/>
        </w:rPr>
        <w:t>等发生故障后，立即向采购人报告，说明故障</w:t>
      </w:r>
      <w:r>
        <w:rPr>
          <w:rFonts w:hint="eastAsia" w:ascii="宋体" w:hAnsi="宋体" w:eastAsia="宋体" w:cs="宋体"/>
          <w:strike w:val="0"/>
          <w:dstrike w:val="0"/>
          <w:color w:val="auto"/>
          <w:sz w:val="24"/>
          <w:szCs w:val="24"/>
          <w:highlight w:val="none"/>
          <w:u w:val="none"/>
          <w:lang w:val="en-US" w:eastAsia="zh-CN"/>
        </w:rPr>
        <w:t>或</w:t>
      </w:r>
      <w:r>
        <w:rPr>
          <w:rFonts w:hint="default" w:ascii="宋体" w:hAnsi="宋体" w:eastAsia="宋体" w:cs="宋体"/>
          <w:strike w:val="0"/>
          <w:dstrike w:val="0"/>
          <w:color w:val="auto"/>
          <w:sz w:val="24"/>
          <w:szCs w:val="24"/>
          <w:highlight w:val="none"/>
          <w:u w:val="none"/>
          <w:lang w:val="en-US" w:eastAsia="zh-CN"/>
        </w:rPr>
        <w:t>事故</w:t>
      </w:r>
      <w:r>
        <w:rPr>
          <w:rFonts w:hint="eastAsia" w:ascii="宋体" w:hAnsi="宋体" w:eastAsia="宋体" w:cs="宋体"/>
          <w:strike w:val="0"/>
          <w:dstrike w:val="0"/>
          <w:color w:val="auto"/>
          <w:sz w:val="24"/>
          <w:szCs w:val="24"/>
          <w:highlight w:val="none"/>
          <w:u w:val="none"/>
          <w:lang w:val="en-US" w:eastAsia="zh-CN"/>
        </w:rPr>
        <w:t>发生</w:t>
      </w:r>
      <w:r>
        <w:rPr>
          <w:rFonts w:hint="default" w:ascii="宋体" w:hAnsi="宋体" w:eastAsia="宋体" w:cs="宋体"/>
          <w:strike w:val="0"/>
          <w:dstrike w:val="0"/>
          <w:color w:val="auto"/>
          <w:sz w:val="24"/>
          <w:szCs w:val="24"/>
          <w:highlight w:val="none"/>
          <w:u w:val="none"/>
          <w:lang w:val="en-US" w:eastAsia="zh-CN"/>
        </w:rPr>
        <w:t>时间、地点、现场情况、影响范围等信息；</w:t>
      </w:r>
    </w:p>
    <w:p w14:paraId="710438C3">
      <w:pPr>
        <w:spacing w:line="360" w:lineRule="auto"/>
        <w:ind w:firstLine="480" w:firstLineChars="200"/>
        <w:outlineLvl w:val="2"/>
        <w:rPr>
          <w:rFonts w:hint="default"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3</w:t>
      </w:r>
      <w:r>
        <w:rPr>
          <w:rFonts w:hint="default" w:ascii="宋体" w:hAnsi="宋体" w:eastAsia="宋体" w:cs="宋体"/>
          <w:strike w:val="0"/>
          <w:dstrike w:val="0"/>
          <w:color w:val="auto"/>
          <w:sz w:val="24"/>
          <w:szCs w:val="24"/>
          <w:highlight w:val="none"/>
          <w:u w:val="none"/>
          <w:lang w:val="en-US" w:eastAsia="zh-CN"/>
        </w:rPr>
        <w:t>.2对故障</w:t>
      </w:r>
      <w:r>
        <w:rPr>
          <w:rFonts w:hint="eastAsia" w:ascii="宋体" w:hAnsi="宋体" w:eastAsia="宋体" w:cs="宋体"/>
          <w:strike w:val="0"/>
          <w:dstrike w:val="0"/>
          <w:color w:val="auto"/>
          <w:sz w:val="24"/>
          <w:szCs w:val="24"/>
          <w:highlight w:val="none"/>
          <w:u w:val="none"/>
          <w:lang w:val="en-US" w:eastAsia="zh-CN"/>
        </w:rPr>
        <w:t>或</w:t>
      </w:r>
      <w:r>
        <w:rPr>
          <w:rFonts w:hint="default" w:ascii="宋体" w:hAnsi="宋体" w:eastAsia="宋体" w:cs="宋体"/>
          <w:strike w:val="0"/>
          <w:dstrike w:val="0"/>
          <w:color w:val="auto"/>
          <w:sz w:val="24"/>
          <w:szCs w:val="24"/>
          <w:highlight w:val="none"/>
          <w:u w:val="none"/>
          <w:lang w:val="en-US" w:eastAsia="zh-CN"/>
        </w:rPr>
        <w:t>事故进行初步评估，确定故障</w:t>
      </w:r>
      <w:r>
        <w:rPr>
          <w:rFonts w:hint="eastAsia" w:ascii="宋体" w:hAnsi="宋体" w:eastAsia="宋体" w:cs="宋体"/>
          <w:strike w:val="0"/>
          <w:dstrike w:val="0"/>
          <w:color w:val="auto"/>
          <w:sz w:val="24"/>
          <w:szCs w:val="24"/>
          <w:highlight w:val="none"/>
          <w:u w:val="none"/>
          <w:lang w:val="en-US" w:eastAsia="zh-CN"/>
        </w:rPr>
        <w:t>或</w:t>
      </w:r>
      <w:r>
        <w:rPr>
          <w:rFonts w:hint="default" w:ascii="宋体" w:hAnsi="宋体" w:eastAsia="宋体" w:cs="宋体"/>
          <w:strike w:val="0"/>
          <w:dstrike w:val="0"/>
          <w:color w:val="auto"/>
          <w:sz w:val="24"/>
          <w:szCs w:val="24"/>
          <w:highlight w:val="none"/>
          <w:u w:val="none"/>
          <w:lang w:val="en-US" w:eastAsia="zh-CN"/>
        </w:rPr>
        <w:t>事故原因及抢修方案。</w:t>
      </w:r>
    </w:p>
    <w:p w14:paraId="7BE2BD51">
      <w:pPr>
        <w:spacing w:line="360" w:lineRule="auto"/>
        <w:ind w:firstLine="480" w:firstLineChars="200"/>
        <w:outlineLvl w:val="2"/>
        <w:rPr>
          <w:rFonts w:hint="default"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3</w:t>
      </w:r>
      <w:r>
        <w:rPr>
          <w:rFonts w:hint="default" w:ascii="宋体" w:hAnsi="宋体" w:eastAsia="宋体" w:cs="宋体"/>
          <w:strike w:val="0"/>
          <w:dstrike w:val="0"/>
          <w:color w:val="auto"/>
          <w:sz w:val="24"/>
          <w:szCs w:val="24"/>
          <w:highlight w:val="none"/>
          <w:u w:val="none"/>
          <w:lang w:val="en-US" w:eastAsia="zh-CN"/>
        </w:rPr>
        <w:t>.3迅速控制事态的发展，快速处置好所发生的情况并向采购人汇报处理</w:t>
      </w:r>
      <w:r>
        <w:rPr>
          <w:rFonts w:hint="eastAsia" w:ascii="宋体" w:hAnsi="宋体" w:eastAsia="宋体" w:cs="宋体"/>
          <w:strike w:val="0"/>
          <w:dstrike w:val="0"/>
          <w:color w:val="auto"/>
          <w:sz w:val="24"/>
          <w:szCs w:val="24"/>
          <w:highlight w:val="none"/>
          <w:u w:val="none"/>
          <w:lang w:val="en-US" w:eastAsia="zh-CN"/>
        </w:rPr>
        <w:t>结果及</w:t>
      </w:r>
      <w:r>
        <w:rPr>
          <w:rFonts w:hint="default" w:ascii="宋体" w:hAnsi="宋体" w:eastAsia="宋体" w:cs="宋体"/>
          <w:strike w:val="0"/>
          <w:dstrike w:val="0"/>
          <w:color w:val="auto"/>
          <w:sz w:val="24"/>
          <w:szCs w:val="24"/>
          <w:highlight w:val="none"/>
          <w:u w:val="none"/>
          <w:lang w:val="en-US" w:eastAsia="zh-CN"/>
        </w:rPr>
        <w:t>相关情况。</w:t>
      </w:r>
    </w:p>
    <w:p w14:paraId="7BA03E92">
      <w:pPr>
        <w:numPr>
          <w:ilvl w:val="0"/>
          <w:numId w:val="1"/>
        </w:numPr>
        <w:spacing w:line="360" w:lineRule="auto"/>
        <w:ind w:firstLine="480" w:firstLineChars="200"/>
        <w:outlineLvl w:val="2"/>
        <w:rPr>
          <w:rFonts w:hint="default"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有关工作</w:t>
      </w:r>
      <w:r>
        <w:rPr>
          <w:rFonts w:hint="default" w:ascii="宋体" w:hAnsi="宋体" w:eastAsia="宋体" w:cs="宋体"/>
          <w:strike w:val="0"/>
          <w:dstrike w:val="0"/>
          <w:color w:val="auto"/>
          <w:sz w:val="24"/>
          <w:szCs w:val="24"/>
          <w:highlight w:val="none"/>
          <w:u w:val="none"/>
          <w:lang w:val="en-US" w:eastAsia="zh-CN"/>
        </w:rPr>
        <w:t>要求</w:t>
      </w:r>
    </w:p>
    <w:p w14:paraId="05B6C307">
      <w:pPr>
        <w:spacing w:line="360" w:lineRule="auto"/>
        <w:ind w:firstLine="480" w:firstLineChars="200"/>
        <w:outlineLvl w:val="2"/>
        <w:rPr>
          <w:rFonts w:hint="eastAsia"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1、</w:t>
      </w:r>
      <w:r>
        <w:rPr>
          <w:rFonts w:hint="default" w:ascii="宋体" w:hAnsi="宋体" w:eastAsia="宋体" w:cs="宋体"/>
          <w:strike w:val="0"/>
          <w:dstrike w:val="0"/>
          <w:color w:val="auto"/>
          <w:sz w:val="24"/>
          <w:szCs w:val="24"/>
          <w:highlight w:val="none"/>
          <w:u w:val="none"/>
          <w:lang w:val="en-US" w:eastAsia="zh-CN"/>
        </w:rPr>
        <w:t>配置</w:t>
      </w:r>
      <w:r>
        <w:rPr>
          <w:rFonts w:hint="eastAsia" w:ascii="宋体" w:hAnsi="宋体" w:eastAsia="宋体" w:cs="宋体"/>
          <w:strike w:val="0"/>
          <w:dstrike w:val="0"/>
          <w:color w:val="auto"/>
          <w:sz w:val="24"/>
          <w:szCs w:val="24"/>
          <w:highlight w:val="none"/>
          <w:u w:val="none"/>
          <w:lang w:val="en-US" w:eastAsia="zh-CN"/>
        </w:rPr>
        <w:t>充足人员力量</w:t>
      </w:r>
      <w:r>
        <w:rPr>
          <w:rFonts w:hint="default" w:ascii="宋体" w:hAnsi="宋体" w:eastAsia="宋体" w:cs="宋体"/>
          <w:strike w:val="0"/>
          <w:dstrike w:val="0"/>
          <w:color w:val="auto"/>
          <w:sz w:val="24"/>
          <w:szCs w:val="24"/>
          <w:highlight w:val="none"/>
          <w:u w:val="none"/>
          <w:lang w:val="en-US" w:eastAsia="zh-CN"/>
        </w:rPr>
        <w:t>。</w:t>
      </w:r>
      <w:r>
        <w:rPr>
          <w:rFonts w:hint="eastAsia" w:ascii="宋体" w:hAnsi="宋体" w:eastAsia="宋体" w:cs="宋体"/>
          <w:strike w:val="0"/>
          <w:dstrike w:val="0"/>
          <w:color w:val="auto"/>
          <w:sz w:val="24"/>
          <w:szCs w:val="24"/>
          <w:highlight w:val="none"/>
          <w:u w:val="none"/>
          <w:lang w:val="en-US" w:eastAsia="zh-CN"/>
        </w:rPr>
        <w:t>1.</w:t>
      </w:r>
      <w:r>
        <w:rPr>
          <w:rFonts w:hint="default" w:ascii="宋体" w:hAnsi="宋体" w:eastAsia="宋体" w:cs="宋体"/>
          <w:strike w:val="0"/>
          <w:dstrike w:val="0"/>
          <w:color w:val="auto"/>
          <w:sz w:val="24"/>
          <w:szCs w:val="24"/>
          <w:highlight w:val="none"/>
          <w:u w:val="none"/>
          <w:lang w:val="en-US" w:eastAsia="zh-CN"/>
        </w:rPr>
        <w:t>泵站运行</w:t>
      </w:r>
      <w:r>
        <w:rPr>
          <w:rFonts w:hint="eastAsia" w:ascii="宋体" w:hAnsi="宋体" w:eastAsia="宋体" w:cs="宋体"/>
          <w:strike w:val="0"/>
          <w:dstrike w:val="0"/>
          <w:color w:val="auto"/>
          <w:sz w:val="24"/>
          <w:szCs w:val="24"/>
          <w:highlight w:val="none"/>
          <w:u w:val="none"/>
          <w:lang w:val="en-US" w:eastAsia="zh-CN"/>
        </w:rPr>
        <w:t>维护</w:t>
      </w:r>
      <w:r>
        <w:rPr>
          <w:rFonts w:hint="default" w:ascii="宋体" w:hAnsi="宋体" w:eastAsia="宋体" w:cs="宋体"/>
          <w:strike w:val="0"/>
          <w:dstrike w:val="0"/>
          <w:color w:val="auto"/>
          <w:sz w:val="24"/>
          <w:szCs w:val="24"/>
          <w:highlight w:val="none"/>
          <w:u w:val="none"/>
          <w:lang w:val="en-US" w:eastAsia="zh-CN"/>
        </w:rPr>
        <w:t>服务</w:t>
      </w:r>
      <w:r>
        <w:rPr>
          <w:rFonts w:hint="eastAsia" w:ascii="宋体" w:hAnsi="宋体" w:eastAsia="宋体" w:cs="宋体"/>
          <w:strike w:val="0"/>
          <w:dstrike w:val="0"/>
          <w:color w:val="auto"/>
          <w:sz w:val="24"/>
          <w:szCs w:val="24"/>
          <w:highlight w:val="none"/>
          <w:u w:val="none"/>
          <w:lang w:val="en-US" w:eastAsia="zh-CN"/>
        </w:rPr>
        <w:t>：24小时值班，每班同时在岗人员不低于2人；(主要工作内容包括且不限于设备启停、记录设备的外观情况、运行状态、运行电压、运行电流、运行温度及开停机时间、台数及水量等，做好一切运行记录并建立台帐；随时发现设备故障及潜在的安全隐患，保障泵站设备安全和稳定运行；保持泵站值班房及周边环境卫生；作好防电力、防火、防盗、防破坏、防公共安全等管护工作。对运行期间发生的泵站运行及停机期间，定期对各泵站电力线路、电气、设备、监控等附属物进行检修保养；随时解决发现的一般故障和潜在的安全隐患，保障泵站设备安全和稳定运行。2.渠道、管道、水闸、拦水坝巡查管护：调水期间对各渠道、管道、拦水坝及控制闸等构筑物每天进行一次定期巡查维护，每次投入人员不低于4-5人；及时发现潜在的堤坝安全隐患，保障渠道、管道、拦水坝安全和稳定运行。防沿途非法破坏及占用、防公共安全等管护工作。至少每二天组织一次水面的杂物垃圾清理，确保水流畅顺。提供水面及周边清理的必要机械。</w:t>
      </w:r>
      <w:r>
        <w:rPr>
          <w:rFonts w:hint="eastAsia" w:ascii="宋体" w:hAnsi="宋体" w:eastAsia="宋体" w:cs="宋体"/>
          <w:strike w:val="0"/>
          <w:dstrike w:val="0"/>
          <w:color w:val="auto"/>
          <w:sz w:val="24"/>
          <w:szCs w:val="24"/>
          <w:highlight w:val="none"/>
          <w:u w:val="none"/>
        </w:rPr>
        <w:t>供应商</w:t>
      </w:r>
      <w:r>
        <w:rPr>
          <w:rFonts w:hint="eastAsia" w:ascii="宋体" w:hAnsi="宋体" w:eastAsia="宋体" w:cs="宋体"/>
          <w:strike w:val="0"/>
          <w:dstrike w:val="0"/>
          <w:color w:val="auto"/>
          <w:sz w:val="24"/>
          <w:szCs w:val="24"/>
          <w:highlight w:val="none"/>
          <w:u w:val="none"/>
          <w:lang w:val="en-US" w:eastAsia="zh-CN"/>
        </w:rPr>
        <w:t>须配备具有泵站运维经验的</w:t>
      </w:r>
      <w:r>
        <w:rPr>
          <w:rFonts w:hint="eastAsia" w:ascii="宋体" w:hAnsi="宋体" w:eastAsia="宋体" w:cs="宋体"/>
          <w:strike w:val="0"/>
          <w:dstrike w:val="0"/>
          <w:color w:val="auto"/>
          <w:sz w:val="24"/>
          <w:szCs w:val="24"/>
          <w:highlight w:val="none"/>
          <w:u w:val="none"/>
        </w:rPr>
        <w:t>高</w:t>
      </w:r>
      <w:r>
        <w:rPr>
          <w:rFonts w:hint="eastAsia" w:ascii="宋体" w:hAnsi="宋体" w:eastAsia="宋体" w:cs="宋体"/>
          <w:strike w:val="0"/>
          <w:dstrike w:val="0"/>
          <w:color w:val="auto"/>
          <w:sz w:val="24"/>
          <w:szCs w:val="24"/>
          <w:highlight w:val="none"/>
          <w:u w:val="none"/>
          <w:lang w:val="en-US" w:eastAsia="zh-CN"/>
        </w:rPr>
        <w:t>压电工至少2人</w:t>
      </w:r>
      <w:r>
        <w:rPr>
          <w:rFonts w:hint="eastAsia" w:ascii="宋体" w:hAnsi="宋体" w:eastAsia="宋体" w:cs="宋体"/>
          <w:strike w:val="0"/>
          <w:dstrike w:val="0"/>
          <w:color w:val="auto"/>
          <w:sz w:val="24"/>
          <w:szCs w:val="24"/>
          <w:highlight w:val="none"/>
          <w:u w:val="none"/>
        </w:rPr>
        <w:t>、低压电工</w:t>
      </w:r>
      <w:r>
        <w:rPr>
          <w:rFonts w:hint="eastAsia" w:ascii="宋体" w:hAnsi="宋体" w:eastAsia="宋体" w:cs="宋体"/>
          <w:strike w:val="0"/>
          <w:dstrike w:val="0"/>
          <w:color w:val="auto"/>
          <w:sz w:val="24"/>
          <w:szCs w:val="24"/>
          <w:highlight w:val="none"/>
          <w:u w:val="none"/>
          <w:lang w:val="en-US" w:eastAsia="zh-CN"/>
        </w:rPr>
        <w:t>至少2</w:t>
      </w:r>
      <w:r>
        <w:rPr>
          <w:rFonts w:hint="eastAsia" w:ascii="宋体" w:hAnsi="宋体" w:eastAsia="宋体" w:cs="宋体"/>
          <w:strike w:val="0"/>
          <w:dstrike w:val="0"/>
          <w:color w:val="auto"/>
          <w:sz w:val="24"/>
          <w:szCs w:val="24"/>
          <w:highlight w:val="none"/>
          <w:u w:val="none"/>
        </w:rPr>
        <w:t>人，须具有国家、省、市人力资源和社会保障部门或各省、市应急管理部门颁发的高、低压电工证</w:t>
      </w:r>
      <w:r>
        <w:rPr>
          <w:rFonts w:hint="eastAsia" w:ascii="宋体" w:hAnsi="宋体" w:eastAsia="宋体" w:cs="宋体"/>
          <w:strike w:val="0"/>
          <w:dstrike w:val="0"/>
          <w:color w:val="auto"/>
          <w:sz w:val="24"/>
          <w:szCs w:val="24"/>
          <w:highlight w:val="none"/>
          <w:u w:val="none"/>
          <w:lang w:eastAsia="zh-CN"/>
        </w:rPr>
        <w:t>。</w:t>
      </w:r>
    </w:p>
    <w:p w14:paraId="04B7A2BE">
      <w:pPr>
        <w:spacing w:line="360" w:lineRule="auto"/>
        <w:ind w:firstLine="480" w:firstLineChars="200"/>
        <w:outlineLvl w:val="2"/>
        <w:rPr>
          <w:rFonts w:hint="default"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2、</w:t>
      </w:r>
      <w:r>
        <w:rPr>
          <w:rFonts w:hint="default" w:ascii="宋体" w:hAnsi="宋体" w:eastAsia="宋体" w:cs="宋体"/>
          <w:strike w:val="0"/>
          <w:dstrike w:val="0"/>
          <w:color w:val="auto"/>
          <w:sz w:val="24"/>
          <w:szCs w:val="24"/>
          <w:highlight w:val="none"/>
          <w:u w:val="none"/>
          <w:lang w:val="en-US" w:eastAsia="zh-CN"/>
        </w:rPr>
        <w:t>配置必要机具设备。</w:t>
      </w:r>
      <w:r>
        <w:rPr>
          <w:rFonts w:hint="eastAsia" w:ascii="宋体" w:hAnsi="宋体" w:eastAsia="宋体" w:cs="宋体"/>
          <w:strike w:val="0"/>
          <w:dstrike w:val="0"/>
          <w:color w:val="auto"/>
          <w:sz w:val="24"/>
          <w:szCs w:val="24"/>
          <w:highlight w:val="none"/>
          <w:u w:val="none"/>
          <w:lang w:val="en-US" w:eastAsia="zh-CN"/>
        </w:rPr>
        <w:t>成交供应商</w:t>
      </w:r>
      <w:r>
        <w:rPr>
          <w:rFonts w:hint="default" w:ascii="宋体" w:hAnsi="宋体" w:eastAsia="宋体" w:cs="宋体"/>
          <w:strike w:val="0"/>
          <w:dstrike w:val="0"/>
          <w:color w:val="auto"/>
          <w:sz w:val="24"/>
          <w:szCs w:val="24"/>
          <w:highlight w:val="none"/>
          <w:u w:val="none"/>
          <w:lang w:val="en-US" w:eastAsia="zh-CN"/>
        </w:rPr>
        <w:t>应配置必要的运维管理设备，包含但不限于日常维修养护设备，应急抢修机具，交通运输车辆，除杂清障工具，监测测量仪器，日常巡查装备，维修耗材配件等。运维机具设备以</w:t>
      </w:r>
      <w:r>
        <w:rPr>
          <w:rFonts w:hint="eastAsia" w:ascii="宋体" w:hAnsi="宋体" w:eastAsia="宋体" w:cs="宋体"/>
          <w:strike w:val="0"/>
          <w:dstrike w:val="0"/>
          <w:color w:val="auto"/>
          <w:sz w:val="24"/>
          <w:szCs w:val="24"/>
          <w:highlight w:val="none"/>
          <w:u w:val="none"/>
          <w:lang w:val="en-US" w:eastAsia="zh-CN"/>
        </w:rPr>
        <w:t>成交供应商</w:t>
      </w:r>
      <w:r>
        <w:rPr>
          <w:rFonts w:hint="default" w:ascii="宋体" w:hAnsi="宋体" w:eastAsia="宋体" w:cs="宋体"/>
          <w:strike w:val="0"/>
          <w:dstrike w:val="0"/>
          <w:color w:val="auto"/>
          <w:sz w:val="24"/>
          <w:szCs w:val="24"/>
          <w:highlight w:val="none"/>
          <w:u w:val="none"/>
          <w:lang w:val="en-US" w:eastAsia="zh-CN"/>
        </w:rPr>
        <w:t>自有为主，市场长期租赁为补充。根据工程日常运行实际，提前储备必要的维修养护备品备</w:t>
      </w:r>
      <w:r>
        <w:rPr>
          <w:rFonts w:hint="eastAsia" w:ascii="宋体" w:hAnsi="宋体" w:eastAsia="宋体" w:cs="宋体"/>
          <w:strike w:val="0"/>
          <w:dstrike w:val="0"/>
          <w:color w:val="auto"/>
          <w:sz w:val="24"/>
          <w:szCs w:val="24"/>
          <w:highlight w:val="none"/>
          <w:u w:val="none"/>
          <w:lang w:val="en-US" w:eastAsia="zh-CN"/>
        </w:rPr>
        <w:t>件。</w:t>
      </w:r>
    </w:p>
    <w:p w14:paraId="718D0620">
      <w:pPr>
        <w:spacing w:line="360" w:lineRule="auto"/>
        <w:ind w:firstLine="480" w:firstLineChars="200"/>
        <w:outlineLvl w:val="2"/>
        <w:rPr>
          <w:rFonts w:hint="default"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3、</w:t>
      </w:r>
      <w:r>
        <w:rPr>
          <w:rFonts w:hint="default" w:ascii="宋体" w:hAnsi="宋体" w:eastAsia="宋体" w:cs="宋体"/>
          <w:strike w:val="0"/>
          <w:dstrike w:val="0"/>
          <w:color w:val="auto"/>
          <w:sz w:val="24"/>
          <w:szCs w:val="24"/>
          <w:highlight w:val="none"/>
          <w:u w:val="none"/>
          <w:lang w:val="en-US" w:eastAsia="zh-CN"/>
        </w:rPr>
        <w:t>制定运行管理</w:t>
      </w:r>
      <w:r>
        <w:rPr>
          <w:rFonts w:hint="eastAsia" w:ascii="宋体" w:hAnsi="宋体" w:eastAsia="宋体" w:cs="宋体"/>
          <w:strike w:val="0"/>
          <w:dstrike w:val="0"/>
          <w:color w:val="auto"/>
          <w:sz w:val="24"/>
          <w:szCs w:val="24"/>
          <w:highlight w:val="none"/>
          <w:u w:val="none"/>
          <w:lang w:val="en-US" w:eastAsia="zh-CN"/>
        </w:rPr>
        <w:t>方案及</w:t>
      </w:r>
      <w:r>
        <w:rPr>
          <w:rFonts w:hint="default" w:ascii="宋体" w:hAnsi="宋体" w:eastAsia="宋体" w:cs="宋体"/>
          <w:strike w:val="0"/>
          <w:dstrike w:val="0"/>
          <w:color w:val="auto"/>
          <w:sz w:val="24"/>
          <w:szCs w:val="24"/>
          <w:highlight w:val="none"/>
          <w:u w:val="none"/>
          <w:lang w:val="en-US" w:eastAsia="zh-CN"/>
        </w:rPr>
        <w:t>制度。从工程控制运用、设备操作、检查监测、维修养护、除杂清障、巡查监管以及用电、消防管理、</w:t>
      </w:r>
      <w:r>
        <w:rPr>
          <w:rFonts w:hint="eastAsia" w:ascii="宋体" w:hAnsi="宋体" w:eastAsia="宋体" w:cs="宋体"/>
          <w:strike w:val="0"/>
          <w:dstrike w:val="0"/>
          <w:color w:val="auto"/>
          <w:sz w:val="24"/>
          <w:szCs w:val="24"/>
          <w:highlight w:val="none"/>
          <w:u w:val="none"/>
          <w:lang w:val="en-US" w:eastAsia="zh-CN"/>
        </w:rPr>
        <w:t>防溺水及</w:t>
      </w:r>
      <w:r>
        <w:rPr>
          <w:rFonts w:hint="default" w:ascii="宋体" w:hAnsi="宋体" w:eastAsia="宋体" w:cs="宋体"/>
          <w:strike w:val="0"/>
          <w:dstrike w:val="0"/>
          <w:color w:val="auto"/>
          <w:sz w:val="24"/>
          <w:szCs w:val="24"/>
          <w:highlight w:val="none"/>
          <w:u w:val="none"/>
          <w:lang w:val="en-US" w:eastAsia="zh-CN"/>
        </w:rPr>
        <w:t>其他安全管理、教育培训、档案管理等方面，</w:t>
      </w:r>
      <w:r>
        <w:rPr>
          <w:rFonts w:hint="eastAsia" w:ascii="宋体" w:hAnsi="宋体" w:eastAsia="宋体" w:cs="宋体"/>
          <w:strike w:val="0"/>
          <w:dstrike w:val="0"/>
          <w:color w:val="auto"/>
          <w:sz w:val="24"/>
          <w:szCs w:val="24"/>
          <w:highlight w:val="none"/>
          <w:u w:val="none"/>
          <w:lang w:val="en-US" w:eastAsia="zh-CN"/>
        </w:rPr>
        <w:t>成交供应商</w:t>
      </w:r>
      <w:r>
        <w:rPr>
          <w:rFonts w:hint="default" w:ascii="宋体" w:hAnsi="宋体" w:eastAsia="宋体" w:cs="宋体"/>
          <w:strike w:val="0"/>
          <w:dstrike w:val="0"/>
          <w:color w:val="auto"/>
          <w:sz w:val="24"/>
          <w:szCs w:val="24"/>
          <w:highlight w:val="none"/>
          <w:u w:val="none"/>
          <w:lang w:val="en-US" w:eastAsia="zh-CN"/>
        </w:rPr>
        <w:t>要制定相应的岗位责任制和观测巡查、维修养护、控制运行、安全和应急管理、资料整编、信息管理、档案管理及运维大事记等制度，实现以制度管人管事。</w:t>
      </w:r>
    </w:p>
    <w:p w14:paraId="7FEF96B8">
      <w:pPr>
        <w:spacing w:line="360" w:lineRule="auto"/>
        <w:ind w:firstLine="480" w:firstLineChars="200"/>
        <w:outlineLvl w:val="2"/>
        <w:rPr>
          <w:rFonts w:hint="default"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4、</w:t>
      </w:r>
      <w:r>
        <w:rPr>
          <w:rFonts w:hint="default" w:ascii="宋体" w:hAnsi="宋体" w:eastAsia="宋体" w:cs="宋体"/>
          <w:strike w:val="0"/>
          <w:dstrike w:val="0"/>
          <w:color w:val="auto"/>
          <w:sz w:val="24"/>
          <w:szCs w:val="24"/>
          <w:highlight w:val="none"/>
          <w:u w:val="none"/>
          <w:lang w:val="en-US" w:eastAsia="zh-CN"/>
        </w:rPr>
        <w:t>规范运维操作流程。针对泵站电气设备运行、日常检查观测、备用电源使用、巡查记录等关键岗位的操作环节，</w:t>
      </w:r>
      <w:r>
        <w:rPr>
          <w:rFonts w:hint="eastAsia" w:ascii="宋体" w:hAnsi="宋体" w:eastAsia="宋体" w:cs="宋体"/>
          <w:strike w:val="0"/>
          <w:dstrike w:val="0"/>
          <w:color w:val="auto"/>
          <w:sz w:val="24"/>
          <w:szCs w:val="24"/>
          <w:highlight w:val="none"/>
          <w:u w:val="none"/>
          <w:lang w:val="en-US" w:eastAsia="zh-CN"/>
        </w:rPr>
        <w:t>成交供应商</w:t>
      </w:r>
      <w:r>
        <w:rPr>
          <w:rFonts w:hint="default" w:ascii="宋体" w:hAnsi="宋体" w:eastAsia="宋体" w:cs="宋体"/>
          <w:strike w:val="0"/>
          <w:dstrike w:val="0"/>
          <w:color w:val="auto"/>
          <w:sz w:val="24"/>
          <w:szCs w:val="24"/>
          <w:highlight w:val="none"/>
          <w:u w:val="none"/>
          <w:lang w:val="en-US" w:eastAsia="zh-CN"/>
        </w:rPr>
        <w:t>要制定具体工作操作流程和步骤，实际操作严格按流程开展。</w:t>
      </w:r>
    </w:p>
    <w:p w14:paraId="74B576D3">
      <w:pPr>
        <w:spacing w:line="360" w:lineRule="auto"/>
        <w:ind w:firstLine="480" w:firstLineChars="200"/>
        <w:outlineLvl w:val="2"/>
        <w:rPr>
          <w:rFonts w:hint="default"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5、</w:t>
      </w:r>
      <w:r>
        <w:rPr>
          <w:rFonts w:hint="default" w:ascii="宋体" w:hAnsi="宋体" w:eastAsia="宋体" w:cs="宋体"/>
          <w:strike w:val="0"/>
          <w:dstrike w:val="0"/>
          <w:color w:val="auto"/>
          <w:sz w:val="24"/>
          <w:szCs w:val="24"/>
          <w:highlight w:val="none"/>
          <w:u w:val="none"/>
          <w:lang w:val="en-US" w:eastAsia="zh-CN"/>
        </w:rPr>
        <w:t>严格执行调度指令。运维过程中，</w:t>
      </w:r>
      <w:r>
        <w:rPr>
          <w:rFonts w:hint="eastAsia" w:ascii="宋体" w:hAnsi="宋体" w:eastAsia="宋体" w:cs="宋体"/>
          <w:strike w:val="0"/>
          <w:dstrike w:val="0"/>
          <w:color w:val="auto"/>
          <w:sz w:val="24"/>
          <w:szCs w:val="24"/>
          <w:highlight w:val="none"/>
          <w:u w:val="none"/>
          <w:lang w:val="en-US" w:eastAsia="zh-CN"/>
        </w:rPr>
        <w:t>成交供应商</w:t>
      </w:r>
      <w:r>
        <w:rPr>
          <w:rFonts w:hint="default" w:ascii="宋体" w:hAnsi="宋体" w:eastAsia="宋体" w:cs="宋体"/>
          <w:strike w:val="0"/>
          <w:dstrike w:val="0"/>
          <w:color w:val="auto"/>
          <w:sz w:val="24"/>
          <w:szCs w:val="24"/>
          <w:highlight w:val="none"/>
          <w:u w:val="none"/>
          <w:lang w:val="en-US" w:eastAsia="zh-CN"/>
        </w:rPr>
        <w:t>要无条件服从采购方主管部门对</w:t>
      </w:r>
      <w:r>
        <w:rPr>
          <w:rFonts w:hint="eastAsia" w:ascii="宋体" w:hAnsi="宋体" w:eastAsia="宋体" w:cs="宋体"/>
          <w:strike w:val="0"/>
          <w:dstrike w:val="0"/>
          <w:color w:val="auto"/>
          <w:sz w:val="24"/>
          <w:szCs w:val="24"/>
          <w:highlight w:val="none"/>
          <w:u w:val="none"/>
          <w:lang w:val="en-US" w:eastAsia="zh-CN"/>
        </w:rPr>
        <w:t>供水工程全线</w:t>
      </w:r>
      <w:r>
        <w:rPr>
          <w:rFonts w:hint="default" w:ascii="宋体" w:hAnsi="宋体" w:eastAsia="宋体" w:cs="宋体"/>
          <w:strike w:val="0"/>
          <w:dstrike w:val="0"/>
          <w:color w:val="auto"/>
          <w:sz w:val="24"/>
          <w:szCs w:val="24"/>
          <w:highlight w:val="none"/>
          <w:u w:val="none"/>
          <w:lang w:val="en-US" w:eastAsia="zh-CN"/>
        </w:rPr>
        <w:t>泵站、节制闸</w:t>
      </w:r>
      <w:r>
        <w:rPr>
          <w:rFonts w:hint="eastAsia" w:ascii="宋体" w:hAnsi="宋体" w:eastAsia="宋体" w:cs="宋体"/>
          <w:strike w:val="0"/>
          <w:dstrike w:val="0"/>
          <w:color w:val="auto"/>
          <w:sz w:val="24"/>
          <w:szCs w:val="24"/>
          <w:highlight w:val="none"/>
          <w:u w:val="none"/>
          <w:lang w:val="en-US" w:eastAsia="zh-CN"/>
        </w:rPr>
        <w:t>、渠道堤防、河道拦水坝等实施的运行调度</w:t>
      </w:r>
      <w:r>
        <w:rPr>
          <w:rFonts w:hint="default" w:ascii="宋体" w:hAnsi="宋体" w:eastAsia="宋体" w:cs="宋体"/>
          <w:strike w:val="0"/>
          <w:dstrike w:val="0"/>
          <w:color w:val="auto"/>
          <w:sz w:val="24"/>
          <w:szCs w:val="24"/>
          <w:highlight w:val="none"/>
          <w:u w:val="none"/>
          <w:lang w:val="en-US" w:eastAsia="zh-CN"/>
        </w:rPr>
        <w:t>管理、安全</w:t>
      </w:r>
      <w:r>
        <w:rPr>
          <w:rFonts w:hint="eastAsia" w:ascii="宋体" w:hAnsi="宋体" w:eastAsia="宋体" w:cs="宋体"/>
          <w:strike w:val="0"/>
          <w:dstrike w:val="0"/>
          <w:color w:val="auto"/>
          <w:sz w:val="24"/>
          <w:szCs w:val="24"/>
          <w:highlight w:val="none"/>
          <w:u w:val="none"/>
          <w:lang w:val="en-US" w:eastAsia="zh-CN"/>
        </w:rPr>
        <w:t>管理</w:t>
      </w:r>
      <w:r>
        <w:rPr>
          <w:rFonts w:hint="default" w:ascii="宋体" w:hAnsi="宋体" w:eastAsia="宋体" w:cs="宋体"/>
          <w:strike w:val="0"/>
          <w:dstrike w:val="0"/>
          <w:color w:val="auto"/>
          <w:sz w:val="24"/>
          <w:szCs w:val="24"/>
          <w:highlight w:val="none"/>
          <w:u w:val="none"/>
          <w:lang w:val="en-US" w:eastAsia="zh-CN"/>
        </w:rPr>
        <w:t>及合同规定内容的指令和要求。 集中强降雨期或滁河清流河及沿线渠道高水位期，运维人员</w:t>
      </w:r>
      <w:r>
        <w:rPr>
          <w:rFonts w:hint="eastAsia" w:ascii="宋体" w:hAnsi="宋体" w:eastAsia="宋体" w:cs="宋体"/>
          <w:strike w:val="0"/>
          <w:dstrike w:val="0"/>
          <w:color w:val="auto"/>
          <w:sz w:val="24"/>
          <w:szCs w:val="24"/>
          <w:highlight w:val="none"/>
          <w:u w:val="none"/>
          <w:lang w:val="en-US" w:eastAsia="zh-CN"/>
        </w:rPr>
        <w:t>必须</w:t>
      </w:r>
      <w:r>
        <w:rPr>
          <w:rFonts w:hint="default" w:ascii="宋体" w:hAnsi="宋体" w:eastAsia="宋体" w:cs="宋体"/>
          <w:strike w:val="0"/>
          <w:dstrike w:val="0"/>
          <w:color w:val="auto"/>
          <w:sz w:val="24"/>
          <w:szCs w:val="24"/>
          <w:highlight w:val="none"/>
          <w:u w:val="none"/>
          <w:lang w:val="en-US" w:eastAsia="zh-CN"/>
        </w:rPr>
        <w:t>全员在岗，驻守待命</w:t>
      </w:r>
      <w:r>
        <w:rPr>
          <w:rFonts w:hint="eastAsia" w:ascii="宋体" w:hAnsi="宋体" w:eastAsia="宋体" w:cs="宋体"/>
          <w:strike w:val="0"/>
          <w:dstrike w:val="0"/>
          <w:color w:val="auto"/>
          <w:sz w:val="24"/>
          <w:szCs w:val="24"/>
          <w:highlight w:val="none"/>
          <w:u w:val="none"/>
          <w:lang w:val="en-US" w:eastAsia="zh-CN"/>
        </w:rPr>
        <w:t>严防事故发生</w:t>
      </w:r>
      <w:r>
        <w:rPr>
          <w:rFonts w:hint="default" w:ascii="宋体" w:hAnsi="宋体" w:eastAsia="宋体" w:cs="宋体"/>
          <w:strike w:val="0"/>
          <w:dstrike w:val="0"/>
          <w:color w:val="auto"/>
          <w:sz w:val="24"/>
          <w:szCs w:val="24"/>
          <w:highlight w:val="none"/>
          <w:u w:val="none"/>
          <w:lang w:val="en-US" w:eastAsia="zh-CN"/>
        </w:rPr>
        <w:t>；充分做好日常巡查维护，适时开展电力、机电、及相关设备检查，确保运行安全、万无一失。</w:t>
      </w:r>
    </w:p>
    <w:p w14:paraId="219B5D23">
      <w:pPr>
        <w:spacing w:line="360" w:lineRule="auto"/>
        <w:ind w:firstLine="480" w:firstLineChars="200"/>
        <w:outlineLvl w:val="2"/>
        <w:rPr>
          <w:rFonts w:hint="default"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6、</w:t>
      </w:r>
      <w:r>
        <w:rPr>
          <w:rFonts w:hint="default" w:ascii="宋体" w:hAnsi="宋体" w:eastAsia="宋体" w:cs="宋体"/>
          <w:strike w:val="0"/>
          <w:dstrike w:val="0"/>
          <w:color w:val="auto"/>
          <w:sz w:val="24"/>
          <w:szCs w:val="24"/>
          <w:highlight w:val="none"/>
          <w:u w:val="none"/>
          <w:lang w:val="en-US" w:eastAsia="zh-CN"/>
        </w:rPr>
        <w:t>协助开展相关工作。</w:t>
      </w:r>
      <w:r>
        <w:rPr>
          <w:rFonts w:hint="eastAsia" w:ascii="宋体" w:hAnsi="宋体" w:eastAsia="宋体" w:cs="宋体"/>
          <w:strike w:val="0"/>
          <w:dstrike w:val="0"/>
          <w:color w:val="auto"/>
          <w:sz w:val="24"/>
          <w:szCs w:val="24"/>
          <w:highlight w:val="none"/>
          <w:u w:val="none"/>
          <w:lang w:val="en-US" w:eastAsia="zh-CN"/>
        </w:rPr>
        <w:t>成交供应商</w:t>
      </w:r>
      <w:r>
        <w:rPr>
          <w:rFonts w:hint="default" w:ascii="宋体" w:hAnsi="宋体" w:eastAsia="宋体" w:cs="宋体"/>
          <w:strike w:val="0"/>
          <w:dstrike w:val="0"/>
          <w:color w:val="auto"/>
          <w:sz w:val="24"/>
          <w:szCs w:val="24"/>
          <w:highlight w:val="none"/>
          <w:u w:val="none"/>
          <w:lang w:val="en-US" w:eastAsia="zh-CN"/>
        </w:rPr>
        <w:t>根据主管部门和管理单位要求，做好迎接各类文明施工及安全检查督查等工作，认真落实安全生产责任制，确保工程运行安全的同时，要保证运维班组人员自身安全，配合做好运维管理范围内</w:t>
      </w:r>
      <w:r>
        <w:rPr>
          <w:rFonts w:hint="eastAsia" w:ascii="宋体" w:hAnsi="宋体" w:eastAsia="宋体" w:cs="宋体"/>
          <w:strike w:val="0"/>
          <w:dstrike w:val="0"/>
          <w:color w:val="auto"/>
          <w:sz w:val="24"/>
          <w:szCs w:val="24"/>
          <w:highlight w:val="none"/>
          <w:u w:val="none"/>
          <w:lang w:val="en-US" w:eastAsia="zh-CN"/>
        </w:rPr>
        <w:t>公共安全和</w:t>
      </w:r>
      <w:r>
        <w:rPr>
          <w:rFonts w:hint="default" w:ascii="宋体" w:hAnsi="宋体" w:eastAsia="宋体" w:cs="宋体"/>
          <w:strike w:val="0"/>
          <w:dstrike w:val="0"/>
          <w:color w:val="auto"/>
          <w:sz w:val="24"/>
          <w:szCs w:val="24"/>
          <w:highlight w:val="none"/>
          <w:u w:val="none"/>
          <w:lang w:val="en-US" w:eastAsia="zh-CN"/>
        </w:rPr>
        <w:t>防溺水工作。</w:t>
      </w:r>
    </w:p>
    <w:p w14:paraId="249F6EA6">
      <w:pPr>
        <w:spacing w:line="360" w:lineRule="auto"/>
        <w:ind w:firstLine="480" w:firstLineChars="200"/>
        <w:outlineLvl w:val="2"/>
        <w:rPr>
          <w:rFonts w:hint="default"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7、</w:t>
      </w:r>
      <w:r>
        <w:rPr>
          <w:rFonts w:hint="default" w:ascii="宋体" w:hAnsi="宋体" w:eastAsia="宋体" w:cs="宋体"/>
          <w:strike w:val="0"/>
          <w:dstrike w:val="0"/>
          <w:color w:val="auto"/>
          <w:sz w:val="24"/>
          <w:szCs w:val="24"/>
          <w:highlight w:val="none"/>
          <w:u w:val="none"/>
          <w:lang w:val="en-US" w:eastAsia="zh-CN"/>
        </w:rPr>
        <w:t>严格运维考核。运维工作正常开展后，</w:t>
      </w:r>
      <w:r>
        <w:rPr>
          <w:rFonts w:hint="eastAsia" w:ascii="宋体" w:hAnsi="宋体" w:eastAsia="宋体" w:cs="宋体"/>
          <w:strike w:val="0"/>
          <w:dstrike w:val="0"/>
          <w:color w:val="auto"/>
          <w:sz w:val="24"/>
          <w:szCs w:val="24"/>
          <w:highlight w:val="none"/>
          <w:u w:val="none"/>
          <w:lang w:val="en-US" w:eastAsia="zh-CN"/>
        </w:rPr>
        <w:t>采购人</w:t>
      </w:r>
      <w:r>
        <w:rPr>
          <w:rFonts w:hint="default" w:ascii="宋体" w:hAnsi="宋体" w:eastAsia="宋体" w:cs="宋体"/>
          <w:strike w:val="0"/>
          <w:dstrike w:val="0"/>
          <w:color w:val="auto"/>
          <w:sz w:val="24"/>
          <w:szCs w:val="24"/>
          <w:highlight w:val="none"/>
          <w:u w:val="none"/>
          <w:lang w:val="en-US" w:eastAsia="zh-CN"/>
        </w:rPr>
        <w:t>具体负责日常运维工作监管，研究制订运维管理考评细则。分期开展过程考核，</w:t>
      </w:r>
      <w:r>
        <w:rPr>
          <w:rFonts w:hint="eastAsia" w:ascii="宋体" w:hAnsi="宋体" w:eastAsia="宋体" w:cs="宋体"/>
          <w:strike w:val="0"/>
          <w:dstrike w:val="0"/>
          <w:color w:val="auto"/>
          <w:sz w:val="24"/>
          <w:szCs w:val="24"/>
          <w:highlight w:val="none"/>
          <w:u w:val="none"/>
          <w:lang w:val="en-US" w:eastAsia="zh-CN"/>
        </w:rPr>
        <w:t>项目结束前</w:t>
      </w:r>
      <w:r>
        <w:rPr>
          <w:rFonts w:hint="default" w:ascii="宋体" w:hAnsi="宋体" w:eastAsia="宋体" w:cs="宋体"/>
          <w:strike w:val="0"/>
          <w:dstrike w:val="0"/>
          <w:color w:val="auto"/>
          <w:sz w:val="24"/>
          <w:szCs w:val="24"/>
          <w:highlight w:val="none"/>
          <w:u w:val="none"/>
          <w:lang w:val="en-US" w:eastAsia="zh-CN"/>
        </w:rPr>
        <w:t>开展当期运维综合评价。评价工作严格依据考评赋分细则逐项打分，按得分情况兑现运维经费。</w:t>
      </w:r>
    </w:p>
    <w:p w14:paraId="3D9C279C">
      <w:pPr>
        <w:pStyle w:val="9"/>
        <w:spacing w:before="145" w:line="219" w:lineRule="auto"/>
        <w:jc w:val="center"/>
        <w:rPr>
          <w:color w:val="auto"/>
          <w:highlight w:val="none"/>
        </w:rPr>
      </w:pPr>
      <w:r>
        <w:rPr>
          <w:rFonts w:hint="eastAsia" w:ascii="宋体" w:hAnsi="宋体" w:eastAsia="宋体" w:cs="宋体"/>
          <w:b/>
          <w:bCs/>
          <w:color w:val="auto"/>
          <w:sz w:val="32"/>
          <w:szCs w:val="32"/>
          <w:highlight w:val="none"/>
          <w:lang w:eastAsia="zh-CN" w:bidi="ar"/>
        </w:rPr>
        <w:t>滁城应急供水工程运行维护项目月度</w:t>
      </w:r>
      <w:r>
        <w:rPr>
          <w:rFonts w:hint="eastAsia" w:ascii="宋体" w:hAnsi="宋体" w:eastAsia="宋体" w:cs="宋体"/>
          <w:b/>
          <w:bCs/>
          <w:color w:val="auto"/>
          <w:spacing w:val="-1"/>
          <w:sz w:val="32"/>
          <w:szCs w:val="32"/>
          <w:highlight w:val="none"/>
        </w:rPr>
        <w:t>考评</w:t>
      </w:r>
      <w:r>
        <w:rPr>
          <w:rFonts w:hint="eastAsia" w:ascii="宋体" w:hAnsi="宋体" w:eastAsia="宋体" w:cs="宋体"/>
          <w:b/>
          <w:bCs/>
          <w:color w:val="auto"/>
          <w:spacing w:val="-1"/>
          <w:sz w:val="32"/>
          <w:szCs w:val="32"/>
          <w:highlight w:val="none"/>
          <w:lang w:val="en-US" w:eastAsia="zh-CN"/>
        </w:rPr>
        <w:t>赋分</w:t>
      </w:r>
      <w:r>
        <w:rPr>
          <w:rFonts w:hint="eastAsia" w:ascii="宋体" w:hAnsi="宋体" w:eastAsia="宋体" w:cs="宋体"/>
          <w:b/>
          <w:bCs/>
          <w:color w:val="auto"/>
          <w:spacing w:val="-1"/>
          <w:sz w:val="32"/>
          <w:szCs w:val="32"/>
          <w:highlight w:val="none"/>
        </w:rPr>
        <w:t>细则</w:t>
      </w:r>
    </w:p>
    <w:p w14:paraId="61976D4E">
      <w:pPr>
        <w:rPr>
          <w:rFonts w:ascii="Arial"/>
          <w:color w:val="auto"/>
          <w:sz w:val="21"/>
          <w:highlight w:val="none"/>
        </w:rPr>
      </w:pPr>
    </w:p>
    <w:tbl>
      <w:tblPr>
        <w:tblStyle w:val="69"/>
        <w:tblW w:w="9254"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5194"/>
        <w:gridCol w:w="1167"/>
        <w:gridCol w:w="1116"/>
        <w:gridCol w:w="992"/>
      </w:tblGrid>
      <w:tr w14:paraId="0A290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785" w:type="dxa"/>
            <w:tcBorders>
              <w:left w:val="single" w:color="000000" w:sz="8" w:space="0"/>
            </w:tcBorders>
            <w:noWrap w:val="0"/>
            <w:vAlign w:val="top"/>
          </w:tcPr>
          <w:p w14:paraId="3AA92714">
            <w:pPr>
              <w:pStyle w:val="70"/>
              <w:keepNext w:val="0"/>
              <w:keepLines w:val="0"/>
              <w:pageBreakBefore w:val="0"/>
              <w:widowControl/>
              <w:kinsoku w:val="0"/>
              <w:wordWrap/>
              <w:overflowPunct/>
              <w:topLinePunct w:val="0"/>
              <w:autoSpaceDE w:val="0"/>
              <w:autoSpaceDN w:val="0"/>
              <w:bidi w:val="0"/>
              <w:adjustRightInd w:val="0"/>
              <w:snapToGrid w:val="0"/>
              <w:spacing w:before="0" w:beforeLines="200" w:after="0" w:afterLines="200" w:line="360" w:lineRule="auto"/>
              <w:jc w:val="center"/>
              <w:textAlignment w:val="baseline"/>
              <w:rPr>
                <w:rFonts w:hint="default" w:ascii="宋体" w:hAnsi="宋体" w:eastAsia="宋体" w:cs="宋体"/>
                <w:b/>
                <w:bCs/>
                <w:snapToGrid w:val="0"/>
                <w:color w:val="auto"/>
                <w:kern w:val="0"/>
                <w:sz w:val="21"/>
                <w:szCs w:val="21"/>
                <w:highlight w:val="none"/>
                <w:lang w:val="en-US" w:eastAsia="zh-CN" w:bidi="ar-SA"/>
              </w:rPr>
            </w:pPr>
            <w:r>
              <w:rPr>
                <w:rFonts w:hint="eastAsia" w:ascii="宋体" w:hAnsi="宋体" w:eastAsia="宋体" w:cs="宋体"/>
                <w:b/>
                <w:bCs/>
                <w:snapToGrid w:val="0"/>
                <w:color w:val="auto"/>
                <w:kern w:val="0"/>
                <w:sz w:val="21"/>
                <w:szCs w:val="21"/>
                <w:highlight w:val="none"/>
                <w:lang w:val="en-US" w:eastAsia="zh-CN" w:bidi="ar-SA"/>
              </w:rPr>
              <w:t>序号</w:t>
            </w:r>
          </w:p>
        </w:tc>
        <w:tc>
          <w:tcPr>
            <w:tcW w:w="5194" w:type="dxa"/>
            <w:noWrap w:val="0"/>
            <w:vAlign w:val="top"/>
          </w:tcPr>
          <w:p w14:paraId="752D83B7">
            <w:pPr>
              <w:pStyle w:val="70"/>
              <w:keepNext w:val="0"/>
              <w:keepLines w:val="0"/>
              <w:pageBreakBefore w:val="0"/>
              <w:widowControl/>
              <w:kinsoku w:val="0"/>
              <w:wordWrap/>
              <w:overflowPunct/>
              <w:topLinePunct w:val="0"/>
              <w:autoSpaceDE w:val="0"/>
              <w:autoSpaceDN w:val="0"/>
              <w:bidi w:val="0"/>
              <w:adjustRightInd w:val="0"/>
              <w:snapToGrid w:val="0"/>
              <w:spacing w:before="0" w:beforeLines="200" w:after="0" w:afterLines="200" w:line="360" w:lineRule="auto"/>
              <w:ind w:left="104" w:leftChars="0"/>
              <w:jc w:val="center"/>
              <w:textAlignment w:val="baseline"/>
              <w:rPr>
                <w:rFonts w:hint="default" w:ascii="宋体" w:hAnsi="宋体" w:eastAsia="宋体" w:cs="宋体"/>
                <w:b/>
                <w:bCs/>
                <w:color w:val="auto"/>
                <w:spacing w:val="9"/>
                <w:sz w:val="21"/>
                <w:szCs w:val="21"/>
                <w:highlight w:val="none"/>
                <w:lang w:val="en-US" w:eastAsia="zh-CN"/>
              </w:rPr>
            </w:pPr>
            <w:r>
              <w:rPr>
                <w:rFonts w:hint="eastAsia" w:ascii="宋体" w:hAnsi="宋体" w:eastAsia="宋体" w:cs="宋体"/>
                <w:b/>
                <w:bCs/>
                <w:color w:val="auto"/>
                <w:spacing w:val="9"/>
                <w:sz w:val="21"/>
                <w:szCs w:val="21"/>
                <w:highlight w:val="none"/>
                <w:lang w:val="en-US" w:eastAsia="zh-CN"/>
              </w:rPr>
              <w:t>考核指标及评分标准</w:t>
            </w:r>
          </w:p>
        </w:tc>
        <w:tc>
          <w:tcPr>
            <w:tcW w:w="1167" w:type="dxa"/>
            <w:noWrap w:val="0"/>
            <w:vAlign w:val="top"/>
          </w:tcPr>
          <w:p w14:paraId="37159010">
            <w:pPr>
              <w:pStyle w:val="70"/>
              <w:keepNext w:val="0"/>
              <w:keepLines w:val="0"/>
              <w:pageBreakBefore w:val="0"/>
              <w:widowControl/>
              <w:kinsoku w:val="0"/>
              <w:wordWrap/>
              <w:overflowPunct/>
              <w:topLinePunct w:val="0"/>
              <w:autoSpaceDE w:val="0"/>
              <w:autoSpaceDN w:val="0"/>
              <w:bidi w:val="0"/>
              <w:adjustRightInd w:val="0"/>
              <w:snapToGrid w:val="0"/>
              <w:spacing w:before="0" w:beforeLines="200" w:after="0" w:afterLines="200" w:line="360" w:lineRule="auto"/>
              <w:ind w:right="33"/>
              <w:jc w:val="both"/>
              <w:textAlignment w:val="baseline"/>
              <w:rPr>
                <w:rFonts w:hint="default"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分值（分）</w:t>
            </w:r>
          </w:p>
        </w:tc>
        <w:tc>
          <w:tcPr>
            <w:tcW w:w="1116" w:type="dxa"/>
            <w:tcBorders>
              <w:bottom w:val="single" w:color="auto" w:sz="4" w:space="0"/>
            </w:tcBorders>
            <w:noWrap w:val="0"/>
            <w:vAlign w:val="top"/>
          </w:tcPr>
          <w:p w14:paraId="427DCF36">
            <w:pPr>
              <w:pStyle w:val="70"/>
              <w:keepNext w:val="0"/>
              <w:keepLines w:val="0"/>
              <w:pageBreakBefore w:val="0"/>
              <w:widowControl/>
              <w:kinsoku w:val="0"/>
              <w:wordWrap/>
              <w:overflowPunct/>
              <w:topLinePunct w:val="0"/>
              <w:autoSpaceDE w:val="0"/>
              <w:autoSpaceDN w:val="0"/>
              <w:bidi w:val="0"/>
              <w:adjustRightInd w:val="0"/>
              <w:snapToGrid w:val="0"/>
              <w:spacing w:before="0" w:beforeLines="200" w:after="0" w:afterLines="200" w:line="360" w:lineRule="auto"/>
              <w:ind w:right="20"/>
              <w:jc w:val="center"/>
              <w:textAlignment w:val="baseline"/>
              <w:rPr>
                <w:rFonts w:hint="default"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分值（分）</w:t>
            </w:r>
          </w:p>
        </w:tc>
        <w:tc>
          <w:tcPr>
            <w:tcW w:w="992" w:type="dxa"/>
            <w:tcBorders>
              <w:bottom w:val="single" w:color="auto" w:sz="4" w:space="0"/>
              <w:right w:val="single" w:color="000000" w:sz="8" w:space="0"/>
            </w:tcBorders>
            <w:noWrap w:val="0"/>
            <w:vAlign w:val="top"/>
          </w:tcPr>
          <w:p w14:paraId="209645A5">
            <w:pPr>
              <w:pStyle w:val="70"/>
              <w:keepNext w:val="0"/>
              <w:keepLines w:val="0"/>
              <w:pageBreakBefore w:val="0"/>
              <w:widowControl/>
              <w:kinsoku w:val="0"/>
              <w:wordWrap/>
              <w:overflowPunct/>
              <w:topLinePunct w:val="0"/>
              <w:autoSpaceDE w:val="0"/>
              <w:autoSpaceDN w:val="0"/>
              <w:bidi w:val="0"/>
              <w:adjustRightInd w:val="0"/>
              <w:snapToGrid w:val="0"/>
              <w:spacing w:before="0" w:beforeLines="200" w:after="0" w:afterLines="200" w:line="360" w:lineRule="auto"/>
              <w:ind w:left="136" w:right="132" w:firstLine="4"/>
              <w:jc w:val="center"/>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2543A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85" w:type="dxa"/>
            <w:tcBorders>
              <w:left w:val="single" w:color="000000" w:sz="8" w:space="0"/>
            </w:tcBorders>
            <w:noWrap w:val="0"/>
            <w:vAlign w:val="center"/>
          </w:tcPr>
          <w:p w14:paraId="4A7397C2">
            <w:pPr>
              <w:pStyle w:val="70"/>
              <w:spacing w:before="235" w:line="148" w:lineRule="exact"/>
              <w:jc w:val="center"/>
              <w:rPr>
                <w:rFonts w:hint="eastAsia" w:ascii="宋体" w:hAnsi="宋体" w:eastAsia="宋体" w:cs="宋体"/>
                <w:b/>
                <w:bCs/>
                <w:snapToGrid w:val="0"/>
                <w:color w:val="auto"/>
                <w:kern w:val="0"/>
                <w:sz w:val="21"/>
                <w:szCs w:val="21"/>
                <w:highlight w:val="none"/>
                <w:lang w:val="en-US" w:eastAsia="en-US" w:bidi="ar-SA"/>
              </w:rPr>
            </w:pPr>
            <w:r>
              <w:rPr>
                <w:rFonts w:hint="eastAsia" w:ascii="宋体" w:hAnsi="宋体" w:eastAsia="宋体" w:cs="宋体"/>
                <w:b/>
                <w:bCs/>
                <w:color w:val="auto"/>
                <w:position w:val="-4"/>
                <w:sz w:val="21"/>
                <w:szCs w:val="21"/>
                <w:highlight w:val="none"/>
              </w:rPr>
              <w:t>一</w:t>
            </w:r>
          </w:p>
        </w:tc>
        <w:tc>
          <w:tcPr>
            <w:tcW w:w="5194" w:type="dxa"/>
            <w:noWrap w:val="0"/>
            <w:vAlign w:val="center"/>
          </w:tcPr>
          <w:p w14:paraId="47A11BA9">
            <w:pPr>
              <w:pStyle w:val="70"/>
              <w:spacing w:before="141" w:line="229" w:lineRule="auto"/>
              <w:ind w:left="104" w:leftChars="0"/>
              <w:jc w:val="left"/>
              <w:rPr>
                <w:rFonts w:hint="eastAsia" w:ascii="宋体" w:hAnsi="宋体" w:eastAsia="宋体" w:cs="宋体"/>
                <w:b/>
                <w:bCs/>
                <w:snapToGrid w:val="0"/>
                <w:color w:val="auto"/>
                <w:kern w:val="0"/>
                <w:sz w:val="21"/>
                <w:szCs w:val="21"/>
                <w:highlight w:val="none"/>
                <w:lang w:val="en-US" w:eastAsia="en-US" w:bidi="ar-SA"/>
              </w:rPr>
            </w:pPr>
            <w:r>
              <w:rPr>
                <w:rFonts w:hint="eastAsia" w:ascii="宋体" w:hAnsi="宋体" w:eastAsia="宋体" w:cs="宋体"/>
                <w:b/>
                <w:bCs/>
                <w:color w:val="auto"/>
                <w:spacing w:val="6"/>
                <w:sz w:val="21"/>
                <w:szCs w:val="21"/>
                <w:highlight w:val="none"/>
              </w:rPr>
              <w:t>运维组织</w:t>
            </w:r>
          </w:p>
        </w:tc>
        <w:tc>
          <w:tcPr>
            <w:tcW w:w="1167" w:type="dxa"/>
            <w:noWrap w:val="0"/>
            <w:vAlign w:val="center"/>
          </w:tcPr>
          <w:p w14:paraId="3A0647C0">
            <w:pPr>
              <w:pStyle w:val="70"/>
              <w:spacing w:before="178" w:line="237"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b/>
                <w:bCs/>
                <w:color w:val="auto"/>
                <w:spacing w:val="-9"/>
                <w:sz w:val="21"/>
                <w:szCs w:val="21"/>
                <w:highlight w:val="none"/>
                <w:lang w:val="en-US" w:eastAsia="zh-CN"/>
              </w:rPr>
              <w:t>25</w:t>
            </w:r>
          </w:p>
        </w:tc>
        <w:tc>
          <w:tcPr>
            <w:tcW w:w="1116" w:type="dxa"/>
            <w:tcBorders>
              <w:top w:val="single" w:color="auto" w:sz="4" w:space="0"/>
            </w:tcBorders>
            <w:noWrap w:val="0"/>
            <w:vAlign w:val="center"/>
          </w:tcPr>
          <w:p w14:paraId="43ED829B">
            <w:pPr>
              <w:jc w:val="left"/>
              <w:rPr>
                <w:rFonts w:hint="eastAsia" w:ascii="宋体" w:hAnsi="宋体" w:eastAsia="宋体" w:cs="宋体"/>
                <w:snapToGrid w:val="0"/>
                <w:color w:val="auto"/>
                <w:kern w:val="0"/>
                <w:sz w:val="21"/>
                <w:szCs w:val="21"/>
                <w:highlight w:val="none"/>
                <w:lang w:val="en-US" w:eastAsia="en-US" w:bidi="ar-SA"/>
              </w:rPr>
            </w:pPr>
          </w:p>
        </w:tc>
        <w:tc>
          <w:tcPr>
            <w:tcW w:w="992" w:type="dxa"/>
            <w:vMerge w:val="restart"/>
            <w:tcBorders>
              <w:top w:val="single" w:color="auto" w:sz="4" w:space="0"/>
              <w:right w:val="single" w:color="000000" w:sz="8" w:space="0"/>
            </w:tcBorders>
            <w:noWrap w:val="0"/>
            <w:vAlign w:val="top"/>
          </w:tcPr>
          <w:p w14:paraId="108CFB1E">
            <w:pPr>
              <w:jc w:val="center"/>
              <w:rPr>
                <w:rFonts w:hint="eastAsia" w:ascii="宋体" w:hAnsi="宋体" w:eastAsia="宋体" w:cs="宋体"/>
                <w:color w:val="auto"/>
                <w:spacing w:val="7"/>
                <w:sz w:val="21"/>
                <w:szCs w:val="21"/>
                <w:highlight w:val="none"/>
              </w:rPr>
            </w:pPr>
          </w:p>
          <w:p w14:paraId="761DC49F">
            <w:pPr>
              <w:jc w:val="center"/>
              <w:rPr>
                <w:rFonts w:hint="eastAsia" w:ascii="宋体" w:hAnsi="宋体" w:eastAsia="宋体" w:cs="宋体"/>
                <w:color w:val="auto"/>
                <w:spacing w:val="7"/>
                <w:sz w:val="21"/>
                <w:szCs w:val="21"/>
                <w:highlight w:val="none"/>
              </w:rPr>
            </w:pPr>
          </w:p>
          <w:p w14:paraId="00F5C909">
            <w:pPr>
              <w:jc w:val="center"/>
              <w:rPr>
                <w:rFonts w:hint="eastAsia" w:ascii="宋体" w:hAnsi="宋体" w:eastAsia="宋体" w:cs="宋体"/>
                <w:color w:val="auto"/>
                <w:spacing w:val="7"/>
                <w:sz w:val="21"/>
                <w:szCs w:val="21"/>
                <w:highlight w:val="none"/>
              </w:rPr>
            </w:pPr>
          </w:p>
          <w:p w14:paraId="6B1DE240">
            <w:pPr>
              <w:jc w:val="center"/>
              <w:rPr>
                <w:rFonts w:hint="eastAsia" w:ascii="宋体" w:hAnsi="宋体" w:eastAsia="宋体" w:cs="宋体"/>
                <w:color w:val="auto"/>
                <w:spacing w:val="7"/>
                <w:sz w:val="21"/>
                <w:szCs w:val="21"/>
                <w:highlight w:val="none"/>
              </w:rPr>
            </w:pPr>
          </w:p>
          <w:p w14:paraId="35708328">
            <w:pPr>
              <w:jc w:val="center"/>
              <w:rPr>
                <w:rFonts w:hint="eastAsia" w:ascii="宋体" w:hAnsi="宋体" w:eastAsia="宋体" w:cs="宋体"/>
                <w:color w:val="auto"/>
                <w:spacing w:val="7"/>
                <w:sz w:val="21"/>
                <w:szCs w:val="21"/>
                <w:highlight w:val="none"/>
              </w:rPr>
            </w:pPr>
          </w:p>
          <w:p w14:paraId="509660F9">
            <w:pPr>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查阅资料，</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2"/>
                <w:sz w:val="21"/>
                <w:szCs w:val="21"/>
                <w:highlight w:val="none"/>
              </w:rPr>
              <w:t>结合平</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2"/>
                <w:sz w:val="21"/>
                <w:szCs w:val="21"/>
                <w:highlight w:val="none"/>
              </w:rPr>
              <w:t>时</w:t>
            </w:r>
            <w:r>
              <w:rPr>
                <w:rFonts w:hint="eastAsia" w:ascii="宋体" w:hAnsi="宋体" w:eastAsia="宋体" w:cs="宋体"/>
                <w:color w:val="auto"/>
                <w:spacing w:val="4"/>
                <w:sz w:val="21"/>
                <w:szCs w:val="21"/>
                <w:highlight w:val="none"/>
              </w:rPr>
              <w:t>检查</w:t>
            </w:r>
          </w:p>
        </w:tc>
      </w:tr>
      <w:tr w14:paraId="0A74F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785" w:type="dxa"/>
            <w:tcBorders>
              <w:left w:val="single" w:color="000000" w:sz="8" w:space="0"/>
            </w:tcBorders>
            <w:noWrap w:val="0"/>
            <w:vAlign w:val="center"/>
          </w:tcPr>
          <w:p w14:paraId="228DAFCA">
            <w:pPr>
              <w:spacing w:line="471" w:lineRule="auto"/>
              <w:jc w:val="center"/>
              <w:rPr>
                <w:rFonts w:hint="eastAsia" w:ascii="宋体" w:hAnsi="宋体" w:eastAsia="宋体" w:cs="宋体"/>
                <w:color w:val="auto"/>
                <w:sz w:val="21"/>
                <w:szCs w:val="21"/>
                <w:highlight w:val="none"/>
              </w:rPr>
            </w:pPr>
          </w:p>
          <w:p w14:paraId="38D268C6">
            <w:pPr>
              <w:pStyle w:val="70"/>
              <w:spacing w:before="62" w:line="257" w:lineRule="exact"/>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position w:val="1"/>
                <w:sz w:val="21"/>
                <w:szCs w:val="21"/>
                <w:highlight w:val="none"/>
              </w:rPr>
              <w:t>1</w:t>
            </w:r>
          </w:p>
        </w:tc>
        <w:tc>
          <w:tcPr>
            <w:tcW w:w="5194" w:type="dxa"/>
            <w:noWrap w:val="0"/>
            <w:vAlign w:val="center"/>
          </w:tcPr>
          <w:p w14:paraId="394FE9B3">
            <w:pPr>
              <w:pStyle w:val="70"/>
              <w:spacing w:before="172" w:line="332" w:lineRule="auto"/>
              <w:ind w:left="108" w:leftChars="0" w:right="92" w:rightChars="0" w:hanging="4" w:firstLineChars="0"/>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pacing w:val="19"/>
                <w:sz w:val="21"/>
                <w:szCs w:val="21"/>
                <w:highlight w:val="none"/>
                <w:lang w:eastAsia="zh-CN"/>
              </w:rPr>
              <w:t>成交供应商</w:t>
            </w:r>
            <w:r>
              <w:rPr>
                <w:rFonts w:hint="eastAsia" w:ascii="宋体" w:hAnsi="宋体" w:eastAsia="宋体" w:cs="宋体"/>
                <w:color w:val="auto"/>
                <w:spacing w:val="19"/>
                <w:sz w:val="21"/>
                <w:szCs w:val="21"/>
                <w:highlight w:val="none"/>
              </w:rPr>
              <w:t>项目负责人资格</w:t>
            </w:r>
            <w:r>
              <w:rPr>
                <w:rFonts w:hint="eastAsia" w:ascii="宋体" w:hAnsi="宋体" w:eastAsia="宋体" w:cs="宋体"/>
                <w:color w:val="auto"/>
                <w:spacing w:val="18"/>
                <w:sz w:val="21"/>
                <w:szCs w:val="21"/>
                <w:highlight w:val="none"/>
              </w:rPr>
              <w:t>满足</w:t>
            </w:r>
            <w:r>
              <w:rPr>
                <w:rFonts w:hint="eastAsia" w:cs="宋体"/>
                <w:color w:val="auto"/>
                <w:spacing w:val="18"/>
                <w:sz w:val="21"/>
                <w:szCs w:val="21"/>
                <w:highlight w:val="none"/>
                <w:lang w:val="en-US" w:eastAsia="zh-CN"/>
              </w:rPr>
              <w:t>按</w:t>
            </w:r>
            <w:r>
              <w:rPr>
                <w:rFonts w:hint="eastAsia" w:ascii="宋体" w:hAnsi="宋体" w:eastAsia="宋体" w:cs="宋体"/>
                <w:color w:val="auto"/>
                <w:spacing w:val="18"/>
                <w:sz w:val="21"/>
                <w:szCs w:val="21"/>
                <w:highlight w:val="none"/>
              </w:rPr>
              <w:t>招标文件要</w:t>
            </w:r>
            <w:r>
              <w:rPr>
                <w:rFonts w:hint="eastAsia" w:ascii="宋体" w:hAnsi="宋体" w:eastAsia="宋体" w:cs="宋体"/>
                <w:color w:val="auto"/>
                <w:spacing w:val="3"/>
                <w:sz w:val="21"/>
                <w:szCs w:val="21"/>
                <w:highlight w:val="none"/>
              </w:rPr>
              <w:t>求，驻点组织开展工作时间项目负责人不少于</w:t>
            </w:r>
            <w:r>
              <w:rPr>
                <w:rFonts w:hint="eastAsia" w:ascii="宋体" w:hAnsi="宋体" w:eastAsia="宋体" w:cs="宋体"/>
                <w:color w:val="auto"/>
                <w:spacing w:val="3"/>
                <w:sz w:val="21"/>
                <w:szCs w:val="21"/>
                <w:highlight w:val="none"/>
                <w:lang w:val="en-US" w:eastAsia="zh-CN"/>
              </w:rPr>
              <w:t>22</w:t>
            </w:r>
            <w:r>
              <w:rPr>
                <w:rFonts w:hint="eastAsia" w:ascii="宋体" w:hAnsi="宋体" w:eastAsia="宋体" w:cs="宋体"/>
                <w:color w:val="auto"/>
                <w:spacing w:val="3"/>
                <w:sz w:val="21"/>
                <w:szCs w:val="21"/>
                <w:highlight w:val="none"/>
              </w:rPr>
              <w:t>天</w:t>
            </w:r>
            <w:r>
              <w:rPr>
                <w:rFonts w:hint="eastAsia" w:ascii="宋体" w:hAnsi="宋体" w:eastAsia="宋体" w:cs="宋体"/>
                <w:color w:val="auto"/>
                <w:spacing w:val="3"/>
                <w:sz w:val="21"/>
                <w:szCs w:val="21"/>
                <w:highlight w:val="none"/>
                <w:lang w:val="en-US" w:eastAsia="zh-CN"/>
              </w:rPr>
              <w:t>/月</w:t>
            </w:r>
            <w:r>
              <w:rPr>
                <w:rFonts w:hint="eastAsia" w:ascii="宋体" w:hAnsi="宋体" w:eastAsia="宋体" w:cs="宋体"/>
                <w:color w:val="auto"/>
                <w:spacing w:val="1"/>
                <w:sz w:val="21"/>
                <w:szCs w:val="21"/>
                <w:highlight w:val="none"/>
              </w:rPr>
              <w:t>。</w:t>
            </w:r>
          </w:p>
        </w:tc>
        <w:tc>
          <w:tcPr>
            <w:tcW w:w="1167" w:type="dxa"/>
            <w:noWrap w:val="0"/>
            <w:vAlign w:val="center"/>
          </w:tcPr>
          <w:p w14:paraId="28533393">
            <w:pPr>
              <w:spacing w:line="471" w:lineRule="auto"/>
              <w:jc w:val="center"/>
              <w:rPr>
                <w:rFonts w:hint="eastAsia" w:ascii="宋体" w:hAnsi="宋体" w:eastAsia="宋体" w:cs="宋体"/>
                <w:color w:val="auto"/>
                <w:sz w:val="21"/>
                <w:szCs w:val="21"/>
                <w:highlight w:val="none"/>
              </w:rPr>
            </w:pPr>
          </w:p>
          <w:p w14:paraId="1E25A8B2">
            <w:pPr>
              <w:pStyle w:val="70"/>
              <w:spacing w:before="62" w:line="256" w:lineRule="exact"/>
              <w:jc w:val="center"/>
              <w:rPr>
                <w:rFonts w:hint="default" w:ascii="宋体" w:hAnsi="宋体" w:eastAsia="宋体" w:cs="宋体"/>
                <w:snapToGrid w:val="0"/>
                <w:color w:val="auto"/>
                <w:kern w:val="0"/>
                <w:sz w:val="21"/>
                <w:szCs w:val="21"/>
                <w:highlight w:val="none"/>
                <w:lang w:val="en-US" w:eastAsia="zh-CN" w:bidi="ar-SA"/>
              </w:rPr>
            </w:pPr>
            <w:r>
              <w:rPr>
                <w:rFonts w:hint="eastAsia" w:cs="宋体"/>
                <w:color w:val="auto"/>
                <w:position w:val="1"/>
                <w:sz w:val="21"/>
                <w:szCs w:val="21"/>
                <w:highlight w:val="none"/>
                <w:lang w:val="en-US" w:eastAsia="zh-CN"/>
              </w:rPr>
              <w:t>0-5</w:t>
            </w:r>
          </w:p>
        </w:tc>
        <w:tc>
          <w:tcPr>
            <w:tcW w:w="1116" w:type="dxa"/>
            <w:noWrap w:val="0"/>
            <w:vAlign w:val="center"/>
          </w:tcPr>
          <w:p w14:paraId="35DE46F1">
            <w:pPr>
              <w:jc w:val="left"/>
              <w:rPr>
                <w:rFonts w:hint="eastAsia" w:ascii="宋体" w:hAnsi="宋体" w:eastAsia="宋体" w:cs="宋体"/>
                <w:color w:val="auto"/>
                <w:sz w:val="21"/>
                <w:szCs w:val="21"/>
                <w:highlight w:val="none"/>
              </w:rPr>
            </w:pPr>
          </w:p>
        </w:tc>
        <w:tc>
          <w:tcPr>
            <w:tcW w:w="992" w:type="dxa"/>
            <w:vMerge w:val="continue"/>
            <w:tcBorders>
              <w:right w:val="single" w:color="000000" w:sz="8" w:space="0"/>
            </w:tcBorders>
            <w:noWrap w:val="0"/>
            <w:vAlign w:val="top"/>
          </w:tcPr>
          <w:p w14:paraId="2FE7350B">
            <w:pPr>
              <w:jc w:val="center"/>
              <w:rPr>
                <w:rFonts w:hint="eastAsia" w:ascii="宋体" w:hAnsi="宋体" w:eastAsia="宋体" w:cs="宋体"/>
                <w:color w:val="auto"/>
                <w:sz w:val="21"/>
                <w:szCs w:val="21"/>
                <w:highlight w:val="none"/>
              </w:rPr>
            </w:pPr>
          </w:p>
        </w:tc>
      </w:tr>
      <w:tr w14:paraId="7C6C6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785" w:type="dxa"/>
            <w:tcBorders>
              <w:left w:val="single" w:color="000000" w:sz="8" w:space="0"/>
            </w:tcBorders>
            <w:noWrap w:val="0"/>
            <w:vAlign w:val="center"/>
          </w:tcPr>
          <w:p w14:paraId="19CA7527">
            <w:pPr>
              <w:spacing w:line="360" w:lineRule="auto"/>
              <w:jc w:val="center"/>
              <w:rPr>
                <w:rFonts w:hint="eastAsia" w:ascii="宋体" w:hAnsi="宋体" w:eastAsia="宋体" w:cs="宋体"/>
                <w:color w:val="auto"/>
                <w:sz w:val="21"/>
                <w:szCs w:val="21"/>
                <w:highlight w:val="none"/>
              </w:rPr>
            </w:pPr>
          </w:p>
          <w:p w14:paraId="4A30C82D">
            <w:pPr>
              <w:spacing w:line="360" w:lineRule="auto"/>
              <w:jc w:val="center"/>
              <w:rPr>
                <w:rFonts w:hint="eastAsia" w:ascii="宋体" w:hAnsi="宋体" w:eastAsia="宋体" w:cs="宋体"/>
                <w:color w:val="auto"/>
                <w:sz w:val="21"/>
                <w:szCs w:val="21"/>
                <w:highlight w:val="none"/>
              </w:rPr>
            </w:pPr>
          </w:p>
          <w:p w14:paraId="571040DE">
            <w:pPr>
              <w:spacing w:line="360" w:lineRule="auto"/>
              <w:jc w:val="center"/>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rPr>
              <w:t>2</w:t>
            </w:r>
          </w:p>
        </w:tc>
        <w:tc>
          <w:tcPr>
            <w:tcW w:w="5194" w:type="dxa"/>
            <w:noWrap w:val="0"/>
            <w:vAlign w:val="center"/>
          </w:tcPr>
          <w:p w14:paraId="002EDCD8">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jc w:val="left"/>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调度负责人需要对项目沿线取水口、节制闸、泵站、渠道、管道、拦水坝充分熟悉了解，日常巡查细致有针对性，项目调度科学合理，准确及时，有丰富的故障、事故应急处置经验，处理问题得当。</w:t>
            </w:r>
          </w:p>
        </w:tc>
        <w:tc>
          <w:tcPr>
            <w:tcW w:w="1167" w:type="dxa"/>
            <w:noWrap w:val="0"/>
            <w:vAlign w:val="center"/>
          </w:tcPr>
          <w:p w14:paraId="16BFEDF0">
            <w:pPr>
              <w:spacing w:line="471" w:lineRule="auto"/>
              <w:jc w:val="center"/>
              <w:rPr>
                <w:rFonts w:hint="eastAsia" w:ascii="宋体" w:hAnsi="宋体" w:eastAsia="宋体" w:cs="宋体"/>
                <w:color w:val="auto"/>
                <w:sz w:val="21"/>
                <w:szCs w:val="21"/>
                <w:highlight w:val="none"/>
              </w:rPr>
            </w:pPr>
          </w:p>
          <w:p w14:paraId="4848CC91">
            <w:pPr>
              <w:spacing w:line="471" w:lineRule="auto"/>
              <w:jc w:val="center"/>
              <w:rPr>
                <w:rFonts w:hint="eastAsia" w:ascii="宋体" w:hAnsi="宋体" w:eastAsia="宋体" w:cs="宋体"/>
                <w:color w:val="auto"/>
                <w:sz w:val="21"/>
                <w:szCs w:val="21"/>
                <w:highlight w:val="none"/>
              </w:rPr>
            </w:pPr>
          </w:p>
          <w:p w14:paraId="036EE370">
            <w:pPr>
              <w:spacing w:line="471" w:lineRule="auto"/>
              <w:jc w:val="center"/>
              <w:rPr>
                <w:rFonts w:hint="default" w:ascii="宋体" w:hAnsi="宋体" w:eastAsia="宋体" w:cs="宋体"/>
                <w:color w:val="auto"/>
                <w:sz w:val="21"/>
                <w:szCs w:val="21"/>
                <w:highlight w:val="none"/>
                <w:lang w:val="en-US" w:eastAsia="zh-CN"/>
              </w:rPr>
            </w:pPr>
            <w:r>
              <w:rPr>
                <w:rFonts w:hint="eastAsia" w:cs="宋体"/>
                <w:b w:val="0"/>
                <w:bCs w:val="0"/>
                <w:color w:val="auto"/>
                <w:spacing w:val="9"/>
                <w:sz w:val="21"/>
                <w:szCs w:val="21"/>
                <w:highlight w:val="none"/>
                <w:lang w:val="en-US" w:eastAsia="zh-CN"/>
              </w:rPr>
              <w:t>0-10</w:t>
            </w:r>
          </w:p>
        </w:tc>
        <w:tc>
          <w:tcPr>
            <w:tcW w:w="1116" w:type="dxa"/>
            <w:noWrap w:val="0"/>
            <w:vAlign w:val="center"/>
          </w:tcPr>
          <w:p w14:paraId="7B8F3754">
            <w:pPr>
              <w:jc w:val="left"/>
              <w:rPr>
                <w:rFonts w:hint="eastAsia" w:ascii="宋体" w:hAnsi="宋体" w:eastAsia="宋体" w:cs="宋体"/>
                <w:color w:val="auto"/>
                <w:sz w:val="21"/>
                <w:szCs w:val="21"/>
                <w:highlight w:val="none"/>
              </w:rPr>
            </w:pPr>
          </w:p>
        </w:tc>
        <w:tc>
          <w:tcPr>
            <w:tcW w:w="992" w:type="dxa"/>
            <w:vMerge w:val="continue"/>
            <w:tcBorders>
              <w:right w:val="single" w:color="000000" w:sz="8" w:space="0"/>
            </w:tcBorders>
            <w:noWrap w:val="0"/>
            <w:vAlign w:val="top"/>
          </w:tcPr>
          <w:p w14:paraId="77EAC71B">
            <w:pPr>
              <w:jc w:val="center"/>
              <w:rPr>
                <w:rFonts w:hint="eastAsia" w:ascii="宋体" w:hAnsi="宋体" w:eastAsia="宋体" w:cs="宋体"/>
                <w:color w:val="auto"/>
                <w:sz w:val="21"/>
                <w:szCs w:val="21"/>
                <w:highlight w:val="none"/>
              </w:rPr>
            </w:pPr>
          </w:p>
        </w:tc>
      </w:tr>
      <w:tr w14:paraId="21325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785" w:type="dxa"/>
            <w:tcBorders>
              <w:left w:val="single" w:color="000000" w:sz="8" w:space="0"/>
            </w:tcBorders>
            <w:noWrap w:val="0"/>
            <w:vAlign w:val="center"/>
          </w:tcPr>
          <w:p w14:paraId="0F346A69">
            <w:pPr>
              <w:jc w:val="center"/>
              <w:rPr>
                <w:rFonts w:hint="eastAsia" w:ascii="宋体" w:hAnsi="宋体" w:eastAsia="宋体" w:cs="宋体"/>
                <w:color w:val="auto"/>
                <w:sz w:val="21"/>
                <w:szCs w:val="21"/>
                <w:highlight w:val="none"/>
              </w:rPr>
            </w:pPr>
          </w:p>
          <w:p w14:paraId="00CAA447">
            <w:pPr>
              <w:jc w:val="center"/>
              <w:rPr>
                <w:rFonts w:hint="eastAsia" w:ascii="宋体" w:hAnsi="宋体" w:eastAsia="宋体" w:cs="宋体"/>
                <w:color w:val="auto"/>
                <w:sz w:val="21"/>
                <w:szCs w:val="21"/>
                <w:highlight w:val="none"/>
              </w:rPr>
            </w:pPr>
          </w:p>
          <w:p w14:paraId="19656D1C">
            <w:pPr>
              <w:pStyle w:val="70"/>
              <w:spacing w:before="61" w:line="256" w:lineRule="exact"/>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position w:val="1"/>
                <w:sz w:val="21"/>
                <w:szCs w:val="21"/>
                <w:highlight w:val="none"/>
              </w:rPr>
              <w:t>3</w:t>
            </w:r>
          </w:p>
        </w:tc>
        <w:tc>
          <w:tcPr>
            <w:tcW w:w="5194" w:type="dxa"/>
            <w:shd w:val="clear" w:color="auto" w:fill="auto"/>
            <w:noWrap w:val="0"/>
            <w:vAlign w:val="center"/>
          </w:tcPr>
          <w:p w14:paraId="4451D76A">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jc w:val="left"/>
              <w:textAlignment w:val="baseline"/>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有固定办公场所，分别组建</w:t>
            </w:r>
            <w:r>
              <w:rPr>
                <w:rFonts w:hint="eastAsia" w:ascii="宋体" w:hAnsi="宋体" w:eastAsia="宋体" w:cs="宋体"/>
                <w:color w:val="auto"/>
                <w:sz w:val="21"/>
                <w:szCs w:val="21"/>
                <w:highlight w:val="none"/>
                <w:lang w:val="en-US" w:eastAsia="zh-CN"/>
              </w:rPr>
              <w:t>泵站运维</w:t>
            </w:r>
            <w:r>
              <w:rPr>
                <w:rFonts w:hint="eastAsia" w:ascii="宋体" w:hAnsi="宋体" w:eastAsia="宋体" w:cs="宋体"/>
                <w:color w:val="auto"/>
                <w:sz w:val="21"/>
                <w:szCs w:val="21"/>
                <w:highlight w:val="none"/>
              </w:rPr>
              <w:t>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水闸启闭调度</w:t>
            </w:r>
            <w:r>
              <w:rPr>
                <w:rFonts w:hint="eastAsia" w:ascii="宋体" w:hAnsi="宋体" w:eastAsia="宋体" w:cs="宋体"/>
                <w:color w:val="auto"/>
                <w:sz w:val="21"/>
                <w:szCs w:val="21"/>
                <w:highlight w:val="none"/>
              </w:rPr>
              <w:t>运</w:t>
            </w:r>
            <w:r>
              <w:rPr>
                <w:rFonts w:hint="eastAsia" w:ascii="宋体" w:hAnsi="宋体" w:eastAsia="宋体" w:cs="宋体"/>
                <w:color w:val="auto"/>
                <w:sz w:val="21"/>
                <w:szCs w:val="21"/>
                <w:highlight w:val="none"/>
                <w:lang w:eastAsia="zh-CN"/>
              </w:rPr>
              <w:t>维</w:t>
            </w:r>
            <w:r>
              <w:rPr>
                <w:rFonts w:hint="eastAsia" w:ascii="宋体" w:hAnsi="宋体" w:eastAsia="宋体" w:cs="宋体"/>
                <w:color w:val="auto"/>
                <w:sz w:val="21"/>
                <w:szCs w:val="21"/>
                <w:highlight w:val="none"/>
              </w:rPr>
              <w:t>管理和</w:t>
            </w:r>
            <w:r>
              <w:rPr>
                <w:rFonts w:hint="eastAsia" w:ascii="宋体" w:hAnsi="宋体" w:eastAsia="宋体" w:cs="宋体"/>
                <w:color w:val="auto"/>
                <w:sz w:val="21"/>
                <w:szCs w:val="21"/>
                <w:highlight w:val="none"/>
                <w:lang w:val="en-US" w:eastAsia="zh-CN"/>
              </w:rPr>
              <w:t>输水渠道及拦水坝</w:t>
            </w:r>
            <w:r>
              <w:rPr>
                <w:rFonts w:hint="eastAsia" w:ascii="宋体" w:hAnsi="宋体" w:eastAsia="宋体" w:cs="宋体"/>
                <w:color w:val="auto"/>
                <w:sz w:val="21"/>
                <w:szCs w:val="21"/>
                <w:highlight w:val="none"/>
              </w:rPr>
              <w:t>堤防巡查管理班组，人员配备充足、技术力量全面，分工具体、职责明确， 各项运维管理工作常态化开展。</w:t>
            </w:r>
          </w:p>
        </w:tc>
        <w:tc>
          <w:tcPr>
            <w:tcW w:w="1167" w:type="dxa"/>
            <w:shd w:val="clear" w:color="auto" w:fill="auto"/>
            <w:noWrap w:val="0"/>
            <w:vAlign w:val="center"/>
          </w:tcPr>
          <w:p w14:paraId="3184710B">
            <w:pPr>
              <w:spacing w:line="471" w:lineRule="auto"/>
              <w:jc w:val="center"/>
              <w:rPr>
                <w:rFonts w:hint="eastAsia" w:ascii="宋体" w:hAnsi="宋体" w:eastAsia="宋体" w:cs="宋体"/>
                <w:color w:val="auto"/>
                <w:sz w:val="21"/>
                <w:szCs w:val="21"/>
                <w:highlight w:val="none"/>
              </w:rPr>
            </w:pPr>
          </w:p>
          <w:p w14:paraId="0615F153">
            <w:pPr>
              <w:spacing w:line="471" w:lineRule="auto"/>
              <w:jc w:val="center"/>
              <w:rPr>
                <w:rFonts w:hint="eastAsia" w:ascii="宋体" w:hAnsi="宋体" w:eastAsia="宋体" w:cs="宋体"/>
                <w:color w:val="auto"/>
                <w:sz w:val="21"/>
                <w:szCs w:val="21"/>
                <w:highlight w:val="none"/>
              </w:rPr>
            </w:pPr>
          </w:p>
          <w:p w14:paraId="49C656E2">
            <w:pPr>
              <w:spacing w:line="471" w:lineRule="auto"/>
              <w:jc w:val="center"/>
              <w:rPr>
                <w:rFonts w:hint="eastAsia" w:ascii="宋体" w:hAnsi="宋体" w:eastAsia="宋体" w:cs="宋体"/>
                <w:color w:val="auto"/>
                <w:kern w:val="2"/>
                <w:sz w:val="21"/>
                <w:szCs w:val="21"/>
                <w:highlight w:val="none"/>
                <w:lang w:val="en-US" w:eastAsia="zh-CN" w:bidi="ar-SA"/>
              </w:rPr>
            </w:pPr>
            <w:r>
              <w:rPr>
                <w:rFonts w:hint="eastAsia" w:cs="宋体"/>
                <w:b w:val="0"/>
                <w:bCs w:val="0"/>
                <w:color w:val="auto"/>
                <w:spacing w:val="9"/>
                <w:sz w:val="21"/>
                <w:szCs w:val="21"/>
                <w:highlight w:val="none"/>
                <w:lang w:val="en-US" w:eastAsia="zh-CN"/>
              </w:rPr>
              <w:t>0-5</w:t>
            </w:r>
          </w:p>
        </w:tc>
        <w:tc>
          <w:tcPr>
            <w:tcW w:w="1116" w:type="dxa"/>
            <w:noWrap w:val="0"/>
            <w:vAlign w:val="center"/>
          </w:tcPr>
          <w:p w14:paraId="0CF2A466">
            <w:pPr>
              <w:jc w:val="left"/>
              <w:rPr>
                <w:rFonts w:hint="eastAsia" w:ascii="宋体" w:hAnsi="宋体" w:eastAsia="宋体" w:cs="宋体"/>
                <w:color w:val="auto"/>
                <w:sz w:val="21"/>
                <w:szCs w:val="21"/>
                <w:highlight w:val="none"/>
              </w:rPr>
            </w:pPr>
          </w:p>
        </w:tc>
        <w:tc>
          <w:tcPr>
            <w:tcW w:w="992" w:type="dxa"/>
            <w:vMerge w:val="continue"/>
            <w:tcBorders>
              <w:right w:val="single" w:color="000000" w:sz="8" w:space="0"/>
            </w:tcBorders>
            <w:noWrap w:val="0"/>
            <w:vAlign w:val="top"/>
          </w:tcPr>
          <w:p w14:paraId="7EAE318A">
            <w:pPr>
              <w:jc w:val="center"/>
              <w:rPr>
                <w:rFonts w:hint="eastAsia" w:ascii="宋体" w:hAnsi="宋体" w:eastAsia="宋体" w:cs="宋体"/>
                <w:color w:val="auto"/>
                <w:sz w:val="21"/>
                <w:szCs w:val="21"/>
                <w:highlight w:val="none"/>
              </w:rPr>
            </w:pPr>
          </w:p>
        </w:tc>
      </w:tr>
      <w:tr w14:paraId="6539B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785" w:type="dxa"/>
            <w:tcBorders>
              <w:left w:val="single" w:color="000000" w:sz="8" w:space="0"/>
            </w:tcBorders>
            <w:noWrap w:val="0"/>
            <w:vAlign w:val="center"/>
          </w:tcPr>
          <w:p w14:paraId="1125391B">
            <w:pPr>
              <w:pStyle w:val="70"/>
              <w:spacing w:before="61" w:line="256" w:lineRule="exact"/>
              <w:jc w:val="center"/>
              <w:rPr>
                <w:rFonts w:hint="eastAsia" w:ascii="宋体" w:hAnsi="宋体" w:eastAsia="宋体" w:cs="宋体"/>
                <w:color w:val="auto"/>
                <w:position w:val="1"/>
                <w:sz w:val="21"/>
                <w:szCs w:val="21"/>
                <w:highlight w:val="none"/>
                <w:lang w:val="en-US" w:eastAsia="zh-CN"/>
              </w:rPr>
            </w:pPr>
            <w:r>
              <w:rPr>
                <w:rFonts w:hint="eastAsia" w:ascii="宋体" w:hAnsi="宋体" w:eastAsia="宋体" w:cs="宋体"/>
                <w:color w:val="auto"/>
                <w:position w:val="1"/>
                <w:sz w:val="21"/>
                <w:szCs w:val="21"/>
                <w:highlight w:val="none"/>
                <w:lang w:val="en-US" w:eastAsia="zh-CN"/>
              </w:rPr>
              <w:t>4</w:t>
            </w:r>
          </w:p>
        </w:tc>
        <w:tc>
          <w:tcPr>
            <w:tcW w:w="5194" w:type="dxa"/>
            <w:shd w:val="clear" w:color="auto" w:fill="auto"/>
            <w:noWrap w:val="0"/>
            <w:vAlign w:val="center"/>
          </w:tcPr>
          <w:p w14:paraId="7199FFC8">
            <w:pPr>
              <w:pStyle w:val="70"/>
              <w:spacing w:before="177" w:line="334" w:lineRule="auto"/>
              <w:ind w:left="104" w:leftChars="0" w:right="8" w:rightChars="0"/>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pacing w:val="9"/>
                <w:sz w:val="21"/>
                <w:szCs w:val="21"/>
                <w:highlight w:val="none"/>
                <w:lang w:eastAsia="zh-CN"/>
              </w:rPr>
              <w:t>成交供应商</w:t>
            </w:r>
            <w:r>
              <w:rPr>
                <w:rFonts w:hint="eastAsia" w:ascii="宋体" w:hAnsi="宋体" w:eastAsia="宋体" w:cs="宋体"/>
                <w:color w:val="auto"/>
                <w:spacing w:val="9"/>
                <w:sz w:val="21"/>
                <w:szCs w:val="21"/>
                <w:highlight w:val="none"/>
              </w:rPr>
              <w:t>应配置必要的运维管理设备，包含但不限于日常维修</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15"/>
                <w:sz w:val="21"/>
                <w:szCs w:val="21"/>
                <w:highlight w:val="none"/>
              </w:rPr>
              <w:t>养护设备，应急抢修机具，交通运输车辆，清障除草工具，监测测量仪</w:t>
            </w:r>
            <w:r>
              <w:rPr>
                <w:rFonts w:hint="eastAsia" w:ascii="宋体" w:hAnsi="宋体" w:eastAsia="宋体" w:cs="宋体"/>
                <w:color w:val="auto"/>
                <w:spacing w:val="-10"/>
                <w:sz w:val="21"/>
                <w:szCs w:val="21"/>
                <w:highlight w:val="none"/>
              </w:rPr>
              <w:t>器，日常巡查装备，维修辅材配件等。</w:t>
            </w:r>
          </w:p>
        </w:tc>
        <w:tc>
          <w:tcPr>
            <w:tcW w:w="1167" w:type="dxa"/>
            <w:shd w:val="clear" w:color="auto" w:fill="auto"/>
            <w:noWrap w:val="0"/>
            <w:vAlign w:val="center"/>
          </w:tcPr>
          <w:p w14:paraId="0FDF2CD2">
            <w:pPr>
              <w:jc w:val="center"/>
              <w:rPr>
                <w:rFonts w:hint="eastAsia" w:ascii="宋体" w:hAnsi="宋体" w:eastAsia="宋体" w:cs="宋体"/>
                <w:color w:val="auto"/>
                <w:sz w:val="21"/>
                <w:szCs w:val="21"/>
                <w:highlight w:val="none"/>
              </w:rPr>
            </w:pPr>
          </w:p>
          <w:p w14:paraId="35D5A1F6">
            <w:pPr>
              <w:jc w:val="center"/>
              <w:rPr>
                <w:rFonts w:hint="eastAsia" w:ascii="宋体" w:hAnsi="宋体" w:eastAsia="宋体" w:cs="宋体"/>
                <w:color w:val="auto"/>
                <w:sz w:val="21"/>
                <w:szCs w:val="21"/>
                <w:highlight w:val="none"/>
              </w:rPr>
            </w:pPr>
          </w:p>
          <w:p w14:paraId="0A47F6C9">
            <w:pPr>
              <w:pStyle w:val="70"/>
              <w:spacing w:before="61" w:line="256" w:lineRule="exact"/>
              <w:jc w:val="center"/>
              <w:rPr>
                <w:rFonts w:hint="eastAsia" w:ascii="宋体" w:hAnsi="宋体" w:eastAsia="宋体" w:cs="宋体"/>
                <w:snapToGrid w:val="0"/>
                <w:color w:val="auto"/>
                <w:kern w:val="0"/>
                <w:sz w:val="21"/>
                <w:szCs w:val="21"/>
                <w:highlight w:val="none"/>
                <w:lang w:val="en-US" w:eastAsia="zh-CN" w:bidi="ar-SA"/>
              </w:rPr>
            </w:pPr>
            <w:r>
              <w:rPr>
                <w:rFonts w:hint="eastAsia" w:cs="宋体"/>
                <w:b w:val="0"/>
                <w:bCs w:val="0"/>
                <w:color w:val="auto"/>
                <w:spacing w:val="9"/>
                <w:sz w:val="21"/>
                <w:szCs w:val="21"/>
                <w:highlight w:val="none"/>
                <w:lang w:val="en-US" w:eastAsia="zh-CN"/>
              </w:rPr>
              <w:t>0-5</w:t>
            </w:r>
          </w:p>
        </w:tc>
        <w:tc>
          <w:tcPr>
            <w:tcW w:w="1116" w:type="dxa"/>
            <w:noWrap w:val="0"/>
            <w:vAlign w:val="center"/>
          </w:tcPr>
          <w:p w14:paraId="437CAD6F">
            <w:pPr>
              <w:jc w:val="left"/>
              <w:rPr>
                <w:rFonts w:hint="eastAsia" w:ascii="宋体" w:hAnsi="宋体" w:eastAsia="宋体" w:cs="宋体"/>
                <w:color w:val="auto"/>
                <w:sz w:val="21"/>
                <w:szCs w:val="21"/>
                <w:highlight w:val="none"/>
              </w:rPr>
            </w:pPr>
          </w:p>
        </w:tc>
        <w:tc>
          <w:tcPr>
            <w:tcW w:w="992" w:type="dxa"/>
            <w:vMerge w:val="continue"/>
            <w:tcBorders>
              <w:bottom w:val="single" w:color="auto" w:sz="4" w:space="0"/>
              <w:right w:val="single" w:color="000000" w:sz="8" w:space="0"/>
            </w:tcBorders>
            <w:noWrap w:val="0"/>
            <w:vAlign w:val="top"/>
          </w:tcPr>
          <w:p w14:paraId="1127E70C">
            <w:pPr>
              <w:jc w:val="center"/>
              <w:rPr>
                <w:rFonts w:hint="eastAsia" w:ascii="宋体" w:hAnsi="宋体" w:eastAsia="宋体" w:cs="宋体"/>
                <w:color w:val="auto"/>
                <w:sz w:val="21"/>
                <w:szCs w:val="21"/>
                <w:highlight w:val="none"/>
              </w:rPr>
            </w:pPr>
          </w:p>
        </w:tc>
      </w:tr>
      <w:tr w14:paraId="5E49D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785" w:type="dxa"/>
            <w:tcBorders>
              <w:left w:val="single" w:color="000000" w:sz="8" w:space="0"/>
            </w:tcBorders>
            <w:noWrap w:val="0"/>
            <w:vAlign w:val="center"/>
          </w:tcPr>
          <w:p w14:paraId="508AD866">
            <w:pPr>
              <w:pStyle w:val="70"/>
              <w:spacing w:before="214" w:line="184" w:lineRule="auto"/>
              <w:jc w:val="center"/>
              <w:rPr>
                <w:rFonts w:hint="eastAsia" w:ascii="宋体" w:hAnsi="宋体" w:eastAsia="宋体" w:cs="宋体"/>
                <w:snapToGrid w:val="0"/>
                <w:color w:val="auto"/>
                <w:kern w:val="0"/>
                <w:sz w:val="21"/>
                <w:szCs w:val="21"/>
                <w:highlight w:val="none"/>
                <w:lang w:val="en-US" w:eastAsia="en-US" w:bidi="ar-SA"/>
              </w:rPr>
            </w:pPr>
            <w:r>
              <w:rPr>
                <w:b/>
                <w:bCs/>
                <w:color w:val="auto"/>
                <w:sz w:val="21"/>
                <w:szCs w:val="21"/>
                <w:highlight w:val="none"/>
              </w:rPr>
              <w:t>二</w:t>
            </w:r>
          </w:p>
        </w:tc>
        <w:tc>
          <w:tcPr>
            <w:tcW w:w="5194" w:type="dxa"/>
            <w:noWrap w:val="0"/>
            <w:vAlign w:val="center"/>
          </w:tcPr>
          <w:p w14:paraId="3999AC8C">
            <w:pPr>
              <w:pStyle w:val="70"/>
              <w:spacing w:before="137" w:line="228" w:lineRule="auto"/>
              <w:ind w:left="112" w:leftChars="0"/>
              <w:jc w:val="left"/>
              <w:rPr>
                <w:rFonts w:hint="eastAsia" w:ascii="宋体" w:hAnsi="宋体" w:eastAsia="宋体" w:cs="宋体"/>
                <w:snapToGrid w:val="0"/>
                <w:color w:val="auto"/>
                <w:kern w:val="0"/>
                <w:sz w:val="21"/>
                <w:szCs w:val="21"/>
                <w:highlight w:val="none"/>
                <w:lang w:val="en-US" w:eastAsia="en-US" w:bidi="ar-SA"/>
              </w:rPr>
            </w:pPr>
            <w:r>
              <w:rPr>
                <w:rFonts w:hint="eastAsia"/>
                <w:b/>
                <w:bCs/>
                <w:color w:val="auto"/>
                <w:spacing w:val="19"/>
                <w:sz w:val="21"/>
                <w:szCs w:val="21"/>
                <w:highlight w:val="none"/>
                <w:lang w:val="en-US" w:eastAsia="zh-CN"/>
              </w:rPr>
              <w:t>泵站运维</w:t>
            </w:r>
            <w:r>
              <w:rPr>
                <w:b/>
                <w:bCs/>
                <w:color w:val="auto"/>
                <w:spacing w:val="19"/>
                <w:sz w:val="21"/>
                <w:szCs w:val="21"/>
                <w:highlight w:val="none"/>
              </w:rPr>
              <w:t>管理</w:t>
            </w:r>
          </w:p>
        </w:tc>
        <w:tc>
          <w:tcPr>
            <w:tcW w:w="1167" w:type="dxa"/>
            <w:noWrap w:val="0"/>
            <w:vAlign w:val="center"/>
          </w:tcPr>
          <w:p w14:paraId="40B44061">
            <w:pPr>
              <w:pStyle w:val="70"/>
              <w:spacing w:before="175" w:line="253" w:lineRule="exact"/>
              <w:jc w:val="center"/>
              <w:rPr>
                <w:rFonts w:hint="default" w:ascii="宋体" w:hAnsi="宋体" w:eastAsia="宋体" w:cs="宋体"/>
                <w:snapToGrid w:val="0"/>
                <w:color w:val="auto"/>
                <w:kern w:val="0"/>
                <w:sz w:val="21"/>
                <w:szCs w:val="21"/>
                <w:highlight w:val="none"/>
                <w:lang w:val="en-US" w:eastAsia="zh-CN" w:bidi="ar-SA"/>
              </w:rPr>
            </w:pPr>
            <w:r>
              <w:rPr>
                <w:rFonts w:hint="eastAsia"/>
                <w:b/>
                <w:bCs/>
                <w:color w:val="auto"/>
                <w:spacing w:val="-3"/>
                <w:position w:val="1"/>
                <w:sz w:val="21"/>
                <w:szCs w:val="21"/>
                <w:highlight w:val="none"/>
                <w:lang w:val="en-US" w:eastAsia="zh-CN"/>
              </w:rPr>
              <w:t>20</w:t>
            </w:r>
          </w:p>
        </w:tc>
        <w:tc>
          <w:tcPr>
            <w:tcW w:w="1116" w:type="dxa"/>
            <w:noWrap w:val="0"/>
            <w:vAlign w:val="center"/>
          </w:tcPr>
          <w:p w14:paraId="63BA5587">
            <w:pPr>
              <w:jc w:val="left"/>
              <w:rPr>
                <w:rFonts w:hint="eastAsia" w:ascii="Arial" w:hAnsi="Arial" w:eastAsia="Arial" w:cs="Arial"/>
                <w:snapToGrid w:val="0"/>
                <w:color w:val="auto"/>
                <w:kern w:val="0"/>
                <w:sz w:val="21"/>
                <w:szCs w:val="21"/>
                <w:highlight w:val="none"/>
                <w:lang w:val="en-US" w:eastAsia="en-US" w:bidi="ar-SA"/>
              </w:rPr>
            </w:pPr>
          </w:p>
        </w:tc>
        <w:tc>
          <w:tcPr>
            <w:tcW w:w="992" w:type="dxa"/>
            <w:vMerge w:val="restart"/>
            <w:tcBorders>
              <w:top w:val="single" w:color="auto" w:sz="4" w:space="0"/>
              <w:right w:val="single" w:color="000000" w:sz="8" w:space="0"/>
            </w:tcBorders>
            <w:noWrap w:val="0"/>
            <w:vAlign w:val="top"/>
          </w:tcPr>
          <w:p w14:paraId="76E549CC">
            <w:pPr>
              <w:pStyle w:val="70"/>
              <w:spacing w:before="177" w:line="334" w:lineRule="auto"/>
              <w:ind w:left="104" w:leftChars="0" w:right="8" w:rightChars="0"/>
              <w:jc w:val="left"/>
              <w:rPr>
                <w:rFonts w:hint="eastAsia" w:ascii="宋体" w:hAnsi="宋体" w:eastAsia="宋体" w:cs="宋体"/>
                <w:color w:val="auto"/>
                <w:spacing w:val="7"/>
                <w:sz w:val="21"/>
                <w:szCs w:val="21"/>
                <w:highlight w:val="none"/>
              </w:rPr>
            </w:pPr>
          </w:p>
          <w:p w14:paraId="50FCF1C7">
            <w:pPr>
              <w:pStyle w:val="70"/>
              <w:spacing w:before="177" w:line="334" w:lineRule="auto"/>
              <w:ind w:left="104" w:leftChars="0" w:right="8" w:rightChars="0"/>
              <w:jc w:val="left"/>
              <w:rPr>
                <w:rFonts w:hint="eastAsia" w:ascii="宋体" w:hAnsi="宋体" w:eastAsia="宋体" w:cs="宋体"/>
                <w:color w:val="auto"/>
                <w:spacing w:val="7"/>
                <w:sz w:val="21"/>
                <w:szCs w:val="21"/>
                <w:highlight w:val="none"/>
              </w:rPr>
            </w:pPr>
          </w:p>
          <w:p w14:paraId="3A07968D">
            <w:pPr>
              <w:pStyle w:val="70"/>
              <w:spacing w:before="177" w:line="334" w:lineRule="auto"/>
              <w:ind w:right="8" w:rightChars="0"/>
              <w:jc w:val="left"/>
              <w:rPr>
                <w:rFonts w:hint="eastAsia" w:ascii="宋体" w:hAnsi="宋体" w:eastAsia="宋体" w:cs="宋体"/>
                <w:color w:val="auto"/>
                <w:spacing w:val="9"/>
                <w:sz w:val="21"/>
                <w:szCs w:val="21"/>
                <w:highlight w:val="none"/>
                <w:lang w:val="en-US" w:eastAsia="en-US"/>
              </w:rPr>
            </w:pPr>
            <w:r>
              <w:rPr>
                <w:rFonts w:hint="eastAsia" w:ascii="宋体" w:hAnsi="宋体" w:eastAsia="宋体" w:cs="宋体"/>
                <w:color w:val="auto"/>
                <w:spacing w:val="7"/>
                <w:sz w:val="21"/>
                <w:szCs w:val="21"/>
                <w:highlight w:val="none"/>
              </w:rPr>
              <w:t>查阅资料，</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2"/>
                <w:sz w:val="21"/>
                <w:szCs w:val="21"/>
                <w:highlight w:val="none"/>
              </w:rPr>
              <w:t>结</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2"/>
                <w:sz w:val="21"/>
                <w:szCs w:val="21"/>
                <w:highlight w:val="none"/>
              </w:rPr>
              <w:t>合</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2"/>
                <w:sz w:val="21"/>
                <w:szCs w:val="21"/>
                <w:highlight w:val="none"/>
              </w:rPr>
              <w:t>平</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2"/>
                <w:sz w:val="21"/>
                <w:szCs w:val="21"/>
                <w:highlight w:val="none"/>
              </w:rPr>
              <w:t>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检查</w:t>
            </w:r>
          </w:p>
        </w:tc>
      </w:tr>
      <w:tr w14:paraId="64807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785" w:type="dxa"/>
            <w:tcBorders>
              <w:left w:val="single" w:color="000000" w:sz="8" w:space="0"/>
            </w:tcBorders>
            <w:noWrap w:val="0"/>
            <w:vAlign w:val="center"/>
          </w:tcPr>
          <w:p w14:paraId="7082472F">
            <w:pPr>
              <w:pStyle w:val="70"/>
              <w:spacing w:before="61" w:line="256" w:lineRule="exact"/>
              <w:jc w:val="center"/>
              <w:rPr>
                <w:rFonts w:hint="eastAsia" w:ascii="宋体" w:hAnsi="宋体" w:eastAsia="宋体" w:cs="宋体"/>
                <w:color w:val="auto"/>
                <w:position w:val="1"/>
                <w:sz w:val="21"/>
                <w:szCs w:val="21"/>
                <w:highlight w:val="none"/>
                <w:lang w:val="en-US" w:eastAsia="zh-CN"/>
              </w:rPr>
            </w:pPr>
          </w:p>
          <w:p w14:paraId="6652BF8F">
            <w:pPr>
              <w:pStyle w:val="70"/>
              <w:spacing w:before="61" w:line="256" w:lineRule="exact"/>
              <w:jc w:val="center"/>
              <w:rPr>
                <w:rFonts w:hint="eastAsia" w:ascii="宋体" w:hAnsi="宋体" w:eastAsia="宋体" w:cs="宋体"/>
                <w:color w:val="auto"/>
                <w:position w:val="1"/>
                <w:sz w:val="21"/>
                <w:szCs w:val="21"/>
                <w:highlight w:val="none"/>
                <w:lang w:val="en-US" w:eastAsia="en-US"/>
              </w:rPr>
            </w:pPr>
            <w:r>
              <w:rPr>
                <w:rFonts w:hint="eastAsia" w:ascii="宋体" w:hAnsi="宋体" w:eastAsia="宋体" w:cs="宋体"/>
                <w:color w:val="auto"/>
                <w:position w:val="1"/>
                <w:sz w:val="21"/>
                <w:szCs w:val="21"/>
                <w:highlight w:val="none"/>
                <w:lang w:val="en-US" w:eastAsia="zh-CN"/>
              </w:rPr>
              <w:t>1</w:t>
            </w:r>
          </w:p>
        </w:tc>
        <w:tc>
          <w:tcPr>
            <w:tcW w:w="5194" w:type="dxa"/>
            <w:noWrap w:val="0"/>
            <w:vAlign w:val="center"/>
          </w:tcPr>
          <w:p w14:paraId="74EED606">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成交供应商在接到上级泵站运行指令后，要在</w:t>
            </w:r>
            <w:r>
              <w:rPr>
                <w:rFonts w:hint="eastAsia" w:cs="宋体"/>
                <w:color w:val="auto"/>
                <w:spacing w:val="9"/>
                <w:sz w:val="21"/>
                <w:szCs w:val="21"/>
                <w:highlight w:val="none"/>
                <w:lang w:val="en-US" w:eastAsia="zh-CN"/>
              </w:rPr>
              <w:t>2个</w:t>
            </w:r>
            <w:r>
              <w:rPr>
                <w:rFonts w:hint="eastAsia" w:ascii="宋体" w:hAnsi="宋体" w:eastAsia="宋体" w:cs="宋体"/>
                <w:color w:val="auto"/>
                <w:spacing w:val="9"/>
                <w:sz w:val="21"/>
                <w:szCs w:val="21"/>
                <w:highlight w:val="none"/>
                <w:lang w:val="en-US" w:eastAsia="zh-CN"/>
              </w:rPr>
              <w:t>小时内做好</w:t>
            </w:r>
            <w:r>
              <w:rPr>
                <w:rFonts w:hint="eastAsia" w:cs="宋体"/>
                <w:color w:val="auto"/>
                <w:spacing w:val="9"/>
                <w:sz w:val="21"/>
                <w:szCs w:val="21"/>
                <w:highlight w:val="none"/>
                <w:lang w:val="en-US" w:eastAsia="zh-CN"/>
              </w:rPr>
              <w:t>各</w:t>
            </w:r>
            <w:r>
              <w:rPr>
                <w:rFonts w:hint="eastAsia" w:ascii="宋体" w:hAnsi="宋体" w:eastAsia="宋体" w:cs="宋体"/>
                <w:color w:val="auto"/>
                <w:spacing w:val="9"/>
                <w:sz w:val="21"/>
                <w:szCs w:val="21"/>
                <w:highlight w:val="none"/>
                <w:lang w:val="en-US" w:eastAsia="zh-CN"/>
              </w:rPr>
              <w:t>泵站</w:t>
            </w:r>
            <w:r>
              <w:rPr>
                <w:rFonts w:hint="eastAsia" w:cs="宋体"/>
                <w:color w:val="auto"/>
                <w:spacing w:val="9"/>
                <w:sz w:val="21"/>
                <w:szCs w:val="21"/>
                <w:highlight w:val="none"/>
                <w:lang w:val="en-US" w:eastAsia="zh-CN"/>
              </w:rPr>
              <w:t>的</w:t>
            </w:r>
            <w:r>
              <w:rPr>
                <w:rFonts w:hint="eastAsia" w:ascii="宋体" w:hAnsi="宋体" w:eastAsia="宋体" w:cs="宋体"/>
                <w:color w:val="auto"/>
                <w:spacing w:val="9"/>
                <w:sz w:val="21"/>
                <w:szCs w:val="21"/>
                <w:highlight w:val="none"/>
                <w:lang w:val="en-US" w:eastAsia="zh-CN"/>
              </w:rPr>
              <w:t>运行准备工作。</w:t>
            </w:r>
            <w:r>
              <w:rPr>
                <w:rFonts w:hint="eastAsia"/>
                <w:color w:val="auto"/>
                <w:position w:val="1"/>
                <w:sz w:val="21"/>
                <w:szCs w:val="21"/>
                <w:highlight w:val="none"/>
                <w:lang w:val="en-US" w:eastAsia="zh-CN"/>
              </w:rPr>
              <w:t>按照指令要求完成水泵的运行工作。</w:t>
            </w:r>
          </w:p>
        </w:tc>
        <w:tc>
          <w:tcPr>
            <w:tcW w:w="1167" w:type="dxa"/>
            <w:noWrap w:val="0"/>
            <w:vAlign w:val="center"/>
          </w:tcPr>
          <w:p w14:paraId="09D06E41">
            <w:pPr>
              <w:pStyle w:val="70"/>
              <w:spacing w:before="177" w:line="334" w:lineRule="auto"/>
              <w:ind w:left="104" w:leftChars="0" w:right="8" w:rightChars="0" w:firstLine="228" w:firstLineChars="100"/>
              <w:jc w:val="center"/>
              <w:rPr>
                <w:rFonts w:hint="default" w:ascii="宋体" w:hAnsi="宋体" w:eastAsia="宋体" w:cs="宋体"/>
                <w:color w:val="auto"/>
                <w:spacing w:val="9"/>
                <w:sz w:val="21"/>
                <w:szCs w:val="21"/>
                <w:highlight w:val="none"/>
                <w:lang w:val="en-US" w:eastAsia="zh-CN"/>
              </w:rPr>
            </w:pPr>
            <w:r>
              <w:rPr>
                <w:rFonts w:hint="eastAsia" w:cs="宋体"/>
                <w:b w:val="0"/>
                <w:bCs w:val="0"/>
                <w:color w:val="auto"/>
                <w:spacing w:val="9"/>
                <w:sz w:val="21"/>
                <w:szCs w:val="21"/>
                <w:highlight w:val="none"/>
                <w:lang w:val="en-US" w:eastAsia="zh-CN"/>
              </w:rPr>
              <w:t>0-5</w:t>
            </w:r>
          </w:p>
        </w:tc>
        <w:tc>
          <w:tcPr>
            <w:tcW w:w="1116" w:type="dxa"/>
            <w:noWrap w:val="0"/>
            <w:vAlign w:val="center"/>
          </w:tcPr>
          <w:p w14:paraId="2881A8FC">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c>
          <w:tcPr>
            <w:tcW w:w="992" w:type="dxa"/>
            <w:vMerge w:val="continue"/>
            <w:tcBorders>
              <w:right w:val="single" w:color="000000" w:sz="8" w:space="0"/>
            </w:tcBorders>
            <w:noWrap w:val="0"/>
            <w:vAlign w:val="top"/>
          </w:tcPr>
          <w:p w14:paraId="79E02DC7">
            <w:pPr>
              <w:pStyle w:val="70"/>
              <w:spacing w:before="177" w:line="334" w:lineRule="auto"/>
              <w:ind w:right="8" w:rightChars="0"/>
              <w:jc w:val="left"/>
              <w:rPr>
                <w:rFonts w:hint="eastAsia" w:ascii="宋体" w:hAnsi="宋体" w:eastAsia="宋体" w:cs="宋体"/>
                <w:color w:val="auto"/>
                <w:spacing w:val="9"/>
                <w:sz w:val="21"/>
                <w:szCs w:val="21"/>
                <w:highlight w:val="none"/>
                <w:lang w:val="en-US" w:eastAsia="en-US"/>
              </w:rPr>
            </w:pPr>
          </w:p>
        </w:tc>
      </w:tr>
      <w:tr w14:paraId="6D199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785" w:type="dxa"/>
            <w:tcBorders>
              <w:left w:val="single" w:color="000000" w:sz="8" w:space="0"/>
            </w:tcBorders>
            <w:noWrap w:val="0"/>
            <w:vAlign w:val="center"/>
          </w:tcPr>
          <w:p w14:paraId="2C71BD40">
            <w:pPr>
              <w:pStyle w:val="70"/>
              <w:spacing w:before="61" w:line="256" w:lineRule="exact"/>
              <w:jc w:val="center"/>
              <w:rPr>
                <w:rFonts w:hint="eastAsia" w:ascii="宋体" w:hAnsi="宋体" w:eastAsia="宋体" w:cs="宋体"/>
                <w:color w:val="auto"/>
                <w:position w:val="1"/>
                <w:sz w:val="21"/>
                <w:szCs w:val="21"/>
                <w:highlight w:val="none"/>
                <w:lang w:val="en-US" w:eastAsia="zh-CN"/>
              </w:rPr>
            </w:pPr>
          </w:p>
          <w:p w14:paraId="46E0A3FB">
            <w:pPr>
              <w:pStyle w:val="70"/>
              <w:spacing w:before="61" w:line="256" w:lineRule="exact"/>
              <w:jc w:val="center"/>
              <w:rPr>
                <w:rFonts w:hint="eastAsia" w:ascii="宋体" w:hAnsi="宋体" w:eastAsia="宋体" w:cs="宋体"/>
                <w:color w:val="auto"/>
                <w:position w:val="1"/>
                <w:sz w:val="21"/>
                <w:szCs w:val="21"/>
                <w:highlight w:val="none"/>
                <w:lang w:val="en-US" w:eastAsia="zh-CN"/>
              </w:rPr>
            </w:pPr>
          </w:p>
          <w:p w14:paraId="06E7A0E1">
            <w:pPr>
              <w:pStyle w:val="70"/>
              <w:spacing w:before="61" w:line="256" w:lineRule="exact"/>
              <w:jc w:val="center"/>
              <w:rPr>
                <w:rFonts w:hint="default" w:ascii="宋体" w:hAnsi="宋体" w:eastAsia="宋体" w:cs="宋体"/>
                <w:color w:val="auto"/>
                <w:position w:val="1"/>
                <w:sz w:val="21"/>
                <w:szCs w:val="21"/>
                <w:highlight w:val="none"/>
                <w:lang w:val="en-US" w:eastAsia="zh-CN"/>
              </w:rPr>
            </w:pPr>
            <w:r>
              <w:rPr>
                <w:rFonts w:hint="eastAsia" w:ascii="宋体" w:hAnsi="宋体" w:eastAsia="宋体" w:cs="宋体"/>
                <w:color w:val="auto"/>
                <w:position w:val="1"/>
                <w:sz w:val="21"/>
                <w:szCs w:val="21"/>
                <w:highlight w:val="none"/>
                <w:lang w:val="en-US" w:eastAsia="zh-CN"/>
              </w:rPr>
              <w:t>2</w:t>
            </w:r>
          </w:p>
        </w:tc>
        <w:tc>
          <w:tcPr>
            <w:tcW w:w="5194" w:type="dxa"/>
            <w:noWrap w:val="0"/>
            <w:vAlign w:val="center"/>
          </w:tcPr>
          <w:p w14:paraId="4047D016">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保持进出水池无漂浮垃圾</w:t>
            </w:r>
            <w:r>
              <w:rPr>
                <w:rFonts w:hint="eastAsia" w:cs="宋体"/>
                <w:color w:val="auto"/>
                <w:spacing w:val="9"/>
                <w:sz w:val="21"/>
                <w:szCs w:val="21"/>
                <w:highlight w:val="none"/>
                <w:lang w:val="en-US" w:eastAsia="zh-CN"/>
              </w:rPr>
              <w:t>，</w:t>
            </w:r>
            <w:r>
              <w:rPr>
                <w:rFonts w:hint="eastAsia" w:ascii="宋体" w:hAnsi="宋体" w:eastAsia="宋体" w:cs="宋体"/>
                <w:color w:val="auto"/>
                <w:spacing w:val="9"/>
                <w:sz w:val="21"/>
                <w:szCs w:val="21"/>
                <w:highlight w:val="none"/>
                <w:lang w:val="en-US" w:eastAsia="zh-CN"/>
              </w:rPr>
              <w:t>需要做到及时发现、立即清理。泵站</w:t>
            </w:r>
            <w:r>
              <w:rPr>
                <w:rFonts w:hint="eastAsia" w:ascii="宋体" w:hAnsi="宋体" w:eastAsia="宋体" w:cs="宋体"/>
                <w:color w:val="auto"/>
                <w:spacing w:val="9"/>
                <w:sz w:val="21"/>
                <w:szCs w:val="21"/>
                <w:highlight w:val="none"/>
                <w:lang w:eastAsia="zh-CN"/>
              </w:rPr>
              <w:t>设备</w:t>
            </w:r>
            <w:r>
              <w:rPr>
                <w:rFonts w:hint="eastAsia" w:ascii="宋体" w:hAnsi="宋体" w:eastAsia="宋体" w:cs="宋体"/>
                <w:color w:val="auto"/>
                <w:spacing w:val="9"/>
                <w:sz w:val="21"/>
                <w:szCs w:val="21"/>
                <w:highlight w:val="none"/>
                <w:lang w:val="en-US" w:eastAsia="zh-CN"/>
              </w:rPr>
              <w:t>包括但不限于</w:t>
            </w:r>
            <w:r>
              <w:rPr>
                <w:rFonts w:hint="eastAsia" w:ascii="宋体" w:hAnsi="宋体" w:eastAsia="宋体" w:cs="宋体"/>
                <w:color w:val="auto"/>
                <w:spacing w:val="9"/>
                <w:sz w:val="21"/>
                <w:szCs w:val="21"/>
                <w:highlight w:val="none"/>
                <w:lang w:eastAsia="zh-CN"/>
              </w:rPr>
              <w:t>管理房、配电房、</w:t>
            </w:r>
            <w:r>
              <w:rPr>
                <w:rFonts w:hint="eastAsia" w:ascii="宋体" w:hAnsi="宋体" w:eastAsia="宋体" w:cs="宋体"/>
                <w:color w:val="auto"/>
                <w:spacing w:val="9"/>
                <w:sz w:val="21"/>
                <w:szCs w:val="21"/>
                <w:highlight w:val="none"/>
              </w:rPr>
              <w:t>配</w:t>
            </w:r>
            <w:r>
              <w:rPr>
                <w:rFonts w:hint="eastAsia" w:ascii="宋体" w:hAnsi="宋体" w:eastAsia="宋体" w:cs="宋体"/>
                <w:color w:val="auto"/>
                <w:spacing w:val="9"/>
                <w:sz w:val="21"/>
                <w:szCs w:val="21"/>
                <w:highlight w:val="none"/>
                <w:lang w:eastAsia="zh-CN"/>
              </w:rPr>
              <w:t>电</w:t>
            </w:r>
            <w:r>
              <w:rPr>
                <w:rFonts w:hint="eastAsia" w:ascii="宋体" w:hAnsi="宋体" w:eastAsia="宋体" w:cs="宋体"/>
                <w:color w:val="auto"/>
                <w:spacing w:val="9"/>
                <w:sz w:val="21"/>
                <w:szCs w:val="21"/>
                <w:highlight w:val="none"/>
              </w:rPr>
              <w:t>柜、动力柜</w:t>
            </w:r>
            <w:r>
              <w:rPr>
                <w:rFonts w:hint="eastAsia" w:ascii="宋体" w:hAnsi="宋体" w:eastAsia="宋体" w:cs="宋体"/>
                <w:color w:val="auto"/>
                <w:spacing w:val="9"/>
                <w:sz w:val="21"/>
                <w:szCs w:val="21"/>
                <w:highlight w:val="none"/>
                <w:lang w:eastAsia="zh-CN"/>
              </w:rPr>
              <w:t>及管理区域</w:t>
            </w:r>
            <w:r>
              <w:rPr>
                <w:rFonts w:hint="eastAsia" w:ascii="宋体" w:hAnsi="宋体" w:eastAsia="宋体" w:cs="宋体"/>
                <w:color w:val="auto"/>
                <w:spacing w:val="9"/>
                <w:sz w:val="21"/>
                <w:szCs w:val="21"/>
                <w:highlight w:val="none"/>
                <w:lang w:val="en-US" w:eastAsia="zh-CN"/>
              </w:rPr>
              <w:t>周边环境</w:t>
            </w:r>
            <w:r>
              <w:rPr>
                <w:rFonts w:hint="eastAsia" w:ascii="宋体" w:hAnsi="宋体" w:eastAsia="宋体" w:cs="宋体"/>
                <w:color w:val="auto"/>
                <w:spacing w:val="9"/>
                <w:sz w:val="21"/>
                <w:szCs w:val="21"/>
                <w:highlight w:val="none"/>
              </w:rPr>
              <w:t>卫生整洁干净</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办公用品、</w:t>
            </w:r>
            <w:r>
              <w:rPr>
                <w:rFonts w:hint="eastAsia" w:ascii="宋体" w:hAnsi="宋体" w:eastAsia="宋体" w:cs="宋体"/>
                <w:color w:val="auto"/>
                <w:spacing w:val="9"/>
                <w:sz w:val="21"/>
                <w:szCs w:val="21"/>
                <w:highlight w:val="none"/>
                <w:lang w:eastAsia="zh-CN"/>
              </w:rPr>
              <w:t>生活</w:t>
            </w:r>
            <w:r>
              <w:rPr>
                <w:rFonts w:hint="eastAsia" w:ascii="宋体" w:hAnsi="宋体" w:eastAsia="宋体" w:cs="宋体"/>
                <w:color w:val="auto"/>
                <w:spacing w:val="9"/>
                <w:sz w:val="21"/>
                <w:szCs w:val="21"/>
                <w:highlight w:val="none"/>
              </w:rPr>
              <w:t>用具摆放整齐</w:t>
            </w:r>
            <w:r>
              <w:rPr>
                <w:rFonts w:hint="eastAsia" w:ascii="宋体" w:hAnsi="宋体" w:eastAsia="宋体" w:cs="宋体"/>
                <w:color w:val="auto"/>
                <w:spacing w:val="9"/>
                <w:sz w:val="21"/>
                <w:szCs w:val="21"/>
                <w:highlight w:val="none"/>
                <w:lang w:eastAsia="zh-CN"/>
              </w:rPr>
              <w:t>。</w:t>
            </w:r>
          </w:p>
        </w:tc>
        <w:tc>
          <w:tcPr>
            <w:tcW w:w="1167" w:type="dxa"/>
            <w:noWrap w:val="0"/>
            <w:vAlign w:val="center"/>
          </w:tcPr>
          <w:p w14:paraId="1E855137">
            <w:pPr>
              <w:pStyle w:val="70"/>
              <w:spacing w:before="177" w:line="334" w:lineRule="auto"/>
              <w:ind w:left="104" w:leftChars="0" w:right="8" w:rightChars="0"/>
              <w:jc w:val="center"/>
              <w:rPr>
                <w:rFonts w:hint="eastAsia" w:ascii="宋体" w:hAnsi="宋体" w:eastAsia="宋体" w:cs="宋体"/>
                <w:color w:val="auto"/>
                <w:spacing w:val="9"/>
                <w:sz w:val="21"/>
                <w:szCs w:val="21"/>
                <w:highlight w:val="none"/>
                <w:lang w:val="en-US" w:eastAsia="zh-CN"/>
              </w:rPr>
            </w:pPr>
          </w:p>
          <w:p w14:paraId="0643997A">
            <w:pPr>
              <w:pStyle w:val="70"/>
              <w:spacing w:before="177" w:line="334" w:lineRule="auto"/>
              <w:ind w:left="104" w:leftChars="0" w:right="8" w:rightChars="0" w:firstLine="228" w:firstLineChars="100"/>
              <w:jc w:val="center"/>
              <w:rPr>
                <w:rFonts w:hint="default" w:ascii="宋体" w:hAnsi="宋体" w:eastAsia="宋体" w:cs="宋体"/>
                <w:color w:val="auto"/>
                <w:spacing w:val="9"/>
                <w:sz w:val="21"/>
                <w:szCs w:val="21"/>
                <w:highlight w:val="none"/>
                <w:lang w:val="en-US" w:eastAsia="zh-CN"/>
              </w:rPr>
            </w:pPr>
            <w:r>
              <w:rPr>
                <w:rFonts w:hint="eastAsia" w:cs="宋体"/>
                <w:b w:val="0"/>
                <w:bCs w:val="0"/>
                <w:color w:val="auto"/>
                <w:spacing w:val="9"/>
                <w:sz w:val="21"/>
                <w:szCs w:val="21"/>
                <w:highlight w:val="none"/>
                <w:lang w:val="en-US" w:eastAsia="zh-CN"/>
              </w:rPr>
              <w:t>0-5</w:t>
            </w:r>
          </w:p>
        </w:tc>
        <w:tc>
          <w:tcPr>
            <w:tcW w:w="1116" w:type="dxa"/>
            <w:noWrap w:val="0"/>
            <w:vAlign w:val="center"/>
          </w:tcPr>
          <w:p w14:paraId="494702A8">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c>
          <w:tcPr>
            <w:tcW w:w="992" w:type="dxa"/>
            <w:vMerge w:val="continue"/>
            <w:tcBorders>
              <w:right w:val="single" w:color="000000" w:sz="8" w:space="0"/>
            </w:tcBorders>
            <w:noWrap w:val="0"/>
            <w:vAlign w:val="top"/>
          </w:tcPr>
          <w:p w14:paraId="67AF27CB">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r>
      <w:tr w14:paraId="09355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785" w:type="dxa"/>
            <w:tcBorders>
              <w:left w:val="single" w:color="000000" w:sz="8" w:space="0"/>
            </w:tcBorders>
            <w:noWrap w:val="0"/>
            <w:vAlign w:val="center"/>
          </w:tcPr>
          <w:p w14:paraId="5C0F25D0">
            <w:pPr>
              <w:pStyle w:val="70"/>
              <w:spacing w:before="61" w:line="256" w:lineRule="exact"/>
              <w:jc w:val="center"/>
              <w:rPr>
                <w:rFonts w:hint="eastAsia" w:ascii="宋体" w:hAnsi="宋体" w:eastAsia="宋体" w:cs="宋体"/>
                <w:color w:val="auto"/>
                <w:position w:val="1"/>
                <w:sz w:val="21"/>
                <w:szCs w:val="21"/>
                <w:highlight w:val="none"/>
                <w:lang w:val="en-US" w:eastAsia="zh-CN"/>
              </w:rPr>
            </w:pPr>
          </w:p>
          <w:p w14:paraId="395EAA6C">
            <w:pPr>
              <w:pStyle w:val="70"/>
              <w:spacing w:before="61" w:line="256" w:lineRule="exact"/>
              <w:jc w:val="center"/>
              <w:rPr>
                <w:rFonts w:hint="default" w:ascii="宋体" w:hAnsi="宋体" w:eastAsia="宋体" w:cs="宋体"/>
                <w:color w:val="auto"/>
                <w:position w:val="1"/>
                <w:sz w:val="21"/>
                <w:szCs w:val="21"/>
                <w:highlight w:val="none"/>
                <w:lang w:val="en-US" w:eastAsia="zh-CN"/>
              </w:rPr>
            </w:pPr>
            <w:r>
              <w:rPr>
                <w:rFonts w:hint="eastAsia" w:ascii="宋体" w:hAnsi="宋体" w:eastAsia="宋体" w:cs="宋体"/>
                <w:color w:val="auto"/>
                <w:position w:val="1"/>
                <w:sz w:val="21"/>
                <w:szCs w:val="21"/>
                <w:highlight w:val="none"/>
                <w:lang w:val="en-US" w:eastAsia="zh-CN"/>
              </w:rPr>
              <w:t>3</w:t>
            </w:r>
          </w:p>
        </w:tc>
        <w:tc>
          <w:tcPr>
            <w:tcW w:w="5194" w:type="dxa"/>
            <w:noWrap w:val="0"/>
            <w:vAlign w:val="center"/>
          </w:tcPr>
          <w:p w14:paraId="4FCC2EB6">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eastAsia="zh-CN"/>
              </w:rPr>
              <w:t>对水泵、</w:t>
            </w:r>
            <w:r>
              <w:rPr>
                <w:rFonts w:hint="eastAsia" w:ascii="宋体" w:hAnsi="宋体" w:eastAsia="宋体" w:cs="宋体"/>
                <w:color w:val="auto"/>
                <w:spacing w:val="9"/>
                <w:sz w:val="21"/>
                <w:szCs w:val="21"/>
                <w:highlight w:val="none"/>
              </w:rPr>
              <w:t>电气等设备操作、运行、检查</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观测等流程和步骤，制订岗位操作流程</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要求操作规范、 流程科学合理；所有流程上墙公开。</w:t>
            </w:r>
          </w:p>
        </w:tc>
        <w:tc>
          <w:tcPr>
            <w:tcW w:w="1167" w:type="dxa"/>
            <w:noWrap w:val="0"/>
            <w:vAlign w:val="center"/>
          </w:tcPr>
          <w:p w14:paraId="081EF141">
            <w:pPr>
              <w:pStyle w:val="70"/>
              <w:spacing w:before="177" w:line="334" w:lineRule="auto"/>
              <w:ind w:left="104" w:leftChars="0" w:right="8" w:rightChars="0"/>
              <w:jc w:val="center"/>
              <w:rPr>
                <w:rFonts w:hint="eastAsia" w:ascii="宋体" w:hAnsi="宋体" w:eastAsia="宋体" w:cs="宋体"/>
                <w:color w:val="auto"/>
                <w:spacing w:val="9"/>
                <w:sz w:val="21"/>
                <w:szCs w:val="21"/>
                <w:highlight w:val="none"/>
                <w:lang w:val="en-US" w:eastAsia="zh-CN"/>
              </w:rPr>
            </w:pPr>
          </w:p>
          <w:p w14:paraId="285B3F59">
            <w:pPr>
              <w:pStyle w:val="70"/>
              <w:spacing w:before="177" w:line="334" w:lineRule="auto"/>
              <w:ind w:right="8" w:rightChars="0" w:firstLine="456" w:firstLineChars="200"/>
              <w:jc w:val="center"/>
              <w:rPr>
                <w:rFonts w:hint="default" w:ascii="宋体" w:hAnsi="宋体" w:eastAsia="宋体" w:cs="宋体"/>
                <w:color w:val="auto"/>
                <w:spacing w:val="9"/>
                <w:sz w:val="21"/>
                <w:szCs w:val="21"/>
                <w:highlight w:val="none"/>
                <w:lang w:val="en-US" w:eastAsia="zh-CN"/>
              </w:rPr>
            </w:pPr>
            <w:r>
              <w:rPr>
                <w:rFonts w:hint="eastAsia" w:cs="宋体"/>
                <w:b w:val="0"/>
                <w:bCs w:val="0"/>
                <w:color w:val="auto"/>
                <w:spacing w:val="9"/>
                <w:sz w:val="21"/>
                <w:szCs w:val="21"/>
                <w:highlight w:val="none"/>
                <w:lang w:val="en-US" w:eastAsia="zh-CN"/>
              </w:rPr>
              <w:t>0-5</w:t>
            </w:r>
          </w:p>
        </w:tc>
        <w:tc>
          <w:tcPr>
            <w:tcW w:w="1116" w:type="dxa"/>
            <w:noWrap w:val="0"/>
            <w:vAlign w:val="center"/>
          </w:tcPr>
          <w:p w14:paraId="774845E6">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c>
          <w:tcPr>
            <w:tcW w:w="992" w:type="dxa"/>
            <w:vMerge w:val="continue"/>
            <w:tcBorders>
              <w:right w:val="single" w:color="000000" w:sz="8" w:space="0"/>
            </w:tcBorders>
            <w:noWrap w:val="0"/>
            <w:vAlign w:val="top"/>
          </w:tcPr>
          <w:p w14:paraId="63126679">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r>
      <w:tr w14:paraId="36530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785" w:type="dxa"/>
            <w:tcBorders>
              <w:left w:val="single" w:color="000000" w:sz="8" w:space="0"/>
            </w:tcBorders>
            <w:noWrap w:val="0"/>
            <w:vAlign w:val="center"/>
          </w:tcPr>
          <w:p w14:paraId="1DB66ED1">
            <w:pPr>
              <w:pStyle w:val="70"/>
              <w:spacing w:before="61" w:line="256" w:lineRule="exact"/>
              <w:jc w:val="center"/>
              <w:rPr>
                <w:rFonts w:hint="eastAsia" w:ascii="宋体" w:hAnsi="宋体" w:eastAsia="宋体" w:cs="宋体"/>
                <w:color w:val="auto"/>
                <w:position w:val="1"/>
                <w:sz w:val="21"/>
                <w:szCs w:val="21"/>
                <w:highlight w:val="none"/>
                <w:lang w:val="en-US" w:eastAsia="zh-CN"/>
              </w:rPr>
            </w:pPr>
          </w:p>
          <w:p w14:paraId="4CE4E33B">
            <w:pPr>
              <w:pStyle w:val="70"/>
              <w:spacing w:before="61" w:line="256" w:lineRule="exact"/>
              <w:jc w:val="center"/>
              <w:rPr>
                <w:rFonts w:hint="default" w:ascii="宋体" w:hAnsi="宋体" w:eastAsia="宋体" w:cs="宋体"/>
                <w:color w:val="auto"/>
                <w:position w:val="1"/>
                <w:sz w:val="21"/>
                <w:szCs w:val="21"/>
                <w:highlight w:val="none"/>
                <w:lang w:val="en-US" w:eastAsia="zh-CN"/>
              </w:rPr>
            </w:pPr>
            <w:r>
              <w:rPr>
                <w:rFonts w:hint="eastAsia" w:ascii="宋体" w:hAnsi="宋体" w:eastAsia="宋体" w:cs="宋体"/>
                <w:color w:val="auto"/>
                <w:position w:val="1"/>
                <w:sz w:val="21"/>
                <w:szCs w:val="21"/>
                <w:highlight w:val="none"/>
                <w:lang w:val="en-US" w:eastAsia="zh-CN"/>
              </w:rPr>
              <w:t>4</w:t>
            </w:r>
          </w:p>
        </w:tc>
        <w:tc>
          <w:tcPr>
            <w:tcW w:w="5194" w:type="dxa"/>
            <w:noWrap w:val="0"/>
            <w:vAlign w:val="center"/>
          </w:tcPr>
          <w:p w14:paraId="5545780C">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val="en-US" w:eastAsia="zh-CN"/>
              </w:rPr>
              <w:t>做好</w:t>
            </w:r>
            <w:r>
              <w:rPr>
                <w:rFonts w:hint="eastAsia" w:ascii="宋体" w:hAnsi="宋体" w:eastAsia="宋体" w:cs="宋体"/>
                <w:color w:val="auto"/>
                <w:spacing w:val="9"/>
                <w:sz w:val="21"/>
                <w:szCs w:val="21"/>
                <w:highlight w:val="none"/>
                <w:lang w:eastAsia="zh-CN"/>
              </w:rPr>
              <w:t>水泵、</w:t>
            </w:r>
            <w:r>
              <w:rPr>
                <w:rFonts w:hint="eastAsia" w:ascii="宋体" w:hAnsi="宋体" w:eastAsia="宋体" w:cs="宋体"/>
                <w:color w:val="auto"/>
                <w:spacing w:val="9"/>
                <w:sz w:val="21"/>
                <w:szCs w:val="21"/>
                <w:highlight w:val="none"/>
              </w:rPr>
              <w:t>电气等设备</w:t>
            </w:r>
            <w:r>
              <w:rPr>
                <w:rFonts w:hint="eastAsia" w:ascii="宋体" w:hAnsi="宋体" w:eastAsia="宋体" w:cs="宋体"/>
                <w:color w:val="auto"/>
                <w:spacing w:val="9"/>
                <w:sz w:val="21"/>
                <w:szCs w:val="21"/>
                <w:highlight w:val="none"/>
                <w:lang w:val="en-US" w:eastAsia="zh-CN"/>
              </w:rPr>
              <w:t>运行记录，包括但不限于运行状态、运行电压、运行电流及开停机时间、台数及水量等并建立台帐。</w:t>
            </w:r>
          </w:p>
        </w:tc>
        <w:tc>
          <w:tcPr>
            <w:tcW w:w="1167" w:type="dxa"/>
            <w:noWrap w:val="0"/>
            <w:vAlign w:val="center"/>
          </w:tcPr>
          <w:p w14:paraId="061FFCB9">
            <w:pPr>
              <w:pStyle w:val="70"/>
              <w:spacing w:before="177" w:line="334" w:lineRule="auto"/>
              <w:ind w:left="104" w:leftChars="0" w:right="8" w:rightChars="0"/>
              <w:jc w:val="center"/>
              <w:rPr>
                <w:rFonts w:hint="eastAsia" w:ascii="宋体" w:hAnsi="宋体" w:eastAsia="宋体" w:cs="宋体"/>
                <w:color w:val="auto"/>
                <w:spacing w:val="9"/>
                <w:sz w:val="21"/>
                <w:szCs w:val="21"/>
                <w:highlight w:val="none"/>
                <w:lang w:val="en-US" w:eastAsia="zh-CN"/>
              </w:rPr>
            </w:pPr>
          </w:p>
          <w:p w14:paraId="47F860B1">
            <w:pPr>
              <w:pStyle w:val="70"/>
              <w:spacing w:before="177" w:line="334" w:lineRule="auto"/>
              <w:ind w:right="8" w:rightChars="0" w:firstLine="456" w:firstLineChars="200"/>
              <w:jc w:val="center"/>
              <w:rPr>
                <w:rFonts w:hint="default" w:ascii="宋体" w:hAnsi="宋体" w:eastAsia="宋体" w:cs="宋体"/>
                <w:color w:val="auto"/>
                <w:spacing w:val="9"/>
                <w:sz w:val="21"/>
                <w:szCs w:val="21"/>
                <w:highlight w:val="none"/>
                <w:lang w:val="en-US" w:eastAsia="zh-CN"/>
              </w:rPr>
            </w:pPr>
            <w:r>
              <w:rPr>
                <w:rFonts w:hint="eastAsia" w:cs="宋体"/>
                <w:b w:val="0"/>
                <w:bCs w:val="0"/>
                <w:color w:val="auto"/>
                <w:spacing w:val="9"/>
                <w:sz w:val="21"/>
                <w:szCs w:val="21"/>
                <w:highlight w:val="none"/>
                <w:lang w:val="en-US" w:eastAsia="zh-CN"/>
              </w:rPr>
              <w:t>0-5</w:t>
            </w:r>
          </w:p>
        </w:tc>
        <w:tc>
          <w:tcPr>
            <w:tcW w:w="1116" w:type="dxa"/>
            <w:noWrap w:val="0"/>
            <w:vAlign w:val="center"/>
          </w:tcPr>
          <w:p w14:paraId="6A2CF1FD">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c>
          <w:tcPr>
            <w:tcW w:w="992" w:type="dxa"/>
            <w:vMerge w:val="continue"/>
            <w:tcBorders>
              <w:right w:val="single" w:color="000000" w:sz="8" w:space="0"/>
            </w:tcBorders>
            <w:noWrap w:val="0"/>
            <w:vAlign w:val="top"/>
          </w:tcPr>
          <w:p w14:paraId="03BFE488">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r>
      <w:tr w14:paraId="4D197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785" w:type="dxa"/>
            <w:tcBorders>
              <w:left w:val="single" w:color="000000" w:sz="8" w:space="0"/>
            </w:tcBorders>
            <w:noWrap w:val="0"/>
            <w:vAlign w:val="center"/>
          </w:tcPr>
          <w:p w14:paraId="079C3F35">
            <w:pPr>
              <w:pStyle w:val="70"/>
              <w:spacing w:before="214" w:line="480" w:lineRule="auto"/>
              <w:ind w:firstLine="210" w:firstLineChars="100"/>
              <w:jc w:val="both"/>
              <w:rPr>
                <w:rFonts w:hint="eastAsia" w:ascii="宋体" w:hAnsi="宋体" w:eastAsia="宋体" w:cs="宋体"/>
                <w:snapToGrid w:val="0"/>
                <w:color w:val="auto"/>
                <w:kern w:val="0"/>
                <w:sz w:val="21"/>
                <w:szCs w:val="21"/>
                <w:highlight w:val="none"/>
                <w:lang w:val="en-US" w:eastAsia="zh-CN" w:bidi="ar-SA"/>
              </w:rPr>
            </w:pPr>
            <w:r>
              <w:rPr>
                <w:rFonts w:hint="eastAsia"/>
                <w:b/>
                <w:bCs/>
                <w:color w:val="auto"/>
                <w:sz w:val="21"/>
                <w:szCs w:val="21"/>
                <w:highlight w:val="none"/>
                <w:lang w:eastAsia="zh-CN"/>
              </w:rPr>
              <w:t>三</w:t>
            </w:r>
          </w:p>
        </w:tc>
        <w:tc>
          <w:tcPr>
            <w:tcW w:w="5194" w:type="dxa"/>
            <w:noWrap w:val="0"/>
            <w:vAlign w:val="center"/>
          </w:tcPr>
          <w:p w14:paraId="5019A9F9">
            <w:pPr>
              <w:pStyle w:val="70"/>
              <w:spacing w:before="214" w:line="480" w:lineRule="auto"/>
              <w:jc w:val="left"/>
              <w:rPr>
                <w:rFonts w:hint="eastAsia" w:ascii="宋体" w:hAnsi="宋体" w:eastAsia="宋体" w:cs="宋体"/>
                <w:snapToGrid w:val="0"/>
                <w:color w:val="auto"/>
                <w:kern w:val="0"/>
                <w:sz w:val="21"/>
                <w:szCs w:val="21"/>
                <w:highlight w:val="none"/>
                <w:lang w:val="en-US" w:eastAsia="zh-CN" w:bidi="ar-SA"/>
              </w:rPr>
            </w:pPr>
            <w:r>
              <w:rPr>
                <w:rFonts w:hint="eastAsia"/>
                <w:b/>
                <w:bCs/>
                <w:color w:val="auto"/>
                <w:sz w:val="21"/>
                <w:szCs w:val="21"/>
                <w:highlight w:val="none"/>
                <w:lang w:val="en-US" w:eastAsia="zh-CN"/>
              </w:rPr>
              <w:t>输水渠道及管道、堤坝及拦水坝日常巡视巡查</w:t>
            </w:r>
          </w:p>
        </w:tc>
        <w:tc>
          <w:tcPr>
            <w:tcW w:w="1167" w:type="dxa"/>
            <w:noWrap w:val="0"/>
            <w:vAlign w:val="center"/>
          </w:tcPr>
          <w:p w14:paraId="61250C2A">
            <w:pPr>
              <w:pStyle w:val="70"/>
              <w:spacing w:before="177" w:line="334" w:lineRule="auto"/>
              <w:ind w:right="8" w:rightChars="0" w:firstLine="456" w:firstLineChars="200"/>
              <w:jc w:val="center"/>
              <w:rPr>
                <w:rFonts w:hint="default" w:cs="宋体"/>
                <w:color w:val="auto"/>
                <w:spacing w:val="9"/>
                <w:sz w:val="21"/>
                <w:szCs w:val="21"/>
                <w:highlight w:val="none"/>
                <w:lang w:val="en-US" w:eastAsia="zh-CN"/>
              </w:rPr>
            </w:pPr>
            <w:r>
              <w:rPr>
                <w:rFonts w:hint="eastAsia" w:cs="宋体"/>
                <w:b w:val="0"/>
                <w:bCs w:val="0"/>
                <w:color w:val="auto"/>
                <w:spacing w:val="9"/>
                <w:sz w:val="21"/>
                <w:szCs w:val="21"/>
                <w:highlight w:val="none"/>
                <w:lang w:val="en-US" w:eastAsia="zh-CN"/>
              </w:rPr>
              <w:t>20</w:t>
            </w:r>
          </w:p>
        </w:tc>
        <w:tc>
          <w:tcPr>
            <w:tcW w:w="1116" w:type="dxa"/>
            <w:noWrap w:val="0"/>
            <w:vAlign w:val="center"/>
          </w:tcPr>
          <w:p w14:paraId="68311973">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c>
          <w:tcPr>
            <w:tcW w:w="992" w:type="dxa"/>
            <w:vMerge w:val="restart"/>
            <w:tcBorders>
              <w:right w:val="single" w:color="000000" w:sz="8" w:space="0"/>
            </w:tcBorders>
            <w:noWrap w:val="0"/>
            <w:vAlign w:val="top"/>
          </w:tcPr>
          <w:p w14:paraId="3F1C5F30">
            <w:pPr>
              <w:pStyle w:val="70"/>
              <w:spacing w:before="177" w:line="334" w:lineRule="auto"/>
              <w:ind w:left="104" w:leftChars="0" w:right="8" w:rightChars="0"/>
              <w:jc w:val="left"/>
              <w:rPr>
                <w:rFonts w:hint="eastAsia" w:ascii="宋体" w:hAnsi="宋体" w:eastAsia="宋体" w:cs="宋体"/>
                <w:color w:val="auto"/>
                <w:spacing w:val="7"/>
                <w:sz w:val="21"/>
                <w:szCs w:val="21"/>
                <w:highlight w:val="none"/>
              </w:rPr>
            </w:pPr>
          </w:p>
          <w:p w14:paraId="0A798F81">
            <w:pPr>
              <w:pStyle w:val="70"/>
              <w:spacing w:before="177" w:line="334" w:lineRule="auto"/>
              <w:ind w:right="8" w:rightChars="0"/>
              <w:jc w:val="left"/>
              <w:rPr>
                <w:rFonts w:hint="eastAsia" w:ascii="宋体" w:hAnsi="宋体" w:eastAsia="宋体" w:cs="宋体"/>
                <w:color w:val="auto"/>
                <w:spacing w:val="9"/>
                <w:sz w:val="21"/>
                <w:szCs w:val="21"/>
                <w:highlight w:val="none"/>
                <w:lang w:val="en-US" w:eastAsia="en-US"/>
              </w:rPr>
            </w:pPr>
            <w:r>
              <w:rPr>
                <w:rFonts w:hint="eastAsia" w:ascii="宋体" w:hAnsi="宋体" w:eastAsia="宋体" w:cs="宋体"/>
                <w:color w:val="auto"/>
                <w:spacing w:val="7"/>
                <w:sz w:val="21"/>
                <w:szCs w:val="21"/>
                <w:highlight w:val="none"/>
              </w:rPr>
              <w:t>查阅资料，</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2"/>
                <w:sz w:val="21"/>
                <w:szCs w:val="21"/>
                <w:highlight w:val="none"/>
              </w:rPr>
              <w:t>结</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2"/>
                <w:sz w:val="21"/>
                <w:szCs w:val="21"/>
                <w:highlight w:val="none"/>
              </w:rPr>
              <w:t>合</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2"/>
                <w:sz w:val="21"/>
                <w:szCs w:val="21"/>
                <w:highlight w:val="none"/>
              </w:rPr>
              <w:t>平</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2"/>
                <w:sz w:val="21"/>
                <w:szCs w:val="21"/>
                <w:highlight w:val="none"/>
              </w:rPr>
              <w:t>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检查</w:t>
            </w:r>
          </w:p>
        </w:tc>
      </w:tr>
      <w:tr w14:paraId="63C1B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785" w:type="dxa"/>
            <w:tcBorders>
              <w:left w:val="single" w:color="000000" w:sz="8" w:space="0"/>
            </w:tcBorders>
            <w:noWrap w:val="0"/>
            <w:vAlign w:val="center"/>
          </w:tcPr>
          <w:p w14:paraId="2A02F68E">
            <w:pPr>
              <w:pStyle w:val="70"/>
              <w:spacing w:before="62" w:line="255" w:lineRule="exact"/>
              <w:ind w:left="345"/>
              <w:jc w:val="both"/>
              <w:rPr>
                <w:rFonts w:hint="eastAsia"/>
                <w:color w:val="auto"/>
                <w:position w:val="1"/>
                <w:sz w:val="21"/>
                <w:szCs w:val="21"/>
                <w:highlight w:val="none"/>
                <w:lang w:val="en-US" w:eastAsia="zh-CN"/>
              </w:rPr>
            </w:pPr>
          </w:p>
          <w:p w14:paraId="3E0B8CB9">
            <w:pPr>
              <w:pStyle w:val="70"/>
              <w:spacing w:before="62" w:line="255" w:lineRule="exact"/>
              <w:ind w:left="345" w:leftChars="0"/>
              <w:jc w:val="both"/>
              <w:rPr>
                <w:rFonts w:hint="eastAsia" w:ascii="宋体" w:hAnsi="宋体" w:eastAsia="宋体" w:cs="宋体"/>
                <w:snapToGrid w:val="0"/>
                <w:color w:val="auto"/>
                <w:kern w:val="0"/>
                <w:sz w:val="21"/>
                <w:szCs w:val="21"/>
                <w:highlight w:val="none"/>
                <w:lang w:val="en-US" w:eastAsia="zh-CN" w:bidi="ar-SA"/>
              </w:rPr>
            </w:pPr>
            <w:r>
              <w:rPr>
                <w:rFonts w:hint="eastAsia"/>
                <w:color w:val="auto"/>
                <w:position w:val="1"/>
                <w:sz w:val="21"/>
                <w:szCs w:val="21"/>
                <w:highlight w:val="none"/>
                <w:lang w:val="en-US" w:eastAsia="zh-CN"/>
              </w:rPr>
              <w:t>1</w:t>
            </w:r>
          </w:p>
        </w:tc>
        <w:tc>
          <w:tcPr>
            <w:tcW w:w="5194" w:type="dxa"/>
            <w:noWrap w:val="0"/>
            <w:vAlign w:val="center"/>
          </w:tcPr>
          <w:p w14:paraId="19BE44B8">
            <w:pPr>
              <w:pStyle w:val="70"/>
              <w:spacing w:before="232" w:line="312" w:lineRule="auto"/>
              <w:ind w:right="90" w:rightChars="0"/>
              <w:jc w:val="left"/>
              <w:rPr>
                <w:rFonts w:hint="eastAsia" w:ascii="宋体" w:hAnsi="宋体" w:eastAsia="宋体" w:cs="宋体"/>
                <w:snapToGrid w:val="0"/>
                <w:color w:val="auto"/>
                <w:kern w:val="0"/>
                <w:sz w:val="21"/>
                <w:szCs w:val="21"/>
                <w:highlight w:val="none"/>
                <w:lang w:val="en-US" w:eastAsia="zh-CN" w:bidi="ar-SA"/>
              </w:rPr>
            </w:pPr>
            <w:r>
              <w:rPr>
                <w:rFonts w:hint="eastAsia"/>
                <w:b w:val="0"/>
                <w:bCs w:val="0"/>
                <w:color w:val="auto"/>
                <w:spacing w:val="-1"/>
                <w:sz w:val="21"/>
                <w:szCs w:val="21"/>
                <w:highlight w:val="none"/>
                <w:lang w:val="en-US" w:eastAsia="zh-CN"/>
              </w:rPr>
              <w:t>做好输水渠道、拦水坝、堤坝、管道的日常巡视巡查记录，如巡查影像、巡查日期，巡查人员姓名，巡查范围，巡查发现情况等并建立台帐。</w:t>
            </w:r>
          </w:p>
        </w:tc>
        <w:tc>
          <w:tcPr>
            <w:tcW w:w="1167" w:type="dxa"/>
            <w:noWrap w:val="0"/>
            <w:vAlign w:val="center"/>
          </w:tcPr>
          <w:p w14:paraId="083407B9">
            <w:pPr>
              <w:pStyle w:val="70"/>
              <w:spacing w:before="177" w:line="334" w:lineRule="auto"/>
              <w:ind w:right="8" w:rightChars="0" w:firstLine="456" w:firstLineChars="200"/>
              <w:jc w:val="center"/>
              <w:rPr>
                <w:rFonts w:hint="default" w:cs="宋体"/>
                <w:b w:val="0"/>
                <w:bCs w:val="0"/>
                <w:color w:val="auto"/>
                <w:spacing w:val="9"/>
                <w:sz w:val="21"/>
                <w:szCs w:val="21"/>
                <w:highlight w:val="none"/>
                <w:lang w:val="en-US" w:eastAsia="zh-CN"/>
              </w:rPr>
            </w:pPr>
            <w:r>
              <w:rPr>
                <w:rFonts w:hint="eastAsia" w:cs="宋体"/>
                <w:b w:val="0"/>
                <w:bCs w:val="0"/>
                <w:color w:val="auto"/>
                <w:spacing w:val="9"/>
                <w:sz w:val="21"/>
                <w:szCs w:val="21"/>
                <w:highlight w:val="none"/>
                <w:lang w:val="en-US" w:eastAsia="zh-CN"/>
              </w:rPr>
              <w:t>0-10</w:t>
            </w:r>
          </w:p>
        </w:tc>
        <w:tc>
          <w:tcPr>
            <w:tcW w:w="1116" w:type="dxa"/>
            <w:noWrap w:val="0"/>
            <w:vAlign w:val="center"/>
          </w:tcPr>
          <w:p w14:paraId="083A5BC2">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c>
          <w:tcPr>
            <w:tcW w:w="992" w:type="dxa"/>
            <w:vMerge w:val="continue"/>
            <w:tcBorders>
              <w:right w:val="single" w:color="000000" w:sz="8" w:space="0"/>
            </w:tcBorders>
            <w:noWrap w:val="0"/>
            <w:vAlign w:val="top"/>
          </w:tcPr>
          <w:p w14:paraId="68462F45">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r>
      <w:tr w14:paraId="52C64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785" w:type="dxa"/>
            <w:tcBorders>
              <w:left w:val="single" w:color="000000" w:sz="8" w:space="0"/>
            </w:tcBorders>
            <w:noWrap w:val="0"/>
            <w:vAlign w:val="center"/>
          </w:tcPr>
          <w:p w14:paraId="71D497A0">
            <w:pPr>
              <w:pStyle w:val="70"/>
              <w:spacing w:before="62" w:line="255" w:lineRule="exact"/>
              <w:ind w:left="345"/>
              <w:jc w:val="both"/>
              <w:rPr>
                <w:rFonts w:hint="eastAsia"/>
                <w:color w:val="auto"/>
                <w:position w:val="1"/>
                <w:sz w:val="21"/>
                <w:szCs w:val="21"/>
                <w:highlight w:val="none"/>
                <w:lang w:val="en-US" w:eastAsia="zh-CN"/>
              </w:rPr>
            </w:pPr>
          </w:p>
          <w:p w14:paraId="3283F1B1">
            <w:pPr>
              <w:pStyle w:val="70"/>
              <w:spacing w:before="62" w:line="255" w:lineRule="exact"/>
              <w:ind w:left="345"/>
              <w:jc w:val="both"/>
              <w:rPr>
                <w:rFonts w:hint="eastAsia"/>
                <w:color w:val="auto"/>
                <w:position w:val="1"/>
                <w:sz w:val="21"/>
                <w:szCs w:val="21"/>
                <w:highlight w:val="none"/>
                <w:lang w:val="en-US" w:eastAsia="zh-CN"/>
              </w:rPr>
            </w:pPr>
            <w:r>
              <w:rPr>
                <w:rFonts w:hint="eastAsia"/>
                <w:color w:val="auto"/>
                <w:position w:val="1"/>
                <w:sz w:val="21"/>
                <w:szCs w:val="21"/>
                <w:highlight w:val="none"/>
                <w:lang w:val="en-US" w:eastAsia="zh-CN"/>
              </w:rPr>
              <w:t>2</w:t>
            </w:r>
          </w:p>
        </w:tc>
        <w:tc>
          <w:tcPr>
            <w:tcW w:w="5194" w:type="dxa"/>
            <w:noWrap w:val="0"/>
            <w:vAlign w:val="center"/>
          </w:tcPr>
          <w:p w14:paraId="1F1048D5">
            <w:pPr>
              <w:pStyle w:val="70"/>
              <w:spacing w:before="232" w:line="312" w:lineRule="auto"/>
              <w:ind w:right="90" w:rightChars="0"/>
              <w:jc w:val="left"/>
              <w:rPr>
                <w:rFonts w:hint="eastAsia"/>
                <w:color w:val="auto"/>
                <w:position w:val="1"/>
                <w:sz w:val="21"/>
                <w:szCs w:val="21"/>
                <w:highlight w:val="none"/>
                <w:lang w:val="en-US" w:eastAsia="en-US"/>
              </w:rPr>
            </w:pPr>
            <w:r>
              <w:rPr>
                <w:b w:val="0"/>
                <w:bCs w:val="0"/>
                <w:color w:val="auto"/>
                <w:spacing w:val="-1"/>
                <w:sz w:val="21"/>
                <w:szCs w:val="21"/>
                <w:highlight w:val="none"/>
              </w:rPr>
              <w:t>对运维管理范围内的</w:t>
            </w:r>
            <w:r>
              <w:rPr>
                <w:rFonts w:hint="eastAsia"/>
                <w:b w:val="0"/>
                <w:bCs w:val="0"/>
                <w:color w:val="auto"/>
                <w:sz w:val="21"/>
                <w:szCs w:val="21"/>
                <w:highlight w:val="none"/>
                <w:lang w:val="en-US" w:eastAsia="zh-CN"/>
              </w:rPr>
              <w:t>输水渠道、拦水坝、堤坝</w:t>
            </w:r>
            <w:r>
              <w:rPr>
                <w:b w:val="0"/>
                <w:bCs w:val="0"/>
                <w:color w:val="auto"/>
                <w:spacing w:val="-1"/>
                <w:sz w:val="21"/>
                <w:szCs w:val="21"/>
                <w:highlight w:val="none"/>
              </w:rPr>
              <w:t>的垃圾、杂物</w:t>
            </w:r>
            <w:r>
              <w:rPr>
                <w:rFonts w:hint="eastAsia"/>
                <w:b w:val="0"/>
                <w:bCs w:val="0"/>
                <w:color w:val="auto"/>
                <w:spacing w:val="-1"/>
                <w:sz w:val="21"/>
                <w:szCs w:val="21"/>
                <w:highlight w:val="none"/>
                <w:lang w:eastAsia="zh-CN"/>
              </w:rPr>
              <w:t>等</w:t>
            </w:r>
            <w:r>
              <w:rPr>
                <w:b w:val="0"/>
                <w:bCs w:val="0"/>
                <w:color w:val="auto"/>
                <w:spacing w:val="-1"/>
                <w:sz w:val="21"/>
                <w:szCs w:val="21"/>
                <w:highlight w:val="none"/>
              </w:rPr>
              <w:t>，</w:t>
            </w:r>
            <w:r>
              <w:rPr>
                <w:b w:val="0"/>
                <w:bCs w:val="0"/>
                <w:color w:val="auto"/>
                <w:spacing w:val="-2"/>
                <w:sz w:val="21"/>
                <w:szCs w:val="21"/>
                <w:highlight w:val="none"/>
              </w:rPr>
              <w:t>结合日常巡查，及时发现、立即清理。</w:t>
            </w:r>
          </w:p>
        </w:tc>
        <w:tc>
          <w:tcPr>
            <w:tcW w:w="1167" w:type="dxa"/>
            <w:noWrap w:val="0"/>
            <w:vAlign w:val="center"/>
          </w:tcPr>
          <w:p w14:paraId="1ED84F0D">
            <w:pPr>
              <w:pStyle w:val="70"/>
              <w:spacing w:before="62" w:line="255" w:lineRule="exact"/>
              <w:ind w:left="345"/>
              <w:jc w:val="center"/>
              <w:rPr>
                <w:rFonts w:hint="eastAsia"/>
                <w:color w:val="auto"/>
                <w:position w:val="1"/>
                <w:sz w:val="21"/>
                <w:szCs w:val="21"/>
                <w:highlight w:val="none"/>
                <w:lang w:val="en-US" w:eastAsia="zh-CN"/>
              </w:rPr>
            </w:pPr>
          </w:p>
          <w:p w14:paraId="6DCD513C">
            <w:pPr>
              <w:pStyle w:val="70"/>
              <w:spacing w:before="62" w:line="255" w:lineRule="exact"/>
              <w:ind w:firstLine="420" w:firstLineChars="200"/>
              <w:jc w:val="center"/>
              <w:rPr>
                <w:rFonts w:hint="default"/>
                <w:color w:val="auto"/>
                <w:position w:val="1"/>
                <w:sz w:val="21"/>
                <w:szCs w:val="21"/>
                <w:highlight w:val="none"/>
                <w:lang w:val="en-US" w:eastAsia="zh-CN"/>
              </w:rPr>
            </w:pPr>
            <w:r>
              <w:rPr>
                <w:rFonts w:hint="eastAsia"/>
                <w:color w:val="auto"/>
                <w:position w:val="1"/>
                <w:sz w:val="21"/>
                <w:szCs w:val="21"/>
                <w:highlight w:val="none"/>
                <w:lang w:val="en-US" w:eastAsia="zh-CN"/>
              </w:rPr>
              <w:t>0-10</w:t>
            </w:r>
          </w:p>
        </w:tc>
        <w:tc>
          <w:tcPr>
            <w:tcW w:w="1116" w:type="dxa"/>
            <w:noWrap w:val="0"/>
            <w:vAlign w:val="center"/>
          </w:tcPr>
          <w:p w14:paraId="6C40442C">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c>
          <w:tcPr>
            <w:tcW w:w="992" w:type="dxa"/>
            <w:vMerge w:val="continue"/>
            <w:tcBorders>
              <w:right w:val="single" w:color="000000" w:sz="8" w:space="0"/>
            </w:tcBorders>
            <w:noWrap w:val="0"/>
            <w:vAlign w:val="top"/>
          </w:tcPr>
          <w:p w14:paraId="3D3F2A25">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r>
      <w:tr w14:paraId="2FDB0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785" w:type="dxa"/>
            <w:tcBorders>
              <w:left w:val="single" w:color="000000" w:sz="8" w:space="0"/>
            </w:tcBorders>
            <w:noWrap w:val="0"/>
            <w:vAlign w:val="center"/>
          </w:tcPr>
          <w:p w14:paraId="58C4061B">
            <w:pPr>
              <w:pStyle w:val="70"/>
              <w:spacing w:before="214" w:line="480" w:lineRule="auto"/>
              <w:ind w:firstLine="210" w:firstLineChars="100"/>
              <w:jc w:val="both"/>
              <w:rPr>
                <w:rFonts w:hint="eastAsia" w:ascii="宋体" w:hAnsi="宋体" w:eastAsia="宋体" w:cs="宋体"/>
                <w:snapToGrid w:val="0"/>
                <w:color w:val="auto"/>
                <w:kern w:val="0"/>
                <w:sz w:val="21"/>
                <w:szCs w:val="21"/>
                <w:highlight w:val="none"/>
                <w:lang w:val="en-US" w:eastAsia="zh-CN" w:bidi="ar-SA"/>
              </w:rPr>
            </w:pPr>
            <w:r>
              <w:rPr>
                <w:rFonts w:hint="eastAsia"/>
                <w:b/>
                <w:bCs/>
                <w:color w:val="auto"/>
                <w:sz w:val="21"/>
                <w:szCs w:val="21"/>
                <w:highlight w:val="none"/>
                <w:lang w:val="en-US" w:eastAsia="zh-CN"/>
              </w:rPr>
              <w:t>四</w:t>
            </w:r>
          </w:p>
        </w:tc>
        <w:tc>
          <w:tcPr>
            <w:tcW w:w="5194" w:type="dxa"/>
            <w:noWrap w:val="0"/>
            <w:vAlign w:val="center"/>
          </w:tcPr>
          <w:p w14:paraId="728DADE3">
            <w:pPr>
              <w:pStyle w:val="70"/>
              <w:spacing w:before="214" w:line="480" w:lineRule="auto"/>
              <w:jc w:val="left"/>
              <w:rPr>
                <w:rFonts w:hint="eastAsia" w:ascii="宋体" w:hAnsi="宋体" w:eastAsia="宋体" w:cs="宋体"/>
                <w:snapToGrid w:val="0"/>
                <w:color w:val="auto"/>
                <w:kern w:val="0"/>
                <w:sz w:val="21"/>
                <w:szCs w:val="21"/>
                <w:highlight w:val="none"/>
                <w:lang w:val="en-US" w:eastAsia="zh-CN" w:bidi="ar-SA"/>
              </w:rPr>
            </w:pPr>
            <w:r>
              <w:rPr>
                <w:rFonts w:hint="eastAsia"/>
                <w:b/>
                <w:bCs/>
                <w:color w:val="auto"/>
                <w:sz w:val="21"/>
                <w:szCs w:val="21"/>
                <w:highlight w:val="none"/>
                <w:lang w:val="en-US" w:eastAsia="zh-CN"/>
              </w:rPr>
              <w:t>水闸调度运行管理</w:t>
            </w:r>
          </w:p>
        </w:tc>
        <w:tc>
          <w:tcPr>
            <w:tcW w:w="1167" w:type="dxa"/>
            <w:noWrap w:val="0"/>
            <w:vAlign w:val="center"/>
          </w:tcPr>
          <w:p w14:paraId="6CBB0F5F">
            <w:pPr>
              <w:pStyle w:val="70"/>
              <w:spacing w:before="177" w:line="334" w:lineRule="auto"/>
              <w:ind w:right="8" w:rightChars="0" w:firstLine="456" w:firstLineChars="200"/>
              <w:jc w:val="center"/>
              <w:rPr>
                <w:rFonts w:hint="default" w:cs="宋体"/>
                <w:b/>
                <w:bCs/>
                <w:color w:val="auto"/>
                <w:spacing w:val="9"/>
                <w:sz w:val="21"/>
                <w:szCs w:val="21"/>
                <w:highlight w:val="none"/>
                <w:lang w:val="en-US" w:eastAsia="zh-CN"/>
              </w:rPr>
            </w:pPr>
            <w:r>
              <w:rPr>
                <w:rFonts w:hint="eastAsia" w:cs="宋体"/>
                <w:b/>
                <w:bCs/>
                <w:color w:val="auto"/>
                <w:spacing w:val="9"/>
                <w:sz w:val="21"/>
                <w:szCs w:val="21"/>
                <w:highlight w:val="none"/>
                <w:lang w:val="en-US" w:eastAsia="zh-CN"/>
              </w:rPr>
              <w:t>15</w:t>
            </w:r>
          </w:p>
        </w:tc>
        <w:tc>
          <w:tcPr>
            <w:tcW w:w="1116" w:type="dxa"/>
            <w:noWrap w:val="0"/>
            <w:vAlign w:val="center"/>
          </w:tcPr>
          <w:p w14:paraId="3D358D19">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c>
          <w:tcPr>
            <w:tcW w:w="992" w:type="dxa"/>
            <w:tcBorders>
              <w:right w:val="single" w:color="000000" w:sz="8" w:space="0"/>
            </w:tcBorders>
            <w:noWrap w:val="0"/>
            <w:vAlign w:val="top"/>
          </w:tcPr>
          <w:p w14:paraId="57D92A39">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r>
      <w:tr w14:paraId="22194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785" w:type="dxa"/>
            <w:tcBorders>
              <w:left w:val="single" w:color="000000" w:sz="8" w:space="0"/>
            </w:tcBorders>
            <w:noWrap w:val="0"/>
            <w:vAlign w:val="center"/>
          </w:tcPr>
          <w:p w14:paraId="0B2C3593">
            <w:pPr>
              <w:pStyle w:val="70"/>
              <w:spacing w:before="62" w:line="360" w:lineRule="auto"/>
              <w:ind w:left="345"/>
              <w:jc w:val="center"/>
              <w:rPr>
                <w:rFonts w:hint="eastAsia"/>
                <w:color w:val="auto"/>
                <w:position w:val="1"/>
                <w:sz w:val="21"/>
                <w:szCs w:val="21"/>
                <w:highlight w:val="none"/>
                <w:lang w:val="en-US" w:eastAsia="zh-CN"/>
              </w:rPr>
            </w:pPr>
          </w:p>
          <w:p w14:paraId="4152B387">
            <w:pPr>
              <w:pStyle w:val="70"/>
              <w:spacing w:before="62" w:line="360" w:lineRule="auto"/>
              <w:ind w:left="345" w:leftChars="0"/>
              <w:jc w:val="both"/>
              <w:rPr>
                <w:rFonts w:hint="eastAsia" w:ascii="宋体" w:hAnsi="宋体" w:eastAsia="宋体" w:cs="宋体"/>
                <w:snapToGrid w:val="0"/>
                <w:color w:val="auto"/>
                <w:kern w:val="0"/>
                <w:position w:val="1"/>
                <w:sz w:val="21"/>
                <w:szCs w:val="21"/>
                <w:highlight w:val="none"/>
                <w:lang w:val="en-US" w:eastAsia="zh-CN" w:bidi="ar-SA"/>
              </w:rPr>
            </w:pPr>
            <w:r>
              <w:rPr>
                <w:rFonts w:hint="eastAsia"/>
                <w:color w:val="auto"/>
                <w:position w:val="1"/>
                <w:sz w:val="21"/>
                <w:szCs w:val="21"/>
                <w:highlight w:val="none"/>
                <w:lang w:val="en-US" w:eastAsia="zh-CN"/>
              </w:rPr>
              <w:t>1</w:t>
            </w:r>
          </w:p>
        </w:tc>
        <w:tc>
          <w:tcPr>
            <w:tcW w:w="5194" w:type="dxa"/>
            <w:noWrap w:val="0"/>
            <w:vAlign w:val="center"/>
          </w:tcPr>
          <w:p w14:paraId="10302DCA">
            <w:pPr>
              <w:pStyle w:val="70"/>
              <w:spacing w:before="62" w:line="360" w:lineRule="auto"/>
              <w:jc w:val="left"/>
              <w:rPr>
                <w:rFonts w:hint="eastAsia" w:ascii="宋体" w:hAnsi="宋体" w:eastAsia="宋体" w:cs="宋体"/>
                <w:snapToGrid w:val="0"/>
                <w:color w:val="auto"/>
                <w:kern w:val="0"/>
                <w:position w:val="1"/>
                <w:sz w:val="21"/>
                <w:szCs w:val="21"/>
                <w:highlight w:val="none"/>
                <w:lang w:val="en-US" w:eastAsia="zh-CN" w:bidi="ar-SA"/>
              </w:rPr>
            </w:pPr>
            <w:r>
              <w:rPr>
                <w:rFonts w:hint="eastAsia" w:ascii="宋体" w:hAnsi="宋体" w:eastAsia="宋体" w:cs="宋体"/>
                <w:color w:val="auto"/>
                <w:spacing w:val="9"/>
                <w:sz w:val="21"/>
                <w:szCs w:val="21"/>
                <w:highlight w:val="none"/>
                <w:lang w:val="en-US" w:eastAsia="zh-CN"/>
              </w:rPr>
              <w:t>成交供应商在接到上级</w:t>
            </w:r>
            <w:r>
              <w:rPr>
                <w:rFonts w:hint="eastAsia" w:cs="宋体"/>
                <w:color w:val="auto"/>
                <w:spacing w:val="9"/>
                <w:sz w:val="21"/>
                <w:szCs w:val="21"/>
                <w:highlight w:val="none"/>
                <w:lang w:val="en-US" w:eastAsia="zh-CN"/>
              </w:rPr>
              <w:t>水闸</w:t>
            </w:r>
            <w:r>
              <w:rPr>
                <w:rFonts w:hint="eastAsia" w:ascii="宋体" w:hAnsi="宋体" w:eastAsia="宋体" w:cs="宋体"/>
                <w:color w:val="auto"/>
                <w:spacing w:val="9"/>
                <w:sz w:val="21"/>
                <w:szCs w:val="21"/>
                <w:highlight w:val="none"/>
                <w:lang w:val="en-US" w:eastAsia="zh-CN"/>
              </w:rPr>
              <w:t>运行指令后，要在2</w:t>
            </w:r>
            <w:r>
              <w:rPr>
                <w:rFonts w:hint="eastAsia" w:cs="宋体"/>
                <w:color w:val="auto"/>
                <w:spacing w:val="9"/>
                <w:sz w:val="21"/>
                <w:szCs w:val="21"/>
                <w:highlight w:val="none"/>
                <w:lang w:val="en-US" w:eastAsia="zh-CN"/>
              </w:rPr>
              <w:t>个</w:t>
            </w:r>
            <w:r>
              <w:rPr>
                <w:rFonts w:hint="eastAsia" w:ascii="宋体" w:hAnsi="宋体" w:eastAsia="宋体" w:cs="宋体"/>
                <w:color w:val="auto"/>
                <w:spacing w:val="9"/>
                <w:sz w:val="21"/>
                <w:szCs w:val="21"/>
                <w:highlight w:val="none"/>
                <w:lang w:val="en-US" w:eastAsia="zh-CN"/>
              </w:rPr>
              <w:t>小时内</w:t>
            </w:r>
            <w:r>
              <w:rPr>
                <w:rFonts w:hint="eastAsia"/>
                <w:color w:val="auto"/>
                <w:position w:val="1"/>
                <w:sz w:val="21"/>
                <w:szCs w:val="21"/>
                <w:highlight w:val="none"/>
                <w:lang w:val="en-US" w:eastAsia="zh-CN"/>
              </w:rPr>
              <w:t>做好进水闸、退水闸、节制闸等运行启闭的准备工作。按照指令要求完成水闸启闭的运行工作。</w:t>
            </w:r>
          </w:p>
        </w:tc>
        <w:tc>
          <w:tcPr>
            <w:tcW w:w="1167" w:type="dxa"/>
            <w:noWrap w:val="0"/>
            <w:vAlign w:val="center"/>
          </w:tcPr>
          <w:p w14:paraId="0B92AD7E">
            <w:pPr>
              <w:pStyle w:val="70"/>
              <w:spacing w:before="177" w:line="334" w:lineRule="auto"/>
              <w:ind w:left="438" w:leftChars="100" w:right="8" w:rightChars="0" w:hanging="228" w:hangingChars="100"/>
              <w:jc w:val="center"/>
              <w:rPr>
                <w:rFonts w:hint="default" w:cs="宋体"/>
                <w:b w:val="0"/>
                <w:bCs w:val="0"/>
                <w:color w:val="auto"/>
                <w:spacing w:val="9"/>
                <w:sz w:val="21"/>
                <w:szCs w:val="21"/>
                <w:highlight w:val="none"/>
                <w:lang w:val="en-US" w:eastAsia="zh-CN"/>
              </w:rPr>
            </w:pPr>
            <w:r>
              <w:rPr>
                <w:rFonts w:hint="eastAsia" w:cs="宋体"/>
                <w:b w:val="0"/>
                <w:bCs w:val="0"/>
                <w:color w:val="auto"/>
                <w:spacing w:val="9"/>
                <w:sz w:val="21"/>
                <w:szCs w:val="21"/>
                <w:highlight w:val="none"/>
                <w:lang w:val="en-US" w:eastAsia="zh-CN"/>
              </w:rPr>
              <w:br w:type="textWrapping"/>
            </w:r>
            <w:r>
              <w:rPr>
                <w:rFonts w:hint="eastAsia" w:cs="宋体"/>
                <w:b w:val="0"/>
                <w:bCs w:val="0"/>
                <w:color w:val="auto"/>
                <w:spacing w:val="9"/>
                <w:sz w:val="21"/>
                <w:szCs w:val="21"/>
                <w:highlight w:val="none"/>
                <w:lang w:val="en-US" w:eastAsia="zh-CN"/>
              </w:rPr>
              <w:t>0-5</w:t>
            </w:r>
          </w:p>
        </w:tc>
        <w:tc>
          <w:tcPr>
            <w:tcW w:w="1116" w:type="dxa"/>
            <w:noWrap w:val="0"/>
            <w:vAlign w:val="center"/>
          </w:tcPr>
          <w:p w14:paraId="12AD6BA4">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c>
          <w:tcPr>
            <w:tcW w:w="992" w:type="dxa"/>
            <w:vMerge w:val="restart"/>
            <w:tcBorders>
              <w:right w:val="single" w:color="000000" w:sz="8" w:space="0"/>
            </w:tcBorders>
            <w:noWrap w:val="0"/>
            <w:vAlign w:val="top"/>
          </w:tcPr>
          <w:p w14:paraId="09E357FB">
            <w:pPr>
              <w:pStyle w:val="70"/>
              <w:spacing w:before="177" w:line="334" w:lineRule="auto"/>
              <w:ind w:left="104" w:leftChars="0" w:right="8" w:rightChars="0"/>
              <w:jc w:val="left"/>
              <w:rPr>
                <w:rFonts w:hint="eastAsia" w:ascii="宋体" w:hAnsi="宋体" w:eastAsia="宋体" w:cs="宋体"/>
                <w:color w:val="auto"/>
                <w:spacing w:val="7"/>
                <w:sz w:val="21"/>
                <w:szCs w:val="21"/>
                <w:highlight w:val="none"/>
              </w:rPr>
            </w:pPr>
          </w:p>
          <w:p w14:paraId="2B6B7845">
            <w:pPr>
              <w:pStyle w:val="70"/>
              <w:spacing w:before="177" w:line="334" w:lineRule="auto"/>
              <w:ind w:left="104" w:leftChars="0" w:right="8" w:rightChars="0"/>
              <w:jc w:val="left"/>
              <w:rPr>
                <w:rFonts w:hint="eastAsia" w:ascii="宋体" w:hAnsi="宋体" w:eastAsia="宋体" w:cs="宋体"/>
                <w:color w:val="auto"/>
                <w:spacing w:val="7"/>
                <w:sz w:val="21"/>
                <w:szCs w:val="21"/>
                <w:highlight w:val="none"/>
              </w:rPr>
            </w:pPr>
          </w:p>
          <w:p w14:paraId="6BBDEAD4">
            <w:pPr>
              <w:pStyle w:val="70"/>
              <w:spacing w:before="177" w:line="334" w:lineRule="auto"/>
              <w:ind w:right="8" w:rightChars="0"/>
              <w:jc w:val="left"/>
              <w:rPr>
                <w:rFonts w:hint="eastAsia" w:ascii="宋体" w:hAnsi="宋体" w:eastAsia="宋体" w:cs="宋体"/>
                <w:color w:val="auto"/>
                <w:spacing w:val="9"/>
                <w:sz w:val="21"/>
                <w:szCs w:val="21"/>
                <w:highlight w:val="none"/>
                <w:lang w:val="en-US" w:eastAsia="en-US"/>
              </w:rPr>
            </w:pPr>
            <w:r>
              <w:rPr>
                <w:rFonts w:hint="eastAsia" w:ascii="宋体" w:hAnsi="宋体" w:eastAsia="宋体" w:cs="宋体"/>
                <w:color w:val="auto"/>
                <w:spacing w:val="7"/>
                <w:sz w:val="21"/>
                <w:szCs w:val="21"/>
                <w:highlight w:val="none"/>
              </w:rPr>
              <w:t>查阅资料，</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2"/>
                <w:sz w:val="21"/>
                <w:szCs w:val="21"/>
                <w:highlight w:val="none"/>
              </w:rPr>
              <w:t>结</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2"/>
                <w:sz w:val="21"/>
                <w:szCs w:val="21"/>
                <w:highlight w:val="none"/>
              </w:rPr>
              <w:t>合</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2"/>
                <w:sz w:val="21"/>
                <w:szCs w:val="21"/>
                <w:highlight w:val="none"/>
              </w:rPr>
              <w:t>平</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2"/>
                <w:sz w:val="21"/>
                <w:szCs w:val="21"/>
                <w:highlight w:val="none"/>
              </w:rPr>
              <w:t>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检查</w:t>
            </w:r>
          </w:p>
        </w:tc>
      </w:tr>
      <w:tr w14:paraId="37F64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785" w:type="dxa"/>
            <w:tcBorders>
              <w:left w:val="single" w:color="000000" w:sz="8" w:space="0"/>
            </w:tcBorders>
            <w:noWrap w:val="0"/>
            <w:vAlign w:val="center"/>
          </w:tcPr>
          <w:p w14:paraId="5A27497E">
            <w:pPr>
              <w:pStyle w:val="70"/>
              <w:spacing w:before="62" w:line="360" w:lineRule="auto"/>
              <w:ind w:firstLine="420" w:firstLineChars="200"/>
              <w:jc w:val="both"/>
              <w:rPr>
                <w:rFonts w:hint="eastAsia" w:ascii="宋体" w:hAnsi="宋体" w:eastAsia="宋体" w:cs="宋体"/>
                <w:snapToGrid w:val="0"/>
                <w:color w:val="auto"/>
                <w:kern w:val="0"/>
                <w:sz w:val="21"/>
                <w:szCs w:val="21"/>
                <w:highlight w:val="none"/>
                <w:lang w:val="en-US" w:eastAsia="zh-CN" w:bidi="ar-SA"/>
              </w:rPr>
            </w:pPr>
            <w:r>
              <w:rPr>
                <w:rFonts w:hint="eastAsia"/>
                <w:color w:val="auto"/>
                <w:position w:val="1"/>
                <w:sz w:val="21"/>
                <w:szCs w:val="21"/>
                <w:highlight w:val="none"/>
                <w:lang w:val="en-US" w:eastAsia="zh-CN"/>
              </w:rPr>
              <w:t>2</w:t>
            </w:r>
          </w:p>
        </w:tc>
        <w:tc>
          <w:tcPr>
            <w:tcW w:w="5194" w:type="dxa"/>
            <w:noWrap w:val="0"/>
            <w:vAlign w:val="center"/>
          </w:tcPr>
          <w:p w14:paraId="70E57E86">
            <w:pPr>
              <w:pStyle w:val="70"/>
              <w:spacing w:before="62" w:line="360" w:lineRule="auto"/>
              <w:jc w:val="left"/>
              <w:rPr>
                <w:rFonts w:hint="eastAsia" w:ascii="宋体" w:hAnsi="宋体" w:eastAsia="宋体" w:cs="宋体"/>
                <w:snapToGrid w:val="0"/>
                <w:color w:val="auto"/>
                <w:kern w:val="0"/>
                <w:sz w:val="21"/>
                <w:szCs w:val="21"/>
                <w:highlight w:val="none"/>
                <w:lang w:val="en-US" w:eastAsia="zh-CN" w:bidi="ar-SA"/>
              </w:rPr>
            </w:pPr>
            <w:r>
              <w:rPr>
                <w:rFonts w:hint="eastAsia"/>
                <w:color w:val="auto"/>
                <w:position w:val="1"/>
                <w:sz w:val="21"/>
                <w:szCs w:val="21"/>
                <w:highlight w:val="none"/>
                <w:lang w:val="en-US" w:eastAsia="zh-CN"/>
              </w:rPr>
              <w:t>定期开展检查影响水闸安全启闭的设备，包括但不限于启闭机设备、电气设备、闸门控制系统及各项线路。对检查发现的简单问题及时处理，难以处理的及时上报采购人。</w:t>
            </w:r>
          </w:p>
        </w:tc>
        <w:tc>
          <w:tcPr>
            <w:tcW w:w="1167" w:type="dxa"/>
            <w:noWrap w:val="0"/>
            <w:vAlign w:val="center"/>
          </w:tcPr>
          <w:p w14:paraId="7A49DF0C">
            <w:pPr>
              <w:pStyle w:val="70"/>
              <w:spacing w:before="177" w:line="334" w:lineRule="auto"/>
              <w:ind w:right="8" w:rightChars="0" w:firstLine="456" w:firstLineChars="200"/>
              <w:jc w:val="center"/>
              <w:rPr>
                <w:rFonts w:hint="default" w:cs="宋体"/>
                <w:b w:val="0"/>
                <w:bCs w:val="0"/>
                <w:color w:val="auto"/>
                <w:spacing w:val="9"/>
                <w:sz w:val="21"/>
                <w:szCs w:val="21"/>
                <w:highlight w:val="none"/>
                <w:lang w:val="en-US" w:eastAsia="zh-CN"/>
              </w:rPr>
            </w:pPr>
            <w:r>
              <w:rPr>
                <w:rFonts w:hint="eastAsia" w:cs="宋体"/>
                <w:b w:val="0"/>
                <w:bCs w:val="0"/>
                <w:color w:val="auto"/>
                <w:spacing w:val="9"/>
                <w:sz w:val="21"/>
                <w:szCs w:val="21"/>
                <w:highlight w:val="none"/>
                <w:lang w:val="en-US" w:eastAsia="zh-CN"/>
              </w:rPr>
              <w:t>0-5</w:t>
            </w:r>
          </w:p>
        </w:tc>
        <w:tc>
          <w:tcPr>
            <w:tcW w:w="1116" w:type="dxa"/>
            <w:noWrap w:val="0"/>
            <w:vAlign w:val="center"/>
          </w:tcPr>
          <w:p w14:paraId="5582D372">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c>
          <w:tcPr>
            <w:tcW w:w="992" w:type="dxa"/>
            <w:vMerge w:val="continue"/>
            <w:tcBorders>
              <w:right w:val="single" w:color="000000" w:sz="8" w:space="0"/>
            </w:tcBorders>
            <w:noWrap w:val="0"/>
            <w:vAlign w:val="top"/>
          </w:tcPr>
          <w:p w14:paraId="40E5E275">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r>
      <w:tr w14:paraId="57C70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785" w:type="dxa"/>
            <w:tcBorders>
              <w:left w:val="single" w:color="000000" w:sz="8" w:space="0"/>
            </w:tcBorders>
            <w:noWrap w:val="0"/>
            <w:vAlign w:val="center"/>
          </w:tcPr>
          <w:p w14:paraId="2955A944">
            <w:pPr>
              <w:pStyle w:val="70"/>
              <w:spacing w:before="62" w:line="360" w:lineRule="auto"/>
              <w:ind w:firstLine="420" w:firstLineChars="200"/>
              <w:jc w:val="both"/>
              <w:rPr>
                <w:rFonts w:hint="eastAsia" w:ascii="宋体" w:hAnsi="宋体" w:eastAsia="宋体" w:cs="宋体"/>
                <w:snapToGrid w:val="0"/>
                <w:color w:val="auto"/>
                <w:kern w:val="0"/>
                <w:sz w:val="21"/>
                <w:szCs w:val="21"/>
                <w:highlight w:val="none"/>
                <w:lang w:val="en-US" w:eastAsia="zh-CN" w:bidi="ar-SA"/>
              </w:rPr>
            </w:pPr>
            <w:r>
              <w:rPr>
                <w:rFonts w:hint="eastAsia"/>
                <w:color w:val="auto"/>
                <w:position w:val="1"/>
                <w:sz w:val="21"/>
                <w:szCs w:val="21"/>
                <w:highlight w:val="none"/>
                <w:lang w:val="en-US" w:eastAsia="zh-CN"/>
              </w:rPr>
              <w:t>3</w:t>
            </w:r>
          </w:p>
        </w:tc>
        <w:tc>
          <w:tcPr>
            <w:tcW w:w="5194" w:type="dxa"/>
            <w:noWrap w:val="0"/>
            <w:vAlign w:val="center"/>
          </w:tcPr>
          <w:p w14:paraId="5505A3EC">
            <w:pPr>
              <w:pStyle w:val="70"/>
              <w:spacing w:before="62" w:line="360" w:lineRule="auto"/>
              <w:jc w:val="left"/>
              <w:rPr>
                <w:rFonts w:hint="eastAsia" w:ascii="宋体" w:hAnsi="宋体" w:eastAsia="宋体" w:cs="宋体"/>
                <w:snapToGrid w:val="0"/>
                <w:color w:val="auto"/>
                <w:kern w:val="0"/>
                <w:sz w:val="21"/>
                <w:szCs w:val="21"/>
                <w:highlight w:val="none"/>
                <w:lang w:val="en-US" w:eastAsia="zh-CN" w:bidi="ar-SA"/>
              </w:rPr>
            </w:pPr>
            <w:r>
              <w:rPr>
                <w:rFonts w:hint="eastAsia"/>
                <w:color w:val="auto"/>
                <w:position w:val="1"/>
                <w:sz w:val="21"/>
                <w:szCs w:val="21"/>
                <w:highlight w:val="none"/>
                <w:lang w:val="en-US" w:eastAsia="zh-CN"/>
              </w:rPr>
              <w:t>水闸控制运用应结合水位变化，按照控制运用计划和上级的指令进行调度，并详细记录水闸运行过程。</w:t>
            </w:r>
          </w:p>
        </w:tc>
        <w:tc>
          <w:tcPr>
            <w:tcW w:w="1167" w:type="dxa"/>
            <w:noWrap w:val="0"/>
            <w:vAlign w:val="center"/>
          </w:tcPr>
          <w:p w14:paraId="50C5F0A0">
            <w:pPr>
              <w:pStyle w:val="70"/>
              <w:spacing w:before="177" w:line="334" w:lineRule="auto"/>
              <w:ind w:right="8" w:rightChars="0" w:firstLine="456" w:firstLineChars="200"/>
              <w:jc w:val="center"/>
              <w:rPr>
                <w:rFonts w:hint="default" w:cs="宋体"/>
                <w:b w:val="0"/>
                <w:bCs w:val="0"/>
                <w:color w:val="auto"/>
                <w:spacing w:val="9"/>
                <w:sz w:val="21"/>
                <w:szCs w:val="21"/>
                <w:highlight w:val="none"/>
                <w:lang w:val="en-US" w:eastAsia="zh-CN"/>
              </w:rPr>
            </w:pPr>
            <w:r>
              <w:rPr>
                <w:rFonts w:hint="eastAsia" w:cs="宋体"/>
                <w:b w:val="0"/>
                <w:bCs w:val="0"/>
                <w:color w:val="auto"/>
                <w:spacing w:val="9"/>
                <w:sz w:val="21"/>
                <w:szCs w:val="21"/>
                <w:highlight w:val="none"/>
                <w:lang w:val="en-US" w:eastAsia="zh-CN"/>
              </w:rPr>
              <w:t>0-5</w:t>
            </w:r>
          </w:p>
        </w:tc>
        <w:tc>
          <w:tcPr>
            <w:tcW w:w="1116" w:type="dxa"/>
            <w:noWrap w:val="0"/>
            <w:vAlign w:val="center"/>
          </w:tcPr>
          <w:p w14:paraId="7ACEDE9A">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c>
          <w:tcPr>
            <w:tcW w:w="992" w:type="dxa"/>
            <w:vMerge w:val="continue"/>
            <w:tcBorders>
              <w:right w:val="single" w:color="000000" w:sz="8" w:space="0"/>
            </w:tcBorders>
            <w:noWrap w:val="0"/>
            <w:vAlign w:val="top"/>
          </w:tcPr>
          <w:p w14:paraId="5FB08923">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r>
      <w:tr w14:paraId="492A7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785" w:type="dxa"/>
            <w:tcBorders>
              <w:left w:val="single" w:color="000000" w:sz="8" w:space="0"/>
            </w:tcBorders>
            <w:noWrap w:val="0"/>
            <w:vAlign w:val="center"/>
          </w:tcPr>
          <w:p w14:paraId="5EF984E6">
            <w:pPr>
              <w:pStyle w:val="70"/>
              <w:spacing w:before="62" w:line="360" w:lineRule="auto"/>
              <w:ind w:firstLine="210" w:firstLineChars="100"/>
              <w:jc w:val="both"/>
              <w:rPr>
                <w:rFonts w:hint="default"/>
                <w:b/>
                <w:bCs/>
                <w:color w:val="auto"/>
                <w:position w:val="1"/>
                <w:sz w:val="21"/>
                <w:szCs w:val="21"/>
                <w:highlight w:val="none"/>
                <w:lang w:val="en-US" w:eastAsia="zh-CN"/>
              </w:rPr>
            </w:pPr>
            <w:r>
              <w:rPr>
                <w:rFonts w:hint="eastAsia"/>
                <w:b/>
                <w:bCs/>
                <w:color w:val="auto"/>
                <w:position w:val="1"/>
                <w:sz w:val="21"/>
                <w:szCs w:val="21"/>
                <w:highlight w:val="none"/>
                <w:lang w:val="en-US" w:eastAsia="zh-CN"/>
              </w:rPr>
              <w:t>五</w:t>
            </w:r>
          </w:p>
        </w:tc>
        <w:tc>
          <w:tcPr>
            <w:tcW w:w="5194" w:type="dxa"/>
            <w:noWrap w:val="0"/>
            <w:vAlign w:val="center"/>
          </w:tcPr>
          <w:p w14:paraId="53C96362">
            <w:pPr>
              <w:pStyle w:val="70"/>
              <w:spacing w:before="62" w:line="360" w:lineRule="auto"/>
              <w:jc w:val="left"/>
              <w:rPr>
                <w:rFonts w:hint="default"/>
                <w:b/>
                <w:bCs/>
                <w:color w:val="auto"/>
                <w:position w:val="1"/>
                <w:sz w:val="21"/>
                <w:szCs w:val="21"/>
                <w:highlight w:val="none"/>
                <w:lang w:val="en-US" w:eastAsia="zh-CN"/>
              </w:rPr>
            </w:pPr>
            <w:r>
              <w:rPr>
                <w:rFonts w:hint="eastAsia"/>
                <w:b/>
                <w:bCs/>
                <w:color w:val="auto"/>
                <w:position w:val="1"/>
                <w:sz w:val="21"/>
                <w:szCs w:val="21"/>
                <w:highlight w:val="none"/>
                <w:lang w:val="en-US" w:eastAsia="zh-CN"/>
              </w:rPr>
              <w:t>运维安全管理</w:t>
            </w:r>
          </w:p>
        </w:tc>
        <w:tc>
          <w:tcPr>
            <w:tcW w:w="1167" w:type="dxa"/>
            <w:noWrap w:val="0"/>
            <w:vAlign w:val="center"/>
          </w:tcPr>
          <w:p w14:paraId="365F8DE0">
            <w:pPr>
              <w:pStyle w:val="70"/>
              <w:spacing w:before="177" w:line="334" w:lineRule="auto"/>
              <w:ind w:right="8" w:rightChars="0" w:firstLine="456" w:firstLineChars="200"/>
              <w:jc w:val="center"/>
              <w:rPr>
                <w:rFonts w:hint="default" w:cs="宋体"/>
                <w:b/>
                <w:bCs/>
                <w:color w:val="auto"/>
                <w:spacing w:val="9"/>
                <w:sz w:val="21"/>
                <w:szCs w:val="21"/>
                <w:highlight w:val="none"/>
                <w:lang w:val="en-US" w:eastAsia="zh-CN"/>
              </w:rPr>
            </w:pPr>
            <w:r>
              <w:rPr>
                <w:rFonts w:hint="eastAsia" w:cs="宋体"/>
                <w:b/>
                <w:bCs/>
                <w:color w:val="auto"/>
                <w:spacing w:val="9"/>
                <w:sz w:val="21"/>
                <w:szCs w:val="21"/>
                <w:highlight w:val="none"/>
                <w:lang w:val="en-US" w:eastAsia="zh-CN"/>
              </w:rPr>
              <w:t>20</w:t>
            </w:r>
          </w:p>
        </w:tc>
        <w:tc>
          <w:tcPr>
            <w:tcW w:w="1116" w:type="dxa"/>
            <w:noWrap w:val="0"/>
            <w:vAlign w:val="center"/>
          </w:tcPr>
          <w:p w14:paraId="0A262570">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c>
          <w:tcPr>
            <w:tcW w:w="992" w:type="dxa"/>
            <w:tcBorders>
              <w:right w:val="single" w:color="000000" w:sz="8" w:space="0"/>
            </w:tcBorders>
            <w:noWrap w:val="0"/>
            <w:vAlign w:val="top"/>
          </w:tcPr>
          <w:p w14:paraId="09E629BA">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r>
      <w:tr w14:paraId="52515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785" w:type="dxa"/>
            <w:tcBorders>
              <w:left w:val="single" w:color="000000" w:sz="8" w:space="0"/>
            </w:tcBorders>
            <w:noWrap w:val="0"/>
            <w:vAlign w:val="center"/>
          </w:tcPr>
          <w:p w14:paraId="25D0B88C">
            <w:pPr>
              <w:pStyle w:val="70"/>
              <w:spacing w:before="62" w:line="360" w:lineRule="auto"/>
              <w:ind w:firstLine="420" w:firstLineChars="200"/>
              <w:jc w:val="both"/>
              <w:rPr>
                <w:rFonts w:hint="default"/>
                <w:color w:val="auto"/>
                <w:position w:val="1"/>
                <w:sz w:val="21"/>
                <w:szCs w:val="21"/>
                <w:highlight w:val="none"/>
                <w:lang w:val="en-US" w:eastAsia="zh-CN"/>
              </w:rPr>
            </w:pPr>
            <w:r>
              <w:rPr>
                <w:rFonts w:hint="eastAsia"/>
                <w:color w:val="auto"/>
                <w:position w:val="1"/>
                <w:sz w:val="21"/>
                <w:szCs w:val="21"/>
                <w:highlight w:val="none"/>
                <w:lang w:val="en-US" w:eastAsia="zh-CN"/>
              </w:rPr>
              <w:t>1</w:t>
            </w:r>
          </w:p>
        </w:tc>
        <w:tc>
          <w:tcPr>
            <w:tcW w:w="5194" w:type="dxa"/>
            <w:noWrap w:val="0"/>
            <w:vAlign w:val="center"/>
          </w:tcPr>
          <w:p w14:paraId="3E974201">
            <w:pPr>
              <w:pStyle w:val="70"/>
              <w:spacing w:before="62" w:line="360" w:lineRule="auto"/>
              <w:jc w:val="left"/>
              <w:rPr>
                <w:rFonts w:hint="default"/>
                <w:color w:val="auto"/>
                <w:position w:val="1"/>
                <w:sz w:val="21"/>
                <w:szCs w:val="21"/>
                <w:highlight w:val="none"/>
                <w:lang w:val="en-US" w:eastAsia="zh-CN"/>
              </w:rPr>
            </w:pPr>
            <w:r>
              <w:rPr>
                <w:rFonts w:hint="eastAsia"/>
                <w:color w:val="auto"/>
                <w:position w:val="1"/>
                <w:sz w:val="21"/>
                <w:szCs w:val="21"/>
                <w:highlight w:val="none"/>
                <w:lang w:val="en-US" w:eastAsia="zh-CN"/>
              </w:rPr>
              <w:t>高压电气及线路、变压器安全管护，至少每周开展一次巡查检测维护，及时发现安全隐患避免事故发生。</w:t>
            </w:r>
          </w:p>
        </w:tc>
        <w:tc>
          <w:tcPr>
            <w:tcW w:w="1167" w:type="dxa"/>
            <w:noWrap w:val="0"/>
            <w:vAlign w:val="center"/>
          </w:tcPr>
          <w:p w14:paraId="5D7BE300">
            <w:pPr>
              <w:pStyle w:val="70"/>
              <w:spacing w:before="177" w:line="334" w:lineRule="auto"/>
              <w:ind w:right="8" w:rightChars="0" w:firstLine="456" w:firstLineChars="200"/>
              <w:jc w:val="center"/>
              <w:rPr>
                <w:rFonts w:hint="default" w:cs="宋体"/>
                <w:b w:val="0"/>
                <w:bCs w:val="0"/>
                <w:color w:val="auto"/>
                <w:spacing w:val="9"/>
                <w:sz w:val="21"/>
                <w:szCs w:val="21"/>
                <w:highlight w:val="none"/>
                <w:lang w:val="en-US" w:eastAsia="zh-CN"/>
              </w:rPr>
            </w:pPr>
            <w:r>
              <w:rPr>
                <w:rFonts w:hint="eastAsia" w:cs="宋体"/>
                <w:b w:val="0"/>
                <w:bCs w:val="0"/>
                <w:color w:val="auto"/>
                <w:spacing w:val="9"/>
                <w:sz w:val="21"/>
                <w:szCs w:val="21"/>
                <w:highlight w:val="none"/>
                <w:lang w:val="en-US" w:eastAsia="zh-CN"/>
              </w:rPr>
              <w:t>0-5</w:t>
            </w:r>
          </w:p>
        </w:tc>
        <w:tc>
          <w:tcPr>
            <w:tcW w:w="1116" w:type="dxa"/>
            <w:noWrap w:val="0"/>
            <w:vAlign w:val="center"/>
          </w:tcPr>
          <w:p w14:paraId="7BE4BAE5">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c>
          <w:tcPr>
            <w:tcW w:w="992" w:type="dxa"/>
            <w:vMerge w:val="restart"/>
            <w:tcBorders>
              <w:right w:val="single" w:color="000000" w:sz="8" w:space="0"/>
            </w:tcBorders>
            <w:noWrap w:val="0"/>
            <w:vAlign w:val="top"/>
          </w:tcPr>
          <w:p w14:paraId="052737BD">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r>
              <w:rPr>
                <w:rFonts w:hint="eastAsia" w:ascii="宋体" w:hAnsi="宋体" w:eastAsia="宋体" w:cs="宋体"/>
                <w:color w:val="auto"/>
                <w:spacing w:val="7"/>
                <w:sz w:val="21"/>
                <w:szCs w:val="21"/>
                <w:highlight w:val="none"/>
              </w:rPr>
              <w:t>查阅资料，</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2"/>
                <w:sz w:val="21"/>
                <w:szCs w:val="21"/>
                <w:highlight w:val="none"/>
              </w:rPr>
              <w:t>结</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2"/>
                <w:sz w:val="21"/>
                <w:szCs w:val="21"/>
                <w:highlight w:val="none"/>
              </w:rPr>
              <w:t>合</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2"/>
                <w:sz w:val="21"/>
                <w:szCs w:val="21"/>
                <w:highlight w:val="none"/>
              </w:rPr>
              <w:t>平</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2"/>
                <w:sz w:val="21"/>
                <w:szCs w:val="21"/>
                <w:highlight w:val="none"/>
              </w:rPr>
              <w:t>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检查</w:t>
            </w:r>
          </w:p>
        </w:tc>
      </w:tr>
      <w:tr w14:paraId="1183F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785" w:type="dxa"/>
            <w:tcBorders>
              <w:left w:val="single" w:color="000000" w:sz="8" w:space="0"/>
            </w:tcBorders>
            <w:noWrap w:val="0"/>
            <w:vAlign w:val="center"/>
          </w:tcPr>
          <w:p w14:paraId="35F947D7">
            <w:pPr>
              <w:pStyle w:val="70"/>
              <w:spacing w:before="62" w:line="360" w:lineRule="auto"/>
              <w:ind w:firstLine="420" w:firstLineChars="200"/>
              <w:jc w:val="both"/>
              <w:rPr>
                <w:rFonts w:hint="default"/>
                <w:color w:val="auto"/>
                <w:position w:val="1"/>
                <w:sz w:val="21"/>
                <w:szCs w:val="21"/>
                <w:highlight w:val="none"/>
                <w:lang w:val="en-US" w:eastAsia="zh-CN"/>
              </w:rPr>
            </w:pPr>
            <w:r>
              <w:rPr>
                <w:rFonts w:hint="eastAsia"/>
                <w:color w:val="auto"/>
                <w:position w:val="1"/>
                <w:sz w:val="21"/>
                <w:szCs w:val="21"/>
                <w:highlight w:val="none"/>
                <w:lang w:val="en-US" w:eastAsia="zh-CN"/>
              </w:rPr>
              <w:t>2</w:t>
            </w:r>
          </w:p>
        </w:tc>
        <w:tc>
          <w:tcPr>
            <w:tcW w:w="5194" w:type="dxa"/>
            <w:noWrap w:val="0"/>
            <w:vAlign w:val="center"/>
          </w:tcPr>
          <w:p w14:paraId="11D66D63">
            <w:pPr>
              <w:pStyle w:val="70"/>
              <w:spacing w:before="62" w:line="360" w:lineRule="auto"/>
              <w:jc w:val="left"/>
              <w:rPr>
                <w:rFonts w:hint="default"/>
                <w:color w:val="auto"/>
                <w:position w:val="1"/>
                <w:sz w:val="21"/>
                <w:szCs w:val="21"/>
                <w:highlight w:val="none"/>
                <w:lang w:val="en-US" w:eastAsia="zh-CN"/>
              </w:rPr>
            </w:pPr>
            <w:r>
              <w:rPr>
                <w:rFonts w:hint="eastAsia"/>
                <w:color w:val="auto"/>
                <w:position w:val="1"/>
                <w:sz w:val="21"/>
                <w:szCs w:val="21"/>
                <w:highlight w:val="none"/>
                <w:lang w:val="en-US" w:eastAsia="zh-CN"/>
              </w:rPr>
              <w:t>控制柜及低压线路安全管护至少每周开展一次巡查检测维护，及时发现安全隐患避免事故发生。</w:t>
            </w:r>
          </w:p>
        </w:tc>
        <w:tc>
          <w:tcPr>
            <w:tcW w:w="1167" w:type="dxa"/>
            <w:noWrap w:val="0"/>
            <w:vAlign w:val="center"/>
          </w:tcPr>
          <w:p w14:paraId="3A9FCBE6">
            <w:pPr>
              <w:pStyle w:val="70"/>
              <w:spacing w:before="177" w:line="334" w:lineRule="auto"/>
              <w:ind w:right="8" w:rightChars="0" w:firstLine="456" w:firstLineChars="200"/>
              <w:jc w:val="center"/>
              <w:rPr>
                <w:rFonts w:hint="default" w:cs="宋体"/>
                <w:b w:val="0"/>
                <w:bCs w:val="0"/>
                <w:color w:val="auto"/>
                <w:spacing w:val="9"/>
                <w:sz w:val="21"/>
                <w:szCs w:val="21"/>
                <w:highlight w:val="none"/>
                <w:lang w:val="en-US" w:eastAsia="zh-CN"/>
              </w:rPr>
            </w:pPr>
            <w:r>
              <w:rPr>
                <w:rFonts w:hint="eastAsia" w:cs="宋体"/>
                <w:b w:val="0"/>
                <w:bCs w:val="0"/>
                <w:color w:val="auto"/>
                <w:spacing w:val="9"/>
                <w:sz w:val="21"/>
                <w:szCs w:val="21"/>
                <w:highlight w:val="none"/>
                <w:lang w:val="en-US" w:eastAsia="zh-CN"/>
              </w:rPr>
              <w:t>0-5</w:t>
            </w:r>
          </w:p>
        </w:tc>
        <w:tc>
          <w:tcPr>
            <w:tcW w:w="1116" w:type="dxa"/>
            <w:noWrap w:val="0"/>
            <w:vAlign w:val="center"/>
          </w:tcPr>
          <w:p w14:paraId="5D72A55C">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c>
          <w:tcPr>
            <w:tcW w:w="992" w:type="dxa"/>
            <w:vMerge w:val="continue"/>
            <w:tcBorders>
              <w:right w:val="single" w:color="000000" w:sz="8" w:space="0"/>
            </w:tcBorders>
            <w:noWrap w:val="0"/>
            <w:vAlign w:val="top"/>
          </w:tcPr>
          <w:p w14:paraId="44EBDEE4">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r>
      <w:tr w14:paraId="33690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785" w:type="dxa"/>
            <w:tcBorders>
              <w:left w:val="single" w:color="000000" w:sz="8" w:space="0"/>
            </w:tcBorders>
            <w:noWrap w:val="0"/>
            <w:vAlign w:val="center"/>
          </w:tcPr>
          <w:p w14:paraId="5A5CB5AF">
            <w:pPr>
              <w:pStyle w:val="70"/>
              <w:spacing w:before="62" w:line="360" w:lineRule="auto"/>
              <w:ind w:firstLine="420" w:firstLineChars="200"/>
              <w:jc w:val="both"/>
              <w:rPr>
                <w:rFonts w:hint="default"/>
                <w:color w:val="auto"/>
                <w:position w:val="1"/>
                <w:sz w:val="21"/>
                <w:szCs w:val="21"/>
                <w:highlight w:val="none"/>
                <w:lang w:val="en-US" w:eastAsia="zh-CN"/>
              </w:rPr>
            </w:pPr>
            <w:r>
              <w:rPr>
                <w:rFonts w:hint="eastAsia"/>
                <w:color w:val="auto"/>
                <w:position w:val="1"/>
                <w:sz w:val="21"/>
                <w:szCs w:val="21"/>
                <w:highlight w:val="none"/>
                <w:lang w:val="en-US" w:eastAsia="zh-CN"/>
              </w:rPr>
              <w:t>3</w:t>
            </w:r>
          </w:p>
        </w:tc>
        <w:tc>
          <w:tcPr>
            <w:tcW w:w="5194" w:type="dxa"/>
            <w:noWrap w:val="0"/>
            <w:vAlign w:val="center"/>
          </w:tcPr>
          <w:p w14:paraId="37E281C1">
            <w:pPr>
              <w:pStyle w:val="70"/>
              <w:spacing w:before="62" w:line="360" w:lineRule="auto"/>
              <w:jc w:val="left"/>
              <w:rPr>
                <w:rFonts w:hint="default"/>
                <w:color w:val="auto"/>
                <w:position w:val="1"/>
                <w:sz w:val="21"/>
                <w:szCs w:val="21"/>
                <w:highlight w:val="none"/>
                <w:lang w:val="en-US" w:eastAsia="zh-CN"/>
              </w:rPr>
            </w:pPr>
            <w:r>
              <w:rPr>
                <w:rFonts w:hint="eastAsia"/>
                <w:color w:val="auto"/>
                <w:position w:val="1"/>
                <w:sz w:val="21"/>
                <w:szCs w:val="21"/>
                <w:highlight w:val="none"/>
                <w:lang w:val="en-US" w:eastAsia="zh-CN"/>
              </w:rPr>
              <w:t>加强进出水池、及渠道危险地段防护网的检查维护，避免安全事故的发生</w:t>
            </w:r>
          </w:p>
        </w:tc>
        <w:tc>
          <w:tcPr>
            <w:tcW w:w="1167" w:type="dxa"/>
            <w:noWrap w:val="0"/>
            <w:vAlign w:val="center"/>
          </w:tcPr>
          <w:p w14:paraId="76532830">
            <w:pPr>
              <w:pStyle w:val="70"/>
              <w:spacing w:before="177" w:line="334" w:lineRule="auto"/>
              <w:ind w:right="8" w:rightChars="0" w:firstLine="456" w:firstLineChars="200"/>
              <w:jc w:val="center"/>
              <w:rPr>
                <w:rFonts w:hint="default" w:cs="宋体"/>
                <w:b w:val="0"/>
                <w:bCs w:val="0"/>
                <w:color w:val="auto"/>
                <w:spacing w:val="9"/>
                <w:sz w:val="21"/>
                <w:szCs w:val="21"/>
                <w:highlight w:val="none"/>
                <w:lang w:val="en-US" w:eastAsia="zh-CN"/>
              </w:rPr>
            </w:pPr>
            <w:r>
              <w:rPr>
                <w:rFonts w:hint="eastAsia" w:cs="宋体"/>
                <w:b w:val="0"/>
                <w:bCs w:val="0"/>
                <w:color w:val="auto"/>
                <w:spacing w:val="9"/>
                <w:sz w:val="21"/>
                <w:szCs w:val="21"/>
                <w:highlight w:val="none"/>
                <w:lang w:val="en-US" w:eastAsia="zh-CN"/>
              </w:rPr>
              <w:t>0-5</w:t>
            </w:r>
          </w:p>
        </w:tc>
        <w:tc>
          <w:tcPr>
            <w:tcW w:w="1116" w:type="dxa"/>
            <w:noWrap w:val="0"/>
            <w:vAlign w:val="center"/>
          </w:tcPr>
          <w:p w14:paraId="4B2B638E">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c>
          <w:tcPr>
            <w:tcW w:w="992" w:type="dxa"/>
            <w:vMerge w:val="continue"/>
            <w:tcBorders>
              <w:right w:val="single" w:color="000000" w:sz="8" w:space="0"/>
            </w:tcBorders>
            <w:noWrap w:val="0"/>
            <w:vAlign w:val="top"/>
          </w:tcPr>
          <w:p w14:paraId="629C3011">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r>
      <w:tr w14:paraId="5B5C4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trPr>
        <w:tc>
          <w:tcPr>
            <w:tcW w:w="785" w:type="dxa"/>
            <w:tcBorders>
              <w:left w:val="single" w:color="000000" w:sz="8" w:space="0"/>
            </w:tcBorders>
            <w:noWrap w:val="0"/>
            <w:vAlign w:val="center"/>
          </w:tcPr>
          <w:p w14:paraId="52E2C4C7">
            <w:pPr>
              <w:pStyle w:val="70"/>
              <w:spacing w:before="62" w:line="360" w:lineRule="auto"/>
              <w:ind w:firstLine="420" w:firstLineChars="200"/>
              <w:jc w:val="both"/>
              <w:rPr>
                <w:rFonts w:hint="default"/>
                <w:b/>
                <w:bCs/>
                <w:color w:val="auto"/>
                <w:position w:val="1"/>
                <w:sz w:val="21"/>
                <w:szCs w:val="21"/>
                <w:highlight w:val="none"/>
                <w:lang w:val="en-US" w:eastAsia="zh-CN"/>
              </w:rPr>
            </w:pPr>
            <w:r>
              <w:rPr>
                <w:rFonts w:hint="eastAsia"/>
                <w:b w:val="0"/>
                <w:bCs w:val="0"/>
                <w:color w:val="auto"/>
                <w:position w:val="1"/>
                <w:sz w:val="21"/>
                <w:szCs w:val="21"/>
                <w:highlight w:val="none"/>
                <w:lang w:val="en-US" w:eastAsia="zh-CN"/>
              </w:rPr>
              <w:t>4</w:t>
            </w:r>
          </w:p>
        </w:tc>
        <w:tc>
          <w:tcPr>
            <w:tcW w:w="5194" w:type="dxa"/>
            <w:noWrap w:val="0"/>
            <w:vAlign w:val="center"/>
          </w:tcPr>
          <w:p w14:paraId="15121BF0">
            <w:pPr>
              <w:spacing w:line="360" w:lineRule="auto"/>
              <w:jc w:val="center"/>
              <w:outlineLvl w:val="2"/>
              <w:rPr>
                <w:rFonts w:hint="eastAsia"/>
                <w:b w:val="0"/>
                <w:bCs w:val="0"/>
                <w:color w:val="auto"/>
                <w:position w:val="1"/>
                <w:sz w:val="21"/>
                <w:szCs w:val="21"/>
                <w:highlight w:val="none"/>
                <w:lang w:val="en-US" w:eastAsia="zh-CN"/>
              </w:rPr>
            </w:pPr>
          </w:p>
          <w:p w14:paraId="335416FB">
            <w:pPr>
              <w:spacing w:line="360" w:lineRule="auto"/>
              <w:jc w:val="center"/>
              <w:outlineLvl w:val="2"/>
              <w:rPr>
                <w:rFonts w:hint="default" w:ascii="宋体" w:hAnsi="宋体" w:eastAsia="宋体" w:cs="宋体"/>
                <w:strike w:val="0"/>
                <w:dstrike w:val="0"/>
                <w:color w:val="auto"/>
                <w:sz w:val="21"/>
                <w:szCs w:val="21"/>
                <w:highlight w:val="none"/>
                <w:u w:val="none"/>
                <w:lang w:val="en-US" w:eastAsia="zh-CN"/>
              </w:rPr>
            </w:pPr>
            <w:r>
              <w:rPr>
                <w:rFonts w:hint="eastAsia" w:ascii="宋体" w:hAnsi="宋体" w:eastAsia="宋体" w:cs="宋体"/>
                <w:strike w:val="0"/>
                <w:dstrike w:val="0"/>
                <w:color w:val="auto"/>
                <w:sz w:val="21"/>
                <w:szCs w:val="21"/>
                <w:highlight w:val="none"/>
                <w:u w:val="none"/>
                <w:lang w:val="en-US" w:eastAsia="zh-CN"/>
              </w:rPr>
              <w:t>加强</w:t>
            </w:r>
            <w:r>
              <w:rPr>
                <w:rFonts w:hint="default" w:ascii="宋体" w:hAnsi="宋体" w:eastAsia="宋体" w:cs="宋体"/>
                <w:strike w:val="0"/>
                <w:dstrike w:val="0"/>
                <w:color w:val="auto"/>
                <w:sz w:val="21"/>
                <w:szCs w:val="21"/>
                <w:highlight w:val="none"/>
                <w:u w:val="none"/>
                <w:lang w:val="en-US" w:eastAsia="zh-CN"/>
              </w:rPr>
              <w:t>停机期间，对各泵站设备及附属物以防火、防盗、防破坏、防治安事故等为重点，确保管护安全。</w:t>
            </w:r>
          </w:p>
          <w:p w14:paraId="4D2E37E6">
            <w:pPr>
              <w:pStyle w:val="70"/>
              <w:spacing w:before="62" w:line="360" w:lineRule="auto"/>
              <w:jc w:val="left"/>
              <w:rPr>
                <w:rFonts w:hint="default"/>
                <w:b/>
                <w:bCs/>
                <w:color w:val="auto"/>
                <w:position w:val="1"/>
                <w:sz w:val="21"/>
                <w:szCs w:val="21"/>
                <w:highlight w:val="none"/>
                <w:lang w:val="en-US" w:eastAsia="zh-CN"/>
              </w:rPr>
            </w:pPr>
          </w:p>
        </w:tc>
        <w:tc>
          <w:tcPr>
            <w:tcW w:w="1167" w:type="dxa"/>
            <w:noWrap w:val="0"/>
            <w:vAlign w:val="center"/>
          </w:tcPr>
          <w:p w14:paraId="5B1A0EE6">
            <w:pPr>
              <w:pStyle w:val="70"/>
              <w:spacing w:before="177" w:line="334" w:lineRule="auto"/>
              <w:ind w:right="8" w:rightChars="0" w:firstLine="456" w:firstLineChars="200"/>
              <w:jc w:val="center"/>
              <w:rPr>
                <w:rFonts w:hint="default" w:cs="宋体"/>
                <w:b w:val="0"/>
                <w:bCs w:val="0"/>
                <w:color w:val="auto"/>
                <w:spacing w:val="9"/>
                <w:sz w:val="21"/>
                <w:szCs w:val="21"/>
                <w:highlight w:val="none"/>
                <w:lang w:val="en-US" w:eastAsia="zh-CN"/>
              </w:rPr>
            </w:pPr>
            <w:r>
              <w:rPr>
                <w:rFonts w:hint="eastAsia" w:cs="宋体"/>
                <w:b w:val="0"/>
                <w:bCs w:val="0"/>
                <w:color w:val="auto"/>
                <w:spacing w:val="9"/>
                <w:sz w:val="21"/>
                <w:szCs w:val="21"/>
                <w:highlight w:val="none"/>
                <w:lang w:val="en-US" w:eastAsia="zh-CN"/>
              </w:rPr>
              <w:t>0-5</w:t>
            </w:r>
          </w:p>
        </w:tc>
        <w:tc>
          <w:tcPr>
            <w:tcW w:w="1116" w:type="dxa"/>
            <w:noWrap w:val="0"/>
            <w:vAlign w:val="center"/>
          </w:tcPr>
          <w:p w14:paraId="189DD81D">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c>
          <w:tcPr>
            <w:tcW w:w="992" w:type="dxa"/>
            <w:vMerge w:val="continue"/>
            <w:tcBorders>
              <w:right w:val="single" w:color="000000" w:sz="8" w:space="0"/>
            </w:tcBorders>
            <w:noWrap w:val="0"/>
            <w:vAlign w:val="top"/>
          </w:tcPr>
          <w:p w14:paraId="309481EB">
            <w:pPr>
              <w:pStyle w:val="70"/>
              <w:spacing w:before="177" w:line="334" w:lineRule="auto"/>
              <w:ind w:left="104" w:leftChars="0" w:right="8" w:rightChars="0"/>
              <w:jc w:val="left"/>
              <w:rPr>
                <w:rFonts w:hint="eastAsia" w:ascii="宋体" w:hAnsi="宋体" w:eastAsia="宋体" w:cs="宋体"/>
                <w:color w:val="auto"/>
                <w:spacing w:val="9"/>
                <w:sz w:val="21"/>
                <w:szCs w:val="21"/>
                <w:highlight w:val="none"/>
                <w:lang w:val="en-US" w:eastAsia="en-US"/>
              </w:rPr>
            </w:pPr>
          </w:p>
        </w:tc>
      </w:tr>
    </w:tbl>
    <w:p w14:paraId="4B409756">
      <w:pPr>
        <w:numPr>
          <w:ilvl w:val="0"/>
          <w:numId w:val="0"/>
        </w:numPr>
        <w:spacing w:line="360" w:lineRule="auto"/>
        <w:outlineLvl w:val="2"/>
        <w:rPr>
          <w:rFonts w:hint="default" w:ascii="宋体" w:hAnsi="宋体" w:eastAsia="宋体" w:cs="宋体"/>
          <w:strike w:val="0"/>
          <w:dstrike w:val="0"/>
          <w:color w:val="auto"/>
          <w:sz w:val="24"/>
          <w:szCs w:val="24"/>
          <w:highlight w:val="none"/>
          <w:u w:val="none"/>
          <w:lang w:val="en-US" w:eastAsia="zh-CN"/>
        </w:rPr>
      </w:pPr>
    </w:p>
    <w:p w14:paraId="30D44959">
      <w:pPr>
        <w:spacing w:line="360" w:lineRule="auto"/>
        <w:ind w:firstLine="480" w:firstLineChars="200"/>
        <w:outlineLvl w:val="2"/>
        <w:rPr>
          <w:rFonts w:hint="eastAsia"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8、自运维工作开展起逐月进行综合考评，考评组人员赋分算术平均。单个自然月平均得分在 90 分(含 90 分)以上的，全额结算当月运维费用；单个自然月平均得分在 90-80 分(含 80 分)以上的，结算当月运维费用的80%；单个自然月平均得分在 80-70 分(含 70 分)  以上的，结算当月运维费用的70%；单个自然月平均得分70分以下，仅结算当月运维费用的40% ，并取消后期的运维合同，采购人重新招标，双方运维合同关系解除或终止。</w:t>
      </w:r>
    </w:p>
    <w:p w14:paraId="6D7B2B9A">
      <w:pPr>
        <w:spacing w:line="360" w:lineRule="auto"/>
        <w:ind w:firstLine="480" w:firstLineChars="200"/>
        <w:outlineLvl w:val="2"/>
        <w:rPr>
          <w:rFonts w:hint="eastAsia"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9、考核期内因成交供应商自身失责，造成工程发生运行事故或发生人员伤亡等安全事故的，成交供应商自行承担责任，同时按上级调查结果，追究相关责任人相应责任。</w:t>
      </w:r>
    </w:p>
    <w:p w14:paraId="61BA9A6A">
      <w:pPr>
        <w:spacing w:line="360" w:lineRule="auto"/>
        <w:ind w:firstLine="480" w:firstLineChars="200"/>
        <w:outlineLvl w:val="2"/>
        <w:rPr>
          <w:rFonts w:hint="default"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10、安全问题：成交供应商在服务过程中应注意人员自身安全，加强对项目各环节服务人员的安全教育，在项目服务期间发生的财产安全及安全事故等，均由成交供应商负全责， 与采购人无任何关系。</w:t>
      </w:r>
    </w:p>
    <w:p w14:paraId="4784032B">
      <w:pPr>
        <w:spacing w:line="360" w:lineRule="auto"/>
        <w:ind w:firstLine="480" w:firstLineChars="200"/>
        <w:outlineLvl w:val="2"/>
        <w:rPr>
          <w:rFonts w:hint="default"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（五）其他情况说明</w:t>
      </w:r>
    </w:p>
    <w:p w14:paraId="5656A8F5">
      <w:pPr>
        <w:spacing w:line="360" w:lineRule="auto"/>
        <w:ind w:firstLine="480" w:firstLineChars="200"/>
        <w:outlineLvl w:val="2"/>
        <w:rPr>
          <w:rFonts w:hint="eastAsia"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1、</w:t>
      </w:r>
      <w:r>
        <w:rPr>
          <w:rFonts w:hint="default" w:ascii="宋体" w:hAnsi="宋体" w:eastAsia="宋体" w:cs="宋体"/>
          <w:strike w:val="0"/>
          <w:dstrike w:val="0"/>
          <w:color w:val="auto"/>
          <w:sz w:val="24"/>
          <w:szCs w:val="24"/>
          <w:highlight w:val="none"/>
          <w:u w:val="none"/>
          <w:lang w:val="en-US" w:eastAsia="zh-CN"/>
        </w:rPr>
        <w:t>因项目管理或运维、巡查等产生必要机具设备、油费等费用，均由</w:t>
      </w:r>
      <w:r>
        <w:rPr>
          <w:rFonts w:hint="eastAsia" w:ascii="宋体" w:hAnsi="宋体" w:eastAsia="宋体" w:cs="宋体"/>
          <w:strike w:val="0"/>
          <w:dstrike w:val="0"/>
          <w:color w:val="auto"/>
          <w:sz w:val="24"/>
          <w:szCs w:val="24"/>
          <w:highlight w:val="none"/>
          <w:u w:val="none"/>
          <w:lang w:val="en-US" w:eastAsia="zh-CN"/>
        </w:rPr>
        <w:t>供应商</w:t>
      </w:r>
      <w:r>
        <w:rPr>
          <w:rFonts w:hint="default" w:ascii="宋体" w:hAnsi="宋体" w:eastAsia="宋体" w:cs="宋体"/>
          <w:strike w:val="0"/>
          <w:dstrike w:val="0"/>
          <w:color w:val="auto"/>
          <w:sz w:val="24"/>
          <w:szCs w:val="24"/>
          <w:highlight w:val="none"/>
          <w:u w:val="none"/>
          <w:lang w:val="en-US" w:eastAsia="zh-CN"/>
        </w:rPr>
        <w:t>自行考虑在投标成本费用中，除采购人认可的</w:t>
      </w:r>
      <w:r>
        <w:rPr>
          <w:rFonts w:hint="eastAsia" w:ascii="宋体" w:hAnsi="宋体" w:eastAsia="宋体" w:cs="宋体"/>
          <w:strike w:val="0"/>
          <w:dstrike w:val="0"/>
          <w:color w:val="auto"/>
          <w:sz w:val="24"/>
          <w:szCs w:val="24"/>
          <w:highlight w:val="none"/>
          <w:u w:val="none"/>
          <w:lang w:val="en-US" w:eastAsia="zh-CN"/>
        </w:rPr>
        <w:t>维修</w:t>
      </w:r>
      <w:r>
        <w:rPr>
          <w:rFonts w:hint="default" w:ascii="宋体" w:hAnsi="宋体" w:eastAsia="宋体" w:cs="宋体"/>
          <w:strike w:val="0"/>
          <w:dstrike w:val="0"/>
          <w:color w:val="auto"/>
          <w:sz w:val="24"/>
          <w:szCs w:val="24"/>
          <w:highlight w:val="none"/>
          <w:u w:val="none"/>
          <w:lang w:val="en-US" w:eastAsia="zh-CN"/>
        </w:rPr>
        <w:t>材料费外，后期采购人不支付其他任何费用</w:t>
      </w:r>
      <w:r>
        <w:rPr>
          <w:rFonts w:hint="eastAsia" w:ascii="宋体" w:hAnsi="宋体" w:eastAsia="宋体" w:cs="宋体"/>
          <w:strike w:val="0"/>
          <w:dstrike w:val="0"/>
          <w:color w:val="auto"/>
          <w:sz w:val="24"/>
          <w:szCs w:val="24"/>
          <w:highlight w:val="none"/>
          <w:u w:val="none"/>
          <w:lang w:val="en-US" w:eastAsia="zh-CN"/>
        </w:rPr>
        <w:t>。</w:t>
      </w:r>
    </w:p>
    <w:p w14:paraId="67AC7FAE">
      <w:pPr>
        <w:spacing w:line="360" w:lineRule="auto"/>
        <w:ind w:firstLine="480" w:firstLineChars="200"/>
        <w:outlineLvl w:val="2"/>
        <w:rPr>
          <w:rFonts w:hint="eastAsia"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2、日常运行管理内容包含沿线工程联合运用、水位调节等工作，因工作缺失造成的工程损失、赔偿补偿由成交供应商承担。</w:t>
      </w:r>
    </w:p>
    <w:p w14:paraId="6E0E2E96">
      <w:pPr>
        <w:spacing w:line="360" w:lineRule="auto"/>
        <w:ind w:firstLine="435"/>
        <w:rPr>
          <w:rFonts w:hint="eastAsia" w:ascii="宋体" w:hAnsi="宋体" w:eastAsia="宋体" w:cs="宋体"/>
          <w:strike w:val="0"/>
          <w:dstrike w:val="0"/>
          <w:color w:val="auto"/>
          <w:sz w:val="24"/>
          <w:szCs w:val="24"/>
          <w:highlight w:val="none"/>
          <w:u w:val="none"/>
        </w:rPr>
      </w:pPr>
      <w:r>
        <w:rPr>
          <w:rFonts w:hint="eastAsia" w:ascii="宋体" w:hAnsi="宋体" w:eastAsia="宋体"/>
          <w:b/>
          <w:strike w:val="0"/>
          <w:color w:val="auto"/>
          <w:sz w:val="24"/>
          <w:szCs w:val="18"/>
          <w:highlight w:val="none"/>
          <w:u w:val="none"/>
        </w:rPr>
        <w:t>三、报价要求</w:t>
      </w:r>
    </w:p>
    <w:p w14:paraId="3781199F">
      <w:pPr>
        <w:spacing w:line="360" w:lineRule="auto"/>
        <w:ind w:firstLine="480" w:firstLineChars="200"/>
        <w:outlineLvl w:val="2"/>
        <w:rPr>
          <w:rFonts w:hint="eastAsia" w:ascii="宋体" w:hAnsi="宋体" w:eastAsia="宋体" w:cs="宋体"/>
          <w:strike w:val="0"/>
          <w:dstrike w:val="0"/>
          <w:color w:val="auto"/>
          <w:sz w:val="24"/>
          <w:szCs w:val="24"/>
          <w:highlight w:val="none"/>
          <w:u w:val="none"/>
        </w:rPr>
      </w:pPr>
      <w:r>
        <w:rPr>
          <w:rFonts w:hint="eastAsia" w:ascii="宋体" w:hAnsi="宋体" w:eastAsia="宋体" w:cs="宋体"/>
          <w:strike w:val="0"/>
          <w:dstrike w:val="0"/>
          <w:color w:val="auto"/>
          <w:sz w:val="24"/>
          <w:szCs w:val="24"/>
          <w:highlight w:val="none"/>
          <w:u w:val="none"/>
        </w:rPr>
        <w:t>1、磋商报价应是完成磋商文件所确定采购范围内所有工作内容及后续服务的全部价格体现。磋商报价应包括但不限于为完成本采购文件约定的服务工作及产生的一切人工费、材料（设备）费、管理费、利润和按国家规定应缴纳的税金以及合同约定的所有风险、责任、政策性调整等所有费用。</w:t>
      </w:r>
      <w:r>
        <w:rPr>
          <w:rFonts w:hint="eastAsia" w:ascii="宋体" w:hAnsi="宋体" w:eastAsia="宋体"/>
          <w:bCs/>
          <w:color w:val="auto"/>
          <w:sz w:val="24"/>
          <w:szCs w:val="18"/>
          <w:highlight w:val="none"/>
        </w:rPr>
        <w:t>成交价格今后将不作任何调整，采购人后期不再追加费用，供应商自行考虑报价风险。</w:t>
      </w:r>
    </w:p>
    <w:p w14:paraId="619813CE">
      <w:pPr>
        <w:spacing w:line="360" w:lineRule="auto"/>
        <w:ind w:firstLine="435"/>
        <w:rPr>
          <w:rFonts w:hint="eastAsia" w:ascii="宋体" w:hAnsi="宋体" w:eastAsia="宋体" w:cs="宋体"/>
          <w:strike w:val="0"/>
          <w:dstrike w:val="0"/>
          <w:color w:val="auto"/>
          <w:sz w:val="24"/>
          <w:szCs w:val="24"/>
          <w:highlight w:val="none"/>
          <w:u w:val="none"/>
        </w:rPr>
      </w:pPr>
      <w:r>
        <w:rPr>
          <w:rFonts w:hint="eastAsia" w:ascii="宋体" w:hAnsi="宋体" w:eastAsia="宋体" w:cs="宋体"/>
          <w:strike w:val="0"/>
          <w:dstrike w:val="0"/>
          <w:color w:val="auto"/>
          <w:sz w:val="24"/>
          <w:szCs w:val="24"/>
          <w:highlight w:val="none"/>
          <w:u w:val="none"/>
        </w:rPr>
        <w:t>2、项目采用固定</w:t>
      </w:r>
      <w:r>
        <w:rPr>
          <w:rFonts w:hint="eastAsia" w:ascii="宋体" w:hAnsi="宋体" w:eastAsia="宋体" w:cs="宋体"/>
          <w:strike w:val="0"/>
          <w:dstrike w:val="0"/>
          <w:color w:val="auto"/>
          <w:sz w:val="24"/>
          <w:szCs w:val="24"/>
          <w:highlight w:val="none"/>
          <w:u w:val="none"/>
          <w:lang w:val="en-US" w:eastAsia="zh-CN"/>
        </w:rPr>
        <w:t>单</w:t>
      </w:r>
      <w:r>
        <w:rPr>
          <w:rFonts w:hint="eastAsia" w:ascii="宋体" w:hAnsi="宋体" w:eastAsia="宋体" w:cs="宋体"/>
          <w:strike w:val="0"/>
          <w:dstrike w:val="0"/>
          <w:color w:val="auto"/>
          <w:sz w:val="24"/>
          <w:szCs w:val="24"/>
          <w:highlight w:val="none"/>
          <w:u w:val="none"/>
        </w:rPr>
        <w:t>价合同，供应商必须按照磋商文件要求对服务的全部费用做出完整的报价，漏报少报的费用，视为此项费用已包含在总报价中，供应商报价时应充分考虑影响价格的各种因素，除服务内容发生重大变化或采购人要求变动的内容外，价格不作调整。</w:t>
      </w:r>
    </w:p>
    <w:p w14:paraId="223CA73F">
      <w:pPr>
        <w:spacing w:line="360" w:lineRule="auto"/>
        <w:ind w:firstLine="437"/>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四、其他须知</w:t>
      </w:r>
    </w:p>
    <w:p w14:paraId="0BE8D47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ED7724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确保其技术建议以及所提供的服务的完整性、实用性，保证全部工作面及时投入正常使用。若出现因供应商提供的服务不满足要求、不合理，或者其所提供的技术支持和服务不全面，而导致无法实现或不能完全实现的状况，供应商负全部责任。</w:t>
      </w:r>
    </w:p>
    <w:bookmarkEnd w:id="19"/>
    <w:bookmarkEnd w:id="20"/>
    <w:bookmarkEnd w:id="21"/>
    <w:p w14:paraId="4BC2637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、成交供应商应对采购人提供的业务资料、技术资料应严格保密、不得扩散，否则应承担相应责任且采购人有权追究成交供应商违约责任。 </w:t>
      </w:r>
    </w:p>
    <w:p w14:paraId="75293D3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、成交供应商如迟延履行合同、不完全履行合同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，采购人有权追究成交供应商责任，并就成交供应商违约给采购人造成的损失向成交供应商索赔。</w:t>
      </w:r>
    </w:p>
    <w:p w14:paraId="773F247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、对于成交供应商无法按时按承诺完成的工作，采购人有权请第三方解决，所需所有费用由成交供应商支付。</w:t>
      </w:r>
    </w:p>
    <w:p w14:paraId="667D7D5F">
      <w:pPr>
        <w:spacing w:line="360" w:lineRule="auto"/>
        <w:ind w:firstLine="480" w:firstLineChars="200"/>
        <w:outlineLvl w:val="2"/>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、其他未尽事宜由供需双方在采购合同中详细约定。</w:t>
      </w:r>
      <w:r>
        <w:rPr>
          <w:rFonts w:hint="eastAsia" w:ascii="宋体" w:hAnsi="宋体" w:eastAsia="宋体"/>
          <w:bCs/>
          <w:color w:val="auto"/>
          <w:sz w:val="24"/>
          <w:szCs w:val="18"/>
          <w:highlight w:val="none"/>
        </w:rPr>
        <w:br w:type="page"/>
      </w:r>
    </w:p>
    <w:p w14:paraId="7DD3CC47">
      <w:pPr>
        <w:spacing w:line="360" w:lineRule="auto"/>
        <w:jc w:val="center"/>
        <w:outlineLvl w:val="0"/>
        <w:rPr>
          <w:rFonts w:asciiTheme="minorEastAsia" w:hAnsiTheme="minorEastAsia" w:eastAsiaTheme="minorEastAsia"/>
          <w:b/>
          <w:color w:val="auto"/>
          <w:sz w:val="28"/>
          <w:highlight w:val="none"/>
        </w:rPr>
      </w:pPr>
      <w:bookmarkStart w:id="22" w:name="_Toc8668"/>
      <w:bookmarkStart w:id="23" w:name="_Toc17554"/>
      <w:r>
        <w:rPr>
          <w:rFonts w:hint="eastAsia" w:asciiTheme="minorEastAsia" w:hAnsiTheme="minorEastAsia" w:eastAsiaTheme="minorEastAsia"/>
          <w:b/>
          <w:color w:val="auto"/>
          <w:sz w:val="28"/>
          <w:highlight w:val="none"/>
        </w:rPr>
        <w:t>第四章  评审方法和标准</w:t>
      </w:r>
      <w:bookmarkEnd w:id="22"/>
      <w:bookmarkEnd w:id="23"/>
    </w:p>
    <w:p w14:paraId="5FED226D">
      <w:pPr>
        <w:spacing w:line="360" w:lineRule="auto"/>
        <w:ind w:firstLine="437"/>
        <w:outlineLvl w:val="1"/>
        <w:rPr>
          <w:rFonts w:asciiTheme="minorEastAsia" w:hAnsiTheme="minorEastAsia" w:eastAsiaTheme="minorEastAsia"/>
          <w:b/>
          <w:color w:val="auto"/>
          <w:sz w:val="24"/>
          <w:highlight w:val="none"/>
        </w:rPr>
      </w:pPr>
      <w:bookmarkStart w:id="24" w:name="_Toc12199"/>
      <w:bookmarkStart w:id="25" w:name="_Toc21211"/>
      <w:r>
        <w:rPr>
          <w:rFonts w:hint="eastAsia" w:asciiTheme="minorEastAsia" w:hAnsiTheme="minorEastAsia" w:eastAsiaTheme="minorEastAsia"/>
          <w:b/>
          <w:color w:val="auto"/>
          <w:sz w:val="24"/>
          <w:highlight w:val="none"/>
        </w:rPr>
        <w:t>一、总则</w:t>
      </w:r>
      <w:bookmarkEnd w:id="24"/>
      <w:bookmarkEnd w:id="25"/>
    </w:p>
    <w:p w14:paraId="356A13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49EE136C">
      <w:pPr>
        <w:spacing w:line="360" w:lineRule="auto"/>
        <w:ind w:firstLine="437"/>
        <w:outlineLvl w:val="1"/>
        <w:rPr>
          <w:rFonts w:asciiTheme="minorEastAsia" w:hAnsiTheme="minorEastAsia" w:eastAsiaTheme="minorEastAsia"/>
          <w:b/>
          <w:color w:val="auto"/>
          <w:sz w:val="24"/>
          <w:highlight w:val="none"/>
        </w:rPr>
      </w:pPr>
      <w:bookmarkStart w:id="26" w:name="_Toc16885"/>
      <w:bookmarkStart w:id="27" w:name="_Toc13039"/>
      <w:r>
        <w:rPr>
          <w:rFonts w:hint="eastAsia" w:asciiTheme="minorEastAsia" w:hAnsiTheme="minorEastAsia" w:eastAsiaTheme="minorEastAsia"/>
          <w:b/>
          <w:color w:val="auto"/>
          <w:sz w:val="24"/>
          <w:highlight w:val="none"/>
        </w:rPr>
        <w:t>二、评审方法</w:t>
      </w:r>
      <w:bookmarkEnd w:id="26"/>
      <w:bookmarkEnd w:id="27"/>
    </w:p>
    <w:p w14:paraId="0A99C509">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7A94AE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2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1651"/>
        <w:gridCol w:w="4556"/>
        <w:gridCol w:w="1919"/>
      </w:tblGrid>
      <w:tr w14:paraId="2E28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45F5714">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初审表</w:t>
            </w:r>
          </w:p>
        </w:tc>
      </w:tr>
      <w:tr w14:paraId="3E89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Borders>
              <w:bottom w:val="single" w:color="auto" w:sz="4" w:space="0"/>
            </w:tcBorders>
            <w:vAlign w:val="center"/>
          </w:tcPr>
          <w:p w14:paraId="3509825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122C5933">
            <w:pPr>
              <w:pStyle w:val="44"/>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00" w:type="pct"/>
            <w:tcBorders>
              <w:bottom w:val="single" w:color="auto" w:sz="4" w:space="0"/>
            </w:tcBorders>
            <w:vAlign w:val="center"/>
          </w:tcPr>
          <w:p w14:paraId="5DBCCC9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审查标准</w:t>
            </w:r>
          </w:p>
        </w:tc>
        <w:tc>
          <w:tcPr>
            <w:tcW w:w="1094" w:type="pct"/>
            <w:tcBorders>
              <w:bottom w:val="single" w:color="auto" w:sz="4" w:space="0"/>
            </w:tcBorders>
            <w:vAlign w:val="center"/>
          </w:tcPr>
          <w:p w14:paraId="432263E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1262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3" w:type="pct"/>
            <w:tcBorders>
              <w:bottom w:val="single" w:color="auto" w:sz="4" w:space="0"/>
            </w:tcBorders>
            <w:vAlign w:val="center"/>
          </w:tcPr>
          <w:p w14:paraId="71C807A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5D7713C7">
            <w:pPr>
              <w:spacing w:after="50" w:line="360" w:lineRule="auto"/>
              <w:ind w:right="-10"/>
              <w:jc w:val="center"/>
              <w:rPr>
                <w:rFonts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00" w:type="pct"/>
            <w:tcBorders>
              <w:bottom w:val="single" w:color="auto" w:sz="4" w:space="0"/>
            </w:tcBorders>
            <w:vAlign w:val="center"/>
          </w:tcPr>
          <w:p w14:paraId="7F339E44">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3C7D6554">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2B00F87D">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8576642">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78E599B4">
            <w:pPr>
              <w:spacing w:after="50" w:line="360" w:lineRule="auto"/>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（5）供应商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p>
        </w:tc>
        <w:tc>
          <w:tcPr>
            <w:tcW w:w="1094" w:type="pct"/>
            <w:vAlign w:val="center"/>
          </w:tcPr>
          <w:p w14:paraId="7635AE33">
            <w:pPr>
              <w:spacing w:line="360" w:lineRule="auto"/>
              <w:jc w:val="left"/>
              <w:rPr>
                <w:rFonts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31CC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63" w:type="pct"/>
            <w:tcBorders>
              <w:bottom w:val="single" w:color="auto" w:sz="4" w:space="0"/>
            </w:tcBorders>
            <w:vAlign w:val="center"/>
          </w:tcPr>
          <w:p w14:paraId="5018DF1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942" w:type="pct"/>
            <w:tcBorders>
              <w:bottom w:val="single" w:color="auto" w:sz="4" w:space="0"/>
            </w:tcBorders>
            <w:vAlign w:val="center"/>
          </w:tcPr>
          <w:p w14:paraId="54E1F2BB">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rPr>
              <w:t>供应商资格声明书</w:t>
            </w:r>
          </w:p>
        </w:tc>
        <w:tc>
          <w:tcPr>
            <w:tcW w:w="2600" w:type="pct"/>
            <w:tcBorders>
              <w:bottom w:val="single" w:color="auto" w:sz="4" w:space="0"/>
            </w:tcBorders>
            <w:vAlign w:val="center"/>
          </w:tcPr>
          <w:p w14:paraId="50B63CEC">
            <w:pPr>
              <w:spacing w:after="50" w:line="360" w:lineRule="auto"/>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rPr>
              <w:t>磋商</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w:t>
            </w:r>
          </w:p>
        </w:tc>
        <w:tc>
          <w:tcPr>
            <w:tcW w:w="1094" w:type="pct"/>
            <w:vAlign w:val="center"/>
          </w:tcPr>
          <w:p w14:paraId="2488A033">
            <w:pPr>
              <w:spacing w:line="360" w:lineRule="auto"/>
              <w:jc w:val="left"/>
              <w:rPr>
                <w:rFonts w:ascii="宋体" w:hAnsi="宋体" w:eastAsia="宋体" w:cs="宋体"/>
                <w:color w:val="auto"/>
                <w:sz w:val="24"/>
                <w:szCs w:val="24"/>
                <w:highlight w:val="none"/>
              </w:rPr>
            </w:pPr>
            <w:r>
              <w:rPr>
                <w:rFonts w:hint="eastAsia" w:ascii="宋体" w:hAnsi="宋体" w:eastAsia="宋体"/>
                <w:color w:val="auto"/>
                <w:sz w:val="24"/>
                <w:highlight w:val="none"/>
              </w:rPr>
              <w:t>详见第六章响应文件格式。</w:t>
            </w:r>
          </w:p>
        </w:tc>
      </w:tr>
      <w:tr w14:paraId="1EA8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Borders>
              <w:bottom w:val="single" w:color="auto" w:sz="4" w:space="0"/>
            </w:tcBorders>
            <w:vAlign w:val="center"/>
          </w:tcPr>
          <w:p w14:paraId="22D7627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942" w:type="pct"/>
            <w:tcBorders>
              <w:bottom w:val="single" w:color="auto" w:sz="4" w:space="0"/>
            </w:tcBorders>
            <w:vAlign w:val="center"/>
          </w:tcPr>
          <w:p w14:paraId="5AD2FA5A">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rPr>
              <w:t>供应商</w:t>
            </w:r>
            <w:r>
              <w:rPr>
                <w:rFonts w:hint="eastAsia" w:ascii="宋体" w:hAnsi="宋体" w:eastAsia="宋体" w:cs="宋体"/>
                <w:color w:val="auto"/>
                <w:sz w:val="24"/>
                <w:szCs w:val="24"/>
                <w:highlight w:val="none"/>
              </w:rPr>
              <w:t>信用记录</w:t>
            </w:r>
          </w:p>
        </w:tc>
        <w:tc>
          <w:tcPr>
            <w:tcW w:w="2600" w:type="pct"/>
            <w:tcBorders>
              <w:bottom w:val="single" w:color="auto" w:sz="4" w:space="0"/>
            </w:tcBorders>
            <w:vAlign w:val="center"/>
          </w:tcPr>
          <w:p w14:paraId="1052DCA2">
            <w:pPr>
              <w:spacing w:after="50" w:line="360" w:lineRule="auto"/>
              <w:ind w:right="-10"/>
              <w:jc w:val="center"/>
              <w:rPr>
                <w:color w:val="auto"/>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不得存在《</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zh-CN"/>
              </w:rPr>
              <w:t>邀请》第4条信誉要求和</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94" w:type="pct"/>
            <w:tcBorders>
              <w:bottom w:val="single" w:color="auto" w:sz="4" w:space="0"/>
            </w:tcBorders>
            <w:vAlign w:val="center"/>
          </w:tcPr>
          <w:p w14:paraId="590BEEA0">
            <w:pPr>
              <w:spacing w:line="360" w:lineRule="auto"/>
              <w:jc w:val="left"/>
              <w:rPr>
                <w:color w:val="auto"/>
                <w:highlight w:val="none"/>
              </w:rPr>
            </w:pPr>
            <w:r>
              <w:rPr>
                <w:rFonts w:hint="eastAsia" w:ascii="宋体" w:hAnsi="宋体" w:eastAsia="宋体" w:cs="宋体"/>
                <w:color w:val="auto"/>
                <w:sz w:val="24"/>
                <w:szCs w:val="24"/>
                <w:highlight w:val="none"/>
              </w:rPr>
              <w:t>无须供应商提供，由采购人或采购代理机构查询。</w:t>
            </w:r>
          </w:p>
        </w:tc>
      </w:tr>
      <w:tr w14:paraId="6659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Borders>
              <w:bottom w:val="single" w:color="auto" w:sz="4" w:space="0"/>
            </w:tcBorders>
            <w:vAlign w:val="center"/>
          </w:tcPr>
          <w:p w14:paraId="3626819A">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07150671">
            <w:pPr>
              <w:spacing w:after="50" w:line="360" w:lineRule="auto"/>
              <w:ind w:right="-10"/>
              <w:jc w:val="center"/>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其他特定资格要求</w:t>
            </w:r>
          </w:p>
        </w:tc>
        <w:tc>
          <w:tcPr>
            <w:tcW w:w="2600" w:type="pct"/>
            <w:tcBorders>
              <w:bottom w:val="single" w:color="auto" w:sz="4" w:space="0"/>
            </w:tcBorders>
            <w:vAlign w:val="center"/>
          </w:tcPr>
          <w:p w14:paraId="5E99D656">
            <w:pPr>
              <w:spacing w:after="50" w:line="360" w:lineRule="auto"/>
              <w:ind w:right="-10"/>
              <w:jc w:val="center"/>
              <w:rPr>
                <w:rFonts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如有，</w:t>
            </w:r>
            <w:r>
              <w:rPr>
                <w:rFonts w:ascii="宋体" w:hAnsi="宋体" w:eastAsia="宋体" w:cs="宋体"/>
                <w:color w:val="auto"/>
                <w:spacing w:val="10"/>
                <w:sz w:val="24"/>
                <w:szCs w:val="24"/>
                <w:highlight w:val="none"/>
              </w:rPr>
              <w:t>见第一章《</w:t>
            </w:r>
            <w:r>
              <w:rPr>
                <w:rFonts w:hint="eastAsia" w:ascii="宋体" w:hAnsi="宋体" w:eastAsia="宋体" w:cs="宋体"/>
                <w:color w:val="auto"/>
                <w:spacing w:val="10"/>
                <w:sz w:val="24"/>
                <w:szCs w:val="24"/>
                <w:highlight w:val="none"/>
              </w:rPr>
              <w:t>磋商</w:t>
            </w:r>
            <w:r>
              <w:rPr>
                <w:rFonts w:ascii="宋体" w:hAnsi="宋体" w:eastAsia="宋体" w:cs="宋体"/>
                <w:color w:val="auto"/>
                <w:spacing w:val="10"/>
                <w:sz w:val="24"/>
                <w:szCs w:val="24"/>
                <w:highlight w:val="none"/>
              </w:rPr>
              <w:t>邀请》</w:t>
            </w:r>
          </w:p>
        </w:tc>
        <w:tc>
          <w:tcPr>
            <w:tcW w:w="1094" w:type="pct"/>
            <w:tcBorders>
              <w:bottom w:val="single" w:color="auto" w:sz="4" w:space="0"/>
            </w:tcBorders>
            <w:vAlign w:val="center"/>
          </w:tcPr>
          <w:p w14:paraId="71472373">
            <w:pPr>
              <w:spacing w:after="50" w:line="360" w:lineRule="auto"/>
              <w:ind w:right="-10"/>
              <w:rPr>
                <w:rFonts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18DB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Borders>
              <w:bottom w:val="single" w:color="auto" w:sz="4" w:space="0"/>
            </w:tcBorders>
            <w:vAlign w:val="center"/>
          </w:tcPr>
          <w:p w14:paraId="74CD2AA8">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5</w:t>
            </w:r>
          </w:p>
        </w:tc>
        <w:tc>
          <w:tcPr>
            <w:tcW w:w="942" w:type="pct"/>
            <w:tcBorders>
              <w:bottom w:val="single" w:color="auto" w:sz="4" w:space="0"/>
            </w:tcBorders>
            <w:vAlign w:val="center"/>
          </w:tcPr>
          <w:p w14:paraId="4DF5F3F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磋商响应函</w:t>
            </w:r>
          </w:p>
        </w:tc>
        <w:tc>
          <w:tcPr>
            <w:tcW w:w="2600" w:type="pct"/>
            <w:tcBorders>
              <w:bottom w:val="single" w:color="auto" w:sz="4" w:space="0"/>
            </w:tcBorders>
            <w:vAlign w:val="center"/>
          </w:tcPr>
          <w:p w14:paraId="20B6760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格式、填写要求符合磋商文件规定并加盖供应商电子签章</w:t>
            </w:r>
          </w:p>
        </w:tc>
        <w:tc>
          <w:tcPr>
            <w:tcW w:w="1094" w:type="pct"/>
            <w:tcBorders>
              <w:bottom w:val="single" w:color="auto" w:sz="4" w:space="0"/>
            </w:tcBorders>
            <w:vAlign w:val="center"/>
          </w:tcPr>
          <w:p w14:paraId="1E102A0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42A2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7C703CD2">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6</w:t>
            </w:r>
          </w:p>
        </w:tc>
        <w:tc>
          <w:tcPr>
            <w:tcW w:w="942" w:type="pct"/>
            <w:vAlign w:val="center"/>
          </w:tcPr>
          <w:p w14:paraId="19CA1993">
            <w:pPr>
              <w:spacing w:after="50" w:line="360" w:lineRule="auto"/>
              <w:ind w:right="-1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授权书</w:t>
            </w:r>
          </w:p>
        </w:tc>
        <w:tc>
          <w:tcPr>
            <w:tcW w:w="2600" w:type="pct"/>
            <w:vAlign w:val="center"/>
          </w:tcPr>
          <w:p w14:paraId="2707A439">
            <w:pPr>
              <w:spacing w:after="50" w:line="360" w:lineRule="auto"/>
              <w:ind w:right="-1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格式、填写要求符合</w:t>
            </w:r>
            <w:r>
              <w:rPr>
                <w:rFonts w:hint="eastAsia" w:ascii="宋体" w:hAnsi="宋体" w:eastAsia="宋体" w:cs="宋体"/>
                <w:color w:val="auto"/>
                <w:spacing w:val="10"/>
                <w:sz w:val="24"/>
                <w:szCs w:val="24"/>
                <w:highlight w:val="none"/>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szCs w:val="28"/>
                <w:highlight w:val="none"/>
              </w:rPr>
              <w:t>电子签章</w:t>
            </w:r>
          </w:p>
        </w:tc>
        <w:tc>
          <w:tcPr>
            <w:tcW w:w="1094" w:type="pct"/>
            <w:vAlign w:val="center"/>
          </w:tcPr>
          <w:p w14:paraId="0FEFD437">
            <w:pPr>
              <w:adjustRightInd w:val="0"/>
              <w:snapToGrid w:val="0"/>
              <w:spacing w:line="360" w:lineRule="auto"/>
              <w:ind w:right="-10"/>
              <w:jc w:val="center"/>
              <w:rPr>
                <w:rFonts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法定代表人参加磋商的无需此件，提供身份证明即可。详见第六章响应文件格式。</w:t>
            </w:r>
          </w:p>
        </w:tc>
      </w:tr>
      <w:tr w14:paraId="4725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7CEA8D6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942" w:type="pct"/>
            <w:vAlign w:val="center"/>
          </w:tcPr>
          <w:p w14:paraId="04253689">
            <w:pPr>
              <w:spacing w:after="50" w:line="360" w:lineRule="auto"/>
              <w:ind w:right="-1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磋商报价</w:t>
            </w:r>
          </w:p>
        </w:tc>
        <w:tc>
          <w:tcPr>
            <w:tcW w:w="2600" w:type="pct"/>
            <w:vAlign w:val="center"/>
          </w:tcPr>
          <w:p w14:paraId="57874B12">
            <w:pPr>
              <w:spacing w:after="50" w:line="360" w:lineRule="auto"/>
              <w:ind w:right="-1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rPr>
              <w:t>磋商</w:t>
            </w:r>
            <w:r>
              <w:rPr>
                <w:rFonts w:hint="eastAsia" w:asciiTheme="minorEastAsia" w:hAnsiTheme="minorEastAsia" w:eastAsiaTheme="minorEastAsia"/>
                <w:color w:val="auto"/>
                <w:sz w:val="24"/>
                <w:highlight w:val="none"/>
              </w:rPr>
              <w:t>文件供应商须知正文第9条要求</w:t>
            </w:r>
          </w:p>
        </w:tc>
        <w:tc>
          <w:tcPr>
            <w:tcW w:w="1094" w:type="pct"/>
            <w:vAlign w:val="center"/>
          </w:tcPr>
          <w:p w14:paraId="7D8C6416">
            <w:pPr>
              <w:adjustRightInd w:val="0"/>
              <w:snapToGrid w:val="0"/>
              <w:spacing w:line="360" w:lineRule="auto"/>
              <w:ind w:right="-10"/>
              <w:jc w:val="center"/>
              <w:rPr>
                <w:rFonts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详见第六章响应文件格式。</w:t>
            </w:r>
          </w:p>
        </w:tc>
      </w:tr>
      <w:tr w14:paraId="40BB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67BCEF8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8</w:t>
            </w:r>
          </w:p>
        </w:tc>
        <w:tc>
          <w:tcPr>
            <w:tcW w:w="942" w:type="pct"/>
            <w:vAlign w:val="center"/>
          </w:tcPr>
          <w:p w14:paraId="021AB55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600" w:type="pct"/>
            <w:vAlign w:val="center"/>
          </w:tcPr>
          <w:p w14:paraId="260FD38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rPr>
              <w:t>磋商</w:t>
            </w:r>
            <w:r>
              <w:rPr>
                <w:rFonts w:hint="eastAsia" w:asciiTheme="minorEastAsia" w:hAnsiTheme="minorEastAsia" w:eastAsiaTheme="minorEastAsia"/>
                <w:color w:val="auto"/>
                <w:sz w:val="24"/>
                <w:szCs w:val="28"/>
                <w:highlight w:val="none"/>
              </w:rPr>
              <w:t>文件采购需求中对付款方式、服务地点、服务期限等实质性要求</w:t>
            </w:r>
          </w:p>
        </w:tc>
        <w:tc>
          <w:tcPr>
            <w:tcW w:w="1094" w:type="pct"/>
            <w:vAlign w:val="center"/>
          </w:tcPr>
          <w:p w14:paraId="08477D0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详见第六章响应文件格式。</w:t>
            </w:r>
          </w:p>
        </w:tc>
      </w:tr>
      <w:tr w14:paraId="0551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52831D36">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9</w:t>
            </w:r>
          </w:p>
        </w:tc>
        <w:tc>
          <w:tcPr>
            <w:tcW w:w="942" w:type="pct"/>
            <w:vAlign w:val="center"/>
          </w:tcPr>
          <w:p w14:paraId="119A018F">
            <w:pPr>
              <w:spacing w:after="50" w:line="360" w:lineRule="auto"/>
              <w:ind w:right="-1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其他要求</w:t>
            </w:r>
          </w:p>
        </w:tc>
        <w:tc>
          <w:tcPr>
            <w:tcW w:w="2600" w:type="pct"/>
            <w:vAlign w:val="center"/>
          </w:tcPr>
          <w:p w14:paraId="35C2108D">
            <w:pPr>
              <w:spacing w:after="50" w:line="360" w:lineRule="auto"/>
              <w:ind w:right="-1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符合法律、行政法规规定的其他条件或磋商文件列明的其他实质性要求</w:t>
            </w:r>
          </w:p>
        </w:tc>
        <w:tc>
          <w:tcPr>
            <w:tcW w:w="1094" w:type="pct"/>
            <w:vAlign w:val="center"/>
          </w:tcPr>
          <w:p w14:paraId="41501625">
            <w:pPr>
              <w:adjustRightInd w:val="0"/>
              <w:snapToGrid w:val="0"/>
              <w:spacing w:line="360" w:lineRule="auto"/>
              <w:ind w:right="-10"/>
              <w:jc w:val="center"/>
              <w:rPr>
                <w:rFonts w:ascii="宋体" w:hAnsi="宋体" w:eastAsia="宋体" w:cs="宋体"/>
                <w:color w:val="auto"/>
                <w:sz w:val="24"/>
                <w:szCs w:val="24"/>
                <w:highlight w:val="none"/>
              </w:rPr>
            </w:pPr>
          </w:p>
        </w:tc>
      </w:tr>
    </w:tbl>
    <w:p w14:paraId="385D93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2BA0FC55">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3FE3A1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65750067">
      <w:pPr>
        <w:spacing w:line="440" w:lineRule="exact"/>
        <w:ind w:firstLine="435"/>
        <w:rPr>
          <w:color w:val="auto"/>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分，其中：资信分值占总分值的权重为</w:t>
      </w: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技术分值占总分值的权重为</w:t>
      </w:r>
      <w:r>
        <w:rPr>
          <w:rFonts w:hint="eastAsia" w:asciiTheme="minorEastAsia" w:hAnsiTheme="minorEastAsia" w:eastAsiaTheme="minorEastAsia"/>
          <w:color w:val="auto"/>
          <w:sz w:val="24"/>
          <w:highlight w:val="none"/>
          <w:u w:val="single"/>
          <w:lang w:val="en-US" w:eastAsia="zh-CN"/>
        </w:rPr>
        <w:t>62</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rPr>
        <w:t>%。具体评分细则如下：</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488"/>
        <w:gridCol w:w="4375"/>
        <w:gridCol w:w="1188"/>
      </w:tblGrid>
      <w:tr w14:paraId="5022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3" w:type="pct"/>
            <w:tcBorders>
              <w:top w:val="single" w:color="auto" w:sz="4" w:space="0"/>
              <w:left w:val="single" w:color="auto" w:sz="4" w:space="0"/>
              <w:bottom w:val="single" w:color="auto" w:sz="4" w:space="0"/>
              <w:right w:val="single" w:color="auto" w:sz="4" w:space="0"/>
            </w:tcBorders>
            <w:vAlign w:val="center"/>
          </w:tcPr>
          <w:p w14:paraId="47B0E3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873" w:type="pct"/>
            <w:tcBorders>
              <w:top w:val="single" w:color="auto" w:sz="4" w:space="0"/>
              <w:left w:val="single" w:color="auto" w:sz="4" w:space="0"/>
              <w:bottom w:val="single" w:color="auto" w:sz="4" w:space="0"/>
              <w:right w:val="single" w:color="auto" w:sz="4" w:space="0"/>
            </w:tcBorders>
            <w:vAlign w:val="center"/>
          </w:tcPr>
          <w:p w14:paraId="4E30F9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2566" w:type="pct"/>
            <w:tcBorders>
              <w:top w:val="single" w:color="auto" w:sz="4" w:space="0"/>
              <w:left w:val="single" w:color="auto" w:sz="4" w:space="0"/>
              <w:bottom w:val="single" w:color="auto" w:sz="4" w:space="0"/>
              <w:right w:val="single" w:color="auto" w:sz="4" w:space="0"/>
            </w:tcBorders>
            <w:vAlign w:val="center"/>
          </w:tcPr>
          <w:p w14:paraId="60E3CA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697" w:type="pct"/>
            <w:tcBorders>
              <w:top w:val="single" w:color="auto" w:sz="4" w:space="0"/>
              <w:left w:val="single" w:color="auto" w:sz="4" w:space="0"/>
              <w:bottom w:val="single" w:color="auto" w:sz="4" w:space="0"/>
              <w:right w:val="single" w:color="auto" w:sz="4" w:space="0"/>
            </w:tcBorders>
            <w:vAlign w:val="center"/>
          </w:tcPr>
          <w:p w14:paraId="4E0936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74AD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restart"/>
            <w:tcBorders>
              <w:top w:val="single" w:color="auto" w:sz="4" w:space="0"/>
              <w:left w:val="single" w:color="auto" w:sz="4" w:space="0"/>
              <w:right w:val="single" w:color="auto" w:sz="4" w:space="0"/>
            </w:tcBorders>
            <w:vAlign w:val="center"/>
          </w:tcPr>
          <w:p w14:paraId="21D0BF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资信分</w:t>
            </w:r>
          </w:p>
          <w:p w14:paraId="576E62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分）</w:t>
            </w:r>
          </w:p>
        </w:tc>
        <w:tc>
          <w:tcPr>
            <w:tcW w:w="873" w:type="pct"/>
            <w:tcBorders>
              <w:top w:val="single" w:color="auto" w:sz="4" w:space="0"/>
              <w:left w:val="single" w:color="auto" w:sz="4" w:space="0"/>
              <w:right w:val="single" w:color="auto" w:sz="4" w:space="0"/>
            </w:tcBorders>
            <w:shd w:val="clear" w:color="auto" w:fill="auto"/>
            <w:vAlign w:val="center"/>
          </w:tcPr>
          <w:p w14:paraId="36F4BE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供应商业绩</w:t>
            </w:r>
          </w:p>
        </w:tc>
        <w:tc>
          <w:tcPr>
            <w:tcW w:w="2566" w:type="pct"/>
            <w:tcBorders>
              <w:top w:val="single" w:color="auto" w:sz="4" w:space="0"/>
              <w:left w:val="single" w:color="auto" w:sz="4" w:space="0"/>
              <w:bottom w:val="single" w:color="auto" w:sz="4" w:space="0"/>
              <w:right w:val="single" w:color="auto" w:sz="4" w:space="0"/>
            </w:tcBorders>
            <w:shd w:val="clear" w:color="auto" w:fill="auto"/>
            <w:vAlign w:val="center"/>
          </w:tcPr>
          <w:p w14:paraId="19DA741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供应商自</w:t>
            </w:r>
            <w:r>
              <w:rPr>
                <w:rFonts w:hint="eastAsia" w:ascii="宋体" w:hAnsi="宋体" w:eastAsia="宋体" w:cs="宋体"/>
                <w:color w:val="auto"/>
                <w:sz w:val="24"/>
                <w:szCs w:val="24"/>
                <w:highlight w:val="none"/>
                <w:lang w:val="en-US" w:eastAsia="zh-CN" w:bidi="ar"/>
              </w:rPr>
              <w:t>2020</w:t>
            </w:r>
            <w:r>
              <w:rPr>
                <w:rFonts w:hint="eastAsia" w:ascii="宋体" w:hAnsi="宋体" w:eastAsia="宋体" w:cs="宋体"/>
                <w:color w:val="auto"/>
                <w:sz w:val="24"/>
                <w:szCs w:val="24"/>
                <w:highlight w:val="none"/>
                <w:lang w:bidi="ar"/>
              </w:rPr>
              <w:t>年1</w:t>
            </w: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月1日以来（以合同签订时间为准）具有</w:t>
            </w:r>
            <w:r>
              <w:rPr>
                <w:rFonts w:hint="eastAsia" w:ascii="宋体" w:hAnsi="宋体" w:eastAsia="宋体" w:cs="宋体"/>
                <w:color w:val="auto"/>
                <w:sz w:val="24"/>
                <w:szCs w:val="24"/>
                <w:highlight w:val="none"/>
                <w:lang w:val="en-US" w:eastAsia="zh-CN" w:bidi="ar"/>
              </w:rPr>
              <w:t>引调水工程运维或抽排水运维或泵站运维或抗旱运维</w:t>
            </w:r>
            <w:r>
              <w:rPr>
                <w:rFonts w:hint="eastAsia" w:ascii="宋体" w:hAnsi="宋体" w:eastAsia="宋体" w:cs="宋体"/>
                <w:color w:val="auto"/>
                <w:sz w:val="24"/>
                <w:szCs w:val="24"/>
                <w:highlight w:val="none"/>
                <w:lang w:bidi="ar"/>
              </w:rPr>
              <w:t>业绩的，每提供1个得2分，</w:t>
            </w:r>
            <w:r>
              <w:rPr>
                <w:rFonts w:hint="eastAsia" w:ascii="宋体" w:hAnsi="宋体" w:eastAsia="宋体" w:cs="宋体"/>
                <w:color w:val="auto"/>
                <w:sz w:val="24"/>
                <w:szCs w:val="24"/>
                <w:highlight w:val="none"/>
                <w:lang w:val="en-US" w:eastAsia="zh-CN" w:bidi="ar"/>
              </w:rPr>
              <w:t>本条</w:t>
            </w:r>
            <w:r>
              <w:rPr>
                <w:rFonts w:hint="eastAsia" w:ascii="宋体" w:hAnsi="宋体" w:eastAsia="宋体" w:cs="宋体"/>
                <w:color w:val="auto"/>
                <w:sz w:val="24"/>
                <w:szCs w:val="24"/>
                <w:highlight w:val="none"/>
                <w:lang w:bidi="ar"/>
              </w:rPr>
              <w:t>满分4分。</w:t>
            </w:r>
          </w:p>
          <w:p w14:paraId="7559BDB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zh-CN" w:bidi="ar"/>
              </w:rPr>
            </w:pPr>
            <w:r>
              <w:rPr>
                <w:rFonts w:hint="eastAsia" w:ascii="宋体" w:hAnsi="宋体" w:eastAsia="宋体" w:cs="宋体"/>
                <w:color w:val="auto"/>
                <w:sz w:val="24"/>
                <w:szCs w:val="24"/>
                <w:highlight w:val="none"/>
                <w:lang w:bidi="ar"/>
              </w:rPr>
              <w:t>注：①响应</w:t>
            </w:r>
            <w:r>
              <w:rPr>
                <w:rFonts w:hint="eastAsia" w:ascii="宋体" w:hAnsi="宋体" w:eastAsia="宋体" w:cs="宋体"/>
                <w:color w:val="auto"/>
                <w:sz w:val="24"/>
                <w:szCs w:val="24"/>
                <w:highlight w:val="none"/>
                <w:lang w:val="zh-CN" w:bidi="ar"/>
              </w:rPr>
              <w:t>文件中提供业绩合同扫描件，时间以合同签订时间为准；若合同材料中无法体现签订时间、</w:t>
            </w:r>
            <w:r>
              <w:rPr>
                <w:rFonts w:hint="eastAsia" w:ascii="宋体" w:hAnsi="宋体" w:eastAsia="宋体" w:cs="宋体"/>
                <w:color w:val="auto"/>
                <w:sz w:val="24"/>
                <w:szCs w:val="24"/>
                <w:highlight w:val="none"/>
                <w:lang w:val="en-US" w:eastAsia="zh-CN" w:bidi="ar"/>
              </w:rPr>
              <w:t>服务</w:t>
            </w:r>
            <w:r>
              <w:rPr>
                <w:rFonts w:hint="eastAsia" w:ascii="宋体" w:hAnsi="宋体" w:eastAsia="宋体" w:cs="宋体"/>
                <w:color w:val="auto"/>
                <w:sz w:val="24"/>
                <w:szCs w:val="24"/>
                <w:highlight w:val="none"/>
                <w:lang w:val="zh-CN" w:bidi="ar"/>
              </w:rPr>
              <w:t>内容等关键评审因素的，须另</w:t>
            </w:r>
            <w:r>
              <w:rPr>
                <w:rFonts w:hint="eastAsia" w:ascii="宋体" w:hAnsi="宋体" w:eastAsia="宋体" w:cs="宋体"/>
                <w:color w:val="auto"/>
                <w:sz w:val="24"/>
                <w:szCs w:val="24"/>
                <w:highlight w:val="none"/>
                <w:lang w:bidi="ar"/>
              </w:rPr>
              <w:t>外提供</w:t>
            </w:r>
            <w:r>
              <w:rPr>
                <w:rFonts w:hint="eastAsia" w:ascii="宋体" w:hAnsi="宋体" w:eastAsia="宋体" w:cs="宋体"/>
                <w:color w:val="auto"/>
                <w:sz w:val="24"/>
                <w:szCs w:val="24"/>
                <w:highlight w:val="none"/>
                <w:lang w:val="zh-CN" w:bidi="ar"/>
              </w:rPr>
              <w:t>采购人（合同甲方）出具的证明材料。</w:t>
            </w:r>
          </w:p>
          <w:p w14:paraId="19355AE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②提供的项目业绩只计算评审分值对应的项目数量，按照排列顺序从首个业绩开始评审至对应数量，超出部分不进行评审。对应数量内业绩不符合</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文件要求不得分的，不再补充评审超出部分业绩。如：提供2个业绩即得满分的，按照响应文件排序评审第一、第二项业绩，其余超出部分不再评审。</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373697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rPr>
              <w:t>0-4分</w:t>
            </w:r>
          </w:p>
        </w:tc>
      </w:tr>
      <w:tr w14:paraId="1B23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1" w:hRule="atLeast"/>
        </w:trPr>
        <w:tc>
          <w:tcPr>
            <w:tcW w:w="863" w:type="pct"/>
            <w:vMerge w:val="continue"/>
            <w:tcBorders>
              <w:left w:val="single" w:color="auto" w:sz="4" w:space="0"/>
              <w:right w:val="single" w:color="auto" w:sz="4" w:space="0"/>
            </w:tcBorders>
            <w:vAlign w:val="center"/>
          </w:tcPr>
          <w:p w14:paraId="29D595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873" w:type="pct"/>
            <w:tcBorders>
              <w:top w:val="single" w:color="auto" w:sz="4" w:space="0"/>
              <w:left w:val="single" w:color="auto" w:sz="4" w:space="0"/>
              <w:right w:val="single" w:color="auto" w:sz="4" w:space="0"/>
            </w:tcBorders>
            <w:shd w:val="clear" w:color="auto" w:fill="auto"/>
            <w:vAlign w:val="center"/>
          </w:tcPr>
          <w:p w14:paraId="76106B8D">
            <w:pPr>
              <w:keepNext w:val="0"/>
              <w:keepLines w:val="0"/>
              <w:pageBreakBefore w:val="0"/>
              <w:widowControl w:val="0"/>
              <w:kinsoku/>
              <w:wordWrap/>
              <w:overflowPunct/>
              <w:topLinePunct w:val="0"/>
              <w:autoSpaceDE/>
              <w:autoSpaceDN/>
              <w:bidi w:val="0"/>
              <w:adjustRightInd/>
              <w:snapToGrid/>
              <w:spacing w:after="50" w:line="400" w:lineRule="exact"/>
              <w:ind w:right="-10" w:rightChars="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拟任项目负责人要求</w:t>
            </w:r>
          </w:p>
        </w:tc>
        <w:tc>
          <w:tcPr>
            <w:tcW w:w="2566" w:type="pct"/>
            <w:tcBorders>
              <w:top w:val="single" w:color="auto" w:sz="4" w:space="0"/>
              <w:left w:val="single" w:color="auto" w:sz="4" w:space="0"/>
              <w:bottom w:val="single" w:color="auto" w:sz="4" w:space="0"/>
              <w:right w:val="single" w:color="auto" w:sz="4" w:space="0"/>
            </w:tcBorders>
            <w:shd w:val="clear" w:color="auto" w:fill="auto"/>
            <w:vAlign w:val="center"/>
          </w:tcPr>
          <w:p w14:paraId="14276499">
            <w:pPr>
              <w:keepNext w:val="0"/>
              <w:keepLines w:val="0"/>
              <w:pageBreakBefore w:val="0"/>
              <w:widowControl w:val="0"/>
              <w:numPr>
                <w:ilvl w:val="0"/>
                <w:numId w:val="2"/>
              </w:numPr>
              <w:kinsoku/>
              <w:wordWrap/>
              <w:overflowPunct/>
              <w:topLinePunct w:val="0"/>
              <w:autoSpaceDE/>
              <w:autoSpaceDN/>
              <w:bidi w:val="0"/>
              <w:adjustRightInd/>
              <w:snapToGrid/>
              <w:spacing w:after="50" w:line="400" w:lineRule="exact"/>
              <w:ind w:right="-1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拟任</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rPr>
              <w:t>具有机电工程</w:t>
            </w:r>
            <w:r>
              <w:rPr>
                <w:rFonts w:hint="eastAsia" w:ascii="宋体" w:hAnsi="宋体" w:eastAsia="宋体" w:cs="宋体"/>
                <w:color w:val="auto"/>
                <w:sz w:val="24"/>
                <w:szCs w:val="24"/>
                <w:highlight w:val="none"/>
                <w:lang w:val="en-US" w:eastAsia="zh-CN"/>
              </w:rPr>
              <w:t>或水利水电专业</w:t>
            </w:r>
            <w:r>
              <w:rPr>
                <w:rFonts w:hint="eastAsia" w:ascii="宋体" w:hAnsi="宋体" w:eastAsia="宋体" w:cs="宋体"/>
                <w:color w:val="auto"/>
                <w:sz w:val="24"/>
                <w:szCs w:val="24"/>
                <w:highlight w:val="none"/>
              </w:rPr>
              <w:t>中级及以上职称</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机电工程</w:t>
            </w:r>
            <w:r>
              <w:rPr>
                <w:rFonts w:hint="eastAsia" w:ascii="宋体" w:hAnsi="宋体" w:eastAsia="宋体" w:cs="宋体"/>
                <w:color w:val="auto"/>
                <w:sz w:val="24"/>
                <w:szCs w:val="24"/>
                <w:highlight w:val="none"/>
                <w:lang w:val="en-US" w:eastAsia="zh-CN"/>
              </w:rPr>
              <w:t>或水利水电专业</w:t>
            </w:r>
            <w:r>
              <w:rPr>
                <w:rFonts w:hint="eastAsia" w:ascii="宋体" w:hAnsi="宋体" w:eastAsia="宋体" w:cs="宋体"/>
                <w:color w:val="auto"/>
                <w:sz w:val="24"/>
                <w:szCs w:val="24"/>
                <w:highlight w:val="none"/>
                <w:lang w:eastAsia="zh-CN"/>
              </w:rPr>
              <w:t>二级及以上建造师</w:t>
            </w:r>
            <w:r>
              <w:rPr>
                <w:rFonts w:hint="eastAsia" w:ascii="宋体" w:hAnsi="宋体" w:eastAsia="宋体" w:cs="宋体"/>
                <w:color w:val="auto"/>
                <w:sz w:val="24"/>
                <w:szCs w:val="24"/>
                <w:highlight w:val="none"/>
                <w:lang w:val="en-US" w:eastAsia="zh-CN"/>
              </w:rPr>
              <w:t>的得2分；</w:t>
            </w:r>
          </w:p>
          <w:p w14:paraId="6308627E">
            <w:pPr>
              <w:keepNext w:val="0"/>
              <w:keepLines w:val="0"/>
              <w:pageBreakBefore w:val="0"/>
              <w:widowControl w:val="0"/>
              <w:numPr>
                <w:ilvl w:val="0"/>
                <w:numId w:val="2"/>
              </w:numPr>
              <w:kinsoku/>
              <w:wordWrap/>
              <w:overflowPunct/>
              <w:topLinePunct w:val="0"/>
              <w:autoSpaceDE/>
              <w:autoSpaceDN/>
              <w:bidi w:val="0"/>
              <w:adjustRightInd/>
              <w:snapToGrid/>
              <w:spacing w:after="50" w:line="400" w:lineRule="exact"/>
              <w:ind w:right="-1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拟任</w:t>
            </w:r>
            <w:r>
              <w:rPr>
                <w:rFonts w:hint="eastAsia" w:ascii="宋体" w:hAnsi="宋体" w:eastAsia="宋体" w:cs="宋体"/>
                <w:color w:val="auto"/>
                <w:sz w:val="24"/>
                <w:szCs w:val="24"/>
                <w:highlight w:val="none"/>
                <w:lang w:val="en-US" w:eastAsia="zh-CN"/>
              </w:rPr>
              <w:t>项目负责人具有</w:t>
            </w:r>
            <w:r>
              <w:rPr>
                <w:rFonts w:hint="eastAsia" w:ascii="宋体" w:hAnsi="宋体" w:eastAsia="宋体" w:cs="宋体"/>
                <w:i w:val="0"/>
                <w:iCs w:val="0"/>
                <w:caps w:val="0"/>
                <w:color w:val="auto"/>
                <w:spacing w:val="0"/>
                <w:sz w:val="24"/>
                <w:szCs w:val="24"/>
                <w:highlight w:val="none"/>
                <w:shd w:val="clear" w:fill="FFFFFF"/>
              </w:rPr>
              <w:t>安全员证书</w:t>
            </w:r>
            <w:r>
              <w:rPr>
                <w:rFonts w:hint="eastAsia" w:ascii="宋体" w:hAnsi="宋体" w:eastAsia="宋体" w:cs="宋体"/>
                <w:i w:val="0"/>
                <w:iCs w:val="0"/>
                <w:caps w:val="0"/>
                <w:color w:val="auto"/>
                <w:spacing w:val="0"/>
                <w:sz w:val="24"/>
                <w:szCs w:val="24"/>
                <w:highlight w:val="none"/>
                <w:shd w:val="clear" w:fill="FFFFFF"/>
                <w:lang w:val="en-US" w:eastAsia="zh-CN"/>
              </w:rPr>
              <w:t>的，得2分；</w:t>
            </w:r>
          </w:p>
          <w:p w14:paraId="0EA78B6C">
            <w:pPr>
              <w:keepNext w:val="0"/>
              <w:keepLines w:val="0"/>
              <w:pageBreakBefore w:val="0"/>
              <w:widowControl w:val="0"/>
              <w:numPr>
                <w:ilvl w:val="0"/>
                <w:numId w:val="0"/>
              </w:numPr>
              <w:kinsoku/>
              <w:wordWrap/>
              <w:overflowPunct/>
              <w:topLinePunct w:val="0"/>
              <w:autoSpaceDE/>
              <w:autoSpaceDN/>
              <w:bidi w:val="0"/>
              <w:adjustRightInd/>
              <w:snapToGrid/>
              <w:spacing w:after="50" w:line="400" w:lineRule="exact"/>
              <w:ind w:right="-1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注：1.提供证书扫描件。</w:t>
            </w:r>
          </w:p>
          <w:p w14:paraId="39DDEB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拟任</w:t>
            </w:r>
            <w:r>
              <w:rPr>
                <w:rFonts w:hint="eastAsia" w:ascii="宋体" w:hAnsi="宋体" w:eastAsia="宋体" w:cs="宋体"/>
                <w:color w:val="auto"/>
                <w:sz w:val="24"/>
                <w:szCs w:val="24"/>
                <w:highlight w:val="none"/>
                <w:lang w:val="en-US" w:eastAsia="zh-CN"/>
              </w:rPr>
              <w:t>项目负责人须持有社保部门出具的本单位为其缴纳的投标前近三个月内任意一月的养老保险证明（证明文件两个月内有效），或供应商提供承诺已为上述人员缴纳养老保险证明的承诺书（格式自拟）。</w:t>
            </w:r>
          </w:p>
        </w:tc>
        <w:tc>
          <w:tcPr>
            <w:tcW w:w="697" w:type="pct"/>
            <w:tcBorders>
              <w:top w:val="single" w:color="auto" w:sz="4" w:space="0"/>
              <w:left w:val="single" w:color="auto" w:sz="4" w:space="0"/>
              <w:right w:val="single" w:color="auto" w:sz="4" w:space="0"/>
            </w:tcBorders>
            <w:shd w:val="clear" w:color="auto" w:fill="auto"/>
            <w:vAlign w:val="center"/>
          </w:tcPr>
          <w:p w14:paraId="30A7A6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r w14:paraId="71AD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863" w:type="pct"/>
            <w:vMerge w:val="restart"/>
            <w:tcBorders>
              <w:left w:val="single" w:color="auto" w:sz="4" w:space="0"/>
              <w:right w:val="single" w:color="auto" w:sz="4" w:space="0"/>
            </w:tcBorders>
            <w:vAlign w:val="center"/>
          </w:tcPr>
          <w:p w14:paraId="086091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技术分</w:t>
            </w:r>
          </w:p>
          <w:p w14:paraId="70367FA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62</w:t>
            </w:r>
            <w:r>
              <w:rPr>
                <w:rFonts w:hint="eastAsia" w:ascii="宋体" w:hAnsi="宋体" w:eastAsia="宋体" w:cs="宋体"/>
                <w:color w:val="auto"/>
                <w:sz w:val="24"/>
                <w:szCs w:val="24"/>
                <w:highlight w:val="none"/>
              </w:rPr>
              <w:t>分）</w:t>
            </w:r>
          </w:p>
        </w:tc>
        <w:tc>
          <w:tcPr>
            <w:tcW w:w="873" w:type="pct"/>
            <w:tcBorders>
              <w:top w:val="single" w:color="auto" w:sz="4" w:space="0"/>
              <w:left w:val="single" w:color="auto" w:sz="4" w:space="0"/>
              <w:right w:val="single" w:color="auto" w:sz="4" w:space="0"/>
            </w:tcBorders>
            <w:shd w:val="clear" w:color="auto" w:fill="auto"/>
            <w:vAlign w:val="center"/>
          </w:tcPr>
          <w:p w14:paraId="4B53F8BD">
            <w:pPr>
              <w:pStyle w:val="70"/>
              <w:keepNext w:val="0"/>
              <w:keepLines w:val="0"/>
              <w:pageBreakBefore w:val="0"/>
              <w:widowControl w:val="0"/>
              <w:kinsoku/>
              <w:wordWrap/>
              <w:overflowPunct/>
              <w:topLinePunct w:val="0"/>
              <w:autoSpaceDE/>
              <w:autoSpaceDN/>
              <w:bidi w:val="0"/>
              <w:adjustRightInd/>
              <w:snapToGrid/>
              <w:spacing w:before="65" w:line="400" w:lineRule="exact"/>
              <w:ind w:left="147"/>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5"/>
                <w:sz w:val="24"/>
                <w:szCs w:val="24"/>
                <w:highlight w:val="none"/>
                <w:lang w:val="en-US" w:eastAsia="zh-CN"/>
              </w:rPr>
              <w:t>1.</w:t>
            </w:r>
            <w:r>
              <w:rPr>
                <w:rFonts w:hint="eastAsia" w:ascii="宋体" w:hAnsi="宋体" w:eastAsia="宋体" w:cs="宋体"/>
                <w:color w:val="auto"/>
                <w:spacing w:val="5"/>
                <w:sz w:val="24"/>
                <w:szCs w:val="24"/>
                <w:highlight w:val="none"/>
              </w:rPr>
              <w:t>运维组织</w:t>
            </w:r>
            <w:r>
              <w:rPr>
                <w:rFonts w:hint="eastAsia" w:ascii="宋体" w:hAnsi="宋体" w:eastAsia="宋体" w:cs="宋体"/>
                <w:color w:val="auto"/>
                <w:spacing w:val="4"/>
                <w:sz w:val="24"/>
                <w:szCs w:val="24"/>
                <w:highlight w:val="none"/>
                <w:lang w:val="en-US" w:eastAsia="zh-CN"/>
              </w:rPr>
              <w:t>方案</w:t>
            </w:r>
          </w:p>
        </w:tc>
        <w:tc>
          <w:tcPr>
            <w:tcW w:w="2566" w:type="pct"/>
            <w:tcBorders>
              <w:top w:val="single" w:color="auto" w:sz="4" w:space="0"/>
              <w:left w:val="single" w:color="auto" w:sz="4" w:space="0"/>
              <w:bottom w:val="single" w:color="auto" w:sz="4" w:space="0"/>
              <w:right w:val="single" w:color="auto" w:sz="4" w:space="0"/>
            </w:tcBorders>
            <w:shd w:val="clear" w:color="auto" w:fill="auto"/>
            <w:vAlign w:val="center"/>
          </w:tcPr>
          <w:p w14:paraId="1E7598AC">
            <w:pPr>
              <w:pStyle w:val="70"/>
              <w:keepNext w:val="0"/>
              <w:keepLines w:val="0"/>
              <w:pageBreakBefore w:val="0"/>
              <w:widowControl w:val="0"/>
              <w:kinsoku/>
              <w:wordWrap/>
              <w:overflowPunct/>
              <w:topLinePunct w:val="0"/>
              <w:autoSpaceDE/>
              <w:autoSpaceDN/>
              <w:bidi w:val="0"/>
              <w:adjustRightInd/>
              <w:snapToGrid/>
              <w:spacing w:before="109" w:line="400" w:lineRule="exact"/>
              <w:ind w:right="10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针对需求并结合本项目实际情况，制定项目运维管理体系，包括但不限于运维人员组成、工作模式、岗位职责、技能要求及绩效考核等内</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
                <w:sz w:val="24"/>
                <w:szCs w:val="24"/>
                <w:highlight w:val="none"/>
              </w:rPr>
              <w:t>容。</w:t>
            </w:r>
          </w:p>
          <w:p w14:paraId="240AC447">
            <w:pPr>
              <w:pStyle w:val="70"/>
              <w:keepNext w:val="0"/>
              <w:keepLines w:val="0"/>
              <w:pageBreakBefore w:val="0"/>
              <w:widowControl w:val="0"/>
              <w:kinsoku/>
              <w:wordWrap/>
              <w:overflowPunct/>
              <w:topLinePunct w:val="0"/>
              <w:autoSpaceDE/>
              <w:autoSpaceDN/>
              <w:bidi w:val="0"/>
              <w:adjustRightInd/>
              <w:snapToGrid/>
              <w:spacing w:before="2" w:line="400" w:lineRule="exact"/>
              <w:ind w:right="10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val="en-US" w:eastAsia="zh-CN"/>
              </w:rPr>
              <w:t>1、</w:t>
            </w:r>
            <w:r>
              <w:rPr>
                <w:rFonts w:hint="eastAsia" w:ascii="宋体" w:hAnsi="宋体" w:eastAsia="宋体" w:cs="宋体"/>
                <w:color w:val="auto"/>
                <w:spacing w:val="9"/>
                <w:sz w:val="24"/>
                <w:szCs w:val="24"/>
                <w:highlight w:val="none"/>
              </w:rPr>
              <w:t>提供</w:t>
            </w:r>
            <w:r>
              <w:rPr>
                <w:rFonts w:hint="eastAsia" w:ascii="宋体" w:hAnsi="宋体" w:eastAsia="宋体" w:cs="宋体"/>
                <w:color w:val="auto"/>
                <w:spacing w:val="9"/>
                <w:sz w:val="24"/>
                <w:szCs w:val="24"/>
                <w:highlight w:val="none"/>
                <w:lang w:val="en-US" w:eastAsia="zh-CN"/>
              </w:rPr>
              <w:t>的</w:t>
            </w:r>
            <w:r>
              <w:rPr>
                <w:rFonts w:hint="eastAsia" w:ascii="宋体" w:hAnsi="宋体" w:eastAsia="宋体" w:cs="宋体"/>
                <w:color w:val="auto"/>
                <w:spacing w:val="9"/>
                <w:sz w:val="24"/>
                <w:szCs w:val="24"/>
                <w:highlight w:val="none"/>
              </w:rPr>
              <w:t>内容详实、表述清晰的运维组织体系，方案贴合需求、阐</w:t>
            </w:r>
            <w:r>
              <w:rPr>
                <w:rFonts w:hint="eastAsia" w:ascii="宋体" w:hAnsi="宋体" w:eastAsia="宋体" w:cs="宋体"/>
                <w:color w:val="auto"/>
                <w:spacing w:val="8"/>
                <w:sz w:val="24"/>
                <w:szCs w:val="24"/>
                <w:highlight w:val="none"/>
              </w:rPr>
              <w:t>述分析准确，完全符合项目需求的，得</w:t>
            </w:r>
            <w:r>
              <w:rPr>
                <w:rFonts w:hint="eastAsia" w:ascii="宋体" w:hAnsi="宋体" w:eastAsia="宋体" w:cs="宋体"/>
                <w:color w:val="auto"/>
                <w:spacing w:val="8"/>
                <w:sz w:val="24"/>
                <w:szCs w:val="24"/>
                <w:highlight w:val="none"/>
                <w:lang w:val="en-US" w:eastAsia="zh-CN"/>
              </w:rPr>
              <w:t>5</w:t>
            </w:r>
            <w:r>
              <w:rPr>
                <w:rFonts w:hint="eastAsia" w:ascii="宋体" w:hAnsi="宋体" w:eastAsia="宋体" w:cs="宋体"/>
                <w:color w:val="auto"/>
                <w:spacing w:val="8"/>
                <w:sz w:val="24"/>
                <w:szCs w:val="24"/>
                <w:highlight w:val="none"/>
              </w:rPr>
              <w:t>分；</w:t>
            </w:r>
          </w:p>
          <w:p w14:paraId="6FADA8D0">
            <w:pPr>
              <w:pStyle w:val="70"/>
              <w:keepNext w:val="0"/>
              <w:keepLines w:val="0"/>
              <w:pageBreakBefore w:val="0"/>
              <w:widowControl w:val="0"/>
              <w:kinsoku/>
              <w:wordWrap/>
              <w:overflowPunct/>
              <w:topLinePunct w:val="0"/>
              <w:autoSpaceDE/>
              <w:autoSpaceDN/>
              <w:bidi w:val="0"/>
              <w:adjustRightInd/>
              <w:snapToGrid/>
              <w:spacing w:before="113" w:line="400" w:lineRule="exact"/>
              <w:ind w:right="10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提供完整的管理组织体系，</w:t>
            </w:r>
            <w:r>
              <w:rPr>
                <w:rFonts w:hint="eastAsia" w:ascii="宋体" w:hAnsi="宋体" w:eastAsia="宋体" w:cs="宋体"/>
                <w:color w:val="auto"/>
                <w:spacing w:val="7"/>
                <w:sz w:val="24"/>
                <w:szCs w:val="24"/>
                <w:highlight w:val="none"/>
              </w:rPr>
              <w:t>进行了阐述分析，基本满足</w:t>
            </w:r>
            <w:r>
              <w:rPr>
                <w:rFonts w:hint="eastAsia" w:ascii="宋体" w:hAnsi="宋体" w:eastAsia="宋体" w:cs="宋体"/>
                <w:color w:val="auto"/>
                <w:spacing w:val="5"/>
                <w:sz w:val="24"/>
                <w:szCs w:val="24"/>
                <w:highlight w:val="none"/>
              </w:rPr>
              <w:t>项目需求的，得4分；</w:t>
            </w:r>
          </w:p>
          <w:p w14:paraId="73766D39">
            <w:pPr>
              <w:pStyle w:val="70"/>
              <w:keepNext w:val="0"/>
              <w:keepLines w:val="0"/>
              <w:pageBreakBefore w:val="0"/>
              <w:widowControl w:val="0"/>
              <w:kinsoku/>
              <w:wordWrap/>
              <w:overflowPunct/>
              <w:topLinePunct w:val="0"/>
              <w:autoSpaceDE/>
              <w:autoSpaceDN/>
              <w:bidi w:val="0"/>
              <w:adjustRightInd/>
              <w:snapToGrid/>
              <w:spacing w:before="114" w:line="400" w:lineRule="exact"/>
              <w:ind w:left="114" w:right="103" w:firstLine="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3、提供的管理组织体系，部分符合项目需</w:t>
            </w:r>
            <w:r>
              <w:rPr>
                <w:rFonts w:hint="eastAsia" w:ascii="宋体" w:hAnsi="宋体" w:eastAsia="宋体" w:cs="宋体"/>
                <w:color w:val="auto"/>
                <w:spacing w:val="5"/>
                <w:sz w:val="24"/>
                <w:szCs w:val="24"/>
                <w:highlight w:val="none"/>
              </w:rPr>
              <w:t>求，仍需进一步完善的，得</w:t>
            </w:r>
            <w:r>
              <w:rPr>
                <w:rFonts w:hint="eastAsia" w:ascii="宋体" w:hAnsi="宋体" w:eastAsia="宋体" w:cs="宋体"/>
                <w:color w:val="auto"/>
                <w:spacing w:val="-33"/>
                <w:sz w:val="24"/>
                <w:szCs w:val="24"/>
                <w:highlight w:val="none"/>
                <w:lang w:val="en-US" w:eastAsia="zh-CN"/>
              </w:rPr>
              <w:t>3</w:t>
            </w:r>
            <w:r>
              <w:rPr>
                <w:rFonts w:hint="eastAsia" w:ascii="宋体" w:hAnsi="宋体" w:eastAsia="宋体" w:cs="宋体"/>
                <w:color w:val="auto"/>
                <w:spacing w:val="-1"/>
                <w:sz w:val="24"/>
                <w:szCs w:val="24"/>
                <w:highlight w:val="none"/>
              </w:rPr>
              <w:t>分；</w:t>
            </w:r>
          </w:p>
          <w:p w14:paraId="3C794048">
            <w:pPr>
              <w:pStyle w:val="70"/>
              <w:keepNext w:val="0"/>
              <w:keepLines w:val="0"/>
              <w:pageBreakBefore w:val="0"/>
              <w:widowControl w:val="0"/>
              <w:kinsoku/>
              <w:wordWrap/>
              <w:overflowPunct/>
              <w:topLinePunct w:val="0"/>
              <w:autoSpaceDE/>
              <w:autoSpaceDN/>
              <w:bidi w:val="0"/>
              <w:adjustRightInd/>
              <w:snapToGrid/>
              <w:spacing w:before="112" w:line="4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rPr>
              <w:t>内容不能满足项目要求或未提供，不得分</w:t>
            </w:r>
            <w:r>
              <w:rPr>
                <w:rFonts w:hint="eastAsia" w:ascii="宋体" w:hAnsi="宋体" w:eastAsia="宋体" w:cs="宋体"/>
                <w:color w:val="auto"/>
                <w:spacing w:val="9"/>
                <w:sz w:val="24"/>
                <w:szCs w:val="24"/>
                <w:highlight w:val="none"/>
                <w:lang w:eastAsia="zh-CN"/>
              </w:rPr>
              <w:t>。</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174584B8">
            <w:pPr>
              <w:keepNext w:val="0"/>
              <w:keepLines w:val="0"/>
              <w:pageBreakBefore w:val="0"/>
              <w:widowControl w:val="0"/>
              <w:kinsoku/>
              <w:wordWrap/>
              <w:overflowPunct/>
              <w:topLinePunct w:val="0"/>
              <w:autoSpaceDE/>
              <w:autoSpaceDN/>
              <w:bidi w:val="0"/>
              <w:adjustRightInd/>
              <w:snapToGrid/>
              <w:spacing w:after="50" w:line="400" w:lineRule="exact"/>
              <w:ind w:right="-10" w:right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14:paraId="60C0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 w:type="pct"/>
            <w:vMerge w:val="continue"/>
            <w:tcBorders>
              <w:left w:val="single" w:color="auto" w:sz="4" w:space="0"/>
              <w:right w:val="single" w:color="auto" w:sz="4" w:space="0"/>
            </w:tcBorders>
            <w:vAlign w:val="center"/>
          </w:tcPr>
          <w:p w14:paraId="058F7EC0">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hint="eastAsia" w:ascii="宋体" w:hAnsi="宋体" w:eastAsia="宋体" w:cs="宋体"/>
                <w:b/>
                <w:bCs/>
                <w:color w:val="auto"/>
                <w:sz w:val="24"/>
                <w:szCs w:val="24"/>
                <w:highlight w:val="none"/>
              </w:rPr>
            </w:pPr>
          </w:p>
        </w:tc>
        <w:tc>
          <w:tcPr>
            <w:tcW w:w="873" w:type="pct"/>
            <w:tcBorders>
              <w:top w:val="single" w:color="auto" w:sz="4" w:space="0"/>
              <w:left w:val="single" w:color="auto" w:sz="4" w:space="0"/>
              <w:right w:val="single" w:color="auto" w:sz="4" w:space="0"/>
            </w:tcBorders>
            <w:shd w:val="clear" w:color="auto" w:fill="auto"/>
            <w:vAlign w:val="center"/>
          </w:tcPr>
          <w:p w14:paraId="3020B0F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p>
          <w:p w14:paraId="01029A99">
            <w:pPr>
              <w:pStyle w:val="70"/>
              <w:keepNext w:val="0"/>
              <w:keepLines w:val="0"/>
              <w:pageBreakBefore w:val="0"/>
              <w:widowControl w:val="0"/>
              <w:numPr>
                <w:ilvl w:val="0"/>
                <w:numId w:val="3"/>
              </w:numPr>
              <w:kinsoku/>
              <w:wordWrap/>
              <w:overflowPunct/>
              <w:topLinePunct w:val="0"/>
              <w:autoSpaceDE/>
              <w:autoSpaceDN/>
              <w:bidi w:val="0"/>
              <w:adjustRightInd/>
              <w:snapToGrid/>
              <w:spacing w:before="65" w:line="400" w:lineRule="exact"/>
              <w:ind w:right="116"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40"/>
                <w:sz w:val="24"/>
                <w:szCs w:val="24"/>
                <w:highlight w:val="none"/>
                <w:lang w:val="en-US" w:eastAsia="zh-CN"/>
              </w:rPr>
              <w:t xml:space="preserve">泵  站  </w:t>
            </w:r>
            <w:r>
              <w:rPr>
                <w:rFonts w:hint="eastAsia" w:ascii="宋体" w:hAnsi="宋体" w:eastAsia="宋体" w:cs="宋体"/>
                <w:color w:val="auto"/>
                <w:spacing w:val="4"/>
                <w:sz w:val="24"/>
                <w:szCs w:val="24"/>
                <w:highlight w:val="none"/>
              </w:rPr>
              <w:t>运维</w:t>
            </w:r>
            <w:r>
              <w:rPr>
                <w:rFonts w:hint="eastAsia" w:ascii="宋体" w:hAnsi="宋体" w:eastAsia="宋体" w:cs="宋体"/>
                <w:color w:val="auto"/>
                <w:spacing w:val="4"/>
                <w:sz w:val="24"/>
                <w:szCs w:val="24"/>
                <w:highlight w:val="none"/>
                <w:lang w:val="en-US" w:eastAsia="zh-CN"/>
              </w:rPr>
              <w:t>管理</w:t>
            </w:r>
            <w:r>
              <w:rPr>
                <w:rFonts w:hint="eastAsia" w:ascii="宋体" w:hAnsi="宋体" w:eastAsia="宋体" w:cs="宋体"/>
                <w:color w:val="auto"/>
                <w:spacing w:val="4"/>
                <w:sz w:val="24"/>
                <w:szCs w:val="24"/>
                <w:highlight w:val="none"/>
              </w:rPr>
              <w:t>方案</w:t>
            </w:r>
          </w:p>
        </w:tc>
        <w:tc>
          <w:tcPr>
            <w:tcW w:w="2566" w:type="pct"/>
            <w:tcBorders>
              <w:top w:val="single" w:color="auto" w:sz="4" w:space="0"/>
              <w:left w:val="single" w:color="auto" w:sz="4" w:space="0"/>
              <w:bottom w:val="single" w:color="auto" w:sz="4" w:space="0"/>
              <w:right w:val="single" w:color="auto" w:sz="4" w:space="0"/>
            </w:tcBorders>
            <w:shd w:val="clear" w:color="auto" w:fill="auto"/>
            <w:vAlign w:val="center"/>
          </w:tcPr>
          <w:p w14:paraId="21A5107F">
            <w:pPr>
              <w:pStyle w:val="70"/>
              <w:keepNext w:val="0"/>
              <w:keepLines w:val="0"/>
              <w:pageBreakBefore w:val="0"/>
              <w:widowControl w:val="0"/>
              <w:kinsoku/>
              <w:wordWrap/>
              <w:overflowPunct/>
              <w:topLinePunct w:val="0"/>
              <w:autoSpaceDE/>
              <w:autoSpaceDN/>
              <w:bidi w:val="0"/>
              <w:adjustRightInd/>
              <w:snapToGrid/>
              <w:spacing w:before="115" w:line="400" w:lineRule="exact"/>
              <w:ind w:left="112" w:right="10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根据</w:t>
            </w:r>
            <w:r>
              <w:rPr>
                <w:rFonts w:hint="eastAsia" w:ascii="宋体" w:hAnsi="宋体" w:eastAsia="宋体" w:cs="宋体"/>
                <w:color w:val="auto"/>
                <w:spacing w:val="11"/>
                <w:sz w:val="24"/>
                <w:szCs w:val="24"/>
                <w:highlight w:val="none"/>
                <w:lang w:eastAsia="zh-CN"/>
              </w:rPr>
              <w:t>供应商</w:t>
            </w:r>
            <w:r>
              <w:rPr>
                <w:rFonts w:hint="eastAsia" w:ascii="宋体" w:hAnsi="宋体" w:eastAsia="宋体" w:cs="宋体"/>
                <w:color w:val="auto"/>
                <w:spacing w:val="11"/>
                <w:sz w:val="24"/>
                <w:szCs w:val="24"/>
                <w:highlight w:val="none"/>
              </w:rPr>
              <w:t>针对</w:t>
            </w:r>
            <w:r>
              <w:rPr>
                <w:rFonts w:hint="eastAsia" w:ascii="宋体" w:hAnsi="宋体" w:eastAsia="宋体" w:cs="宋体"/>
                <w:color w:val="auto"/>
                <w:spacing w:val="11"/>
                <w:sz w:val="24"/>
                <w:szCs w:val="24"/>
                <w:highlight w:val="none"/>
                <w:lang w:val="en-US" w:eastAsia="zh-CN"/>
              </w:rPr>
              <w:t>项目泵站</w:t>
            </w:r>
            <w:r>
              <w:rPr>
                <w:rFonts w:hint="eastAsia" w:ascii="宋体" w:hAnsi="宋体" w:eastAsia="宋体" w:cs="宋体"/>
                <w:color w:val="auto"/>
                <w:spacing w:val="11"/>
                <w:sz w:val="24"/>
                <w:szCs w:val="24"/>
                <w:highlight w:val="none"/>
              </w:rPr>
              <w:t>运维</w:t>
            </w:r>
            <w:r>
              <w:rPr>
                <w:rFonts w:hint="eastAsia" w:ascii="宋体" w:hAnsi="宋体" w:eastAsia="宋体" w:cs="宋体"/>
                <w:color w:val="auto"/>
                <w:spacing w:val="11"/>
                <w:sz w:val="24"/>
                <w:szCs w:val="24"/>
                <w:highlight w:val="none"/>
                <w:lang w:val="en-US" w:eastAsia="zh-CN"/>
              </w:rPr>
              <w:t>管理</w:t>
            </w:r>
            <w:r>
              <w:rPr>
                <w:rFonts w:hint="eastAsia" w:ascii="宋体" w:hAnsi="宋体" w:eastAsia="宋体" w:cs="宋体"/>
                <w:color w:val="auto"/>
                <w:spacing w:val="11"/>
                <w:sz w:val="24"/>
                <w:szCs w:val="24"/>
                <w:highlight w:val="none"/>
              </w:rPr>
              <w:t>制订的方案（方案须包含运维管</w:t>
            </w:r>
            <w:r>
              <w:rPr>
                <w:rFonts w:hint="eastAsia" w:ascii="宋体" w:hAnsi="宋体" w:eastAsia="宋体" w:cs="宋体"/>
                <w:color w:val="auto"/>
                <w:spacing w:val="8"/>
                <w:sz w:val="24"/>
                <w:szCs w:val="24"/>
                <w:highlight w:val="none"/>
              </w:rPr>
              <w:t>理机构及人员组成、岗位职责分工，工程检查观测、控制运用、维修养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护，预案方案编制修订、运维管理制度和操作流程制订、运维工作</w:t>
            </w:r>
            <w:r>
              <w:rPr>
                <w:rFonts w:hint="eastAsia" w:ascii="宋体" w:hAnsi="宋体" w:eastAsia="宋体" w:cs="宋体"/>
                <w:color w:val="auto"/>
                <w:spacing w:val="7"/>
                <w:sz w:val="24"/>
                <w:szCs w:val="24"/>
                <w:highlight w:val="none"/>
              </w:rPr>
              <w:t>档案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管理等）进行评分：</w:t>
            </w:r>
          </w:p>
          <w:p w14:paraId="7DA38D6E">
            <w:pPr>
              <w:pStyle w:val="70"/>
              <w:keepNext w:val="0"/>
              <w:keepLines w:val="0"/>
              <w:pageBreakBefore w:val="0"/>
              <w:widowControl w:val="0"/>
              <w:kinsoku/>
              <w:wordWrap/>
              <w:overflowPunct/>
              <w:topLinePunct w:val="0"/>
              <w:autoSpaceDE/>
              <w:autoSpaceDN/>
              <w:bidi w:val="0"/>
              <w:adjustRightInd/>
              <w:snapToGrid/>
              <w:spacing w:before="1" w:line="400" w:lineRule="exact"/>
              <w:ind w:right="49"/>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1、运维管理机构健全</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人员配备齐全，岗位职责明</w:t>
            </w:r>
            <w:r>
              <w:rPr>
                <w:rFonts w:hint="eastAsia" w:ascii="宋体" w:hAnsi="宋体" w:eastAsia="宋体" w:cs="宋体"/>
                <w:color w:val="auto"/>
                <w:spacing w:val="10"/>
                <w:sz w:val="24"/>
                <w:szCs w:val="24"/>
                <w:highlight w:val="none"/>
              </w:rPr>
              <w:t>确；工程检查内容</w:t>
            </w:r>
            <w:r>
              <w:rPr>
                <w:rFonts w:hint="eastAsia" w:ascii="宋体" w:hAnsi="宋体" w:eastAsia="宋体" w:cs="宋体"/>
                <w:color w:val="auto"/>
                <w:spacing w:val="8"/>
                <w:sz w:val="24"/>
                <w:szCs w:val="24"/>
                <w:highlight w:val="none"/>
              </w:rPr>
              <w:t>细致，工程观测项目齐全；工程控制运用合理，措施得力；维修养护范</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围具体，事项周全；方案预案编修及时，切实可行；管理制度全面严谨，</w:t>
            </w:r>
            <w:r>
              <w:rPr>
                <w:rFonts w:hint="eastAsia" w:ascii="宋体" w:hAnsi="宋体" w:eastAsia="宋体" w:cs="宋体"/>
                <w:color w:val="auto"/>
                <w:spacing w:val="9"/>
                <w:sz w:val="24"/>
                <w:szCs w:val="24"/>
                <w:highlight w:val="none"/>
              </w:rPr>
              <w:t>操作流程科学合理；运维资料齐全，档案管理规范。</w:t>
            </w:r>
            <w:r>
              <w:rPr>
                <w:rFonts w:hint="eastAsia" w:ascii="宋体" w:hAnsi="宋体" w:eastAsia="宋体" w:cs="宋体"/>
                <w:color w:val="auto"/>
                <w:spacing w:val="8"/>
                <w:sz w:val="24"/>
                <w:szCs w:val="24"/>
                <w:highlight w:val="none"/>
              </w:rPr>
              <w:t>得</w:t>
            </w:r>
            <w:r>
              <w:rPr>
                <w:rFonts w:hint="eastAsia" w:ascii="宋体" w:hAnsi="宋体" w:eastAsia="宋体" w:cs="宋体"/>
                <w:color w:val="auto"/>
                <w:spacing w:val="8"/>
                <w:sz w:val="24"/>
                <w:szCs w:val="24"/>
                <w:highlight w:val="none"/>
                <w:lang w:val="en-US" w:eastAsia="zh-CN"/>
              </w:rPr>
              <w:t>5</w:t>
            </w:r>
            <w:r>
              <w:rPr>
                <w:rFonts w:hint="eastAsia" w:ascii="宋体" w:hAnsi="宋体" w:eastAsia="宋体" w:cs="宋体"/>
                <w:color w:val="auto"/>
                <w:spacing w:val="8"/>
                <w:sz w:val="24"/>
                <w:szCs w:val="24"/>
                <w:highlight w:val="none"/>
              </w:rPr>
              <w:t>分；</w:t>
            </w:r>
          </w:p>
          <w:p w14:paraId="795116CD">
            <w:pPr>
              <w:pStyle w:val="70"/>
              <w:keepNext w:val="0"/>
              <w:keepLines w:val="0"/>
              <w:pageBreakBefore w:val="0"/>
              <w:widowControl w:val="0"/>
              <w:kinsoku/>
              <w:wordWrap/>
              <w:overflowPunct/>
              <w:topLinePunct w:val="0"/>
              <w:autoSpaceDE/>
              <w:autoSpaceDN/>
              <w:bidi w:val="0"/>
              <w:adjustRightInd/>
              <w:snapToGrid/>
              <w:spacing w:before="1" w:line="400" w:lineRule="exact"/>
              <w:ind w:right="49"/>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方案合理，重点较突出，有一定针对性的，得</w:t>
            </w: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分；</w:t>
            </w:r>
          </w:p>
          <w:p w14:paraId="4E0100C4">
            <w:pPr>
              <w:pStyle w:val="70"/>
              <w:keepNext w:val="0"/>
              <w:keepLines w:val="0"/>
              <w:pageBreakBefore w:val="0"/>
              <w:widowControl w:val="0"/>
              <w:kinsoku/>
              <w:wordWrap/>
              <w:overflowPunct/>
              <w:topLinePunct w:val="0"/>
              <w:autoSpaceDE/>
              <w:autoSpaceDN/>
              <w:bidi w:val="0"/>
              <w:adjustRightInd/>
              <w:snapToGrid/>
              <w:spacing w:before="1" w:line="400" w:lineRule="exact"/>
              <w:ind w:right="49"/>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3、方案部分合理，重点不突出、不全面，缺少针对性的，得</w:t>
            </w:r>
            <w:r>
              <w:rPr>
                <w:rFonts w:hint="eastAsia" w:ascii="宋体" w:hAnsi="宋体" w:eastAsia="宋体" w:cs="宋体"/>
                <w:color w:val="auto"/>
                <w:spacing w:val="8"/>
                <w:sz w:val="24"/>
                <w:szCs w:val="24"/>
                <w:highlight w:val="none"/>
                <w:lang w:val="en-US" w:eastAsia="zh-CN"/>
              </w:rPr>
              <w:t>3</w:t>
            </w:r>
            <w:r>
              <w:rPr>
                <w:rFonts w:hint="eastAsia" w:ascii="宋体" w:hAnsi="宋体" w:eastAsia="宋体" w:cs="宋体"/>
                <w:color w:val="auto"/>
                <w:spacing w:val="8"/>
                <w:sz w:val="24"/>
                <w:szCs w:val="24"/>
                <w:highlight w:val="none"/>
              </w:rPr>
              <w:t>分；</w:t>
            </w:r>
          </w:p>
          <w:p w14:paraId="69CBC257">
            <w:pPr>
              <w:pStyle w:val="70"/>
              <w:keepNext w:val="0"/>
              <w:keepLines w:val="0"/>
              <w:pageBreakBefore w:val="0"/>
              <w:widowControl w:val="0"/>
              <w:kinsoku/>
              <w:wordWrap/>
              <w:overflowPunct/>
              <w:topLinePunct w:val="0"/>
              <w:autoSpaceDE/>
              <w:autoSpaceDN/>
              <w:bidi w:val="0"/>
              <w:adjustRightInd/>
              <w:snapToGrid/>
              <w:spacing w:before="1" w:line="400" w:lineRule="exact"/>
              <w:ind w:right="49"/>
              <w:jc w:val="both"/>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方案不能满足运维需要或未提供的不得分。</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6C11D21B">
            <w:pPr>
              <w:keepNext w:val="0"/>
              <w:keepLines w:val="0"/>
              <w:pageBreakBefore w:val="0"/>
              <w:widowControl w:val="0"/>
              <w:kinsoku/>
              <w:wordWrap/>
              <w:overflowPunct/>
              <w:topLinePunct w:val="0"/>
              <w:autoSpaceDE/>
              <w:autoSpaceDN/>
              <w:bidi w:val="0"/>
              <w:adjustRightInd/>
              <w:snapToGrid/>
              <w:spacing w:after="50" w:line="400" w:lineRule="exact"/>
              <w:ind w:right="-10" w:right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p w14:paraId="2A576E12">
            <w:pPr>
              <w:keepNext w:val="0"/>
              <w:keepLines w:val="0"/>
              <w:pageBreakBefore w:val="0"/>
              <w:widowControl w:val="0"/>
              <w:kinsoku/>
              <w:wordWrap/>
              <w:overflowPunct/>
              <w:topLinePunct w:val="0"/>
              <w:autoSpaceDE/>
              <w:autoSpaceDN/>
              <w:bidi w:val="0"/>
              <w:adjustRightInd/>
              <w:snapToGrid/>
              <w:spacing w:after="50" w:line="400" w:lineRule="exact"/>
              <w:ind w:right="-10" w:rightChars="0"/>
              <w:jc w:val="left"/>
              <w:textAlignment w:val="auto"/>
              <w:rPr>
                <w:rFonts w:hint="eastAsia" w:ascii="宋体" w:hAnsi="宋体" w:eastAsia="宋体" w:cs="宋体"/>
                <w:b w:val="0"/>
                <w:bCs w:val="0"/>
                <w:color w:val="auto"/>
                <w:sz w:val="24"/>
                <w:szCs w:val="24"/>
                <w:highlight w:val="none"/>
              </w:rPr>
            </w:pPr>
          </w:p>
        </w:tc>
      </w:tr>
      <w:tr w14:paraId="0F83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auto" w:sz="4" w:space="0"/>
              <w:right w:val="single" w:color="auto" w:sz="4" w:space="0"/>
            </w:tcBorders>
            <w:vAlign w:val="center"/>
          </w:tcPr>
          <w:p w14:paraId="26B8D054">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hint="eastAsia" w:ascii="宋体" w:hAnsi="宋体" w:eastAsia="宋体" w:cs="宋体"/>
                <w:b/>
                <w:bCs/>
                <w:color w:val="auto"/>
                <w:sz w:val="24"/>
                <w:szCs w:val="24"/>
                <w:highlight w:val="none"/>
              </w:rPr>
            </w:pPr>
          </w:p>
        </w:tc>
        <w:tc>
          <w:tcPr>
            <w:tcW w:w="873" w:type="pct"/>
            <w:tcBorders>
              <w:top w:val="single" w:color="auto" w:sz="4" w:space="0"/>
              <w:left w:val="single" w:color="auto" w:sz="4" w:space="0"/>
              <w:right w:val="single" w:color="auto" w:sz="4" w:space="0"/>
            </w:tcBorders>
            <w:shd w:val="clear" w:color="auto" w:fill="auto"/>
            <w:vAlign w:val="center"/>
          </w:tcPr>
          <w:p w14:paraId="2C0EA3C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p>
          <w:p w14:paraId="329F16D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p>
          <w:p w14:paraId="4B69605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p>
          <w:p w14:paraId="555B25B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p>
          <w:p w14:paraId="09008CB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p>
          <w:p w14:paraId="0B2402E5">
            <w:pPr>
              <w:pStyle w:val="70"/>
              <w:keepNext w:val="0"/>
              <w:keepLines w:val="0"/>
              <w:pageBreakBefore w:val="0"/>
              <w:widowControl w:val="0"/>
              <w:numPr>
                <w:ilvl w:val="0"/>
                <w:numId w:val="4"/>
              </w:numPr>
              <w:kinsoku/>
              <w:wordWrap/>
              <w:overflowPunct/>
              <w:topLinePunct w:val="0"/>
              <w:autoSpaceDE/>
              <w:autoSpaceDN/>
              <w:bidi w:val="0"/>
              <w:adjustRightInd/>
              <w:snapToGrid/>
              <w:spacing w:before="65" w:line="400" w:lineRule="exact"/>
              <w:ind w:left="333" w:leftChars="0" w:right="145" w:rightChars="0" w:hanging="183"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40"/>
                <w:sz w:val="24"/>
                <w:szCs w:val="24"/>
                <w:highlight w:val="none"/>
                <w:lang w:val="en-US" w:eastAsia="zh-CN"/>
              </w:rPr>
              <w:t>渠    道 、管   道    、拦 水 坝  水闸</w:t>
            </w:r>
            <w:r>
              <w:rPr>
                <w:rFonts w:hint="eastAsia" w:ascii="宋体" w:hAnsi="宋体" w:eastAsia="宋体" w:cs="宋体"/>
                <w:color w:val="auto"/>
                <w:spacing w:val="4"/>
                <w:sz w:val="24"/>
                <w:szCs w:val="24"/>
                <w:highlight w:val="none"/>
              </w:rPr>
              <w:t>运维</w:t>
            </w:r>
            <w:r>
              <w:rPr>
                <w:rFonts w:hint="eastAsia" w:ascii="宋体" w:hAnsi="宋体" w:eastAsia="宋体" w:cs="宋体"/>
                <w:color w:val="auto"/>
                <w:spacing w:val="5"/>
                <w:sz w:val="24"/>
                <w:szCs w:val="24"/>
                <w:highlight w:val="none"/>
              </w:rPr>
              <w:t>管</w:t>
            </w:r>
            <w:r>
              <w:rPr>
                <w:rFonts w:hint="eastAsia" w:ascii="宋体" w:hAnsi="宋体" w:eastAsia="宋体" w:cs="宋体"/>
                <w:color w:val="auto"/>
                <w:spacing w:val="5"/>
                <w:sz w:val="24"/>
                <w:szCs w:val="24"/>
                <w:highlight w:val="none"/>
                <w:lang w:val="en-US" w:eastAsia="zh-CN"/>
              </w:rPr>
              <w:t>理</w:t>
            </w:r>
            <w:r>
              <w:rPr>
                <w:rFonts w:hint="eastAsia" w:ascii="宋体" w:hAnsi="宋体" w:eastAsia="宋体" w:cs="宋体"/>
                <w:color w:val="auto"/>
                <w:spacing w:val="5"/>
                <w:sz w:val="24"/>
                <w:szCs w:val="24"/>
                <w:highlight w:val="none"/>
              </w:rPr>
              <w:t>方案</w:t>
            </w:r>
          </w:p>
        </w:tc>
        <w:tc>
          <w:tcPr>
            <w:tcW w:w="2566" w:type="pct"/>
            <w:tcBorders>
              <w:top w:val="single" w:color="auto" w:sz="4" w:space="0"/>
              <w:left w:val="single" w:color="auto" w:sz="4" w:space="0"/>
              <w:bottom w:val="single" w:color="auto" w:sz="4" w:space="0"/>
              <w:right w:val="single" w:color="auto" w:sz="4" w:space="0"/>
            </w:tcBorders>
            <w:shd w:val="clear" w:color="auto" w:fill="auto"/>
            <w:vAlign w:val="center"/>
          </w:tcPr>
          <w:p w14:paraId="11002740">
            <w:pPr>
              <w:pStyle w:val="70"/>
              <w:keepNext w:val="0"/>
              <w:keepLines w:val="0"/>
              <w:pageBreakBefore w:val="0"/>
              <w:widowControl w:val="0"/>
              <w:kinsoku/>
              <w:wordWrap/>
              <w:overflowPunct/>
              <w:topLinePunct w:val="0"/>
              <w:autoSpaceDE/>
              <w:autoSpaceDN/>
              <w:bidi w:val="0"/>
              <w:adjustRightInd/>
              <w:snapToGrid/>
              <w:spacing w:before="109" w:line="400" w:lineRule="exact"/>
              <w:ind w:left="114" w:right="104" w:hanging="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根据</w:t>
            </w:r>
            <w:r>
              <w:rPr>
                <w:rFonts w:hint="eastAsia" w:ascii="宋体" w:hAnsi="宋体" w:eastAsia="宋体" w:cs="宋体"/>
                <w:color w:val="auto"/>
                <w:spacing w:val="11"/>
                <w:sz w:val="24"/>
                <w:szCs w:val="24"/>
                <w:highlight w:val="none"/>
                <w:lang w:eastAsia="zh-CN"/>
              </w:rPr>
              <w:t>供应商</w:t>
            </w:r>
            <w:r>
              <w:rPr>
                <w:rFonts w:hint="eastAsia" w:ascii="宋体" w:hAnsi="宋体" w:eastAsia="宋体" w:cs="宋体"/>
                <w:color w:val="auto"/>
                <w:spacing w:val="11"/>
                <w:sz w:val="24"/>
                <w:szCs w:val="24"/>
                <w:highlight w:val="none"/>
              </w:rPr>
              <w:t>针对</w:t>
            </w:r>
            <w:r>
              <w:rPr>
                <w:rFonts w:hint="eastAsia" w:ascii="宋体" w:hAnsi="宋体" w:eastAsia="宋体" w:cs="宋体"/>
                <w:color w:val="auto"/>
                <w:spacing w:val="11"/>
                <w:sz w:val="24"/>
                <w:szCs w:val="24"/>
                <w:highlight w:val="none"/>
                <w:lang w:val="en-US" w:eastAsia="zh-CN"/>
              </w:rPr>
              <w:t>项目渠道、管道、拦水坝、水闸</w:t>
            </w:r>
            <w:r>
              <w:rPr>
                <w:rFonts w:hint="eastAsia" w:ascii="宋体" w:hAnsi="宋体" w:eastAsia="宋体" w:cs="宋体"/>
                <w:color w:val="auto"/>
                <w:spacing w:val="11"/>
                <w:sz w:val="24"/>
                <w:szCs w:val="24"/>
                <w:highlight w:val="none"/>
              </w:rPr>
              <w:t>运维管理制订的方案（方案须包含检</w:t>
            </w:r>
            <w:r>
              <w:rPr>
                <w:rFonts w:hint="eastAsia" w:ascii="宋体" w:hAnsi="宋体" w:eastAsia="宋体" w:cs="宋体"/>
                <w:color w:val="auto"/>
                <w:spacing w:val="10"/>
                <w:sz w:val="24"/>
                <w:szCs w:val="24"/>
                <w:highlight w:val="none"/>
              </w:rPr>
              <w:t>查内容、频次及线路，维养管理范围、内容及要求、操作方法</w:t>
            </w:r>
            <w:r>
              <w:rPr>
                <w:rFonts w:hint="eastAsia" w:ascii="宋体" w:hAnsi="宋体" w:eastAsia="宋体" w:cs="宋体"/>
                <w:color w:val="auto"/>
                <w:spacing w:val="9"/>
                <w:sz w:val="24"/>
                <w:szCs w:val="24"/>
                <w:highlight w:val="none"/>
              </w:rPr>
              <w:t>，运维</w:t>
            </w:r>
            <w:r>
              <w:rPr>
                <w:rFonts w:hint="eastAsia" w:ascii="宋体" w:hAnsi="宋体" w:eastAsia="宋体" w:cs="宋体"/>
                <w:color w:val="auto"/>
                <w:spacing w:val="8"/>
                <w:sz w:val="24"/>
                <w:szCs w:val="24"/>
                <w:highlight w:val="none"/>
              </w:rPr>
              <w:t>管理资料收集、整理及归档等）进行评分：</w:t>
            </w:r>
          </w:p>
          <w:p w14:paraId="17F9AB5D">
            <w:pPr>
              <w:pStyle w:val="70"/>
              <w:keepNext w:val="0"/>
              <w:keepLines w:val="0"/>
              <w:pageBreakBefore w:val="0"/>
              <w:widowControl w:val="0"/>
              <w:kinsoku/>
              <w:wordWrap/>
              <w:overflowPunct/>
              <w:topLinePunct w:val="0"/>
              <w:autoSpaceDE/>
              <w:autoSpaceDN/>
              <w:bidi w:val="0"/>
              <w:adjustRightInd/>
              <w:snapToGrid/>
              <w:spacing w:before="1" w:line="400" w:lineRule="exact"/>
              <w:ind w:right="10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1、检查</w:t>
            </w:r>
            <w:r>
              <w:rPr>
                <w:rFonts w:hint="eastAsia" w:ascii="宋体" w:hAnsi="宋体" w:eastAsia="宋体" w:cs="宋体"/>
                <w:color w:val="auto"/>
                <w:spacing w:val="11"/>
                <w:sz w:val="24"/>
                <w:szCs w:val="24"/>
                <w:highlight w:val="none"/>
                <w:lang w:val="en-US" w:eastAsia="zh-CN"/>
              </w:rPr>
              <w:t>维护</w:t>
            </w:r>
            <w:r>
              <w:rPr>
                <w:rFonts w:hint="eastAsia" w:ascii="宋体" w:hAnsi="宋体" w:eastAsia="宋体" w:cs="宋体"/>
                <w:color w:val="auto"/>
                <w:spacing w:val="11"/>
                <w:sz w:val="24"/>
                <w:szCs w:val="24"/>
                <w:highlight w:val="none"/>
              </w:rPr>
              <w:t>内容具体全面，频次满足要求，线路安</w:t>
            </w:r>
            <w:r>
              <w:rPr>
                <w:rFonts w:hint="eastAsia" w:ascii="宋体" w:hAnsi="宋体" w:eastAsia="宋体" w:cs="宋体"/>
                <w:color w:val="auto"/>
                <w:spacing w:val="10"/>
                <w:sz w:val="24"/>
                <w:szCs w:val="24"/>
                <w:highlight w:val="none"/>
              </w:rPr>
              <w:t>排合理，能真正发</w:t>
            </w:r>
            <w:r>
              <w:rPr>
                <w:rFonts w:hint="eastAsia" w:ascii="宋体" w:hAnsi="宋体" w:eastAsia="宋体" w:cs="宋体"/>
                <w:color w:val="auto"/>
                <w:spacing w:val="11"/>
                <w:sz w:val="24"/>
                <w:szCs w:val="24"/>
                <w:highlight w:val="none"/>
              </w:rPr>
              <w:t>挥</w:t>
            </w:r>
            <w:r>
              <w:rPr>
                <w:rFonts w:hint="eastAsia" w:ascii="宋体" w:hAnsi="宋体" w:eastAsia="宋体" w:cs="宋体"/>
                <w:color w:val="auto"/>
                <w:spacing w:val="11"/>
                <w:sz w:val="24"/>
                <w:szCs w:val="24"/>
                <w:highlight w:val="none"/>
                <w:lang w:val="en-US" w:eastAsia="zh-CN"/>
              </w:rPr>
              <w:t>项目运维</w:t>
            </w:r>
            <w:r>
              <w:rPr>
                <w:rFonts w:hint="eastAsia" w:ascii="宋体" w:hAnsi="宋体" w:eastAsia="宋体" w:cs="宋体"/>
                <w:color w:val="auto"/>
                <w:spacing w:val="11"/>
                <w:sz w:val="24"/>
                <w:szCs w:val="24"/>
                <w:highlight w:val="none"/>
              </w:rPr>
              <w:t>检查</w:t>
            </w:r>
            <w:r>
              <w:rPr>
                <w:rFonts w:hint="eastAsia" w:ascii="宋体" w:hAnsi="宋体" w:eastAsia="宋体" w:cs="宋体"/>
                <w:color w:val="auto"/>
                <w:spacing w:val="11"/>
                <w:sz w:val="24"/>
                <w:szCs w:val="24"/>
                <w:highlight w:val="none"/>
                <w:lang w:val="en-US" w:eastAsia="zh-CN"/>
              </w:rPr>
              <w:t>维护</w:t>
            </w:r>
            <w:r>
              <w:rPr>
                <w:rFonts w:hint="eastAsia" w:ascii="宋体" w:hAnsi="宋体" w:eastAsia="宋体" w:cs="宋体"/>
                <w:color w:val="auto"/>
                <w:spacing w:val="11"/>
                <w:sz w:val="24"/>
                <w:szCs w:val="24"/>
                <w:highlight w:val="none"/>
              </w:rPr>
              <w:t>的作用；维养管理工作范围明确，严格按照运维管理要求</w:t>
            </w:r>
            <w:r>
              <w:rPr>
                <w:rFonts w:hint="eastAsia" w:ascii="宋体" w:hAnsi="宋体" w:eastAsia="宋体" w:cs="宋体"/>
                <w:color w:val="auto"/>
                <w:spacing w:val="8"/>
                <w:sz w:val="24"/>
                <w:szCs w:val="24"/>
                <w:highlight w:val="none"/>
              </w:rPr>
              <w:t>履职尽责，不打折扣地完成运维管理任务</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得</w:t>
            </w:r>
            <w:r>
              <w:rPr>
                <w:rFonts w:hint="eastAsia" w:ascii="宋体" w:hAnsi="宋体" w:eastAsia="宋体" w:cs="宋体"/>
                <w:color w:val="auto"/>
                <w:spacing w:val="8"/>
                <w:sz w:val="24"/>
                <w:szCs w:val="24"/>
                <w:highlight w:val="none"/>
                <w:lang w:val="en-US" w:eastAsia="zh-CN"/>
              </w:rPr>
              <w:t>5</w:t>
            </w:r>
            <w:r>
              <w:rPr>
                <w:rFonts w:hint="eastAsia" w:ascii="宋体" w:hAnsi="宋体" w:eastAsia="宋体" w:cs="宋体"/>
                <w:color w:val="auto"/>
                <w:spacing w:val="8"/>
                <w:sz w:val="24"/>
                <w:szCs w:val="24"/>
                <w:highlight w:val="none"/>
              </w:rPr>
              <w:t>分；</w:t>
            </w:r>
          </w:p>
          <w:p w14:paraId="6C630A60">
            <w:pPr>
              <w:pStyle w:val="70"/>
              <w:keepNext w:val="0"/>
              <w:keepLines w:val="0"/>
              <w:pageBreakBefore w:val="0"/>
              <w:widowControl w:val="0"/>
              <w:kinsoku/>
              <w:wordWrap/>
              <w:overflowPunct/>
              <w:topLinePunct w:val="0"/>
              <w:autoSpaceDE/>
              <w:autoSpaceDN/>
              <w:bidi w:val="0"/>
              <w:adjustRightInd/>
              <w:snapToGrid/>
              <w:spacing w:before="82" w:line="400" w:lineRule="exact"/>
              <w:ind w:right="9"/>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方案</w:t>
            </w:r>
            <w:r>
              <w:rPr>
                <w:rFonts w:hint="eastAsia" w:asciiTheme="minorEastAsia" w:hAnsiTheme="minorEastAsia" w:eastAsiaTheme="minorEastAsia"/>
                <w:color w:val="auto"/>
                <w:sz w:val="24"/>
                <w:szCs w:val="28"/>
                <w:highlight w:val="none"/>
                <w:lang w:val="en-US" w:eastAsia="zh-CN"/>
              </w:rPr>
              <w:t>完整，内容满足项目需求的得</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3"/>
                <w:sz w:val="24"/>
                <w:szCs w:val="24"/>
                <w:highlight w:val="none"/>
              </w:rPr>
              <w:t>分；</w:t>
            </w:r>
          </w:p>
          <w:p w14:paraId="0D207DD8">
            <w:pPr>
              <w:pStyle w:val="70"/>
              <w:keepNext w:val="0"/>
              <w:keepLines w:val="0"/>
              <w:pageBreakBefore w:val="0"/>
              <w:widowControl w:val="0"/>
              <w:kinsoku/>
              <w:wordWrap/>
              <w:overflowPunct/>
              <w:topLinePunct w:val="0"/>
              <w:autoSpaceDE/>
              <w:autoSpaceDN/>
              <w:bidi w:val="0"/>
              <w:adjustRightInd/>
              <w:snapToGrid/>
              <w:spacing w:before="113"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方案合理，重点不突、不全面，缺少针对性的，得 3 分；</w:t>
            </w:r>
          </w:p>
          <w:p w14:paraId="7999AB06">
            <w:pPr>
              <w:pStyle w:val="70"/>
              <w:keepNext w:val="0"/>
              <w:keepLines w:val="0"/>
              <w:pageBreakBefore w:val="0"/>
              <w:widowControl w:val="0"/>
              <w:kinsoku/>
              <w:wordWrap/>
              <w:overflowPunct/>
              <w:topLinePunct w:val="0"/>
              <w:autoSpaceDE/>
              <w:autoSpaceDN/>
              <w:bidi w:val="0"/>
              <w:adjustRightInd/>
              <w:snapToGrid/>
              <w:spacing w:before="113" w:line="400" w:lineRule="exact"/>
              <w:jc w:val="both"/>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方案不能满足运维需求或未提供的不得分。</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62D9EB7A">
            <w:pPr>
              <w:keepNext w:val="0"/>
              <w:keepLines w:val="0"/>
              <w:pageBreakBefore w:val="0"/>
              <w:widowControl w:val="0"/>
              <w:kinsoku/>
              <w:wordWrap/>
              <w:overflowPunct/>
              <w:topLinePunct w:val="0"/>
              <w:autoSpaceDE/>
              <w:autoSpaceDN/>
              <w:bidi w:val="0"/>
              <w:adjustRightInd/>
              <w:snapToGrid/>
              <w:spacing w:after="50" w:line="400" w:lineRule="exact"/>
              <w:ind w:right="-10" w:right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14:paraId="411C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863" w:type="pct"/>
            <w:vMerge w:val="continue"/>
            <w:tcBorders>
              <w:left w:val="single" w:color="auto" w:sz="4" w:space="0"/>
              <w:right w:val="single" w:color="auto" w:sz="4" w:space="0"/>
            </w:tcBorders>
            <w:vAlign w:val="center"/>
          </w:tcPr>
          <w:p w14:paraId="7B7CD028">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hint="eastAsia" w:ascii="宋体" w:hAnsi="宋体" w:eastAsia="宋体" w:cs="宋体"/>
                <w:b/>
                <w:bCs/>
                <w:color w:val="auto"/>
                <w:sz w:val="24"/>
                <w:szCs w:val="24"/>
                <w:highlight w:val="none"/>
              </w:rPr>
            </w:pPr>
          </w:p>
        </w:tc>
        <w:tc>
          <w:tcPr>
            <w:tcW w:w="873" w:type="pct"/>
            <w:tcBorders>
              <w:top w:val="single" w:color="auto" w:sz="4" w:space="0"/>
              <w:left w:val="single" w:color="auto" w:sz="4" w:space="0"/>
              <w:right w:val="single" w:color="auto" w:sz="4" w:space="0"/>
            </w:tcBorders>
            <w:shd w:val="clear" w:color="auto" w:fill="auto"/>
            <w:vAlign w:val="center"/>
          </w:tcPr>
          <w:p w14:paraId="0C5E9AB8">
            <w:pPr>
              <w:pStyle w:val="70"/>
              <w:keepNext w:val="0"/>
              <w:keepLines w:val="0"/>
              <w:pageBreakBefore w:val="0"/>
              <w:widowControl w:val="0"/>
              <w:kinsoku/>
              <w:wordWrap/>
              <w:overflowPunct/>
              <w:topLinePunct w:val="0"/>
              <w:autoSpaceDE/>
              <w:autoSpaceDN/>
              <w:bidi w:val="0"/>
              <w:adjustRightInd/>
              <w:snapToGrid/>
              <w:spacing w:before="65" w:line="400" w:lineRule="exact"/>
              <w:ind w:left="145"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rPr>
              <w:t>4.</w:t>
            </w:r>
            <w:r>
              <w:rPr>
                <w:rFonts w:hint="eastAsia" w:ascii="宋体" w:hAnsi="宋体" w:eastAsia="宋体" w:cs="宋体"/>
                <w:color w:val="auto"/>
                <w:spacing w:val="7"/>
                <w:sz w:val="24"/>
                <w:szCs w:val="24"/>
                <w:highlight w:val="none"/>
              </w:rPr>
              <w:t>常态化巡查</w:t>
            </w:r>
            <w:r>
              <w:rPr>
                <w:rFonts w:hint="eastAsia" w:ascii="宋体" w:hAnsi="宋体" w:eastAsia="宋体" w:cs="宋体"/>
                <w:color w:val="auto"/>
                <w:spacing w:val="8"/>
                <w:sz w:val="24"/>
                <w:szCs w:val="24"/>
                <w:highlight w:val="none"/>
              </w:rPr>
              <w:t>及问题处理</w:t>
            </w:r>
            <w:r>
              <w:rPr>
                <w:rFonts w:hint="eastAsia" w:ascii="宋体" w:hAnsi="宋体" w:eastAsia="宋体" w:cs="宋体"/>
                <w:color w:val="auto"/>
                <w:spacing w:val="4"/>
                <w:sz w:val="24"/>
                <w:szCs w:val="24"/>
                <w:highlight w:val="none"/>
              </w:rPr>
              <w:t>方案</w:t>
            </w:r>
          </w:p>
        </w:tc>
        <w:tc>
          <w:tcPr>
            <w:tcW w:w="2566" w:type="pct"/>
            <w:tcBorders>
              <w:top w:val="single" w:color="auto" w:sz="4" w:space="0"/>
              <w:left w:val="single" w:color="auto" w:sz="4" w:space="0"/>
              <w:bottom w:val="single" w:color="auto" w:sz="4" w:space="0"/>
              <w:right w:val="single" w:color="auto" w:sz="4" w:space="0"/>
            </w:tcBorders>
            <w:shd w:val="clear" w:color="auto" w:fill="auto"/>
            <w:vAlign w:val="center"/>
          </w:tcPr>
          <w:p w14:paraId="08BBD523">
            <w:pPr>
              <w:pStyle w:val="70"/>
              <w:keepNext w:val="0"/>
              <w:keepLines w:val="0"/>
              <w:pageBreakBefore w:val="0"/>
              <w:widowControl w:val="0"/>
              <w:kinsoku/>
              <w:wordWrap/>
              <w:overflowPunct/>
              <w:topLinePunct w:val="0"/>
              <w:autoSpaceDE/>
              <w:autoSpaceDN/>
              <w:bidi w:val="0"/>
              <w:adjustRightInd/>
              <w:snapToGrid/>
              <w:spacing w:before="112" w:line="400" w:lineRule="exact"/>
              <w:ind w:left="112" w:right="10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根据</w:t>
            </w:r>
            <w:r>
              <w:rPr>
                <w:rFonts w:hint="eastAsia" w:ascii="宋体" w:hAnsi="宋体" w:eastAsia="宋体" w:cs="宋体"/>
                <w:color w:val="auto"/>
                <w:spacing w:val="8"/>
                <w:sz w:val="24"/>
                <w:szCs w:val="24"/>
                <w:highlight w:val="none"/>
                <w:lang w:val="en-US" w:eastAsia="zh-CN"/>
              </w:rPr>
              <w:t>供应商</w:t>
            </w:r>
            <w:r>
              <w:rPr>
                <w:rFonts w:hint="eastAsia" w:ascii="宋体" w:hAnsi="宋体" w:eastAsia="宋体" w:cs="宋体"/>
                <w:color w:val="auto"/>
                <w:spacing w:val="8"/>
                <w:sz w:val="24"/>
                <w:szCs w:val="24"/>
                <w:highlight w:val="none"/>
              </w:rPr>
              <w:t>针对本项目的实施方案（包括但不限于统计数据采集、企业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培训与调研等）进行评分：</w:t>
            </w:r>
          </w:p>
          <w:p w14:paraId="352AC4D8">
            <w:pPr>
              <w:pStyle w:val="70"/>
              <w:keepNext w:val="0"/>
              <w:keepLines w:val="0"/>
              <w:pageBreakBefore w:val="0"/>
              <w:widowControl w:val="0"/>
              <w:kinsoku/>
              <w:wordWrap/>
              <w:overflowPunct/>
              <w:topLinePunct w:val="0"/>
              <w:autoSpaceDE/>
              <w:autoSpaceDN/>
              <w:bidi w:val="0"/>
              <w:adjustRightInd/>
              <w:snapToGrid/>
              <w:spacing w:before="2" w:line="400" w:lineRule="exact"/>
              <w:ind w:left="110" w:right="104" w:firstLine="1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lang w:val="en-US" w:eastAsia="zh-CN"/>
              </w:rPr>
              <w:t>1、</w:t>
            </w:r>
            <w:r>
              <w:rPr>
                <w:rFonts w:hint="eastAsia" w:ascii="宋体" w:hAnsi="宋体" w:eastAsia="宋体" w:cs="宋体"/>
                <w:color w:val="auto"/>
                <w:spacing w:val="11"/>
                <w:sz w:val="24"/>
                <w:szCs w:val="24"/>
                <w:highlight w:val="none"/>
              </w:rPr>
              <w:t>实施方案各项内容完整详细，完全切合项目实际，满足或优</w:t>
            </w:r>
            <w:r>
              <w:rPr>
                <w:rFonts w:hint="eastAsia" w:ascii="宋体" w:hAnsi="宋体" w:eastAsia="宋体" w:cs="宋体"/>
                <w:color w:val="auto"/>
                <w:spacing w:val="10"/>
                <w:sz w:val="24"/>
                <w:szCs w:val="24"/>
                <w:highlight w:val="none"/>
              </w:rPr>
              <w:t>于采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购需求的得</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4"/>
                <w:sz w:val="24"/>
                <w:szCs w:val="24"/>
                <w:highlight w:val="none"/>
              </w:rPr>
              <w:t>分；</w:t>
            </w:r>
          </w:p>
          <w:p w14:paraId="28EA2259">
            <w:pPr>
              <w:pStyle w:val="70"/>
              <w:keepNext w:val="0"/>
              <w:keepLines w:val="0"/>
              <w:pageBreakBefore w:val="0"/>
              <w:widowControl w:val="0"/>
              <w:kinsoku/>
              <w:wordWrap/>
              <w:overflowPunct/>
              <w:topLinePunct w:val="0"/>
              <w:autoSpaceDE/>
              <w:autoSpaceDN/>
              <w:bidi w:val="0"/>
              <w:adjustRightInd/>
              <w:snapToGrid/>
              <w:spacing w:before="112" w:line="400" w:lineRule="exact"/>
              <w:ind w:left="115" w:right="104" w:firstLine="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lang w:val="en-US" w:eastAsia="zh-CN"/>
              </w:rPr>
              <w:t>2、</w:t>
            </w:r>
            <w:r>
              <w:rPr>
                <w:rFonts w:hint="eastAsia" w:ascii="宋体" w:hAnsi="宋体" w:eastAsia="宋体" w:cs="宋体"/>
                <w:color w:val="auto"/>
                <w:spacing w:val="11"/>
                <w:sz w:val="24"/>
                <w:szCs w:val="24"/>
                <w:highlight w:val="none"/>
              </w:rPr>
              <w:t>实施方案各项内容完整不缺失，未出现逻辑或常识性错误，</w:t>
            </w:r>
            <w:r>
              <w:rPr>
                <w:rFonts w:hint="eastAsia" w:ascii="宋体" w:hAnsi="宋体" w:eastAsia="宋体" w:cs="宋体"/>
                <w:color w:val="auto"/>
                <w:spacing w:val="10"/>
                <w:sz w:val="24"/>
                <w:szCs w:val="24"/>
                <w:highlight w:val="none"/>
              </w:rPr>
              <w:t>未偏</w:t>
            </w:r>
            <w:r>
              <w:rPr>
                <w:rFonts w:hint="eastAsia" w:ascii="宋体" w:hAnsi="宋体" w:eastAsia="宋体" w:cs="宋体"/>
                <w:color w:val="auto"/>
                <w:spacing w:val="11"/>
                <w:sz w:val="24"/>
                <w:szCs w:val="24"/>
                <w:highlight w:val="none"/>
              </w:rPr>
              <w:t>离采购需求的4</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1"/>
                <w:sz w:val="24"/>
                <w:szCs w:val="24"/>
                <w:highlight w:val="none"/>
              </w:rPr>
              <w:t>分；</w:t>
            </w:r>
          </w:p>
          <w:p w14:paraId="6491197B">
            <w:pPr>
              <w:pStyle w:val="70"/>
              <w:keepNext w:val="0"/>
              <w:keepLines w:val="0"/>
              <w:pageBreakBefore w:val="0"/>
              <w:widowControl w:val="0"/>
              <w:kinsoku/>
              <w:wordWrap/>
              <w:overflowPunct/>
              <w:topLinePunct w:val="0"/>
              <w:autoSpaceDE/>
              <w:autoSpaceDN/>
              <w:bidi w:val="0"/>
              <w:adjustRightInd/>
              <w:snapToGrid/>
              <w:spacing w:before="114" w:line="400" w:lineRule="exact"/>
              <w:ind w:left="12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rPr>
              <w:t>实施方案内容简单有待完善的得</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6"/>
                <w:sz w:val="24"/>
                <w:szCs w:val="24"/>
                <w:highlight w:val="none"/>
              </w:rPr>
              <w:t>3</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6"/>
                <w:sz w:val="24"/>
                <w:szCs w:val="24"/>
                <w:highlight w:val="none"/>
              </w:rPr>
              <w:t>分；</w:t>
            </w:r>
          </w:p>
          <w:p w14:paraId="6EAB7823">
            <w:pPr>
              <w:pStyle w:val="70"/>
              <w:keepNext w:val="0"/>
              <w:keepLines w:val="0"/>
              <w:pageBreakBefore w:val="0"/>
              <w:widowControl w:val="0"/>
              <w:kinsoku/>
              <w:wordWrap/>
              <w:overflowPunct/>
              <w:topLinePunct w:val="0"/>
              <w:autoSpaceDE/>
              <w:autoSpaceDN/>
              <w:bidi w:val="0"/>
              <w:adjustRightInd/>
              <w:snapToGrid/>
              <w:spacing w:before="114" w:line="400" w:lineRule="exact"/>
              <w:ind w:left="122" w:leftChars="0"/>
              <w:jc w:val="both"/>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方案与项目无关或未提供的不得分。</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610DC947">
            <w:pPr>
              <w:keepNext w:val="0"/>
              <w:keepLines w:val="0"/>
              <w:pageBreakBefore w:val="0"/>
              <w:widowControl w:val="0"/>
              <w:kinsoku/>
              <w:wordWrap/>
              <w:overflowPunct/>
              <w:topLinePunct w:val="0"/>
              <w:autoSpaceDE/>
              <w:autoSpaceDN/>
              <w:bidi w:val="0"/>
              <w:adjustRightInd/>
              <w:snapToGrid/>
              <w:spacing w:after="50" w:line="400" w:lineRule="exact"/>
              <w:ind w:right="-10" w:right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14:paraId="6D91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auto" w:sz="4" w:space="0"/>
              <w:right w:val="single" w:color="auto" w:sz="4" w:space="0"/>
            </w:tcBorders>
            <w:vAlign w:val="center"/>
          </w:tcPr>
          <w:p w14:paraId="631426D1">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hint="eastAsia" w:ascii="宋体" w:hAnsi="宋体" w:eastAsia="宋体" w:cs="宋体"/>
                <w:b/>
                <w:bCs/>
                <w:color w:val="auto"/>
                <w:sz w:val="24"/>
                <w:szCs w:val="24"/>
                <w:highlight w:val="none"/>
              </w:rPr>
            </w:pPr>
          </w:p>
        </w:tc>
        <w:tc>
          <w:tcPr>
            <w:tcW w:w="873" w:type="pct"/>
            <w:tcBorders>
              <w:top w:val="single" w:color="auto" w:sz="4" w:space="0"/>
              <w:left w:val="single" w:color="auto" w:sz="4" w:space="0"/>
              <w:right w:val="single" w:color="auto" w:sz="4" w:space="0"/>
            </w:tcBorders>
            <w:shd w:val="clear" w:color="auto" w:fill="auto"/>
            <w:vAlign w:val="center"/>
          </w:tcPr>
          <w:p w14:paraId="4666A32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p>
          <w:p w14:paraId="28CB45C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p>
          <w:p w14:paraId="7AD6185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p>
          <w:p w14:paraId="3794601A">
            <w:pPr>
              <w:pStyle w:val="70"/>
              <w:keepNext w:val="0"/>
              <w:keepLines w:val="0"/>
              <w:pageBreakBefore w:val="0"/>
              <w:widowControl w:val="0"/>
              <w:kinsoku/>
              <w:wordWrap/>
              <w:overflowPunct/>
              <w:topLinePunct w:val="0"/>
              <w:autoSpaceDE/>
              <w:autoSpaceDN/>
              <w:bidi w:val="0"/>
              <w:adjustRightInd/>
              <w:snapToGrid/>
              <w:spacing w:before="65" w:line="400" w:lineRule="exact"/>
              <w:ind w:left="145"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rPr>
              <w:t>5.科学合理有效的调度方案</w:t>
            </w:r>
          </w:p>
        </w:tc>
        <w:tc>
          <w:tcPr>
            <w:tcW w:w="2566" w:type="pct"/>
            <w:tcBorders>
              <w:top w:val="single" w:color="auto" w:sz="4" w:space="0"/>
              <w:left w:val="single" w:color="auto" w:sz="4" w:space="0"/>
              <w:bottom w:val="single" w:color="auto" w:sz="4" w:space="0"/>
              <w:right w:val="single" w:color="auto" w:sz="4" w:space="0"/>
            </w:tcBorders>
            <w:shd w:val="clear" w:color="auto" w:fill="auto"/>
            <w:vAlign w:val="center"/>
          </w:tcPr>
          <w:p w14:paraId="29271418">
            <w:pPr>
              <w:pStyle w:val="70"/>
              <w:keepNext w:val="0"/>
              <w:keepLines w:val="0"/>
              <w:pageBreakBefore w:val="0"/>
              <w:widowControl w:val="0"/>
              <w:kinsoku/>
              <w:wordWrap/>
              <w:overflowPunct/>
              <w:topLinePunct w:val="0"/>
              <w:autoSpaceDE/>
              <w:autoSpaceDN/>
              <w:bidi w:val="0"/>
              <w:adjustRightInd/>
              <w:snapToGrid/>
              <w:spacing w:before="112" w:line="400" w:lineRule="exact"/>
              <w:ind w:left="112" w:right="10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供应商针对项目沿线取水口、节制闸、泵站、渠道、管道、拦水坝，日常巡查、故障、事故应急处置等指挥调度内容提供管理方案、</w:t>
            </w:r>
            <w:r>
              <w:rPr>
                <w:rFonts w:hint="eastAsia" w:ascii="宋体" w:hAnsi="宋体" w:eastAsia="宋体" w:cs="宋体"/>
                <w:color w:val="auto"/>
                <w:spacing w:val="8"/>
                <w:sz w:val="24"/>
                <w:szCs w:val="24"/>
                <w:highlight w:val="none"/>
              </w:rPr>
              <w:t>进行评分：</w:t>
            </w:r>
          </w:p>
          <w:p w14:paraId="64AC0EB3">
            <w:pPr>
              <w:pStyle w:val="70"/>
              <w:keepNext w:val="0"/>
              <w:keepLines w:val="0"/>
              <w:pageBreakBefore w:val="0"/>
              <w:widowControl w:val="0"/>
              <w:kinsoku/>
              <w:wordWrap/>
              <w:overflowPunct/>
              <w:topLinePunct w:val="0"/>
              <w:autoSpaceDE/>
              <w:autoSpaceDN/>
              <w:bidi w:val="0"/>
              <w:adjustRightInd/>
              <w:snapToGrid/>
              <w:spacing w:before="2" w:line="400" w:lineRule="exact"/>
              <w:ind w:left="110" w:right="104" w:firstLine="1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（1）实施方案各项内容完整详细，完全切合项目实际，满足或优</w:t>
            </w:r>
            <w:r>
              <w:rPr>
                <w:rFonts w:hint="eastAsia" w:ascii="宋体" w:hAnsi="宋体" w:eastAsia="宋体" w:cs="宋体"/>
                <w:color w:val="auto"/>
                <w:spacing w:val="10"/>
                <w:sz w:val="24"/>
                <w:szCs w:val="24"/>
                <w:highlight w:val="none"/>
              </w:rPr>
              <w:t>于采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购需求的得</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4"/>
                <w:sz w:val="24"/>
                <w:szCs w:val="24"/>
                <w:highlight w:val="none"/>
              </w:rPr>
              <w:t>分；</w:t>
            </w:r>
          </w:p>
          <w:p w14:paraId="44ED05DD">
            <w:pPr>
              <w:pStyle w:val="70"/>
              <w:keepNext w:val="0"/>
              <w:keepLines w:val="0"/>
              <w:pageBreakBefore w:val="0"/>
              <w:widowControl w:val="0"/>
              <w:kinsoku/>
              <w:wordWrap/>
              <w:overflowPunct/>
              <w:topLinePunct w:val="0"/>
              <w:autoSpaceDE/>
              <w:autoSpaceDN/>
              <w:bidi w:val="0"/>
              <w:adjustRightInd/>
              <w:snapToGrid/>
              <w:spacing w:before="112" w:line="400" w:lineRule="exact"/>
              <w:ind w:left="115" w:right="104" w:firstLine="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（2）实施方案各项内容完整不缺失，未出现逻辑或常识性错误，</w:t>
            </w:r>
            <w:r>
              <w:rPr>
                <w:rFonts w:hint="eastAsia" w:ascii="宋体" w:hAnsi="宋体" w:eastAsia="宋体" w:cs="宋体"/>
                <w:color w:val="auto"/>
                <w:spacing w:val="10"/>
                <w:sz w:val="24"/>
                <w:szCs w:val="24"/>
                <w:highlight w:val="none"/>
              </w:rPr>
              <w:t>未偏</w:t>
            </w:r>
            <w:r>
              <w:rPr>
                <w:rFonts w:hint="eastAsia" w:ascii="宋体" w:hAnsi="宋体" w:eastAsia="宋体" w:cs="宋体"/>
                <w:color w:val="auto"/>
                <w:spacing w:val="11"/>
                <w:sz w:val="24"/>
                <w:szCs w:val="24"/>
                <w:highlight w:val="none"/>
              </w:rPr>
              <w:t>离采购需求的4</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1"/>
                <w:sz w:val="24"/>
                <w:szCs w:val="24"/>
                <w:highlight w:val="none"/>
              </w:rPr>
              <w:t>分；</w:t>
            </w:r>
          </w:p>
          <w:p w14:paraId="770D9E39">
            <w:pPr>
              <w:pStyle w:val="70"/>
              <w:keepNext w:val="0"/>
              <w:keepLines w:val="0"/>
              <w:pageBreakBefore w:val="0"/>
              <w:widowControl w:val="0"/>
              <w:kinsoku/>
              <w:wordWrap/>
              <w:overflowPunct/>
              <w:topLinePunct w:val="0"/>
              <w:autoSpaceDE/>
              <w:autoSpaceDN/>
              <w:bidi w:val="0"/>
              <w:adjustRightInd/>
              <w:snapToGrid/>
              <w:spacing w:before="114" w:line="400" w:lineRule="exact"/>
              <w:ind w:left="12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（3）实施方案内容简单有待完善的得</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6"/>
                <w:sz w:val="24"/>
                <w:szCs w:val="24"/>
                <w:highlight w:val="none"/>
              </w:rPr>
              <w:t>3</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6"/>
                <w:sz w:val="24"/>
                <w:szCs w:val="24"/>
                <w:highlight w:val="none"/>
              </w:rPr>
              <w:t>分；</w:t>
            </w:r>
          </w:p>
          <w:p w14:paraId="109B2187">
            <w:pPr>
              <w:pStyle w:val="70"/>
              <w:keepNext w:val="0"/>
              <w:keepLines w:val="0"/>
              <w:pageBreakBefore w:val="0"/>
              <w:widowControl w:val="0"/>
              <w:kinsoku/>
              <w:wordWrap/>
              <w:overflowPunct/>
              <w:topLinePunct w:val="0"/>
              <w:autoSpaceDE/>
              <w:autoSpaceDN/>
              <w:bidi w:val="0"/>
              <w:adjustRightInd/>
              <w:snapToGrid/>
              <w:spacing w:before="114" w:line="400" w:lineRule="exact"/>
              <w:ind w:left="122" w:leftChars="0"/>
              <w:jc w:val="both"/>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8"/>
                <w:sz w:val="24"/>
                <w:szCs w:val="24"/>
                <w:highlight w:val="none"/>
              </w:rPr>
              <w:t>（4）方案与项目无关或未提供的不得分。</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0C281C82">
            <w:pPr>
              <w:keepNext w:val="0"/>
              <w:keepLines w:val="0"/>
              <w:pageBreakBefore w:val="0"/>
              <w:widowControl w:val="0"/>
              <w:kinsoku/>
              <w:wordWrap/>
              <w:overflowPunct/>
              <w:topLinePunct w:val="0"/>
              <w:autoSpaceDE/>
              <w:autoSpaceDN/>
              <w:bidi w:val="0"/>
              <w:adjustRightInd/>
              <w:snapToGrid/>
              <w:spacing w:after="50" w:line="400" w:lineRule="exact"/>
              <w:ind w:right="-10" w:right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14:paraId="4B44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auto" w:sz="4" w:space="0"/>
              <w:right w:val="single" w:color="auto" w:sz="4" w:space="0"/>
            </w:tcBorders>
            <w:vAlign w:val="center"/>
          </w:tcPr>
          <w:p w14:paraId="1203A248">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hint="eastAsia" w:ascii="宋体" w:hAnsi="宋体" w:eastAsia="宋体" w:cs="宋体"/>
                <w:b/>
                <w:bCs/>
                <w:color w:val="auto"/>
                <w:sz w:val="24"/>
                <w:szCs w:val="24"/>
                <w:highlight w:val="none"/>
              </w:rPr>
            </w:pPr>
          </w:p>
        </w:tc>
        <w:tc>
          <w:tcPr>
            <w:tcW w:w="873" w:type="pct"/>
            <w:tcBorders>
              <w:top w:val="single" w:color="auto" w:sz="4" w:space="0"/>
              <w:left w:val="single" w:color="auto" w:sz="4" w:space="0"/>
              <w:right w:val="single" w:color="auto" w:sz="4" w:space="0"/>
            </w:tcBorders>
            <w:shd w:val="clear" w:color="auto" w:fill="auto"/>
            <w:vAlign w:val="center"/>
          </w:tcPr>
          <w:p w14:paraId="258B913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p>
          <w:p w14:paraId="1A53787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p>
          <w:p w14:paraId="6E7091C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p>
          <w:p w14:paraId="66C78CF2">
            <w:pPr>
              <w:pStyle w:val="70"/>
              <w:keepNext w:val="0"/>
              <w:keepLines w:val="0"/>
              <w:pageBreakBefore w:val="0"/>
              <w:widowControl w:val="0"/>
              <w:kinsoku/>
              <w:wordWrap/>
              <w:overflowPunct/>
              <w:topLinePunct w:val="0"/>
              <w:autoSpaceDE/>
              <w:autoSpaceDN/>
              <w:bidi w:val="0"/>
              <w:adjustRightInd/>
              <w:snapToGrid/>
              <w:spacing w:before="65" w:line="400" w:lineRule="exact"/>
              <w:ind w:left="150"/>
              <w:jc w:val="both"/>
              <w:textAlignment w:val="auto"/>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color w:val="auto"/>
                <w:spacing w:val="-40"/>
                <w:sz w:val="24"/>
                <w:szCs w:val="24"/>
                <w:highlight w:val="none"/>
                <w:lang w:val="en-US" w:eastAsia="zh-CN"/>
              </w:rPr>
              <w:t>6.</w:t>
            </w:r>
            <w:r>
              <w:rPr>
                <w:rFonts w:hint="eastAsia" w:ascii="宋体" w:hAnsi="宋体" w:eastAsia="宋体" w:cs="宋体"/>
                <w:color w:val="auto"/>
                <w:spacing w:val="4"/>
                <w:sz w:val="24"/>
                <w:szCs w:val="24"/>
                <w:highlight w:val="none"/>
              </w:rPr>
              <w:t>运维资源保障</w:t>
            </w:r>
          </w:p>
        </w:tc>
        <w:tc>
          <w:tcPr>
            <w:tcW w:w="2566" w:type="pct"/>
            <w:tcBorders>
              <w:top w:val="single" w:color="auto" w:sz="4" w:space="0"/>
              <w:left w:val="single" w:color="auto" w:sz="4" w:space="0"/>
              <w:bottom w:val="single" w:color="auto" w:sz="4" w:space="0"/>
              <w:right w:val="single" w:color="auto" w:sz="4" w:space="0"/>
            </w:tcBorders>
            <w:shd w:val="clear" w:color="auto" w:fill="auto"/>
            <w:vAlign w:val="center"/>
          </w:tcPr>
          <w:p w14:paraId="2CF9390A">
            <w:pPr>
              <w:pStyle w:val="70"/>
              <w:keepNext w:val="0"/>
              <w:keepLines w:val="0"/>
              <w:pageBreakBefore w:val="0"/>
              <w:widowControl w:val="0"/>
              <w:kinsoku/>
              <w:wordWrap/>
              <w:overflowPunct/>
              <w:topLinePunct w:val="0"/>
              <w:autoSpaceDE/>
              <w:autoSpaceDN/>
              <w:bidi w:val="0"/>
              <w:adjustRightInd/>
              <w:snapToGrid/>
              <w:spacing w:before="112" w:line="400" w:lineRule="exact"/>
              <w:ind w:right="10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lang w:eastAsia="zh-CN"/>
              </w:rPr>
              <w:t>供应商</w:t>
            </w:r>
            <w:r>
              <w:rPr>
                <w:rFonts w:hint="eastAsia" w:ascii="宋体" w:hAnsi="宋体" w:eastAsia="宋体" w:cs="宋体"/>
                <w:color w:val="auto"/>
                <w:spacing w:val="11"/>
                <w:sz w:val="24"/>
                <w:szCs w:val="24"/>
                <w:highlight w:val="none"/>
              </w:rPr>
              <w:t>针对本运维项目服务需求，提供运维资源保障方案，包括但不</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9"/>
                <w:sz w:val="24"/>
                <w:szCs w:val="24"/>
                <w:highlight w:val="none"/>
              </w:rPr>
              <w:t>限于工具装备、仪器设备、备品备件、文档资料、管理制</w:t>
            </w:r>
            <w:r>
              <w:rPr>
                <w:rFonts w:hint="eastAsia" w:ascii="宋体" w:hAnsi="宋体" w:eastAsia="宋体" w:cs="宋体"/>
                <w:color w:val="auto"/>
                <w:spacing w:val="8"/>
                <w:sz w:val="24"/>
                <w:szCs w:val="24"/>
                <w:highlight w:val="none"/>
              </w:rPr>
              <w:t>度等内容：</w:t>
            </w:r>
          </w:p>
          <w:p w14:paraId="4E1655A0">
            <w:pPr>
              <w:pStyle w:val="70"/>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lang w:val="en-US" w:eastAsia="zh-CN"/>
              </w:rPr>
              <w:t>1、</w:t>
            </w:r>
            <w:r>
              <w:rPr>
                <w:rFonts w:hint="eastAsia" w:ascii="宋体" w:hAnsi="宋体" w:eastAsia="宋体" w:cs="宋体"/>
                <w:color w:val="auto"/>
                <w:spacing w:val="7"/>
                <w:sz w:val="24"/>
                <w:szCs w:val="24"/>
                <w:highlight w:val="none"/>
              </w:rPr>
              <w:t>方案科学合理、重点突出，针对性强的，得</w:t>
            </w:r>
            <w:r>
              <w:rPr>
                <w:rFonts w:hint="eastAsia" w:ascii="宋体" w:hAnsi="宋体" w:eastAsia="宋体" w:cs="宋体"/>
                <w:color w:val="auto"/>
                <w:spacing w:val="7"/>
                <w:sz w:val="24"/>
                <w:szCs w:val="24"/>
                <w:highlight w:val="none"/>
                <w:lang w:val="en-US" w:eastAsia="zh-CN"/>
              </w:rPr>
              <w:t>5</w:t>
            </w:r>
            <w:r>
              <w:rPr>
                <w:rFonts w:hint="eastAsia" w:ascii="宋体" w:hAnsi="宋体" w:eastAsia="宋体" w:cs="宋体"/>
                <w:color w:val="auto"/>
                <w:spacing w:val="7"/>
                <w:sz w:val="24"/>
                <w:szCs w:val="24"/>
                <w:highlight w:val="none"/>
              </w:rPr>
              <w:t>分；</w:t>
            </w:r>
          </w:p>
          <w:p w14:paraId="406970C5">
            <w:pPr>
              <w:pStyle w:val="70"/>
              <w:keepNext w:val="0"/>
              <w:keepLines w:val="0"/>
              <w:pageBreakBefore w:val="0"/>
              <w:widowControl w:val="0"/>
              <w:kinsoku/>
              <w:wordWrap/>
              <w:overflowPunct/>
              <w:topLinePunct w:val="0"/>
              <w:autoSpaceDE/>
              <w:autoSpaceDN/>
              <w:bidi w:val="0"/>
              <w:adjustRightInd/>
              <w:snapToGrid/>
              <w:spacing w:before="113"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lang w:val="en-US" w:eastAsia="zh-CN"/>
              </w:rPr>
              <w:t>2、</w:t>
            </w:r>
            <w:r>
              <w:rPr>
                <w:rFonts w:hint="eastAsia" w:ascii="宋体" w:hAnsi="宋体" w:eastAsia="宋体" w:cs="宋体"/>
                <w:color w:val="auto"/>
                <w:spacing w:val="7"/>
                <w:sz w:val="24"/>
                <w:szCs w:val="24"/>
                <w:highlight w:val="none"/>
              </w:rPr>
              <w:t>方案</w:t>
            </w:r>
            <w:r>
              <w:rPr>
                <w:rFonts w:hint="eastAsia" w:ascii="宋体" w:hAnsi="宋体" w:eastAsia="宋体" w:cs="宋体"/>
                <w:color w:val="auto"/>
                <w:spacing w:val="7"/>
                <w:sz w:val="24"/>
                <w:szCs w:val="24"/>
                <w:highlight w:val="none"/>
                <w:lang w:val="en-US" w:eastAsia="zh-CN"/>
              </w:rPr>
              <w:t>满足文件要求</w:t>
            </w:r>
            <w:r>
              <w:rPr>
                <w:rFonts w:hint="eastAsia" w:ascii="宋体" w:hAnsi="宋体" w:eastAsia="宋体" w:cs="宋体"/>
                <w:color w:val="auto"/>
                <w:spacing w:val="7"/>
                <w:sz w:val="24"/>
                <w:szCs w:val="24"/>
                <w:highlight w:val="none"/>
              </w:rPr>
              <w:t>，具有一定实用性的，得</w:t>
            </w:r>
            <w:r>
              <w:rPr>
                <w:rFonts w:hint="eastAsia" w:ascii="宋体" w:hAnsi="宋体" w:eastAsia="宋体" w:cs="宋体"/>
                <w:color w:val="auto"/>
                <w:spacing w:val="7"/>
                <w:sz w:val="24"/>
                <w:szCs w:val="24"/>
                <w:highlight w:val="none"/>
                <w:lang w:val="en-US" w:eastAsia="zh-CN"/>
              </w:rPr>
              <w:t>4</w:t>
            </w:r>
            <w:r>
              <w:rPr>
                <w:rFonts w:hint="eastAsia" w:ascii="宋体" w:hAnsi="宋体" w:eastAsia="宋体" w:cs="宋体"/>
                <w:color w:val="auto"/>
                <w:spacing w:val="7"/>
                <w:sz w:val="24"/>
                <w:szCs w:val="24"/>
                <w:highlight w:val="none"/>
              </w:rPr>
              <w:t>分；</w:t>
            </w:r>
          </w:p>
          <w:p w14:paraId="21FFDBD7">
            <w:pPr>
              <w:pStyle w:val="70"/>
              <w:keepNext w:val="0"/>
              <w:keepLines w:val="0"/>
              <w:pageBreakBefore w:val="0"/>
              <w:widowControl w:val="0"/>
              <w:kinsoku/>
              <w:wordWrap/>
              <w:overflowPunct/>
              <w:topLinePunct w:val="0"/>
              <w:autoSpaceDE/>
              <w:autoSpaceDN/>
              <w:bidi w:val="0"/>
              <w:adjustRightInd/>
              <w:snapToGrid/>
              <w:spacing w:before="113"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rPr>
              <w:t>方案合理，有待提高的，得</w:t>
            </w:r>
            <w:r>
              <w:rPr>
                <w:rFonts w:hint="eastAsia" w:ascii="宋体" w:hAnsi="宋体" w:eastAsia="宋体" w:cs="宋体"/>
                <w:color w:val="auto"/>
                <w:spacing w:val="35"/>
                <w:sz w:val="24"/>
                <w:szCs w:val="24"/>
                <w:highlight w:val="none"/>
                <w:lang w:val="en-US" w:eastAsia="zh-CN"/>
              </w:rPr>
              <w:t>3</w:t>
            </w:r>
            <w:r>
              <w:rPr>
                <w:rFonts w:hint="eastAsia" w:ascii="宋体" w:hAnsi="宋体" w:eastAsia="宋体" w:cs="宋体"/>
                <w:color w:val="auto"/>
                <w:spacing w:val="6"/>
                <w:sz w:val="24"/>
                <w:szCs w:val="24"/>
                <w:highlight w:val="none"/>
              </w:rPr>
              <w:t>分；</w:t>
            </w:r>
          </w:p>
          <w:p w14:paraId="4D59190A">
            <w:pPr>
              <w:pStyle w:val="70"/>
              <w:keepNext w:val="0"/>
              <w:keepLines w:val="0"/>
              <w:pageBreakBefore w:val="0"/>
              <w:widowControl w:val="0"/>
              <w:kinsoku/>
              <w:wordWrap/>
              <w:overflowPunct/>
              <w:topLinePunct w:val="0"/>
              <w:autoSpaceDE/>
              <w:autoSpaceDN/>
              <w:bidi w:val="0"/>
              <w:adjustRightInd/>
              <w:snapToGrid/>
              <w:spacing w:before="114" w:line="400" w:lineRule="exact"/>
              <w:jc w:val="both"/>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方案不能满足项目要求或未提供的，不得分。</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46631DA4">
            <w:pPr>
              <w:keepNext w:val="0"/>
              <w:keepLines w:val="0"/>
              <w:pageBreakBefore w:val="0"/>
              <w:widowControl w:val="0"/>
              <w:kinsoku/>
              <w:wordWrap/>
              <w:overflowPunct/>
              <w:topLinePunct w:val="0"/>
              <w:autoSpaceDE/>
              <w:autoSpaceDN/>
              <w:bidi w:val="0"/>
              <w:adjustRightInd/>
              <w:snapToGrid/>
              <w:spacing w:after="50" w:line="400" w:lineRule="exact"/>
              <w:ind w:right="-10" w:right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14:paraId="616A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auto" w:sz="4" w:space="0"/>
              <w:right w:val="single" w:color="auto" w:sz="4" w:space="0"/>
            </w:tcBorders>
            <w:vAlign w:val="center"/>
          </w:tcPr>
          <w:p w14:paraId="26616775">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hint="eastAsia" w:ascii="宋体" w:hAnsi="宋体" w:eastAsia="宋体" w:cs="宋体"/>
                <w:b/>
                <w:bCs/>
                <w:color w:val="auto"/>
                <w:sz w:val="24"/>
                <w:szCs w:val="24"/>
                <w:highlight w:val="none"/>
              </w:rPr>
            </w:pPr>
          </w:p>
        </w:tc>
        <w:tc>
          <w:tcPr>
            <w:tcW w:w="873" w:type="pct"/>
            <w:tcBorders>
              <w:top w:val="single" w:color="auto" w:sz="4" w:space="0"/>
              <w:left w:val="single" w:color="auto" w:sz="4" w:space="0"/>
              <w:right w:val="single" w:color="auto" w:sz="4" w:space="0"/>
            </w:tcBorders>
            <w:vAlign w:val="center"/>
          </w:tcPr>
          <w:p w14:paraId="6B410175">
            <w:pPr>
              <w:keepNext w:val="0"/>
              <w:keepLines w:val="0"/>
              <w:pageBreakBefore w:val="0"/>
              <w:widowControl w:val="0"/>
              <w:kinsoku/>
              <w:wordWrap/>
              <w:overflowPunct/>
              <w:topLinePunct w:val="0"/>
              <w:autoSpaceDE/>
              <w:autoSpaceDN/>
              <w:bidi w:val="0"/>
              <w:adjustRightInd/>
              <w:snapToGrid/>
              <w:spacing w:after="50" w:line="400" w:lineRule="exact"/>
              <w:ind w:right="-10" w:rightChars="0"/>
              <w:jc w:val="both"/>
              <w:textAlignment w:val="auto"/>
              <w:rPr>
                <w:rFonts w:hint="eastAsia" w:ascii="宋体" w:hAnsi="宋体" w:eastAsia="宋体" w:cs="宋体"/>
                <w:b w:val="0"/>
                <w:bCs w:val="0"/>
                <w:color w:val="auto"/>
                <w:sz w:val="24"/>
                <w:szCs w:val="24"/>
                <w:highlight w:val="none"/>
                <w:lang w:bidi="ar"/>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节能环保方案</w:t>
            </w:r>
          </w:p>
        </w:tc>
        <w:tc>
          <w:tcPr>
            <w:tcW w:w="2566" w:type="pct"/>
            <w:tcBorders>
              <w:top w:val="single" w:color="auto" w:sz="4" w:space="0"/>
              <w:left w:val="single" w:color="auto" w:sz="4" w:space="0"/>
              <w:bottom w:val="single" w:color="auto" w:sz="4" w:space="0"/>
              <w:right w:val="single" w:color="auto" w:sz="4" w:space="0"/>
            </w:tcBorders>
            <w:vAlign w:val="center"/>
          </w:tcPr>
          <w:p w14:paraId="20CB16F9">
            <w:pPr>
              <w:keepNext w:val="0"/>
              <w:keepLines w:val="0"/>
              <w:pageBreakBefore w:val="0"/>
              <w:widowControl w:val="0"/>
              <w:kinsoku/>
              <w:wordWrap/>
              <w:overflowPunct/>
              <w:topLinePunct w:val="0"/>
              <w:autoSpaceDE/>
              <w:autoSpaceDN/>
              <w:bidi w:val="0"/>
              <w:adjustRightInd/>
              <w:snapToGrid/>
              <w:spacing w:after="50" w:line="400" w:lineRule="exact"/>
              <w:ind w:right="-1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综合比较各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提供的节能环保方案内容进行评分。</w:t>
            </w:r>
          </w:p>
          <w:p w14:paraId="7C0C3683">
            <w:pPr>
              <w:keepNext w:val="0"/>
              <w:keepLines w:val="0"/>
              <w:pageBreakBefore w:val="0"/>
              <w:widowControl w:val="0"/>
              <w:kinsoku/>
              <w:wordWrap/>
              <w:overflowPunct/>
              <w:topLinePunct w:val="0"/>
              <w:autoSpaceDE/>
              <w:autoSpaceDN/>
              <w:bidi w:val="0"/>
              <w:adjustRightInd/>
              <w:snapToGrid/>
              <w:spacing w:after="50" w:line="400" w:lineRule="exact"/>
              <w:ind w:right="-1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提供的节能环保方案</w:t>
            </w:r>
            <w:r>
              <w:rPr>
                <w:rFonts w:hint="eastAsia" w:ascii="宋体" w:hAnsi="宋体" w:eastAsia="宋体" w:cs="宋体"/>
                <w:color w:val="auto"/>
                <w:sz w:val="24"/>
                <w:szCs w:val="24"/>
                <w:highlight w:val="none"/>
                <w:lang w:val="en-US" w:eastAsia="zh-CN"/>
              </w:rPr>
              <w:t>全面详细，内容有针对性的得5分；</w:t>
            </w:r>
          </w:p>
          <w:p w14:paraId="5FA1183C">
            <w:pPr>
              <w:keepNext w:val="0"/>
              <w:keepLines w:val="0"/>
              <w:pageBreakBefore w:val="0"/>
              <w:widowControl w:val="0"/>
              <w:kinsoku/>
              <w:wordWrap/>
              <w:overflowPunct/>
              <w:topLinePunct w:val="0"/>
              <w:autoSpaceDE/>
              <w:autoSpaceDN/>
              <w:bidi w:val="0"/>
              <w:adjustRightInd/>
              <w:snapToGrid/>
              <w:spacing w:after="50" w:line="400" w:lineRule="exact"/>
              <w:ind w:right="-1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提供的节能环保方案</w:t>
            </w:r>
            <w:r>
              <w:rPr>
                <w:rFonts w:hint="eastAsia" w:ascii="宋体" w:hAnsi="宋体" w:eastAsia="宋体" w:cs="宋体"/>
                <w:color w:val="auto"/>
                <w:sz w:val="24"/>
                <w:szCs w:val="24"/>
                <w:highlight w:val="none"/>
                <w:lang w:val="en-US" w:eastAsia="zh-CN"/>
              </w:rPr>
              <w:t>完整，内容满足项目需求的得4分；</w:t>
            </w:r>
          </w:p>
          <w:p w14:paraId="1ACC6307">
            <w:pPr>
              <w:keepNext w:val="0"/>
              <w:keepLines w:val="0"/>
              <w:pageBreakBefore w:val="0"/>
              <w:widowControl w:val="0"/>
              <w:kinsoku/>
              <w:wordWrap/>
              <w:overflowPunct/>
              <w:topLinePunct w:val="0"/>
              <w:autoSpaceDE/>
              <w:autoSpaceDN/>
              <w:bidi w:val="0"/>
              <w:adjustRightInd/>
              <w:snapToGrid/>
              <w:spacing w:after="50" w:line="400" w:lineRule="exact"/>
              <w:ind w:right="-1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提供的节能环保方案</w:t>
            </w:r>
            <w:r>
              <w:rPr>
                <w:rFonts w:hint="eastAsia" w:ascii="宋体" w:hAnsi="宋体" w:eastAsia="宋体" w:cs="宋体"/>
                <w:color w:val="auto"/>
                <w:sz w:val="24"/>
                <w:szCs w:val="24"/>
                <w:highlight w:val="none"/>
                <w:lang w:val="en-US" w:eastAsia="zh-CN"/>
              </w:rPr>
              <w:t>简单、内容不全的得3分；</w:t>
            </w:r>
          </w:p>
          <w:p w14:paraId="24EF7BD5">
            <w:pPr>
              <w:keepNext w:val="0"/>
              <w:keepLines w:val="0"/>
              <w:pageBreakBefore w:val="0"/>
              <w:widowControl w:val="0"/>
              <w:kinsoku/>
              <w:wordWrap/>
              <w:overflowPunct/>
              <w:topLinePunct w:val="0"/>
              <w:autoSpaceDE/>
              <w:autoSpaceDN/>
              <w:bidi w:val="0"/>
              <w:adjustRightInd/>
              <w:snapToGrid/>
              <w:spacing w:after="50" w:line="400" w:lineRule="exact"/>
              <w:ind w:right="-10" w:rightChars="0"/>
              <w:jc w:val="both"/>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提供的节能环保方案</w:t>
            </w:r>
            <w:r>
              <w:rPr>
                <w:rFonts w:hint="eastAsia" w:ascii="宋体" w:hAnsi="宋体" w:eastAsia="宋体" w:cs="宋体"/>
                <w:color w:val="auto"/>
                <w:sz w:val="24"/>
                <w:szCs w:val="24"/>
                <w:highlight w:val="none"/>
                <w:lang w:val="en-US" w:eastAsia="zh-CN"/>
              </w:rPr>
              <w:t>不符合要求的或未提供相应内容的不得分。</w:t>
            </w:r>
          </w:p>
        </w:tc>
        <w:tc>
          <w:tcPr>
            <w:tcW w:w="697" w:type="pct"/>
            <w:tcBorders>
              <w:top w:val="single" w:color="auto" w:sz="4" w:space="0"/>
              <w:left w:val="single" w:color="auto" w:sz="4" w:space="0"/>
              <w:bottom w:val="single" w:color="auto" w:sz="4" w:space="0"/>
              <w:right w:val="single" w:color="auto" w:sz="4" w:space="0"/>
            </w:tcBorders>
            <w:vAlign w:val="center"/>
          </w:tcPr>
          <w:p w14:paraId="7235EDAD">
            <w:pPr>
              <w:keepNext w:val="0"/>
              <w:keepLines w:val="0"/>
              <w:pageBreakBefore w:val="0"/>
              <w:widowControl w:val="0"/>
              <w:kinsoku/>
              <w:wordWrap/>
              <w:overflowPunct/>
              <w:topLinePunct w:val="0"/>
              <w:autoSpaceDE/>
              <w:autoSpaceDN/>
              <w:bidi w:val="0"/>
              <w:adjustRightInd/>
              <w:snapToGrid/>
              <w:spacing w:after="50" w:line="400" w:lineRule="exact"/>
              <w:ind w:right="-10" w:right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14:paraId="1F3A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auto" w:sz="4" w:space="0"/>
              <w:right w:val="single" w:color="auto" w:sz="4" w:space="0"/>
            </w:tcBorders>
            <w:vAlign w:val="center"/>
          </w:tcPr>
          <w:p w14:paraId="2E8A434A">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hint="eastAsia" w:ascii="宋体" w:hAnsi="宋体" w:eastAsia="宋体" w:cs="宋体"/>
                <w:b/>
                <w:bCs/>
                <w:color w:val="auto"/>
                <w:sz w:val="24"/>
                <w:szCs w:val="24"/>
                <w:highlight w:val="none"/>
              </w:rPr>
            </w:pPr>
          </w:p>
        </w:tc>
        <w:tc>
          <w:tcPr>
            <w:tcW w:w="873" w:type="pct"/>
            <w:tcBorders>
              <w:left w:val="single" w:color="auto" w:sz="4" w:space="0"/>
              <w:bottom w:val="single" w:color="auto" w:sz="4" w:space="0"/>
              <w:right w:val="single" w:color="auto" w:sz="4" w:space="0"/>
            </w:tcBorders>
            <w:shd w:val="clear" w:color="auto" w:fill="auto"/>
            <w:vAlign w:val="center"/>
          </w:tcPr>
          <w:p w14:paraId="523E9D17">
            <w:pPr>
              <w:keepNext w:val="0"/>
              <w:keepLines w:val="0"/>
              <w:pageBreakBefore w:val="0"/>
              <w:widowControl w:val="0"/>
              <w:kinsoku/>
              <w:wordWrap/>
              <w:overflowPunct/>
              <w:topLinePunct w:val="0"/>
              <w:autoSpaceDE/>
              <w:autoSpaceDN/>
              <w:bidi w:val="0"/>
              <w:adjustRightInd/>
              <w:snapToGrid/>
              <w:spacing w:after="50" w:line="400" w:lineRule="exact"/>
              <w:ind w:right="-10" w:right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应急处理预案</w:t>
            </w:r>
          </w:p>
        </w:tc>
        <w:tc>
          <w:tcPr>
            <w:tcW w:w="2566" w:type="pct"/>
            <w:tcBorders>
              <w:top w:val="single" w:color="auto" w:sz="4" w:space="0"/>
              <w:left w:val="single" w:color="auto" w:sz="4" w:space="0"/>
              <w:bottom w:val="single" w:color="auto" w:sz="4" w:space="0"/>
              <w:right w:val="single" w:color="auto" w:sz="4" w:space="0"/>
            </w:tcBorders>
            <w:shd w:val="clear" w:color="auto" w:fill="auto"/>
            <w:vAlign w:val="center"/>
          </w:tcPr>
          <w:p w14:paraId="7B7FCEED">
            <w:pPr>
              <w:keepNext w:val="0"/>
              <w:keepLines w:val="0"/>
              <w:pageBreakBefore w:val="0"/>
              <w:widowControl w:val="0"/>
              <w:kinsoku/>
              <w:wordWrap/>
              <w:overflowPunct/>
              <w:topLinePunct w:val="0"/>
              <w:autoSpaceDE/>
              <w:autoSpaceDN/>
              <w:bidi w:val="0"/>
              <w:adjustRightInd/>
              <w:snapToGrid/>
              <w:spacing w:after="50" w:line="400" w:lineRule="exact"/>
              <w:ind w:right="-1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综合比较各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提供的应急处理预案内容（包括处理故障响应的时间和中、大型事项处理预案等）进行评分。</w:t>
            </w:r>
          </w:p>
          <w:p w14:paraId="06601C55">
            <w:pPr>
              <w:keepNext w:val="0"/>
              <w:keepLines w:val="0"/>
              <w:pageBreakBefore w:val="0"/>
              <w:widowControl w:val="0"/>
              <w:kinsoku/>
              <w:wordWrap/>
              <w:overflowPunct/>
              <w:topLinePunct w:val="0"/>
              <w:autoSpaceDE/>
              <w:autoSpaceDN/>
              <w:bidi w:val="0"/>
              <w:adjustRightInd/>
              <w:snapToGrid/>
              <w:spacing w:after="50" w:line="400" w:lineRule="exact"/>
              <w:ind w:right="-1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提供的应急处理预案周密、详尽</w:t>
            </w:r>
            <w:r>
              <w:rPr>
                <w:rFonts w:hint="eastAsia" w:ascii="宋体" w:hAnsi="宋体" w:eastAsia="宋体" w:cs="宋体"/>
                <w:color w:val="auto"/>
                <w:sz w:val="24"/>
                <w:szCs w:val="24"/>
                <w:highlight w:val="none"/>
                <w:lang w:val="en-US" w:eastAsia="zh-CN"/>
              </w:rPr>
              <w:t>，内容清晰，利于项目实施的得5分；</w:t>
            </w:r>
          </w:p>
          <w:p w14:paraId="69488CDD">
            <w:pPr>
              <w:keepNext w:val="0"/>
              <w:keepLines w:val="0"/>
              <w:pageBreakBefore w:val="0"/>
              <w:widowControl w:val="0"/>
              <w:kinsoku/>
              <w:wordWrap/>
              <w:overflowPunct/>
              <w:topLinePunct w:val="0"/>
              <w:autoSpaceDE/>
              <w:autoSpaceDN/>
              <w:bidi w:val="0"/>
              <w:adjustRightInd/>
              <w:snapToGrid/>
              <w:spacing w:after="50" w:line="400" w:lineRule="exact"/>
              <w:ind w:right="-1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提供的应急处理预案</w:t>
            </w:r>
            <w:r>
              <w:rPr>
                <w:rFonts w:hint="eastAsia" w:ascii="宋体" w:hAnsi="宋体" w:eastAsia="宋体" w:cs="宋体"/>
                <w:color w:val="auto"/>
                <w:sz w:val="24"/>
                <w:szCs w:val="24"/>
                <w:highlight w:val="none"/>
                <w:lang w:val="en-US" w:eastAsia="zh-CN"/>
              </w:rPr>
              <w:t>完整，内容满足项目需求的得4分；</w:t>
            </w:r>
          </w:p>
          <w:p w14:paraId="74C387F9">
            <w:pPr>
              <w:keepNext w:val="0"/>
              <w:keepLines w:val="0"/>
              <w:pageBreakBefore w:val="0"/>
              <w:widowControl w:val="0"/>
              <w:kinsoku/>
              <w:wordWrap/>
              <w:overflowPunct/>
              <w:topLinePunct w:val="0"/>
              <w:autoSpaceDE/>
              <w:autoSpaceDN/>
              <w:bidi w:val="0"/>
              <w:adjustRightInd/>
              <w:snapToGrid/>
              <w:spacing w:after="50" w:line="400" w:lineRule="exact"/>
              <w:ind w:right="-1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提供的应急处理预案内容</w:t>
            </w:r>
            <w:r>
              <w:rPr>
                <w:rFonts w:hint="eastAsia" w:ascii="宋体" w:hAnsi="宋体" w:eastAsia="宋体" w:cs="宋体"/>
                <w:color w:val="auto"/>
                <w:sz w:val="24"/>
                <w:szCs w:val="24"/>
                <w:highlight w:val="none"/>
                <w:lang w:val="en-US" w:eastAsia="zh-CN"/>
              </w:rPr>
              <w:t>简单的得3分；</w:t>
            </w:r>
          </w:p>
          <w:p w14:paraId="683D9E2A">
            <w:pPr>
              <w:keepNext w:val="0"/>
              <w:keepLines w:val="0"/>
              <w:pageBreakBefore w:val="0"/>
              <w:widowControl w:val="0"/>
              <w:kinsoku/>
              <w:wordWrap/>
              <w:overflowPunct/>
              <w:topLinePunct w:val="0"/>
              <w:autoSpaceDE/>
              <w:autoSpaceDN/>
              <w:bidi w:val="0"/>
              <w:adjustRightInd/>
              <w:snapToGrid/>
              <w:spacing w:after="50" w:line="400" w:lineRule="exact"/>
              <w:ind w:right="-10" w:right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提供的应急处理预案内容</w:t>
            </w:r>
            <w:r>
              <w:rPr>
                <w:rFonts w:hint="eastAsia" w:ascii="宋体" w:hAnsi="宋体" w:eastAsia="宋体" w:cs="宋体"/>
                <w:color w:val="auto"/>
                <w:sz w:val="24"/>
                <w:szCs w:val="24"/>
                <w:highlight w:val="none"/>
                <w:lang w:val="en-US" w:eastAsia="zh-CN"/>
              </w:rPr>
              <w:t>不符合要求的或未提供相应内容的不得分。</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79647D99">
            <w:pPr>
              <w:keepNext w:val="0"/>
              <w:keepLines w:val="0"/>
              <w:pageBreakBefore w:val="0"/>
              <w:widowControl w:val="0"/>
              <w:kinsoku/>
              <w:wordWrap/>
              <w:overflowPunct/>
              <w:topLinePunct w:val="0"/>
              <w:autoSpaceDE/>
              <w:autoSpaceDN/>
              <w:bidi w:val="0"/>
              <w:adjustRightInd/>
              <w:snapToGrid/>
              <w:spacing w:after="50" w:line="400" w:lineRule="exact"/>
              <w:ind w:right="-10" w:right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14:paraId="3198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auto" w:sz="4" w:space="0"/>
              <w:right w:val="single" w:color="auto" w:sz="4" w:space="0"/>
            </w:tcBorders>
            <w:vAlign w:val="center"/>
          </w:tcPr>
          <w:p w14:paraId="78787AE0">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hint="eastAsia" w:ascii="宋体" w:hAnsi="宋体" w:eastAsia="宋体" w:cs="宋体"/>
                <w:b/>
                <w:bCs/>
                <w:color w:val="auto"/>
                <w:sz w:val="24"/>
                <w:szCs w:val="24"/>
                <w:highlight w:val="none"/>
              </w:rPr>
            </w:pPr>
          </w:p>
        </w:tc>
        <w:tc>
          <w:tcPr>
            <w:tcW w:w="873" w:type="pct"/>
            <w:tcBorders>
              <w:left w:val="single" w:color="auto" w:sz="4" w:space="0"/>
              <w:bottom w:val="single" w:color="auto" w:sz="4" w:space="0"/>
              <w:right w:val="single" w:color="auto" w:sz="4" w:space="0"/>
            </w:tcBorders>
            <w:shd w:val="clear" w:color="auto" w:fill="auto"/>
            <w:vAlign w:val="center"/>
          </w:tcPr>
          <w:p w14:paraId="13AA2A90">
            <w:pPr>
              <w:keepNext w:val="0"/>
              <w:keepLines w:val="0"/>
              <w:pageBreakBefore w:val="0"/>
              <w:widowControl w:val="0"/>
              <w:kinsoku/>
              <w:wordWrap/>
              <w:overflowPunct/>
              <w:topLinePunct w:val="0"/>
              <w:autoSpaceDE/>
              <w:autoSpaceDN/>
              <w:bidi w:val="0"/>
              <w:adjustRightInd/>
              <w:snapToGrid/>
              <w:spacing w:after="50" w:line="400" w:lineRule="exact"/>
              <w:ind w:right="-10" w:rightChars="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设备</w:t>
            </w:r>
            <w:r>
              <w:rPr>
                <w:rFonts w:hint="eastAsia" w:ascii="宋体" w:hAnsi="宋体" w:eastAsia="宋体" w:cs="宋体"/>
                <w:color w:val="auto"/>
                <w:sz w:val="24"/>
                <w:szCs w:val="24"/>
                <w:highlight w:val="none"/>
                <w:lang w:val="en-US" w:eastAsia="zh-CN"/>
              </w:rPr>
              <w:t>维修</w:t>
            </w:r>
            <w:r>
              <w:rPr>
                <w:rFonts w:hint="eastAsia" w:ascii="宋体" w:hAnsi="宋体" w:eastAsia="宋体" w:cs="宋体"/>
                <w:color w:val="auto"/>
                <w:sz w:val="24"/>
                <w:szCs w:val="24"/>
                <w:highlight w:val="none"/>
              </w:rPr>
              <w:t>保养服务</w:t>
            </w:r>
            <w:r>
              <w:rPr>
                <w:rFonts w:hint="eastAsia" w:ascii="宋体" w:hAnsi="宋体" w:eastAsia="宋体" w:cs="宋体"/>
                <w:color w:val="auto"/>
                <w:sz w:val="24"/>
                <w:szCs w:val="24"/>
                <w:highlight w:val="none"/>
                <w:lang w:val="en-US" w:eastAsia="zh-CN"/>
              </w:rPr>
              <w:t>方案</w:t>
            </w:r>
          </w:p>
        </w:tc>
        <w:tc>
          <w:tcPr>
            <w:tcW w:w="2566" w:type="pct"/>
            <w:tcBorders>
              <w:top w:val="single" w:color="auto" w:sz="4" w:space="0"/>
              <w:left w:val="single" w:color="auto" w:sz="4" w:space="0"/>
              <w:bottom w:val="single" w:color="auto" w:sz="4" w:space="0"/>
              <w:right w:val="single" w:color="auto" w:sz="4" w:space="0"/>
            </w:tcBorders>
            <w:shd w:val="clear" w:color="auto" w:fill="auto"/>
            <w:vAlign w:val="center"/>
          </w:tcPr>
          <w:p w14:paraId="784F8D9C">
            <w:pPr>
              <w:keepNext w:val="0"/>
              <w:keepLines w:val="0"/>
              <w:pageBreakBefore w:val="0"/>
              <w:widowControl w:val="0"/>
              <w:kinsoku/>
              <w:wordWrap/>
              <w:overflowPunct/>
              <w:topLinePunct w:val="0"/>
              <w:autoSpaceDE/>
              <w:autoSpaceDN/>
              <w:bidi w:val="0"/>
              <w:adjustRightInd/>
              <w:snapToGrid/>
              <w:spacing w:after="50" w:line="400" w:lineRule="exact"/>
              <w:ind w:right="-1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综合比较各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提供的设备</w:t>
            </w:r>
            <w:r>
              <w:rPr>
                <w:rFonts w:hint="eastAsia" w:ascii="宋体" w:hAnsi="宋体" w:eastAsia="宋体" w:cs="宋体"/>
                <w:color w:val="auto"/>
                <w:sz w:val="24"/>
                <w:szCs w:val="24"/>
                <w:highlight w:val="none"/>
                <w:lang w:val="en-US" w:eastAsia="zh-CN"/>
              </w:rPr>
              <w:t>维修</w:t>
            </w:r>
            <w:r>
              <w:rPr>
                <w:rFonts w:hint="eastAsia" w:ascii="宋体" w:hAnsi="宋体" w:eastAsia="宋体" w:cs="宋体"/>
                <w:color w:val="auto"/>
                <w:sz w:val="24"/>
                <w:szCs w:val="24"/>
                <w:highlight w:val="none"/>
              </w:rPr>
              <w:t>保养服务细则内容（包括包括解除故障效率、更换产品质量、常用配件辅材的储备、技术能力的支持、维修满意度等</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站区清洁、平时巡查、人员坐班等）进行评分。</w:t>
            </w:r>
          </w:p>
          <w:p w14:paraId="06AFFE12">
            <w:pPr>
              <w:keepNext w:val="0"/>
              <w:keepLines w:val="0"/>
              <w:pageBreakBefore w:val="0"/>
              <w:widowControl w:val="0"/>
              <w:kinsoku/>
              <w:wordWrap/>
              <w:overflowPunct/>
              <w:topLinePunct w:val="0"/>
              <w:autoSpaceDE/>
              <w:autoSpaceDN/>
              <w:bidi w:val="0"/>
              <w:adjustRightInd/>
              <w:snapToGrid/>
              <w:spacing w:after="50" w:line="400" w:lineRule="exact"/>
              <w:ind w:right="-1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提供的设备保养服务细则</w:t>
            </w:r>
            <w:r>
              <w:rPr>
                <w:rFonts w:hint="eastAsia" w:ascii="宋体" w:hAnsi="宋体" w:eastAsia="宋体" w:cs="宋体"/>
                <w:color w:val="auto"/>
                <w:sz w:val="24"/>
                <w:szCs w:val="24"/>
                <w:highlight w:val="none"/>
                <w:lang w:val="en-US" w:eastAsia="zh-CN"/>
              </w:rPr>
              <w:t>齐全、有效</w:t>
            </w:r>
            <w:r>
              <w:rPr>
                <w:rFonts w:hint="eastAsia" w:ascii="宋体" w:hAnsi="宋体" w:eastAsia="宋体" w:cs="宋体"/>
                <w:color w:val="auto"/>
                <w:sz w:val="24"/>
                <w:szCs w:val="24"/>
                <w:highlight w:val="none"/>
              </w:rPr>
              <w:t>，可行性、实用性、针对性</w:t>
            </w:r>
            <w:r>
              <w:rPr>
                <w:rFonts w:hint="eastAsia" w:ascii="宋体" w:hAnsi="宋体" w:eastAsia="宋体" w:cs="宋体"/>
                <w:color w:val="auto"/>
                <w:sz w:val="24"/>
                <w:szCs w:val="24"/>
                <w:highlight w:val="none"/>
                <w:lang w:val="en-US" w:eastAsia="zh-CN"/>
              </w:rPr>
              <w:t>明显的得5分；</w:t>
            </w:r>
          </w:p>
          <w:p w14:paraId="3C62C0F6">
            <w:pPr>
              <w:keepNext w:val="0"/>
              <w:keepLines w:val="0"/>
              <w:pageBreakBefore w:val="0"/>
              <w:widowControl w:val="0"/>
              <w:kinsoku/>
              <w:wordWrap/>
              <w:overflowPunct/>
              <w:topLinePunct w:val="0"/>
              <w:autoSpaceDE/>
              <w:autoSpaceDN/>
              <w:bidi w:val="0"/>
              <w:adjustRightInd/>
              <w:snapToGrid/>
              <w:spacing w:after="50" w:line="400" w:lineRule="exact"/>
              <w:ind w:right="-1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提供的设备保养服务细则</w:t>
            </w:r>
            <w:r>
              <w:rPr>
                <w:rFonts w:hint="eastAsia" w:ascii="宋体" w:hAnsi="宋体" w:eastAsia="宋体" w:cs="宋体"/>
                <w:color w:val="auto"/>
                <w:sz w:val="24"/>
                <w:szCs w:val="24"/>
                <w:highlight w:val="none"/>
                <w:lang w:val="en-US" w:eastAsia="zh-CN"/>
              </w:rPr>
              <w:t>不全，有待完善，内容满足项目需求的得4分；</w:t>
            </w:r>
          </w:p>
          <w:p w14:paraId="3C607492">
            <w:pPr>
              <w:keepNext w:val="0"/>
              <w:keepLines w:val="0"/>
              <w:pageBreakBefore w:val="0"/>
              <w:widowControl w:val="0"/>
              <w:kinsoku/>
              <w:wordWrap/>
              <w:overflowPunct/>
              <w:topLinePunct w:val="0"/>
              <w:autoSpaceDE/>
              <w:autoSpaceDN/>
              <w:bidi w:val="0"/>
              <w:adjustRightInd/>
              <w:snapToGrid/>
              <w:spacing w:after="50" w:line="400" w:lineRule="exact"/>
              <w:ind w:right="-1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提供的设备保养服务细则</w:t>
            </w:r>
            <w:r>
              <w:rPr>
                <w:rFonts w:hint="eastAsia" w:ascii="宋体" w:hAnsi="宋体" w:eastAsia="宋体" w:cs="宋体"/>
                <w:color w:val="auto"/>
                <w:sz w:val="24"/>
                <w:szCs w:val="24"/>
                <w:highlight w:val="none"/>
                <w:lang w:val="en-US" w:eastAsia="zh-CN"/>
              </w:rPr>
              <w:t>过于单一、内容不全的得3分；</w:t>
            </w:r>
          </w:p>
          <w:p w14:paraId="69BCEF9E">
            <w:pPr>
              <w:keepNext w:val="0"/>
              <w:keepLines w:val="0"/>
              <w:pageBreakBefore w:val="0"/>
              <w:widowControl w:val="0"/>
              <w:kinsoku/>
              <w:wordWrap/>
              <w:overflowPunct/>
              <w:topLinePunct w:val="0"/>
              <w:autoSpaceDE/>
              <w:autoSpaceDN/>
              <w:bidi w:val="0"/>
              <w:adjustRightInd/>
              <w:snapToGrid/>
              <w:spacing w:after="50" w:line="400" w:lineRule="exact"/>
              <w:ind w:right="-1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提供的设备保养服务细则内容</w:t>
            </w:r>
            <w:r>
              <w:rPr>
                <w:rFonts w:hint="eastAsia" w:ascii="宋体" w:hAnsi="宋体" w:eastAsia="宋体" w:cs="宋体"/>
                <w:color w:val="auto"/>
                <w:sz w:val="24"/>
                <w:szCs w:val="24"/>
                <w:highlight w:val="none"/>
                <w:lang w:val="en-US" w:eastAsia="zh-CN"/>
              </w:rPr>
              <w:t>不符合要求的或未提供相应内容的不得分。</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4193E14E">
            <w:pPr>
              <w:keepNext w:val="0"/>
              <w:keepLines w:val="0"/>
              <w:pageBreakBefore w:val="0"/>
              <w:widowControl w:val="0"/>
              <w:kinsoku/>
              <w:wordWrap/>
              <w:overflowPunct/>
              <w:topLinePunct w:val="0"/>
              <w:autoSpaceDE/>
              <w:autoSpaceDN/>
              <w:bidi w:val="0"/>
              <w:adjustRightInd/>
              <w:snapToGrid/>
              <w:spacing w:after="50" w:line="400" w:lineRule="exact"/>
              <w:ind w:right="-10" w:right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14:paraId="4D2A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auto" w:sz="4" w:space="0"/>
              <w:right w:val="single" w:color="auto" w:sz="4" w:space="0"/>
            </w:tcBorders>
            <w:vAlign w:val="center"/>
          </w:tcPr>
          <w:p w14:paraId="7EAB2F91">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hint="eastAsia" w:ascii="宋体" w:hAnsi="宋体" w:eastAsia="宋体" w:cs="宋体"/>
                <w:b/>
                <w:bCs/>
                <w:color w:val="auto"/>
                <w:sz w:val="24"/>
                <w:szCs w:val="24"/>
                <w:highlight w:val="none"/>
              </w:rPr>
            </w:pPr>
          </w:p>
        </w:tc>
        <w:tc>
          <w:tcPr>
            <w:tcW w:w="873" w:type="pct"/>
            <w:tcBorders>
              <w:left w:val="single" w:color="auto" w:sz="4" w:space="0"/>
              <w:bottom w:val="single" w:color="auto" w:sz="4" w:space="0"/>
              <w:right w:val="single" w:color="auto" w:sz="4" w:space="0"/>
            </w:tcBorders>
            <w:vAlign w:val="center"/>
          </w:tcPr>
          <w:p w14:paraId="7C28BF7E">
            <w:pPr>
              <w:keepNext w:val="0"/>
              <w:keepLines w:val="0"/>
              <w:pageBreakBefore w:val="0"/>
              <w:widowControl w:val="0"/>
              <w:kinsoku/>
              <w:wordWrap/>
              <w:overflowPunct/>
              <w:topLinePunct w:val="0"/>
              <w:autoSpaceDE/>
              <w:autoSpaceDN/>
              <w:bidi w:val="0"/>
              <w:adjustRightInd/>
              <w:snapToGrid/>
              <w:spacing w:after="50" w:line="400" w:lineRule="exact"/>
              <w:ind w:right="-10" w:right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10.项目安全管理方案</w:t>
            </w:r>
          </w:p>
        </w:tc>
        <w:tc>
          <w:tcPr>
            <w:tcW w:w="2566" w:type="pct"/>
            <w:tcBorders>
              <w:top w:val="single" w:color="auto" w:sz="4" w:space="0"/>
              <w:left w:val="single" w:color="auto" w:sz="4" w:space="0"/>
              <w:bottom w:val="single" w:color="auto" w:sz="4" w:space="0"/>
              <w:right w:val="single" w:color="auto" w:sz="4" w:space="0"/>
            </w:tcBorders>
            <w:vAlign w:val="center"/>
          </w:tcPr>
          <w:p w14:paraId="515942EC">
            <w:pPr>
              <w:keepNext w:val="0"/>
              <w:keepLines w:val="0"/>
              <w:pageBreakBefore w:val="0"/>
              <w:widowControl w:val="0"/>
              <w:kinsoku/>
              <w:wordWrap/>
              <w:overflowPunct/>
              <w:topLinePunct w:val="0"/>
              <w:autoSpaceDE/>
              <w:autoSpaceDN/>
              <w:bidi w:val="0"/>
              <w:adjustRightInd/>
              <w:snapToGrid/>
              <w:spacing w:after="50" w:line="400" w:lineRule="exact"/>
              <w:ind w:right="-1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针对项目涉及的所有安全</w:t>
            </w: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管理方案</w:t>
            </w:r>
            <w:r>
              <w:rPr>
                <w:rFonts w:hint="eastAsia" w:ascii="宋体" w:hAnsi="宋体" w:eastAsia="宋体" w:cs="宋体"/>
                <w:color w:val="auto"/>
                <w:sz w:val="24"/>
                <w:szCs w:val="24"/>
                <w:highlight w:val="none"/>
              </w:rPr>
              <w:t>（包括</w:t>
            </w:r>
            <w:r>
              <w:rPr>
                <w:rFonts w:hint="eastAsia" w:ascii="宋体" w:hAnsi="宋体" w:eastAsia="宋体" w:cs="宋体"/>
                <w:color w:val="auto"/>
                <w:sz w:val="24"/>
                <w:szCs w:val="24"/>
                <w:highlight w:val="none"/>
                <w:lang w:val="en-US" w:eastAsia="zh-CN"/>
              </w:rPr>
              <w:t>水闸、渠道、泵站、管道、拦水坝、高低压电气等的安全巡查检查检测、防护</w:t>
            </w:r>
            <w:r>
              <w:rPr>
                <w:rFonts w:hint="eastAsia" w:ascii="宋体" w:hAnsi="宋体" w:eastAsia="宋体" w:cs="宋体"/>
                <w:color w:val="auto"/>
                <w:sz w:val="24"/>
                <w:szCs w:val="24"/>
                <w:highlight w:val="none"/>
              </w:rPr>
              <w:t>等）进行评分。</w:t>
            </w:r>
          </w:p>
          <w:p w14:paraId="5FC391EA">
            <w:pPr>
              <w:keepNext w:val="0"/>
              <w:keepLines w:val="0"/>
              <w:pageBreakBefore w:val="0"/>
              <w:widowControl w:val="0"/>
              <w:kinsoku/>
              <w:wordWrap/>
              <w:overflowPunct/>
              <w:topLinePunct w:val="0"/>
              <w:autoSpaceDE/>
              <w:autoSpaceDN/>
              <w:bidi w:val="0"/>
              <w:adjustRightInd/>
              <w:snapToGrid/>
              <w:spacing w:after="50" w:line="400" w:lineRule="exact"/>
              <w:ind w:right="-1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w:t>
            </w:r>
            <w:r>
              <w:rPr>
                <w:rFonts w:hint="eastAsia" w:ascii="宋体" w:hAnsi="宋体" w:eastAsia="宋体" w:cs="宋体"/>
                <w:color w:val="auto"/>
                <w:sz w:val="24"/>
                <w:szCs w:val="24"/>
                <w:highlight w:val="none"/>
                <w:lang w:val="en-US" w:eastAsia="zh-CN"/>
              </w:rPr>
              <w:t>安全管理方案</w:t>
            </w:r>
            <w:r>
              <w:rPr>
                <w:rFonts w:hint="eastAsia" w:ascii="宋体" w:hAnsi="宋体" w:eastAsia="宋体" w:cs="宋体"/>
                <w:color w:val="auto"/>
                <w:sz w:val="24"/>
                <w:szCs w:val="24"/>
                <w:highlight w:val="none"/>
              </w:rPr>
              <w:t>内容完整详细，</w:t>
            </w:r>
            <w:r>
              <w:rPr>
                <w:rFonts w:hint="eastAsia" w:ascii="宋体" w:hAnsi="宋体" w:eastAsia="宋体" w:cs="宋体"/>
                <w:color w:val="auto"/>
                <w:sz w:val="24"/>
                <w:szCs w:val="24"/>
                <w:highlight w:val="none"/>
                <w:lang w:val="en-US" w:eastAsia="zh-CN"/>
              </w:rPr>
              <w:t>突出重点，</w:t>
            </w:r>
            <w:r>
              <w:rPr>
                <w:rFonts w:hint="eastAsia" w:ascii="宋体" w:hAnsi="宋体" w:eastAsia="宋体" w:cs="宋体"/>
                <w:color w:val="auto"/>
                <w:sz w:val="24"/>
                <w:szCs w:val="24"/>
                <w:highlight w:val="none"/>
              </w:rPr>
              <w:t>实施措施完善，得5分；</w:t>
            </w:r>
          </w:p>
          <w:p w14:paraId="6C5C3383">
            <w:pPr>
              <w:keepNext w:val="0"/>
              <w:keepLines w:val="0"/>
              <w:pageBreakBefore w:val="0"/>
              <w:widowControl w:val="0"/>
              <w:kinsoku/>
              <w:wordWrap/>
              <w:overflowPunct/>
              <w:topLinePunct w:val="0"/>
              <w:autoSpaceDE/>
              <w:autoSpaceDN/>
              <w:bidi w:val="0"/>
              <w:adjustRightInd/>
              <w:snapToGrid/>
              <w:spacing w:after="50" w:line="400" w:lineRule="exact"/>
              <w:ind w:right="-1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w:t>
            </w:r>
            <w:r>
              <w:rPr>
                <w:rFonts w:hint="eastAsia" w:ascii="宋体" w:hAnsi="宋体" w:eastAsia="宋体" w:cs="宋体"/>
                <w:color w:val="auto"/>
                <w:sz w:val="24"/>
                <w:szCs w:val="24"/>
                <w:highlight w:val="none"/>
                <w:lang w:val="en-US" w:eastAsia="zh-CN"/>
              </w:rPr>
              <w:t>安全管理方案</w:t>
            </w:r>
            <w:r>
              <w:rPr>
                <w:rFonts w:hint="eastAsia" w:ascii="宋体" w:hAnsi="宋体" w:eastAsia="宋体" w:cs="宋体"/>
                <w:color w:val="auto"/>
                <w:sz w:val="24"/>
                <w:szCs w:val="24"/>
                <w:highlight w:val="none"/>
              </w:rPr>
              <w:t>内容，可行性、实用性和针对性有待改善，得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0418EB41">
            <w:pPr>
              <w:keepNext w:val="0"/>
              <w:keepLines w:val="0"/>
              <w:pageBreakBefore w:val="0"/>
              <w:widowControl w:val="0"/>
              <w:kinsoku/>
              <w:wordWrap/>
              <w:overflowPunct/>
              <w:topLinePunct w:val="0"/>
              <w:autoSpaceDE/>
              <w:autoSpaceDN/>
              <w:bidi w:val="0"/>
              <w:adjustRightInd/>
              <w:snapToGrid/>
              <w:spacing w:after="50" w:line="400" w:lineRule="exact"/>
              <w:ind w:right="-1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提供的设备保养服务细则</w:t>
            </w:r>
            <w:r>
              <w:rPr>
                <w:rFonts w:hint="eastAsia" w:ascii="宋体" w:hAnsi="宋体" w:eastAsia="宋体" w:cs="宋体"/>
                <w:color w:val="auto"/>
                <w:sz w:val="24"/>
                <w:szCs w:val="24"/>
                <w:highlight w:val="none"/>
                <w:lang w:val="en-US" w:eastAsia="zh-CN"/>
              </w:rPr>
              <w:t>过于单一、内容不全的得3分</w:t>
            </w:r>
          </w:p>
          <w:p w14:paraId="41B78937">
            <w:pPr>
              <w:keepNext w:val="0"/>
              <w:keepLines w:val="0"/>
              <w:pageBreakBefore w:val="0"/>
              <w:widowControl w:val="0"/>
              <w:kinsoku/>
              <w:wordWrap/>
              <w:overflowPunct/>
              <w:topLinePunct w:val="0"/>
              <w:autoSpaceDE/>
              <w:autoSpaceDN/>
              <w:bidi w:val="0"/>
              <w:adjustRightInd/>
              <w:snapToGrid/>
              <w:spacing w:after="50" w:line="400" w:lineRule="exact"/>
              <w:ind w:right="-10" w:right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w:t>
            </w:r>
            <w:r>
              <w:rPr>
                <w:rFonts w:hint="eastAsia" w:ascii="宋体" w:hAnsi="宋体" w:eastAsia="宋体" w:cs="宋体"/>
                <w:color w:val="auto"/>
                <w:sz w:val="24"/>
                <w:szCs w:val="24"/>
                <w:highlight w:val="none"/>
                <w:lang w:val="en-US" w:eastAsia="zh-CN"/>
              </w:rPr>
              <w:t>安全管理方案</w:t>
            </w: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不符合要求的或未提供相应内容的不得分。</w:t>
            </w:r>
          </w:p>
        </w:tc>
        <w:tc>
          <w:tcPr>
            <w:tcW w:w="697" w:type="pct"/>
            <w:tcBorders>
              <w:top w:val="single" w:color="auto" w:sz="4" w:space="0"/>
              <w:left w:val="single" w:color="auto" w:sz="4" w:space="0"/>
              <w:bottom w:val="single" w:color="auto" w:sz="4" w:space="0"/>
              <w:right w:val="single" w:color="auto" w:sz="4" w:space="0"/>
            </w:tcBorders>
            <w:vAlign w:val="center"/>
          </w:tcPr>
          <w:p w14:paraId="391F7CCC">
            <w:pPr>
              <w:keepNext w:val="0"/>
              <w:keepLines w:val="0"/>
              <w:pageBreakBefore w:val="0"/>
              <w:widowControl w:val="0"/>
              <w:kinsoku/>
              <w:wordWrap/>
              <w:overflowPunct/>
              <w:topLinePunct w:val="0"/>
              <w:autoSpaceDE/>
              <w:autoSpaceDN/>
              <w:bidi w:val="0"/>
              <w:adjustRightInd/>
              <w:snapToGrid/>
              <w:spacing w:after="50" w:line="400" w:lineRule="exact"/>
              <w:ind w:right="-10" w:right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14:paraId="04F2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863" w:type="pct"/>
            <w:vMerge w:val="continue"/>
            <w:tcBorders>
              <w:left w:val="single" w:color="auto" w:sz="4" w:space="0"/>
              <w:right w:val="single" w:color="auto" w:sz="4" w:space="0"/>
            </w:tcBorders>
            <w:vAlign w:val="center"/>
          </w:tcPr>
          <w:p w14:paraId="58C7F7DF">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hint="eastAsia" w:ascii="宋体" w:hAnsi="宋体" w:eastAsia="宋体" w:cs="宋体"/>
                <w:b/>
                <w:bCs/>
                <w:color w:val="auto"/>
                <w:sz w:val="24"/>
                <w:szCs w:val="24"/>
                <w:highlight w:val="none"/>
              </w:rPr>
            </w:pPr>
          </w:p>
        </w:tc>
        <w:tc>
          <w:tcPr>
            <w:tcW w:w="873" w:type="pct"/>
            <w:tcBorders>
              <w:left w:val="single" w:color="auto" w:sz="4" w:space="0"/>
              <w:bottom w:val="single" w:color="auto" w:sz="4" w:space="0"/>
              <w:right w:val="single" w:color="auto" w:sz="4" w:space="0"/>
            </w:tcBorders>
            <w:vAlign w:val="center"/>
          </w:tcPr>
          <w:p w14:paraId="7B0DC42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p>
          <w:p w14:paraId="62DBAB8A">
            <w:pPr>
              <w:pStyle w:val="70"/>
              <w:keepNext w:val="0"/>
              <w:keepLines w:val="0"/>
              <w:pageBreakBefore w:val="0"/>
              <w:widowControl w:val="0"/>
              <w:kinsoku/>
              <w:wordWrap/>
              <w:overflowPunct/>
              <w:topLinePunct w:val="0"/>
              <w:autoSpaceDE/>
              <w:autoSpaceDN/>
              <w:bidi w:val="0"/>
              <w:adjustRightInd/>
              <w:snapToGrid/>
              <w:spacing w:before="65" w:line="400" w:lineRule="exact"/>
              <w:ind w:left="339" w:leftChars="0" w:right="145" w:rightChars="0" w:hanging="188" w:firstLineChars="0"/>
              <w:jc w:val="both"/>
              <w:textAlignment w:val="auto"/>
              <w:rPr>
                <w:rFonts w:hint="eastAsia" w:ascii="宋体" w:hAnsi="宋体" w:eastAsia="宋体" w:cs="宋体"/>
                <w:b w:val="0"/>
                <w:bCs w:val="0"/>
                <w:color w:val="auto"/>
                <w:spacing w:val="1"/>
                <w:kern w:val="0"/>
                <w:sz w:val="24"/>
                <w:szCs w:val="24"/>
                <w:highlight w:val="none"/>
                <w:lang w:val="en-US" w:eastAsia="zh-CN"/>
              </w:rPr>
            </w:pPr>
            <w:r>
              <w:rPr>
                <w:rFonts w:hint="eastAsia" w:ascii="宋体" w:hAnsi="宋体" w:eastAsia="宋体" w:cs="宋体"/>
                <w:color w:val="auto"/>
                <w:spacing w:val="3"/>
                <w:sz w:val="24"/>
                <w:szCs w:val="24"/>
                <w:highlight w:val="none"/>
                <w:lang w:val="en-US" w:eastAsia="zh-CN"/>
              </w:rPr>
              <w:t>11.</w:t>
            </w:r>
            <w:r>
              <w:rPr>
                <w:rFonts w:hint="eastAsia" w:ascii="宋体" w:hAnsi="宋体" w:eastAsia="宋体" w:cs="宋体"/>
                <w:color w:val="auto"/>
                <w:spacing w:val="3"/>
                <w:sz w:val="24"/>
                <w:szCs w:val="24"/>
                <w:highlight w:val="none"/>
              </w:rPr>
              <w:t>项目重难点分析</w:t>
            </w:r>
          </w:p>
        </w:tc>
        <w:tc>
          <w:tcPr>
            <w:tcW w:w="2566" w:type="pct"/>
            <w:tcBorders>
              <w:top w:val="single" w:color="auto" w:sz="4" w:space="0"/>
              <w:left w:val="single" w:color="auto" w:sz="4" w:space="0"/>
              <w:bottom w:val="single" w:color="auto" w:sz="4" w:space="0"/>
              <w:right w:val="single" w:color="auto" w:sz="4" w:space="0"/>
            </w:tcBorders>
            <w:vAlign w:val="center"/>
          </w:tcPr>
          <w:p w14:paraId="40EEAF13">
            <w:pPr>
              <w:pStyle w:val="70"/>
              <w:keepNext w:val="0"/>
              <w:keepLines w:val="0"/>
              <w:pageBreakBefore w:val="0"/>
              <w:widowControl w:val="0"/>
              <w:kinsoku/>
              <w:wordWrap/>
              <w:overflowPunct/>
              <w:topLinePunct w:val="0"/>
              <w:autoSpaceDE/>
              <w:autoSpaceDN/>
              <w:bidi w:val="0"/>
              <w:adjustRightInd/>
              <w:snapToGrid/>
              <w:spacing w:before="113" w:line="400" w:lineRule="exact"/>
              <w:ind w:right="10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根据文件要求及</w:t>
            </w:r>
            <w:r>
              <w:rPr>
                <w:rFonts w:hint="eastAsia" w:ascii="宋体" w:hAnsi="宋体" w:eastAsia="宋体" w:cs="宋体"/>
                <w:color w:val="auto"/>
                <w:spacing w:val="11"/>
                <w:sz w:val="24"/>
                <w:szCs w:val="24"/>
                <w:highlight w:val="none"/>
                <w:lang w:eastAsia="zh-CN"/>
              </w:rPr>
              <w:t>供应商</w:t>
            </w:r>
            <w:r>
              <w:rPr>
                <w:rFonts w:hint="eastAsia" w:ascii="宋体" w:hAnsi="宋体" w:eastAsia="宋体" w:cs="宋体"/>
                <w:color w:val="auto"/>
                <w:spacing w:val="11"/>
                <w:sz w:val="24"/>
                <w:szCs w:val="24"/>
                <w:highlight w:val="none"/>
              </w:rPr>
              <w:t>提供的对本项目重难点分析情况进行综合</w:t>
            </w:r>
            <w:r>
              <w:rPr>
                <w:rFonts w:hint="eastAsia" w:ascii="宋体" w:hAnsi="宋体" w:eastAsia="宋体" w:cs="宋体"/>
                <w:color w:val="auto"/>
                <w:spacing w:val="10"/>
                <w:sz w:val="24"/>
                <w:szCs w:val="24"/>
                <w:highlight w:val="none"/>
              </w:rPr>
              <w:t>评分，项目重点难点分析内容包括且不限于项目</w:t>
            </w:r>
            <w:r>
              <w:rPr>
                <w:rFonts w:hint="eastAsia" w:ascii="宋体" w:hAnsi="宋体" w:eastAsia="宋体" w:cs="宋体"/>
                <w:color w:val="auto"/>
                <w:spacing w:val="9"/>
                <w:sz w:val="24"/>
                <w:szCs w:val="24"/>
                <w:highlight w:val="none"/>
              </w:rPr>
              <w:t>服务需求及目的、项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目实施过程中的关键点掌握、重点、难点分析及保障措 施等。</w:t>
            </w:r>
          </w:p>
          <w:p w14:paraId="00E5BEDE">
            <w:pPr>
              <w:pStyle w:val="70"/>
              <w:keepNext w:val="0"/>
              <w:keepLines w:val="0"/>
              <w:pageBreakBefore w:val="0"/>
              <w:widowControl w:val="0"/>
              <w:kinsoku/>
              <w:wordWrap/>
              <w:overflowPunct/>
              <w:topLinePunct w:val="0"/>
              <w:autoSpaceDE/>
              <w:autoSpaceDN/>
              <w:bidi w:val="0"/>
              <w:adjustRightInd/>
              <w:snapToGrid/>
              <w:spacing w:before="78"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lang w:val="en-US" w:eastAsia="zh-CN"/>
              </w:rPr>
              <w:t>1、</w:t>
            </w:r>
            <w:r>
              <w:rPr>
                <w:rFonts w:hint="eastAsia" w:ascii="宋体" w:hAnsi="宋体" w:eastAsia="宋体" w:cs="宋体"/>
                <w:color w:val="auto"/>
                <w:spacing w:val="7"/>
                <w:sz w:val="24"/>
                <w:szCs w:val="24"/>
                <w:highlight w:val="none"/>
              </w:rPr>
              <w:t>对本项目特点、关键点、重难点分析内容详细，表述清晰，与本项目实际需求匹配度高，有利于项目实施的，得</w:t>
            </w:r>
            <w:r>
              <w:rPr>
                <w:rFonts w:hint="eastAsia" w:ascii="宋体" w:hAnsi="宋体" w:eastAsia="宋体" w:cs="宋体"/>
                <w:color w:val="auto"/>
                <w:spacing w:val="7"/>
                <w:sz w:val="24"/>
                <w:szCs w:val="24"/>
                <w:highlight w:val="none"/>
                <w:lang w:val="en-US" w:eastAsia="zh-CN"/>
              </w:rPr>
              <w:t>5</w:t>
            </w:r>
            <w:r>
              <w:rPr>
                <w:rFonts w:hint="eastAsia" w:ascii="宋体" w:hAnsi="宋体" w:eastAsia="宋体" w:cs="宋体"/>
                <w:color w:val="auto"/>
                <w:spacing w:val="7"/>
                <w:sz w:val="24"/>
                <w:szCs w:val="24"/>
                <w:highlight w:val="none"/>
              </w:rPr>
              <w:t>分；</w:t>
            </w:r>
          </w:p>
          <w:p w14:paraId="25CB0338">
            <w:pPr>
              <w:pStyle w:val="70"/>
              <w:keepNext w:val="0"/>
              <w:keepLines w:val="0"/>
              <w:pageBreakBefore w:val="0"/>
              <w:widowControl w:val="0"/>
              <w:kinsoku/>
              <w:wordWrap/>
              <w:overflowPunct/>
              <w:topLinePunct w:val="0"/>
              <w:autoSpaceDE/>
              <w:autoSpaceDN/>
              <w:bidi w:val="0"/>
              <w:adjustRightInd/>
              <w:snapToGrid/>
              <w:spacing w:before="112" w:line="400" w:lineRule="exact"/>
              <w:ind w:right="49"/>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rPr>
              <w:t>对本项目特点、关键点、重难点分析内容较为详细，表述较为清晰，</w:t>
            </w:r>
            <w:r>
              <w:rPr>
                <w:rFonts w:hint="eastAsia" w:ascii="宋体" w:hAnsi="宋体" w:eastAsia="宋体" w:cs="宋体"/>
                <w:color w:val="auto"/>
                <w:spacing w:val="8"/>
                <w:sz w:val="24"/>
                <w:szCs w:val="24"/>
                <w:highlight w:val="none"/>
              </w:rPr>
              <w:t>与本项目实际需求匹配度较高的，得</w:t>
            </w: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分；</w:t>
            </w:r>
          </w:p>
          <w:p w14:paraId="72391A80">
            <w:pPr>
              <w:pStyle w:val="70"/>
              <w:keepNext w:val="0"/>
              <w:keepLines w:val="0"/>
              <w:pageBreakBefore w:val="0"/>
              <w:widowControl w:val="0"/>
              <w:kinsoku/>
              <w:wordWrap/>
              <w:overflowPunct/>
              <w:topLinePunct w:val="0"/>
              <w:autoSpaceDE/>
              <w:autoSpaceDN/>
              <w:bidi w:val="0"/>
              <w:adjustRightInd/>
              <w:snapToGrid/>
              <w:spacing w:before="114" w:line="400" w:lineRule="exact"/>
              <w:ind w:right="10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lang w:val="en-US" w:eastAsia="zh-CN"/>
              </w:rPr>
              <w:t>3、</w:t>
            </w:r>
            <w:r>
              <w:rPr>
                <w:rFonts w:hint="eastAsia" w:ascii="宋体" w:hAnsi="宋体" w:eastAsia="宋体" w:cs="宋体"/>
                <w:color w:val="auto"/>
                <w:spacing w:val="7"/>
                <w:sz w:val="24"/>
                <w:szCs w:val="24"/>
                <w:highlight w:val="none"/>
              </w:rPr>
              <w:t>对本项目特点、关键点、重难点分析内容有待补充完善，部分内容</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6"/>
                <w:sz w:val="24"/>
                <w:szCs w:val="24"/>
                <w:highlight w:val="none"/>
              </w:rPr>
              <w:t>仍需进一步改善的，得</w:t>
            </w: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rPr>
              <w:t>分；</w:t>
            </w:r>
          </w:p>
          <w:p w14:paraId="68D7A407">
            <w:pPr>
              <w:pStyle w:val="70"/>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rPr>
              <w:t>内容不能满足项目要求或未提供的，不得分</w:t>
            </w:r>
          </w:p>
        </w:tc>
        <w:tc>
          <w:tcPr>
            <w:tcW w:w="697" w:type="pct"/>
            <w:tcBorders>
              <w:top w:val="single" w:color="auto" w:sz="4" w:space="0"/>
              <w:left w:val="single" w:color="auto" w:sz="4" w:space="0"/>
              <w:bottom w:val="single" w:color="auto" w:sz="4" w:space="0"/>
              <w:right w:val="single" w:color="auto" w:sz="4" w:space="0"/>
            </w:tcBorders>
            <w:vAlign w:val="center"/>
          </w:tcPr>
          <w:p w14:paraId="35972D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r>
      <w:tr w14:paraId="7C3B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auto" w:sz="4" w:space="0"/>
              <w:right w:val="single" w:color="auto" w:sz="4" w:space="0"/>
            </w:tcBorders>
            <w:vAlign w:val="center"/>
          </w:tcPr>
          <w:p w14:paraId="056837A6">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hint="eastAsia" w:ascii="宋体" w:hAnsi="宋体" w:eastAsia="宋体" w:cs="宋体"/>
                <w:b/>
                <w:bCs/>
                <w:color w:val="auto"/>
                <w:sz w:val="24"/>
                <w:szCs w:val="24"/>
                <w:highlight w:val="none"/>
              </w:rPr>
            </w:pPr>
          </w:p>
        </w:tc>
        <w:tc>
          <w:tcPr>
            <w:tcW w:w="873" w:type="pct"/>
            <w:tcBorders>
              <w:left w:val="single" w:color="auto" w:sz="4" w:space="0"/>
              <w:bottom w:val="single" w:color="auto" w:sz="4" w:space="0"/>
              <w:right w:val="single" w:color="auto" w:sz="4" w:space="0"/>
            </w:tcBorders>
            <w:shd w:val="clear" w:color="auto" w:fill="auto"/>
            <w:vAlign w:val="center"/>
          </w:tcPr>
          <w:p w14:paraId="7F2E189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p>
          <w:p w14:paraId="0BB15097">
            <w:pPr>
              <w:pStyle w:val="70"/>
              <w:keepNext w:val="0"/>
              <w:keepLines w:val="0"/>
              <w:pageBreakBefore w:val="0"/>
              <w:widowControl w:val="0"/>
              <w:kinsoku/>
              <w:wordWrap/>
              <w:overflowPunct/>
              <w:topLinePunct w:val="0"/>
              <w:autoSpaceDE/>
              <w:autoSpaceDN/>
              <w:bidi w:val="0"/>
              <w:adjustRightInd/>
              <w:snapToGrid/>
              <w:spacing w:before="65" w:line="400" w:lineRule="exact"/>
              <w:ind w:left="329" w:leftChars="0" w:right="145" w:rightChars="0" w:hanging="181"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rPr>
              <w:t>12.</w:t>
            </w:r>
            <w:r>
              <w:rPr>
                <w:rFonts w:hint="eastAsia" w:ascii="宋体" w:hAnsi="宋体" w:eastAsia="宋体" w:cs="宋体"/>
                <w:color w:val="auto"/>
                <w:spacing w:val="4"/>
                <w:sz w:val="24"/>
                <w:szCs w:val="24"/>
                <w:highlight w:val="none"/>
              </w:rPr>
              <w:t>项目合理</w:t>
            </w:r>
            <w:r>
              <w:rPr>
                <w:rFonts w:hint="eastAsia" w:ascii="宋体" w:hAnsi="宋体" w:eastAsia="宋体" w:cs="宋体"/>
                <w:color w:val="auto"/>
                <w:spacing w:val="6"/>
                <w:sz w:val="24"/>
                <w:szCs w:val="24"/>
                <w:highlight w:val="none"/>
              </w:rPr>
              <w:t>化建议</w:t>
            </w:r>
          </w:p>
        </w:tc>
        <w:tc>
          <w:tcPr>
            <w:tcW w:w="2566" w:type="pct"/>
            <w:tcBorders>
              <w:top w:val="single" w:color="auto" w:sz="4" w:space="0"/>
              <w:left w:val="single" w:color="auto" w:sz="4" w:space="0"/>
              <w:bottom w:val="single" w:color="auto" w:sz="4" w:space="0"/>
              <w:right w:val="single" w:color="auto" w:sz="4" w:space="0"/>
            </w:tcBorders>
            <w:shd w:val="clear" w:color="auto" w:fill="auto"/>
            <w:vAlign w:val="center"/>
          </w:tcPr>
          <w:p w14:paraId="336F4840">
            <w:pPr>
              <w:pStyle w:val="70"/>
              <w:keepNext w:val="0"/>
              <w:keepLines w:val="0"/>
              <w:pageBreakBefore w:val="0"/>
              <w:widowControl w:val="0"/>
              <w:kinsoku/>
              <w:wordWrap/>
              <w:overflowPunct/>
              <w:topLinePunct w:val="0"/>
              <w:autoSpaceDE/>
              <w:autoSpaceDN/>
              <w:bidi w:val="0"/>
              <w:adjustRightInd/>
              <w:snapToGrid/>
              <w:spacing w:before="113" w:line="400" w:lineRule="exact"/>
              <w:ind w:right="10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根据文件需求及针对本项目</w:t>
            </w:r>
            <w:r>
              <w:rPr>
                <w:rFonts w:hint="eastAsia" w:ascii="宋体" w:hAnsi="宋体" w:eastAsia="宋体" w:cs="宋体"/>
                <w:color w:val="auto"/>
                <w:spacing w:val="15"/>
                <w:sz w:val="24"/>
                <w:szCs w:val="24"/>
                <w:highlight w:val="none"/>
                <w:lang w:eastAsia="zh-CN"/>
              </w:rPr>
              <w:t>供应商</w:t>
            </w:r>
            <w:r>
              <w:rPr>
                <w:rFonts w:hint="eastAsia" w:ascii="宋体" w:hAnsi="宋体" w:eastAsia="宋体" w:cs="宋体"/>
                <w:color w:val="auto"/>
                <w:spacing w:val="15"/>
                <w:sz w:val="24"/>
                <w:szCs w:val="24"/>
                <w:highlight w:val="none"/>
              </w:rPr>
              <w:t>提供的合理化建议进行综合评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分：</w:t>
            </w:r>
          </w:p>
          <w:p w14:paraId="45B1313F">
            <w:pPr>
              <w:pStyle w:val="70"/>
              <w:keepNext w:val="0"/>
              <w:keepLines w:val="0"/>
              <w:pageBreakBefore w:val="0"/>
              <w:widowControl w:val="0"/>
              <w:kinsoku/>
              <w:wordWrap/>
              <w:overflowPunct/>
              <w:topLinePunct w:val="0"/>
              <w:autoSpaceDE/>
              <w:autoSpaceDN/>
              <w:bidi w:val="0"/>
              <w:adjustRightInd/>
              <w:snapToGrid/>
              <w:spacing w:before="2" w:line="400" w:lineRule="exact"/>
              <w:ind w:right="10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lang w:val="en-US" w:eastAsia="zh-CN"/>
              </w:rPr>
              <w:t>1、</w:t>
            </w:r>
            <w:r>
              <w:rPr>
                <w:rFonts w:hint="eastAsia" w:ascii="宋体" w:hAnsi="宋体" w:eastAsia="宋体" w:cs="宋体"/>
                <w:color w:val="auto"/>
                <w:spacing w:val="7"/>
                <w:sz w:val="24"/>
                <w:szCs w:val="24"/>
                <w:highlight w:val="none"/>
              </w:rPr>
              <w:t xml:space="preserve">合理化建议内容详细、有深入的表述，完全贴合本项目实际采购需 </w:t>
            </w:r>
            <w:r>
              <w:rPr>
                <w:rFonts w:hint="eastAsia" w:ascii="宋体" w:hAnsi="宋体" w:eastAsia="宋体" w:cs="宋体"/>
                <w:color w:val="auto"/>
                <w:spacing w:val="2"/>
                <w:sz w:val="24"/>
                <w:szCs w:val="24"/>
                <w:highlight w:val="none"/>
              </w:rPr>
              <w:t>求的，得</w:t>
            </w:r>
            <w:r>
              <w:rPr>
                <w:rFonts w:hint="eastAsia" w:ascii="宋体" w:hAnsi="宋体" w:eastAsia="宋体" w:cs="宋体"/>
                <w:color w:val="auto"/>
                <w:spacing w:val="23"/>
                <w:sz w:val="24"/>
                <w:szCs w:val="24"/>
                <w:highlight w:val="none"/>
                <w:lang w:val="en-US" w:eastAsia="zh-CN"/>
              </w:rPr>
              <w:t>4</w:t>
            </w:r>
            <w:r>
              <w:rPr>
                <w:rFonts w:hint="eastAsia" w:ascii="宋体" w:hAnsi="宋体" w:eastAsia="宋体" w:cs="宋体"/>
                <w:color w:val="auto"/>
                <w:spacing w:val="2"/>
                <w:sz w:val="24"/>
                <w:szCs w:val="24"/>
                <w:highlight w:val="none"/>
              </w:rPr>
              <w:t>分；</w:t>
            </w:r>
          </w:p>
          <w:p w14:paraId="105CC629">
            <w:pPr>
              <w:pStyle w:val="70"/>
              <w:keepNext w:val="0"/>
              <w:keepLines w:val="0"/>
              <w:pageBreakBefore w:val="0"/>
              <w:widowControl w:val="0"/>
              <w:kinsoku/>
              <w:wordWrap/>
              <w:overflowPunct/>
              <w:topLinePunct w:val="0"/>
              <w:autoSpaceDE/>
              <w:autoSpaceDN/>
              <w:bidi w:val="0"/>
              <w:adjustRightInd/>
              <w:snapToGrid/>
              <w:spacing w:before="114" w:line="400" w:lineRule="exact"/>
              <w:ind w:right="10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val="en-US" w:eastAsia="zh-CN"/>
              </w:rPr>
              <w:t>2、</w:t>
            </w:r>
            <w:r>
              <w:rPr>
                <w:rFonts w:hint="eastAsia" w:ascii="宋体" w:hAnsi="宋体" w:eastAsia="宋体" w:cs="宋体"/>
                <w:color w:val="auto"/>
                <w:spacing w:val="9"/>
                <w:sz w:val="24"/>
                <w:szCs w:val="24"/>
                <w:highlight w:val="none"/>
              </w:rPr>
              <w:t>合理化建议内容详细的，</w:t>
            </w:r>
            <w:r>
              <w:rPr>
                <w:rFonts w:hint="eastAsia" w:ascii="宋体" w:hAnsi="宋体" w:eastAsia="宋体" w:cs="宋体"/>
                <w:color w:val="auto"/>
                <w:spacing w:val="9"/>
                <w:sz w:val="24"/>
                <w:szCs w:val="24"/>
                <w:highlight w:val="none"/>
                <w:lang w:val="en-US" w:eastAsia="zh-CN"/>
              </w:rPr>
              <w:t>能</w:t>
            </w:r>
            <w:r>
              <w:rPr>
                <w:rFonts w:hint="eastAsia" w:ascii="宋体" w:hAnsi="宋体" w:eastAsia="宋体" w:cs="宋体"/>
                <w:color w:val="auto"/>
                <w:spacing w:val="9"/>
                <w:sz w:val="24"/>
                <w:szCs w:val="24"/>
                <w:highlight w:val="none"/>
              </w:rPr>
              <w:t>贴合本项目实际采购需求的</w:t>
            </w:r>
            <w:r>
              <w:rPr>
                <w:rFonts w:hint="eastAsia" w:ascii="宋体" w:hAnsi="宋体" w:eastAsia="宋体" w:cs="宋体"/>
                <w:color w:val="auto"/>
                <w:spacing w:val="8"/>
                <w:sz w:val="24"/>
                <w:szCs w:val="24"/>
                <w:highlight w:val="none"/>
              </w:rPr>
              <w:t>，得</w:t>
            </w:r>
            <w:r>
              <w:rPr>
                <w:rFonts w:hint="eastAsia" w:ascii="宋体" w:hAnsi="宋体" w:eastAsia="宋体" w:cs="宋体"/>
                <w:color w:val="auto"/>
                <w:spacing w:val="-40"/>
                <w:sz w:val="24"/>
                <w:szCs w:val="24"/>
                <w:highlight w:val="none"/>
                <w:lang w:val="en-US" w:eastAsia="zh-CN"/>
              </w:rPr>
              <w:t>3</w:t>
            </w:r>
            <w:r>
              <w:rPr>
                <w:rFonts w:hint="eastAsia" w:ascii="宋体" w:hAnsi="宋体" w:eastAsia="宋体" w:cs="宋体"/>
                <w:color w:val="auto"/>
                <w:spacing w:val="-1"/>
                <w:sz w:val="24"/>
                <w:szCs w:val="24"/>
                <w:highlight w:val="none"/>
              </w:rPr>
              <w:t>分；</w:t>
            </w:r>
          </w:p>
          <w:p w14:paraId="343037E2">
            <w:pPr>
              <w:pStyle w:val="70"/>
              <w:keepNext w:val="0"/>
              <w:keepLines w:val="0"/>
              <w:pageBreakBefore w:val="0"/>
              <w:widowControl w:val="0"/>
              <w:kinsoku/>
              <w:wordWrap/>
              <w:overflowPunct/>
              <w:topLinePunct w:val="0"/>
              <w:autoSpaceDE/>
              <w:autoSpaceDN/>
              <w:bidi w:val="0"/>
              <w:adjustRightInd/>
              <w:snapToGrid/>
              <w:spacing w:before="114" w:line="400" w:lineRule="exact"/>
              <w:ind w:right="105"/>
              <w:jc w:val="both"/>
              <w:textAlignment w:val="auto"/>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rPr>
              <w:t>合理化建议内容有待进一步完善，部分贴合项目需求的，得</w:t>
            </w:r>
            <w:r>
              <w:rPr>
                <w:rFonts w:hint="eastAsia" w:ascii="宋体" w:hAnsi="宋体" w:eastAsia="宋体" w:cs="宋体"/>
                <w:color w:val="auto"/>
                <w:spacing w:val="9"/>
                <w:sz w:val="24"/>
                <w:szCs w:val="24"/>
                <w:highlight w:val="none"/>
                <w:lang w:val="en-US" w:eastAsia="zh-CN"/>
              </w:rPr>
              <w:t>2</w:t>
            </w:r>
            <w:r>
              <w:rPr>
                <w:rFonts w:hint="eastAsia" w:ascii="宋体" w:hAnsi="宋体" w:eastAsia="宋体" w:cs="宋体"/>
                <w:color w:val="auto"/>
                <w:spacing w:val="9"/>
                <w:sz w:val="24"/>
                <w:szCs w:val="24"/>
                <w:highlight w:val="none"/>
              </w:rPr>
              <w:t>分；</w:t>
            </w:r>
          </w:p>
          <w:p w14:paraId="747C71A0">
            <w:pPr>
              <w:pStyle w:val="70"/>
              <w:keepNext w:val="0"/>
              <w:keepLines w:val="0"/>
              <w:pageBreakBefore w:val="0"/>
              <w:widowControl w:val="0"/>
              <w:kinsoku/>
              <w:wordWrap/>
              <w:overflowPunct/>
              <w:topLinePunct w:val="0"/>
              <w:autoSpaceDE/>
              <w:autoSpaceDN/>
              <w:bidi w:val="0"/>
              <w:adjustRightInd/>
              <w:snapToGrid/>
              <w:spacing w:before="79" w:line="4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内容不能满足项目要求或未提供的，不得分。</w:t>
            </w:r>
          </w:p>
        </w:tc>
        <w:tc>
          <w:tcPr>
            <w:tcW w:w="697" w:type="pct"/>
            <w:tcBorders>
              <w:top w:val="single" w:color="auto" w:sz="4" w:space="0"/>
              <w:left w:val="single" w:color="auto" w:sz="4" w:space="0"/>
              <w:bottom w:val="single" w:color="auto" w:sz="4" w:space="0"/>
              <w:right w:val="single" w:color="auto" w:sz="4" w:space="0"/>
            </w:tcBorders>
            <w:vAlign w:val="center"/>
          </w:tcPr>
          <w:p w14:paraId="7E4DCE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w:t>
            </w:r>
          </w:p>
        </w:tc>
      </w:tr>
      <w:tr w14:paraId="0EB8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vMerge w:val="continue"/>
            <w:tcBorders>
              <w:left w:val="single" w:color="auto" w:sz="4" w:space="0"/>
              <w:right w:val="single" w:color="auto" w:sz="4" w:space="0"/>
            </w:tcBorders>
            <w:vAlign w:val="center"/>
          </w:tcPr>
          <w:p w14:paraId="753546B0">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hint="eastAsia" w:ascii="宋体" w:hAnsi="宋体" w:eastAsia="宋体" w:cs="宋体"/>
                <w:b/>
                <w:bCs/>
                <w:color w:val="auto"/>
                <w:sz w:val="24"/>
                <w:szCs w:val="24"/>
                <w:highlight w:val="none"/>
              </w:rPr>
            </w:pPr>
          </w:p>
        </w:tc>
        <w:tc>
          <w:tcPr>
            <w:tcW w:w="873" w:type="pct"/>
            <w:tcBorders>
              <w:left w:val="single" w:color="auto" w:sz="4" w:space="0"/>
              <w:bottom w:val="single" w:color="auto" w:sz="4" w:space="0"/>
              <w:right w:val="single" w:color="auto" w:sz="4" w:space="0"/>
            </w:tcBorders>
            <w:shd w:val="clear" w:color="auto" w:fill="auto"/>
            <w:vAlign w:val="center"/>
          </w:tcPr>
          <w:p w14:paraId="7BD21617">
            <w:pPr>
              <w:pStyle w:val="70"/>
              <w:keepNext w:val="0"/>
              <w:keepLines w:val="0"/>
              <w:pageBreakBefore w:val="0"/>
              <w:widowControl w:val="0"/>
              <w:kinsoku/>
              <w:wordWrap/>
              <w:overflowPunct/>
              <w:topLinePunct w:val="0"/>
              <w:autoSpaceDE/>
              <w:autoSpaceDN/>
              <w:bidi w:val="0"/>
              <w:adjustRightInd/>
              <w:snapToGrid/>
              <w:spacing w:before="65" w:line="400" w:lineRule="exact"/>
              <w:ind w:left="329" w:leftChars="0" w:right="145" w:rightChars="0" w:hanging="181" w:firstLineChars="0"/>
              <w:jc w:val="left"/>
              <w:textAlignment w:val="auto"/>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13.</w:t>
            </w:r>
            <w:r>
              <w:rPr>
                <w:rFonts w:hint="eastAsia" w:ascii="宋体" w:hAnsi="宋体" w:eastAsia="宋体" w:cs="宋体"/>
                <w:color w:val="auto"/>
                <w:spacing w:val="8"/>
                <w:sz w:val="24"/>
                <w:szCs w:val="24"/>
                <w:highlight w:val="none"/>
                <w:lang w:val="en-US" w:eastAsia="zh-CN"/>
              </w:rPr>
              <w:t>工程现状掌握</w:t>
            </w:r>
          </w:p>
        </w:tc>
        <w:tc>
          <w:tcPr>
            <w:tcW w:w="2566" w:type="pct"/>
            <w:tcBorders>
              <w:top w:val="single" w:color="auto" w:sz="4" w:space="0"/>
              <w:left w:val="single" w:color="auto" w:sz="4" w:space="0"/>
              <w:bottom w:val="single" w:color="auto" w:sz="4" w:space="0"/>
              <w:right w:val="single" w:color="auto" w:sz="4" w:space="0"/>
            </w:tcBorders>
            <w:shd w:val="clear" w:color="auto" w:fill="auto"/>
            <w:vAlign w:val="center"/>
          </w:tcPr>
          <w:p w14:paraId="74670CE7">
            <w:pPr>
              <w:pStyle w:val="70"/>
              <w:keepNext w:val="0"/>
              <w:keepLines w:val="0"/>
              <w:pageBreakBefore w:val="0"/>
              <w:widowControl w:val="0"/>
              <w:kinsoku/>
              <w:wordWrap/>
              <w:overflowPunct/>
              <w:topLinePunct w:val="0"/>
              <w:autoSpaceDE/>
              <w:autoSpaceDN/>
              <w:bidi w:val="0"/>
              <w:adjustRightInd/>
              <w:snapToGrid/>
              <w:spacing w:before="79" w:line="400" w:lineRule="exact"/>
              <w:jc w:val="both"/>
              <w:textAlignment w:val="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供应商需提供对滁城应急供水工程调水路线及沿线工程现状掌握情况，包括但不限于：（1）滁城应急供水工程调水路线方案；（2）沿线主要工程权属、位置、功能、特征参数；（3）沿线沟渠管道涉及行政区域范围及配套建筑物情况等。</w:t>
            </w:r>
          </w:p>
          <w:p w14:paraId="0EEFAD18">
            <w:pPr>
              <w:pStyle w:val="70"/>
              <w:keepNext w:val="0"/>
              <w:keepLines w:val="0"/>
              <w:pageBreakBefore w:val="0"/>
              <w:widowControl w:val="0"/>
              <w:numPr>
                <w:ilvl w:val="0"/>
                <w:numId w:val="5"/>
              </w:numPr>
              <w:kinsoku/>
              <w:wordWrap/>
              <w:overflowPunct/>
              <w:topLinePunct w:val="0"/>
              <w:autoSpaceDE/>
              <w:autoSpaceDN/>
              <w:bidi w:val="0"/>
              <w:adjustRightInd/>
              <w:snapToGrid/>
              <w:spacing w:before="79" w:line="400" w:lineRule="exact"/>
              <w:jc w:val="both"/>
              <w:textAlignment w:val="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现状情况掌握齐全，三类资料均提供的，得3分；</w:t>
            </w:r>
          </w:p>
          <w:p w14:paraId="011D5850">
            <w:pPr>
              <w:pStyle w:val="70"/>
              <w:keepNext w:val="0"/>
              <w:keepLines w:val="0"/>
              <w:pageBreakBefore w:val="0"/>
              <w:widowControl w:val="0"/>
              <w:numPr>
                <w:ilvl w:val="0"/>
                <w:numId w:val="5"/>
              </w:numPr>
              <w:kinsoku/>
              <w:wordWrap/>
              <w:overflowPunct/>
              <w:topLinePunct w:val="0"/>
              <w:autoSpaceDE/>
              <w:autoSpaceDN/>
              <w:bidi w:val="0"/>
              <w:adjustRightInd/>
              <w:snapToGrid/>
              <w:spacing w:before="79" w:line="400" w:lineRule="exact"/>
              <w:ind w:left="0" w:leftChars="0" w:firstLine="0" w:firstLineChars="0"/>
              <w:jc w:val="both"/>
              <w:textAlignment w:val="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现状情况掌握不全，能提供两类资料的，得2分；</w:t>
            </w:r>
          </w:p>
          <w:p w14:paraId="00C11238">
            <w:pPr>
              <w:pStyle w:val="70"/>
              <w:keepNext w:val="0"/>
              <w:keepLines w:val="0"/>
              <w:pageBreakBefore w:val="0"/>
              <w:widowControl w:val="0"/>
              <w:numPr>
                <w:ilvl w:val="0"/>
                <w:numId w:val="5"/>
              </w:numPr>
              <w:kinsoku/>
              <w:wordWrap/>
              <w:overflowPunct/>
              <w:topLinePunct w:val="0"/>
              <w:autoSpaceDE/>
              <w:autoSpaceDN/>
              <w:bidi w:val="0"/>
              <w:adjustRightInd/>
              <w:snapToGrid/>
              <w:spacing w:before="79" w:line="400" w:lineRule="exact"/>
              <w:ind w:left="0" w:leftChars="0" w:firstLine="0" w:firstLineChars="0"/>
              <w:jc w:val="both"/>
              <w:textAlignment w:val="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现状情况掌握不全，能提供一类资料的，得1分；</w:t>
            </w:r>
          </w:p>
          <w:p w14:paraId="157B2B27">
            <w:pPr>
              <w:pStyle w:val="70"/>
              <w:keepNext w:val="0"/>
              <w:keepLines w:val="0"/>
              <w:pageBreakBefore w:val="0"/>
              <w:widowControl w:val="0"/>
              <w:numPr>
                <w:ilvl w:val="0"/>
                <w:numId w:val="5"/>
              </w:numPr>
              <w:kinsoku/>
              <w:wordWrap/>
              <w:overflowPunct/>
              <w:topLinePunct w:val="0"/>
              <w:autoSpaceDE/>
              <w:autoSpaceDN/>
              <w:bidi w:val="0"/>
              <w:adjustRightInd/>
              <w:snapToGrid/>
              <w:spacing w:before="79" w:line="400" w:lineRule="exact"/>
              <w:ind w:left="0" w:leftChars="0" w:firstLine="0" w:firstLineChars="0"/>
              <w:jc w:val="both"/>
              <w:textAlignment w:val="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未提供不得分。</w:t>
            </w:r>
          </w:p>
        </w:tc>
        <w:tc>
          <w:tcPr>
            <w:tcW w:w="697" w:type="pct"/>
            <w:tcBorders>
              <w:top w:val="single" w:color="auto" w:sz="4" w:space="0"/>
              <w:left w:val="single" w:color="auto" w:sz="4" w:space="0"/>
              <w:bottom w:val="single" w:color="auto" w:sz="4" w:space="0"/>
              <w:right w:val="single" w:color="auto" w:sz="4" w:space="0"/>
            </w:tcBorders>
            <w:vAlign w:val="center"/>
          </w:tcPr>
          <w:p w14:paraId="768A47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3分</w:t>
            </w:r>
          </w:p>
        </w:tc>
      </w:tr>
      <w:tr w14:paraId="0B30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tcBorders>
              <w:left w:val="single" w:color="auto" w:sz="4" w:space="0"/>
              <w:right w:val="single" w:color="auto" w:sz="4" w:space="0"/>
            </w:tcBorders>
            <w:vAlign w:val="center"/>
          </w:tcPr>
          <w:p w14:paraId="1D49E7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0B5C9F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tc>
        <w:tc>
          <w:tcPr>
            <w:tcW w:w="4136" w:type="pct"/>
            <w:gridSpan w:val="3"/>
            <w:tcBorders>
              <w:top w:val="single" w:color="auto" w:sz="4" w:space="0"/>
              <w:left w:val="single" w:color="auto" w:sz="4" w:space="0"/>
              <w:bottom w:val="single" w:color="auto" w:sz="4" w:space="0"/>
              <w:right w:val="single" w:color="auto" w:sz="4" w:space="0"/>
            </w:tcBorders>
            <w:vAlign w:val="center"/>
          </w:tcPr>
          <w:p w14:paraId="200D86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价格分统一采用低价优先法，即满足磋商文件要求且最后报价最低的供应商的价格为磋商基准价，其价格分为满分</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分。其他供应商的价格分统一按照下列公式计算：</w:t>
            </w:r>
          </w:p>
          <w:p w14:paraId="6549B9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磋商报价得分＝（磋商基准价/最后磋商报价）×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％×100</w:t>
            </w:r>
          </w:p>
        </w:tc>
      </w:tr>
    </w:tbl>
    <w:p w14:paraId="04BC5FEF">
      <w:pPr>
        <w:spacing w:line="44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7F3458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29A776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r>
        <w:rPr>
          <w:rFonts w:hint="eastAsia" w:asciiTheme="minorEastAsia" w:hAnsiTheme="minorEastAsia" w:eastAsiaTheme="minorEastAsia"/>
          <w:color w:val="auto"/>
          <w:sz w:val="24"/>
          <w:highlight w:val="none"/>
        </w:rPr>
        <w:t>。</w:t>
      </w:r>
    </w:p>
    <w:p w14:paraId="756F11E5">
      <w:pPr>
        <w:spacing w:line="360" w:lineRule="auto"/>
        <w:ind w:firstLine="435"/>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三、无效条款</w:t>
      </w:r>
    </w:p>
    <w:p w14:paraId="294B5A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3.1响应文件有下列情形之一的,其响应文件拒收:</w:t>
      </w:r>
    </w:p>
    <w:p w14:paraId="065FED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（1）未在提交首次响应文件截止时间前通过网上招标投标系统递交有效电子响应文件的，网上开标系统不予接收。出现上述情况的，响应将被拒绝。</w:t>
      </w:r>
    </w:p>
    <w:p w14:paraId="09D2D8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接到远程解密指令后，须在规定时间内解密。因供应商自身原因导致响应文件在规定时间内未能解密、解密失败或解密超时，响应文件无效；解密时间：从本项目响应文件提交截止时间开始计时，至完成响应文件解密时间，不得超过60分钟，否则响应文件将被拒绝。</w:t>
      </w:r>
    </w:p>
    <w:p w14:paraId="265D03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8.2供应商有下列情形之一的,资格审查后其投标作无效响应处理：</w:t>
      </w:r>
    </w:p>
    <w:p w14:paraId="097868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（1）为本项目提供采购代理服务的；</w:t>
      </w:r>
    </w:p>
    <w:p w14:paraId="7E53F8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389776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（3）与采购人存在利害关系可能影响采购公正性的法人、其他组织或者个人；</w:t>
      </w:r>
    </w:p>
    <w:p w14:paraId="0295E0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（4）磋商公告写明专门面向中小企业采购，供应商提供的服务非中小企业承接的；</w:t>
      </w:r>
    </w:p>
    <w:p w14:paraId="393DCF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（5）要求供应商以联合体形式参加采购活动，供应商非联合体或者联合协议中中小企业合同金额未达到应当达到的比例；</w:t>
      </w:r>
    </w:p>
    <w:p w14:paraId="39370D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（6）要求获得采购合同的供应商向中小企业分包，供应商未提供分包意向协议或者分包意向协议中中小企业合同金额未达到应当达到的比例；</w:t>
      </w:r>
    </w:p>
    <w:p w14:paraId="77C462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（7）评标专家无法查看并检验电子响应文件中相关资料的；</w:t>
      </w:r>
    </w:p>
    <w:p w14:paraId="4017AF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（8）联合体投标未提交联合体协议的；</w:t>
      </w:r>
    </w:p>
    <w:p w14:paraId="7EBDFB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（9）责令停产停业的；</w:t>
      </w:r>
    </w:p>
    <w:p w14:paraId="0A43B7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（10）暂停或取消参与政府采购项目资格的；</w:t>
      </w:r>
    </w:p>
    <w:p w14:paraId="796642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（11）供应商单位负责人为同一人或者存在直接控股、管理关系的不同单位的；</w:t>
      </w:r>
    </w:p>
    <w:p w14:paraId="276214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（12）供应商基本资格条件和特定资格条件中有一项及以上不符合要求的；</w:t>
      </w:r>
    </w:p>
    <w:p w14:paraId="3C1F22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13）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 </w:t>
      </w:r>
    </w:p>
    <w:p w14:paraId="4DF1B4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（14）供应商投标MAC地址或供应商联系人或联系电话相同的，由磋商小组否决其响应，并报告监管部门作不良行为处理和进一步调查； </w:t>
      </w:r>
    </w:p>
    <w:p w14:paraId="196E19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（15）供应商单方面出现其他供应商材料的； </w:t>
      </w:r>
    </w:p>
    <w:p w14:paraId="70F24E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（16）其它情形，经磋商小组提出按无效响应处理，并经公共资源交易监督部门核准的；</w:t>
      </w:r>
    </w:p>
    <w:p w14:paraId="10AEF8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（17）磋商文件规定的其它无效响应情形。</w:t>
      </w:r>
    </w:p>
    <w:p w14:paraId="6CDF54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 供应商有下列情形之一的,符合性审查后其投标按无效响应处理：</w:t>
      </w:r>
    </w:p>
    <w:p w14:paraId="4A2A3A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（1）响应文件签章不全，经磋商小组一致认定对开评标内容有实质性影响并经公共资源交易监督部门核准的；</w:t>
      </w:r>
    </w:p>
    <w:p w14:paraId="01E711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 经公共资源交易监督部门核准的；</w:t>
      </w:r>
    </w:p>
    <w:p w14:paraId="35CFEE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（3）同一供应商提交两个以上不同的响应文件或者响应报价，但磋商文件规定提交备选方案的除外；</w:t>
      </w:r>
    </w:p>
    <w:p w14:paraId="5BE046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（4）响应文件没有对磋商文件的实质性要求和条件作出响应；</w:t>
      </w:r>
    </w:p>
    <w:p w14:paraId="4D61F8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（5）报价超出规定的最高限价或公布的采购预算的或供应商的报价各项单价高于磋商文件给定的单价最高限价；</w:t>
      </w:r>
    </w:p>
    <w:p w14:paraId="28578F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（6）不按磋商小组要求澄清、说明或补正的，或者措施小组根据磋商文件的规定对响应文件的计算错误进行修正后，供应商不接受修正的报价的。</w:t>
      </w:r>
    </w:p>
    <w:p w14:paraId="19B557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（7）其它情形，经磋商小组委提出按无效响应处理，并经公共资源交易监督部门核准的；</w:t>
      </w:r>
    </w:p>
    <w:p w14:paraId="6BCC26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4E5D03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（9）磋商文件规定的其它无效响应情形。</w:t>
      </w:r>
    </w:p>
    <w:p w14:paraId="311031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8.4 供应商有下列情形之一的, 详细评审后其投标按无效响应处理：</w:t>
      </w:r>
    </w:p>
    <w:p w14:paraId="2020E9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5323C6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（2）供应商有串通投标、弄虚作假、行贿等违法行为；</w:t>
      </w:r>
    </w:p>
    <w:p w14:paraId="42F3CC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0A56C1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580AAF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（5）拒不确认磋商小组评审修正的响应无效；</w:t>
      </w:r>
    </w:p>
    <w:p w14:paraId="4FF1B7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（6）其它情形，经磋商小组提出按无效响应处理，并经公共资源交易监督部门核准的；</w:t>
      </w:r>
    </w:p>
    <w:p w14:paraId="623475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（7）磋商文件规定的其它无效响应情形。</w:t>
      </w:r>
    </w:p>
    <w:p w14:paraId="59C44ABD">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CED81E5">
      <w:pPr>
        <w:spacing w:line="360" w:lineRule="auto"/>
        <w:jc w:val="center"/>
        <w:outlineLvl w:val="0"/>
        <w:rPr>
          <w:rFonts w:asciiTheme="minorEastAsia" w:hAnsiTheme="minorEastAsia" w:eastAsiaTheme="minorEastAsia"/>
          <w:b/>
          <w:color w:val="auto"/>
          <w:sz w:val="28"/>
          <w:highlight w:val="none"/>
        </w:rPr>
      </w:pPr>
      <w:bookmarkStart w:id="28" w:name="_Toc6037"/>
      <w:bookmarkStart w:id="29" w:name="_Toc17167"/>
      <w:bookmarkStart w:id="30" w:name="_Toc63440929"/>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28"/>
      <w:bookmarkEnd w:id="29"/>
      <w:bookmarkEnd w:id="30"/>
    </w:p>
    <w:p w14:paraId="2C34C8FF">
      <w:pPr>
        <w:spacing w:line="480" w:lineRule="auto"/>
        <w:jc w:val="center"/>
        <w:rPr>
          <w:rFonts w:asciiTheme="minorEastAsia" w:hAnsiTheme="minorEastAsia" w:eastAsiaTheme="minorEastAsia"/>
          <w:b/>
          <w:color w:val="auto"/>
          <w:sz w:val="24"/>
          <w:highlight w:val="none"/>
        </w:rPr>
      </w:pPr>
    </w:p>
    <w:p w14:paraId="20AE8A23">
      <w:pPr>
        <w:spacing w:line="480" w:lineRule="auto"/>
        <w:jc w:val="center"/>
        <w:rPr>
          <w:rFonts w:asciiTheme="minorEastAsia" w:hAnsiTheme="minorEastAsia" w:eastAsiaTheme="minorEastAsia"/>
          <w:b/>
          <w:color w:val="auto"/>
          <w:sz w:val="24"/>
          <w:highlight w:val="none"/>
        </w:rPr>
      </w:pPr>
    </w:p>
    <w:p w14:paraId="27789E42">
      <w:pPr>
        <w:spacing w:line="480" w:lineRule="auto"/>
        <w:jc w:val="center"/>
        <w:rPr>
          <w:rFonts w:asciiTheme="minorEastAsia" w:hAnsiTheme="minorEastAsia" w:eastAsiaTheme="minorEastAsia"/>
          <w:b/>
          <w:color w:val="auto"/>
          <w:sz w:val="24"/>
          <w:highlight w:val="none"/>
        </w:rPr>
      </w:pPr>
    </w:p>
    <w:p w14:paraId="0A32ADA2">
      <w:pPr>
        <w:spacing w:line="480" w:lineRule="auto"/>
        <w:jc w:val="center"/>
        <w:outlineLvl w:val="1"/>
        <w:rPr>
          <w:rFonts w:asciiTheme="minorEastAsia" w:hAnsiTheme="minorEastAsia" w:eastAsiaTheme="minorEastAsia"/>
          <w:b/>
          <w:color w:val="auto"/>
          <w:sz w:val="32"/>
          <w:szCs w:val="32"/>
          <w:highlight w:val="none"/>
        </w:rPr>
      </w:pPr>
      <w:bookmarkStart w:id="31" w:name="_Toc9456"/>
      <w:r>
        <w:rPr>
          <w:rFonts w:asciiTheme="minorEastAsia" w:hAnsiTheme="minorEastAsia" w:eastAsiaTheme="minorEastAsia"/>
          <w:b/>
          <w:color w:val="auto"/>
          <w:sz w:val="32"/>
          <w:szCs w:val="32"/>
          <w:highlight w:val="none"/>
        </w:rPr>
        <w:t>政府采购合同</w:t>
      </w:r>
      <w:r>
        <w:rPr>
          <w:rFonts w:hint="eastAsia" w:asciiTheme="minorEastAsia" w:hAnsiTheme="minorEastAsia" w:eastAsiaTheme="minorEastAsia"/>
          <w:b/>
          <w:color w:val="auto"/>
          <w:sz w:val="32"/>
          <w:szCs w:val="32"/>
          <w:highlight w:val="none"/>
        </w:rPr>
        <w:t>参考范本</w:t>
      </w:r>
      <w:bookmarkEnd w:id="31"/>
    </w:p>
    <w:p w14:paraId="29B9205A">
      <w:pPr>
        <w:spacing w:line="480" w:lineRule="auto"/>
        <w:jc w:val="center"/>
        <w:outlineLvl w:val="1"/>
        <w:rPr>
          <w:rFonts w:asciiTheme="minorEastAsia" w:hAnsiTheme="minorEastAsia" w:eastAsiaTheme="minorEastAsia"/>
          <w:b/>
          <w:color w:val="auto"/>
          <w:sz w:val="32"/>
          <w:szCs w:val="32"/>
          <w:highlight w:val="none"/>
        </w:rPr>
      </w:pPr>
      <w:bookmarkStart w:id="32" w:name="_Toc26618"/>
      <w:r>
        <w:rPr>
          <w:rFonts w:hint="eastAsia" w:asciiTheme="minorEastAsia" w:hAnsiTheme="minorEastAsia" w:eastAsiaTheme="minorEastAsia"/>
          <w:b/>
          <w:color w:val="auto"/>
          <w:sz w:val="32"/>
          <w:szCs w:val="32"/>
          <w:highlight w:val="none"/>
        </w:rPr>
        <w:t>（服务类）</w:t>
      </w:r>
      <w:bookmarkEnd w:id="32"/>
    </w:p>
    <w:p w14:paraId="3CFCC212">
      <w:pPr>
        <w:spacing w:line="480" w:lineRule="auto"/>
        <w:jc w:val="center"/>
        <w:rPr>
          <w:rFonts w:asciiTheme="minorEastAsia" w:hAnsiTheme="minorEastAsia" w:eastAsiaTheme="minorEastAsia"/>
          <w:b/>
          <w:color w:val="auto"/>
          <w:sz w:val="24"/>
          <w:highlight w:val="none"/>
        </w:rPr>
      </w:pPr>
    </w:p>
    <w:p w14:paraId="46D6AD18">
      <w:pPr>
        <w:spacing w:line="480" w:lineRule="auto"/>
        <w:jc w:val="center"/>
        <w:rPr>
          <w:rFonts w:asciiTheme="minorEastAsia" w:hAnsiTheme="minorEastAsia" w:eastAsiaTheme="minorEastAsia"/>
          <w:b/>
          <w:color w:val="auto"/>
          <w:sz w:val="24"/>
          <w:highlight w:val="none"/>
        </w:rPr>
      </w:pPr>
    </w:p>
    <w:p w14:paraId="59BFDCC0">
      <w:pPr>
        <w:spacing w:line="480" w:lineRule="auto"/>
        <w:jc w:val="center"/>
        <w:rPr>
          <w:rFonts w:asciiTheme="minorEastAsia" w:hAnsiTheme="minorEastAsia" w:eastAsiaTheme="minorEastAsia"/>
          <w:b/>
          <w:color w:val="auto"/>
          <w:sz w:val="24"/>
          <w:highlight w:val="none"/>
        </w:rPr>
      </w:pPr>
    </w:p>
    <w:p w14:paraId="5EFB24F7">
      <w:pPr>
        <w:spacing w:line="360" w:lineRule="auto"/>
        <w:jc w:val="center"/>
        <w:outlineLvl w:val="1"/>
        <w:rPr>
          <w:rFonts w:asciiTheme="minorEastAsia" w:hAnsiTheme="minorEastAsia" w:eastAsiaTheme="minorEastAsia"/>
          <w:b/>
          <w:color w:val="auto"/>
          <w:sz w:val="24"/>
          <w:highlight w:val="none"/>
        </w:rPr>
      </w:pPr>
      <w:bookmarkStart w:id="33" w:name="_Toc18055"/>
      <w:r>
        <w:rPr>
          <w:rFonts w:hint="eastAsia" w:asciiTheme="minorEastAsia" w:hAnsiTheme="minorEastAsia" w:eastAsiaTheme="minorEastAsia"/>
          <w:b/>
          <w:color w:val="auto"/>
          <w:sz w:val="24"/>
          <w:highlight w:val="none"/>
        </w:rPr>
        <w:t>第一部分 合同书</w:t>
      </w:r>
      <w:bookmarkEnd w:id="33"/>
    </w:p>
    <w:p w14:paraId="0A1C25B7">
      <w:pPr>
        <w:spacing w:line="480" w:lineRule="auto"/>
        <w:jc w:val="center"/>
        <w:rPr>
          <w:rFonts w:asciiTheme="minorEastAsia" w:hAnsiTheme="minorEastAsia" w:eastAsiaTheme="minorEastAsia"/>
          <w:b/>
          <w:color w:val="auto"/>
          <w:sz w:val="24"/>
          <w:highlight w:val="none"/>
        </w:rPr>
      </w:pPr>
    </w:p>
    <w:p w14:paraId="1BC9BA3A">
      <w:pPr>
        <w:spacing w:line="480" w:lineRule="auto"/>
        <w:jc w:val="center"/>
        <w:rPr>
          <w:rFonts w:asciiTheme="minorEastAsia" w:hAnsiTheme="minorEastAsia" w:eastAsiaTheme="minorEastAsia"/>
          <w:b/>
          <w:color w:val="auto"/>
          <w:sz w:val="24"/>
          <w:highlight w:val="none"/>
        </w:rPr>
      </w:pPr>
    </w:p>
    <w:p w14:paraId="7E57A857">
      <w:pPr>
        <w:spacing w:line="480" w:lineRule="auto"/>
        <w:jc w:val="center"/>
        <w:rPr>
          <w:rFonts w:asciiTheme="minorEastAsia" w:hAnsiTheme="minorEastAsia" w:eastAsiaTheme="minorEastAsia"/>
          <w:b/>
          <w:color w:val="auto"/>
          <w:sz w:val="24"/>
          <w:highlight w:val="none"/>
        </w:rPr>
      </w:pPr>
    </w:p>
    <w:p w14:paraId="5675C5F2">
      <w:pPr>
        <w:spacing w:before="120" w:line="480" w:lineRule="auto"/>
        <w:ind w:left="960"/>
        <w:rPr>
          <w:rFonts w:hint="eastAsia" w:cs="Times New Roman" w:asciiTheme="minorEastAsia" w:hAnsiTheme="minorEastAsia" w:eastAsiaTheme="minorEastAsia"/>
          <w:color w:val="auto"/>
          <w:sz w:val="24"/>
          <w:szCs w:val="24"/>
          <w:highlight w:val="none"/>
          <w:u w:val="single"/>
          <w:lang w:eastAsia="zh-CN"/>
        </w:rPr>
      </w:pPr>
      <w:r>
        <w:rPr>
          <w:rFonts w:hint="eastAsia" w:asciiTheme="minorEastAsia" w:hAnsiTheme="minorEastAsia" w:eastAsiaTheme="minorEastAsia"/>
          <w:color w:val="auto"/>
          <w:sz w:val="24"/>
          <w:highlight w:val="none"/>
        </w:rPr>
        <w:t>项目名称：</w:t>
      </w:r>
      <w:r>
        <w:rPr>
          <w:rFonts w:hint="eastAsia" w:cs="Times New Roman" w:asciiTheme="minorEastAsia" w:hAnsiTheme="minorEastAsia" w:eastAsiaTheme="minorEastAsia"/>
          <w:color w:val="auto"/>
          <w:sz w:val="24"/>
          <w:szCs w:val="24"/>
          <w:highlight w:val="none"/>
          <w:u w:val="single"/>
          <w:lang w:eastAsia="zh-CN"/>
        </w:rPr>
        <w:t>滁城应急供水工程运行维护项目</w:t>
      </w:r>
    </w:p>
    <w:p w14:paraId="57FC52EC">
      <w:pPr>
        <w:spacing w:before="120" w:line="480" w:lineRule="auto"/>
        <w:ind w:left="960"/>
        <w:rPr>
          <w:rFonts w:hint="default" w:cs="Times New Roman" w:asciiTheme="minorEastAsia" w:hAnsiTheme="minorEastAsia" w:eastAsiaTheme="minorEastAsia"/>
          <w:color w:val="auto"/>
          <w:sz w:val="24"/>
          <w:szCs w:val="24"/>
          <w:highlight w:val="none"/>
          <w:u w:val="single"/>
          <w:lang w:val="en-US" w:eastAsia="zh-CN"/>
        </w:rPr>
      </w:pPr>
      <w:r>
        <w:rPr>
          <w:rFonts w:hint="eastAsia" w:asciiTheme="minorEastAsia" w:hAnsiTheme="minorEastAsia" w:eastAsiaTheme="minorEastAsia"/>
          <w:color w:val="auto"/>
          <w:sz w:val="24"/>
          <w:highlight w:val="none"/>
        </w:rPr>
        <w:t>项目编号：</w:t>
      </w:r>
      <w:r>
        <w:rPr>
          <w:rFonts w:hint="eastAsia" w:asciiTheme="minorEastAsia" w:hAnsiTheme="minorEastAsia" w:eastAsiaTheme="minorEastAsia"/>
          <w:color w:val="auto"/>
          <w:sz w:val="24"/>
          <w:highlight w:val="none"/>
          <w:u w:val="single"/>
          <w:lang w:val="en-US" w:eastAsia="zh-CN"/>
        </w:rPr>
        <w:t xml:space="preserve">                   </w:t>
      </w:r>
    </w:p>
    <w:p w14:paraId="714C46FB">
      <w:pPr>
        <w:spacing w:before="120" w:line="480" w:lineRule="auto"/>
        <w:ind w:left="960"/>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甲方（采购人）：</w:t>
      </w:r>
      <w:r>
        <w:rPr>
          <w:rFonts w:hint="eastAsia" w:cs="Times New Roman" w:asciiTheme="minorEastAsia" w:hAnsiTheme="minorEastAsia" w:eastAsiaTheme="minorEastAsia"/>
          <w:color w:val="auto"/>
          <w:sz w:val="24"/>
          <w:szCs w:val="24"/>
          <w:highlight w:val="none"/>
          <w:u w:val="single"/>
          <w:lang w:eastAsia="zh-CN"/>
        </w:rPr>
        <w:t xml:space="preserve"> 滁州市水利局</w:t>
      </w:r>
    </w:p>
    <w:p w14:paraId="7A85F6AB">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乙方（成交供应商）：</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1921E923">
      <w:pPr>
        <w:spacing w:before="120" w:line="480" w:lineRule="auto"/>
        <w:ind w:firstLine="960" w:firstLineChars="400"/>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签订地：</w:t>
      </w:r>
      <w:r>
        <w:rPr>
          <w:rFonts w:hint="eastAsia" w:cs="Times New Roman" w:asciiTheme="minorEastAsia" w:hAnsiTheme="minorEastAsia" w:eastAsiaTheme="minorEastAsia"/>
          <w:color w:val="auto"/>
          <w:sz w:val="24"/>
          <w:szCs w:val="24"/>
          <w:highlight w:val="none"/>
          <w:u w:val="single"/>
          <w:lang w:eastAsia="zh-CN"/>
        </w:rPr>
        <w:t xml:space="preserve"> 滁州市水利局</w:t>
      </w:r>
    </w:p>
    <w:p w14:paraId="7AEBD7B2">
      <w:pPr>
        <w:spacing w:before="120" w:line="480" w:lineRule="auto"/>
        <w:ind w:firstLine="960" w:firstLineChars="4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003A5BD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2A6145F">
      <w:pPr>
        <w:spacing w:line="360" w:lineRule="auto"/>
        <w:ind w:firstLine="435"/>
        <w:rPr>
          <w:rFonts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szCs w:val="24"/>
          <w:highlight w:val="none"/>
          <w:u w:val="single"/>
          <w:lang w:eastAsia="zh-CN"/>
        </w:rPr>
        <w:t xml:space="preserve"> 滁州市水利局</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zh-CN"/>
        </w:rPr>
        <w:t>以下简称：甲方</w:t>
      </w:r>
      <w:r>
        <w:rPr>
          <w:rFonts w:hint="eastAsia" w:asciiTheme="minorEastAsia" w:hAnsiTheme="minorEastAsia" w:eastAsiaTheme="minorEastAsia"/>
          <w:color w:val="auto"/>
          <w:sz w:val="24"/>
          <w:highlight w:val="none"/>
        </w:rPr>
        <w:t xml:space="preserve">）通过 </w:t>
      </w:r>
      <w:r>
        <w:rPr>
          <w:rFonts w:hint="eastAsia" w:asciiTheme="minorEastAsia" w:hAnsiTheme="minorEastAsia" w:eastAsiaTheme="minorEastAsia"/>
          <w:color w:val="auto"/>
          <w:sz w:val="24"/>
          <w:highlight w:val="none"/>
          <w:u w:val="single"/>
        </w:rPr>
        <w:t>滁州市城投工程咨询管理有限公司</w:t>
      </w:r>
      <w:r>
        <w:rPr>
          <w:rFonts w:hint="eastAsia" w:asciiTheme="minorEastAsia" w:hAnsiTheme="minorEastAsia" w:eastAsiaTheme="minorEastAsia"/>
          <w:color w:val="auto"/>
          <w:sz w:val="24"/>
          <w:highlight w:val="none"/>
        </w:rPr>
        <w:t>组织的竞争性磋商方式采购活动，经磋商小组评定，</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zh-CN"/>
        </w:rPr>
        <w:t>以下简称：乙方</w:t>
      </w:r>
      <w:r>
        <w:rPr>
          <w:rFonts w:hint="eastAsia" w:asciiTheme="minorEastAsia" w:hAnsiTheme="minorEastAsia" w:eastAsiaTheme="minorEastAsia"/>
          <w:color w:val="auto"/>
          <w:sz w:val="24"/>
          <w:highlight w:val="none"/>
        </w:rPr>
        <w:t>）为本项目成交供应商，现按照采购文件确定的事项签订本合同。</w:t>
      </w:r>
    </w:p>
    <w:p w14:paraId="61435A96">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493086F">
      <w:pPr>
        <w:spacing w:line="360" w:lineRule="auto"/>
        <w:ind w:firstLine="437"/>
        <w:outlineLvl w:val="2"/>
        <w:rPr>
          <w:rFonts w:asciiTheme="minorEastAsia" w:hAnsiTheme="minorEastAsia" w:eastAsiaTheme="minorEastAsia"/>
          <w:b/>
          <w:bCs/>
          <w:color w:val="auto"/>
          <w:sz w:val="24"/>
          <w:highlight w:val="none"/>
          <w:lang w:val="zh-CN"/>
        </w:rPr>
      </w:pPr>
      <w:bookmarkStart w:id="34" w:name="_Toc3029"/>
      <w:bookmarkStart w:id="35" w:name="_Toc24059"/>
      <w:bookmarkStart w:id="36" w:name="_Toc2232"/>
      <w:r>
        <w:rPr>
          <w:rFonts w:hint="eastAsia" w:asciiTheme="minorEastAsia" w:hAnsiTheme="minorEastAsia" w:eastAsiaTheme="minorEastAsia"/>
          <w:b/>
          <w:bCs/>
          <w:color w:val="auto"/>
          <w:sz w:val="24"/>
          <w:highlight w:val="none"/>
          <w:lang w:val="zh-CN"/>
        </w:rPr>
        <w:t>1.1</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合同组成部分</w:t>
      </w:r>
      <w:bookmarkEnd w:id="34"/>
      <w:bookmarkEnd w:id="35"/>
      <w:bookmarkEnd w:id="36"/>
    </w:p>
    <w:p w14:paraId="60D53714">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18AB9FB">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1.1.1本合同及其补充合同、变更协议；</w:t>
      </w:r>
    </w:p>
    <w:p w14:paraId="0FED8811">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1.1.2成交通知书；</w:t>
      </w:r>
    </w:p>
    <w:p w14:paraId="502775C0">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1.1.3响应文件（含澄清或者说明文件）；</w:t>
      </w:r>
    </w:p>
    <w:p w14:paraId="17B4D1F9">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1.1.4磋商文件（含澄清或者修改文件）；</w:t>
      </w:r>
    </w:p>
    <w:p w14:paraId="104BDE59">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1.1.5其他相关采购文件。</w:t>
      </w:r>
    </w:p>
    <w:p w14:paraId="0C9993B9">
      <w:pPr>
        <w:spacing w:line="360" w:lineRule="auto"/>
        <w:ind w:firstLine="437"/>
        <w:outlineLvl w:val="2"/>
        <w:rPr>
          <w:rFonts w:asciiTheme="minorEastAsia" w:hAnsiTheme="minorEastAsia" w:eastAsiaTheme="minorEastAsia"/>
          <w:b/>
          <w:bCs/>
          <w:color w:val="auto"/>
          <w:sz w:val="24"/>
          <w:highlight w:val="none"/>
          <w:lang w:val="zh-CN"/>
        </w:rPr>
      </w:pPr>
      <w:bookmarkStart w:id="37" w:name="_Toc24300"/>
      <w:bookmarkStart w:id="38" w:name="_Toc27126"/>
      <w:bookmarkStart w:id="39" w:name="_Toc21295"/>
      <w:r>
        <w:rPr>
          <w:rFonts w:hint="eastAsia" w:asciiTheme="minorEastAsia" w:hAnsiTheme="minorEastAsia" w:eastAsiaTheme="minorEastAsia"/>
          <w:b/>
          <w:bCs/>
          <w:color w:val="auto"/>
          <w:sz w:val="24"/>
          <w:highlight w:val="none"/>
          <w:lang w:val="zh-CN"/>
        </w:rPr>
        <w:t>1.2</w:t>
      </w:r>
      <w:r>
        <w:rPr>
          <w:rFonts w:asciiTheme="minorEastAsia" w:hAnsiTheme="minorEastAsia" w:eastAsiaTheme="minorEastAsia"/>
          <w:b/>
          <w:bCs/>
          <w:color w:val="auto"/>
          <w:sz w:val="24"/>
          <w:highlight w:val="none"/>
          <w:lang w:val="zh-CN"/>
        </w:rPr>
        <w:t xml:space="preserve"> </w:t>
      </w:r>
      <w:bookmarkEnd w:id="37"/>
      <w:bookmarkEnd w:id="38"/>
      <w:bookmarkEnd w:id="39"/>
      <w:r>
        <w:rPr>
          <w:rFonts w:hint="eastAsia" w:asciiTheme="minorEastAsia" w:hAnsiTheme="minorEastAsia" w:eastAsiaTheme="minorEastAsia"/>
          <w:b/>
          <w:bCs/>
          <w:color w:val="auto"/>
          <w:sz w:val="24"/>
          <w:highlight w:val="none"/>
          <w:lang w:val="zh-CN"/>
        </w:rPr>
        <w:t>服务</w:t>
      </w:r>
    </w:p>
    <w:p w14:paraId="58833FA7">
      <w:pPr>
        <w:spacing w:line="360" w:lineRule="auto"/>
        <w:ind w:firstLine="435"/>
        <w:rPr>
          <w:rFonts w:ascii="宋体" w:hAnsi="宋体" w:eastAsia="宋体" w:cs="Times New Roman"/>
          <w:color w:val="auto"/>
          <w:sz w:val="24"/>
          <w:szCs w:val="24"/>
          <w:highlight w:val="none"/>
          <w:u w:val="single"/>
        </w:rPr>
      </w:pPr>
      <w:bookmarkStart w:id="40" w:name="_Toc21551"/>
      <w:bookmarkStart w:id="41" w:name="_Toc21631"/>
      <w:bookmarkStart w:id="42" w:name="_Toc23292"/>
      <w:r>
        <w:rPr>
          <w:rFonts w:hint="eastAsia" w:ascii="宋体" w:hAnsi="宋体" w:eastAsia="宋体" w:cs="宋体"/>
          <w:color w:val="auto"/>
          <w:sz w:val="24"/>
          <w:szCs w:val="24"/>
          <w:highlight w:val="none"/>
          <w:lang w:bidi="ar"/>
        </w:rPr>
        <w:t>1.2.1服务名称：</w:t>
      </w:r>
      <w:r>
        <w:rPr>
          <w:rFonts w:hint="eastAsia" w:cs="Times New Roman" w:asciiTheme="minorEastAsia" w:hAnsiTheme="minorEastAsia" w:eastAsiaTheme="minorEastAsia"/>
          <w:color w:val="auto"/>
          <w:sz w:val="24"/>
          <w:szCs w:val="24"/>
          <w:highlight w:val="none"/>
          <w:u w:val="single"/>
          <w:lang w:eastAsia="zh-CN"/>
        </w:rPr>
        <w:t>滁城应急供水工程运行维护项目</w:t>
      </w:r>
      <w:r>
        <w:rPr>
          <w:rFonts w:hint="eastAsia" w:ascii="宋体" w:hAnsi="宋体" w:eastAsia="宋体" w:cs="宋体"/>
          <w:color w:val="auto"/>
          <w:sz w:val="24"/>
          <w:szCs w:val="24"/>
          <w:highlight w:val="none"/>
          <w:lang w:bidi="ar"/>
        </w:rPr>
        <w:t>；</w:t>
      </w:r>
    </w:p>
    <w:p w14:paraId="3EB43107">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宋体"/>
          <w:color w:val="auto"/>
          <w:sz w:val="24"/>
          <w:szCs w:val="24"/>
          <w:highlight w:val="none"/>
          <w:lang w:bidi="ar"/>
        </w:rPr>
        <w:t>1.2.2服务内容：</w:t>
      </w:r>
      <w:r>
        <w:rPr>
          <w:rFonts w:hint="eastAsia" w:ascii="宋体" w:hAnsi="宋体" w:eastAsia="宋体" w:cs="宋体"/>
          <w:color w:val="auto"/>
          <w:sz w:val="24"/>
          <w:highlight w:val="none"/>
          <w:u w:val="single"/>
          <w:lang w:val="zh-CN"/>
        </w:rPr>
        <w:t>磋商文件</w:t>
      </w:r>
      <w:r>
        <w:rPr>
          <w:rFonts w:hint="eastAsia" w:ascii="宋体" w:hAnsi="宋体" w:eastAsia="宋体" w:cs="宋体"/>
          <w:color w:val="auto"/>
          <w:sz w:val="24"/>
          <w:highlight w:val="none"/>
          <w:u w:val="single"/>
        </w:rPr>
        <w:t>第三章采购需求全部内容</w:t>
      </w:r>
      <w:r>
        <w:rPr>
          <w:rFonts w:hint="eastAsia" w:ascii="宋体" w:hAnsi="宋体" w:eastAsia="宋体" w:cs="宋体"/>
          <w:color w:val="auto"/>
          <w:sz w:val="24"/>
          <w:szCs w:val="24"/>
          <w:highlight w:val="none"/>
          <w:lang w:bidi="ar"/>
        </w:rPr>
        <w:t>；</w:t>
      </w:r>
    </w:p>
    <w:p w14:paraId="102FC616">
      <w:pPr>
        <w:spacing w:line="360" w:lineRule="auto"/>
        <w:ind w:firstLine="435"/>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1.2.3服务质量：</w:t>
      </w:r>
      <w:r>
        <w:rPr>
          <w:rFonts w:hint="eastAsia" w:cs="Times New Roman" w:asciiTheme="minorEastAsia" w:hAnsiTheme="minorEastAsia" w:eastAsiaTheme="minorEastAsia"/>
          <w:color w:val="auto"/>
          <w:sz w:val="24"/>
          <w:szCs w:val="24"/>
          <w:highlight w:val="none"/>
          <w:u w:val="single"/>
        </w:rPr>
        <w:t>满足</w:t>
      </w:r>
      <w:r>
        <w:rPr>
          <w:rFonts w:hint="eastAsia" w:cs="Times New Roman" w:asciiTheme="minorEastAsia" w:hAnsiTheme="minorEastAsia" w:eastAsiaTheme="minorEastAsia"/>
          <w:color w:val="auto"/>
          <w:sz w:val="24"/>
          <w:szCs w:val="24"/>
          <w:highlight w:val="none"/>
          <w:u w:val="single"/>
          <w:lang w:val="zh-CN"/>
        </w:rPr>
        <w:t>磋商文件</w:t>
      </w:r>
      <w:r>
        <w:rPr>
          <w:rFonts w:hint="eastAsia" w:cs="Times New Roman" w:asciiTheme="minorEastAsia" w:hAnsiTheme="minorEastAsia" w:eastAsiaTheme="minorEastAsia"/>
          <w:color w:val="auto"/>
          <w:sz w:val="24"/>
          <w:szCs w:val="24"/>
          <w:highlight w:val="none"/>
          <w:u w:val="single"/>
        </w:rPr>
        <w:t>要求及采购人</w:t>
      </w:r>
      <w:r>
        <w:rPr>
          <w:rFonts w:hint="eastAsia" w:ascii="宋体" w:hAnsi="宋体" w:eastAsia="宋体" w:cs="宋体"/>
          <w:color w:val="auto"/>
          <w:sz w:val="24"/>
          <w:szCs w:val="24"/>
          <w:highlight w:val="none"/>
          <w:u w:val="single"/>
        </w:rPr>
        <w:t>相关要求</w:t>
      </w:r>
      <w:r>
        <w:rPr>
          <w:rFonts w:hint="eastAsia" w:ascii="宋体" w:hAnsi="宋体" w:eastAsia="宋体" w:cs="宋体"/>
          <w:color w:val="auto"/>
          <w:sz w:val="24"/>
          <w:szCs w:val="24"/>
          <w:highlight w:val="none"/>
          <w:lang w:bidi="ar"/>
        </w:rPr>
        <w:t>。</w:t>
      </w:r>
    </w:p>
    <w:p w14:paraId="700EFFEB">
      <w:pPr>
        <w:spacing w:line="360" w:lineRule="auto"/>
        <w:ind w:firstLine="437"/>
        <w:outlineLvl w:val="2"/>
        <w:rPr>
          <w:rFonts w:asciiTheme="minorEastAsia" w:hAnsiTheme="minorEastAsia" w:eastAsiaTheme="minorEastAsia"/>
          <w:b/>
          <w:bCs/>
          <w:color w:val="auto"/>
          <w:sz w:val="24"/>
          <w:highlight w:val="none"/>
          <w:lang w:val="zh-CN"/>
        </w:rPr>
      </w:pPr>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3 </w:t>
      </w:r>
      <w:r>
        <w:rPr>
          <w:rFonts w:hint="eastAsia" w:asciiTheme="minorEastAsia" w:hAnsiTheme="minorEastAsia" w:eastAsiaTheme="minorEastAsia"/>
          <w:b/>
          <w:bCs/>
          <w:color w:val="auto"/>
          <w:sz w:val="24"/>
          <w:highlight w:val="none"/>
          <w:lang w:val="zh-CN"/>
        </w:rPr>
        <w:t>价款</w:t>
      </w:r>
      <w:bookmarkEnd w:id="40"/>
      <w:bookmarkEnd w:id="41"/>
      <w:bookmarkEnd w:id="42"/>
    </w:p>
    <w:p w14:paraId="68A660E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本合同总价为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元</w:t>
      </w:r>
      <w:r>
        <w:rPr>
          <w:rFonts w:hint="eastAsia" w:asciiTheme="minorEastAsia" w:hAnsiTheme="minorEastAsia" w:eastAsiaTheme="minorEastAsia"/>
          <w:color w:val="auto"/>
          <w:sz w:val="24"/>
          <w:highlight w:val="none"/>
        </w:rPr>
        <w:t>（大写：人民币</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元）</w:t>
      </w:r>
      <w:r>
        <w:rPr>
          <w:rFonts w:asciiTheme="minorEastAsia" w:hAnsiTheme="minorEastAsia" w:eastAsiaTheme="minorEastAsia"/>
          <w:color w:val="auto"/>
          <w:sz w:val="24"/>
          <w:highlight w:val="none"/>
        </w:rPr>
        <w:t>。</w:t>
      </w:r>
    </w:p>
    <w:p w14:paraId="3E23E4A6">
      <w:pPr>
        <w:spacing w:line="360" w:lineRule="auto"/>
        <w:ind w:firstLine="437"/>
        <w:outlineLvl w:val="2"/>
        <w:rPr>
          <w:rFonts w:asciiTheme="minorEastAsia" w:hAnsiTheme="minorEastAsia" w:eastAsiaTheme="minorEastAsia"/>
          <w:b/>
          <w:bCs/>
          <w:color w:val="auto"/>
          <w:sz w:val="24"/>
          <w:highlight w:val="none"/>
          <w:lang w:val="zh-CN"/>
        </w:rPr>
      </w:pPr>
      <w:bookmarkStart w:id="43" w:name="_Toc22618"/>
      <w:bookmarkStart w:id="44" w:name="_Toc10340"/>
      <w:bookmarkStart w:id="45" w:name="_Toc1814"/>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4 付款方式和发票开具方式</w:t>
      </w:r>
      <w:bookmarkEnd w:id="43"/>
      <w:bookmarkEnd w:id="44"/>
      <w:bookmarkEnd w:id="45"/>
    </w:p>
    <w:p w14:paraId="033822B4">
      <w:pPr>
        <w:spacing w:line="360" w:lineRule="auto"/>
        <w:ind w:firstLine="435"/>
        <w:rPr>
          <w:rFonts w:ascii="宋体" w:hAnsi="宋体" w:eastAsia="宋体"/>
          <w:color w:val="auto"/>
          <w:sz w:val="24"/>
          <w:highlight w:val="none"/>
          <w:u w:val="single"/>
        </w:rPr>
      </w:pPr>
      <w:r>
        <w:rPr>
          <w:rFonts w:hint="eastAsia" w:asciiTheme="minorEastAsia" w:hAnsiTheme="minorEastAsia" w:eastAsiaTheme="minorEastAsia"/>
          <w:color w:val="auto"/>
          <w:sz w:val="24"/>
          <w:highlight w:val="none"/>
        </w:rPr>
        <w:t>1.4.1</w:t>
      </w:r>
      <w:r>
        <w:rPr>
          <w:rFonts w:asciiTheme="minorEastAsia" w:hAnsiTheme="minorEastAsia" w:eastAsiaTheme="minorEastAsia"/>
          <w:color w:val="auto"/>
          <w:sz w:val="24"/>
          <w:highlight w:val="none"/>
        </w:rPr>
        <w:t>付款方式：</w:t>
      </w:r>
      <w:r>
        <w:rPr>
          <w:rFonts w:hint="eastAsia" w:asciiTheme="minorEastAsia" w:hAnsiTheme="minorEastAsia" w:eastAsiaTheme="minorEastAsia"/>
          <w:color w:val="auto"/>
          <w:sz w:val="24"/>
          <w:highlight w:val="none"/>
          <w:u w:val="single"/>
          <w:lang w:val="en-US" w:eastAsia="zh-CN"/>
        </w:rPr>
        <w:t xml:space="preserve">               </w:t>
      </w:r>
      <w:r>
        <w:rPr>
          <w:rFonts w:hint="eastAsia" w:ascii="宋体" w:hAnsi="宋体" w:eastAsia="宋体"/>
          <w:color w:val="auto"/>
          <w:sz w:val="24"/>
          <w:highlight w:val="none"/>
          <w:u w:val="single"/>
        </w:rPr>
        <w:t>。</w:t>
      </w:r>
    </w:p>
    <w:p w14:paraId="53C8D3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1.4.2发票开具方式：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2419090">
      <w:pPr>
        <w:spacing w:line="360" w:lineRule="auto"/>
        <w:ind w:firstLine="437"/>
        <w:outlineLvl w:val="2"/>
        <w:rPr>
          <w:rFonts w:asciiTheme="minorEastAsia" w:hAnsiTheme="minorEastAsia" w:eastAsiaTheme="minorEastAsia"/>
          <w:b/>
          <w:bCs/>
          <w:color w:val="auto"/>
          <w:sz w:val="24"/>
          <w:highlight w:val="none"/>
          <w:lang w:val="zh-CN"/>
        </w:rPr>
      </w:pPr>
      <w:bookmarkStart w:id="46" w:name="_Toc32071"/>
      <w:bookmarkStart w:id="47" w:name="_Toc19304"/>
      <w:bookmarkStart w:id="48" w:name="_Toc2846"/>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5 </w:t>
      </w:r>
      <w:bookmarkEnd w:id="46"/>
      <w:bookmarkEnd w:id="47"/>
      <w:bookmarkEnd w:id="48"/>
      <w:r>
        <w:rPr>
          <w:rFonts w:hint="eastAsia" w:asciiTheme="minorEastAsia" w:hAnsiTheme="minorEastAsia" w:eastAsiaTheme="minorEastAsia"/>
          <w:b/>
          <w:bCs/>
          <w:color w:val="auto"/>
          <w:sz w:val="24"/>
          <w:highlight w:val="none"/>
          <w:lang w:val="zh-CN"/>
        </w:rPr>
        <w:t>服务期限、地点和方式</w:t>
      </w:r>
    </w:p>
    <w:p w14:paraId="155E17AC">
      <w:pPr>
        <w:autoSpaceDE w:val="0"/>
        <w:autoSpaceDN w:val="0"/>
        <w:adjustRightInd w:val="0"/>
        <w:spacing w:line="480" w:lineRule="exact"/>
        <w:ind w:firstLine="436" w:firstLineChars="182"/>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1.5.1服务期限：</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p>
    <w:p w14:paraId="7846B2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1.5.2服务地点：</w:t>
      </w:r>
      <w:r>
        <w:rPr>
          <w:rFonts w:hint="eastAsia" w:cs="Times New Roman" w:asciiTheme="minorEastAsia" w:hAnsiTheme="minorEastAsia" w:eastAsiaTheme="minorEastAsia"/>
          <w:color w:val="auto"/>
          <w:sz w:val="24"/>
          <w:szCs w:val="24"/>
          <w:highlight w:val="none"/>
          <w:u w:val="single"/>
        </w:rPr>
        <w:t>甲方指定地点</w:t>
      </w:r>
      <w:r>
        <w:rPr>
          <w:rFonts w:hint="eastAsia" w:asciiTheme="minorEastAsia" w:hAnsiTheme="minorEastAsia" w:eastAsiaTheme="minorEastAsia"/>
          <w:color w:val="auto"/>
          <w:sz w:val="24"/>
          <w:highlight w:val="none"/>
        </w:rPr>
        <w:t>；</w:t>
      </w:r>
    </w:p>
    <w:p w14:paraId="638023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1.5.3服务方式：</w:t>
      </w:r>
      <w:r>
        <w:rPr>
          <w:rFonts w:hint="eastAsia" w:cs="Times New Roman" w:asciiTheme="minorEastAsia" w:hAnsiTheme="minorEastAsia" w:eastAsiaTheme="minorEastAsia"/>
          <w:color w:val="auto"/>
          <w:sz w:val="24"/>
          <w:szCs w:val="24"/>
          <w:highlight w:val="none"/>
          <w:u w:val="single"/>
        </w:rPr>
        <w:t>甲方指定方式</w:t>
      </w:r>
      <w:r>
        <w:rPr>
          <w:rFonts w:hint="eastAsia" w:asciiTheme="minorEastAsia" w:hAnsiTheme="minorEastAsia" w:eastAsiaTheme="minorEastAsia"/>
          <w:color w:val="auto"/>
          <w:sz w:val="24"/>
          <w:highlight w:val="none"/>
        </w:rPr>
        <w:t>。</w:t>
      </w:r>
    </w:p>
    <w:p w14:paraId="06509CEA">
      <w:pPr>
        <w:spacing w:line="360" w:lineRule="auto"/>
        <w:ind w:firstLine="437"/>
        <w:outlineLvl w:val="2"/>
        <w:rPr>
          <w:rFonts w:asciiTheme="minorEastAsia" w:hAnsiTheme="minorEastAsia" w:eastAsiaTheme="minorEastAsia"/>
          <w:b/>
          <w:bCs/>
          <w:color w:val="auto"/>
          <w:sz w:val="24"/>
          <w:highlight w:val="none"/>
          <w:lang w:val="zh-CN"/>
        </w:rPr>
      </w:pPr>
      <w:bookmarkStart w:id="49" w:name="_Toc19554"/>
      <w:bookmarkStart w:id="50" w:name="_Toc21423"/>
      <w:bookmarkStart w:id="51" w:name="_Toc27250"/>
      <w:r>
        <w:rPr>
          <w:rFonts w:hint="eastAsia" w:asciiTheme="minorEastAsia" w:hAnsiTheme="minorEastAsia" w:eastAsiaTheme="minorEastAsia"/>
          <w:b/>
          <w:bCs/>
          <w:color w:val="auto"/>
          <w:sz w:val="24"/>
          <w:highlight w:val="none"/>
          <w:lang w:val="zh-CN"/>
        </w:rPr>
        <w:t>1.6 违约责任</w:t>
      </w:r>
      <w:bookmarkEnd w:id="49"/>
      <w:bookmarkEnd w:id="50"/>
      <w:bookmarkEnd w:id="51"/>
    </w:p>
    <w:p w14:paraId="2ABD73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Theme="minorEastAsia" w:hAnsiTheme="minorEastAsia" w:eastAsiaTheme="minorEastAsia"/>
          <w:color w:val="auto"/>
          <w:sz w:val="24"/>
          <w:highlight w:val="none"/>
          <w:u w:val="single"/>
        </w:rPr>
        <w:t xml:space="preserve"> 0.1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10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；迟延履行的违约金计算数额达到前述最高限额之日起，甲方有权在要求乙方支付违约金的同时，书面通知乙方解除本合同；</w:t>
      </w:r>
    </w:p>
    <w:p w14:paraId="30755E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1.6.2除不可抗力外，如果甲方没有按照本合同约定的付款方式付款，那么乙方可要求甲方支付违约金，违约金按每迟延付款一日的应付而未付款</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u w:val="single"/>
        </w:rPr>
        <w:t xml:space="preserve"> 0.1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10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；迟延付款的违约金计算数额达到前述最高限额之日起，乙方有权在要求甲方支付违约金的同时，书面通知甲方解除本合同；</w:t>
      </w:r>
    </w:p>
    <w:p w14:paraId="6762FA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1F3A8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34BF2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E5F7EB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254C89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r>
        <w:rPr>
          <w:rFonts w:hint="eastAsia" w:cs="Times New Roman" w:asciiTheme="minorEastAsia" w:hAnsiTheme="minorEastAsia" w:eastAsiaTheme="minorEastAsia"/>
          <w:color w:val="auto"/>
          <w:sz w:val="24"/>
          <w:szCs w:val="24"/>
          <w:highlight w:val="none"/>
        </w:rPr>
        <w:t>。</w:t>
      </w:r>
    </w:p>
    <w:p w14:paraId="118682E7">
      <w:pPr>
        <w:spacing w:line="360" w:lineRule="auto"/>
        <w:ind w:firstLine="437"/>
        <w:outlineLvl w:val="2"/>
        <w:rPr>
          <w:rFonts w:asciiTheme="minorEastAsia" w:hAnsiTheme="minorEastAsia" w:eastAsiaTheme="minorEastAsia"/>
          <w:b/>
          <w:bCs/>
          <w:color w:val="auto"/>
          <w:sz w:val="24"/>
          <w:highlight w:val="none"/>
          <w:lang w:val="zh-CN"/>
        </w:rPr>
      </w:pPr>
      <w:bookmarkStart w:id="52" w:name="_Toc15583"/>
      <w:bookmarkStart w:id="53" w:name="_Toc28375"/>
      <w:bookmarkStart w:id="54" w:name="_Toc16021"/>
      <w:r>
        <w:rPr>
          <w:rFonts w:hint="eastAsia" w:asciiTheme="minorEastAsia" w:hAnsiTheme="minorEastAsia" w:eastAsiaTheme="minorEastAsia"/>
          <w:b/>
          <w:bCs/>
          <w:color w:val="auto"/>
          <w:sz w:val="24"/>
          <w:highlight w:val="none"/>
          <w:lang w:val="zh-CN"/>
        </w:rPr>
        <w:t>1.7</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w:t>
      </w:r>
      <w:r>
        <w:rPr>
          <w:rFonts w:asciiTheme="minorEastAsia" w:hAnsiTheme="minorEastAsia" w:eastAsiaTheme="minorEastAsia"/>
          <w:b/>
          <w:bCs/>
          <w:color w:val="auto"/>
          <w:sz w:val="24"/>
          <w:highlight w:val="none"/>
          <w:lang w:val="zh-CN"/>
        </w:rPr>
        <w:t>争议的解决</w:t>
      </w:r>
      <w:bookmarkEnd w:id="52"/>
      <w:bookmarkEnd w:id="53"/>
      <w:bookmarkEnd w:id="54"/>
    </w:p>
    <w:p w14:paraId="52ECBD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w:t>
      </w:r>
      <w:r>
        <w:rPr>
          <w:rFonts w:asciiTheme="minorEastAsia" w:hAnsiTheme="minorEastAsia" w:eastAsiaTheme="minorEastAsia"/>
          <w:color w:val="auto"/>
          <w:sz w:val="24"/>
          <w:highlight w:val="none"/>
        </w:rPr>
        <w:t>同履行过程中发生的任何争议，双方当事人均可</w:t>
      </w:r>
      <w:r>
        <w:rPr>
          <w:rFonts w:hint="eastAsia" w:asciiTheme="minorEastAsia" w:hAnsiTheme="minorEastAsia" w:eastAsiaTheme="minorEastAsia"/>
          <w:color w:val="auto"/>
          <w:sz w:val="24"/>
          <w:highlight w:val="none"/>
        </w:rPr>
        <w:t>通过和解或者调解解决；不愿和解、调解或者和解、调解不成的，可以选择下列第</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种方式解决：</w:t>
      </w:r>
    </w:p>
    <w:p w14:paraId="0A4B84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1.7.1将争议提交</w:t>
      </w:r>
      <w:r>
        <w:rPr>
          <w:rFonts w:hint="eastAsia" w:asciiTheme="minorEastAsia" w:hAnsiTheme="minorEastAsia" w:eastAsiaTheme="minorEastAsia"/>
          <w:color w:val="auto"/>
          <w:sz w:val="24"/>
          <w:highlight w:val="none"/>
          <w:u w:val="single"/>
        </w:rPr>
        <w:t xml:space="preserve">  滁州 </w:t>
      </w:r>
      <w:r>
        <w:rPr>
          <w:rFonts w:hint="eastAsia" w:asciiTheme="minorEastAsia" w:hAnsiTheme="minorEastAsia" w:eastAsiaTheme="minorEastAsia"/>
          <w:color w:val="auto"/>
          <w:sz w:val="24"/>
          <w:highlight w:val="none"/>
        </w:rPr>
        <w:t>仲裁委员会依申请仲裁时其现行有效的仲裁规则裁决；</w:t>
      </w:r>
    </w:p>
    <w:p w14:paraId="380386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1.7.2向</w:t>
      </w:r>
      <w:r>
        <w:rPr>
          <w:rFonts w:hint="eastAsia" w:asciiTheme="minorEastAsia" w:hAnsiTheme="minorEastAsia" w:eastAsiaTheme="minorEastAsia"/>
          <w:color w:val="auto"/>
          <w:sz w:val="24"/>
          <w:highlight w:val="none"/>
          <w:u w:val="single"/>
        </w:rPr>
        <w:t xml:space="preserve">  甲方（采购人）所在地</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人民法院起诉。</w:t>
      </w:r>
    </w:p>
    <w:p w14:paraId="0A01F40B">
      <w:pPr>
        <w:spacing w:line="360" w:lineRule="auto"/>
        <w:ind w:firstLine="437"/>
        <w:outlineLvl w:val="2"/>
        <w:rPr>
          <w:rFonts w:asciiTheme="minorEastAsia" w:hAnsiTheme="minorEastAsia" w:eastAsiaTheme="minorEastAsia"/>
          <w:b/>
          <w:bCs/>
          <w:color w:val="auto"/>
          <w:sz w:val="24"/>
          <w:highlight w:val="none"/>
          <w:lang w:val="zh-CN"/>
        </w:rPr>
      </w:pPr>
      <w:bookmarkStart w:id="55" w:name="_Toc15322"/>
      <w:bookmarkStart w:id="56" w:name="_Toc7245"/>
      <w:bookmarkStart w:id="57" w:name="_Toc11173"/>
      <w:r>
        <w:rPr>
          <w:rFonts w:hint="eastAsia" w:asciiTheme="minorEastAsia" w:hAnsiTheme="minorEastAsia" w:eastAsiaTheme="minorEastAsia"/>
          <w:b/>
          <w:bCs/>
          <w:color w:val="auto"/>
          <w:sz w:val="24"/>
          <w:highlight w:val="none"/>
          <w:lang w:val="zh-CN"/>
        </w:rPr>
        <w:t>1.8</w:t>
      </w:r>
      <w:r>
        <w:rPr>
          <w:rFonts w:asciiTheme="minorEastAsia" w:hAnsiTheme="minorEastAsia" w:eastAsiaTheme="minorEastAsia"/>
          <w:b/>
          <w:bCs/>
          <w:color w:val="auto"/>
          <w:sz w:val="24"/>
          <w:highlight w:val="none"/>
          <w:lang w:val="zh-CN"/>
        </w:rPr>
        <w:t xml:space="preserve"> 合同生效</w:t>
      </w:r>
      <w:bookmarkEnd w:id="55"/>
      <w:bookmarkEnd w:id="56"/>
      <w:bookmarkEnd w:id="57"/>
    </w:p>
    <w:p w14:paraId="77CED59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本合同自</w:t>
      </w:r>
      <w:r>
        <w:rPr>
          <w:rFonts w:hint="eastAsia" w:asciiTheme="minorEastAsia" w:hAnsiTheme="minorEastAsia" w:eastAsiaTheme="minorEastAsia"/>
          <w:color w:val="auto"/>
          <w:sz w:val="24"/>
          <w:highlight w:val="none"/>
        </w:rPr>
        <w:t>双方当事人盖章时</w:t>
      </w:r>
      <w:r>
        <w:rPr>
          <w:rFonts w:asciiTheme="minorEastAsia" w:hAnsiTheme="minorEastAsia" w:eastAsiaTheme="minorEastAsia"/>
          <w:color w:val="auto"/>
          <w:sz w:val="24"/>
          <w:highlight w:val="none"/>
        </w:rPr>
        <w:t>生效。</w:t>
      </w:r>
    </w:p>
    <w:p w14:paraId="4E129BF3">
      <w:pPr>
        <w:autoSpaceDE w:val="0"/>
        <w:autoSpaceDN w:val="0"/>
        <w:adjustRightInd w:val="0"/>
        <w:spacing w:line="560" w:lineRule="exact"/>
        <w:rPr>
          <w:rFonts w:asciiTheme="minorEastAsia" w:hAnsiTheme="minorEastAsia" w:eastAsiaTheme="minorEastAsia"/>
          <w:color w:val="auto"/>
          <w:sz w:val="24"/>
          <w:highlight w:val="none"/>
          <w:lang w:val="zh-CN"/>
        </w:rPr>
      </w:pPr>
    </w:p>
    <w:p w14:paraId="59B06956">
      <w:pPr>
        <w:autoSpaceDE w:val="0"/>
        <w:autoSpaceDN w:val="0"/>
        <w:adjustRightInd w:val="0"/>
        <w:spacing w:line="560" w:lineRule="exact"/>
        <w:rPr>
          <w:rFonts w:cs="Times New Roman" w:asciiTheme="minorEastAsia" w:hAnsiTheme="minorEastAsia" w:eastAsiaTheme="minorEastAsia"/>
          <w:bCs/>
          <w:color w:val="auto"/>
          <w:sz w:val="24"/>
          <w:szCs w:val="24"/>
          <w:highlight w:val="none"/>
          <w:lang w:val="zh-CN"/>
        </w:rPr>
      </w:pPr>
      <w:bookmarkStart w:id="58" w:name="_Toc331685783"/>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1F3F0B0A">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7A5CA16B">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4FD31134">
      <w:pPr>
        <w:widowControl/>
        <w:spacing w:line="560" w:lineRule="exact"/>
        <w:jc w:val="left"/>
        <w:rPr>
          <w:rFonts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1B29AB23">
      <w:pPr>
        <w:widowControl/>
        <w:spacing w:line="560" w:lineRule="exact"/>
        <w:jc w:val="left"/>
        <w:rPr>
          <w:rFonts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 xml:space="preserve">                                        乙方账户信息</w:t>
      </w:r>
    </w:p>
    <w:p w14:paraId="0A9B87FA">
      <w:pPr>
        <w:widowControl/>
        <w:spacing w:line="560" w:lineRule="exact"/>
        <w:jc w:val="left"/>
        <w:rPr>
          <w:rFonts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户名：</w:t>
      </w:r>
      <w:r>
        <w:rPr>
          <w:rFonts w:hint="eastAsia" w:cs="Times New Roman" w:asciiTheme="minorEastAsia" w:hAnsiTheme="minorEastAsia" w:eastAsiaTheme="minorEastAsia"/>
          <w:bCs/>
          <w:color w:val="auto"/>
          <w:sz w:val="24"/>
          <w:szCs w:val="24"/>
          <w:highlight w:val="none"/>
          <w:u w:val="single"/>
        </w:rPr>
        <w:t xml:space="preserve">                    </w:t>
      </w:r>
    </w:p>
    <w:p w14:paraId="65FC18EC">
      <w:pPr>
        <w:widowControl/>
        <w:spacing w:line="560" w:lineRule="exact"/>
        <w:jc w:val="left"/>
        <w:rPr>
          <w:rFonts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账号：</w:t>
      </w:r>
      <w:r>
        <w:rPr>
          <w:rFonts w:hint="eastAsia" w:cs="Times New Roman" w:asciiTheme="minorEastAsia" w:hAnsiTheme="minorEastAsia" w:eastAsiaTheme="minorEastAsia"/>
          <w:bCs/>
          <w:color w:val="auto"/>
          <w:sz w:val="24"/>
          <w:szCs w:val="24"/>
          <w:highlight w:val="none"/>
          <w:u w:val="single"/>
        </w:rPr>
        <w:t xml:space="preserve">                    </w:t>
      </w:r>
    </w:p>
    <w:p w14:paraId="5A4411DF">
      <w:pPr>
        <w:widowControl/>
        <w:spacing w:line="560" w:lineRule="exact"/>
        <w:jc w:val="left"/>
        <w:rPr>
          <w:rFonts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开户银行：</w:t>
      </w:r>
      <w:r>
        <w:rPr>
          <w:rFonts w:hint="eastAsia" w:cs="Times New Roman" w:asciiTheme="minorEastAsia" w:hAnsiTheme="minorEastAsia" w:eastAsiaTheme="minorEastAsia"/>
          <w:bCs/>
          <w:color w:val="auto"/>
          <w:sz w:val="24"/>
          <w:szCs w:val="24"/>
          <w:highlight w:val="none"/>
          <w:u w:val="single"/>
        </w:rPr>
        <w:t xml:space="preserve">                </w:t>
      </w:r>
    </w:p>
    <w:p w14:paraId="04F7AEFE">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69E5E349">
      <w:pPr>
        <w:spacing w:line="360" w:lineRule="auto"/>
        <w:jc w:val="center"/>
        <w:outlineLvl w:val="1"/>
        <w:rPr>
          <w:rFonts w:asciiTheme="minorEastAsia" w:hAnsiTheme="minorEastAsia" w:eastAsiaTheme="minorEastAsia"/>
          <w:b/>
          <w:color w:val="auto"/>
          <w:sz w:val="24"/>
          <w:highlight w:val="none"/>
        </w:rPr>
      </w:pPr>
      <w:bookmarkStart w:id="59" w:name="_Toc20177"/>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58"/>
      <w:bookmarkEnd w:id="59"/>
    </w:p>
    <w:p w14:paraId="6D748253">
      <w:pPr>
        <w:spacing w:line="360" w:lineRule="auto"/>
        <w:ind w:firstLine="437"/>
        <w:outlineLvl w:val="2"/>
        <w:rPr>
          <w:rFonts w:asciiTheme="minorEastAsia" w:hAnsiTheme="minorEastAsia" w:eastAsiaTheme="minorEastAsia"/>
          <w:b/>
          <w:bCs/>
          <w:color w:val="auto"/>
          <w:sz w:val="24"/>
          <w:highlight w:val="none"/>
          <w:lang w:val="zh-CN"/>
        </w:rPr>
      </w:pPr>
      <w:bookmarkStart w:id="60" w:name="_Ref467378499"/>
      <w:bookmarkStart w:id="61" w:name="_Ref467379205"/>
      <w:bookmarkStart w:id="62" w:name="_Ref467379101"/>
      <w:bookmarkStart w:id="63" w:name="_Ref467378463"/>
      <w:bookmarkStart w:id="64" w:name="_Ref467379094"/>
      <w:bookmarkStart w:id="65" w:name="_Toc259093669"/>
      <w:bookmarkStart w:id="66" w:name="_Toc19614"/>
      <w:bookmarkStart w:id="67" w:name="_Toc487900349"/>
      <w:bookmarkStart w:id="68" w:name="_Ref467379195"/>
      <w:bookmarkStart w:id="69" w:name="_Toc28763"/>
      <w:bookmarkStart w:id="70" w:name="_Ref467378404"/>
      <w:bookmarkStart w:id="71" w:name="_Toc16917"/>
      <w:bookmarkStart w:id="72" w:name="_Ref467379109"/>
      <w:bookmarkStart w:id="73" w:name="_Toc279701240"/>
      <w:bookmarkStart w:id="74" w:name="_Ref467379214"/>
      <w:bookmarkStart w:id="75" w:name="_Ref467379225"/>
      <w:r>
        <w:rPr>
          <w:rFonts w:hint="eastAsia" w:asciiTheme="minorEastAsia" w:hAnsiTheme="minorEastAsia" w:eastAsiaTheme="minorEastAsia"/>
          <w:b/>
          <w:bCs/>
          <w:color w:val="auto"/>
          <w:sz w:val="24"/>
          <w:highlight w:val="none"/>
          <w:lang w:val="zh-CN"/>
        </w:rPr>
        <w:t>2.1</w:t>
      </w:r>
      <w:r>
        <w:rPr>
          <w:rFonts w:asciiTheme="minorEastAsia" w:hAnsiTheme="minorEastAsia" w:eastAsiaTheme="minorEastAsia"/>
          <w:b/>
          <w:bCs/>
          <w:color w:val="auto"/>
          <w:sz w:val="24"/>
          <w:highlight w:val="none"/>
          <w:lang w:val="zh-CN"/>
        </w:rPr>
        <w:t xml:space="preserve"> 定义</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E547E5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w:t>
      </w:r>
      <w:bookmarkStart w:id="76" w:name="_Ref467379436"/>
      <w:r>
        <w:rPr>
          <w:rFonts w:hint="eastAsia" w:asciiTheme="minorEastAsia" w:hAnsiTheme="minorEastAsia" w:eastAsiaTheme="minorEastAsia"/>
          <w:color w:val="auto"/>
          <w:sz w:val="24"/>
          <w:highlight w:val="none"/>
        </w:rPr>
        <w:t>合同中的下列词语应按以下内容进行解释：</w:t>
      </w:r>
    </w:p>
    <w:p w14:paraId="58BC08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2.1.1“合同”系指采购人和</w:t>
      </w:r>
      <w:r>
        <w:rPr>
          <w:rFonts w:hint="eastAsia" w:asciiTheme="minorEastAsia" w:hAnsiTheme="minorEastAsia" w:eastAsiaTheme="minorEastAsia"/>
          <w:color w:val="auto"/>
          <w:sz w:val="24"/>
          <w:highlight w:val="none"/>
          <w:lang w:eastAsia="zh-CN"/>
        </w:rPr>
        <w:t>成交供应商</w:t>
      </w:r>
      <w:r>
        <w:rPr>
          <w:rFonts w:hint="eastAsia" w:asciiTheme="minorEastAsia" w:hAnsiTheme="minorEastAsia" w:eastAsiaTheme="minorEastAsia"/>
          <w:color w:val="auto"/>
          <w:sz w:val="24"/>
          <w:highlight w:val="none"/>
        </w:rPr>
        <w:t>签订的载明双方当事人所达成的协议，并包括所有的附件、附录和构成合同的其他文件。</w:t>
      </w:r>
    </w:p>
    <w:p w14:paraId="6755D5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2.1.2“合同价”系指根据合同约定，</w:t>
      </w:r>
      <w:r>
        <w:rPr>
          <w:rFonts w:hint="eastAsia" w:asciiTheme="minorEastAsia" w:hAnsiTheme="minorEastAsia" w:eastAsiaTheme="minorEastAsia"/>
          <w:color w:val="auto"/>
          <w:sz w:val="24"/>
          <w:highlight w:val="none"/>
          <w:lang w:eastAsia="zh-CN"/>
        </w:rPr>
        <w:t>成交供应商</w:t>
      </w:r>
      <w:r>
        <w:rPr>
          <w:rFonts w:hint="eastAsia" w:asciiTheme="minorEastAsia" w:hAnsiTheme="minorEastAsia" w:eastAsiaTheme="minorEastAsia"/>
          <w:color w:val="auto"/>
          <w:sz w:val="24"/>
          <w:highlight w:val="none"/>
        </w:rPr>
        <w:t>在完全履行合同义务后，采购人应支付给</w:t>
      </w:r>
      <w:r>
        <w:rPr>
          <w:rFonts w:hint="eastAsia" w:asciiTheme="minorEastAsia" w:hAnsiTheme="minorEastAsia" w:eastAsiaTheme="minorEastAsia"/>
          <w:color w:val="auto"/>
          <w:sz w:val="24"/>
          <w:highlight w:val="none"/>
          <w:lang w:eastAsia="zh-CN"/>
        </w:rPr>
        <w:t>成交供应商</w:t>
      </w:r>
      <w:r>
        <w:rPr>
          <w:rFonts w:hint="eastAsia" w:asciiTheme="minorEastAsia" w:hAnsiTheme="minorEastAsia" w:eastAsiaTheme="minorEastAsia"/>
          <w:color w:val="auto"/>
          <w:sz w:val="24"/>
          <w:highlight w:val="none"/>
        </w:rPr>
        <w:t>的价格。</w:t>
      </w:r>
    </w:p>
    <w:p w14:paraId="0E94B3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2.1.3“服务”系指</w:t>
      </w:r>
      <w:r>
        <w:rPr>
          <w:rFonts w:hint="eastAsia" w:asciiTheme="minorEastAsia" w:hAnsiTheme="minorEastAsia" w:eastAsiaTheme="minorEastAsia"/>
          <w:color w:val="auto"/>
          <w:sz w:val="24"/>
          <w:highlight w:val="none"/>
          <w:lang w:eastAsia="zh-CN"/>
        </w:rPr>
        <w:t>成交供应商</w:t>
      </w:r>
      <w:r>
        <w:rPr>
          <w:rFonts w:hint="eastAsia" w:asciiTheme="minorEastAsia" w:hAnsiTheme="minorEastAsia" w:eastAsiaTheme="minorEastAsia"/>
          <w:color w:val="auto"/>
          <w:sz w:val="24"/>
          <w:highlight w:val="none"/>
        </w:rPr>
        <w:t>根据合同约定应向采购人履行的除货物和工程以外的其他政府采购对象，包括采购人自身需要的服务和向社会公众提供的公共服务。</w:t>
      </w:r>
    </w:p>
    <w:p w14:paraId="158762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2.1.4“甲方”系指与</w:t>
      </w:r>
      <w:r>
        <w:rPr>
          <w:rFonts w:hint="eastAsia" w:asciiTheme="minorEastAsia" w:hAnsiTheme="minorEastAsia" w:eastAsiaTheme="minorEastAsia"/>
          <w:color w:val="auto"/>
          <w:sz w:val="24"/>
          <w:highlight w:val="none"/>
          <w:lang w:eastAsia="zh-CN"/>
        </w:rPr>
        <w:t>成交供应商</w:t>
      </w:r>
      <w:r>
        <w:rPr>
          <w:rFonts w:hint="eastAsia" w:asciiTheme="minorEastAsia" w:hAnsiTheme="minorEastAsia" w:eastAsiaTheme="minorEastAsia"/>
          <w:color w:val="auto"/>
          <w:sz w:val="24"/>
          <w:highlight w:val="none"/>
        </w:rPr>
        <w:t>签署合同的采购人；采购人委托采购代理机构代表其与乙方签订合同的，采购人的授权委托书作为合同附件。</w:t>
      </w:r>
    </w:p>
    <w:p w14:paraId="451B8A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2.1.5“乙方”系指根据合同约定提供服务的</w:t>
      </w:r>
      <w:r>
        <w:rPr>
          <w:rFonts w:hint="eastAsia" w:asciiTheme="minorEastAsia" w:hAnsiTheme="minorEastAsia" w:eastAsiaTheme="minorEastAsia"/>
          <w:color w:val="auto"/>
          <w:sz w:val="24"/>
          <w:highlight w:val="none"/>
          <w:lang w:eastAsia="zh-CN"/>
        </w:rPr>
        <w:t>成交供应商</w:t>
      </w:r>
      <w:r>
        <w:rPr>
          <w:rFonts w:hint="eastAsia" w:asciiTheme="minorEastAsia" w:hAnsiTheme="minorEastAsia" w:eastAsiaTheme="minorEastAsia"/>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14197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2.1.6“现场”系指合同约定提供服务的地点</w:t>
      </w:r>
      <w:r>
        <w:rPr>
          <w:rFonts w:asciiTheme="minorEastAsia" w:hAnsiTheme="minorEastAsia" w:eastAsiaTheme="minorEastAsia"/>
          <w:color w:val="auto"/>
          <w:sz w:val="24"/>
          <w:highlight w:val="none"/>
        </w:rPr>
        <w:t>。</w:t>
      </w:r>
      <w:bookmarkEnd w:id="76"/>
    </w:p>
    <w:p w14:paraId="18EF1E39">
      <w:pPr>
        <w:spacing w:line="360" w:lineRule="auto"/>
        <w:ind w:firstLine="437"/>
        <w:outlineLvl w:val="2"/>
        <w:rPr>
          <w:rFonts w:asciiTheme="minorEastAsia" w:hAnsiTheme="minorEastAsia" w:eastAsiaTheme="minorEastAsia"/>
          <w:b/>
          <w:bCs/>
          <w:color w:val="auto"/>
          <w:sz w:val="24"/>
          <w:highlight w:val="none"/>
          <w:lang w:val="zh-CN"/>
        </w:rPr>
      </w:pPr>
      <w:bookmarkStart w:id="77" w:name="_Toc487900350"/>
      <w:bookmarkStart w:id="78" w:name="_Toc32504"/>
      <w:bookmarkStart w:id="79" w:name="_Toc13336"/>
      <w:bookmarkStart w:id="80" w:name="_Toc279701241"/>
      <w:bookmarkStart w:id="81" w:name="_Toc259093670"/>
      <w:bookmarkStart w:id="82" w:name="_Toc27635"/>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2 技术规范</w:t>
      </w:r>
      <w:bookmarkEnd w:id="77"/>
      <w:bookmarkEnd w:id="78"/>
      <w:bookmarkEnd w:id="79"/>
      <w:bookmarkEnd w:id="80"/>
      <w:bookmarkEnd w:id="81"/>
      <w:bookmarkEnd w:id="82"/>
    </w:p>
    <w:p w14:paraId="269C460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货</w:t>
      </w:r>
      <w:r>
        <w:rPr>
          <w:rFonts w:hint="eastAsia" w:asciiTheme="minorEastAsia" w:hAnsiTheme="minorEastAsia" w:eastAsiaTheme="minorEastAsia"/>
          <w:color w:val="auto"/>
          <w:sz w:val="24"/>
          <w:highlight w:val="none"/>
        </w:rPr>
        <w:t>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r>
        <w:rPr>
          <w:rFonts w:asciiTheme="minorEastAsia" w:hAnsiTheme="minorEastAsia" w:eastAsiaTheme="minorEastAsia"/>
          <w:color w:val="auto"/>
          <w:sz w:val="24"/>
          <w:highlight w:val="none"/>
        </w:rPr>
        <w:t>。</w:t>
      </w:r>
    </w:p>
    <w:p w14:paraId="0A72DE15">
      <w:pPr>
        <w:spacing w:line="360" w:lineRule="auto"/>
        <w:ind w:firstLine="437"/>
        <w:outlineLvl w:val="2"/>
        <w:rPr>
          <w:rFonts w:asciiTheme="minorEastAsia" w:hAnsiTheme="minorEastAsia" w:eastAsiaTheme="minorEastAsia"/>
          <w:b/>
          <w:bCs/>
          <w:color w:val="auto"/>
          <w:sz w:val="24"/>
          <w:highlight w:val="none"/>
          <w:lang w:val="zh-CN"/>
        </w:rPr>
      </w:pPr>
      <w:bookmarkStart w:id="83" w:name="_Toc9829"/>
      <w:bookmarkStart w:id="84" w:name="_Toc27853"/>
      <w:bookmarkStart w:id="85" w:name="_Toc487900351"/>
      <w:bookmarkStart w:id="86" w:name="_Toc279701242"/>
      <w:bookmarkStart w:id="87" w:name="_Toc31634"/>
      <w:bookmarkStart w:id="88" w:name="_Toc259093671"/>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3 知识产权</w:t>
      </w:r>
      <w:bookmarkEnd w:id="83"/>
      <w:bookmarkEnd w:id="84"/>
      <w:bookmarkEnd w:id="85"/>
      <w:bookmarkEnd w:id="86"/>
      <w:bookmarkEnd w:id="87"/>
      <w:bookmarkEnd w:id="88"/>
    </w:p>
    <w:p w14:paraId="262BB4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34A7E8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2.3.2具有知识产权的计算机软件等货物的知识产权归属，详</w:t>
      </w:r>
      <w:r>
        <w:rPr>
          <w:rFonts w:asciiTheme="minorEastAsia" w:hAnsiTheme="minorEastAsia" w:eastAsiaTheme="minorEastAsia"/>
          <w:color w:val="auto"/>
          <w:sz w:val="24"/>
          <w:highlight w:val="none"/>
        </w:rPr>
        <w:t>见</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w:t>
      </w:r>
    </w:p>
    <w:p w14:paraId="074B7CD8">
      <w:pPr>
        <w:spacing w:line="360" w:lineRule="auto"/>
        <w:ind w:firstLine="437"/>
        <w:outlineLvl w:val="2"/>
        <w:rPr>
          <w:rFonts w:asciiTheme="minorEastAsia" w:hAnsiTheme="minorEastAsia" w:eastAsiaTheme="minorEastAsia"/>
          <w:b/>
          <w:color w:val="auto"/>
          <w:sz w:val="24"/>
          <w:highlight w:val="none"/>
        </w:rPr>
      </w:pPr>
      <w:bookmarkStart w:id="89" w:name="_Toc4194"/>
      <w:bookmarkStart w:id="90" w:name="_Toc11932"/>
      <w:bookmarkStart w:id="91" w:name="_Toc29149"/>
      <w:r>
        <w:rPr>
          <w:rFonts w:hint="eastAsia" w:asciiTheme="minorEastAsia" w:hAnsiTheme="minorEastAsia" w:eastAsiaTheme="minorEastAsia"/>
          <w:b/>
          <w:bCs/>
          <w:color w:val="auto"/>
          <w:sz w:val="24"/>
          <w:highlight w:val="none"/>
          <w:lang w:val="zh-CN"/>
        </w:rPr>
        <w:t>2.4</w:t>
      </w:r>
      <w:r>
        <w:rPr>
          <w:rFonts w:asciiTheme="minorEastAsia" w:hAnsiTheme="minorEastAsia" w:eastAsiaTheme="minorEastAsia"/>
          <w:b/>
          <w:bCs/>
          <w:color w:val="auto"/>
          <w:sz w:val="24"/>
          <w:highlight w:val="none"/>
          <w:lang w:val="zh-CN"/>
        </w:rPr>
        <w:t xml:space="preserve"> </w:t>
      </w:r>
      <w:bookmarkEnd w:id="89"/>
      <w:bookmarkEnd w:id="90"/>
      <w:bookmarkEnd w:id="91"/>
      <w:r>
        <w:rPr>
          <w:rFonts w:hint="eastAsia" w:asciiTheme="minorEastAsia" w:hAnsiTheme="minorEastAsia" w:eastAsiaTheme="minorEastAsia"/>
          <w:b/>
          <w:bCs/>
          <w:color w:val="auto"/>
          <w:sz w:val="24"/>
          <w:highlight w:val="none"/>
          <w:lang w:val="zh-CN"/>
        </w:rPr>
        <w:t>履约检查和问题反馈</w:t>
      </w:r>
    </w:p>
    <w:p w14:paraId="20C926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027E40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2.4.2合同履行期间，甲方有权将履行过程中出现的问题反馈给乙方，双方当事人应以书面形式约定需要完善和改进的内容。</w:t>
      </w:r>
    </w:p>
    <w:p w14:paraId="61618111">
      <w:pPr>
        <w:spacing w:line="360" w:lineRule="auto"/>
        <w:ind w:firstLine="437"/>
        <w:outlineLvl w:val="2"/>
        <w:rPr>
          <w:rFonts w:asciiTheme="minorEastAsia" w:hAnsiTheme="minorEastAsia" w:eastAsiaTheme="minorEastAsia"/>
          <w:b/>
          <w:bCs/>
          <w:color w:val="auto"/>
          <w:sz w:val="24"/>
          <w:highlight w:val="none"/>
          <w:lang w:val="zh-CN"/>
        </w:rPr>
      </w:pPr>
      <w:bookmarkStart w:id="92" w:name="_Ref467378541"/>
      <w:bookmarkStart w:id="93" w:name="_Ref467379542"/>
      <w:bookmarkStart w:id="94" w:name="_Toc487900354"/>
      <w:bookmarkStart w:id="95" w:name="_Toc259093674"/>
      <w:bookmarkStart w:id="96" w:name="_Toc279701245"/>
      <w:bookmarkStart w:id="97" w:name="_Ref467379527"/>
      <w:bookmarkStart w:id="98" w:name="_Ref467378591"/>
      <w:bookmarkStart w:id="99" w:name="_Ref467379536"/>
      <w:bookmarkStart w:id="100" w:name="_Toc26182"/>
      <w:bookmarkStart w:id="101" w:name="_Toc30272"/>
      <w:bookmarkStart w:id="102" w:name="_Toc19074"/>
      <w:r>
        <w:rPr>
          <w:rFonts w:hint="eastAsia" w:asciiTheme="minorEastAsia" w:hAnsiTheme="minorEastAsia" w:eastAsiaTheme="minorEastAsia"/>
          <w:b/>
          <w:bCs/>
          <w:color w:val="auto"/>
          <w:sz w:val="24"/>
          <w:highlight w:val="none"/>
          <w:lang w:val="zh-CN"/>
        </w:rPr>
        <w:t>2.</w:t>
      </w:r>
      <w:bookmarkEnd w:id="92"/>
      <w:bookmarkEnd w:id="93"/>
      <w:bookmarkEnd w:id="94"/>
      <w:bookmarkEnd w:id="95"/>
      <w:bookmarkEnd w:id="96"/>
      <w:bookmarkEnd w:id="97"/>
      <w:bookmarkEnd w:id="98"/>
      <w:bookmarkEnd w:id="99"/>
      <w:r>
        <w:rPr>
          <w:rFonts w:hint="eastAsia" w:asciiTheme="minorEastAsia" w:hAnsiTheme="minorEastAsia" w:eastAsiaTheme="minorEastAsia"/>
          <w:b/>
          <w:bCs/>
          <w:color w:val="auto"/>
          <w:sz w:val="24"/>
          <w:highlight w:val="none"/>
          <w:lang w:val="zh-CN"/>
        </w:rPr>
        <w:t>5</w:t>
      </w:r>
      <w:r>
        <w:rPr>
          <w:rFonts w:asciiTheme="minorEastAsia" w:hAnsiTheme="minorEastAsia" w:eastAsiaTheme="minorEastAsia"/>
          <w:b/>
          <w:bCs/>
          <w:color w:val="auto"/>
          <w:sz w:val="24"/>
          <w:highlight w:val="none"/>
          <w:lang w:val="zh-CN"/>
        </w:rPr>
        <w:t xml:space="preserve"> </w:t>
      </w:r>
      <w:bookmarkEnd w:id="100"/>
      <w:bookmarkEnd w:id="101"/>
      <w:bookmarkEnd w:id="102"/>
      <w:bookmarkStart w:id="103" w:name="_Toc7836"/>
      <w:bookmarkStart w:id="104" w:name="_Toc279701247"/>
      <w:bookmarkStart w:id="105" w:name="_Ref467379807"/>
      <w:bookmarkStart w:id="106" w:name="_Toc259093676"/>
      <w:bookmarkStart w:id="107" w:name="_Toc28451"/>
      <w:bookmarkStart w:id="108" w:name="_Toc19219"/>
      <w:bookmarkStart w:id="109" w:name="_Ref467379793"/>
      <w:bookmarkStart w:id="110" w:name="_Toc487900357"/>
      <w:r>
        <w:rPr>
          <w:rFonts w:asciiTheme="minorEastAsia" w:hAnsiTheme="minorEastAsia" w:eastAsiaTheme="minorEastAsia"/>
          <w:b/>
          <w:bCs/>
          <w:color w:val="auto"/>
          <w:sz w:val="24"/>
          <w:highlight w:val="none"/>
          <w:lang w:val="zh-CN"/>
        </w:rPr>
        <w:t>结算方式和付款条件</w:t>
      </w:r>
      <w:bookmarkEnd w:id="103"/>
      <w:bookmarkEnd w:id="104"/>
      <w:bookmarkEnd w:id="105"/>
      <w:bookmarkEnd w:id="106"/>
      <w:bookmarkEnd w:id="107"/>
      <w:bookmarkEnd w:id="108"/>
      <w:bookmarkEnd w:id="109"/>
      <w:bookmarkEnd w:id="110"/>
    </w:p>
    <w:p w14:paraId="7509626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详见</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w:t>
      </w:r>
    </w:p>
    <w:p w14:paraId="662250CD">
      <w:pPr>
        <w:spacing w:line="360" w:lineRule="auto"/>
        <w:ind w:firstLine="437"/>
        <w:outlineLvl w:val="2"/>
        <w:rPr>
          <w:rFonts w:asciiTheme="minorEastAsia" w:hAnsiTheme="minorEastAsia" w:eastAsiaTheme="minorEastAsia"/>
          <w:b/>
          <w:bCs/>
          <w:color w:val="auto"/>
          <w:sz w:val="24"/>
          <w:highlight w:val="none"/>
          <w:lang w:val="zh-CN"/>
        </w:rPr>
      </w:pPr>
      <w:bookmarkStart w:id="111" w:name="_Ref467379852"/>
      <w:bookmarkStart w:id="112" w:name="_Toc487900358"/>
      <w:bookmarkStart w:id="113" w:name="_Toc259093677"/>
      <w:bookmarkStart w:id="114" w:name="_Ref467379923"/>
      <w:bookmarkStart w:id="115" w:name="_Ref467379863"/>
      <w:bookmarkStart w:id="116" w:name="_Toc279701248"/>
      <w:bookmarkStart w:id="117" w:name="_Toc16110"/>
      <w:bookmarkStart w:id="118" w:name="_Toc774"/>
      <w:bookmarkStart w:id="119" w:name="_Toc3225"/>
      <w:r>
        <w:rPr>
          <w:rFonts w:hint="eastAsia"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rPr>
        <w:t>6</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技术资料</w:t>
      </w:r>
      <w:bookmarkEnd w:id="111"/>
      <w:bookmarkEnd w:id="112"/>
      <w:bookmarkEnd w:id="113"/>
      <w:bookmarkEnd w:id="114"/>
      <w:bookmarkEnd w:id="115"/>
      <w:bookmarkEnd w:id="116"/>
      <w:r>
        <w:rPr>
          <w:rFonts w:asciiTheme="minorEastAsia" w:hAnsiTheme="minorEastAsia" w:eastAsiaTheme="minorEastAsia"/>
          <w:b/>
          <w:bCs/>
          <w:color w:val="auto"/>
          <w:sz w:val="24"/>
          <w:highlight w:val="none"/>
          <w:lang w:val="zh-CN"/>
        </w:rPr>
        <w:t>和保密义务</w:t>
      </w:r>
      <w:bookmarkEnd w:id="117"/>
      <w:bookmarkEnd w:id="118"/>
      <w:bookmarkEnd w:id="119"/>
    </w:p>
    <w:p w14:paraId="4FDF26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2.6.1乙方有权依据合同约定和项目需要，向甲方了解有关情况，调阅有关资料等，甲方应予积极配合；</w:t>
      </w:r>
    </w:p>
    <w:p w14:paraId="19E6E6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2.6.2乙方有义务妥善保管和保护由甲方提供的前款信息和资料等；</w:t>
      </w:r>
    </w:p>
    <w:p w14:paraId="3B626C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D1146A1">
      <w:pPr>
        <w:spacing w:line="360" w:lineRule="auto"/>
        <w:ind w:firstLine="437"/>
        <w:outlineLvl w:val="2"/>
        <w:rPr>
          <w:rFonts w:asciiTheme="minorEastAsia" w:hAnsiTheme="minorEastAsia" w:eastAsiaTheme="minorEastAsia"/>
          <w:b/>
          <w:bCs/>
          <w:color w:val="auto"/>
          <w:sz w:val="24"/>
          <w:highlight w:val="none"/>
          <w:lang w:val="zh-CN"/>
        </w:rPr>
      </w:pPr>
      <w:bookmarkStart w:id="120" w:name="_Toc7860"/>
      <w:r>
        <w:rPr>
          <w:rFonts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rPr>
        <w:t>7</w:t>
      </w:r>
      <w:r>
        <w:rPr>
          <w:rFonts w:asciiTheme="minorEastAsia" w:hAnsiTheme="minorEastAsia" w:eastAsiaTheme="minorEastAsia"/>
          <w:b/>
          <w:bCs/>
          <w:color w:val="auto"/>
          <w:sz w:val="24"/>
          <w:highlight w:val="none"/>
          <w:lang w:val="zh-CN"/>
        </w:rPr>
        <w:t xml:space="preserve"> 质量保证</w:t>
      </w:r>
      <w:bookmarkEnd w:id="120"/>
    </w:p>
    <w:p w14:paraId="7F8E27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2.7.1乙方应建立和完善履行合同的内部质量保证体系，并提供相关内部规章制度给甲方，以便甲方进行监督检查；</w:t>
      </w:r>
    </w:p>
    <w:p w14:paraId="7071D5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2.7.2乙方应保证履行合同的人员数量和素质、软件和硬件设备的配置、场地、环境和设施等满足全面履行合同的要求，并应接受甲方的监督检查。</w:t>
      </w:r>
    </w:p>
    <w:p w14:paraId="43323A5B">
      <w:pPr>
        <w:spacing w:line="360" w:lineRule="auto"/>
        <w:ind w:firstLine="437"/>
        <w:outlineLvl w:val="2"/>
        <w:rPr>
          <w:rFonts w:asciiTheme="minorEastAsia" w:hAnsiTheme="minorEastAsia" w:eastAsiaTheme="minorEastAsia"/>
          <w:b/>
          <w:bCs/>
          <w:color w:val="auto"/>
          <w:sz w:val="24"/>
          <w:highlight w:val="none"/>
          <w:lang w:val="zh-CN"/>
        </w:rPr>
      </w:pPr>
      <w:bookmarkStart w:id="121" w:name="_Toc259093681"/>
      <w:bookmarkStart w:id="122" w:name="_Toc487900362"/>
      <w:bookmarkStart w:id="123" w:name="_Toc17244"/>
      <w:bookmarkStart w:id="124" w:name="_Toc279701252"/>
      <w:r>
        <w:rPr>
          <w:rFonts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rPr>
        <w:t>8</w:t>
      </w:r>
      <w:r>
        <w:rPr>
          <w:rFonts w:asciiTheme="minorEastAsia" w:hAnsiTheme="minorEastAsia" w:eastAsiaTheme="minorEastAsia"/>
          <w:b/>
          <w:bCs/>
          <w:color w:val="auto"/>
          <w:sz w:val="24"/>
          <w:highlight w:val="none"/>
          <w:lang w:val="zh-CN"/>
        </w:rPr>
        <w:t xml:space="preserve"> </w:t>
      </w:r>
      <w:bookmarkEnd w:id="121"/>
      <w:bookmarkEnd w:id="122"/>
      <w:bookmarkEnd w:id="123"/>
      <w:bookmarkEnd w:id="124"/>
      <w:r>
        <w:rPr>
          <w:rFonts w:hint="eastAsia" w:asciiTheme="minorEastAsia" w:hAnsiTheme="minorEastAsia" w:eastAsiaTheme="minorEastAsia"/>
          <w:b/>
          <w:bCs/>
          <w:color w:val="auto"/>
          <w:sz w:val="24"/>
          <w:highlight w:val="none"/>
          <w:lang w:val="zh-CN"/>
        </w:rPr>
        <w:t>延迟履行</w:t>
      </w:r>
    </w:p>
    <w:p w14:paraId="372A52A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rPr>
        <w:t>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r>
        <w:rPr>
          <w:rFonts w:asciiTheme="minorEastAsia" w:hAnsiTheme="minorEastAsia" w:eastAsiaTheme="minorEastAsia"/>
          <w:color w:val="auto"/>
          <w:sz w:val="24"/>
          <w:highlight w:val="none"/>
        </w:rPr>
        <w:t>。</w:t>
      </w:r>
    </w:p>
    <w:p w14:paraId="0DEF25B9">
      <w:pPr>
        <w:spacing w:line="360" w:lineRule="auto"/>
        <w:ind w:firstLine="437"/>
        <w:outlineLvl w:val="2"/>
        <w:rPr>
          <w:rFonts w:asciiTheme="minorEastAsia" w:hAnsiTheme="minorEastAsia" w:eastAsiaTheme="minorEastAsia"/>
          <w:b/>
          <w:bCs/>
          <w:color w:val="auto"/>
          <w:sz w:val="24"/>
          <w:highlight w:val="none"/>
          <w:lang w:val="zh-CN"/>
        </w:rPr>
      </w:pPr>
      <w:bookmarkStart w:id="125" w:name="_Toc7502"/>
      <w:bookmarkStart w:id="126" w:name="_Toc279701254"/>
      <w:bookmarkStart w:id="127" w:name="_Ref467378121"/>
      <w:bookmarkStart w:id="128" w:name="_Toc487900364"/>
      <w:bookmarkStart w:id="129" w:name="_Toc259093683"/>
      <w:r>
        <w:rPr>
          <w:rFonts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rPr>
        <w:t>9</w:t>
      </w:r>
      <w:r>
        <w:rPr>
          <w:rFonts w:asciiTheme="minorEastAsia" w:hAnsiTheme="minorEastAsia" w:eastAsiaTheme="minorEastAsia"/>
          <w:b/>
          <w:bCs/>
          <w:color w:val="auto"/>
          <w:sz w:val="24"/>
          <w:highlight w:val="none"/>
          <w:lang w:val="zh-CN"/>
        </w:rPr>
        <w:t xml:space="preserve"> 合同变更</w:t>
      </w:r>
      <w:bookmarkEnd w:id="125"/>
    </w:p>
    <w:p w14:paraId="43445E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2.9.1双方当事人协商一致，可以签订书面补充合同的形式变更合同，但不得违背采购文件确定的事项；</w:t>
      </w:r>
    </w:p>
    <w:p w14:paraId="5774C1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2.9.2合同继续履行将损害国家利益和社会公共利益的，双方当事人应当以书面形式变更合同。有过错的一方应当承担赔偿责任，双方当事人都有过错的，各自承担相应的责任。</w:t>
      </w:r>
      <w:bookmarkStart w:id="130" w:name="_Toc487900369"/>
      <w:bookmarkStart w:id="131" w:name="_Toc259093688"/>
      <w:bookmarkStart w:id="132" w:name="_Toc279701259"/>
    </w:p>
    <w:p w14:paraId="3D340AEA">
      <w:pPr>
        <w:spacing w:line="360" w:lineRule="auto"/>
        <w:ind w:firstLine="437"/>
        <w:outlineLvl w:val="2"/>
        <w:rPr>
          <w:rFonts w:asciiTheme="minorEastAsia" w:hAnsiTheme="minorEastAsia" w:eastAsiaTheme="minorEastAsia"/>
          <w:b/>
          <w:bCs/>
          <w:color w:val="auto"/>
          <w:sz w:val="24"/>
          <w:highlight w:val="none"/>
          <w:lang w:val="zh-CN"/>
        </w:rPr>
      </w:pPr>
      <w:bookmarkStart w:id="133" w:name="_Toc22955"/>
      <w:bookmarkStart w:id="134" w:name="_Toc15237"/>
      <w:bookmarkStart w:id="135" w:name="_Toc10366"/>
      <w:r>
        <w:rPr>
          <w:rFonts w:hint="eastAsia" w:asciiTheme="minorEastAsia" w:hAnsiTheme="minorEastAsia" w:eastAsiaTheme="minorEastAsia"/>
          <w:b/>
          <w:bCs/>
          <w:color w:val="auto"/>
          <w:sz w:val="24"/>
          <w:highlight w:val="none"/>
          <w:lang w:val="zh-CN"/>
        </w:rPr>
        <w:t>2.1</w:t>
      </w:r>
      <w:r>
        <w:rPr>
          <w:rFonts w:hint="eastAsia" w:asciiTheme="minorEastAsia" w:hAnsiTheme="minorEastAsia" w:eastAsiaTheme="minorEastAsia"/>
          <w:b/>
          <w:bCs/>
          <w:color w:val="auto"/>
          <w:sz w:val="24"/>
          <w:highlight w:val="none"/>
        </w:rPr>
        <w:t>0</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合同转让</w:t>
      </w:r>
      <w:bookmarkEnd w:id="130"/>
      <w:bookmarkEnd w:id="131"/>
      <w:bookmarkEnd w:id="132"/>
      <w:r>
        <w:rPr>
          <w:rFonts w:asciiTheme="minorEastAsia" w:hAnsiTheme="minorEastAsia" w:eastAsiaTheme="minorEastAsia"/>
          <w:b/>
          <w:bCs/>
          <w:color w:val="auto"/>
          <w:sz w:val="24"/>
          <w:highlight w:val="none"/>
          <w:lang w:val="zh-CN"/>
        </w:rPr>
        <w:t>和分包</w:t>
      </w:r>
      <w:bookmarkEnd w:id="133"/>
      <w:bookmarkEnd w:id="134"/>
      <w:bookmarkEnd w:id="135"/>
    </w:p>
    <w:p w14:paraId="30CE21C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合</w:t>
      </w:r>
      <w:r>
        <w:rPr>
          <w:rFonts w:hint="eastAsia" w:asciiTheme="minorEastAsia" w:hAnsiTheme="minorEastAsia" w:eastAsiaTheme="minorEastAsia"/>
          <w:color w:val="auto"/>
          <w:sz w:val="24"/>
          <w:highlight w:val="none"/>
        </w:rPr>
        <w:t>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5372010">
      <w:pPr>
        <w:spacing w:line="360" w:lineRule="auto"/>
        <w:ind w:firstLine="437"/>
        <w:outlineLvl w:val="2"/>
        <w:rPr>
          <w:rFonts w:asciiTheme="minorEastAsia" w:hAnsiTheme="minorEastAsia" w:eastAsiaTheme="minorEastAsia"/>
          <w:b/>
          <w:bCs/>
          <w:color w:val="auto"/>
          <w:sz w:val="24"/>
          <w:highlight w:val="none"/>
          <w:lang w:val="zh-CN"/>
        </w:rPr>
      </w:pPr>
      <w:bookmarkStart w:id="136" w:name="_Toc14066"/>
      <w:bookmarkStart w:id="137" w:name="_Toc13566"/>
      <w:bookmarkStart w:id="138" w:name="_Toc16508"/>
      <w:r>
        <w:rPr>
          <w:rFonts w:hint="eastAsia" w:asciiTheme="minorEastAsia" w:hAnsiTheme="minorEastAsia" w:eastAsiaTheme="minorEastAsia"/>
          <w:b/>
          <w:bCs/>
          <w:color w:val="auto"/>
          <w:sz w:val="24"/>
          <w:highlight w:val="none"/>
          <w:lang w:val="zh-CN"/>
        </w:rPr>
        <w:t>2.1</w:t>
      </w:r>
      <w:r>
        <w:rPr>
          <w:rFonts w:hint="eastAsia" w:asciiTheme="minorEastAsia" w:hAnsiTheme="minorEastAsia" w:eastAsiaTheme="minorEastAsia"/>
          <w:b/>
          <w:bCs/>
          <w:color w:val="auto"/>
          <w:sz w:val="24"/>
          <w:highlight w:val="none"/>
        </w:rPr>
        <w:t>1</w:t>
      </w:r>
      <w:r>
        <w:rPr>
          <w:rFonts w:asciiTheme="minorEastAsia" w:hAnsiTheme="minorEastAsia" w:eastAsiaTheme="minorEastAsia"/>
          <w:b/>
          <w:bCs/>
          <w:color w:val="auto"/>
          <w:sz w:val="24"/>
          <w:highlight w:val="none"/>
          <w:lang w:val="zh-CN"/>
        </w:rPr>
        <w:t xml:space="preserve"> 不可抗力</w:t>
      </w:r>
      <w:bookmarkEnd w:id="136"/>
      <w:bookmarkEnd w:id="137"/>
      <w:bookmarkEnd w:id="138"/>
    </w:p>
    <w:p w14:paraId="2B22B4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2.11.1如果任何一方遭遇法律规定的不可抗力，致使合同履行受阻时，履行合同的期限应予延长，延长的期限应相当于不可抗力所影响的时间；</w:t>
      </w:r>
    </w:p>
    <w:p w14:paraId="43FC8E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2.11.2因不可抗力致使不能实现合同目的的，当事人可以解除合同；</w:t>
      </w:r>
    </w:p>
    <w:p w14:paraId="38D289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2.11.3因</w:t>
      </w:r>
      <w:r>
        <w:rPr>
          <w:rFonts w:asciiTheme="minorEastAsia" w:hAnsiTheme="minorEastAsia" w:eastAsiaTheme="minorEastAsia"/>
          <w:color w:val="auto"/>
          <w:sz w:val="24"/>
          <w:highlight w:val="none"/>
        </w:rPr>
        <w:t>不可抗力致使合同有变更必要的，双方当事人应在</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约定时间内以书面形式变更合同</w:t>
      </w:r>
      <w:r>
        <w:rPr>
          <w:rFonts w:hint="eastAsia" w:asciiTheme="minorEastAsia" w:hAnsiTheme="minorEastAsia" w:eastAsiaTheme="minorEastAsia"/>
          <w:color w:val="auto"/>
          <w:sz w:val="24"/>
          <w:highlight w:val="none"/>
        </w:rPr>
        <w:t>；</w:t>
      </w:r>
    </w:p>
    <w:p w14:paraId="03F127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受</w:t>
      </w:r>
      <w:r>
        <w:rPr>
          <w:rFonts w:hint="eastAsia" w:asciiTheme="minorEastAsia" w:hAnsiTheme="minorEastAsia" w:eastAsiaTheme="minorEastAsia"/>
          <w:color w:val="auto"/>
          <w:sz w:val="24"/>
          <w:highlight w:val="none"/>
        </w:rPr>
        <w:t>不可抗力</w:t>
      </w:r>
      <w:r>
        <w:rPr>
          <w:rFonts w:asciiTheme="minorEastAsia" w:hAnsiTheme="minorEastAsia" w:eastAsiaTheme="minorEastAsia"/>
          <w:color w:val="auto"/>
          <w:sz w:val="24"/>
          <w:highlight w:val="none"/>
        </w:rPr>
        <w:t>影响的一方在不可抗力发生后</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应在</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约定时间内以书面形式通知</w:t>
      </w:r>
      <w:r>
        <w:rPr>
          <w:rFonts w:hint="eastAsia" w:asciiTheme="minorEastAsia" w:hAnsiTheme="minorEastAsia" w:eastAsiaTheme="minorEastAsia"/>
          <w:color w:val="auto"/>
          <w:sz w:val="24"/>
          <w:highlight w:val="none"/>
        </w:rPr>
        <w:t>对</w:t>
      </w:r>
      <w:r>
        <w:rPr>
          <w:rFonts w:asciiTheme="minorEastAsia" w:hAnsiTheme="minorEastAsia" w:eastAsiaTheme="minorEastAsia"/>
          <w:color w:val="auto"/>
          <w:sz w:val="24"/>
          <w:highlight w:val="none"/>
        </w:rPr>
        <w:t>方当事人，并在</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约定时间内，将有关部门出具的证明文件送达</w:t>
      </w:r>
      <w:r>
        <w:rPr>
          <w:rFonts w:hint="eastAsia" w:asciiTheme="minorEastAsia" w:hAnsiTheme="minorEastAsia" w:eastAsiaTheme="minorEastAsia"/>
          <w:color w:val="auto"/>
          <w:sz w:val="24"/>
          <w:highlight w:val="none"/>
        </w:rPr>
        <w:t>对方当事人</w:t>
      </w:r>
      <w:r>
        <w:rPr>
          <w:rFonts w:asciiTheme="minorEastAsia" w:hAnsiTheme="minorEastAsia" w:eastAsiaTheme="minorEastAsia"/>
          <w:color w:val="auto"/>
          <w:sz w:val="24"/>
          <w:highlight w:val="none"/>
        </w:rPr>
        <w:t>。</w:t>
      </w:r>
    </w:p>
    <w:p w14:paraId="3D1C87A8">
      <w:pPr>
        <w:spacing w:line="360" w:lineRule="auto"/>
        <w:ind w:firstLine="437"/>
        <w:outlineLvl w:val="2"/>
        <w:rPr>
          <w:rFonts w:asciiTheme="minorEastAsia" w:hAnsiTheme="minorEastAsia" w:eastAsiaTheme="minorEastAsia"/>
          <w:b/>
          <w:bCs/>
          <w:color w:val="auto"/>
          <w:sz w:val="24"/>
          <w:highlight w:val="none"/>
          <w:lang w:val="zh-CN"/>
        </w:rPr>
      </w:pPr>
      <w:bookmarkStart w:id="139" w:name="_Toc689"/>
      <w:bookmarkStart w:id="140" w:name="_Toc30676"/>
      <w:bookmarkStart w:id="141" w:name="_Toc6969"/>
      <w:bookmarkStart w:id="142" w:name="_Toc487900365"/>
      <w:bookmarkStart w:id="143" w:name="_Toc279701255"/>
      <w:bookmarkStart w:id="144" w:name="_Toc259093684"/>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1</w:t>
      </w:r>
      <w:r>
        <w:rPr>
          <w:rFonts w:hint="eastAsia" w:asciiTheme="minorEastAsia" w:hAnsiTheme="minorEastAsia" w:eastAsiaTheme="minorEastAsia"/>
          <w:b/>
          <w:bCs/>
          <w:color w:val="auto"/>
          <w:sz w:val="24"/>
          <w:highlight w:val="none"/>
        </w:rPr>
        <w:t>2</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税费</w:t>
      </w:r>
      <w:bookmarkEnd w:id="139"/>
      <w:bookmarkEnd w:id="140"/>
      <w:bookmarkEnd w:id="141"/>
      <w:bookmarkEnd w:id="142"/>
      <w:bookmarkEnd w:id="143"/>
      <w:bookmarkEnd w:id="144"/>
    </w:p>
    <w:p w14:paraId="16ACA01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与</w:t>
      </w:r>
      <w:r>
        <w:rPr>
          <w:rFonts w:hint="eastAsia" w:asciiTheme="minorEastAsia" w:hAnsiTheme="minorEastAsia" w:eastAsiaTheme="minorEastAsia"/>
          <w:color w:val="auto"/>
          <w:sz w:val="24"/>
          <w:highlight w:val="none"/>
        </w:rPr>
        <w:t>合同有关的一切税费，均按照中华人民共和国法律的相关规定缴纳</w:t>
      </w:r>
      <w:r>
        <w:rPr>
          <w:rFonts w:asciiTheme="minorEastAsia" w:hAnsiTheme="minorEastAsia" w:eastAsiaTheme="minorEastAsia"/>
          <w:color w:val="auto"/>
          <w:sz w:val="24"/>
          <w:highlight w:val="none"/>
        </w:rPr>
        <w:t>。</w:t>
      </w:r>
    </w:p>
    <w:p w14:paraId="16131705">
      <w:pPr>
        <w:spacing w:line="360" w:lineRule="auto"/>
        <w:ind w:firstLine="437"/>
        <w:outlineLvl w:val="2"/>
        <w:rPr>
          <w:rFonts w:asciiTheme="minorEastAsia" w:hAnsiTheme="minorEastAsia" w:eastAsiaTheme="minorEastAsia"/>
          <w:b/>
          <w:bCs/>
          <w:color w:val="auto"/>
          <w:sz w:val="24"/>
          <w:highlight w:val="none"/>
          <w:lang w:val="zh-CN"/>
        </w:rPr>
      </w:pPr>
      <w:bookmarkStart w:id="145" w:name="_Toc259093687"/>
      <w:bookmarkStart w:id="146" w:name="_Toc487900368"/>
      <w:bookmarkStart w:id="147" w:name="_Toc16959"/>
      <w:bookmarkStart w:id="148" w:name="_Toc7102"/>
      <w:bookmarkStart w:id="149" w:name="_Toc8298"/>
      <w:bookmarkStart w:id="150" w:name="_Toc279701258"/>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1</w:t>
      </w:r>
      <w:r>
        <w:rPr>
          <w:rFonts w:hint="eastAsia" w:asciiTheme="minorEastAsia" w:hAnsiTheme="minorEastAsia" w:eastAsiaTheme="minorEastAsia"/>
          <w:b/>
          <w:bCs/>
          <w:color w:val="auto"/>
          <w:sz w:val="24"/>
          <w:highlight w:val="none"/>
        </w:rPr>
        <w:t>3</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乙方破产</w:t>
      </w:r>
      <w:bookmarkEnd w:id="145"/>
      <w:bookmarkEnd w:id="146"/>
      <w:bookmarkEnd w:id="147"/>
      <w:bookmarkEnd w:id="148"/>
      <w:bookmarkEnd w:id="149"/>
      <w:bookmarkEnd w:id="150"/>
    </w:p>
    <w:p w14:paraId="57D0B19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w:t>
      </w:r>
      <w:r>
        <w:rPr>
          <w:rFonts w:hint="eastAsia" w:asciiTheme="minorEastAsia" w:hAnsiTheme="minorEastAsia" w:eastAsiaTheme="minorEastAsia"/>
          <w:color w:val="auto"/>
          <w:sz w:val="24"/>
          <w:highlight w:val="none"/>
        </w:rPr>
        <w:t>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3EE74EB">
      <w:pPr>
        <w:spacing w:line="360" w:lineRule="auto"/>
        <w:ind w:firstLine="437"/>
        <w:outlineLvl w:val="2"/>
        <w:rPr>
          <w:rFonts w:asciiTheme="minorEastAsia" w:hAnsiTheme="minorEastAsia" w:eastAsiaTheme="minorEastAsia"/>
          <w:b/>
          <w:color w:val="auto"/>
          <w:sz w:val="24"/>
          <w:highlight w:val="none"/>
        </w:rPr>
      </w:pPr>
      <w:bookmarkStart w:id="151" w:name="_Toc29333"/>
      <w:bookmarkStart w:id="152" w:name="_Toc6134"/>
      <w:bookmarkStart w:id="153" w:name="_Toc15387"/>
      <w:r>
        <w:rPr>
          <w:rFonts w:hint="eastAsia" w:asciiTheme="minorEastAsia" w:hAnsiTheme="minorEastAsia" w:eastAsiaTheme="minorEastAsia"/>
          <w:b/>
          <w:bCs/>
          <w:color w:val="auto"/>
          <w:sz w:val="24"/>
          <w:highlight w:val="none"/>
          <w:lang w:val="zh-CN"/>
        </w:rPr>
        <w:t>2.1</w:t>
      </w:r>
      <w:r>
        <w:rPr>
          <w:rFonts w:hint="eastAsia" w:asciiTheme="minorEastAsia" w:hAnsiTheme="minorEastAsia" w:eastAsiaTheme="minorEastAsia"/>
          <w:b/>
          <w:bCs/>
          <w:color w:val="auto"/>
          <w:sz w:val="24"/>
          <w:highlight w:val="none"/>
        </w:rPr>
        <w:t>4</w:t>
      </w:r>
      <w:r>
        <w:rPr>
          <w:rFonts w:hint="eastAsia" w:asciiTheme="minorEastAsia" w:hAnsiTheme="minorEastAsia" w:eastAsiaTheme="minorEastAsia"/>
          <w:b/>
          <w:bCs/>
          <w:color w:val="auto"/>
          <w:sz w:val="24"/>
          <w:highlight w:val="none"/>
          <w:lang w:val="zh-CN"/>
        </w:rPr>
        <w:t xml:space="preserve"> 合同中止、终止</w:t>
      </w:r>
      <w:bookmarkEnd w:id="151"/>
      <w:bookmarkEnd w:id="152"/>
      <w:bookmarkEnd w:id="153"/>
    </w:p>
    <w:p w14:paraId="45983C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2.14.1双方当事人不得擅自中止或者终止合同；</w:t>
      </w:r>
    </w:p>
    <w:p w14:paraId="4A46B0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015380C9">
      <w:pPr>
        <w:spacing w:line="360" w:lineRule="auto"/>
        <w:ind w:firstLine="437"/>
        <w:outlineLvl w:val="2"/>
        <w:rPr>
          <w:rFonts w:asciiTheme="minorEastAsia" w:hAnsiTheme="minorEastAsia" w:eastAsiaTheme="minorEastAsia"/>
          <w:b/>
          <w:bCs/>
          <w:color w:val="auto"/>
          <w:sz w:val="24"/>
          <w:highlight w:val="none"/>
          <w:lang w:val="zh-CN"/>
        </w:rPr>
      </w:pPr>
      <w:bookmarkStart w:id="154" w:name="_Toc1125"/>
      <w:bookmarkStart w:id="155" w:name="_Toc14563"/>
      <w:bookmarkStart w:id="156" w:name="_Toc6596"/>
      <w:r>
        <w:rPr>
          <w:rFonts w:hint="eastAsia" w:asciiTheme="minorEastAsia" w:hAnsiTheme="minorEastAsia" w:eastAsiaTheme="minorEastAsia"/>
          <w:b/>
          <w:bCs/>
          <w:color w:val="auto"/>
          <w:sz w:val="24"/>
          <w:highlight w:val="none"/>
          <w:lang w:val="zh-CN"/>
        </w:rPr>
        <w:t>2.1</w:t>
      </w:r>
      <w:r>
        <w:rPr>
          <w:rFonts w:hint="eastAsia" w:asciiTheme="minorEastAsia" w:hAnsiTheme="minorEastAsia" w:eastAsiaTheme="minorEastAsia"/>
          <w:b/>
          <w:bCs/>
          <w:color w:val="auto"/>
          <w:sz w:val="24"/>
          <w:highlight w:val="none"/>
        </w:rPr>
        <w:t>5</w:t>
      </w:r>
      <w:r>
        <w:rPr>
          <w:rFonts w:hint="eastAsia" w:asciiTheme="minorEastAsia" w:hAnsiTheme="minorEastAsia" w:eastAsiaTheme="minorEastAsia"/>
          <w:b/>
          <w:bCs/>
          <w:color w:val="auto"/>
          <w:sz w:val="24"/>
          <w:highlight w:val="none"/>
          <w:lang w:val="zh-CN"/>
        </w:rPr>
        <w:t xml:space="preserve"> 检验和验收</w:t>
      </w:r>
      <w:bookmarkEnd w:id="154"/>
      <w:bookmarkEnd w:id="155"/>
      <w:bookmarkEnd w:id="156"/>
    </w:p>
    <w:p w14:paraId="7BB3DE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1乙方按照</w:t>
      </w:r>
      <w:r>
        <w:rPr>
          <w:rFonts w:hint="eastAsia"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color w:val="auto"/>
          <w:sz w:val="24"/>
          <w:highlight w:val="none"/>
        </w:rPr>
        <w:t>的约定，定期提交服务报告，甲方按照</w:t>
      </w:r>
      <w:r>
        <w:rPr>
          <w:rFonts w:hint="eastAsia"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color w:val="auto"/>
          <w:sz w:val="24"/>
          <w:highlight w:val="none"/>
        </w:rPr>
        <w:t>的约定进行定期验收；</w:t>
      </w:r>
    </w:p>
    <w:p w14:paraId="56541F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394A0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2.15.3检验和验收标准、程序等具体内容以及前述验收书的效力详见</w:t>
      </w:r>
      <w:r>
        <w:rPr>
          <w:rFonts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i/>
          <w:color w:val="auto"/>
          <w:sz w:val="24"/>
          <w:highlight w:val="none"/>
        </w:rPr>
        <w:t>。</w:t>
      </w:r>
    </w:p>
    <w:bookmarkEnd w:id="126"/>
    <w:bookmarkEnd w:id="127"/>
    <w:bookmarkEnd w:id="128"/>
    <w:bookmarkEnd w:id="129"/>
    <w:p w14:paraId="65EBD324">
      <w:pPr>
        <w:spacing w:line="360" w:lineRule="auto"/>
        <w:ind w:firstLine="437"/>
        <w:outlineLvl w:val="2"/>
        <w:rPr>
          <w:rFonts w:asciiTheme="minorEastAsia" w:hAnsiTheme="minorEastAsia" w:eastAsiaTheme="minorEastAsia"/>
          <w:b/>
          <w:bCs/>
          <w:color w:val="auto"/>
          <w:sz w:val="24"/>
          <w:highlight w:val="none"/>
        </w:rPr>
      </w:pPr>
      <w:bookmarkStart w:id="157" w:name="_Toc30599"/>
      <w:bookmarkStart w:id="158" w:name="_Toc4355"/>
      <w:bookmarkStart w:id="159" w:name="_Toc18540"/>
      <w:bookmarkStart w:id="160" w:name="_Toc487900372"/>
      <w:bookmarkStart w:id="161" w:name="_Toc259093691"/>
      <w:bookmarkStart w:id="162" w:name="_Toc279701262"/>
      <w:r>
        <w:rPr>
          <w:rFonts w:hint="eastAsia" w:asciiTheme="minorEastAsia" w:hAnsiTheme="minorEastAsia" w:eastAsiaTheme="minorEastAsia"/>
          <w:b/>
          <w:bCs/>
          <w:color w:val="auto"/>
          <w:sz w:val="24"/>
          <w:highlight w:val="none"/>
        </w:rPr>
        <w:t>2.1</w:t>
      </w:r>
      <w:bookmarkEnd w:id="157"/>
      <w:bookmarkEnd w:id="158"/>
      <w:bookmarkEnd w:id="159"/>
      <w:bookmarkEnd w:id="160"/>
      <w:bookmarkEnd w:id="161"/>
      <w:bookmarkEnd w:id="162"/>
      <w:bookmarkStart w:id="163" w:name="_Toc259093692"/>
      <w:bookmarkStart w:id="164" w:name="_Toc10330"/>
      <w:bookmarkStart w:id="165" w:name="_Toc18567"/>
      <w:bookmarkStart w:id="166" w:name="_Toc12773"/>
      <w:bookmarkStart w:id="167" w:name="_Toc487900373"/>
      <w:bookmarkStart w:id="168" w:name="_Toc279701263"/>
      <w:r>
        <w:rPr>
          <w:rFonts w:hint="eastAsia" w:asciiTheme="minorEastAsia" w:hAnsiTheme="minorEastAsia" w:eastAsiaTheme="minorEastAsia"/>
          <w:b/>
          <w:bCs/>
          <w:color w:val="auto"/>
          <w:sz w:val="24"/>
          <w:highlight w:val="none"/>
        </w:rPr>
        <w:t xml:space="preserve">6 </w:t>
      </w:r>
      <w:r>
        <w:rPr>
          <w:rFonts w:hint="eastAsia" w:asciiTheme="minorEastAsia" w:hAnsiTheme="minorEastAsia" w:eastAsiaTheme="minorEastAsia"/>
          <w:b/>
          <w:bCs/>
          <w:color w:val="auto"/>
          <w:sz w:val="24"/>
          <w:highlight w:val="none"/>
          <w:lang w:val="zh-CN"/>
        </w:rPr>
        <w:t>合同使用的文字和</w:t>
      </w:r>
      <w:r>
        <w:rPr>
          <w:rFonts w:asciiTheme="minorEastAsia" w:hAnsiTheme="minorEastAsia" w:eastAsiaTheme="minorEastAsia"/>
          <w:b/>
          <w:bCs/>
          <w:color w:val="auto"/>
          <w:sz w:val="24"/>
          <w:highlight w:val="none"/>
          <w:lang w:val="zh-CN"/>
        </w:rPr>
        <w:t>适用的法律</w:t>
      </w:r>
      <w:bookmarkEnd w:id="163"/>
      <w:bookmarkEnd w:id="164"/>
      <w:bookmarkEnd w:id="165"/>
      <w:bookmarkEnd w:id="166"/>
      <w:bookmarkEnd w:id="167"/>
      <w:bookmarkEnd w:id="168"/>
    </w:p>
    <w:p w14:paraId="20E9F3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2.16.1合同使用汉语书就、变更和解释；</w:t>
      </w:r>
    </w:p>
    <w:p w14:paraId="6A2D77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2.16.2合同适用中华人民共和国法律</w:t>
      </w:r>
      <w:r>
        <w:rPr>
          <w:rFonts w:asciiTheme="minorEastAsia" w:hAnsiTheme="minorEastAsia" w:eastAsiaTheme="minorEastAsia"/>
          <w:color w:val="auto"/>
          <w:sz w:val="24"/>
          <w:highlight w:val="none"/>
        </w:rPr>
        <w:t>。</w:t>
      </w:r>
    </w:p>
    <w:p w14:paraId="559C1741">
      <w:pPr>
        <w:spacing w:line="360" w:lineRule="auto"/>
        <w:ind w:firstLine="437"/>
        <w:outlineLvl w:val="2"/>
        <w:rPr>
          <w:rFonts w:asciiTheme="minorEastAsia" w:hAnsiTheme="minorEastAsia" w:eastAsiaTheme="minorEastAsia"/>
          <w:b/>
          <w:color w:val="auto"/>
          <w:sz w:val="24"/>
          <w:highlight w:val="none"/>
        </w:rPr>
      </w:pPr>
      <w:bookmarkStart w:id="169" w:name="_Toc12004"/>
      <w:bookmarkStart w:id="170" w:name="_Toc16673"/>
      <w:bookmarkStart w:id="171" w:name="_Toc279701264"/>
      <w:bookmarkStart w:id="172" w:name="_Toc259093693"/>
      <w:bookmarkStart w:id="173" w:name="_Toc3148"/>
      <w:bookmarkStart w:id="174" w:name="_Toc487900374"/>
      <w:r>
        <w:rPr>
          <w:rFonts w:hint="eastAsia"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rPr>
        <w:t>17</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履约保证金</w:t>
      </w:r>
      <w:bookmarkEnd w:id="169"/>
      <w:bookmarkEnd w:id="170"/>
      <w:bookmarkEnd w:id="171"/>
      <w:bookmarkEnd w:id="172"/>
      <w:bookmarkEnd w:id="173"/>
    </w:p>
    <w:p w14:paraId="70FF90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2.17.1采购文件要求乙方提交履约保证金的，乙方</w:t>
      </w:r>
      <w:r>
        <w:rPr>
          <w:rFonts w:asciiTheme="minorEastAsia" w:hAnsiTheme="minorEastAsia" w:eastAsiaTheme="minorEastAsia"/>
          <w:color w:val="auto"/>
          <w:sz w:val="24"/>
          <w:highlight w:val="none"/>
        </w:rPr>
        <w:t>应按</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约定的方式</w:t>
      </w:r>
      <w:r>
        <w:rPr>
          <w:rFonts w:hint="eastAsia" w:asciiTheme="minorEastAsia" w:hAnsiTheme="minorEastAsia" w:eastAsiaTheme="minorEastAsia"/>
          <w:color w:val="auto"/>
          <w:sz w:val="24"/>
          <w:highlight w:val="none"/>
        </w:rPr>
        <w:t>，以支票、汇票、本票或者金融机构、担保机构出具的保函等非现金形式提交；</w:t>
      </w:r>
    </w:p>
    <w:p w14:paraId="509240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2.17</w:t>
      </w:r>
      <w:r>
        <w:rPr>
          <w:rFonts w:asciiTheme="minorEastAsia" w:hAnsiTheme="minorEastAsia" w:eastAsiaTheme="minorEastAsia"/>
          <w:color w:val="auto"/>
          <w:sz w:val="24"/>
          <w:highlight w:val="none"/>
        </w:rPr>
        <w:t>.2</w:t>
      </w:r>
      <w:r>
        <w:rPr>
          <w:rFonts w:cs="Times New Roman" w:asciiTheme="minorEastAsia" w:hAnsiTheme="minorEastAsia" w:eastAsiaTheme="minorEastAsia"/>
          <w:color w:val="auto"/>
          <w:sz w:val="24"/>
          <w:szCs w:val="24"/>
          <w:highlight w:val="none"/>
        </w:rPr>
        <w:t>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rPr>
        <w:t>，甲方逾期退还履约保证金应承担违约责任。</w:t>
      </w:r>
    </w:p>
    <w:p w14:paraId="293954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4"/>
    <w:p w14:paraId="5DD154DF">
      <w:pPr>
        <w:spacing w:line="360" w:lineRule="auto"/>
        <w:ind w:firstLine="437"/>
        <w:outlineLvl w:val="2"/>
        <w:rPr>
          <w:rFonts w:asciiTheme="minorEastAsia" w:hAnsiTheme="minorEastAsia" w:eastAsiaTheme="minorEastAsia"/>
          <w:b/>
          <w:color w:val="auto"/>
          <w:sz w:val="24"/>
          <w:highlight w:val="none"/>
        </w:rPr>
      </w:pPr>
      <w:bookmarkStart w:id="175" w:name="_Toc19890"/>
      <w:bookmarkStart w:id="176" w:name="_Toc6885"/>
      <w:bookmarkStart w:id="177" w:name="_Toc14001"/>
      <w:r>
        <w:rPr>
          <w:rFonts w:hint="eastAsia"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rPr>
        <w:t>18</w:t>
      </w:r>
      <w:r>
        <w:rPr>
          <w:rFonts w:hint="eastAsia" w:asciiTheme="minorEastAsia" w:hAnsiTheme="minorEastAsia" w:eastAsiaTheme="minorEastAsia"/>
          <w:b/>
          <w:bCs/>
          <w:color w:val="auto"/>
          <w:sz w:val="24"/>
          <w:highlight w:val="none"/>
          <w:lang w:val="zh-CN"/>
        </w:rPr>
        <w:t xml:space="preserve"> 合同份数</w:t>
      </w:r>
      <w:bookmarkEnd w:id="175"/>
      <w:bookmarkEnd w:id="176"/>
      <w:bookmarkEnd w:id="177"/>
    </w:p>
    <w:p w14:paraId="3ACE977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合同份数按</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每份均具有同等法律效力</w:t>
      </w:r>
      <w:r>
        <w:rPr>
          <w:rFonts w:hint="eastAsia" w:asciiTheme="minorEastAsia" w:hAnsiTheme="minorEastAsia" w:eastAsiaTheme="minorEastAsia"/>
          <w:color w:val="auto"/>
          <w:sz w:val="24"/>
          <w:highlight w:val="none"/>
        </w:rPr>
        <w:t>。</w:t>
      </w:r>
    </w:p>
    <w:p w14:paraId="7B2FC605">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bookmarkStart w:id="178" w:name="_Toc14669"/>
      <w:bookmarkStart w:id="179" w:name="_Toc331685784"/>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178"/>
      <w:bookmarkEnd w:id="179"/>
    </w:p>
    <w:p w14:paraId="0F5E6C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本部分</w:t>
      </w:r>
      <w:r>
        <w:rPr>
          <w:rFonts w:asciiTheme="minorEastAsia" w:hAnsiTheme="minorEastAsia" w:eastAsiaTheme="minorEastAsia"/>
          <w:color w:val="auto"/>
          <w:sz w:val="24"/>
          <w:highlight w:val="none"/>
        </w:rPr>
        <w:t>是对</w:t>
      </w:r>
      <w:r>
        <w:rPr>
          <w:rFonts w:hint="eastAsia" w:asciiTheme="minorEastAsia" w:hAnsiTheme="minorEastAsia" w:eastAsiaTheme="minorEastAsia"/>
          <w:color w:val="auto"/>
          <w:sz w:val="24"/>
          <w:highlight w:val="none"/>
        </w:rPr>
        <w:t>前两</w:t>
      </w:r>
      <w:r>
        <w:rPr>
          <w:rFonts w:asciiTheme="minorEastAsia" w:hAnsiTheme="minorEastAsia" w:eastAsiaTheme="minorEastAsia"/>
          <w:color w:val="auto"/>
          <w:sz w:val="24"/>
          <w:highlight w:val="none"/>
        </w:rPr>
        <w:t>部分的补充和修改</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如果</w:t>
      </w:r>
      <w:r>
        <w:rPr>
          <w:rFonts w:hint="eastAsia" w:asciiTheme="minorEastAsia" w:hAnsiTheme="minorEastAsia" w:eastAsiaTheme="minorEastAsia"/>
          <w:color w:val="auto"/>
          <w:sz w:val="24"/>
          <w:highlight w:val="none"/>
        </w:rPr>
        <w:t>前两</w:t>
      </w:r>
      <w:r>
        <w:rPr>
          <w:rFonts w:asciiTheme="minorEastAsia" w:hAnsiTheme="minorEastAsia" w:eastAsiaTheme="minorEastAsia"/>
          <w:color w:val="auto"/>
          <w:sz w:val="24"/>
          <w:highlight w:val="none"/>
        </w:rPr>
        <w:t>部分和本部分的约定不一致</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应以本部分的约定为准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本部分的条款号应与</w:t>
      </w:r>
      <w:r>
        <w:rPr>
          <w:rFonts w:hint="eastAsia" w:asciiTheme="minorEastAsia" w:hAnsiTheme="minorEastAsia" w:eastAsiaTheme="minorEastAsia"/>
          <w:color w:val="auto"/>
          <w:sz w:val="24"/>
          <w:highlight w:val="none"/>
        </w:rPr>
        <w:t>前两部分</w:t>
      </w:r>
      <w:r>
        <w:rPr>
          <w:rFonts w:asciiTheme="minorEastAsia" w:hAnsiTheme="minorEastAsia" w:eastAsiaTheme="minorEastAsia"/>
          <w:color w:val="auto"/>
          <w:sz w:val="24"/>
          <w:highlight w:val="none"/>
        </w:rPr>
        <w:t>的条款号保持对应</w:t>
      </w:r>
      <w:r>
        <w:rPr>
          <w:rFonts w:hint="eastAsia" w:asciiTheme="minorEastAsia" w:hAnsiTheme="minorEastAsia" w:eastAsiaTheme="minorEastAsia"/>
          <w:color w:val="auto"/>
          <w:sz w:val="24"/>
          <w:highlight w:val="none"/>
        </w:rPr>
        <w:t>；与前两部分</w:t>
      </w:r>
      <w:r>
        <w:rPr>
          <w:rFonts w:asciiTheme="minorEastAsia" w:hAnsiTheme="minorEastAsia" w:eastAsiaTheme="minorEastAsia"/>
          <w:color w:val="auto"/>
          <w:sz w:val="24"/>
          <w:highlight w:val="none"/>
        </w:rPr>
        <w:t>无对应关系的内容可另行编制条款号</w:t>
      </w:r>
      <w:r>
        <w:rPr>
          <w:rFonts w:hint="eastAsia" w:asciiTheme="minorEastAsia" w:hAnsiTheme="minorEastAsia" w:eastAsiaTheme="minorEastAsia"/>
          <w:color w:val="auto"/>
          <w:sz w:val="24"/>
          <w:highlight w:val="none"/>
        </w:rPr>
        <w:t>。</w:t>
      </w:r>
    </w:p>
    <w:tbl>
      <w:tblPr>
        <w:tblStyle w:val="2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3"/>
        <w:gridCol w:w="7569"/>
      </w:tblGrid>
      <w:tr w14:paraId="39AA9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4" w:type="pct"/>
            <w:tcBorders>
              <w:left w:val="single" w:color="auto" w:sz="4" w:space="0"/>
            </w:tcBorders>
            <w:vAlign w:val="center"/>
          </w:tcPr>
          <w:p w14:paraId="219FDC57">
            <w:pPr>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条款号</w:t>
            </w:r>
          </w:p>
        </w:tc>
        <w:tc>
          <w:tcPr>
            <w:tcW w:w="4525" w:type="pct"/>
            <w:vAlign w:val="center"/>
          </w:tcPr>
          <w:p w14:paraId="688AEDFB">
            <w:pPr>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约定内容</w:t>
            </w:r>
          </w:p>
        </w:tc>
      </w:tr>
      <w:tr w14:paraId="56B3D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4" w:type="pct"/>
            <w:tcBorders>
              <w:left w:val="single" w:color="auto" w:sz="4" w:space="0"/>
            </w:tcBorders>
            <w:vAlign w:val="center"/>
          </w:tcPr>
          <w:p w14:paraId="63E3BE9F">
            <w:pPr>
              <w:spacing w:line="440" w:lineRule="exact"/>
              <w:jc w:val="center"/>
              <w:rPr>
                <w:rFonts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szCs w:val="24"/>
                <w:highlight w:val="none"/>
              </w:rPr>
              <w:t>2.5</w:t>
            </w:r>
          </w:p>
        </w:tc>
        <w:tc>
          <w:tcPr>
            <w:tcW w:w="4525" w:type="pct"/>
            <w:vAlign w:val="center"/>
          </w:tcPr>
          <w:p w14:paraId="49394AFD">
            <w:pPr>
              <w:pStyle w:val="43"/>
              <w:widowControl w:val="0"/>
              <w:spacing w:before="0" w:beforeAutospacing="0" w:after="0" w:afterAutospacing="0" w:line="360" w:lineRule="auto"/>
              <w:jc w:val="both"/>
              <w:rPr>
                <w:rFonts w:hint="eastAsia" w:eastAsia="@仿宋_GB2312"/>
                <w:color w:val="auto"/>
                <w:highlight w:val="none"/>
                <w:lang w:eastAsia="zh-CN"/>
              </w:rPr>
            </w:pPr>
            <w:r>
              <w:rPr>
                <w:rFonts w:hint="eastAsia" w:ascii="宋体" w:hAnsi="宋体" w:eastAsia="宋体"/>
                <w:b w:val="0"/>
                <w:color w:val="auto"/>
                <w:sz w:val="24"/>
                <w:highlight w:val="none"/>
                <w:u w:val="single"/>
                <w:lang w:eastAsia="zh-CN"/>
              </w:rPr>
              <w:t>合同签订生效并具备实施条件后支付合同金额（扣除泵站设备、输水管道、渠道运行应急抢修费及税金）的</w:t>
            </w:r>
            <w:r>
              <w:rPr>
                <w:rFonts w:hint="eastAsia" w:ascii="宋体" w:hAnsi="宋体" w:eastAsia="宋体"/>
                <w:b w:val="0"/>
                <w:color w:val="auto"/>
                <w:sz w:val="24"/>
                <w:highlight w:val="none"/>
                <w:u w:val="single"/>
                <w:lang w:val="en-US" w:eastAsia="zh-CN"/>
              </w:rPr>
              <w:t>6</w:t>
            </w:r>
            <w:r>
              <w:rPr>
                <w:rFonts w:hint="eastAsia" w:ascii="宋体" w:hAnsi="宋体" w:eastAsia="宋体"/>
                <w:b w:val="0"/>
                <w:color w:val="auto"/>
                <w:sz w:val="24"/>
                <w:highlight w:val="none"/>
                <w:u w:val="single"/>
                <w:lang w:eastAsia="zh-CN"/>
              </w:rPr>
              <w:t>0%预付款（预付款支付前，成交供应商须提供等额的见索即付预付款保函。</w:t>
            </w:r>
            <w:r>
              <w:rPr>
                <w:rFonts w:hint="eastAsia" w:ascii="宋体" w:hAnsi="宋体" w:eastAsia="宋体"/>
                <w:b w:val="0"/>
                <w:color w:val="auto"/>
                <w:sz w:val="24"/>
                <w:highlight w:val="none"/>
                <w:u w:val="single"/>
                <w:lang w:val="en-US" w:eastAsia="zh-CN"/>
              </w:rPr>
              <w:t>预付款如超过50万元，按50万元支付</w:t>
            </w:r>
            <w:r>
              <w:rPr>
                <w:rFonts w:hint="eastAsia" w:ascii="宋体" w:hAnsi="宋体" w:eastAsia="宋体"/>
                <w:b w:val="0"/>
                <w:color w:val="auto"/>
                <w:sz w:val="24"/>
                <w:highlight w:val="none"/>
                <w:u w:val="single"/>
                <w:lang w:eastAsia="zh-CN"/>
              </w:rPr>
              <w:t>），服务期满后且经采购人验收合格后一次性付清剩余价款。</w:t>
            </w:r>
          </w:p>
        </w:tc>
      </w:tr>
      <w:tr w14:paraId="7B22D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6ADAD7A6">
            <w:pPr>
              <w:spacing w:line="440" w:lineRule="exact"/>
              <w:jc w:val="center"/>
              <w:rPr>
                <w:rFonts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szCs w:val="24"/>
                <w:highlight w:val="none"/>
              </w:rPr>
              <w:t>2.11.3</w:t>
            </w:r>
          </w:p>
        </w:tc>
        <w:tc>
          <w:tcPr>
            <w:tcW w:w="4525" w:type="pct"/>
            <w:vAlign w:val="center"/>
          </w:tcPr>
          <w:p w14:paraId="6BE71D5F">
            <w:pPr>
              <w:spacing w:line="440" w:lineRule="exact"/>
              <w:rPr>
                <w:rFonts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szCs w:val="24"/>
                <w:highlight w:val="none"/>
              </w:rPr>
              <w:t>因不可抗力致使合同有变更必要的，双方当事人应在不可抗力发生的3个工作日内以书面形式变更合同</w:t>
            </w:r>
          </w:p>
        </w:tc>
      </w:tr>
      <w:tr w14:paraId="552AE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5BB0B9E5">
            <w:pPr>
              <w:spacing w:line="440" w:lineRule="exact"/>
              <w:jc w:val="center"/>
              <w:rPr>
                <w:rFonts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szCs w:val="24"/>
                <w:highlight w:val="none"/>
              </w:rPr>
              <w:t>2.11.4</w:t>
            </w:r>
          </w:p>
        </w:tc>
        <w:tc>
          <w:tcPr>
            <w:tcW w:w="4525" w:type="pct"/>
            <w:vAlign w:val="center"/>
          </w:tcPr>
          <w:p w14:paraId="46A4FEED">
            <w:pPr>
              <w:spacing w:line="440" w:lineRule="exact"/>
              <w:rPr>
                <w:rFonts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szCs w:val="24"/>
                <w:highlight w:val="none"/>
              </w:rPr>
              <w:t>受不可抗力影响的一方在不可抗力发生后，应在不可抗力发生的1个工作日内以书面形式通知对方当事人，并在1个工作日内，将有关部门出具的证明文件送达对方当事人</w:t>
            </w:r>
          </w:p>
        </w:tc>
      </w:tr>
      <w:tr w14:paraId="198D0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1B12A66D">
            <w:pPr>
              <w:spacing w:line="440" w:lineRule="exact"/>
              <w:jc w:val="center"/>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2.15</w:t>
            </w:r>
          </w:p>
        </w:tc>
        <w:tc>
          <w:tcPr>
            <w:tcW w:w="4525" w:type="pct"/>
            <w:vAlign w:val="center"/>
          </w:tcPr>
          <w:p w14:paraId="6299B862">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2.15.1乙方须接受甲方对项目执行情况、服务质量等的监督、检查和验收，甲方有权查看与项目直接相关的凭证和资料，乙方应予以配合。</w:t>
            </w:r>
          </w:p>
          <w:p w14:paraId="20000E07">
            <w:pPr>
              <w:spacing w:line="440" w:lineRule="exact"/>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2.15.3验收书的内容以检验和验收标准、程序结合项目具体内容出具，以验收书作为结算依据。</w:t>
            </w:r>
          </w:p>
        </w:tc>
      </w:tr>
      <w:tr w14:paraId="304E0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31763DEE">
            <w:pPr>
              <w:spacing w:line="560" w:lineRule="exact"/>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2.17</w:t>
            </w:r>
          </w:p>
        </w:tc>
        <w:tc>
          <w:tcPr>
            <w:tcW w:w="4525" w:type="pct"/>
            <w:vAlign w:val="center"/>
          </w:tcPr>
          <w:p w14:paraId="75F66517">
            <w:pPr>
              <w:spacing w:line="440" w:lineRule="exact"/>
              <w:rPr>
                <w:rFonts w:asciiTheme="minorEastAsia" w:hAnsiTheme="minorEastAsia" w:eastAsiaTheme="minorEastAsia"/>
                <w:color w:val="auto"/>
                <w:sz w:val="24"/>
                <w:highlight w:val="none"/>
                <w:u w:val="single"/>
              </w:rPr>
            </w:pPr>
            <w:r>
              <w:rPr>
                <w:rFonts w:hint="eastAsia" w:cs="Times New Roman" w:asciiTheme="minorEastAsia" w:hAnsiTheme="minorEastAsia" w:eastAsiaTheme="minorEastAsia"/>
                <w:color w:val="auto"/>
                <w:sz w:val="24"/>
                <w:szCs w:val="24"/>
                <w:highlight w:val="none"/>
              </w:rPr>
              <w:t>本项目免收</w:t>
            </w:r>
            <w:r>
              <w:rPr>
                <w:rFonts w:hint="eastAsia" w:cs="Times New Roman" w:asciiTheme="minorEastAsia" w:hAnsiTheme="minorEastAsia" w:eastAsiaTheme="minorEastAsia"/>
                <w:color w:val="auto"/>
                <w:sz w:val="24"/>
                <w:szCs w:val="24"/>
                <w:highlight w:val="none"/>
                <w:lang w:val="zh-CN"/>
              </w:rPr>
              <w:t>履约保证金</w:t>
            </w:r>
          </w:p>
        </w:tc>
      </w:tr>
      <w:tr w14:paraId="489F1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184E6A04">
            <w:pPr>
              <w:spacing w:line="440" w:lineRule="exact"/>
              <w:jc w:val="center"/>
              <w:rPr>
                <w:rFonts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szCs w:val="24"/>
                <w:highlight w:val="none"/>
              </w:rPr>
              <w:t>2.18</w:t>
            </w:r>
          </w:p>
        </w:tc>
        <w:tc>
          <w:tcPr>
            <w:tcW w:w="4525" w:type="pct"/>
            <w:vAlign w:val="center"/>
          </w:tcPr>
          <w:p w14:paraId="24161575">
            <w:pPr>
              <w:spacing w:line="440" w:lineRule="exact"/>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合同一式陆份，甲乙双方各执叁份。</w:t>
            </w:r>
          </w:p>
        </w:tc>
      </w:tr>
      <w:tr w14:paraId="2E2B7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6421A383">
            <w:pPr>
              <w:spacing w:line="440" w:lineRule="exact"/>
              <w:rPr>
                <w:rFonts w:asciiTheme="minorEastAsia" w:hAnsiTheme="minorEastAsia" w:eastAsiaTheme="minorEastAsia"/>
                <w:color w:val="auto"/>
                <w:sz w:val="24"/>
                <w:highlight w:val="none"/>
              </w:rPr>
            </w:pPr>
          </w:p>
        </w:tc>
        <w:tc>
          <w:tcPr>
            <w:tcW w:w="4525" w:type="pct"/>
            <w:vAlign w:val="center"/>
          </w:tcPr>
          <w:p w14:paraId="494294B6">
            <w:pPr>
              <w:spacing w:line="440" w:lineRule="exact"/>
              <w:rPr>
                <w:rFonts w:asciiTheme="minorEastAsia" w:hAnsiTheme="minorEastAsia" w:eastAsiaTheme="minorEastAsia"/>
                <w:color w:val="auto"/>
                <w:sz w:val="24"/>
                <w:highlight w:val="none"/>
                <w:u w:val="single"/>
              </w:rPr>
            </w:pPr>
            <w:r>
              <w:rPr>
                <w:rFonts w:hint="eastAsia" w:cs="Times New Roman" w:asciiTheme="minorEastAsia" w:hAnsiTheme="minorEastAsia" w:eastAsiaTheme="minorEastAsia"/>
                <w:color w:val="auto"/>
                <w:sz w:val="24"/>
                <w:szCs w:val="24"/>
                <w:highlight w:val="none"/>
              </w:rPr>
              <w:t>（签订合同时可补充）</w:t>
            </w:r>
          </w:p>
        </w:tc>
      </w:tr>
      <w:tr w14:paraId="5890F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7CC7C498">
            <w:pPr>
              <w:spacing w:line="560" w:lineRule="exact"/>
              <w:rPr>
                <w:rFonts w:asciiTheme="minorEastAsia" w:hAnsiTheme="minorEastAsia" w:eastAsiaTheme="minorEastAsia"/>
                <w:color w:val="auto"/>
                <w:sz w:val="24"/>
                <w:highlight w:val="none"/>
              </w:rPr>
            </w:pPr>
          </w:p>
        </w:tc>
        <w:tc>
          <w:tcPr>
            <w:tcW w:w="4525" w:type="pct"/>
            <w:vAlign w:val="center"/>
          </w:tcPr>
          <w:p w14:paraId="485DD148">
            <w:pPr>
              <w:spacing w:line="560" w:lineRule="exact"/>
              <w:rPr>
                <w:rFonts w:asciiTheme="minorEastAsia" w:hAnsiTheme="minorEastAsia" w:eastAsiaTheme="minorEastAsia"/>
                <w:color w:val="auto"/>
                <w:sz w:val="24"/>
                <w:highlight w:val="none"/>
              </w:rPr>
            </w:pPr>
          </w:p>
        </w:tc>
      </w:tr>
      <w:tr w14:paraId="665B7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1C7DBA33">
            <w:pPr>
              <w:spacing w:line="560" w:lineRule="exact"/>
              <w:rPr>
                <w:rFonts w:asciiTheme="minorEastAsia" w:hAnsiTheme="minorEastAsia" w:eastAsiaTheme="minorEastAsia"/>
                <w:color w:val="auto"/>
                <w:sz w:val="24"/>
                <w:highlight w:val="none"/>
              </w:rPr>
            </w:pPr>
          </w:p>
        </w:tc>
        <w:tc>
          <w:tcPr>
            <w:tcW w:w="4525" w:type="pct"/>
            <w:vAlign w:val="center"/>
          </w:tcPr>
          <w:p w14:paraId="519F82AF">
            <w:pPr>
              <w:spacing w:line="560" w:lineRule="exact"/>
              <w:rPr>
                <w:rFonts w:asciiTheme="minorEastAsia" w:hAnsiTheme="minorEastAsia" w:eastAsiaTheme="minorEastAsia"/>
                <w:color w:val="auto"/>
                <w:sz w:val="24"/>
                <w:highlight w:val="none"/>
              </w:rPr>
            </w:pPr>
          </w:p>
        </w:tc>
      </w:tr>
      <w:tr w14:paraId="2CE08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1DD794C4">
            <w:pPr>
              <w:spacing w:line="560" w:lineRule="exact"/>
              <w:rPr>
                <w:rFonts w:asciiTheme="minorEastAsia" w:hAnsiTheme="minorEastAsia" w:eastAsiaTheme="minorEastAsia"/>
                <w:color w:val="auto"/>
                <w:sz w:val="24"/>
                <w:highlight w:val="none"/>
              </w:rPr>
            </w:pPr>
          </w:p>
        </w:tc>
        <w:tc>
          <w:tcPr>
            <w:tcW w:w="4525" w:type="pct"/>
            <w:vAlign w:val="center"/>
          </w:tcPr>
          <w:p w14:paraId="3A134DBC">
            <w:pPr>
              <w:spacing w:line="560" w:lineRule="exact"/>
              <w:rPr>
                <w:rFonts w:asciiTheme="minorEastAsia" w:hAnsiTheme="minorEastAsia" w:eastAsiaTheme="minorEastAsia"/>
                <w:color w:val="auto"/>
                <w:sz w:val="24"/>
                <w:highlight w:val="none"/>
              </w:rPr>
            </w:pPr>
          </w:p>
        </w:tc>
      </w:tr>
      <w:tr w14:paraId="4D363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top w:val="single" w:color="auto" w:sz="6" w:space="0"/>
              <w:left w:val="single" w:color="auto" w:sz="4" w:space="0"/>
              <w:bottom w:val="single" w:color="auto" w:sz="6" w:space="0"/>
              <w:right w:val="single" w:color="auto" w:sz="6" w:space="0"/>
            </w:tcBorders>
            <w:vAlign w:val="center"/>
          </w:tcPr>
          <w:p w14:paraId="5D9C1A5A">
            <w:pPr>
              <w:spacing w:line="560" w:lineRule="exact"/>
              <w:rPr>
                <w:rFonts w:asciiTheme="minorEastAsia" w:hAnsiTheme="minorEastAsia" w:eastAsiaTheme="minorEastAsia"/>
                <w:color w:val="auto"/>
                <w:sz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127C7B19">
            <w:pPr>
              <w:spacing w:line="560" w:lineRule="exact"/>
              <w:rPr>
                <w:rFonts w:asciiTheme="minorEastAsia" w:hAnsiTheme="minorEastAsia" w:eastAsiaTheme="minorEastAsia"/>
                <w:color w:val="auto"/>
                <w:sz w:val="24"/>
                <w:highlight w:val="none"/>
              </w:rPr>
            </w:pPr>
          </w:p>
        </w:tc>
      </w:tr>
    </w:tbl>
    <w:p w14:paraId="2312F043">
      <w:pPr>
        <w:spacing w:line="360" w:lineRule="auto"/>
        <w:rPr>
          <w:rFonts w:asciiTheme="minorEastAsia" w:hAnsiTheme="minorEastAsia" w:eastAsiaTheme="minorEastAsia" w:cstheme="minorEastAsia"/>
          <w:color w:val="auto"/>
          <w:sz w:val="28"/>
          <w:szCs w:val="27"/>
          <w:highlight w:val="none"/>
        </w:rPr>
      </w:pPr>
      <w:r>
        <w:rPr>
          <w:rFonts w:hint="eastAsia" w:asciiTheme="minorEastAsia" w:hAnsiTheme="minorEastAsia" w:eastAsiaTheme="minorEastAsia" w:cstheme="minorEastAsia"/>
          <w:color w:val="auto"/>
          <w:sz w:val="28"/>
          <w:szCs w:val="27"/>
          <w:highlight w:val="none"/>
        </w:rPr>
        <w:br w:type="page"/>
      </w:r>
    </w:p>
    <w:p w14:paraId="1BEA3CC4">
      <w:pPr>
        <w:spacing w:line="360" w:lineRule="auto"/>
        <w:jc w:val="center"/>
        <w:outlineLvl w:val="0"/>
        <w:rPr>
          <w:rFonts w:asciiTheme="minorEastAsia" w:hAnsiTheme="minorEastAsia" w:eastAsiaTheme="minorEastAsia"/>
          <w:b/>
          <w:color w:val="auto"/>
          <w:sz w:val="28"/>
          <w:highlight w:val="none"/>
        </w:rPr>
      </w:pPr>
      <w:bookmarkStart w:id="180" w:name="_Toc2430"/>
      <w:bookmarkStart w:id="181" w:name="_Toc25148"/>
      <w:bookmarkStart w:id="182" w:name="_Toc16475"/>
      <w:r>
        <w:rPr>
          <w:rFonts w:hint="eastAsia" w:asciiTheme="minorEastAsia" w:hAnsiTheme="minorEastAsia" w:eastAsiaTheme="minorEastAsia"/>
          <w:b/>
          <w:color w:val="auto"/>
          <w:sz w:val="28"/>
          <w:highlight w:val="none"/>
        </w:rPr>
        <w:t>第六章  响应文件格式</w:t>
      </w:r>
      <w:bookmarkEnd w:id="180"/>
      <w:bookmarkEnd w:id="181"/>
      <w:bookmarkEnd w:id="182"/>
    </w:p>
    <w:p w14:paraId="5035E31A">
      <w:pPr>
        <w:spacing w:line="900" w:lineRule="exact"/>
        <w:jc w:val="center"/>
        <w:rPr>
          <w:rFonts w:asciiTheme="minorEastAsia" w:hAnsiTheme="minorEastAsia" w:eastAsiaTheme="minorEastAsia"/>
          <w:b/>
          <w:color w:val="auto"/>
          <w:sz w:val="72"/>
          <w:highlight w:val="none"/>
        </w:rPr>
      </w:pPr>
    </w:p>
    <w:p w14:paraId="2AAEE3A4">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7A1C7B84">
      <w:pPr>
        <w:spacing w:line="900" w:lineRule="exact"/>
        <w:jc w:val="center"/>
        <w:rPr>
          <w:rFonts w:asciiTheme="minorEastAsia" w:hAnsiTheme="minorEastAsia" w:eastAsiaTheme="minorEastAsia"/>
          <w:b/>
          <w:color w:val="auto"/>
          <w:sz w:val="72"/>
          <w:highlight w:val="none"/>
        </w:rPr>
      </w:pPr>
    </w:p>
    <w:p w14:paraId="0E17A7E2">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4A7C1BC3">
      <w:pPr>
        <w:spacing w:line="900" w:lineRule="exact"/>
        <w:jc w:val="center"/>
        <w:rPr>
          <w:rFonts w:asciiTheme="minorEastAsia" w:hAnsiTheme="minorEastAsia" w:eastAsiaTheme="minorEastAsia"/>
          <w:b/>
          <w:color w:val="auto"/>
          <w:sz w:val="72"/>
          <w:highlight w:val="none"/>
        </w:rPr>
      </w:pPr>
    </w:p>
    <w:p w14:paraId="6429FCA1">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0FB4D24F">
      <w:pPr>
        <w:spacing w:line="900" w:lineRule="exact"/>
        <w:jc w:val="center"/>
        <w:rPr>
          <w:rFonts w:asciiTheme="minorEastAsia" w:hAnsiTheme="minorEastAsia" w:eastAsiaTheme="minorEastAsia"/>
          <w:b/>
          <w:color w:val="auto"/>
          <w:sz w:val="72"/>
          <w:highlight w:val="none"/>
        </w:rPr>
      </w:pPr>
    </w:p>
    <w:p w14:paraId="59D57E84">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1B02D042">
      <w:pPr>
        <w:spacing w:after="156" w:afterLines="50"/>
        <w:jc w:val="center"/>
        <w:rPr>
          <w:rFonts w:hint="eastAsia" w:asciiTheme="minorEastAsia" w:hAnsiTheme="minorEastAsia" w:eastAsiaTheme="minorEastAsia"/>
          <w:b/>
          <w:color w:val="auto"/>
          <w:sz w:val="32"/>
          <w:szCs w:val="32"/>
          <w:highlight w:val="none"/>
        </w:rPr>
      </w:pPr>
    </w:p>
    <w:p w14:paraId="7EA07A3B">
      <w:pPr>
        <w:spacing w:after="156" w:afterLines="50" w:line="500" w:lineRule="exact"/>
        <w:rPr>
          <w:rFonts w:asciiTheme="minorEastAsia" w:hAnsiTheme="minorEastAsia" w:eastAsiaTheme="minorEastAsia"/>
          <w:b/>
          <w:color w:val="auto"/>
          <w:sz w:val="72"/>
          <w:highlight w:val="none"/>
        </w:rPr>
      </w:pPr>
    </w:p>
    <w:p w14:paraId="2F0BD41E">
      <w:pPr>
        <w:spacing w:after="156" w:afterLines="50" w:line="500" w:lineRule="exact"/>
        <w:jc w:val="center"/>
        <w:rPr>
          <w:rFonts w:asciiTheme="minorEastAsia" w:hAnsiTheme="minorEastAsia" w:eastAsiaTheme="minorEastAsia"/>
          <w:b/>
          <w:color w:val="auto"/>
          <w:sz w:val="28"/>
          <w:szCs w:val="28"/>
          <w:highlight w:val="none"/>
        </w:rPr>
      </w:pPr>
    </w:p>
    <w:p w14:paraId="29A092C6">
      <w:pPr>
        <w:tabs>
          <w:tab w:val="left" w:pos="2410"/>
        </w:tabs>
        <w:autoSpaceDE w:val="0"/>
        <w:autoSpaceDN w:val="0"/>
        <w:adjustRightInd w:val="0"/>
        <w:snapToGrid w:val="0"/>
        <w:spacing w:line="360" w:lineRule="auto"/>
        <w:ind w:firstLine="643" w:firstLineChars="200"/>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6A17E4CD">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34172C27">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 应 商：</w:t>
      </w:r>
      <w:r>
        <w:rPr>
          <w:rFonts w:hint="eastAsia" w:asciiTheme="minorEastAsia" w:hAnsiTheme="minorEastAsia" w:eastAsiaTheme="minorEastAsia"/>
          <w:b/>
          <w:color w:val="auto"/>
          <w:sz w:val="32"/>
          <w:highlight w:val="none"/>
          <w:u w:val="single"/>
        </w:rPr>
        <w:t xml:space="preserve">                  </w:t>
      </w:r>
    </w:p>
    <w:p w14:paraId="6EE298F3">
      <w:pPr>
        <w:spacing w:after="156" w:afterLines="50" w:line="500" w:lineRule="exact"/>
        <w:jc w:val="center"/>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83"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83"/>
    </w:p>
    <w:p w14:paraId="774028B3">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37F674AD">
      <w:pPr>
        <w:spacing w:line="360" w:lineRule="auto"/>
        <w:jc w:val="center"/>
        <w:outlineLvl w:val="1"/>
        <w:rPr>
          <w:rFonts w:asciiTheme="minorEastAsia" w:hAnsiTheme="minorEastAsia" w:eastAsiaTheme="minorEastAsia"/>
          <w:b/>
          <w:color w:val="auto"/>
          <w:sz w:val="24"/>
          <w:highlight w:val="none"/>
        </w:rPr>
      </w:pPr>
      <w:bookmarkStart w:id="184" w:name="_Toc461053086"/>
      <w:bookmarkStart w:id="185" w:name="_Toc461056631"/>
      <w:bookmarkStart w:id="186" w:name="_Toc26791"/>
      <w:bookmarkStart w:id="187" w:name="_Toc520983587"/>
      <w:bookmarkStart w:id="188" w:name="_Toc5881"/>
      <w:r>
        <w:rPr>
          <w:rFonts w:hint="eastAsia" w:asciiTheme="minorEastAsia" w:hAnsiTheme="minorEastAsia" w:eastAsiaTheme="minorEastAsia"/>
          <w:b/>
          <w:color w:val="auto"/>
          <w:sz w:val="24"/>
          <w:highlight w:val="none"/>
        </w:rPr>
        <w:t>一</w:t>
      </w:r>
      <w:bookmarkEnd w:id="184"/>
      <w:bookmarkEnd w:id="185"/>
      <w:r>
        <w:rPr>
          <w:rFonts w:hint="eastAsia" w:asciiTheme="minorEastAsia" w:hAnsiTheme="minorEastAsia" w:eastAsiaTheme="minorEastAsia"/>
          <w:b/>
          <w:color w:val="auto"/>
          <w:sz w:val="24"/>
          <w:highlight w:val="none"/>
        </w:rPr>
        <w:t>、报价表格式</w:t>
      </w:r>
      <w:bookmarkEnd w:id="186"/>
      <w:bookmarkEnd w:id="187"/>
      <w:bookmarkEnd w:id="188"/>
    </w:p>
    <w:p w14:paraId="4641DC7C">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1报价表</w:t>
      </w:r>
    </w:p>
    <w:p w14:paraId="2009E263">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p>
    <w:p w14:paraId="515991EF">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1FFB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28FE6C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58797D8D">
            <w:pPr>
              <w:spacing w:line="360" w:lineRule="auto"/>
              <w:rPr>
                <w:rFonts w:ascii="宋体" w:hAnsi="宋体" w:eastAsia="宋体"/>
                <w:b/>
                <w:color w:val="auto"/>
                <w:sz w:val="24"/>
                <w:highlight w:val="none"/>
              </w:rPr>
            </w:pPr>
          </w:p>
        </w:tc>
      </w:tr>
      <w:tr w14:paraId="01A6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B350461">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3557" w:type="pct"/>
            <w:tcBorders>
              <w:left w:val="single" w:color="auto" w:sz="4" w:space="0"/>
            </w:tcBorders>
            <w:vAlign w:val="center"/>
          </w:tcPr>
          <w:p w14:paraId="3E88572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77F4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AB50777">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12F9596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4D1AA12E">
            <w:pPr>
              <w:snapToGrid w:val="0"/>
              <w:spacing w:line="360" w:lineRule="auto"/>
              <w:rPr>
                <w:rFonts w:ascii="宋体" w:hAnsi="宋体" w:eastAsia="宋体"/>
                <w:color w:val="auto"/>
                <w:sz w:val="24"/>
                <w:szCs w:val="28"/>
                <w:highlight w:val="none"/>
              </w:rPr>
            </w:pPr>
          </w:p>
          <w:p w14:paraId="0808F873">
            <w:pPr>
              <w:snapToGrid w:val="0"/>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DF3DA68">
            <w:pPr>
              <w:spacing w:line="360" w:lineRule="auto"/>
              <w:ind w:right="-670"/>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157CCF7C">
            <w:pPr>
              <w:snapToGrid w:val="0"/>
              <w:spacing w:line="360" w:lineRule="auto"/>
              <w:rPr>
                <w:rFonts w:ascii="宋体" w:hAnsi="宋体" w:eastAsia="宋体"/>
                <w:b/>
                <w:color w:val="auto"/>
                <w:sz w:val="24"/>
                <w:highlight w:val="none"/>
              </w:rPr>
            </w:pPr>
          </w:p>
        </w:tc>
      </w:tr>
      <w:tr w14:paraId="2F70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6B5013E6">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0F557F52">
            <w:pPr>
              <w:spacing w:line="360" w:lineRule="auto"/>
              <w:rPr>
                <w:rFonts w:ascii="宋体" w:hAnsi="宋体" w:eastAsia="宋体"/>
                <w:b/>
                <w:color w:val="auto"/>
                <w:sz w:val="24"/>
                <w:highlight w:val="none"/>
              </w:rPr>
            </w:pPr>
          </w:p>
        </w:tc>
      </w:tr>
    </w:tbl>
    <w:p w14:paraId="517CC3E0">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29BE42F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B1110A4">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0F2A16D9">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1E3A2B7D">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1EE8D2A9">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3.表中大写金额与小写金额不一致的，以大写金额为准。</w:t>
      </w:r>
    </w:p>
    <w:p w14:paraId="70E41B19">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6834DAA3">
      <w:pPr>
        <w:spacing w:line="360" w:lineRule="auto"/>
        <w:jc w:val="center"/>
        <w:outlineLvl w:val="1"/>
        <w:rPr>
          <w:rFonts w:asciiTheme="minorEastAsia" w:hAnsiTheme="minorEastAsia" w:eastAsiaTheme="minorEastAsia"/>
          <w:b/>
          <w:color w:val="auto"/>
          <w:sz w:val="24"/>
          <w:highlight w:val="none"/>
        </w:rPr>
      </w:pPr>
      <w:bookmarkStart w:id="189" w:name="_Toc461053087"/>
      <w:bookmarkStart w:id="190" w:name="_Toc461056632"/>
      <w:bookmarkStart w:id="191" w:name="_Toc28695"/>
      <w:bookmarkStart w:id="192" w:name="_Toc520983588"/>
      <w:bookmarkStart w:id="193" w:name="_Toc32436"/>
      <w:r>
        <w:rPr>
          <w:rFonts w:hint="eastAsia" w:asciiTheme="minorEastAsia" w:hAnsiTheme="minorEastAsia" w:eastAsiaTheme="minorEastAsia"/>
          <w:b/>
          <w:color w:val="auto"/>
          <w:sz w:val="24"/>
          <w:highlight w:val="none"/>
        </w:rPr>
        <w:t>二</w:t>
      </w:r>
      <w:bookmarkEnd w:id="189"/>
      <w:bookmarkEnd w:id="190"/>
      <w:r>
        <w:rPr>
          <w:rFonts w:hint="eastAsia" w:asciiTheme="minorEastAsia" w:hAnsiTheme="minorEastAsia" w:eastAsiaTheme="minorEastAsia"/>
          <w:b/>
          <w:color w:val="auto"/>
          <w:sz w:val="24"/>
          <w:highlight w:val="none"/>
        </w:rPr>
        <w:t>、最后承诺报价表</w:t>
      </w:r>
      <w:bookmarkEnd w:id="191"/>
      <w:bookmarkEnd w:id="192"/>
      <w:bookmarkEnd w:id="193"/>
    </w:p>
    <w:p w14:paraId="6E5B736F">
      <w:pPr>
        <w:spacing w:before="156" w:beforeLines="50" w:after="156"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442F6540">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p>
    <w:p w14:paraId="751B6889">
      <w:pPr>
        <w:snapToGrid w:val="0"/>
        <w:spacing w:after="156"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7C37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5B1ED7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222D111B">
            <w:pPr>
              <w:spacing w:line="360" w:lineRule="auto"/>
              <w:rPr>
                <w:rFonts w:ascii="宋体" w:hAnsi="宋体" w:eastAsia="宋体"/>
                <w:b/>
                <w:color w:val="auto"/>
                <w:sz w:val="24"/>
                <w:highlight w:val="none"/>
              </w:rPr>
            </w:pPr>
          </w:p>
        </w:tc>
      </w:tr>
      <w:tr w14:paraId="1EAE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A645452">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2D9FBE55">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6F2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74559C69">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07D5B14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71833B03">
            <w:pPr>
              <w:snapToGrid w:val="0"/>
              <w:spacing w:line="360" w:lineRule="auto"/>
              <w:rPr>
                <w:rFonts w:ascii="宋体" w:hAnsi="宋体" w:eastAsia="宋体"/>
                <w:color w:val="auto"/>
                <w:sz w:val="24"/>
                <w:szCs w:val="28"/>
                <w:highlight w:val="none"/>
              </w:rPr>
            </w:pPr>
          </w:p>
          <w:p w14:paraId="6851859B">
            <w:pPr>
              <w:snapToGrid w:val="0"/>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p>
          <w:p w14:paraId="4E8FD047">
            <w:pPr>
              <w:spacing w:line="360" w:lineRule="auto"/>
              <w:ind w:right="-670"/>
              <w:rPr>
                <w:rFonts w:ascii="宋体" w:hAnsi="宋体" w:eastAsia="宋体"/>
                <w:b/>
                <w:color w:val="auto"/>
                <w:sz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u w:val="single"/>
              </w:rPr>
              <w:t xml:space="preserve">                     </w:t>
            </w:r>
          </w:p>
        </w:tc>
      </w:tr>
      <w:tr w14:paraId="38CC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3" w:type="pct"/>
            <w:vAlign w:val="center"/>
          </w:tcPr>
          <w:p w14:paraId="1D12351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53C6D983">
            <w:pPr>
              <w:spacing w:line="360" w:lineRule="auto"/>
              <w:rPr>
                <w:rFonts w:ascii="宋体" w:hAnsi="宋体" w:eastAsia="宋体"/>
                <w:b/>
                <w:color w:val="auto"/>
                <w:sz w:val="24"/>
                <w:highlight w:val="none"/>
              </w:rPr>
            </w:pPr>
            <w:r>
              <w:rPr>
                <w:rFonts w:hint="eastAsia" w:ascii="宋体" w:hAnsi="宋体" w:eastAsia="宋体"/>
                <w:b/>
                <w:i/>
                <w:color w:val="auto"/>
                <w:sz w:val="24"/>
                <w:highlight w:val="none"/>
              </w:rPr>
              <w:t>（此处可补充磋商小组根据与供应商磋商情况变动的磋商文件的内容，包括采购需求中的技术、服务要求以及合同草案条款。）</w:t>
            </w:r>
          </w:p>
        </w:tc>
      </w:tr>
      <w:tr w14:paraId="3310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5C2407A2">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磋商小组</w:t>
            </w:r>
            <w:r>
              <w:rPr>
                <w:rFonts w:ascii="宋体" w:hAnsi="宋体" w:eastAsia="宋体"/>
                <w:b/>
                <w:bCs/>
                <w:color w:val="auto"/>
                <w:sz w:val="24"/>
                <w:szCs w:val="28"/>
                <w:highlight w:val="none"/>
              </w:rPr>
              <w:t>签字</w:t>
            </w:r>
          </w:p>
        </w:tc>
        <w:tc>
          <w:tcPr>
            <w:tcW w:w="3557" w:type="pct"/>
          </w:tcPr>
          <w:p w14:paraId="2A774E09">
            <w:pPr>
              <w:spacing w:line="360" w:lineRule="auto"/>
              <w:rPr>
                <w:rFonts w:ascii="宋体" w:hAnsi="宋体" w:eastAsia="宋体"/>
                <w:b/>
                <w:color w:val="auto"/>
                <w:sz w:val="24"/>
                <w:highlight w:val="none"/>
              </w:rPr>
            </w:pPr>
          </w:p>
        </w:tc>
      </w:tr>
    </w:tbl>
    <w:p w14:paraId="756D7CF7">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4AE6277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27CE8E5">
      <w:pPr>
        <w:spacing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注：</w:t>
      </w:r>
    </w:p>
    <w:p w14:paraId="2C70EB4E">
      <w:pPr>
        <w:spacing w:line="360" w:lineRule="auto"/>
        <w:ind w:firstLine="482" w:firstLineChars="200"/>
        <w:jc w:val="left"/>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highlight w:val="none"/>
        </w:rPr>
        <w:t>1.本页《报价表》由供应商在接到报价通知后依据磋商情况填写,并在规定时间内提交。</w:t>
      </w:r>
      <w:r>
        <w:rPr>
          <w:rFonts w:hint="eastAsia" w:ascii="宋体" w:hAnsi="宋体" w:eastAsia="宋体"/>
          <w:color w:val="auto"/>
          <w:sz w:val="24"/>
          <w:highlight w:val="none"/>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color w:val="auto"/>
          <w:sz w:val="24"/>
          <w:highlight w:val="none"/>
        </w:rPr>
        <w:t>此优惠率调整原则适用于合同内价格的计算及项目增减、变更时价格的计算。</w:t>
      </w:r>
      <w:r>
        <w:rPr>
          <w:rFonts w:hint="eastAsia" w:ascii="宋体" w:hAnsi="宋体" w:eastAsia="宋体"/>
          <w:bCs/>
          <w:color w:val="auto"/>
          <w:sz w:val="24"/>
          <w:highlight w:val="none"/>
          <w:lang w:eastAsia="zh-CN"/>
        </w:rPr>
        <w:t>计算优惠率时，</w:t>
      </w:r>
      <w:r>
        <w:rPr>
          <w:rFonts w:hint="eastAsia" w:ascii="宋体" w:hAnsi="宋体" w:eastAsia="宋体"/>
          <w:b/>
          <w:bCs/>
          <w:color w:val="auto"/>
          <w:sz w:val="24"/>
          <w:szCs w:val="28"/>
          <w:highlight w:val="none"/>
          <w:lang w:val="en-US" w:eastAsia="zh-CN"/>
        </w:rPr>
        <w:t>第一次报价和最后承诺报价均扣除</w:t>
      </w:r>
      <w:r>
        <w:rPr>
          <w:rFonts w:hint="eastAsia" w:ascii="宋体" w:hAnsi="宋体" w:eastAsia="宋体" w:cs="宋体"/>
          <w:i w:val="0"/>
          <w:iCs w:val="0"/>
          <w:color w:val="auto"/>
          <w:kern w:val="0"/>
          <w:sz w:val="24"/>
          <w:szCs w:val="24"/>
          <w:highlight w:val="none"/>
          <w:u w:val="none"/>
          <w:lang w:val="en-US" w:eastAsia="zh-CN" w:bidi="ar"/>
        </w:rPr>
        <w:t>调水路线涉及工程故障检修、突发异常情况应急抢险处置费</w:t>
      </w:r>
      <w:r>
        <w:rPr>
          <w:rFonts w:hint="eastAsia" w:ascii="宋体" w:hAnsi="宋体" w:eastAsia="宋体"/>
          <w:b/>
          <w:bCs/>
          <w:color w:val="auto"/>
          <w:sz w:val="24"/>
          <w:szCs w:val="28"/>
          <w:highlight w:val="none"/>
          <w:lang w:val="en-US" w:eastAsia="zh-CN"/>
        </w:rPr>
        <w:t>40万元。</w:t>
      </w:r>
    </w:p>
    <w:p w14:paraId="7BDE1392">
      <w:pPr>
        <w:adjustRightInd w:val="0"/>
        <w:snapToGrid w:val="0"/>
        <w:spacing w:line="360" w:lineRule="auto"/>
        <w:ind w:firstLine="482" w:firstLineChars="20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2.表中大写金额与小写金额不一致的，以大写金额为准。</w:t>
      </w:r>
    </w:p>
    <w:p w14:paraId="7C7E7DBE">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3.本项目投标总价中包含</w:t>
      </w:r>
      <w:r>
        <w:rPr>
          <w:rFonts w:hint="eastAsia" w:ascii="宋体" w:hAnsi="宋体" w:eastAsia="宋体" w:cs="宋体"/>
          <w:i w:val="0"/>
          <w:iCs w:val="0"/>
          <w:color w:val="auto"/>
          <w:kern w:val="0"/>
          <w:sz w:val="24"/>
          <w:szCs w:val="24"/>
          <w:highlight w:val="none"/>
          <w:u w:val="none"/>
          <w:lang w:val="en-US" w:eastAsia="zh-CN" w:bidi="ar"/>
        </w:rPr>
        <w:t>调水路线涉及工程故障检修、突发异常情况应急抢险处置费</w:t>
      </w:r>
      <w:r>
        <w:rPr>
          <w:rFonts w:hint="eastAsia" w:ascii="宋体" w:hAnsi="宋体" w:eastAsia="宋体"/>
          <w:b/>
          <w:bCs/>
          <w:color w:val="auto"/>
          <w:sz w:val="24"/>
          <w:szCs w:val="28"/>
          <w:highlight w:val="none"/>
          <w:lang w:val="en-US" w:eastAsia="zh-CN"/>
        </w:rPr>
        <w:t>40万元，此项费用不参与下浮，计算优惠率时均不含此项费用。</w:t>
      </w:r>
    </w:p>
    <w:p w14:paraId="5C675E81">
      <w:pPr>
        <w:widowControl/>
        <w:jc w:val="left"/>
        <w:rPr>
          <w:rFonts w:ascii="宋体" w:hAnsi="宋体" w:eastAsia="宋体"/>
          <w:bCs/>
          <w:color w:val="auto"/>
          <w:sz w:val="24"/>
          <w:highlight w:val="none"/>
        </w:rPr>
      </w:pPr>
    </w:p>
    <w:p w14:paraId="638B7A8D">
      <w:pPr>
        <w:spacing w:line="360" w:lineRule="auto"/>
        <w:jc w:val="center"/>
        <w:outlineLvl w:val="1"/>
        <w:rPr>
          <w:rFonts w:asciiTheme="minorEastAsia" w:hAnsiTheme="minorEastAsia" w:eastAsiaTheme="minorEastAsia"/>
          <w:b/>
          <w:color w:val="auto"/>
          <w:sz w:val="24"/>
          <w:highlight w:val="none"/>
        </w:rPr>
      </w:pPr>
      <w:bookmarkStart w:id="194" w:name="_Toc11500"/>
      <w:bookmarkStart w:id="195" w:name="_Toc32385"/>
      <w:bookmarkStart w:id="196" w:name="_Toc520983591"/>
      <w:r>
        <w:rPr>
          <w:rFonts w:hint="eastAsia" w:asciiTheme="minorEastAsia" w:hAnsiTheme="minorEastAsia" w:eastAsiaTheme="minorEastAsia"/>
          <w:b/>
          <w:color w:val="auto"/>
          <w:sz w:val="24"/>
          <w:highlight w:val="none"/>
        </w:rPr>
        <w:t>三、磋商响应函</w:t>
      </w:r>
      <w:bookmarkEnd w:id="194"/>
      <w:bookmarkEnd w:id="195"/>
      <w:bookmarkEnd w:id="196"/>
    </w:p>
    <w:p w14:paraId="1544763F">
      <w:pPr>
        <w:pStyle w:val="14"/>
        <w:spacing w:line="360" w:lineRule="auto"/>
        <w:rPr>
          <w:rFonts w:ascii="宋体" w:hAnsi="宋体"/>
          <w:color w:val="auto"/>
          <w:sz w:val="24"/>
          <w:highlight w:val="none"/>
        </w:rPr>
      </w:pPr>
      <w:r>
        <w:rPr>
          <w:rFonts w:hint="eastAsia" w:ascii="宋体" w:hAnsi="宋体"/>
          <w:color w:val="auto"/>
          <w:sz w:val="24"/>
          <w:highlight w:val="none"/>
        </w:rPr>
        <w:t>致：采购人</w:t>
      </w:r>
    </w:p>
    <w:p w14:paraId="7B6E1CEE">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97" w:name="_Hlk44287543"/>
      <w:r>
        <w:rPr>
          <w:rFonts w:hint="eastAsia" w:ascii="宋体" w:hAnsi="宋体" w:eastAsia="宋体"/>
          <w:color w:val="auto"/>
          <w:sz w:val="24"/>
          <w:highlight w:val="none"/>
        </w:rPr>
        <w:t>竞争性磋商公告和磋商邀请</w:t>
      </w:r>
      <w:bookmarkEnd w:id="197"/>
      <w:r>
        <w:rPr>
          <w:rFonts w:hint="eastAsia" w:ascii="宋体" w:hAnsi="宋体" w:eastAsia="宋体"/>
          <w:color w:val="auto"/>
          <w:sz w:val="24"/>
          <w:highlight w:val="none"/>
        </w:rPr>
        <w:t>，我方兹宣布同意如下：</w:t>
      </w:r>
    </w:p>
    <w:p w14:paraId="78882F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我方根据磋商文件的规定，严格履行合同的责任和义务,并保证于买方要求的日期内完成，并通过买方验收。</w:t>
      </w:r>
    </w:p>
    <w:p w14:paraId="4E995D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2.我方已详细审核全部磋商文件，包括磋商文件附件及更正公告（如有），我方正式认可并遵守本次磋商文件，并对磋商文件各项条款、规定及要求均无异议。</w:t>
      </w:r>
    </w:p>
    <w:p w14:paraId="165373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3.我方同意从磋商文件规定的磋商日期起遵循本磋商文件，并在磋商文件规定的磋商有效期之前均具有约束力。</w:t>
      </w:r>
    </w:p>
    <w:p w14:paraId="580423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响应文件所提供的一切资料均真实无误、及时、有效，企业运营正常。由于我方提供资料不实而造成的责任和后果由我方承担。我方同意按照贵方提出的要求，提供与磋商有关的任何证据、数据或资料。</w:t>
      </w:r>
    </w:p>
    <w:p w14:paraId="20EB68CA">
      <w:pPr>
        <w:spacing w:line="360" w:lineRule="auto"/>
        <w:ind w:firstLine="480" w:firstLineChars="200"/>
        <w:rPr>
          <w:rFonts w:ascii="宋体" w:hAnsi="宋体" w:eastAsia="宋体"/>
          <w:color w:val="auto"/>
          <w:sz w:val="24"/>
          <w:highlight w:val="none"/>
        </w:rPr>
      </w:pPr>
    </w:p>
    <w:p w14:paraId="028AAF0D">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09A1157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612F837">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22F48409">
      <w:pPr>
        <w:spacing w:line="360" w:lineRule="auto"/>
        <w:jc w:val="center"/>
        <w:outlineLvl w:val="1"/>
        <w:rPr>
          <w:rFonts w:asciiTheme="minorEastAsia" w:hAnsiTheme="minorEastAsia" w:eastAsiaTheme="minorEastAsia"/>
          <w:b/>
          <w:color w:val="auto"/>
          <w:sz w:val="24"/>
          <w:highlight w:val="none"/>
        </w:rPr>
      </w:pPr>
      <w:bookmarkStart w:id="198" w:name="_Toc21328"/>
      <w:r>
        <w:rPr>
          <w:rFonts w:hint="eastAsia" w:asciiTheme="minorEastAsia" w:hAnsiTheme="minorEastAsia" w:eastAsiaTheme="minorEastAsia"/>
          <w:b/>
          <w:color w:val="auto"/>
          <w:sz w:val="24"/>
          <w:highlight w:val="none"/>
        </w:rPr>
        <w:t>四、供应商资格声明书</w:t>
      </w:r>
      <w:bookmarkEnd w:id="198"/>
    </w:p>
    <w:p w14:paraId="47EF5992">
      <w:pPr>
        <w:pStyle w:val="14"/>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致：采购人</w:t>
      </w:r>
    </w:p>
    <w:p w14:paraId="1D6EC97A">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在参与本次项目磋商中，我单位承诺：</w:t>
      </w:r>
    </w:p>
    <w:p w14:paraId="7F31E4F8">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6260DBF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632972F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37189C66">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51B97B3">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0C1D68A1">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7D70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2BCB16FC">
            <w:pPr>
              <w:widowControl/>
              <w:spacing w:line="360" w:lineRule="auto"/>
              <w:jc w:val="center"/>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4501" w:type="dxa"/>
          </w:tcPr>
          <w:p w14:paraId="02C1DE0C">
            <w:pPr>
              <w:pStyle w:val="9"/>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2681" w:type="dxa"/>
          </w:tcPr>
          <w:p w14:paraId="029BDFF8">
            <w:pPr>
              <w:pStyle w:val="9"/>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5988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24923E9B">
            <w:pPr>
              <w:pStyle w:val="9"/>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4501" w:type="dxa"/>
          </w:tcPr>
          <w:p w14:paraId="6D1E563C">
            <w:pPr>
              <w:pStyle w:val="9"/>
              <w:jc w:val="center"/>
              <w:rPr>
                <w:rFonts w:asciiTheme="minorEastAsia" w:hAnsiTheme="minorEastAsia" w:eastAsiaTheme="minorEastAsia" w:cstheme="minorEastAsia"/>
                <w:color w:val="auto"/>
                <w:kern w:val="0"/>
                <w:sz w:val="24"/>
                <w:highlight w:val="none"/>
                <w:lang w:val="en-US" w:bidi="ar"/>
              </w:rPr>
            </w:pPr>
          </w:p>
        </w:tc>
        <w:tc>
          <w:tcPr>
            <w:tcW w:w="2681" w:type="dxa"/>
          </w:tcPr>
          <w:p w14:paraId="45144024">
            <w:pPr>
              <w:pStyle w:val="9"/>
              <w:jc w:val="center"/>
              <w:rPr>
                <w:rFonts w:asciiTheme="minorEastAsia" w:hAnsiTheme="minorEastAsia" w:eastAsiaTheme="minorEastAsia" w:cstheme="minorEastAsia"/>
                <w:color w:val="auto"/>
                <w:kern w:val="0"/>
                <w:sz w:val="24"/>
                <w:highlight w:val="none"/>
                <w:lang w:val="en-US" w:bidi="ar"/>
              </w:rPr>
            </w:pPr>
          </w:p>
        </w:tc>
      </w:tr>
      <w:tr w14:paraId="34C5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4265E36F">
            <w:pPr>
              <w:pStyle w:val="9"/>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4501" w:type="dxa"/>
          </w:tcPr>
          <w:p w14:paraId="60A239F4">
            <w:pPr>
              <w:pStyle w:val="9"/>
              <w:jc w:val="center"/>
              <w:rPr>
                <w:rFonts w:asciiTheme="minorEastAsia" w:hAnsiTheme="minorEastAsia" w:eastAsiaTheme="minorEastAsia" w:cstheme="minorEastAsia"/>
                <w:color w:val="auto"/>
                <w:kern w:val="0"/>
                <w:sz w:val="24"/>
                <w:highlight w:val="none"/>
                <w:lang w:val="en-US" w:bidi="ar"/>
              </w:rPr>
            </w:pPr>
          </w:p>
        </w:tc>
        <w:tc>
          <w:tcPr>
            <w:tcW w:w="2681" w:type="dxa"/>
          </w:tcPr>
          <w:p w14:paraId="2F45D7B5">
            <w:pPr>
              <w:pStyle w:val="9"/>
              <w:jc w:val="center"/>
              <w:rPr>
                <w:rFonts w:asciiTheme="minorEastAsia" w:hAnsiTheme="minorEastAsia" w:eastAsiaTheme="minorEastAsia" w:cstheme="minorEastAsia"/>
                <w:color w:val="auto"/>
                <w:kern w:val="0"/>
                <w:sz w:val="24"/>
                <w:highlight w:val="none"/>
                <w:lang w:val="en-US" w:bidi="ar"/>
              </w:rPr>
            </w:pPr>
          </w:p>
        </w:tc>
      </w:tr>
    </w:tbl>
    <w:p w14:paraId="25A854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69B37F3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EA4664F">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C4B9445">
      <w:pPr>
        <w:spacing w:line="440" w:lineRule="exact"/>
        <w:ind w:firstLine="4800" w:firstLineChars="2000"/>
        <w:rPr>
          <w:rFonts w:ascii="宋体" w:hAnsi="宋体" w:eastAsia="宋体"/>
          <w:color w:val="auto"/>
          <w:sz w:val="24"/>
          <w:szCs w:val="24"/>
          <w:highlight w:val="none"/>
          <w:u w:val="single"/>
        </w:rPr>
      </w:pPr>
    </w:p>
    <w:p w14:paraId="05234155">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708795A8">
      <w:pPr>
        <w:spacing w:line="360" w:lineRule="auto"/>
        <w:jc w:val="center"/>
        <w:outlineLvl w:val="1"/>
        <w:rPr>
          <w:rFonts w:asciiTheme="minorEastAsia" w:hAnsiTheme="minorEastAsia" w:eastAsiaTheme="minorEastAsia"/>
          <w:b/>
          <w:color w:val="auto"/>
          <w:sz w:val="24"/>
          <w:highlight w:val="none"/>
        </w:rPr>
      </w:pPr>
      <w:bookmarkStart w:id="199" w:name="_Toc516969106"/>
      <w:bookmarkStart w:id="200" w:name="_Toc31518"/>
      <w:bookmarkStart w:id="201" w:name="_Toc204594911"/>
      <w:bookmarkStart w:id="202" w:name="_Toc520983594"/>
      <w:bookmarkStart w:id="203" w:name="_Toc26922"/>
      <w:bookmarkStart w:id="204" w:name="_Toc121626298"/>
      <w:r>
        <w:rPr>
          <w:rFonts w:hint="eastAsia" w:asciiTheme="minorEastAsia" w:hAnsiTheme="minorEastAsia" w:eastAsiaTheme="minorEastAsia"/>
          <w:b/>
          <w:color w:val="auto"/>
          <w:sz w:val="24"/>
          <w:highlight w:val="none"/>
        </w:rPr>
        <w:t>五、授权书</w:t>
      </w:r>
      <w:bookmarkEnd w:id="199"/>
      <w:bookmarkEnd w:id="200"/>
      <w:bookmarkEnd w:id="201"/>
      <w:bookmarkEnd w:id="202"/>
      <w:bookmarkEnd w:id="203"/>
      <w:bookmarkEnd w:id="204"/>
    </w:p>
    <w:p w14:paraId="28458858">
      <w:pPr>
        <w:spacing w:line="360" w:lineRule="auto"/>
        <w:jc w:val="center"/>
        <w:rPr>
          <w:rFonts w:asciiTheme="minorEastAsia" w:hAnsiTheme="minorEastAsia" w:eastAsiaTheme="minorEastAsia"/>
          <w:b/>
          <w:color w:val="auto"/>
          <w:sz w:val="24"/>
          <w:highlight w:val="none"/>
        </w:rPr>
      </w:pPr>
    </w:p>
    <w:p w14:paraId="0E528280">
      <w:pPr>
        <w:pStyle w:val="13"/>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388FE66E">
      <w:pPr>
        <w:pStyle w:val="13"/>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4FC27E9">
      <w:pPr>
        <w:pStyle w:val="13"/>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3BA310DA">
      <w:pPr>
        <w:pStyle w:val="13"/>
        <w:snapToGrid w:val="0"/>
        <w:spacing w:line="360" w:lineRule="auto"/>
        <w:ind w:firstLine="480" w:firstLineChars="200"/>
        <w:jc w:val="left"/>
        <w:rPr>
          <w:rFonts w:hAnsi="宋体" w:eastAsia="宋体"/>
          <w:color w:val="auto"/>
          <w:sz w:val="24"/>
          <w:highlight w:val="none"/>
        </w:rPr>
      </w:pPr>
    </w:p>
    <w:p w14:paraId="6BABEC32">
      <w:pPr>
        <w:pStyle w:val="13"/>
        <w:snapToGrid w:val="0"/>
        <w:spacing w:line="360" w:lineRule="auto"/>
        <w:ind w:firstLine="480" w:firstLineChars="200"/>
        <w:jc w:val="left"/>
        <w:rPr>
          <w:rFonts w:hAnsi="宋体" w:eastAsia="宋体"/>
          <w:color w:val="auto"/>
          <w:sz w:val="24"/>
          <w:highlight w:val="none"/>
        </w:rPr>
      </w:pPr>
    </w:p>
    <w:p w14:paraId="4CA7B159">
      <w:pPr>
        <w:pStyle w:val="13"/>
        <w:snapToGrid w:val="0"/>
        <w:spacing w:line="360" w:lineRule="auto"/>
        <w:ind w:firstLine="480" w:firstLineChars="200"/>
        <w:jc w:val="left"/>
        <w:rPr>
          <w:rFonts w:hAnsi="宋体" w:eastAsia="宋体"/>
          <w:color w:val="auto"/>
          <w:sz w:val="24"/>
          <w:highlight w:val="none"/>
        </w:rPr>
      </w:pPr>
    </w:p>
    <w:p w14:paraId="15674D63">
      <w:pPr>
        <w:pStyle w:val="13"/>
        <w:snapToGrid w:val="0"/>
        <w:spacing w:line="360" w:lineRule="auto"/>
        <w:ind w:firstLine="480" w:firstLineChars="200"/>
        <w:jc w:val="left"/>
        <w:rPr>
          <w:rFonts w:hAnsi="宋体" w:eastAsia="宋体"/>
          <w:color w:val="auto"/>
          <w:sz w:val="24"/>
          <w:highlight w:val="none"/>
        </w:rPr>
      </w:pPr>
    </w:p>
    <w:p w14:paraId="10FB95A4">
      <w:pPr>
        <w:pStyle w:val="13"/>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EFA6788">
      <w:pPr>
        <w:pStyle w:val="13"/>
        <w:snapToGrid w:val="0"/>
        <w:spacing w:line="360" w:lineRule="auto"/>
        <w:ind w:firstLine="480" w:firstLineChars="200"/>
        <w:jc w:val="left"/>
        <w:rPr>
          <w:rFonts w:hAnsi="宋体" w:eastAsia="宋体"/>
          <w:color w:val="auto"/>
          <w:sz w:val="24"/>
          <w:szCs w:val="28"/>
          <w:highlight w:val="none"/>
        </w:rPr>
      </w:pPr>
    </w:p>
    <w:p w14:paraId="05851A72">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555FE8DE">
      <w:pPr>
        <w:spacing w:line="360" w:lineRule="auto"/>
        <w:rPr>
          <w:rFonts w:ascii="宋体" w:hAnsi="宋体" w:eastAsia="宋体"/>
          <w:color w:val="auto"/>
          <w:sz w:val="24"/>
          <w:szCs w:val="28"/>
          <w:highlight w:val="none"/>
        </w:rPr>
      </w:pPr>
    </w:p>
    <w:p w14:paraId="4C046A5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D9EF423">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5BF3334B">
      <w:pPr>
        <w:spacing w:line="360" w:lineRule="auto"/>
        <w:rPr>
          <w:rFonts w:ascii="宋体" w:hAnsi="宋体" w:eastAsia="宋体"/>
          <w:color w:val="auto"/>
          <w:sz w:val="24"/>
          <w:szCs w:val="28"/>
          <w:highlight w:val="none"/>
        </w:rPr>
      </w:pPr>
    </w:p>
    <w:p w14:paraId="4F261D68">
      <w:pPr>
        <w:spacing w:line="360" w:lineRule="auto"/>
        <w:rPr>
          <w:rFonts w:ascii="宋体" w:hAnsi="宋体" w:eastAsia="宋体"/>
          <w:color w:val="auto"/>
          <w:sz w:val="24"/>
          <w:szCs w:val="28"/>
          <w:highlight w:val="none"/>
        </w:rPr>
      </w:pPr>
    </w:p>
    <w:p w14:paraId="521A3AC7">
      <w:pPr>
        <w:pStyle w:val="13"/>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78862118">
      <w:pPr>
        <w:pStyle w:val="13"/>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439CE05A">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2.法定代表人参加磋商的无需提供授权书，仅提供身份证明扫描件。</w:t>
      </w:r>
    </w:p>
    <w:p w14:paraId="16EE55C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0AA7AF6B">
      <w:pPr>
        <w:spacing w:line="360" w:lineRule="auto"/>
        <w:jc w:val="center"/>
        <w:outlineLvl w:val="1"/>
        <w:rPr>
          <w:rFonts w:asciiTheme="minorEastAsia" w:hAnsiTheme="minorEastAsia" w:eastAsiaTheme="minorEastAsia"/>
          <w:b/>
          <w:color w:val="auto"/>
          <w:sz w:val="24"/>
          <w:highlight w:val="none"/>
        </w:rPr>
      </w:pPr>
      <w:bookmarkStart w:id="205" w:name="_Toc22233"/>
      <w:bookmarkStart w:id="206" w:name="_Toc28033"/>
      <w:r>
        <w:rPr>
          <w:rFonts w:hint="eastAsia" w:asciiTheme="minorEastAsia" w:hAnsiTheme="minorEastAsia" w:eastAsiaTheme="minorEastAsia"/>
          <w:b/>
          <w:color w:val="auto"/>
          <w:sz w:val="24"/>
          <w:highlight w:val="none"/>
        </w:rPr>
        <w:t>六、磋商响应表</w:t>
      </w:r>
      <w:bookmarkEnd w:id="205"/>
      <w:bookmarkEnd w:id="206"/>
    </w:p>
    <w:p w14:paraId="37122B16">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5714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485D538">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587BBCE0">
            <w:pPr>
              <w:pStyle w:val="13"/>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1AE22AA0">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磋商文件要求</w:t>
            </w:r>
          </w:p>
        </w:tc>
        <w:tc>
          <w:tcPr>
            <w:tcW w:w="1510" w:type="pct"/>
            <w:vAlign w:val="center"/>
          </w:tcPr>
          <w:p w14:paraId="18F80A3D">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1C3FE4C1">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278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373F8D8">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29E85546">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5FDE5068">
            <w:pPr>
              <w:jc w:val="center"/>
              <w:rPr>
                <w:rFonts w:asciiTheme="minorEastAsia" w:hAnsiTheme="minorEastAsia" w:eastAsiaTheme="minorEastAsia"/>
                <w:color w:val="auto"/>
                <w:sz w:val="24"/>
                <w:highlight w:val="none"/>
              </w:rPr>
            </w:pPr>
          </w:p>
        </w:tc>
        <w:tc>
          <w:tcPr>
            <w:tcW w:w="1510" w:type="pct"/>
            <w:vAlign w:val="center"/>
          </w:tcPr>
          <w:p w14:paraId="533C568B">
            <w:pPr>
              <w:jc w:val="center"/>
              <w:rPr>
                <w:rFonts w:asciiTheme="minorEastAsia" w:hAnsiTheme="minorEastAsia" w:eastAsiaTheme="minorEastAsia"/>
                <w:color w:val="auto"/>
                <w:sz w:val="24"/>
                <w:highlight w:val="none"/>
              </w:rPr>
            </w:pPr>
          </w:p>
        </w:tc>
        <w:tc>
          <w:tcPr>
            <w:tcW w:w="475" w:type="pct"/>
            <w:vAlign w:val="center"/>
          </w:tcPr>
          <w:p w14:paraId="336ACB76">
            <w:pPr>
              <w:jc w:val="center"/>
              <w:rPr>
                <w:rFonts w:asciiTheme="minorEastAsia" w:hAnsiTheme="minorEastAsia" w:eastAsiaTheme="minorEastAsia"/>
                <w:color w:val="auto"/>
                <w:sz w:val="24"/>
                <w:highlight w:val="none"/>
              </w:rPr>
            </w:pPr>
          </w:p>
        </w:tc>
      </w:tr>
      <w:tr w14:paraId="4BE3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2B0B31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48192501">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567722A4">
            <w:pPr>
              <w:jc w:val="center"/>
              <w:rPr>
                <w:rFonts w:asciiTheme="minorEastAsia" w:hAnsiTheme="minorEastAsia" w:eastAsiaTheme="minorEastAsia"/>
                <w:color w:val="auto"/>
                <w:sz w:val="24"/>
                <w:highlight w:val="none"/>
              </w:rPr>
            </w:pPr>
          </w:p>
        </w:tc>
        <w:tc>
          <w:tcPr>
            <w:tcW w:w="1510" w:type="pct"/>
            <w:vAlign w:val="center"/>
          </w:tcPr>
          <w:p w14:paraId="52BD1C72">
            <w:pPr>
              <w:jc w:val="center"/>
              <w:rPr>
                <w:rFonts w:asciiTheme="minorEastAsia" w:hAnsiTheme="minorEastAsia" w:eastAsiaTheme="minorEastAsia"/>
                <w:color w:val="auto"/>
                <w:sz w:val="24"/>
                <w:highlight w:val="none"/>
              </w:rPr>
            </w:pPr>
          </w:p>
        </w:tc>
        <w:tc>
          <w:tcPr>
            <w:tcW w:w="475" w:type="pct"/>
            <w:vAlign w:val="center"/>
          </w:tcPr>
          <w:p w14:paraId="3CAD06CA">
            <w:pPr>
              <w:jc w:val="center"/>
              <w:rPr>
                <w:rFonts w:asciiTheme="minorEastAsia" w:hAnsiTheme="minorEastAsia" w:eastAsiaTheme="minorEastAsia"/>
                <w:color w:val="auto"/>
                <w:sz w:val="24"/>
                <w:highlight w:val="none"/>
              </w:rPr>
            </w:pPr>
          </w:p>
        </w:tc>
      </w:tr>
      <w:tr w14:paraId="4937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9F7B8A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5A0A65E9">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56EC35F1">
            <w:pPr>
              <w:jc w:val="center"/>
              <w:rPr>
                <w:rFonts w:asciiTheme="minorEastAsia" w:hAnsiTheme="minorEastAsia" w:eastAsiaTheme="minorEastAsia"/>
                <w:color w:val="auto"/>
                <w:sz w:val="24"/>
                <w:highlight w:val="none"/>
              </w:rPr>
            </w:pPr>
          </w:p>
        </w:tc>
        <w:tc>
          <w:tcPr>
            <w:tcW w:w="1510" w:type="pct"/>
            <w:vAlign w:val="center"/>
          </w:tcPr>
          <w:p w14:paraId="0E7F71F3">
            <w:pPr>
              <w:pStyle w:val="51"/>
              <w:jc w:val="center"/>
              <w:rPr>
                <w:rFonts w:asciiTheme="minorEastAsia" w:hAnsiTheme="minorEastAsia" w:eastAsiaTheme="minorEastAsia"/>
                <w:color w:val="auto"/>
                <w:highlight w:val="none"/>
              </w:rPr>
            </w:pPr>
          </w:p>
        </w:tc>
        <w:tc>
          <w:tcPr>
            <w:tcW w:w="475" w:type="pct"/>
            <w:vAlign w:val="center"/>
          </w:tcPr>
          <w:p w14:paraId="53B8ACD2">
            <w:pPr>
              <w:jc w:val="center"/>
              <w:rPr>
                <w:rFonts w:asciiTheme="minorEastAsia" w:hAnsiTheme="minorEastAsia" w:eastAsiaTheme="minorEastAsia"/>
                <w:color w:val="auto"/>
                <w:sz w:val="24"/>
                <w:highlight w:val="none"/>
              </w:rPr>
            </w:pPr>
          </w:p>
        </w:tc>
      </w:tr>
      <w:tr w14:paraId="4FC1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9A547E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0C864EA4">
            <w:pPr>
              <w:jc w:val="center"/>
              <w:rPr>
                <w:rFonts w:ascii="宋体" w:hAnsi="宋体" w:eastAsia="宋体"/>
                <w:color w:val="auto"/>
                <w:sz w:val="24"/>
                <w:highlight w:val="none"/>
              </w:rPr>
            </w:pPr>
            <w:r>
              <w:rPr>
                <w:rFonts w:hint="eastAsia" w:ascii="宋体" w:hAnsi="宋体" w:eastAsia="宋体"/>
                <w:color w:val="auto"/>
                <w:sz w:val="24"/>
                <w:highlight w:val="none"/>
              </w:rPr>
              <w:t>“采购需求”所列的所有内容</w:t>
            </w:r>
          </w:p>
        </w:tc>
        <w:tc>
          <w:tcPr>
            <w:tcW w:w="1465" w:type="pct"/>
            <w:vAlign w:val="center"/>
          </w:tcPr>
          <w:p w14:paraId="1B8C7FA8">
            <w:pPr>
              <w:jc w:val="center"/>
              <w:rPr>
                <w:rFonts w:asciiTheme="minorEastAsia" w:hAnsiTheme="minorEastAsia" w:eastAsiaTheme="minorEastAsia"/>
                <w:color w:val="auto"/>
                <w:sz w:val="24"/>
                <w:highlight w:val="none"/>
              </w:rPr>
            </w:pPr>
          </w:p>
        </w:tc>
        <w:tc>
          <w:tcPr>
            <w:tcW w:w="1510" w:type="pct"/>
            <w:vAlign w:val="center"/>
          </w:tcPr>
          <w:p w14:paraId="71F451EF">
            <w:pPr>
              <w:jc w:val="center"/>
              <w:rPr>
                <w:rFonts w:asciiTheme="minorEastAsia" w:hAnsiTheme="minorEastAsia" w:eastAsiaTheme="minorEastAsia"/>
                <w:color w:val="auto"/>
                <w:sz w:val="24"/>
                <w:highlight w:val="none"/>
              </w:rPr>
            </w:pPr>
          </w:p>
        </w:tc>
        <w:tc>
          <w:tcPr>
            <w:tcW w:w="475" w:type="pct"/>
            <w:vAlign w:val="center"/>
          </w:tcPr>
          <w:p w14:paraId="18A771CD">
            <w:pPr>
              <w:jc w:val="center"/>
              <w:rPr>
                <w:rFonts w:asciiTheme="minorEastAsia" w:hAnsiTheme="minorEastAsia" w:eastAsiaTheme="minorEastAsia"/>
                <w:color w:val="auto"/>
                <w:sz w:val="24"/>
                <w:highlight w:val="none"/>
              </w:rPr>
            </w:pPr>
          </w:p>
        </w:tc>
      </w:tr>
    </w:tbl>
    <w:p w14:paraId="5B020531">
      <w:pPr>
        <w:spacing w:line="360" w:lineRule="auto"/>
        <w:ind w:firstLine="4800" w:firstLineChars="2000"/>
        <w:rPr>
          <w:rFonts w:ascii="宋体" w:hAnsi="宋体" w:eastAsia="宋体"/>
          <w:color w:val="auto"/>
          <w:sz w:val="24"/>
          <w:highlight w:val="none"/>
        </w:rPr>
      </w:pPr>
    </w:p>
    <w:p w14:paraId="5580A43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DCA4D3F">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17700FD">
      <w:pPr>
        <w:pStyle w:val="14"/>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0F23481">
      <w:pPr>
        <w:spacing w:line="360" w:lineRule="auto"/>
        <w:jc w:val="center"/>
        <w:outlineLvl w:val="1"/>
        <w:rPr>
          <w:rFonts w:asciiTheme="minorEastAsia" w:hAnsiTheme="minorEastAsia" w:eastAsiaTheme="minorEastAsia"/>
          <w:b/>
          <w:color w:val="auto"/>
          <w:sz w:val="24"/>
          <w:highlight w:val="none"/>
        </w:rPr>
      </w:pPr>
      <w:bookmarkStart w:id="207" w:name="_Toc29455"/>
      <w:bookmarkStart w:id="208" w:name="_Toc11260"/>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w:t>
      </w:r>
      <w:bookmarkEnd w:id="207"/>
      <w:bookmarkEnd w:id="208"/>
      <w:bookmarkStart w:id="209" w:name="_Toc6445"/>
      <w:bookmarkStart w:id="210" w:name="_Toc17888"/>
      <w:bookmarkStart w:id="211" w:name="_Hlk60608597"/>
      <w:r>
        <w:rPr>
          <w:rFonts w:hint="eastAsia" w:asciiTheme="minorEastAsia" w:hAnsiTheme="minorEastAsia" w:eastAsiaTheme="minorEastAsia"/>
          <w:b/>
          <w:color w:val="auto"/>
          <w:sz w:val="24"/>
          <w:highlight w:val="none"/>
        </w:rPr>
        <w:t>中小企业声明函</w:t>
      </w:r>
      <w:bookmarkEnd w:id="209"/>
      <w:bookmarkEnd w:id="210"/>
    </w:p>
    <w:p w14:paraId="6DFD5DDD">
      <w:pPr>
        <w:pStyle w:val="9"/>
        <w:jc w:val="center"/>
        <w:rPr>
          <w:rFonts w:ascii="宋体" w:hAnsi="宋体" w:eastAsia="宋体"/>
          <w:i/>
          <w:color w:val="auto"/>
          <w:sz w:val="24"/>
          <w:highlight w:val="none"/>
          <w:lang w:val="en-US"/>
        </w:rPr>
      </w:pPr>
      <w:r>
        <w:rPr>
          <w:rFonts w:hint="eastAsia" w:ascii="宋体" w:hAnsi="宋体" w:eastAsia="宋体"/>
          <w:i/>
          <w:color w:val="auto"/>
          <w:sz w:val="24"/>
          <w:highlight w:val="none"/>
          <w:lang w:val="en-US"/>
        </w:rPr>
        <w:t>（</w:t>
      </w:r>
      <w:r>
        <w:rPr>
          <w:rFonts w:hint="eastAsia" w:ascii="宋体" w:hAnsi="宋体" w:eastAsia="宋体"/>
          <w:i/>
          <w:color w:val="auto"/>
          <w:sz w:val="24"/>
          <w:highlight w:val="none"/>
        </w:rPr>
        <w:t>非中小企业</w:t>
      </w:r>
      <w:r>
        <w:rPr>
          <w:rFonts w:hint="eastAsia" w:ascii="宋体" w:hAnsi="宋体" w:eastAsia="宋体"/>
          <w:i/>
          <w:color w:val="auto"/>
          <w:sz w:val="24"/>
          <w:highlight w:val="none"/>
          <w:lang w:val="en-US"/>
        </w:rPr>
        <w:t>磋商，不需此件，请删去“中小企业声明函”）</w:t>
      </w:r>
    </w:p>
    <w:p w14:paraId="240E44B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45A1005C">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628E7D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08F5E1C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299048DC">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6B102ED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7B29C1E7">
      <w:pPr>
        <w:spacing w:line="360" w:lineRule="auto"/>
        <w:ind w:firstLine="4228" w:firstLineChars="1762"/>
        <w:rPr>
          <w:rFonts w:asciiTheme="minorEastAsia" w:hAnsiTheme="minorEastAsia" w:eastAsiaTheme="minorEastAsia"/>
          <w:color w:val="auto"/>
          <w:sz w:val="24"/>
          <w:szCs w:val="24"/>
          <w:highlight w:val="none"/>
        </w:rPr>
      </w:pPr>
    </w:p>
    <w:p w14:paraId="0C2EA860">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62BBDE3">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211"/>
    <w:p w14:paraId="00C32753">
      <w:pPr>
        <w:tabs>
          <w:tab w:val="left" w:pos="4620"/>
        </w:tabs>
        <w:jc w:val="left"/>
        <w:rPr>
          <w:rFonts w:asciiTheme="minorEastAsia" w:hAnsiTheme="minorEastAsia" w:eastAsiaTheme="minorEastAsia"/>
          <w:b/>
          <w:color w:val="auto"/>
          <w:szCs w:val="24"/>
          <w:highlight w:val="none"/>
        </w:rPr>
      </w:pPr>
    </w:p>
    <w:p w14:paraId="234F7AD7">
      <w:pPr>
        <w:tabs>
          <w:tab w:val="left" w:pos="4620"/>
        </w:tabs>
        <w:jc w:val="left"/>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注：</w:t>
      </w:r>
    </w:p>
    <w:p w14:paraId="5B3076C9">
      <w:pPr>
        <w:tabs>
          <w:tab w:val="left" w:pos="4620"/>
        </w:tabs>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10151AA9">
      <w:pPr>
        <w:tabs>
          <w:tab w:val="left" w:pos="4620"/>
        </w:tabs>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316FFDC1">
      <w:pPr>
        <w:tabs>
          <w:tab w:val="left" w:pos="4620"/>
        </w:tabs>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23406890">
      <w:pPr>
        <w:tabs>
          <w:tab w:val="left" w:pos="4620"/>
        </w:tabs>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5706DB08">
      <w:pPr>
        <w:tabs>
          <w:tab w:val="left" w:pos="4620"/>
        </w:tabs>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[供应商自行登录工业和信息化部官网进行中小企业规模类型自测（查询网址https://www.miit.gov.cn/）]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344EF991">
      <w:pPr>
        <w:tabs>
          <w:tab w:val="left" w:pos="4620"/>
        </w:tabs>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897C9B7">
      <w:pPr>
        <w:spacing w:line="360" w:lineRule="auto"/>
        <w:jc w:val="center"/>
        <w:outlineLvl w:val="1"/>
        <w:rPr>
          <w:rFonts w:asciiTheme="minorEastAsia" w:hAnsiTheme="minorEastAsia" w:eastAsiaTheme="minorEastAsia"/>
          <w:b/>
          <w:color w:val="auto"/>
          <w:sz w:val="24"/>
          <w:highlight w:val="none"/>
        </w:rPr>
      </w:pPr>
      <w:bookmarkStart w:id="212" w:name="_Toc17713"/>
      <w:bookmarkStart w:id="213" w:name="_Toc5908"/>
      <w:bookmarkStart w:id="214" w:name="_Hlk60608725"/>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、残疾人福利性单位声明函</w:t>
      </w:r>
      <w:bookmarkEnd w:id="212"/>
      <w:bookmarkEnd w:id="213"/>
    </w:p>
    <w:p w14:paraId="45000126">
      <w:pPr>
        <w:pStyle w:val="9"/>
        <w:jc w:val="center"/>
        <w:rPr>
          <w:rFonts w:asciiTheme="minorEastAsia" w:hAnsiTheme="minorEastAsia" w:eastAsiaTheme="minorEastAsia"/>
          <w:color w:val="auto"/>
          <w:spacing w:val="6"/>
          <w:sz w:val="24"/>
          <w:highlight w:val="none"/>
        </w:rPr>
      </w:pPr>
      <w:r>
        <w:rPr>
          <w:rFonts w:hint="eastAsia" w:ascii="宋体" w:hAnsi="宋体" w:eastAsia="宋体"/>
          <w:i/>
          <w:color w:val="auto"/>
          <w:sz w:val="24"/>
          <w:highlight w:val="none"/>
          <w:lang w:val="en-US"/>
        </w:rPr>
        <w:t>（非残疾人福利性单位磋商，请删去“残疾人福利性单位声明函”）</w:t>
      </w:r>
    </w:p>
    <w:p w14:paraId="0E654EB1">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275A140D">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280BC240">
      <w:pPr>
        <w:spacing w:line="360" w:lineRule="auto"/>
        <w:ind w:firstLine="4228" w:firstLineChars="1762"/>
        <w:rPr>
          <w:rFonts w:asciiTheme="minorEastAsia" w:hAnsiTheme="minorEastAsia" w:eastAsiaTheme="minorEastAsia"/>
          <w:color w:val="auto"/>
          <w:sz w:val="24"/>
          <w:szCs w:val="24"/>
          <w:highlight w:val="none"/>
        </w:rPr>
      </w:pPr>
    </w:p>
    <w:p w14:paraId="59FA5EAE">
      <w:pPr>
        <w:spacing w:line="360" w:lineRule="auto"/>
        <w:ind w:firstLine="4228" w:firstLineChars="1762"/>
        <w:rPr>
          <w:rFonts w:asciiTheme="minorEastAsia" w:hAnsiTheme="minorEastAsia" w:eastAsiaTheme="minorEastAsia"/>
          <w:color w:val="auto"/>
          <w:sz w:val="24"/>
          <w:szCs w:val="24"/>
          <w:highlight w:val="none"/>
        </w:rPr>
      </w:pPr>
    </w:p>
    <w:p w14:paraId="4D88B452">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454624CF">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214"/>
    <w:p w14:paraId="78C0331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E8C324E">
      <w:pPr>
        <w:spacing w:line="360" w:lineRule="auto"/>
        <w:jc w:val="center"/>
        <w:outlineLvl w:val="1"/>
        <w:rPr>
          <w:rFonts w:asciiTheme="minorEastAsia" w:hAnsiTheme="minorEastAsia" w:eastAsiaTheme="minorEastAsia"/>
          <w:b/>
          <w:color w:val="auto"/>
          <w:sz w:val="24"/>
          <w:highlight w:val="none"/>
        </w:rPr>
      </w:pPr>
      <w:bookmarkStart w:id="215" w:name="_Toc2278"/>
      <w:bookmarkStart w:id="216" w:name="_Toc20592"/>
      <w:bookmarkStart w:id="217" w:name="_Hlk44283088"/>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、诚信履约承诺函</w:t>
      </w:r>
      <w:bookmarkEnd w:id="215"/>
      <w:bookmarkEnd w:id="216"/>
    </w:p>
    <w:p w14:paraId="166B6849">
      <w:pPr>
        <w:spacing w:line="360" w:lineRule="auto"/>
        <w:rPr>
          <w:rFonts w:asciiTheme="minorEastAsia" w:hAnsiTheme="minorEastAsia" w:eastAsiaTheme="minorEastAsia"/>
          <w:b/>
          <w:bCs/>
          <w:color w:val="auto"/>
          <w:sz w:val="24"/>
          <w:highlight w:val="none"/>
        </w:rPr>
      </w:pPr>
    </w:p>
    <w:p w14:paraId="7A863ECE">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致：采购人</w:t>
      </w:r>
    </w:p>
    <w:p w14:paraId="2119828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5E857B1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54E96C8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3F3A6C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19A06B4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C0EE9A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64EDD57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EBF761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本承诺声明：</w:t>
      </w:r>
      <w:r>
        <w:rPr>
          <w:rFonts w:hint="eastAsia" w:asciiTheme="minorEastAsia" w:hAnsiTheme="minorEastAsia" w:eastAsiaTheme="minorEastAsia"/>
          <w:bCs/>
          <w:color w:val="auto"/>
          <w:sz w:val="24"/>
          <w:highlight w:val="none"/>
          <w:u w:val="single"/>
        </w:rPr>
        <w:t xml:space="preserve">                   （供应商名称）</w:t>
      </w:r>
      <w:r>
        <w:rPr>
          <w:rFonts w:hint="eastAsia" w:asciiTheme="minorEastAsia" w:hAnsiTheme="minorEastAsia" w:eastAsiaTheme="minorEastAsia"/>
          <w:bCs/>
          <w:color w:val="auto"/>
          <w:sz w:val="24"/>
          <w:highlight w:val="none"/>
        </w:rPr>
        <w:t>对本</w:t>
      </w:r>
      <w:r>
        <w:rPr>
          <w:rFonts w:hint="eastAsia" w:asciiTheme="minorEastAsia" w:hAnsiTheme="minorEastAsia" w:eastAsiaTheme="minorEastAsia"/>
          <w:color w:val="auto"/>
          <w:sz w:val="24"/>
          <w:highlight w:val="none"/>
          <w:lang w:val="zh-CN"/>
        </w:rPr>
        <w:t>磋商文件</w:t>
      </w:r>
      <w:r>
        <w:rPr>
          <w:rFonts w:hint="eastAsia" w:asciiTheme="minorEastAsia" w:hAnsiTheme="minorEastAsia" w:eastAsiaTheme="minorEastAsia"/>
          <w:bCs/>
          <w:color w:val="auto"/>
          <w:sz w:val="24"/>
          <w:highlight w:val="none"/>
        </w:rPr>
        <w:t>的相关要求完全响应。若有幸成交将严格按照以上承诺进行服务。</w:t>
      </w:r>
    </w:p>
    <w:p w14:paraId="1E6F3876">
      <w:pPr>
        <w:spacing w:line="360" w:lineRule="auto"/>
        <w:rPr>
          <w:rFonts w:asciiTheme="minorEastAsia" w:hAnsiTheme="minorEastAsia" w:eastAsiaTheme="minorEastAsia"/>
          <w:bCs/>
          <w:color w:val="auto"/>
          <w:sz w:val="24"/>
          <w:highlight w:val="none"/>
        </w:rPr>
      </w:pPr>
    </w:p>
    <w:p w14:paraId="3A840C92">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CD798B8">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0A826FA">
      <w:pPr>
        <w:widowControl/>
        <w:jc w:val="left"/>
        <w:rPr>
          <w:rFonts w:ascii="宋体" w:hAnsi="宋体" w:eastAsia="宋体" w:cs="宋体"/>
          <w:color w:val="auto"/>
          <w:sz w:val="24"/>
          <w:szCs w:val="24"/>
          <w:highlight w:val="none"/>
        </w:rPr>
      </w:pPr>
      <w:r>
        <w:rPr>
          <w:rFonts w:asciiTheme="minorEastAsia" w:hAnsiTheme="minorEastAsia" w:eastAsiaTheme="minorEastAsia"/>
          <w:b/>
          <w:color w:val="auto"/>
          <w:sz w:val="24"/>
          <w:highlight w:val="none"/>
        </w:rPr>
        <w:br w:type="page"/>
      </w:r>
      <w:bookmarkEnd w:id="217"/>
      <w:bookmarkStart w:id="218" w:name="_Toc3826"/>
      <w:bookmarkStart w:id="219" w:name="_Toc7807"/>
    </w:p>
    <w:p w14:paraId="1BD5B3C1">
      <w:pPr>
        <w:jc w:val="center"/>
        <w:rPr>
          <w:rFonts w:asciiTheme="minorEastAsia" w:hAnsiTheme="minorEastAsia" w:eastAsiaTheme="minorEastAsia"/>
          <w:b/>
          <w:color w:val="auto"/>
          <w:sz w:val="24"/>
          <w:highlight w:val="none"/>
        </w:rPr>
      </w:pPr>
    </w:p>
    <w:p w14:paraId="6C83B0AE">
      <w:pPr>
        <w:numPr>
          <w:ilvl w:val="0"/>
          <w:numId w:val="6"/>
        </w:numPr>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分项报价表</w:t>
      </w:r>
    </w:p>
    <w:tbl>
      <w:tblPr>
        <w:tblStyle w:val="25"/>
        <w:tblW w:w="10025" w:type="dxa"/>
        <w:tblInd w:w="-5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2272"/>
        <w:gridCol w:w="2865"/>
        <w:gridCol w:w="1416"/>
        <w:gridCol w:w="1084"/>
        <w:gridCol w:w="1563"/>
      </w:tblGrid>
      <w:tr w14:paraId="5A7A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35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FB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服务内容</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F3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单价（元/天）</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A4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数量（天）</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DC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6B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086FA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C2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884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土桥二级临时泵站</w:t>
            </w:r>
          </w:p>
          <w:p w14:paraId="6C370F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日常运行及常规维护</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2AE6">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44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052D">
            <w:pPr>
              <w:jc w:val="center"/>
              <w:rPr>
                <w:rFonts w:hint="eastAsia" w:ascii="宋体" w:hAnsi="宋体" w:eastAsia="宋体" w:cs="宋体"/>
                <w:i w:val="0"/>
                <w:iCs w:val="0"/>
                <w:color w:val="auto"/>
                <w:sz w:val="24"/>
                <w:szCs w:val="24"/>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E62C">
            <w:pPr>
              <w:rPr>
                <w:rFonts w:hint="eastAsia" w:ascii="宋体" w:hAnsi="宋体" w:eastAsia="宋体" w:cs="宋体"/>
                <w:i w:val="0"/>
                <w:iCs w:val="0"/>
                <w:color w:val="auto"/>
                <w:sz w:val="24"/>
                <w:szCs w:val="24"/>
                <w:highlight w:val="none"/>
                <w:u w:val="none"/>
              </w:rPr>
            </w:pPr>
          </w:p>
        </w:tc>
      </w:tr>
      <w:tr w14:paraId="51BB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631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A2A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中心沟（八支渠）临时泵站日常运行及常规维护</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9B2F">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144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7F52">
            <w:pPr>
              <w:jc w:val="center"/>
              <w:rPr>
                <w:rFonts w:hint="eastAsia" w:ascii="宋体" w:hAnsi="宋体" w:eastAsia="宋体" w:cs="宋体"/>
                <w:i w:val="0"/>
                <w:iCs w:val="0"/>
                <w:color w:val="auto"/>
                <w:sz w:val="24"/>
                <w:szCs w:val="24"/>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9A14">
            <w:pPr>
              <w:rPr>
                <w:rFonts w:hint="eastAsia" w:ascii="宋体" w:hAnsi="宋体" w:eastAsia="宋体" w:cs="宋体"/>
                <w:i w:val="0"/>
                <w:iCs w:val="0"/>
                <w:color w:val="auto"/>
                <w:sz w:val="24"/>
                <w:szCs w:val="24"/>
                <w:highlight w:val="none"/>
                <w:u w:val="none"/>
              </w:rPr>
            </w:pPr>
          </w:p>
        </w:tc>
      </w:tr>
      <w:tr w14:paraId="715BA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87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FD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引调水渠道管道工程日常巡检、渠道清杂清障及配套涵闸设施维护</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3960">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52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B486">
            <w:pPr>
              <w:jc w:val="center"/>
              <w:rPr>
                <w:rFonts w:hint="eastAsia" w:ascii="宋体" w:hAnsi="宋体" w:eastAsia="宋体" w:cs="宋体"/>
                <w:i w:val="0"/>
                <w:iCs w:val="0"/>
                <w:color w:val="auto"/>
                <w:sz w:val="24"/>
                <w:szCs w:val="24"/>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C960">
            <w:pPr>
              <w:rPr>
                <w:rFonts w:hint="eastAsia" w:ascii="宋体" w:hAnsi="宋体" w:eastAsia="宋体" w:cs="宋体"/>
                <w:i w:val="0"/>
                <w:iCs w:val="0"/>
                <w:color w:val="auto"/>
                <w:sz w:val="24"/>
                <w:szCs w:val="24"/>
                <w:highlight w:val="none"/>
                <w:u w:val="none"/>
              </w:rPr>
            </w:pPr>
          </w:p>
        </w:tc>
      </w:tr>
      <w:tr w14:paraId="4BC0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A3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84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调水路线涉及工程故障检修、突发异常情况应急抢险处置（据实结算）</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BF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85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76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400000</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42C0">
            <w:pPr>
              <w:keepNext w:val="0"/>
              <w:keepLines w:val="0"/>
              <w:widowControl/>
              <w:suppressLineNumbers w:val="0"/>
              <w:ind w:right="-132" w:rightChars="-63"/>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此项费用投标时不予修改，否则按无效标处理。最终按实结算。</w:t>
            </w:r>
          </w:p>
        </w:tc>
      </w:tr>
      <w:tr w14:paraId="3E1D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16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F3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税金</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5652">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33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税率：</w:t>
            </w:r>
            <w:r>
              <w:rPr>
                <w:rStyle w:val="78"/>
                <w:rFonts w:hint="eastAsia"/>
                <w:color w:val="auto"/>
                <w:highlight w:val="none"/>
                <w:lang w:val="en-US" w:eastAsia="zh-CN" w:bidi="ar"/>
              </w:rPr>
              <w:t>9</w:t>
            </w:r>
            <w:r>
              <w:rPr>
                <w:rStyle w:val="79"/>
                <w:color w:val="auto"/>
                <w:highlight w:val="none"/>
                <w:lang w:val="en-US" w:eastAsia="zh-CN" w:bidi="ar"/>
              </w:rPr>
              <w:t>%</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2715">
            <w:pPr>
              <w:jc w:val="center"/>
              <w:rPr>
                <w:rFonts w:hint="eastAsia" w:ascii="宋体" w:hAnsi="宋体" w:eastAsia="宋体" w:cs="宋体"/>
                <w:i w:val="0"/>
                <w:iCs w:val="0"/>
                <w:color w:val="auto"/>
                <w:sz w:val="24"/>
                <w:szCs w:val="24"/>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88F4">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税率投标时不予修改，否则按无效标处理。最终按实际税率结算。</w:t>
            </w:r>
          </w:p>
        </w:tc>
      </w:tr>
      <w:tr w14:paraId="79F50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A8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2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68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合计（1+2+3+4+5）</w:t>
            </w:r>
          </w:p>
        </w:tc>
        <w:tc>
          <w:tcPr>
            <w:tcW w:w="69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5FC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大写：             元；</w:t>
            </w:r>
          </w:p>
          <w:p w14:paraId="76F6DBC8">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小写：             元。</w:t>
            </w:r>
          </w:p>
        </w:tc>
      </w:tr>
    </w:tbl>
    <w:p w14:paraId="39C9F3C9">
      <w:pPr>
        <w:spacing w:line="360" w:lineRule="auto"/>
        <w:ind w:firstLine="4800" w:firstLineChars="2000"/>
        <w:rPr>
          <w:rFonts w:hint="eastAsia" w:ascii="宋体" w:hAnsi="宋体" w:eastAsia="宋体"/>
          <w:color w:val="auto"/>
          <w:sz w:val="24"/>
          <w:highlight w:val="none"/>
        </w:rPr>
      </w:pPr>
    </w:p>
    <w:p w14:paraId="0D245693">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24B7026">
      <w:pPr>
        <w:tabs>
          <w:tab w:val="left" w:pos="630"/>
        </w:tabs>
        <w:spacing w:line="360" w:lineRule="auto"/>
        <w:ind w:firstLine="4800" w:firstLineChars="2000"/>
        <w:rPr>
          <w:rFonts w:asciiTheme="minorEastAsia" w:hAnsiTheme="minorEastAsia" w:eastAsiaTheme="minorEastAsia"/>
          <w:b/>
          <w:bCs/>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06476B8">
      <w:pP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AE9AB51">
      <w:pPr>
        <w:rPr>
          <w:rFonts w:asciiTheme="minorEastAsia" w:hAnsiTheme="minorEastAsia" w:eastAsiaTheme="minorEastAsia"/>
          <w:b/>
          <w:color w:val="auto"/>
          <w:sz w:val="24"/>
          <w:highlight w:val="none"/>
        </w:rPr>
      </w:pPr>
    </w:p>
    <w:p w14:paraId="5853DCDE">
      <w:pPr>
        <w:numPr>
          <w:ilvl w:val="0"/>
          <w:numId w:val="6"/>
        </w:num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其他相关证明材料</w:t>
      </w:r>
      <w:bookmarkEnd w:id="218"/>
      <w:bookmarkEnd w:id="219"/>
    </w:p>
    <w:p w14:paraId="2329ECFD">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提供符合磋商邀请、采购需求及评审方法和标准规定的相关证明文件。</w:t>
      </w:r>
    </w:p>
    <w:p w14:paraId="19915EBE">
      <w:pPr>
        <w:spacing w:line="360" w:lineRule="auto"/>
        <w:ind w:firstLine="435"/>
        <w:rPr>
          <w:rFonts w:asciiTheme="minorEastAsia" w:hAnsiTheme="minorEastAsia" w:eastAsiaTheme="minorEastAsia"/>
          <w:color w:val="auto"/>
          <w:sz w:val="24"/>
          <w:highlight w:val="none"/>
        </w:rPr>
      </w:pPr>
    </w:p>
    <w:p w14:paraId="45814DC6">
      <w:pPr>
        <w:spacing w:line="360" w:lineRule="auto"/>
        <w:ind w:firstLine="480" w:firstLineChars="200"/>
        <w:rPr>
          <w:rFonts w:asciiTheme="minorEastAsia" w:hAnsiTheme="minorEastAsia" w:eastAsiaTheme="minorEastAsia"/>
          <w:color w:val="auto"/>
          <w:sz w:val="24"/>
          <w:highlight w:val="none"/>
        </w:rPr>
      </w:pPr>
    </w:p>
    <w:p w14:paraId="03672CC8">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40D46346">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供应商在响应文件制作时可在此栏内上传磋商文件要求上传的证明资料，如营业执照、证书等，应将上述证明材料制作成扫描件上传。</w:t>
      </w:r>
    </w:p>
    <w:p w14:paraId="015AE4DE">
      <w:pPr>
        <w:spacing w:line="360" w:lineRule="auto"/>
        <w:jc w:val="center"/>
        <w:rPr>
          <w:rFonts w:asciiTheme="minorEastAsia" w:hAnsiTheme="minorEastAsia" w:eastAsiaTheme="minorEastAsia"/>
          <w:b/>
          <w:color w:val="auto"/>
          <w:sz w:val="24"/>
          <w:highlight w:val="none"/>
        </w:rPr>
      </w:pPr>
    </w:p>
    <w:p w14:paraId="0340D37E">
      <w:pPr>
        <w:widowControl/>
        <w:jc w:val="left"/>
        <w:rPr>
          <w:rFonts w:ascii="宋体" w:hAnsi="宋体" w:eastAsia="宋体"/>
          <w:bCs/>
          <w:color w:val="auto"/>
          <w:sz w:val="24"/>
          <w:highlight w:val="none"/>
        </w:rPr>
      </w:pPr>
      <w:r>
        <w:rPr>
          <w:rFonts w:asciiTheme="minorEastAsia" w:hAnsiTheme="minorEastAsia" w:eastAsiaTheme="minorEastAsia"/>
          <w:color w:val="auto"/>
          <w:sz w:val="24"/>
          <w:highlight w:val="none"/>
        </w:rPr>
        <w:br w:type="page"/>
      </w:r>
    </w:p>
    <w:p w14:paraId="1EB91F96">
      <w:pPr>
        <w:spacing w:line="360" w:lineRule="auto"/>
        <w:jc w:val="center"/>
        <w:outlineLvl w:val="0"/>
        <w:rPr>
          <w:rFonts w:ascii="宋体" w:hAnsi="宋体" w:eastAsia="宋体"/>
          <w:b/>
          <w:bCs/>
          <w:color w:val="auto"/>
          <w:sz w:val="28"/>
          <w:highlight w:val="none"/>
        </w:rPr>
      </w:pPr>
      <w:bookmarkStart w:id="220" w:name="_Toc63440924"/>
      <w:bookmarkStart w:id="221" w:name="_Toc19418"/>
      <w:bookmarkStart w:id="222" w:name="_Toc7345"/>
      <w:r>
        <w:rPr>
          <w:rFonts w:hint="eastAsia" w:ascii="宋体" w:hAnsi="宋体" w:eastAsia="宋体"/>
          <w:b/>
          <w:bCs/>
          <w:color w:val="auto"/>
          <w:sz w:val="28"/>
          <w:highlight w:val="none"/>
        </w:rPr>
        <w:t>第七章  政府采购</w:t>
      </w:r>
      <w:bookmarkEnd w:id="220"/>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21"/>
      <w:bookmarkEnd w:id="222"/>
    </w:p>
    <w:p w14:paraId="04459556">
      <w:pPr>
        <w:spacing w:line="360" w:lineRule="auto"/>
        <w:jc w:val="center"/>
        <w:outlineLvl w:val="1"/>
        <w:rPr>
          <w:rFonts w:ascii="仿宋" w:hAnsi="仿宋" w:eastAsia="仿宋" w:cs="仿宋"/>
          <w:b/>
          <w:bCs/>
          <w:color w:val="auto"/>
          <w:sz w:val="32"/>
          <w:szCs w:val="44"/>
          <w:highlight w:val="none"/>
        </w:rPr>
      </w:pPr>
      <w:bookmarkStart w:id="223" w:name="_Toc8735"/>
      <w:bookmarkStart w:id="224" w:name="_Toc2142"/>
      <w:r>
        <w:rPr>
          <w:rFonts w:hint="eastAsia" w:ascii="仿宋" w:hAnsi="仿宋" w:eastAsia="仿宋" w:cs="仿宋"/>
          <w:b/>
          <w:bCs/>
          <w:color w:val="auto"/>
          <w:sz w:val="32"/>
          <w:szCs w:val="44"/>
          <w:highlight w:val="none"/>
        </w:rPr>
        <w:t>询问函范本</w:t>
      </w:r>
      <w:bookmarkEnd w:id="223"/>
      <w:bookmarkEnd w:id="224"/>
    </w:p>
    <w:p w14:paraId="1BDACC44">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EA677EC">
      <w:pPr>
        <w:adjustRightInd w:val="0"/>
        <w:snapToGrid w:val="0"/>
        <w:spacing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致：采购人</w:t>
      </w:r>
    </w:p>
    <w:p w14:paraId="2518349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0530D615">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25" w:name="_Toc26386"/>
      <w:bookmarkStart w:id="226" w:name="_Toc9092"/>
      <w:r>
        <w:rPr>
          <w:rFonts w:hint="eastAsia" w:cs="仿宋" w:asciiTheme="minorEastAsia" w:hAnsiTheme="minorEastAsia" w:eastAsiaTheme="minorEastAsia"/>
          <w:color w:val="auto"/>
          <w:sz w:val="24"/>
          <w:szCs w:val="24"/>
          <w:highlight w:val="none"/>
        </w:rPr>
        <w:t>一、(事项一)</w:t>
      </w:r>
      <w:bookmarkEnd w:id="225"/>
      <w:bookmarkEnd w:id="226"/>
    </w:p>
    <w:p w14:paraId="5C8A8D3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0277C01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2A8E6F4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0C666957">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27" w:name="_Toc9273"/>
      <w:bookmarkStart w:id="228" w:name="_Toc17582"/>
      <w:r>
        <w:rPr>
          <w:rFonts w:hint="eastAsia" w:cs="仿宋" w:asciiTheme="minorEastAsia" w:hAnsiTheme="minorEastAsia" w:eastAsiaTheme="minorEastAsia"/>
          <w:color w:val="auto"/>
          <w:sz w:val="24"/>
          <w:szCs w:val="24"/>
          <w:highlight w:val="none"/>
        </w:rPr>
        <w:t>二、(事项二)</w:t>
      </w:r>
      <w:bookmarkEnd w:id="227"/>
      <w:bookmarkEnd w:id="228"/>
    </w:p>
    <w:p w14:paraId="7BD9494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5760BF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053843C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E48EC1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EF6374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3266C8B0">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3CA34FF5">
      <w:pPr>
        <w:jc w:val="center"/>
        <w:outlineLvl w:val="1"/>
        <w:rPr>
          <w:rFonts w:ascii="仿宋" w:hAnsi="仿宋" w:eastAsia="仿宋" w:cs="仿宋"/>
          <w:b/>
          <w:bCs/>
          <w:color w:val="auto"/>
          <w:sz w:val="32"/>
          <w:szCs w:val="44"/>
          <w:highlight w:val="none"/>
        </w:rPr>
      </w:pPr>
      <w:bookmarkStart w:id="229" w:name="_Toc6990"/>
      <w:bookmarkStart w:id="230" w:name="_Toc26673"/>
      <w:r>
        <w:rPr>
          <w:rFonts w:hint="eastAsia" w:ascii="仿宋" w:hAnsi="仿宋" w:eastAsia="仿宋" w:cs="仿宋"/>
          <w:b/>
          <w:bCs/>
          <w:color w:val="auto"/>
          <w:sz w:val="32"/>
          <w:szCs w:val="44"/>
          <w:highlight w:val="none"/>
        </w:rPr>
        <w:t>质疑函范本</w:t>
      </w:r>
      <w:bookmarkEnd w:id="229"/>
      <w:bookmarkEnd w:id="230"/>
    </w:p>
    <w:p w14:paraId="5A0F4092">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231" w:name="_Toc2994"/>
      <w:bookmarkStart w:id="232" w:name="_Toc29510"/>
      <w:r>
        <w:rPr>
          <w:rFonts w:hint="eastAsia" w:cs="仿宋" w:asciiTheme="minorEastAsia" w:hAnsiTheme="minorEastAsia" w:eastAsiaTheme="minorEastAsia"/>
          <w:b/>
          <w:bCs/>
          <w:color w:val="auto"/>
          <w:sz w:val="24"/>
          <w:szCs w:val="24"/>
          <w:highlight w:val="none"/>
        </w:rPr>
        <w:t>一、质疑供应商基本信息</w:t>
      </w:r>
      <w:bookmarkEnd w:id="231"/>
      <w:bookmarkEnd w:id="232"/>
    </w:p>
    <w:p w14:paraId="33A789A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D65DD2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1A3085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76CFEFB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1FBFAD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E90272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904690F">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33" w:name="_Toc28130"/>
      <w:bookmarkStart w:id="234" w:name="_Toc31042"/>
      <w:r>
        <w:rPr>
          <w:rFonts w:hint="eastAsia" w:cs="仿宋" w:asciiTheme="minorEastAsia" w:hAnsiTheme="minorEastAsia" w:eastAsiaTheme="minorEastAsia"/>
          <w:b/>
          <w:bCs/>
          <w:color w:val="auto"/>
          <w:sz w:val="24"/>
          <w:szCs w:val="24"/>
          <w:highlight w:val="none"/>
        </w:rPr>
        <w:t>二、质疑项目基本情况</w:t>
      </w:r>
      <w:bookmarkEnd w:id="233"/>
      <w:bookmarkEnd w:id="234"/>
    </w:p>
    <w:p w14:paraId="5A8F9EA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05CF16B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AB5E46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D6FDEF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029A0B71">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35" w:name="_Toc20587"/>
      <w:bookmarkStart w:id="236" w:name="_Toc6486"/>
      <w:r>
        <w:rPr>
          <w:rFonts w:hint="eastAsia" w:cs="仿宋" w:asciiTheme="minorEastAsia" w:hAnsiTheme="minorEastAsia" w:eastAsiaTheme="minorEastAsia"/>
          <w:b/>
          <w:bCs/>
          <w:color w:val="auto"/>
          <w:sz w:val="24"/>
          <w:szCs w:val="24"/>
          <w:highlight w:val="none"/>
        </w:rPr>
        <w:t>三、质疑事项具体内容</w:t>
      </w:r>
      <w:bookmarkEnd w:id="235"/>
      <w:bookmarkEnd w:id="236"/>
    </w:p>
    <w:p w14:paraId="3BCDF81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0C16E4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642AA3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06C384B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BB7828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57771D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6BA6046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DDAF1C5">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37" w:name="_Toc32755"/>
      <w:bookmarkStart w:id="238" w:name="_Toc20470"/>
      <w:r>
        <w:rPr>
          <w:rFonts w:hint="eastAsia" w:cs="仿宋" w:asciiTheme="minorEastAsia" w:hAnsiTheme="minorEastAsia" w:eastAsiaTheme="minorEastAsia"/>
          <w:b/>
          <w:bCs/>
          <w:color w:val="auto"/>
          <w:sz w:val="24"/>
          <w:szCs w:val="24"/>
          <w:highlight w:val="none"/>
        </w:rPr>
        <w:t>四、与质疑事项相关的质疑请求</w:t>
      </w:r>
      <w:bookmarkEnd w:id="237"/>
      <w:bookmarkEnd w:id="238"/>
    </w:p>
    <w:p w14:paraId="56934D0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67C74EA7">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34210262">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8B72109">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084FCC2">
      <w:pPr>
        <w:outlineLvl w:val="0"/>
        <w:rPr>
          <w:rFonts w:asciiTheme="minorEastAsia" w:hAnsiTheme="minorEastAsia" w:eastAsiaTheme="minorEastAsia"/>
          <w:b/>
          <w:color w:val="auto"/>
          <w:sz w:val="28"/>
          <w:szCs w:val="32"/>
          <w:highlight w:val="none"/>
        </w:rPr>
      </w:pPr>
      <w:bookmarkStart w:id="239" w:name="_Toc20635"/>
      <w:bookmarkStart w:id="240" w:name="_Toc8368"/>
      <w:bookmarkStart w:id="241" w:name="_Toc21667"/>
      <w:r>
        <w:rPr>
          <w:rFonts w:hint="eastAsia" w:asciiTheme="minorEastAsia" w:hAnsiTheme="minorEastAsia" w:eastAsiaTheme="minorEastAsia"/>
          <w:b/>
          <w:color w:val="auto"/>
          <w:sz w:val="28"/>
          <w:szCs w:val="32"/>
          <w:highlight w:val="none"/>
        </w:rPr>
        <w:t>质疑函制作说明：</w:t>
      </w:r>
      <w:bookmarkEnd w:id="239"/>
      <w:bookmarkEnd w:id="240"/>
      <w:bookmarkEnd w:id="241"/>
    </w:p>
    <w:p w14:paraId="0FA54D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582BC8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AAC7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71BE6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798142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C2E5B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7BFB327">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14:paraId="26E55105">
      <w:pPr>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lang w:bidi="ar"/>
        </w:rPr>
        <w:t>附件</w:t>
      </w:r>
      <w:r>
        <w:rPr>
          <w:rFonts w:ascii="Times New Roman" w:hAnsi="Times New Roman" w:eastAsia="宋体" w:cs="Times New Roman"/>
          <w:b/>
          <w:color w:val="auto"/>
          <w:sz w:val="28"/>
          <w:szCs w:val="28"/>
          <w:highlight w:val="none"/>
          <w:lang w:bidi="ar"/>
        </w:rPr>
        <w:t>1</w:t>
      </w:r>
    </w:p>
    <w:p w14:paraId="2B32A5C3">
      <w:pPr>
        <w:spacing w:line="440" w:lineRule="exact"/>
        <w:jc w:val="center"/>
        <w:rPr>
          <w:rFonts w:ascii="黑体" w:hAnsi="宋体" w:eastAsia="黑体" w:cs="黑体"/>
          <w:b/>
          <w:color w:val="auto"/>
          <w:sz w:val="30"/>
          <w:szCs w:val="30"/>
          <w:highlight w:val="none"/>
        </w:rPr>
      </w:pPr>
      <w:r>
        <w:rPr>
          <w:rFonts w:hint="eastAsia" w:ascii="黑体" w:hAnsi="宋体" w:eastAsia="黑体" w:cs="黑体"/>
          <w:b/>
          <w:color w:val="auto"/>
          <w:sz w:val="30"/>
          <w:szCs w:val="30"/>
          <w:highlight w:val="none"/>
          <w:lang w:bidi="ar"/>
        </w:rPr>
        <w:t>关于联合惩戒失信行为 加强信用查询管理的通知</w:t>
      </w:r>
    </w:p>
    <w:p w14:paraId="7BA237B9">
      <w:pPr>
        <w:spacing w:line="44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50CA73C0">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在我市公共资源交易活动中对存在下列失信行为的</w:t>
      </w:r>
      <w:r>
        <w:rPr>
          <w:rFonts w:hint="eastAsia" w:ascii="宋体" w:hAnsi="宋体" w:eastAsia="宋体" w:cs="宋体"/>
          <w:bCs/>
          <w:color w:val="auto"/>
          <w:kern w:val="0"/>
          <w:sz w:val="24"/>
          <w:szCs w:val="24"/>
          <w:highlight w:val="none"/>
          <w:lang w:eastAsia="zh-CN" w:bidi="ar"/>
        </w:rPr>
        <w:t>供应商</w:t>
      </w:r>
      <w:r>
        <w:rPr>
          <w:rFonts w:hint="eastAsia" w:ascii="宋体" w:hAnsi="宋体" w:eastAsia="宋体" w:cs="宋体"/>
          <w:bCs/>
          <w:color w:val="auto"/>
          <w:kern w:val="0"/>
          <w:sz w:val="24"/>
          <w:szCs w:val="24"/>
          <w:highlight w:val="none"/>
          <w:lang w:bidi="ar"/>
        </w:rPr>
        <w:t>、法定代表人及其项目经理（建造师）实施联合惩戒，禁止参与我市公共资源交易活动。</w:t>
      </w:r>
    </w:p>
    <w:p w14:paraId="53FB63FF">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（一）工程建设项目</w:t>
      </w:r>
    </w:p>
    <w:p w14:paraId="7E78EC01">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1、“信用中国”网站（www.creditchina.gov.cn）查询以下失信行为：</w:t>
      </w:r>
    </w:p>
    <w:p w14:paraId="771C6567">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①</w:t>
      </w:r>
      <w:r>
        <w:rPr>
          <w:rFonts w:hint="eastAsia" w:ascii="宋体" w:hAnsi="宋体" w:eastAsia="宋体" w:cs="宋体"/>
          <w:bCs/>
          <w:color w:val="auto"/>
          <w:kern w:val="0"/>
          <w:sz w:val="24"/>
          <w:szCs w:val="24"/>
          <w:highlight w:val="none"/>
          <w:lang w:eastAsia="zh-CN" w:bidi="ar"/>
        </w:rPr>
        <w:t>供应商</w:t>
      </w:r>
      <w:r>
        <w:rPr>
          <w:rFonts w:hint="eastAsia" w:ascii="宋体" w:hAnsi="宋体" w:eastAsia="宋体" w:cs="宋体"/>
          <w:bCs/>
          <w:color w:val="auto"/>
          <w:kern w:val="0"/>
          <w:sz w:val="24"/>
          <w:szCs w:val="24"/>
          <w:highlight w:val="none"/>
          <w:lang w:bidi="ar"/>
        </w:rPr>
        <w:t>被人民法院列入失信被执行人的；</w:t>
      </w:r>
    </w:p>
    <w:p w14:paraId="0359B8C1">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②</w:t>
      </w:r>
      <w:r>
        <w:rPr>
          <w:rFonts w:hint="eastAsia" w:ascii="宋体" w:hAnsi="宋体" w:eastAsia="宋体" w:cs="宋体"/>
          <w:bCs/>
          <w:color w:val="auto"/>
          <w:kern w:val="0"/>
          <w:sz w:val="24"/>
          <w:szCs w:val="24"/>
          <w:highlight w:val="none"/>
          <w:lang w:eastAsia="zh-CN" w:bidi="ar"/>
        </w:rPr>
        <w:t>供应商</w:t>
      </w:r>
      <w:r>
        <w:rPr>
          <w:rFonts w:hint="eastAsia" w:ascii="宋体" w:hAnsi="宋体" w:eastAsia="宋体" w:cs="宋体"/>
          <w:bCs/>
          <w:color w:val="auto"/>
          <w:kern w:val="0"/>
          <w:sz w:val="24"/>
          <w:szCs w:val="24"/>
          <w:highlight w:val="none"/>
          <w:lang w:bidi="ar"/>
        </w:rPr>
        <w:t>被税务部门列入重大税收违法案件当事人的；</w:t>
      </w:r>
    </w:p>
    <w:p w14:paraId="357A9C23">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③</w:t>
      </w:r>
      <w:r>
        <w:rPr>
          <w:rFonts w:hint="eastAsia" w:ascii="宋体" w:hAnsi="宋体" w:eastAsia="宋体" w:cs="宋体"/>
          <w:bCs/>
          <w:color w:val="auto"/>
          <w:kern w:val="0"/>
          <w:sz w:val="24"/>
          <w:szCs w:val="24"/>
          <w:highlight w:val="none"/>
          <w:lang w:eastAsia="zh-CN" w:bidi="ar"/>
        </w:rPr>
        <w:t>供应商</w:t>
      </w:r>
      <w:r>
        <w:rPr>
          <w:rFonts w:hint="eastAsia" w:ascii="宋体" w:hAnsi="宋体" w:eastAsia="宋体" w:cs="宋体"/>
          <w:bCs/>
          <w:color w:val="auto"/>
          <w:kern w:val="0"/>
          <w:sz w:val="24"/>
          <w:szCs w:val="24"/>
          <w:highlight w:val="none"/>
          <w:lang w:bidi="ar"/>
        </w:rPr>
        <w:t>被人力资源社会保障主管部门列入拖欠农民工工资“黑名单”的；</w:t>
      </w:r>
    </w:p>
    <w:p w14:paraId="69A5FF2C">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④在“信用中国”网站上披露的仍在公示期的严重失信行为的。</w:t>
      </w:r>
    </w:p>
    <w:p w14:paraId="345D22A2">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2、国家企业信用信息公示系统网站（www.gsxt.gov.cn）查询以下失信行为：</w:t>
      </w:r>
    </w:p>
    <w:p w14:paraId="0CEE2550">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①被市场监督管理部门列入经营异常名录或者严重违法企业名单的。</w:t>
      </w:r>
    </w:p>
    <w:p w14:paraId="520C8F67">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3、滁州市公共资源交易中心网站（http://ggzy.chuzhou.gov.cn/）查询以下失信行为：</w:t>
      </w:r>
    </w:p>
    <w:p w14:paraId="31F4705D">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①被滁州市县两级公管部门取消在一定期限内的投标资格且在取消期限内的；</w:t>
      </w:r>
    </w:p>
    <w:p w14:paraId="0CC12843">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②被滁州市县两级公管部门记入不良行为记录或者信用信息记录，且在披露期内的。</w:t>
      </w:r>
    </w:p>
    <w:p w14:paraId="190FFC1F">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4、由竞争主体进行承诺，不进行现场网上信用查询的失信行为：</w:t>
      </w:r>
    </w:p>
    <w:p w14:paraId="6414546C">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①前三年有行贿犯罪行为的单位和个人；</w:t>
      </w:r>
    </w:p>
    <w:p w14:paraId="5726F069">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②被滁州市县两级各行</w:t>
      </w:r>
      <w:r>
        <w:rPr>
          <w:rFonts w:hint="eastAsia" w:ascii="宋体" w:hAnsi="宋体" w:eastAsia="宋体" w:cs="宋体"/>
          <w:bCs/>
          <w:color w:val="auto"/>
          <w:kern w:val="0"/>
          <w:sz w:val="24"/>
          <w:szCs w:val="24"/>
          <w:highlight w:val="none"/>
          <w:lang w:eastAsia="zh-CN" w:bidi="ar"/>
        </w:rPr>
        <w:t>采购人</w:t>
      </w:r>
      <w:r>
        <w:rPr>
          <w:rFonts w:hint="eastAsia" w:ascii="宋体" w:hAnsi="宋体" w:eastAsia="宋体" w:cs="宋体"/>
          <w:bCs/>
          <w:color w:val="auto"/>
          <w:kern w:val="0"/>
          <w:sz w:val="24"/>
          <w:szCs w:val="24"/>
          <w:highlight w:val="none"/>
          <w:lang w:bidi="ar"/>
        </w:rPr>
        <w:t>管部门取消在一定期限内的投标资格且在取消期限内的；</w:t>
      </w:r>
    </w:p>
    <w:p w14:paraId="390A0CDA">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③因拖欠农民工工资被县级及以上有关行政主管部门限制投标资格且在限制期限内的；</w:t>
      </w:r>
    </w:p>
    <w:p w14:paraId="502828E7">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④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21D4E88C">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（二）政府采购项目</w:t>
      </w:r>
    </w:p>
    <w:p w14:paraId="1799043C">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1、“信用中国”网站（www.creditchina.gov.cn）查询以下失信行为：</w:t>
      </w:r>
    </w:p>
    <w:p w14:paraId="49922EE6">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①</w:t>
      </w:r>
      <w:r>
        <w:rPr>
          <w:rFonts w:hint="eastAsia" w:ascii="宋体" w:hAnsi="宋体" w:eastAsia="宋体" w:cs="宋体"/>
          <w:bCs/>
          <w:color w:val="auto"/>
          <w:kern w:val="0"/>
          <w:sz w:val="24"/>
          <w:szCs w:val="24"/>
          <w:highlight w:val="none"/>
          <w:lang w:eastAsia="zh-CN" w:bidi="ar"/>
        </w:rPr>
        <w:t>供应商</w:t>
      </w:r>
      <w:r>
        <w:rPr>
          <w:rFonts w:hint="eastAsia" w:ascii="宋体" w:hAnsi="宋体" w:eastAsia="宋体" w:cs="宋体"/>
          <w:bCs/>
          <w:color w:val="auto"/>
          <w:kern w:val="0"/>
          <w:sz w:val="24"/>
          <w:szCs w:val="24"/>
          <w:highlight w:val="none"/>
          <w:lang w:bidi="ar"/>
        </w:rPr>
        <w:t>被人民法院列入失信被执行人的；</w:t>
      </w:r>
    </w:p>
    <w:p w14:paraId="7E8048B6">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②</w:t>
      </w:r>
      <w:r>
        <w:rPr>
          <w:rFonts w:hint="eastAsia" w:ascii="宋体" w:hAnsi="宋体" w:eastAsia="宋体" w:cs="宋体"/>
          <w:bCs/>
          <w:color w:val="auto"/>
          <w:kern w:val="0"/>
          <w:sz w:val="24"/>
          <w:szCs w:val="24"/>
          <w:highlight w:val="none"/>
          <w:lang w:eastAsia="zh-CN" w:bidi="ar"/>
        </w:rPr>
        <w:t>供应商</w:t>
      </w:r>
      <w:r>
        <w:rPr>
          <w:rFonts w:hint="eastAsia" w:ascii="宋体" w:hAnsi="宋体" w:eastAsia="宋体" w:cs="宋体"/>
          <w:bCs/>
          <w:color w:val="auto"/>
          <w:kern w:val="0"/>
          <w:sz w:val="24"/>
          <w:szCs w:val="24"/>
          <w:highlight w:val="none"/>
          <w:lang w:bidi="ar"/>
        </w:rPr>
        <w:t>被税务部门列入重大税收违法案件当事人的；</w:t>
      </w:r>
    </w:p>
    <w:p w14:paraId="08B03DFC">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③在“信用中国”网站上披露的仍在公示期的严重失信行为的。</w:t>
      </w:r>
    </w:p>
    <w:p w14:paraId="73B368BB">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2、国家企业信用信息公示系统网站（www.gsxt.gov.cn）查询以下失信行为：</w:t>
      </w:r>
    </w:p>
    <w:p w14:paraId="0669EB97">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①被市场监督管理部门列入经营异常名录或者严重违法企业名单的。</w:t>
      </w:r>
    </w:p>
    <w:p w14:paraId="2F02CD63">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3、中国政府采购网站（www.ccgp.gov.cn）查询以下失信行为：</w:t>
      </w:r>
    </w:p>
    <w:p w14:paraId="1EE5D1DB">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①政府采购严重违法失信行为</w:t>
      </w:r>
    </w:p>
    <w:p w14:paraId="7E3B3563">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4、由竞争主体进行承诺，不进行现场网上信用查询的失信行为：</w:t>
      </w:r>
    </w:p>
    <w:p w14:paraId="18A9D650">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①前三年有行贿犯罪行为的单位和个人。</w:t>
      </w:r>
    </w:p>
    <w:p w14:paraId="04258743">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二、在开评标活动中的查询程序</w:t>
      </w:r>
    </w:p>
    <w:p w14:paraId="7C872388">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1、实行有限数量制资格审查的项目，由项目单位（代理机构）对入围的</w:t>
      </w:r>
      <w:r>
        <w:rPr>
          <w:rFonts w:hint="eastAsia" w:ascii="宋体" w:hAnsi="宋体" w:eastAsia="宋体" w:cs="宋体"/>
          <w:bCs/>
          <w:color w:val="auto"/>
          <w:kern w:val="0"/>
          <w:sz w:val="24"/>
          <w:szCs w:val="24"/>
          <w:highlight w:val="none"/>
          <w:lang w:eastAsia="zh-CN" w:bidi="ar"/>
        </w:rPr>
        <w:t>供应商</w:t>
      </w:r>
      <w:r>
        <w:rPr>
          <w:rFonts w:hint="eastAsia" w:ascii="宋体" w:hAnsi="宋体" w:eastAsia="宋体" w:cs="宋体"/>
          <w:bCs/>
          <w:color w:val="auto"/>
          <w:kern w:val="0"/>
          <w:sz w:val="24"/>
          <w:szCs w:val="24"/>
          <w:highlight w:val="none"/>
          <w:lang w:bidi="ar"/>
        </w:rPr>
        <w:t>、法定代表人及其项目经理（建造师）是否存在上述要求查询的失信行为进行网上核查；若核查结果与</w:t>
      </w:r>
      <w:r>
        <w:rPr>
          <w:rFonts w:hint="eastAsia" w:ascii="宋体" w:hAnsi="宋体" w:eastAsia="宋体" w:cs="宋体"/>
          <w:bCs/>
          <w:color w:val="auto"/>
          <w:kern w:val="0"/>
          <w:sz w:val="24"/>
          <w:szCs w:val="24"/>
          <w:highlight w:val="none"/>
          <w:lang w:eastAsia="zh-CN" w:bidi="ar"/>
        </w:rPr>
        <w:t>供应商</w:t>
      </w:r>
      <w:r>
        <w:rPr>
          <w:rFonts w:hint="eastAsia" w:ascii="宋体" w:hAnsi="宋体" w:eastAsia="宋体" w:cs="宋体"/>
          <w:bCs/>
          <w:color w:val="auto"/>
          <w:kern w:val="0"/>
          <w:sz w:val="24"/>
          <w:szCs w:val="24"/>
          <w:highlight w:val="none"/>
          <w:lang w:bidi="ar"/>
        </w:rPr>
        <w:t>承诺不一致，则提交评标委员会取消其入围资格，依次进行替补，并对替补单位进行核查。评审结论以核查后入围的结果重新计算最终评标基准值。</w:t>
      </w:r>
    </w:p>
    <w:p w14:paraId="1511B3E2">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w:t>
      </w:r>
      <w:r>
        <w:rPr>
          <w:rFonts w:hint="eastAsia" w:ascii="宋体" w:hAnsi="宋体" w:eastAsia="宋体" w:cs="宋体"/>
          <w:bCs/>
          <w:color w:val="auto"/>
          <w:kern w:val="0"/>
          <w:sz w:val="24"/>
          <w:szCs w:val="24"/>
          <w:highlight w:val="none"/>
          <w:lang w:eastAsia="zh-CN" w:bidi="ar"/>
        </w:rPr>
        <w:t>供应商</w:t>
      </w:r>
      <w:r>
        <w:rPr>
          <w:rFonts w:hint="eastAsia" w:ascii="宋体" w:hAnsi="宋体" w:eastAsia="宋体" w:cs="宋体"/>
          <w:bCs/>
          <w:color w:val="auto"/>
          <w:kern w:val="0"/>
          <w:sz w:val="24"/>
          <w:szCs w:val="24"/>
          <w:highlight w:val="none"/>
          <w:lang w:bidi="ar"/>
        </w:rPr>
        <w:t>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值。</w:t>
      </w:r>
    </w:p>
    <w:p w14:paraId="53962C52">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3、项目单位及其委托的代理机构应当做好信用查询结果截图和记录留存。</w:t>
      </w:r>
    </w:p>
    <w:p w14:paraId="0DB8AF9A">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三、相关要求</w:t>
      </w:r>
    </w:p>
    <w:p w14:paraId="4E48D40C">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08267A9A">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7977ED5">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6700F453">
      <w:pPr>
        <w:widowControl/>
        <w:autoSpaceDE w:val="0"/>
        <w:spacing w:line="520" w:lineRule="exact"/>
        <w:ind w:firstLine="482" w:firstLineChars="200"/>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2、“信用中国”查询的严重失信行为判定依据为各行</w:t>
      </w:r>
      <w:r>
        <w:rPr>
          <w:rFonts w:hint="eastAsia" w:ascii="宋体" w:hAnsi="宋体" w:eastAsia="宋体" w:cs="宋体"/>
          <w:b/>
          <w:color w:val="auto"/>
          <w:kern w:val="0"/>
          <w:sz w:val="24"/>
          <w:szCs w:val="24"/>
          <w:highlight w:val="none"/>
          <w:lang w:eastAsia="zh-CN" w:bidi="ar"/>
        </w:rPr>
        <w:t>采购人</w:t>
      </w:r>
      <w:r>
        <w:rPr>
          <w:rFonts w:hint="eastAsia" w:ascii="宋体" w:hAnsi="宋体" w:eastAsia="宋体" w:cs="宋体"/>
          <w:b/>
          <w:color w:val="auto"/>
          <w:kern w:val="0"/>
          <w:sz w:val="24"/>
          <w:szCs w:val="24"/>
          <w:highlight w:val="none"/>
          <w:lang w:bidi="ar"/>
        </w:rPr>
        <w:t>管部门下发的联合惩戒文件中规定的行为（按附件2执行）。</w:t>
      </w:r>
    </w:p>
    <w:p w14:paraId="1FBF058B">
      <w:pPr>
        <w:widowControl/>
        <w:autoSpaceDE w:val="0"/>
        <w:spacing w:line="520" w:lineRule="exact"/>
        <w:ind w:firstLine="480" w:firstLineChars="200"/>
        <w:textAlignment w:val="baseline"/>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bidi="ar"/>
        </w:rPr>
        <w:t>3、资格预审的项目以递交资格预审申请文件截止时间查询为准；资格后审的项目以递交投标文件截止时间查询为准。</w:t>
      </w:r>
    </w:p>
    <w:p w14:paraId="72948349">
      <w:pPr>
        <w:spacing w:line="44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14157E45">
      <w:pPr>
        <w:pStyle w:val="24"/>
        <w:ind w:firstLine="420"/>
        <w:rPr>
          <w:color w:val="auto"/>
          <w:highlight w:val="none"/>
        </w:rPr>
      </w:pPr>
      <w:r>
        <w:rPr>
          <w:rFonts w:hint="eastAsia"/>
          <w:color w:val="auto"/>
          <w:highlight w:val="none"/>
        </w:rPr>
        <w:t xml:space="preserve"> </w:t>
      </w:r>
    </w:p>
    <w:p w14:paraId="02CCF17F">
      <w:pPr>
        <w:spacing w:line="44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br w:type="page"/>
      </w:r>
      <w:r>
        <w:rPr>
          <w:rFonts w:hint="eastAsia" w:ascii="宋体" w:hAnsi="宋体" w:eastAsia="宋体" w:cs="宋体"/>
          <w:b/>
          <w:color w:val="auto"/>
          <w:sz w:val="24"/>
          <w:szCs w:val="24"/>
          <w:highlight w:val="none"/>
          <w:lang w:bidi="ar"/>
        </w:rPr>
        <w:t>附件</w:t>
      </w:r>
      <w:r>
        <w:rPr>
          <w:rFonts w:ascii="Times New Roman" w:hAnsi="Times New Roman" w:eastAsia="宋体" w:cs="Times New Roman"/>
          <w:b/>
          <w:color w:val="auto"/>
          <w:sz w:val="24"/>
          <w:szCs w:val="24"/>
          <w:highlight w:val="none"/>
          <w:lang w:bidi="ar"/>
        </w:rPr>
        <w:t>2</w:t>
      </w:r>
    </w:p>
    <w:p w14:paraId="3F4D5FC8">
      <w:pPr>
        <w:spacing w:line="44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“信用中国”查询的严重失信行为类别及判定依据</w:t>
      </w:r>
    </w:p>
    <w:p w14:paraId="7366A01E">
      <w:pPr>
        <w:spacing w:line="44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0F88CF79">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“信用中国”查询的严重失信行为判定依据为各行</w:t>
      </w:r>
      <w:r>
        <w:rPr>
          <w:rFonts w:hint="eastAsia" w:ascii="宋体" w:hAnsi="宋体" w:eastAsia="宋体" w:cs="宋体"/>
          <w:color w:val="auto"/>
          <w:kern w:val="0"/>
          <w:sz w:val="24"/>
          <w:szCs w:val="24"/>
          <w:highlight w:val="none"/>
          <w:lang w:eastAsia="zh-CN" w:bidi="ar"/>
        </w:rPr>
        <w:t>采购人</w:t>
      </w:r>
      <w:r>
        <w:rPr>
          <w:rFonts w:hint="eastAsia" w:ascii="宋体" w:hAnsi="宋体" w:eastAsia="宋体" w:cs="宋体"/>
          <w:color w:val="auto"/>
          <w:kern w:val="0"/>
          <w:sz w:val="24"/>
          <w:szCs w:val="24"/>
          <w:highlight w:val="none"/>
          <w:lang w:bidi="ar"/>
        </w:rPr>
        <w:t>管部门下发的联合惩戒文件中规定的行为。下面将部分类别的严重失信行为列举如下：</w:t>
      </w:r>
    </w:p>
    <w:p w14:paraId="50CF92B8">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r>
        <w:rPr>
          <w:rFonts w:hint="eastAsia" w:ascii="宋体" w:hAnsi="宋体" w:eastAsia="宋体" w:cs="Times New Roman"/>
          <w:b/>
          <w:bCs/>
          <w:color w:val="auto"/>
          <w:kern w:val="0"/>
          <w:sz w:val="24"/>
          <w:szCs w:val="24"/>
          <w:highlight w:val="none"/>
          <w:lang w:bidi="ar"/>
        </w:rPr>
        <w:t xml:space="preserve"> </w:t>
      </w:r>
    </w:p>
    <w:p w14:paraId="60690A44">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r>
        <w:rPr>
          <w:rFonts w:hint="eastAsia" w:ascii="宋体" w:hAnsi="宋体" w:eastAsia="宋体" w:cs="宋体"/>
          <w:b/>
          <w:bCs/>
          <w:color w:val="auto"/>
          <w:kern w:val="0"/>
          <w:sz w:val="24"/>
          <w:szCs w:val="24"/>
          <w:highlight w:val="none"/>
          <w:lang w:bidi="ar"/>
        </w:rPr>
        <w:t>一、安全生产领域严重失信行为：</w:t>
      </w:r>
    </w:p>
    <w:p w14:paraId="0A1CABEE">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（一）发生较大及以上生产安全责任事故，或1年内累计发生3起及以上造成人员死亡的一般生产安全责任事故的；</w:t>
      </w:r>
    </w:p>
    <w:p w14:paraId="0076FAF0">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（二）未按规定取得安全生产许可，擅自开展生产经营建设活动的；</w:t>
      </w:r>
    </w:p>
    <w:p w14:paraId="06D6E469">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（三）发现重大生产安全事故隐患，或职业病危害严重超标，不及时整改，仍组织从业人员冒险作业的；</w:t>
      </w:r>
    </w:p>
    <w:p w14:paraId="63FF83B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（四）采取隐蔽、欺骗或阻碍等方式逃避、对抗安全监管监察的;</w:t>
      </w:r>
    </w:p>
    <w:p w14:paraId="2F47130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（五）被责令停产停业整顿，仍然从事生产经营建设活动的；</w:t>
      </w:r>
    </w:p>
    <w:p w14:paraId="34883790">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（六）瞒报、谎报、迟报生产安全事故的；</w:t>
      </w:r>
    </w:p>
    <w:p w14:paraId="43A8B0A5">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（七）矿山、危险化学品、金属冶炼等高危行业建设项目安全设施未经验收合格即投入生产和使用的；</w:t>
      </w:r>
    </w:p>
    <w:p w14:paraId="23B139C5">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（八）矿山生产经营单位存在超层越界开采、以探代采行为的；</w:t>
      </w:r>
    </w:p>
    <w:p w14:paraId="3079C4B2">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（九）发生事故后，故意破坏事故现场，伪造有关证据资料，妨碍、对抗事故调查，或主要负责人逃逸的；</w:t>
      </w:r>
    </w:p>
    <w:p w14:paraId="0599730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（十）安全生产和职业健康技术服务机构出具虚假报告或证明，违规转让或出借资质的。</w:t>
      </w:r>
    </w:p>
    <w:p w14:paraId="0A4D2467">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依据：《对安全生产领域失信行为开展联合惩戒的实施办法》（安监总办〔2017〕49号）第二条</w:t>
      </w:r>
    </w:p>
    <w:p w14:paraId="7BFB0C0E">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r>
        <w:rPr>
          <w:rFonts w:hint="eastAsia" w:ascii="宋体" w:hAnsi="宋体" w:eastAsia="宋体" w:cs="Times New Roman"/>
          <w:b/>
          <w:bCs/>
          <w:color w:val="auto"/>
          <w:kern w:val="0"/>
          <w:sz w:val="24"/>
          <w:szCs w:val="24"/>
          <w:highlight w:val="none"/>
          <w:lang w:bidi="ar"/>
        </w:rPr>
        <w:t xml:space="preserve"> </w:t>
      </w:r>
    </w:p>
    <w:p w14:paraId="597B7222">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r>
        <w:rPr>
          <w:rFonts w:hint="eastAsia" w:ascii="宋体" w:hAnsi="宋体" w:eastAsia="宋体" w:cs="宋体"/>
          <w:b/>
          <w:bCs/>
          <w:color w:val="auto"/>
          <w:kern w:val="0"/>
          <w:sz w:val="24"/>
          <w:szCs w:val="24"/>
          <w:highlight w:val="none"/>
          <w:lang w:bidi="ar"/>
        </w:rPr>
        <w:t>二、环境保护领域严重失信行为：</w:t>
      </w:r>
    </w:p>
    <w:p w14:paraId="7710F0AE">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（一）因为环境违法构成环境犯罪的；</w:t>
      </w:r>
    </w:p>
    <w:p w14:paraId="10253F1E">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（二）建设项目环境影响评价文件未按规定通过审批，擅自开工建设的；</w:t>
      </w:r>
    </w:p>
    <w:p w14:paraId="36A7DAAD">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（三）建设项目环保设施未建成、环保措施未落实、未通过竣工环保验收或者验收不合格，主体工程正式投入生产或者使用的；</w:t>
      </w:r>
    </w:p>
    <w:p w14:paraId="29E591FD">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（四）建设项目性质、规模、地点、采用的生产工艺或者防治污染、防止生态破坏的措施发生重大变动，未重新报批环境影响评价文件，擅自投入生产或者使用的；</w:t>
      </w:r>
    </w:p>
    <w:p w14:paraId="29846EB7">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（五）主要污染物排放总量超过控制指标的；</w:t>
      </w:r>
    </w:p>
    <w:p w14:paraId="5AFF60A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（六）私设暗管或者利用渗井、渗坑、裂隙、溶洞等排放、倾倒、处置水污染物，或者通过私设旁路排放大气污染物的；</w:t>
      </w:r>
    </w:p>
    <w:p w14:paraId="145C9F60">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（七）非法排放、倾倒、处置危险废物，或者向无经营许可证或者超出经营许可范围的单位或个人提供或者委托其收集、贮存、利用、处置危险废物的；</w:t>
      </w:r>
    </w:p>
    <w:p w14:paraId="7CAC717B">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（八）环境违法行为造成集中式生活饮用水水源取水中断的；</w:t>
      </w:r>
    </w:p>
    <w:p w14:paraId="4721BB6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（九）环境违法行为对生活饮用水水源保护区、自然保护区、国家重点生态功能区、风景名胜区、居住功能区、基本农田保护区等环境敏感区造成重大不利影响的；</w:t>
      </w:r>
    </w:p>
    <w:p w14:paraId="3E7CCB71">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（十）违法从事自然资源开发、交通基础设施建设，以及其他开发建设活动，造成严重生态破坏的；</w:t>
      </w:r>
    </w:p>
    <w:p w14:paraId="1859ADF8">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（十一）发生较大及以上突发环境事件的；</w:t>
      </w:r>
    </w:p>
    <w:p w14:paraId="2F78FA80">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（十二）被环保部门挂牌督办，整改逾期未完成的；</w:t>
      </w:r>
    </w:p>
    <w:p w14:paraId="1C9E4A11">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（十三）以暴力、威胁等方式拒绝、阻挠环保部门工作人员现场检查的；</w:t>
      </w:r>
    </w:p>
    <w:p w14:paraId="632CA605">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（十四）违反重污染天气应急预案有关规定，对重污染天气响应不力的。</w:t>
      </w:r>
    </w:p>
    <w:p w14:paraId="56F45E7A">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依据：《关于对环境保护领域失信生产经营单位及其有关人员开展联合惩戒的合作备忘录》、《企业环境信用评价办法（试行）》（环发〔2013〕150号）</w:t>
      </w:r>
    </w:p>
    <w:p w14:paraId="06D39494">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r>
        <w:rPr>
          <w:rFonts w:hint="eastAsia" w:ascii="宋体" w:hAnsi="宋体" w:eastAsia="宋体" w:cs="Times New Roman"/>
          <w:b/>
          <w:bCs/>
          <w:color w:val="auto"/>
          <w:kern w:val="0"/>
          <w:sz w:val="24"/>
          <w:szCs w:val="24"/>
          <w:highlight w:val="none"/>
          <w:lang w:bidi="ar"/>
        </w:rPr>
        <w:t xml:space="preserve"> </w:t>
      </w:r>
    </w:p>
    <w:p w14:paraId="2E9A90AF">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r>
        <w:rPr>
          <w:rFonts w:hint="eastAsia" w:ascii="宋体" w:hAnsi="宋体" w:eastAsia="宋体" w:cs="宋体"/>
          <w:b/>
          <w:bCs/>
          <w:color w:val="auto"/>
          <w:kern w:val="0"/>
          <w:sz w:val="24"/>
          <w:szCs w:val="24"/>
          <w:highlight w:val="none"/>
          <w:lang w:bidi="ar"/>
        </w:rPr>
        <w:t>三、公共资源交易领域严重失信行为</w:t>
      </w:r>
    </w:p>
    <w:p w14:paraId="310E35A2">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（一）违反法律规定，必须进行招标的项目而不招标的，将必须进行招标的项目化整为零或者以其他任何方式规避招标的；</w:t>
      </w:r>
      <w:r>
        <w:rPr>
          <w:rFonts w:hint="eastAsia" w:ascii="宋体" w:hAnsi="宋体" w:eastAsia="宋体" w:cs="Times New Roman"/>
          <w:color w:val="auto"/>
          <w:kern w:val="0"/>
          <w:sz w:val="24"/>
          <w:szCs w:val="24"/>
          <w:highlight w:val="none"/>
          <w:lang w:bidi="ar"/>
        </w:rPr>
        <w:t xml:space="preserve"> </w:t>
      </w:r>
    </w:p>
    <w:p w14:paraId="22AD5149">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（二）招标代理机构违反法律规定，泄露应当保密的与招标投标活动有关的情况和资料的，或者与</w:t>
      </w:r>
      <w:r>
        <w:rPr>
          <w:rFonts w:hint="eastAsia" w:ascii="宋体" w:hAnsi="宋体" w:eastAsia="宋体" w:cs="宋体"/>
          <w:color w:val="auto"/>
          <w:kern w:val="0"/>
          <w:sz w:val="24"/>
          <w:szCs w:val="24"/>
          <w:highlight w:val="none"/>
          <w:lang w:eastAsia="zh-CN" w:bidi="ar"/>
        </w:rPr>
        <w:t>采购人</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eastAsia="zh-CN" w:bidi="ar"/>
        </w:rPr>
        <w:t>供应商</w:t>
      </w:r>
      <w:r>
        <w:rPr>
          <w:rFonts w:hint="eastAsia" w:ascii="宋体" w:hAnsi="宋体" w:eastAsia="宋体" w:cs="宋体"/>
          <w:color w:val="auto"/>
          <w:kern w:val="0"/>
          <w:sz w:val="24"/>
          <w:szCs w:val="24"/>
          <w:highlight w:val="none"/>
          <w:lang w:bidi="ar"/>
        </w:rPr>
        <w:t>串通损害国家利益、社会公共利益或者他人合法权益的；</w:t>
      </w:r>
    </w:p>
    <w:p w14:paraId="7985548C">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（三）</w:t>
      </w:r>
      <w:r>
        <w:rPr>
          <w:rFonts w:hint="eastAsia" w:ascii="宋体" w:hAnsi="宋体" w:eastAsia="宋体" w:cs="宋体"/>
          <w:color w:val="auto"/>
          <w:kern w:val="0"/>
          <w:sz w:val="24"/>
          <w:szCs w:val="24"/>
          <w:highlight w:val="none"/>
          <w:lang w:eastAsia="zh-CN" w:bidi="ar"/>
        </w:rPr>
        <w:t>采购人</w:t>
      </w:r>
      <w:r>
        <w:rPr>
          <w:rFonts w:hint="eastAsia" w:ascii="宋体" w:hAnsi="宋体" w:eastAsia="宋体" w:cs="宋体"/>
          <w:color w:val="auto"/>
          <w:kern w:val="0"/>
          <w:sz w:val="24"/>
          <w:szCs w:val="24"/>
          <w:highlight w:val="none"/>
          <w:lang w:bidi="ar"/>
        </w:rPr>
        <w:t>以不合理的条件限制或者排斥潜在</w:t>
      </w:r>
      <w:r>
        <w:rPr>
          <w:rFonts w:hint="eastAsia" w:ascii="宋体" w:hAnsi="宋体" w:eastAsia="宋体" w:cs="宋体"/>
          <w:color w:val="auto"/>
          <w:kern w:val="0"/>
          <w:sz w:val="24"/>
          <w:szCs w:val="24"/>
          <w:highlight w:val="none"/>
          <w:lang w:eastAsia="zh-CN" w:bidi="ar"/>
        </w:rPr>
        <w:t>供应商</w:t>
      </w:r>
      <w:r>
        <w:rPr>
          <w:rFonts w:hint="eastAsia" w:ascii="宋体" w:hAnsi="宋体" w:eastAsia="宋体" w:cs="宋体"/>
          <w:color w:val="auto"/>
          <w:kern w:val="0"/>
          <w:sz w:val="24"/>
          <w:szCs w:val="24"/>
          <w:highlight w:val="none"/>
          <w:lang w:bidi="ar"/>
        </w:rPr>
        <w:t>的，对潜在</w:t>
      </w:r>
      <w:r>
        <w:rPr>
          <w:rFonts w:hint="eastAsia" w:ascii="宋体" w:hAnsi="宋体" w:eastAsia="宋体" w:cs="宋体"/>
          <w:color w:val="auto"/>
          <w:kern w:val="0"/>
          <w:sz w:val="24"/>
          <w:szCs w:val="24"/>
          <w:highlight w:val="none"/>
          <w:lang w:eastAsia="zh-CN" w:bidi="ar"/>
        </w:rPr>
        <w:t>供应商</w:t>
      </w:r>
      <w:r>
        <w:rPr>
          <w:rFonts w:hint="eastAsia" w:ascii="宋体" w:hAnsi="宋体" w:eastAsia="宋体" w:cs="宋体"/>
          <w:color w:val="auto"/>
          <w:kern w:val="0"/>
          <w:sz w:val="24"/>
          <w:szCs w:val="24"/>
          <w:highlight w:val="none"/>
          <w:lang w:bidi="ar"/>
        </w:rPr>
        <w:t>实行歧视待遇的，强制要求</w:t>
      </w:r>
      <w:r>
        <w:rPr>
          <w:rFonts w:hint="eastAsia" w:ascii="宋体" w:hAnsi="宋体" w:eastAsia="宋体" w:cs="宋体"/>
          <w:color w:val="auto"/>
          <w:kern w:val="0"/>
          <w:sz w:val="24"/>
          <w:szCs w:val="24"/>
          <w:highlight w:val="none"/>
          <w:lang w:eastAsia="zh-CN" w:bidi="ar"/>
        </w:rPr>
        <w:t>供应商</w:t>
      </w:r>
      <w:r>
        <w:rPr>
          <w:rFonts w:hint="eastAsia" w:ascii="宋体" w:hAnsi="宋体" w:eastAsia="宋体" w:cs="宋体"/>
          <w:color w:val="auto"/>
          <w:kern w:val="0"/>
          <w:sz w:val="24"/>
          <w:szCs w:val="24"/>
          <w:highlight w:val="none"/>
          <w:lang w:bidi="ar"/>
        </w:rPr>
        <w:t>组成联合体共同</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投标的，或者限制</w:t>
      </w:r>
      <w:r>
        <w:rPr>
          <w:rFonts w:hint="eastAsia" w:ascii="宋体" w:hAnsi="宋体" w:eastAsia="宋体" w:cs="宋体"/>
          <w:color w:val="auto"/>
          <w:kern w:val="0"/>
          <w:sz w:val="24"/>
          <w:szCs w:val="24"/>
          <w:highlight w:val="none"/>
          <w:lang w:eastAsia="zh-CN" w:bidi="ar"/>
        </w:rPr>
        <w:t>供应商</w:t>
      </w:r>
      <w:r>
        <w:rPr>
          <w:rFonts w:hint="eastAsia" w:ascii="宋体" w:hAnsi="宋体" w:eastAsia="宋体" w:cs="宋体"/>
          <w:color w:val="auto"/>
          <w:kern w:val="0"/>
          <w:sz w:val="24"/>
          <w:szCs w:val="24"/>
          <w:highlight w:val="none"/>
          <w:lang w:bidi="ar"/>
        </w:rPr>
        <w:t>之间竞争的；</w:t>
      </w:r>
    </w:p>
    <w:p w14:paraId="3143F65A">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（四）依法必须进行招标的项目的</w:t>
      </w:r>
      <w:r>
        <w:rPr>
          <w:rFonts w:hint="eastAsia" w:ascii="宋体" w:hAnsi="宋体" w:eastAsia="宋体" w:cs="宋体"/>
          <w:color w:val="auto"/>
          <w:kern w:val="0"/>
          <w:sz w:val="24"/>
          <w:szCs w:val="24"/>
          <w:highlight w:val="none"/>
          <w:lang w:eastAsia="zh-CN" w:bidi="ar"/>
        </w:rPr>
        <w:t>采购人</w:t>
      </w:r>
      <w:r>
        <w:rPr>
          <w:rFonts w:hint="eastAsia" w:ascii="宋体" w:hAnsi="宋体" w:eastAsia="宋体" w:cs="宋体"/>
          <w:color w:val="auto"/>
          <w:kern w:val="0"/>
          <w:sz w:val="24"/>
          <w:szCs w:val="24"/>
          <w:highlight w:val="none"/>
          <w:lang w:bidi="ar"/>
        </w:rPr>
        <w:t>向他人透露已获取招标文件的潜在</w:t>
      </w:r>
      <w:r>
        <w:rPr>
          <w:rFonts w:hint="eastAsia" w:ascii="宋体" w:hAnsi="宋体" w:eastAsia="宋体" w:cs="宋体"/>
          <w:color w:val="auto"/>
          <w:kern w:val="0"/>
          <w:sz w:val="24"/>
          <w:szCs w:val="24"/>
          <w:highlight w:val="none"/>
          <w:lang w:eastAsia="zh-CN" w:bidi="ar"/>
        </w:rPr>
        <w:t>供应商</w:t>
      </w:r>
      <w:r>
        <w:rPr>
          <w:rFonts w:hint="eastAsia" w:ascii="宋体" w:hAnsi="宋体" w:eastAsia="宋体" w:cs="宋体"/>
          <w:color w:val="auto"/>
          <w:kern w:val="0"/>
          <w:sz w:val="24"/>
          <w:szCs w:val="24"/>
          <w:highlight w:val="none"/>
          <w:lang w:bidi="ar"/>
        </w:rPr>
        <w:t>的名称、数量或者可能影响公平竞争的有</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关招标投标的其他情况的，或者泄露标底的；</w:t>
      </w:r>
    </w:p>
    <w:p w14:paraId="03D3ECDC">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（五）</w:t>
      </w:r>
      <w:r>
        <w:rPr>
          <w:rFonts w:hint="eastAsia" w:ascii="宋体" w:hAnsi="宋体" w:eastAsia="宋体" w:cs="宋体"/>
          <w:color w:val="auto"/>
          <w:kern w:val="0"/>
          <w:sz w:val="24"/>
          <w:szCs w:val="24"/>
          <w:highlight w:val="none"/>
          <w:lang w:eastAsia="zh-CN" w:bidi="ar"/>
        </w:rPr>
        <w:t>供应商</w:t>
      </w:r>
      <w:r>
        <w:rPr>
          <w:rFonts w:hint="eastAsia" w:ascii="宋体" w:hAnsi="宋体" w:eastAsia="宋体" w:cs="宋体"/>
          <w:color w:val="auto"/>
          <w:kern w:val="0"/>
          <w:sz w:val="24"/>
          <w:szCs w:val="24"/>
          <w:highlight w:val="none"/>
          <w:lang w:bidi="ar"/>
        </w:rPr>
        <w:t>相互串通投标或者与</w:t>
      </w:r>
      <w:r>
        <w:rPr>
          <w:rFonts w:hint="eastAsia" w:ascii="宋体" w:hAnsi="宋体" w:eastAsia="宋体" w:cs="宋体"/>
          <w:color w:val="auto"/>
          <w:kern w:val="0"/>
          <w:sz w:val="24"/>
          <w:szCs w:val="24"/>
          <w:highlight w:val="none"/>
          <w:lang w:eastAsia="zh-CN" w:bidi="ar"/>
        </w:rPr>
        <w:t>采购人</w:t>
      </w:r>
      <w:r>
        <w:rPr>
          <w:rFonts w:hint="eastAsia" w:ascii="宋体" w:hAnsi="宋体" w:eastAsia="宋体" w:cs="宋体"/>
          <w:color w:val="auto"/>
          <w:kern w:val="0"/>
          <w:sz w:val="24"/>
          <w:szCs w:val="24"/>
          <w:highlight w:val="none"/>
          <w:lang w:bidi="ar"/>
        </w:rPr>
        <w:t>串通投标的，</w:t>
      </w:r>
      <w:r>
        <w:rPr>
          <w:rFonts w:hint="eastAsia" w:ascii="宋体" w:hAnsi="宋体" w:eastAsia="宋体" w:cs="宋体"/>
          <w:color w:val="auto"/>
          <w:kern w:val="0"/>
          <w:sz w:val="24"/>
          <w:szCs w:val="24"/>
          <w:highlight w:val="none"/>
          <w:lang w:eastAsia="zh-CN" w:bidi="ar"/>
        </w:rPr>
        <w:t>供应商</w:t>
      </w:r>
      <w:r>
        <w:rPr>
          <w:rFonts w:hint="eastAsia" w:ascii="宋体" w:hAnsi="宋体" w:eastAsia="宋体" w:cs="宋体"/>
          <w:color w:val="auto"/>
          <w:kern w:val="0"/>
          <w:sz w:val="24"/>
          <w:szCs w:val="24"/>
          <w:highlight w:val="none"/>
          <w:lang w:bidi="ar"/>
        </w:rPr>
        <w:t>以向</w:t>
      </w:r>
      <w:r>
        <w:rPr>
          <w:rFonts w:hint="eastAsia" w:ascii="宋体" w:hAnsi="宋体" w:eastAsia="宋体" w:cs="宋体"/>
          <w:color w:val="auto"/>
          <w:kern w:val="0"/>
          <w:sz w:val="24"/>
          <w:szCs w:val="24"/>
          <w:highlight w:val="none"/>
          <w:lang w:eastAsia="zh-CN" w:bidi="ar"/>
        </w:rPr>
        <w:t>采购人</w:t>
      </w:r>
      <w:r>
        <w:rPr>
          <w:rFonts w:hint="eastAsia" w:ascii="宋体" w:hAnsi="宋体" w:eastAsia="宋体" w:cs="宋体"/>
          <w:color w:val="auto"/>
          <w:kern w:val="0"/>
          <w:sz w:val="24"/>
          <w:szCs w:val="24"/>
          <w:highlight w:val="none"/>
          <w:lang w:bidi="ar"/>
        </w:rPr>
        <w:t>或者评标委员会成员行贿的手段谋取中标的；</w:t>
      </w:r>
      <w:r>
        <w:rPr>
          <w:rFonts w:hint="eastAsia" w:ascii="宋体" w:hAnsi="宋体" w:eastAsia="宋体" w:cs="Times New Roman"/>
          <w:color w:val="auto"/>
          <w:kern w:val="0"/>
          <w:sz w:val="24"/>
          <w:szCs w:val="24"/>
          <w:highlight w:val="none"/>
          <w:lang w:bidi="ar"/>
        </w:rPr>
        <w:t xml:space="preserve"> </w:t>
      </w:r>
    </w:p>
    <w:p w14:paraId="1D491FD2">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（六）</w:t>
      </w:r>
      <w:r>
        <w:rPr>
          <w:rFonts w:hint="eastAsia" w:ascii="宋体" w:hAnsi="宋体" w:eastAsia="宋体" w:cs="宋体"/>
          <w:color w:val="auto"/>
          <w:kern w:val="0"/>
          <w:sz w:val="24"/>
          <w:szCs w:val="24"/>
          <w:highlight w:val="none"/>
          <w:lang w:eastAsia="zh-CN" w:bidi="ar"/>
        </w:rPr>
        <w:t>供应商</w:t>
      </w:r>
      <w:r>
        <w:rPr>
          <w:rFonts w:hint="eastAsia" w:ascii="宋体" w:hAnsi="宋体" w:eastAsia="宋体" w:cs="宋体"/>
          <w:color w:val="auto"/>
          <w:kern w:val="0"/>
          <w:sz w:val="24"/>
          <w:szCs w:val="24"/>
          <w:highlight w:val="none"/>
          <w:lang w:bidi="ar"/>
        </w:rPr>
        <w:t>以他人名义投标或者以其他方式弄虚作假，骗取中标的；</w:t>
      </w:r>
    </w:p>
    <w:p w14:paraId="5A5FC198">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（七）依法必须进行招标的项目，</w:t>
      </w:r>
      <w:r>
        <w:rPr>
          <w:rFonts w:hint="eastAsia" w:ascii="宋体" w:hAnsi="宋体" w:eastAsia="宋体" w:cs="宋体"/>
          <w:color w:val="auto"/>
          <w:kern w:val="0"/>
          <w:sz w:val="24"/>
          <w:szCs w:val="24"/>
          <w:highlight w:val="none"/>
          <w:lang w:eastAsia="zh-CN" w:bidi="ar"/>
        </w:rPr>
        <w:t>采购人</w:t>
      </w:r>
      <w:r>
        <w:rPr>
          <w:rFonts w:hint="eastAsia" w:ascii="宋体" w:hAnsi="宋体" w:eastAsia="宋体" w:cs="宋体"/>
          <w:color w:val="auto"/>
          <w:kern w:val="0"/>
          <w:sz w:val="24"/>
          <w:szCs w:val="24"/>
          <w:highlight w:val="none"/>
          <w:lang w:bidi="ar"/>
        </w:rPr>
        <w:t>违反法律规定，与</w:t>
      </w:r>
      <w:r>
        <w:rPr>
          <w:rFonts w:hint="eastAsia" w:ascii="宋体" w:hAnsi="宋体" w:eastAsia="宋体" w:cs="宋体"/>
          <w:color w:val="auto"/>
          <w:kern w:val="0"/>
          <w:sz w:val="24"/>
          <w:szCs w:val="24"/>
          <w:highlight w:val="none"/>
          <w:lang w:eastAsia="zh-CN" w:bidi="ar"/>
        </w:rPr>
        <w:t>供应商</w:t>
      </w:r>
      <w:r>
        <w:rPr>
          <w:rFonts w:hint="eastAsia" w:ascii="宋体" w:hAnsi="宋体" w:eastAsia="宋体" w:cs="宋体"/>
          <w:color w:val="auto"/>
          <w:kern w:val="0"/>
          <w:sz w:val="24"/>
          <w:szCs w:val="24"/>
          <w:highlight w:val="none"/>
          <w:lang w:bidi="ar"/>
        </w:rPr>
        <w:t>就投标价格、投标方案等实质性内容进行谈判的；</w:t>
      </w:r>
    </w:p>
    <w:p w14:paraId="4579AED9">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（八）评标委员会成员收受</w:t>
      </w:r>
      <w:r>
        <w:rPr>
          <w:rFonts w:hint="eastAsia" w:ascii="宋体" w:hAnsi="宋体" w:eastAsia="宋体" w:cs="宋体"/>
          <w:color w:val="auto"/>
          <w:kern w:val="0"/>
          <w:sz w:val="24"/>
          <w:szCs w:val="24"/>
          <w:highlight w:val="none"/>
          <w:lang w:eastAsia="zh-CN" w:bidi="ar"/>
        </w:rPr>
        <w:t>供应商</w:t>
      </w:r>
      <w:r>
        <w:rPr>
          <w:rFonts w:hint="eastAsia" w:ascii="宋体" w:hAnsi="宋体" w:eastAsia="宋体" w:cs="宋体"/>
          <w:color w:val="auto"/>
          <w:kern w:val="0"/>
          <w:sz w:val="24"/>
          <w:szCs w:val="24"/>
          <w:highlight w:val="none"/>
          <w:lang w:bidi="ar"/>
        </w:rPr>
        <w:t>的财物或者其他好处的，评标委员会成员或者参加评标的有关工作人员向他人透露对投</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标文件的评审和比较、中标候选人的推荐以及与评标有关的其他</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情况的；</w:t>
      </w:r>
      <w:r>
        <w:rPr>
          <w:rFonts w:hint="eastAsia" w:ascii="宋体" w:hAnsi="宋体" w:eastAsia="宋体" w:cs="Times New Roman"/>
          <w:color w:val="auto"/>
          <w:kern w:val="0"/>
          <w:sz w:val="24"/>
          <w:szCs w:val="24"/>
          <w:highlight w:val="none"/>
          <w:lang w:bidi="ar"/>
        </w:rPr>
        <w:t xml:space="preserve"> </w:t>
      </w:r>
    </w:p>
    <w:p w14:paraId="795996A6">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（九）</w:t>
      </w:r>
      <w:r>
        <w:rPr>
          <w:rFonts w:hint="eastAsia" w:ascii="宋体" w:hAnsi="宋体" w:eastAsia="宋体" w:cs="宋体"/>
          <w:color w:val="auto"/>
          <w:kern w:val="0"/>
          <w:sz w:val="24"/>
          <w:szCs w:val="24"/>
          <w:highlight w:val="none"/>
          <w:lang w:eastAsia="zh-CN" w:bidi="ar"/>
        </w:rPr>
        <w:t>采购人</w:t>
      </w:r>
      <w:r>
        <w:rPr>
          <w:rFonts w:hint="eastAsia" w:ascii="宋体" w:hAnsi="宋体" w:eastAsia="宋体" w:cs="宋体"/>
          <w:color w:val="auto"/>
          <w:kern w:val="0"/>
          <w:sz w:val="24"/>
          <w:szCs w:val="24"/>
          <w:highlight w:val="none"/>
          <w:lang w:bidi="ar"/>
        </w:rPr>
        <w:t>在评标委员会依法推荐的中标候选人以外确定</w:t>
      </w:r>
      <w:r>
        <w:rPr>
          <w:rFonts w:hint="eastAsia" w:ascii="宋体" w:hAnsi="宋体" w:eastAsia="宋体" w:cs="宋体"/>
          <w:color w:val="auto"/>
          <w:kern w:val="0"/>
          <w:sz w:val="24"/>
          <w:szCs w:val="24"/>
          <w:highlight w:val="none"/>
          <w:lang w:eastAsia="zh-CN" w:bidi="ar"/>
        </w:rPr>
        <w:t>成交供应商</w:t>
      </w:r>
      <w:r>
        <w:rPr>
          <w:rFonts w:hint="eastAsia" w:ascii="宋体" w:hAnsi="宋体" w:eastAsia="宋体" w:cs="宋体"/>
          <w:color w:val="auto"/>
          <w:kern w:val="0"/>
          <w:sz w:val="24"/>
          <w:szCs w:val="24"/>
          <w:highlight w:val="none"/>
          <w:lang w:bidi="ar"/>
        </w:rPr>
        <w:t>的，依法必须进行招标的项目在所有投标被评标委员会否</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决后自行确定</w:t>
      </w:r>
      <w:r>
        <w:rPr>
          <w:rFonts w:hint="eastAsia" w:ascii="宋体" w:hAnsi="宋体" w:eastAsia="宋体" w:cs="宋体"/>
          <w:color w:val="auto"/>
          <w:kern w:val="0"/>
          <w:sz w:val="24"/>
          <w:szCs w:val="24"/>
          <w:highlight w:val="none"/>
          <w:lang w:eastAsia="zh-CN" w:bidi="ar"/>
        </w:rPr>
        <w:t>成交供应商</w:t>
      </w:r>
      <w:r>
        <w:rPr>
          <w:rFonts w:hint="eastAsia" w:ascii="宋体" w:hAnsi="宋体" w:eastAsia="宋体" w:cs="宋体"/>
          <w:color w:val="auto"/>
          <w:kern w:val="0"/>
          <w:sz w:val="24"/>
          <w:szCs w:val="24"/>
          <w:highlight w:val="none"/>
          <w:lang w:bidi="ar"/>
        </w:rPr>
        <w:t>的；</w:t>
      </w:r>
      <w:r>
        <w:rPr>
          <w:rFonts w:hint="eastAsia" w:ascii="宋体" w:hAnsi="宋体" w:eastAsia="宋体" w:cs="Times New Roman"/>
          <w:color w:val="auto"/>
          <w:kern w:val="0"/>
          <w:sz w:val="24"/>
          <w:szCs w:val="24"/>
          <w:highlight w:val="none"/>
          <w:lang w:bidi="ar"/>
        </w:rPr>
        <w:t xml:space="preserve"> </w:t>
      </w:r>
    </w:p>
    <w:p w14:paraId="447C11C3">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（十）</w:t>
      </w:r>
      <w:r>
        <w:rPr>
          <w:rFonts w:hint="eastAsia" w:ascii="宋体" w:hAnsi="宋体" w:eastAsia="宋体" w:cs="宋体"/>
          <w:color w:val="auto"/>
          <w:kern w:val="0"/>
          <w:sz w:val="24"/>
          <w:szCs w:val="24"/>
          <w:highlight w:val="none"/>
          <w:lang w:eastAsia="zh-CN" w:bidi="ar"/>
        </w:rPr>
        <w:t>成交供应商</w:t>
      </w:r>
      <w:r>
        <w:rPr>
          <w:rFonts w:hint="eastAsia" w:ascii="宋体" w:hAnsi="宋体" w:eastAsia="宋体" w:cs="宋体"/>
          <w:color w:val="auto"/>
          <w:kern w:val="0"/>
          <w:sz w:val="24"/>
          <w:szCs w:val="24"/>
          <w:highlight w:val="none"/>
          <w:lang w:bidi="ar"/>
        </w:rPr>
        <w:t>将中标项目转让给他人的，将中标项目肢解后分别转让给他人的，违反法律规定将中标项目的部分主体、关键</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性工作分包给他人的，或者分包人再次分包的；</w:t>
      </w:r>
      <w:r>
        <w:rPr>
          <w:rFonts w:hint="eastAsia" w:ascii="宋体" w:hAnsi="宋体" w:eastAsia="宋体" w:cs="Times New Roman"/>
          <w:color w:val="auto"/>
          <w:kern w:val="0"/>
          <w:sz w:val="24"/>
          <w:szCs w:val="24"/>
          <w:highlight w:val="none"/>
          <w:lang w:bidi="ar"/>
        </w:rPr>
        <w:t xml:space="preserve"> </w:t>
      </w:r>
    </w:p>
    <w:p w14:paraId="46E1EF63">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（十一）</w:t>
      </w:r>
      <w:r>
        <w:rPr>
          <w:rFonts w:hint="eastAsia" w:ascii="宋体" w:hAnsi="宋体" w:eastAsia="宋体" w:cs="宋体"/>
          <w:color w:val="auto"/>
          <w:kern w:val="0"/>
          <w:sz w:val="24"/>
          <w:szCs w:val="24"/>
          <w:highlight w:val="none"/>
          <w:lang w:eastAsia="zh-CN" w:bidi="ar"/>
        </w:rPr>
        <w:t>采购人</w:t>
      </w:r>
      <w:r>
        <w:rPr>
          <w:rFonts w:hint="eastAsia" w:ascii="宋体" w:hAnsi="宋体" w:eastAsia="宋体" w:cs="宋体"/>
          <w:color w:val="auto"/>
          <w:kern w:val="0"/>
          <w:sz w:val="24"/>
          <w:szCs w:val="24"/>
          <w:highlight w:val="none"/>
          <w:lang w:bidi="ar"/>
        </w:rPr>
        <w:t>与</w:t>
      </w:r>
      <w:r>
        <w:rPr>
          <w:rFonts w:hint="eastAsia" w:ascii="宋体" w:hAnsi="宋体" w:eastAsia="宋体" w:cs="宋体"/>
          <w:color w:val="auto"/>
          <w:kern w:val="0"/>
          <w:sz w:val="24"/>
          <w:szCs w:val="24"/>
          <w:highlight w:val="none"/>
          <w:lang w:eastAsia="zh-CN" w:bidi="ar"/>
        </w:rPr>
        <w:t>成交供应商</w:t>
      </w:r>
      <w:r>
        <w:rPr>
          <w:rFonts w:hint="eastAsia" w:ascii="宋体" w:hAnsi="宋体" w:eastAsia="宋体" w:cs="宋体"/>
          <w:color w:val="auto"/>
          <w:kern w:val="0"/>
          <w:sz w:val="24"/>
          <w:szCs w:val="24"/>
          <w:highlight w:val="none"/>
          <w:lang w:bidi="ar"/>
        </w:rPr>
        <w:t>不按照招标文件和</w:t>
      </w:r>
      <w:r>
        <w:rPr>
          <w:rFonts w:hint="eastAsia" w:ascii="宋体" w:hAnsi="宋体" w:eastAsia="宋体" w:cs="宋体"/>
          <w:color w:val="auto"/>
          <w:kern w:val="0"/>
          <w:sz w:val="24"/>
          <w:szCs w:val="24"/>
          <w:highlight w:val="none"/>
          <w:lang w:eastAsia="zh-CN" w:bidi="ar"/>
        </w:rPr>
        <w:t>成交供应商</w:t>
      </w:r>
      <w:r>
        <w:rPr>
          <w:rFonts w:hint="eastAsia" w:ascii="宋体" w:hAnsi="宋体" w:eastAsia="宋体" w:cs="宋体"/>
          <w:color w:val="auto"/>
          <w:kern w:val="0"/>
          <w:sz w:val="24"/>
          <w:szCs w:val="24"/>
          <w:highlight w:val="none"/>
          <w:lang w:bidi="ar"/>
        </w:rPr>
        <w:t>的投标文件订立合同的，或者</w:t>
      </w:r>
      <w:r>
        <w:rPr>
          <w:rFonts w:hint="eastAsia" w:ascii="宋体" w:hAnsi="宋体" w:eastAsia="宋体" w:cs="宋体"/>
          <w:color w:val="auto"/>
          <w:kern w:val="0"/>
          <w:sz w:val="24"/>
          <w:szCs w:val="24"/>
          <w:highlight w:val="none"/>
          <w:lang w:eastAsia="zh-CN" w:bidi="ar"/>
        </w:rPr>
        <w:t>采购人</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eastAsia="zh-CN" w:bidi="ar"/>
        </w:rPr>
        <w:t>成交供应商</w:t>
      </w:r>
      <w:r>
        <w:rPr>
          <w:rFonts w:hint="eastAsia" w:ascii="宋体" w:hAnsi="宋体" w:eastAsia="宋体" w:cs="宋体"/>
          <w:color w:val="auto"/>
          <w:kern w:val="0"/>
          <w:sz w:val="24"/>
          <w:szCs w:val="24"/>
          <w:highlight w:val="none"/>
          <w:lang w:bidi="ar"/>
        </w:rPr>
        <w:t>订立背离合同实质性内容的</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协议的；</w:t>
      </w:r>
      <w:r>
        <w:rPr>
          <w:rFonts w:hint="eastAsia" w:ascii="宋体" w:hAnsi="宋体" w:eastAsia="宋体" w:cs="Times New Roman"/>
          <w:color w:val="auto"/>
          <w:kern w:val="0"/>
          <w:sz w:val="24"/>
          <w:szCs w:val="24"/>
          <w:highlight w:val="none"/>
          <w:lang w:bidi="ar"/>
        </w:rPr>
        <w:t xml:space="preserve"> </w:t>
      </w:r>
    </w:p>
    <w:p w14:paraId="407040F8">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（十二）</w:t>
      </w:r>
      <w:r>
        <w:rPr>
          <w:rFonts w:hint="eastAsia" w:ascii="宋体" w:hAnsi="宋体" w:eastAsia="宋体" w:cs="宋体"/>
          <w:color w:val="auto"/>
          <w:kern w:val="0"/>
          <w:sz w:val="24"/>
          <w:szCs w:val="24"/>
          <w:highlight w:val="none"/>
          <w:lang w:eastAsia="zh-CN" w:bidi="ar"/>
        </w:rPr>
        <w:t>成交供应商</w:t>
      </w:r>
      <w:r>
        <w:rPr>
          <w:rFonts w:hint="eastAsia" w:ascii="宋体" w:hAnsi="宋体" w:eastAsia="宋体" w:cs="宋体"/>
          <w:color w:val="auto"/>
          <w:kern w:val="0"/>
          <w:sz w:val="24"/>
          <w:szCs w:val="24"/>
          <w:highlight w:val="none"/>
          <w:lang w:bidi="ar"/>
        </w:rPr>
        <w:t>不按照与</w:t>
      </w:r>
      <w:r>
        <w:rPr>
          <w:rFonts w:hint="eastAsia" w:ascii="宋体" w:hAnsi="宋体" w:eastAsia="宋体" w:cs="宋体"/>
          <w:color w:val="auto"/>
          <w:kern w:val="0"/>
          <w:sz w:val="24"/>
          <w:szCs w:val="24"/>
          <w:highlight w:val="none"/>
          <w:lang w:eastAsia="zh-CN" w:bidi="ar"/>
        </w:rPr>
        <w:t>采购人</w:t>
      </w:r>
      <w:r>
        <w:rPr>
          <w:rFonts w:hint="eastAsia" w:ascii="宋体" w:hAnsi="宋体" w:eastAsia="宋体" w:cs="宋体"/>
          <w:color w:val="auto"/>
          <w:kern w:val="0"/>
          <w:sz w:val="24"/>
          <w:szCs w:val="24"/>
          <w:highlight w:val="none"/>
          <w:lang w:bidi="ar"/>
        </w:rPr>
        <w:t>订立的合同履行义务，情节严重的；</w:t>
      </w:r>
      <w:r>
        <w:rPr>
          <w:rFonts w:hint="eastAsia" w:ascii="宋体" w:hAnsi="宋体" w:eastAsia="宋体" w:cs="Times New Roman"/>
          <w:color w:val="auto"/>
          <w:kern w:val="0"/>
          <w:sz w:val="24"/>
          <w:szCs w:val="24"/>
          <w:highlight w:val="none"/>
          <w:lang w:bidi="ar"/>
        </w:rPr>
        <w:t xml:space="preserve"> </w:t>
      </w:r>
    </w:p>
    <w:p w14:paraId="0DA28D50">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（十三）采购人、采购代理机构存在应当采用公开招标方式而擅自采用其他方式采购，擅自提高采购标准，以不合理的条件</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对供应商实行差别待遇或者歧视待遇，在招标采购过程中与投标</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人进行协商谈判，中标、成交通知书发出后不与中标、成交供应商签订采购合同，或者拒绝有关部门依法实施监督检查等情形的；</w:t>
      </w:r>
    </w:p>
    <w:p w14:paraId="5D88C12D">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（十四）采购人、采购代理机构及其工作人员存在与供应商</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或者采购代理机构恶意串通，在采购过程中接受贿赂或者获取其</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他不正当利益，在有关部门依法实施的监督检查中提供虚假情况，</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或者开标前泄露标底等情形的；</w:t>
      </w:r>
    </w:p>
    <w:p w14:paraId="232D90B7">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（十五）采购人对应当实行集中采购的政府采购项目，不委托集中采购机构实行集中采购的；</w:t>
      </w:r>
      <w:r>
        <w:rPr>
          <w:rFonts w:hint="eastAsia" w:ascii="宋体" w:hAnsi="宋体" w:eastAsia="宋体" w:cs="Times New Roman"/>
          <w:color w:val="auto"/>
          <w:kern w:val="0"/>
          <w:sz w:val="24"/>
          <w:szCs w:val="24"/>
          <w:highlight w:val="none"/>
          <w:lang w:bidi="ar"/>
        </w:rPr>
        <w:t xml:space="preserve"> </w:t>
      </w:r>
    </w:p>
    <w:p w14:paraId="7789F84B">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（十六）采购人、采购代理机构违反法律规定隐匿、销毁应当保存的采购文件或者伪造、变造采购文件的；</w:t>
      </w:r>
      <w:r>
        <w:rPr>
          <w:rFonts w:hint="eastAsia" w:ascii="宋体" w:hAnsi="宋体" w:eastAsia="宋体" w:cs="Times New Roman"/>
          <w:color w:val="auto"/>
          <w:kern w:val="0"/>
          <w:sz w:val="24"/>
          <w:szCs w:val="24"/>
          <w:highlight w:val="none"/>
          <w:lang w:bidi="ar"/>
        </w:rPr>
        <w:t xml:space="preserve"> </w:t>
      </w:r>
    </w:p>
    <w:p w14:paraId="11581712">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（十七）供应商存在提供虚假材料谋取中标、成交，采取不正当手段诋毁、排挤其他供应商，与采购人、其他供应商或者采</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购代理机构恶意串通，向采购人、采购代理机构行贿或者提供其</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他不正当利益，在招标采购过程中与采购人进行协商谈判，或拒</w:t>
      </w:r>
      <w:r>
        <w:rPr>
          <w:rFonts w:hint="eastAsia" w:ascii="宋体" w:hAnsi="宋体" w:eastAsia="宋体" w:cs="Times New Roman"/>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绝有关部门监督检查或者提供虚假情况等情形的；</w:t>
      </w:r>
      <w:r>
        <w:rPr>
          <w:rFonts w:hint="eastAsia" w:ascii="宋体" w:hAnsi="宋体" w:eastAsia="宋体" w:cs="Times New Roman"/>
          <w:color w:val="auto"/>
          <w:kern w:val="0"/>
          <w:sz w:val="24"/>
          <w:szCs w:val="24"/>
          <w:highlight w:val="none"/>
          <w:lang w:bidi="ar"/>
        </w:rPr>
        <w:t xml:space="preserve"> </w:t>
      </w:r>
    </w:p>
    <w:p w14:paraId="3C5EDDF7">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（十八）疫苗生产企业向县级疾病预防控制机构以外的单位或者个人销售第二类疫苗的；</w:t>
      </w:r>
      <w:r>
        <w:rPr>
          <w:rFonts w:hint="eastAsia" w:ascii="宋体" w:hAnsi="宋体" w:eastAsia="宋体" w:cs="Times New Roman"/>
          <w:color w:val="auto"/>
          <w:kern w:val="0"/>
          <w:sz w:val="24"/>
          <w:szCs w:val="24"/>
          <w:highlight w:val="none"/>
          <w:lang w:bidi="ar"/>
        </w:rPr>
        <w:t xml:space="preserve"> </w:t>
      </w:r>
    </w:p>
    <w:p w14:paraId="78A0E58D">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（十九）存在其他违反公共资源交易法律法规行为的。</w:t>
      </w:r>
    </w:p>
    <w:p w14:paraId="47E7F53A">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依据：《关于对公共资源交易领域严重失信主体开展联合惩戒的备忘录》（发改法规〔2018〕457号）</w:t>
      </w:r>
    </w:p>
    <w:p w14:paraId="75583E2F">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5373FAF1">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四、社会保险领域严重失信行为</w:t>
      </w:r>
    </w:p>
    <w:p w14:paraId="42B21B5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（一）用人单位未按相关规定参加社会保险且拒不整改的； </w:t>
      </w:r>
    </w:p>
    <w:p w14:paraId="4B6A9D08">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（二）用人单位未如实申报社会保险缴费基数且拒不整改的； </w:t>
      </w:r>
    </w:p>
    <w:p w14:paraId="271122C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（三）应缴纳社会保险费却拒不缴纳的； </w:t>
      </w:r>
    </w:p>
    <w:p w14:paraId="2D0A058B">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（四）隐匿、转移、侵占、挪用社会保险费款、基金或者违规投资运营的；</w:t>
      </w:r>
    </w:p>
    <w:p w14:paraId="231A04E9">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（五）以欺诈、伪造证明材料或者其他手段参加、申报社会保险和骗取社会保险基金支出或社会保险待遇的； </w:t>
      </w:r>
    </w:p>
    <w:p w14:paraId="7ADA6CE1">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（六）非法获取、出售或变相交易社会保险个人权益数据的； </w:t>
      </w:r>
    </w:p>
    <w:p w14:paraId="524E6A2C">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（七）社会保险服务机构违反服务协议或相关规定的； </w:t>
      </w:r>
    </w:p>
    <w:p w14:paraId="1C28E5E8">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3CA242D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（九）其他违反法律法规规定的。</w:t>
      </w:r>
    </w:p>
    <w:p w14:paraId="0F5102BE">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依据：《关于对社会保险领域严重失信企业及其有关人员实施联合惩戒的合作备忘录》（发改财金〔2018〕1704号）</w:t>
      </w:r>
    </w:p>
    <w:p w14:paraId="72B5023A">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412F22F3">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五、建筑市场领域严重失信行为</w:t>
      </w:r>
    </w:p>
    <w:p w14:paraId="5B51D66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（一）利用虚假材料、以欺骗手段取得企业资质的；</w:t>
      </w:r>
    </w:p>
    <w:p w14:paraId="231FEC99">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（二）发生转包、出借资质，受到行政处罚的；</w:t>
      </w:r>
    </w:p>
    <w:p w14:paraId="54E43CC6">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24C9F99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（四）经法院判决或仲裁机构裁决，认定为拖欠工程款,且拒不履行生效法律文书确定的义务的。</w:t>
      </w:r>
    </w:p>
    <w:p w14:paraId="70998E9C">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各级住房城乡建设主管部门应当参照建筑市场主体“黑名单”，对被人力资源社会保障行政部门列入拖欠农民工工资“黑名单”的建筑市场各方主体加强监管。</w:t>
      </w:r>
    </w:p>
    <w:p w14:paraId="5FFE2494">
      <w:pPr>
        <w:widowControl/>
        <w:autoSpaceDE w:val="0"/>
        <w:spacing w:line="480" w:lineRule="exact"/>
        <w:ind w:firstLine="482" w:firstLineChars="200"/>
        <w:jc w:val="left"/>
        <w:textAlignment w:val="baseline"/>
        <w:rPr>
          <w:rFonts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bidi="ar"/>
        </w:rPr>
        <w:t>依据：《建筑市场信用管理暂行办法》（建市〔2017〕241号）</w:t>
      </w:r>
    </w:p>
    <w:p w14:paraId="17D41A42">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669E798E">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六、政府采购严重失信行为</w:t>
      </w:r>
    </w:p>
    <w:p w14:paraId="46285865">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供应商、采购代理机构在三年内受到财政部门作出下列情形之一的行政处罚，列入政府采购严重违法失信行为记录名单。</w:t>
      </w:r>
    </w:p>
    <w:p w14:paraId="00EBE42F">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（一）三万元以上罚款；</w:t>
      </w:r>
    </w:p>
    <w:p w14:paraId="5B28B463">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（二）在一至三年内禁止参加政府采购活动（处罚期限届满的除外）；</w:t>
      </w:r>
    </w:p>
    <w:p w14:paraId="7E6B7ADF">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（三）在一至三年内禁止代理政府采购业务（处罚期限届满的除外）；</w:t>
      </w:r>
    </w:p>
    <w:p w14:paraId="1A07CCBF">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（四）撤销政府采购代理机构资格（仅针对《政府采购法》第78条修改前作出的处罚决定）。。</w:t>
      </w:r>
    </w:p>
    <w:p w14:paraId="7FE57F58">
      <w:pPr>
        <w:widowControl/>
        <w:autoSpaceDE w:val="0"/>
        <w:spacing w:line="480" w:lineRule="exact"/>
        <w:ind w:firstLine="482" w:firstLineChars="200"/>
        <w:jc w:val="left"/>
        <w:textAlignment w:val="baseline"/>
        <w:rPr>
          <w:rFonts w:ascii="宋体" w:hAnsi="宋体" w:eastAsia="宋体" w:cs="Times New Roman"/>
          <w:b/>
          <w:color w:val="auto"/>
          <w:sz w:val="24"/>
          <w:szCs w:val="24"/>
          <w:highlight w:val="none"/>
        </w:rPr>
      </w:pPr>
      <w:r>
        <w:rPr>
          <w:rFonts w:hint="eastAsia" w:ascii="宋体" w:hAnsi="宋体" w:eastAsia="宋体" w:cs="宋体"/>
          <w:b/>
          <w:color w:val="auto"/>
          <w:kern w:val="0"/>
          <w:sz w:val="24"/>
          <w:szCs w:val="24"/>
          <w:highlight w:val="none"/>
          <w:lang w:bidi="ar"/>
        </w:rPr>
        <w:t>依据：《关于报送政府采购严重违法失信行为信息记录的通知》（财办库〔2014〕526号）</w:t>
      </w:r>
    </w:p>
    <w:p w14:paraId="23143CB0">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07A25E84">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七、水利建设领域严重失信行为</w:t>
      </w:r>
    </w:p>
    <w:p w14:paraId="0C83295A">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（一）1年内不良行为记录累计扣分达到20分的；</w:t>
      </w:r>
    </w:p>
    <w:p w14:paraId="17F98F50">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（二）"重点关注名单"公开期满后仍不整改的；</w:t>
      </w:r>
    </w:p>
    <w:p w14:paraId="6FE62369">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（三）存在以下严重危害人民群众身体健康、生命安全和工程质量，以及特别严重违规行为之一的：</w:t>
      </w:r>
    </w:p>
    <w:p w14:paraId="5B15188A">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1.发生重大、特大质量或安全事故，并负有直接责任的；</w:t>
      </w:r>
    </w:p>
    <w:p w14:paraId="1155F444">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2.在单位公开信息、工程相关技术成果和工程建设过程中隐瞒真实情况、弄虚作假，提供虚假材料，谋取不正当利益的；</w:t>
      </w:r>
    </w:p>
    <w:p w14:paraId="2BDA1319">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3.违反有关法律、法规、规章、政策、技术标准、设计文件、合同等有关规定开展工作造成的工程质量问题，经处理后仍影响工程正常使用或减少工程使用寿命的；</w:t>
      </w:r>
    </w:p>
    <w:p w14:paraId="639F3629">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4.违反规定施工，造成生态环境严重破坏且拒不修复的；</w:t>
      </w:r>
    </w:p>
    <w:p w14:paraId="2EA1272E">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5.被证实恶意制造工程质量缺陷或质量隐患的；</w:t>
      </w:r>
    </w:p>
    <w:p w14:paraId="6590E7D5">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6.其他违反法律法规，造成严重后果或社会危害较大的。</w:t>
      </w:r>
    </w:p>
    <w:p w14:paraId="6CCA81A6">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（四）存在以下严重破坏市场公平竞争秩序和社会正常秩序行为之一的：</w:t>
      </w:r>
    </w:p>
    <w:p w14:paraId="4D129AC5">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1.不按合同约定，恶意拖欠承包人项目款的；</w:t>
      </w:r>
    </w:p>
    <w:p w14:paraId="659BCB21">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2.隐瞒有关情况或者提供虚假材料申请资质的，在全国水利建设市场监管服务平台公开虚假信息的，以欺骗、贿赂等不正当手段取得资质等级证书的；</w:t>
      </w:r>
    </w:p>
    <w:p w14:paraId="3663EE2E">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3.出借、借用资质证书,允许他人以本单位名义或借用他人名义等弄虚作假方式承揽业务的；</w:t>
      </w:r>
    </w:p>
    <w:p w14:paraId="1705B74F">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4.未取得相应资质或超越资质证书核定范围、营业范围承揽业务的；</w:t>
      </w:r>
    </w:p>
    <w:p w14:paraId="3AE9F486">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5.操纵招标过程，谋取不正当利益的；</w:t>
      </w:r>
    </w:p>
    <w:p w14:paraId="133A70DF">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6.与</w:t>
      </w:r>
      <w:r>
        <w:rPr>
          <w:rFonts w:hint="eastAsia" w:ascii="宋体" w:hAnsi="宋体" w:eastAsia="宋体" w:cs="宋体"/>
          <w:color w:val="auto"/>
          <w:kern w:val="0"/>
          <w:sz w:val="24"/>
          <w:szCs w:val="24"/>
          <w:highlight w:val="none"/>
          <w:lang w:eastAsia="zh-CN" w:bidi="ar"/>
        </w:rPr>
        <w:t>采购人</w:t>
      </w:r>
      <w:r>
        <w:rPr>
          <w:rFonts w:hint="eastAsia" w:ascii="宋体" w:hAnsi="宋体" w:eastAsia="宋体" w:cs="宋体"/>
          <w:color w:val="auto"/>
          <w:kern w:val="0"/>
          <w:sz w:val="24"/>
          <w:szCs w:val="24"/>
          <w:highlight w:val="none"/>
          <w:lang w:bidi="ar"/>
        </w:rPr>
        <w:t>或</w:t>
      </w:r>
      <w:r>
        <w:rPr>
          <w:rFonts w:hint="eastAsia" w:ascii="宋体" w:hAnsi="宋体" w:eastAsia="宋体" w:cs="宋体"/>
          <w:color w:val="auto"/>
          <w:kern w:val="0"/>
          <w:sz w:val="24"/>
          <w:szCs w:val="24"/>
          <w:highlight w:val="none"/>
          <w:lang w:eastAsia="zh-CN" w:bidi="ar"/>
        </w:rPr>
        <w:t>供应商</w:t>
      </w:r>
      <w:r>
        <w:rPr>
          <w:rFonts w:hint="eastAsia" w:ascii="宋体" w:hAnsi="宋体" w:eastAsia="宋体" w:cs="宋体"/>
          <w:color w:val="auto"/>
          <w:kern w:val="0"/>
          <w:sz w:val="24"/>
          <w:szCs w:val="24"/>
          <w:highlight w:val="none"/>
          <w:lang w:bidi="ar"/>
        </w:rPr>
        <w:t>串通投标的；</w:t>
      </w:r>
    </w:p>
    <w:p w14:paraId="417B3A09">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7.以向</w:t>
      </w:r>
      <w:r>
        <w:rPr>
          <w:rFonts w:hint="eastAsia" w:ascii="宋体" w:hAnsi="宋体" w:eastAsia="宋体" w:cs="宋体"/>
          <w:color w:val="auto"/>
          <w:kern w:val="0"/>
          <w:sz w:val="24"/>
          <w:szCs w:val="24"/>
          <w:highlight w:val="none"/>
          <w:lang w:eastAsia="zh-CN" w:bidi="ar"/>
        </w:rPr>
        <w:t>采购人</w:t>
      </w:r>
      <w:r>
        <w:rPr>
          <w:rFonts w:hint="eastAsia" w:ascii="宋体" w:hAnsi="宋体" w:eastAsia="宋体" w:cs="宋体"/>
          <w:color w:val="auto"/>
          <w:kern w:val="0"/>
          <w:sz w:val="24"/>
          <w:szCs w:val="24"/>
          <w:highlight w:val="none"/>
          <w:lang w:bidi="ar"/>
        </w:rPr>
        <w:t>或评标委员会成员行贿的手段谋取中标的；</w:t>
      </w:r>
    </w:p>
    <w:p w14:paraId="07D074A4">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8.中标后，无正当理由不签订合同的；</w:t>
      </w:r>
    </w:p>
    <w:p w14:paraId="496A1C31">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9.转包或违法分包所承揽业务的；</w:t>
      </w:r>
    </w:p>
    <w:p w14:paraId="5A1FD511">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10.弄虚作假，以欺诈手段降低工程或设备质量的；</w:t>
      </w:r>
    </w:p>
    <w:p w14:paraId="2E5FCE36">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11.单位行贿、受贿，受到刑事处罚的；</w:t>
      </w:r>
    </w:p>
    <w:p w14:paraId="2FEC64CA">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12.逃税骗税、恶意逃废债务的；</w:t>
      </w:r>
    </w:p>
    <w:p w14:paraId="6C6DDAB2">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13.参与非法集资，受到刑事处罚的；</w:t>
      </w:r>
    </w:p>
    <w:p w14:paraId="11523E77">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14.在签订、履行合同过程中，存在合同欺诈行为，受到刑事处罚的；</w:t>
      </w:r>
    </w:p>
    <w:p w14:paraId="1519C0F0">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15.虚构工程项目，套取资金的；</w:t>
      </w:r>
    </w:p>
    <w:p w14:paraId="399231B5">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16.克扣、无故拖欠农民工工资报酬，数额达到认定拒不支付劳动报酬罪数额标准的；</w:t>
      </w:r>
    </w:p>
    <w:p w14:paraId="45C4B790">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17.发生社会公共事件，影响较大，并负有直接责任的。</w:t>
      </w:r>
    </w:p>
    <w:p w14:paraId="6B649FA2">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（五）存在以下拒不履行法定义务，严重影响司法机关、行政机关公信力行为之一的：</w:t>
      </w:r>
    </w:p>
    <w:p w14:paraId="6463E660">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1.发生事故拒绝接受调查或拒绝提供有关资料的；</w:t>
      </w:r>
    </w:p>
    <w:p w14:paraId="0D1E0633">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2.拒不执行生效的行政处罚决定的；</w:t>
      </w:r>
    </w:p>
    <w:p w14:paraId="6D5AE07A">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3.拒不执行仲裁、法院判决结果的。</w:t>
      </w:r>
    </w:p>
    <w:p w14:paraId="28C375C9">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（六）被相关联合惩戒部门列入"黑名单"，符合联合惩戒措施的。</w:t>
      </w:r>
    </w:p>
    <w:p w14:paraId="5ED2C972">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生产建设项目水土保持市场主体"黑名单"列入标准见《水利建设市场主体信用信息管理办法》附件。</w:t>
      </w:r>
    </w:p>
    <w:p w14:paraId="0B222194">
      <w:pPr>
        <w:widowControl/>
        <w:autoSpaceDE w:val="0"/>
        <w:spacing w:line="480" w:lineRule="exact"/>
        <w:ind w:firstLine="482" w:firstLineChars="200"/>
        <w:jc w:val="left"/>
        <w:textAlignment w:val="baseline"/>
        <w:rPr>
          <w:rFonts w:ascii="宋体" w:hAnsi="宋体" w:eastAsia="宋体" w:cs="Times New Roman"/>
          <w:b/>
          <w:color w:val="auto"/>
          <w:sz w:val="24"/>
          <w:szCs w:val="24"/>
          <w:highlight w:val="none"/>
        </w:rPr>
      </w:pPr>
      <w:r>
        <w:rPr>
          <w:rFonts w:hint="eastAsia" w:ascii="宋体" w:hAnsi="宋体" w:eastAsia="宋体" w:cs="宋体"/>
          <w:b/>
          <w:color w:val="auto"/>
          <w:kern w:val="0"/>
          <w:sz w:val="24"/>
          <w:szCs w:val="24"/>
          <w:highlight w:val="none"/>
          <w:lang w:bidi="ar"/>
        </w:rPr>
        <w:t>依据：《水利建设市场主体信用评价管理办法》水建设〔2019〕307号、《水利建设市场主体信用信息管理办法》水建设〔2019〕306号</w:t>
      </w:r>
    </w:p>
    <w:p w14:paraId="60FB544B">
      <w:pPr>
        <w:widowControl/>
        <w:autoSpaceDE w:val="0"/>
        <w:spacing w:line="480" w:lineRule="exact"/>
        <w:ind w:firstLine="480" w:firstLineChars="200"/>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24222223">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b/>
          <w:bCs/>
          <w:color w:val="auto"/>
          <w:kern w:val="0"/>
          <w:sz w:val="24"/>
          <w:szCs w:val="24"/>
          <w:highlight w:val="none"/>
          <w:lang w:bidi="ar"/>
        </w:rPr>
        <w:t>未列出的其他类别严重失信行为，由</w:t>
      </w:r>
      <w:r>
        <w:rPr>
          <w:rFonts w:hint="eastAsia" w:ascii="宋体" w:hAnsi="宋体" w:eastAsia="宋体" w:cs="宋体"/>
          <w:b/>
          <w:bCs/>
          <w:color w:val="auto"/>
          <w:kern w:val="0"/>
          <w:sz w:val="24"/>
          <w:szCs w:val="24"/>
          <w:highlight w:val="none"/>
          <w:lang w:eastAsia="zh-CN" w:bidi="ar"/>
        </w:rPr>
        <w:t>采购人</w:t>
      </w:r>
      <w:r>
        <w:rPr>
          <w:rFonts w:hint="eastAsia" w:ascii="宋体" w:hAnsi="宋体" w:eastAsia="宋体" w:cs="宋体"/>
          <w:b/>
          <w:bCs/>
          <w:color w:val="auto"/>
          <w:kern w:val="0"/>
          <w:sz w:val="24"/>
          <w:szCs w:val="24"/>
          <w:highlight w:val="none"/>
          <w:lang w:bidi="ar"/>
        </w:rPr>
        <w:t>（代理机构）根据各类别行</w:t>
      </w:r>
      <w:r>
        <w:rPr>
          <w:rFonts w:hint="eastAsia" w:ascii="宋体" w:hAnsi="宋体" w:eastAsia="宋体" w:cs="宋体"/>
          <w:b/>
          <w:bCs/>
          <w:color w:val="auto"/>
          <w:kern w:val="0"/>
          <w:sz w:val="24"/>
          <w:szCs w:val="24"/>
          <w:highlight w:val="none"/>
          <w:lang w:eastAsia="zh-CN" w:bidi="ar"/>
        </w:rPr>
        <w:t>采购人</w:t>
      </w:r>
      <w:r>
        <w:rPr>
          <w:rFonts w:hint="eastAsia" w:ascii="宋体" w:hAnsi="宋体" w:eastAsia="宋体" w:cs="宋体"/>
          <w:b/>
          <w:bCs/>
          <w:color w:val="auto"/>
          <w:kern w:val="0"/>
          <w:sz w:val="24"/>
          <w:szCs w:val="24"/>
          <w:highlight w:val="none"/>
          <w:lang w:bidi="ar"/>
        </w:rPr>
        <w:t>管部门下发的联合惩戒文件进行判断。</w:t>
      </w:r>
    </w:p>
    <w:p w14:paraId="57334F9F">
      <w:pPr>
        <w:pStyle w:val="24"/>
        <w:ind w:left="0" w:leftChars="0" w:firstLine="0" w:firstLineChars="0"/>
        <w:rPr>
          <w:color w:val="auto"/>
          <w:highlight w:val="none"/>
        </w:rPr>
      </w:pPr>
    </w:p>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C12AD">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DD9FD">
    <w:pPr>
      <w:pStyle w:val="16"/>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DA12D">
                          <w:pPr>
                            <w:pStyle w:val="16"/>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77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6DA12D">
                    <w:pPr>
                      <w:pStyle w:val="16"/>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77</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7F3FD">
    <w:pPr>
      <w:pStyle w:val="17"/>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A509D">
    <w:pPr>
      <w:pStyle w:val="17"/>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9FF55"/>
    <w:multiLevelType w:val="singleLevel"/>
    <w:tmpl w:val="8419FF55"/>
    <w:lvl w:ilvl="0" w:tentative="0">
      <w:start w:val="1"/>
      <w:numFmt w:val="decimal"/>
      <w:suff w:val="nothing"/>
      <w:lvlText w:val="%1、"/>
      <w:lvlJc w:val="left"/>
    </w:lvl>
  </w:abstractNum>
  <w:abstractNum w:abstractNumId="1">
    <w:nsid w:val="994200AE"/>
    <w:multiLevelType w:val="singleLevel"/>
    <w:tmpl w:val="994200AE"/>
    <w:lvl w:ilvl="0" w:tentative="0">
      <w:start w:val="4"/>
      <w:numFmt w:val="chineseCounting"/>
      <w:suff w:val="nothing"/>
      <w:lvlText w:val="（%1）"/>
      <w:lvlJc w:val="left"/>
      <w:rPr>
        <w:rFonts w:hint="eastAsia"/>
      </w:rPr>
    </w:lvl>
  </w:abstractNum>
  <w:abstractNum w:abstractNumId="2">
    <w:nsid w:val="D68E7781"/>
    <w:multiLevelType w:val="singleLevel"/>
    <w:tmpl w:val="D68E7781"/>
    <w:lvl w:ilvl="0" w:tentative="0">
      <w:start w:val="10"/>
      <w:numFmt w:val="chineseCounting"/>
      <w:suff w:val="nothing"/>
      <w:lvlText w:val="%1、"/>
      <w:lvlJc w:val="left"/>
      <w:rPr>
        <w:rFonts w:hint="eastAsia"/>
      </w:rPr>
    </w:lvl>
  </w:abstractNum>
  <w:abstractNum w:abstractNumId="3">
    <w:nsid w:val="03BEE478"/>
    <w:multiLevelType w:val="singleLevel"/>
    <w:tmpl w:val="03BEE478"/>
    <w:lvl w:ilvl="0" w:tentative="0">
      <w:start w:val="2"/>
      <w:numFmt w:val="decimal"/>
      <w:suff w:val="space"/>
      <w:lvlText w:val="%1."/>
      <w:lvlJc w:val="left"/>
    </w:lvl>
  </w:abstractNum>
  <w:abstractNum w:abstractNumId="4">
    <w:nsid w:val="6FC678FD"/>
    <w:multiLevelType w:val="singleLevel"/>
    <w:tmpl w:val="6FC678FD"/>
    <w:lvl w:ilvl="0" w:tentative="0">
      <w:start w:val="1"/>
      <w:numFmt w:val="decimal"/>
      <w:suff w:val="nothing"/>
      <w:lvlText w:val="%1、"/>
      <w:lvlJc w:val="left"/>
    </w:lvl>
  </w:abstractNum>
  <w:abstractNum w:abstractNumId="5">
    <w:nsid w:val="753798CE"/>
    <w:multiLevelType w:val="singleLevel"/>
    <w:tmpl w:val="753798CE"/>
    <w:lvl w:ilvl="0" w:tentative="0">
      <w:start w:val="3"/>
      <w:numFmt w:val="decimal"/>
      <w:suff w:val="space"/>
      <w:lvlText w:val="%1."/>
      <w:lvlJc w:val="left"/>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4MTBmMTYwZTc0Zjg5OGIzYTc1NmUyYzVjNTZjOWM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547EE"/>
    <w:rsid w:val="00363E02"/>
    <w:rsid w:val="00373A96"/>
    <w:rsid w:val="003826C2"/>
    <w:rsid w:val="00383728"/>
    <w:rsid w:val="00384E57"/>
    <w:rsid w:val="003903BB"/>
    <w:rsid w:val="0039195E"/>
    <w:rsid w:val="00392627"/>
    <w:rsid w:val="00393A9A"/>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874D5"/>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0C27"/>
    <w:rsid w:val="006525CD"/>
    <w:rsid w:val="00653F7F"/>
    <w:rsid w:val="00662DCD"/>
    <w:rsid w:val="00662EE8"/>
    <w:rsid w:val="00663813"/>
    <w:rsid w:val="00664AFD"/>
    <w:rsid w:val="00667567"/>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50B60"/>
    <w:rsid w:val="00756245"/>
    <w:rsid w:val="00761662"/>
    <w:rsid w:val="00764043"/>
    <w:rsid w:val="00766A36"/>
    <w:rsid w:val="007757CF"/>
    <w:rsid w:val="007769F6"/>
    <w:rsid w:val="00780F9D"/>
    <w:rsid w:val="0078128F"/>
    <w:rsid w:val="0078143C"/>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33F"/>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5F6D"/>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7405"/>
    <w:rsid w:val="00920C1F"/>
    <w:rsid w:val="00920C43"/>
    <w:rsid w:val="00920F7C"/>
    <w:rsid w:val="00922718"/>
    <w:rsid w:val="00924743"/>
    <w:rsid w:val="00932A87"/>
    <w:rsid w:val="00934CAE"/>
    <w:rsid w:val="0093560E"/>
    <w:rsid w:val="0094257D"/>
    <w:rsid w:val="009443B6"/>
    <w:rsid w:val="00946F68"/>
    <w:rsid w:val="0095356F"/>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BF2"/>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0731"/>
    <w:rsid w:val="00B45D0B"/>
    <w:rsid w:val="00B52FA0"/>
    <w:rsid w:val="00B5558A"/>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585"/>
    <w:rsid w:val="00D153C8"/>
    <w:rsid w:val="00D1654E"/>
    <w:rsid w:val="00D17F98"/>
    <w:rsid w:val="00D20EFF"/>
    <w:rsid w:val="00D215B9"/>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6A7"/>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057174"/>
    <w:rsid w:val="015873C5"/>
    <w:rsid w:val="015C4E83"/>
    <w:rsid w:val="01722E9F"/>
    <w:rsid w:val="017600E6"/>
    <w:rsid w:val="017F5898"/>
    <w:rsid w:val="018336E2"/>
    <w:rsid w:val="0185764C"/>
    <w:rsid w:val="01915CC2"/>
    <w:rsid w:val="019F4757"/>
    <w:rsid w:val="01C0309B"/>
    <w:rsid w:val="01F25AF3"/>
    <w:rsid w:val="02443CCC"/>
    <w:rsid w:val="02880C6E"/>
    <w:rsid w:val="028F4055"/>
    <w:rsid w:val="02965E43"/>
    <w:rsid w:val="02B63CEC"/>
    <w:rsid w:val="02EB0203"/>
    <w:rsid w:val="02EF2692"/>
    <w:rsid w:val="0305345B"/>
    <w:rsid w:val="033124A2"/>
    <w:rsid w:val="034445B5"/>
    <w:rsid w:val="03BD4B4B"/>
    <w:rsid w:val="03C43552"/>
    <w:rsid w:val="03DA5004"/>
    <w:rsid w:val="04700DA8"/>
    <w:rsid w:val="048E03B6"/>
    <w:rsid w:val="04F80D9E"/>
    <w:rsid w:val="05C313AC"/>
    <w:rsid w:val="05D15877"/>
    <w:rsid w:val="060A4B96"/>
    <w:rsid w:val="064A0C38"/>
    <w:rsid w:val="067E27BC"/>
    <w:rsid w:val="068F0ACF"/>
    <w:rsid w:val="06954AF6"/>
    <w:rsid w:val="06962D9F"/>
    <w:rsid w:val="069637C4"/>
    <w:rsid w:val="06AE129F"/>
    <w:rsid w:val="070B6B66"/>
    <w:rsid w:val="072D20A4"/>
    <w:rsid w:val="073B420D"/>
    <w:rsid w:val="07D71DC7"/>
    <w:rsid w:val="08397703"/>
    <w:rsid w:val="084F33CB"/>
    <w:rsid w:val="08564BF9"/>
    <w:rsid w:val="08B5322E"/>
    <w:rsid w:val="08BA0E0D"/>
    <w:rsid w:val="08CA47FF"/>
    <w:rsid w:val="08D37B58"/>
    <w:rsid w:val="093170D4"/>
    <w:rsid w:val="0937357F"/>
    <w:rsid w:val="097C1F9D"/>
    <w:rsid w:val="098D7D07"/>
    <w:rsid w:val="09A909AA"/>
    <w:rsid w:val="09BE25B6"/>
    <w:rsid w:val="0A052B89"/>
    <w:rsid w:val="0A3D35AB"/>
    <w:rsid w:val="0A410AF1"/>
    <w:rsid w:val="0A542106"/>
    <w:rsid w:val="0A6C4667"/>
    <w:rsid w:val="0AC43BFC"/>
    <w:rsid w:val="0AC534D0"/>
    <w:rsid w:val="0AC97464"/>
    <w:rsid w:val="0ACB4F8A"/>
    <w:rsid w:val="0AF049F1"/>
    <w:rsid w:val="0B2360D1"/>
    <w:rsid w:val="0B2C7DE0"/>
    <w:rsid w:val="0B566286"/>
    <w:rsid w:val="0B6158EF"/>
    <w:rsid w:val="0B9C06D5"/>
    <w:rsid w:val="0BBE711B"/>
    <w:rsid w:val="0BD47173"/>
    <w:rsid w:val="0C1B47F2"/>
    <w:rsid w:val="0C4264AA"/>
    <w:rsid w:val="0C6157E5"/>
    <w:rsid w:val="0CC43DFB"/>
    <w:rsid w:val="0CCA74C4"/>
    <w:rsid w:val="0D224C0A"/>
    <w:rsid w:val="0D366907"/>
    <w:rsid w:val="0D466B4A"/>
    <w:rsid w:val="0D474670"/>
    <w:rsid w:val="0D8458C4"/>
    <w:rsid w:val="0DB63633"/>
    <w:rsid w:val="0E5F5B0F"/>
    <w:rsid w:val="0E667E21"/>
    <w:rsid w:val="0E6A2D0C"/>
    <w:rsid w:val="0E812471"/>
    <w:rsid w:val="0EFE3455"/>
    <w:rsid w:val="0F1B7B63"/>
    <w:rsid w:val="0F403A6D"/>
    <w:rsid w:val="10090F42"/>
    <w:rsid w:val="104906FF"/>
    <w:rsid w:val="10607C4F"/>
    <w:rsid w:val="10625C40"/>
    <w:rsid w:val="106E6418"/>
    <w:rsid w:val="10795489"/>
    <w:rsid w:val="10D40911"/>
    <w:rsid w:val="10E30B54"/>
    <w:rsid w:val="10E71FA0"/>
    <w:rsid w:val="11323C4E"/>
    <w:rsid w:val="11E45716"/>
    <w:rsid w:val="12067AF4"/>
    <w:rsid w:val="126E32E5"/>
    <w:rsid w:val="12865C3B"/>
    <w:rsid w:val="1299596E"/>
    <w:rsid w:val="12BC1F8B"/>
    <w:rsid w:val="12D71D5F"/>
    <w:rsid w:val="13147343"/>
    <w:rsid w:val="13622204"/>
    <w:rsid w:val="14887A48"/>
    <w:rsid w:val="14910533"/>
    <w:rsid w:val="151B7FB7"/>
    <w:rsid w:val="1534782C"/>
    <w:rsid w:val="153B44B9"/>
    <w:rsid w:val="153C0833"/>
    <w:rsid w:val="15A9236C"/>
    <w:rsid w:val="15AA36D0"/>
    <w:rsid w:val="15AF54A9"/>
    <w:rsid w:val="15CC7E09"/>
    <w:rsid w:val="15D8055B"/>
    <w:rsid w:val="161A5018"/>
    <w:rsid w:val="16300397"/>
    <w:rsid w:val="16473933"/>
    <w:rsid w:val="167B6427"/>
    <w:rsid w:val="16B27D38"/>
    <w:rsid w:val="16DC22CD"/>
    <w:rsid w:val="17D77080"/>
    <w:rsid w:val="17DE3E23"/>
    <w:rsid w:val="17F97D1D"/>
    <w:rsid w:val="19033B41"/>
    <w:rsid w:val="1930691F"/>
    <w:rsid w:val="19594E1E"/>
    <w:rsid w:val="195A572B"/>
    <w:rsid w:val="197131A1"/>
    <w:rsid w:val="19E100CF"/>
    <w:rsid w:val="1A197394"/>
    <w:rsid w:val="1A352420"/>
    <w:rsid w:val="1A3F6DFB"/>
    <w:rsid w:val="1A5747B6"/>
    <w:rsid w:val="1A6528FE"/>
    <w:rsid w:val="1A835004"/>
    <w:rsid w:val="1AC217DA"/>
    <w:rsid w:val="1AD339E7"/>
    <w:rsid w:val="1B4B17D0"/>
    <w:rsid w:val="1B542D7A"/>
    <w:rsid w:val="1B7C2B6D"/>
    <w:rsid w:val="1BA02D05"/>
    <w:rsid w:val="1BA61F6F"/>
    <w:rsid w:val="1BE94919"/>
    <w:rsid w:val="1C093B64"/>
    <w:rsid w:val="1C0E2F29"/>
    <w:rsid w:val="1C142509"/>
    <w:rsid w:val="1C2D0AC0"/>
    <w:rsid w:val="1C63029E"/>
    <w:rsid w:val="1C6B037B"/>
    <w:rsid w:val="1C715A71"/>
    <w:rsid w:val="1CA52637"/>
    <w:rsid w:val="1CC921E7"/>
    <w:rsid w:val="1D0E0D07"/>
    <w:rsid w:val="1D1C4205"/>
    <w:rsid w:val="1D444EB6"/>
    <w:rsid w:val="1DA840EB"/>
    <w:rsid w:val="1DB47B00"/>
    <w:rsid w:val="1DC53ABB"/>
    <w:rsid w:val="1DDF64AB"/>
    <w:rsid w:val="1DF83E22"/>
    <w:rsid w:val="1E197963"/>
    <w:rsid w:val="1E1D46AD"/>
    <w:rsid w:val="1E2564DE"/>
    <w:rsid w:val="1E360515"/>
    <w:rsid w:val="1E4531C0"/>
    <w:rsid w:val="1F29350C"/>
    <w:rsid w:val="1FB5190D"/>
    <w:rsid w:val="1FCB2EDF"/>
    <w:rsid w:val="201A2AFF"/>
    <w:rsid w:val="203A2CE5"/>
    <w:rsid w:val="208539D6"/>
    <w:rsid w:val="20C16461"/>
    <w:rsid w:val="20ED2E58"/>
    <w:rsid w:val="20FF5536"/>
    <w:rsid w:val="211D7286"/>
    <w:rsid w:val="21367194"/>
    <w:rsid w:val="21E5472C"/>
    <w:rsid w:val="226F2197"/>
    <w:rsid w:val="22767DF4"/>
    <w:rsid w:val="22E06CA1"/>
    <w:rsid w:val="22E91FFA"/>
    <w:rsid w:val="22FD5AA5"/>
    <w:rsid w:val="23146520"/>
    <w:rsid w:val="23205778"/>
    <w:rsid w:val="23585502"/>
    <w:rsid w:val="23596C26"/>
    <w:rsid w:val="239767DA"/>
    <w:rsid w:val="23DB14C5"/>
    <w:rsid w:val="23F52362"/>
    <w:rsid w:val="24042E63"/>
    <w:rsid w:val="24456480"/>
    <w:rsid w:val="24577437"/>
    <w:rsid w:val="24584540"/>
    <w:rsid w:val="24635A04"/>
    <w:rsid w:val="246851A0"/>
    <w:rsid w:val="246A55D1"/>
    <w:rsid w:val="24E0567E"/>
    <w:rsid w:val="25256AF7"/>
    <w:rsid w:val="253F4153"/>
    <w:rsid w:val="25592D3B"/>
    <w:rsid w:val="255D409B"/>
    <w:rsid w:val="2561056D"/>
    <w:rsid w:val="25652EDE"/>
    <w:rsid w:val="257007B0"/>
    <w:rsid w:val="25981AB5"/>
    <w:rsid w:val="25D56865"/>
    <w:rsid w:val="262D78EB"/>
    <w:rsid w:val="263F3C7D"/>
    <w:rsid w:val="265D18B9"/>
    <w:rsid w:val="26A04F4F"/>
    <w:rsid w:val="26AB783A"/>
    <w:rsid w:val="26BC17D3"/>
    <w:rsid w:val="26C97A99"/>
    <w:rsid w:val="26EB3CAB"/>
    <w:rsid w:val="26F079BE"/>
    <w:rsid w:val="275E6378"/>
    <w:rsid w:val="27814EF7"/>
    <w:rsid w:val="27924EB2"/>
    <w:rsid w:val="27A47706"/>
    <w:rsid w:val="27CA60F4"/>
    <w:rsid w:val="27E234BC"/>
    <w:rsid w:val="27E85AF1"/>
    <w:rsid w:val="28416434"/>
    <w:rsid w:val="287521F5"/>
    <w:rsid w:val="28BF1224"/>
    <w:rsid w:val="28C929C1"/>
    <w:rsid w:val="29332221"/>
    <w:rsid w:val="295220BC"/>
    <w:rsid w:val="29934A6D"/>
    <w:rsid w:val="299A1C85"/>
    <w:rsid w:val="29DA6B0B"/>
    <w:rsid w:val="2A093B18"/>
    <w:rsid w:val="2A1C2D12"/>
    <w:rsid w:val="2A8D7B4E"/>
    <w:rsid w:val="2ABD245A"/>
    <w:rsid w:val="2AD104E2"/>
    <w:rsid w:val="2B412386"/>
    <w:rsid w:val="2B5B780D"/>
    <w:rsid w:val="2B876854"/>
    <w:rsid w:val="2BB34FD2"/>
    <w:rsid w:val="2BD15D21"/>
    <w:rsid w:val="2BFD6B16"/>
    <w:rsid w:val="2C6E3570"/>
    <w:rsid w:val="2C7E5D9F"/>
    <w:rsid w:val="2CCE400E"/>
    <w:rsid w:val="2CE10D2D"/>
    <w:rsid w:val="2CEA687B"/>
    <w:rsid w:val="2D1633EB"/>
    <w:rsid w:val="2D345514"/>
    <w:rsid w:val="2D5819A5"/>
    <w:rsid w:val="2DCA3B5A"/>
    <w:rsid w:val="2DDE64D3"/>
    <w:rsid w:val="2DE16C1F"/>
    <w:rsid w:val="2DE33AEA"/>
    <w:rsid w:val="2DE47F8D"/>
    <w:rsid w:val="2E027D31"/>
    <w:rsid w:val="2E1B2EA1"/>
    <w:rsid w:val="2E385BE3"/>
    <w:rsid w:val="2E395380"/>
    <w:rsid w:val="2E3A3807"/>
    <w:rsid w:val="2E63511A"/>
    <w:rsid w:val="2E636360"/>
    <w:rsid w:val="2E7F3B7F"/>
    <w:rsid w:val="2EB35320"/>
    <w:rsid w:val="2EE6563F"/>
    <w:rsid w:val="2EF830D5"/>
    <w:rsid w:val="2F111D48"/>
    <w:rsid w:val="2F283EAA"/>
    <w:rsid w:val="2F317872"/>
    <w:rsid w:val="2F3F0C54"/>
    <w:rsid w:val="2F4615DA"/>
    <w:rsid w:val="2F4E73B6"/>
    <w:rsid w:val="2F810850"/>
    <w:rsid w:val="2FB40713"/>
    <w:rsid w:val="2FC260AC"/>
    <w:rsid w:val="2FC35981"/>
    <w:rsid w:val="301C21B4"/>
    <w:rsid w:val="30444D13"/>
    <w:rsid w:val="30766E97"/>
    <w:rsid w:val="30C916BD"/>
    <w:rsid w:val="30ED2B9B"/>
    <w:rsid w:val="310821E5"/>
    <w:rsid w:val="31197749"/>
    <w:rsid w:val="315E1E05"/>
    <w:rsid w:val="323B0398"/>
    <w:rsid w:val="324A2389"/>
    <w:rsid w:val="32543208"/>
    <w:rsid w:val="32691053"/>
    <w:rsid w:val="32A538A5"/>
    <w:rsid w:val="32B85545"/>
    <w:rsid w:val="32CF509C"/>
    <w:rsid w:val="32E323DE"/>
    <w:rsid w:val="330E360D"/>
    <w:rsid w:val="333A23FE"/>
    <w:rsid w:val="33492641"/>
    <w:rsid w:val="335747AC"/>
    <w:rsid w:val="339B5763"/>
    <w:rsid w:val="33B37D2E"/>
    <w:rsid w:val="33C06BFF"/>
    <w:rsid w:val="348F2D94"/>
    <w:rsid w:val="34F051F3"/>
    <w:rsid w:val="352620DC"/>
    <w:rsid w:val="35513047"/>
    <w:rsid w:val="35CC5E7F"/>
    <w:rsid w:val="35E054DE"/>
    <w:rsid w:val="35E5310F"/>
    <w:rsid w:val="36097A13"/>
    <w:rsid w:val="36581519"/>
    <w:rsid w:val="3661430F"/>
    <w:rsid w:val="36925870"/>
    <w:rsid w:val="369D587E"/>
    <w:rsid w:val="36B568E1"/>
    <w:rsid w:val="36CF1D5D"/>
    <w:rsid w:val="36CF7301"/>
    <w:rsid w:val="37081B1F"/>
    <w:rsid w:val="370F3BF6"/>
    <w:rsid w:val="371D28E3"/>
    <w:rsid w:val="37421881"/>
    <w:rsid w:val="375D1E78"/>
    <w:rsid w:val="378375B9"/>
    <w:rsid w:val="37E47653"/>
    <w:rsid w:val="382947EF"/>
    <w:rsid w:val="3885411B"/>
    <w:rsid w:val="38887767"/>
    <w:rsid w:val="388D1222"/>
    <w:rsid w:val="38E52E0C"/>
    <w:rsid w:val="38F01E0F"/>
    <w:rsid w:val="39293004"/>
    <w:rsid w:val="393336C0"/>
    <w:rsid w:val="39567866"/>
    <w:rsid w:val="39820C37"/>
    <w:rsid w:val="39882115"/>
    <w:rsid w:val="39D8471E"/>
    <w:rsid w:val="39D8513B"/>
    <w:rsid w:val="39E10D60"/>
    <w:rsid w:val="3A203377"/>
    <w:rsid w:val="3A502507"/>
    <w:rsid w:val="3A6126DA"/>
    <w:rsid w:val="3A8C79E3"/>
    <w:rsid w:val="3A960861"/>
    <w:rsid w:val="3AA0017A"/>
    <w:rsid w:val="3ADC54E1"/>
    <w:rsid w:val="3B11613A"/>
    <w:rsid w:val="3B840969"/>
    <w:rsid w:val="3BC15BBF"/>
    <w:rsid w:val="3BFC5E74"/>
    <w:rsid w:val="3C0059BB"/>
    <w:rsid w:val="3C0E2679"/>
    <w:rsid w:val="3C597D99"/>
    <w:rsid w:val="3C5A58BF"/>
    <w:rsid w:val="3C5F3E33"/>
    <w:rsid w:val="3C8D0477"/>
    <w:rsid w:val="3D502D9B"/>
    <w:rsid w:val="3D9077EA"/>
    <w:rsid w:val="3DED3571"/>
    <w:rsid w:val="3DFD7F8F"/>
    <w:rsid w:val="3E587BDC"/>
    <w:rsid w:val="3E7F33BB"/>
    <w:rsid w:val="3EC355E8"/>
    <w:rsid w:val="3F041198"/>
    <w:rsid w:val="3F5E4365"/>
    <w:rsid w:val="3F604F9A"/>
    <w:rsid w:val="3F80563C"/>
    <w:rsid w:val="3F8769CB"/>
    <w:rsid w:val="3FBE7F13"/>
    <w:rsid w:val="3FDA11F0"/>
    <w:rsid w:val="40364AE1"/>
    <w:rsid w:val="41214BFD"/>
    <w:rsid w:val="4136041A"/>
    <w:rsid w:val="414D154E"/>
    <w:rsid w:val="415470E2"/>
    <w:rsid w:val="41596343"/>
    <w:rsid w:val="416E38FB"/>
    <w:rsid w:val="41AF5742"/>
    <w:rsid w:val="41B14053"/>
    <w:rsid w:val="41BB759E"/>
    <w:rsid w:val="42435353"/>
    <w:rsid w:val="425608D6"/>
    <w:rsid w:val="42664FBD"/>
    <w:rsid w:val="42740598"/>
    <w:rsid w:val="42B21049"/>
    <w:rsid w:val="42B740A7"/>
    <w:rsid w:val="42C41CE4"/>
    <w:rsid w:val="42CD2946"/>
    <w:rsid w:val="42FC216C"/>
    <w:rsid w:val="42FF3315"/>
    <w:rsid w:val="4353477A"/>
    <w:rsid w:val="437A5885"/>
    <w:rsid w:val="43C05511"/>
    <w:rsid w:val="43C12F71"/>
    <w:rsid w:val="441445A5"/>
    <w:rsid w:val="446B6021"/>
    <w:rsid w:val="447A6BAC"/>
    <w:rsid w:val="447B63D2"/>
    <w:rsid w:val="449F0313"/>
    <w:rsid w:val="45576E3F"/>
    <w:rsid w:val="4595695A"/>
    <w:rsid w:val="45EC782A"/>
    <w:rsid w:val="45FC7108"/>
    <w:rsid w:val="462C02CC"/>
    <w:rsid w:val="463F1DAD"/>
    <w:rsid w:val="46B53E1D"/>
    <w:rsid w:val="46BD7ED2"/>
    <w:rsid w:val="46C91E71"/>
    <w:rsid w:val="473A7BED"/>
    <w:rsid w:val="47485725"/>
    <w:rsid w:val="47863A67"/>
    <w:rsid w:val="478F71C4"/>
    <w:rsid w:val="47D34348"/>
    <w:rsid w:val="4821786A"/>
    <w:rsid w:val="4825146D"/>
    <w:rsid w:val="48253225"/>
    <w:rsid w:val="48D04F3E"/>
    <w:rsid w:val="48FD5F50"/>
    <w:rsid w:val="49407CA0"/>
    <w:rsid w:val="498126DD"/>
    <w:rsid w:val="498B5309"/>
    <w:rsid w:val="49AE31B1"/>
    <w:rsid w:val="49BC54C3"/>
    <w:rsid w:val="49F11610"/>
    <w:rsid w:val="4A6169D0"/>
    <w:rsid w:val="4A6A4F1F"/>
    <w:rsid w:val="4A7D4C52"/>
    <w:rsid w:val="4A965D14"/>
    <w:rsid w:val="4B014864"/>
    <w:rsid w:val="4B071F90"/>
    <w:rsid w:val="4B125CE2"/>
    <w:rsid w:val="4B1E6DB6"/>
    <w:rsid w:val="4B2C48CA"/>
    <w:rsid w:val="4B773D97"/>
    <w:rsid w:val="4B835265"/>
    <w:rsid w:val="4B954E7C"/>
    <w:rsid w:val="4C055307"/>
    <w:rsid w:val="4C2537F3"/>
    <w:rsid w:val="4C312198"/>
    <w:rsid w:val="4C3D5B39"/>
    <w:rsid w:val="4D3E64AE"/>
    <w:rsid w:val="4D785BA5"/>
    <w:rsid w:val="4DC4528E"/>
    <w:rsid w:val="4DC8085E"/>
    <w:rsid w:val="4E013DEC"/>
    <w:rsid w:val="4E2C0965"/>
    <w:rsid w:val="4E3841C6"/>
    <w:rsid w:val="4E3D7F6A"/>
    <w:rsid w:val="4E6B046C"/>
    <w:rsid w:val="4E6C5709"/>
    <w:rsid w:val="4E707289"/>
    <w:rsid w:val="4E9764FE"/>
    <w:rsid w:val="4E9E4717"/>
    <w:rsid w:val="4EEA3D40"/>
    <w:rsid w:val="4EFD6CDC"/>
    <w:rsid w:val="4F00728A"/>
    <w:rsid w:val="4F1B0EDE"/>
    <w:rsid w:val="4F3016F5"/>
    <w:rsid w:val="4F3F6AB1"/>
    <w:rsid w:val="4F5D071B"/>
    <w:rsid w:val="4F6E54B1"/>
    <w:rsid w:val="4F7A3E56"/>
    <w:rsid w:val="4F8151E4"/>
    <w:rsid w:val="4F9B688F"/>
    <w:rsid w:val="50067073"/>
    <w:rsid w:val="50395891"/>
    <w:rsid w:val="50566671"/>
    <w:rsid w:val="5073752E"/>
    <w:rsid w:val="50C36BA5"/>
    <w:rsid w:val="511D0F3D"/>
    <w:rsid w:val="517D5E7F"/>
    <w:rsid w:val="51F64E25"/>
    <w:rsid w:val="52067C23"/>
    <w:rsid w:val="521B1CEA"/>
    <w:rsid w:val="524C21F8"/>
    <w:rsid w:val="52550769"/>
    <w:rsid w:val="526B542C"/>
    <w:rsid w:val="52752746"/>
    <w:rsid w:val="527B72D6"/>
    <w:rsid w:val="527D5F08"/>
    <w:rsid w:val="52DD09D8"/>
    <w:rsid w:val="530C1269"/>
    <w:rsid w:val="5345477B"/>
    <w:rsid w:val="5379560D"/>
    <w:rsid w:val="53C438F2"/>
    <w:rsid w:val="53DF072C"/>
    <w:rsid w:val="54087D99"/>
    <w:rsid w:val="54181B5C"/>
    <w:rsid w:val="543A1E06"/>
    <w:rsid w:val="543A3BB4"/>
    <w:rsid w:val="543B5786"/>
    <w:rsid w:val="545D5AF4"/>
    <w:rsid w:val="54766DC6"/>
    <w:rsid w:val="548A4B3B"/>
    <w:rsid w:val="54A72003"/>
    <w:rsid w:val="54B020C8"/>
    <w:rsid w:val="54B576DE"/>
    <w:rsid w:val="54F55D2D"/>
    <w:rsid w:val="556D1D67"/>
    <w:rsid w:val="556F0585"/>
    <w:rsid w:val="55723669"/>
    <w:rsid w:val="558D05EC"/>
    <w:rsid w:val="55C0633B"/>
    <w:rsid w:val="55C23E61"/>
    <w:rsid w:val="55C645F4"/>
    <w:rsid w:val="55F36710"/>
    <w:rsid w:val="56023921"/>
    <w:rsid w:val="56151261"/>
    <w:rsid w:val="56550D6B"/>
    <w:rsid w:val="567128F4"/>
    <w:rsid w:val="567710EF"/>
    <w:rsid w:val="56E46059"/>
    <w:rsid w:val="5712706A"/>
    <w:rsid w:val="571A0F26"/>
    <w:rsid w:val="571C1C97"/>
    <w:rsid w:val="57305E0A"/>
    <w:rsid w:val="57325016"/>
    <w:rsid w:val="57763155"/>
    <w:rsid w:val="57803BF0"/>
    <w:rsid w:val="57A001D2"/>
    <w:rsid w:val="57BC2B32"/>
    <w:rsid w:val="57DA1D5C"/>
    <w:rsid w:val="57E97DCB"/>
    <w:rsid w:val="5809250B"/>
    <w:rsid w:val="580E15DF"/>
    <w:rsid w:val="580F01B2"/>
    <w:rsid w:val="588B0E82"/>
    <w:rsid w:val="58B73A25"/>
    <w:rsid w:val="58C4346F"/>
    <w:rsid w:val="58DA3A99"/>
    <w:rsid w:val="58E80082"/>
    <w:rsid w:val="58E953B0"/>
    <w:rsid w:val="58EB36CF"/>
    <w:rsid w:val="59011BEE"/>
    <w:rsid w:val="59034EBC"/>
    <w:rsid w:val="59BE0FF0"/>
    <w:rsid w:val="59C01C6B"/>
    <w:rsid w:val="59C3464B"/>
    <w:rsid w:val="59C363FA"/>
    <w:rsid w:val="59D92725"/>
    <w:rsid w:val="5A3617D9"/>
    <w:rsid w:val="5A366BCB"/>
    <w:rsid w:val="5A513A05"/>
    <w:rsid w:val="5A737E20"/>
    <w:rsid w:val="5A7F6B6C"/>
    <w:rsid w:val="5AF11924"/>
    <w:rsid w:val="5AF745AD"/>
    <w:rsid w:val="5AFB613D"/>
    <w:rsid w:val="5B080567"/>
    <w:rsid w:val="5B884B20"/>
    <w:rsid w:val="5B971658"/>
    <w:rsid w:val="5BC0556E"/>
    <w:rsid w:val="5BC81C40"/>
    <w:rsid w:val="5BE9731F"/>
    <w:rsid w:val="5BF353EE"/>
    <w:rsid w:val="5C15773A"/>
    <w:rsid w:val="5C3F26AF"/>
    <w:rsid w:val="5C9A78E6"/>
    <w:rsid w:val="5CD43973"/>
    <w:rsid w:val="5CE609DA"/>
    <w:rsid w:val="5D2A3E88"/>
    <w:rsid w:val="5D3309DE"/>
    <w:rsid w:val="5D8B01B4"/>
    <w:rsid w:val="5D8E48EC"/>
    <w:rsid w:val="5D9562FF"/>
    <w:rsid w:val="5DA327CA"/>
    <w:rsid w:val="5DAF73C1"/>
    <w:rsid w:val="5DE60909"/>
    <w:rsid w:val="5DE762FC"/>
    <w:rsid w:val="5DEB0B1F"/>
    <w:rsid w:val="5DEC23C3"/>
    <w:rsid w:val="5E1C257C"/>
    <w:rsid w:val="5E714AFD"/>
    <w:rsid w:val="5E801A7A"/>
    <w:rsid w:val="5EA22A81"/>
    <w:rsid w:val="5ED300C5"/>
    <w:rsid w:val="5EDB41E5"/>
    <w:rsid w:val="5F5A335C"/>
    <w:rsid w:val="5F610B8F"/>
    <w:rsid w:val="5F993E84"/>
    <w:rsid w:val="5FBF7663"/>
    <w:rsid w:val="5FC5111D"/>
    <w:rsid w:val="5FCD244A"/>
    <w:rsid w:val="5FD41360"/>
    <w:rsid w:val="5FD74633"/>
    <w:rsid w:val="6009191A"/>
    <w:rsid w:val="605828E7"/>
    <w:rsid w:val="607246D5"/>
    <w:rsid w:val="60885CA7"/>
    <w:rsid w:val="60E412C0"/>
    <w:rsid w:val="61291238"/>
    <w:rsid w:val="612B4FB0"/>
    <w:rsid w:val="61AD1DFA"/>
    <w:rsid w:val="61E323AE"/>
    <w:rsid w:val="622639C9"/>
    <w:rsid w:val="623331AC"/>
    <w:rsid w:val="6247406C"/>
    <w:rsid w:val="625772C4"/>
    <w:rsid w:val="631E3286"/>
    <w:rsid w:val="633839B4"/>
    <w:rsid w:val="63442359"/>
    <w:rsid w:val="636F3034"/>
    <w:rsid w:val="63A064A2"/>
    <w:rsid w:val="63CD15D5"/>
    <w:rsid w:val="63E47698"/>
    <w:rsid w:val="63E54454"/>
    <w:rsid w:val="64124205"/>
    <w:rsid w:val="64B1428F"/>
    <w:rsid w:val="64E41ED7"/>
    <w:rsid w:val="64E831B8"/>
    <w:rsid w:val="650516A8"/>
    <w:rsid w:val="65297A59"/>
    <w:rsid w:val="65330581"/>
    <w:rsid w:val="653A4CD8"/>
    <w:rsid w:val="654326B0"/>
    <w:rsid w:val="654F4E0C"/>
    <w:rsid w:val="65830E72"/>
    <w:rsid w:val="6587291F"/>
    <w:rsid w:val="65E25E59"/>
    <w:rsid w:val="66434B4A"/>
    <w:rsid w:val="66550C7C"/>
    <w:rsid w:val="665A63A4"/>
    <w:rsid w:val="669F36BE"/>
    <w:rsid w:val="66D53FCB"/>
    <w:rsid w:val="66D823BF"/>
    <w:rsid w:val="66E81280"/>
    <w:rsid w:val="66F607A6"/>
    <w:rsid w:val="670A1B0C"/>
    <w:rsid w:val="67303132"/>
    <w:rsid w:val="673A4BA5"/>
    <w:rsid w:val="67BF46A4"/>
    <w:rsid w:val="67E900A7"/>
    <w:rsid w:val="68172908"/>
    <w:rsid w:val="689866A0"/>
    <w:rsid w:val="68C36416"/>
    <w:rsid w:val="69043521"/>
    <w:rsid w:val="69110DD3"/>
    <w:rsid w:val="691427CE"/>
    <w:rsid w:val="691D526F"/>
    <w:rsid w:val="69676D3F"/>
    <w:rsid w:val="69821E2D"/>
    <w:rsid w:val="69C26016"/>
    <w:rsid w:val="6A2E3597"/>
    <w:rsid w:val="6A894DD0"/>
    <w:rsid w:val="6AD20B92"/>
    <w:rsid w:val="6AFB3119"/>
    <w:rsid w:val="6B2D47E7"/>
    <w:rsid w:val="6B3D5CA9"/>
    <w:rsid w:val="6B8E2CAD"/>
    <w:rsid w:val="6B8F438D"/>
    <w:rsid w:val="6BB81B36"/>
    <w:rsid w:val="6BC32289"/>
    <w:rsid w:val="6BD46905"/>
    <w:rsid w:val="6C281AD4"/>
    <w:rsid w:val="6C2E7D60"/>
    <w:rsid w:val="6C3118E9"/>
    <w:rsid w:val="6C8D150C"/>
    <w:rsid w:val="6C964502"/>
    <w:rsid w:val="6CE35249"/>
    <w:rsid w:val="6D1E4A5F"/>
    <w:rsid w:val="6D3527BF"/>
    <w:rsid w:val="6D6C08BF"/>
    <w:rsid w:val="6D9E6B0A"/>
    <w:rsid w:val="6DA73C10"/>
    <w:rsid w:val="6DC37FC8"/>
    <w:rsid w:val="6DFD5F26"/>
    <w:rsid w:val="6E3336F6"/>
    <w:rsid w:val="6E39711A"/>
    <w:rsid w:val="6E997D6C"/>
    <w:rsid w:val="6EF530A1"/>
    <w:rsid w:val="6EF616F6"/>
    <w:rsid w:val="6F212F57"/>
    <w:rsid w:val="6F5D575B"/>
    <w:rsid w:val="6F653D83"/>
    <w:rsid w:val="6FC21A38"/>
    <w:rsid w:val="7040034C"/>
    <w:rsid w:val="704C6791"/>
    <w:rsid w:val="70951A45"/>
    <w:rsid w:val="70BB1D85"/>
    <w:rsid w:val="70CD22D0"/>
    <w:rsid w:val="70CD7E32"/>
    <w:rsid w:val="71467526"/>
    <w:rsid w:val="71902C0D"/>
    <w:rsid w:val="71A57B4C"/>
    <w:rsid w:val="71BB412E"/>
    <w:rsid w:val="71F25676"/>
    <w:rsid w:val="723E4876"/>
    <w:rsid w:val="72824C4C"/>
    <w:rsid w:val="72834520"/>
    <w:rsid w:val="72D354A8"/>
    <w:rsid w:val="733E11E5"/>
    <w:rsid w:val="737722D7"/>
    <w:rsid w:val="73E01C2A"/>
    <w:rsid w:val="73ED1DE1"/>
    <w:rsid w:val="74785E04"/>
    <w:rsid w:val="749649DF"/>
    <w:rsid w:val="74CB28DA"/>
    <w:rsid w:val="74EA0887"/>
    <w:rsid w:val="74FC2405"/>
    <w:rsid w:val="752C4F4C"/>
    <w:rsid w:val="753019CD"/>
    <w:rsid w:val="754058DD"/>
    <w:rsid w:val="759157D0"/>
    <w:rsid w:val="759B1215"/>
    <w:rsid w:val="75A5137D"/>
    <w:rsid w:val="75BA018C"/>
    <w:rsid w:val="76595CC4"/>
    <w:rsid w:val="76621D63"/>
    <w:rsid w:val="76976BFF"/>
    <w:rsid w:val="76A471D2"/>
    <w:rsid w:val="76ED1F8F"/>
    <w:rsid w:val="76F06195"/>
    <w:rsid w:val="771A04F8"/>
    <w:rsid w:val="77446974"/>
    <w:rsid w:val="77AC54F3"/>
    <w:rsid w:val="77EB75FD"/>
    <w:rsid w:val="77F30411"/>
    <w:rsid w:val="780F0D30"/>
    <w:rsid w:val="78105AA2"/>
    <w:rsid w:val="782D15D9"/>
    <w:rsid w:val="783C764B"/>
    <w:rsid w:val="784A4B73"/>
    <w:rsid w:val="78544995"/>
    <w:rsid w:val="78612B1E"/>
    <w:rsid w:val="78617423"/>
    <w:rsid w:val="786924FD"/>
    <w:rsid w:val="7894419D"/>
    <w:rsid w:val="78A3591C"/>
    <w:rsid w:val="78A91184"/>
    <w:rsid w:val="78C06489"/>
    <w:rsid w:val="79022643"/>
    <w:rsid w:val="79175EB6"/>
    <w:rsid w:val="7950018C"/>
    <w:rsid w:val="798C7B5D"/>
    <w:rsid w:val="7995454B"/>
    <w:rsid w:val="799B26EC"/>
    <w:rsid w:val="79B0209F"/>
    <w:rsid w:val="7A302433"/>
    <w:rsid w:val="7A5B3FA8"/>
    <w:rsid w:val="7A7632E8"/>
    <w:rsid w:val="7AE863F2"/>
    <w:rsid w:val="7AE91FA6"/>
    <w:rsid w:val="7B42141C"/>
    <w:rsid w:val="7BA174E1"/>
    <w:rsid w:val="7BC04FC3"/>
    <w:rsid w:val="7BD02338"/>
    <w:rsid w:val="7BD30CB9"/>
    <w:rsid w:val="7C740087"/>
    <w:rsid w:val="7CA72746"/>
    <w:rsid w:val="7CCA0FE4"/>
    <w:rsid w:val="7CD97B5E"/>
    <w:rsid w:val="7D230DDA"/>
    <w:rsid w:val="7D3923AB"/>
    <w:rsid w:val="7D7B5250"/>
    <w:rsid w:val="7D87580C"/>
    <w:rsid w:val="7D986F5E"/>
    <w:rsid w:val="7DC33C3F"/>
    <w:rsid w:val="7DD00A7F"/>
    <w:rsid w:val="7E0B1F99"/>
    <w:rsid w:val="7E6873EC"/>
    <w:rsid w:val="7E835FD4"/>
    <w:rsid w:val="7E877EF0"/>
    <w:rsid w:val="7EA0293B"/>
    <w:rsid w:val="7EA81A90"/>
    <w:rsid w:val="7F2B14FE"/>
    <w:rsid w:val="7F3802B9"/>
    <w:rsid w:val="7F80192B"/>
    <w:rsid w:val="7FBB354B"/>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6"/>
    <w:qFormat/>
    <w:uiPriority w:val="0"/>
    <w:pPr>
      <w:keepNext/>
      <w:keepLines/>
      <w:spacing w:before="280" w:after="290" w:line="376" w:lineRule="auto"/>
      <w:outlineLvl w:val="3"/>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8"/>
    <w:qFormat/>
    <w:uiPriority w:val="0"/>
    <w:pPr>
      <w:jc w:val="left"/>
    </w:pPr>
    <w:rPr>
      <w:rFonts w:ascii="Arial" w:hAnsi="Arial" w:eastAsia="黑体" w:cs="Arial"/>
    </w:rPr>
  </w:style>
  <w:style w:type="paragraph" w:styleId="9">
    <w:name w:val="Body Text"/>
    <w:basedOn w:val="1"/>
    <w:link w:val="67"/>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qFormat/>
    <w:uiPriority w:val="0"/>
    <w:pPr>
      <w:spacing w:after="120"/>
      <w:ind w:left="420" w:leftChars="200"/>
    </w:pPr>
    <w:rPr>
      <w:rFonts w:ascii="Times New Roman" w:hAnsi="Times New Roman" w:eastAsia="宋体"/>
      <w:szCs w:val="24"/>
    </w:rPr>
  </w:style>
  <w:style w:type="paragraph" w:styleId="11">
    <w:name w:val="envelope return"/>
    <w:basedOn w:val="1"/>
    <w:next w:val="6"/>
    <w:qFormat/>
    <w:uiPriority w:val="0"/>
    <w:pPr>
      <w:snapToGrid w:val="0"/>
    </w:pPr>
    <w:rPr>
      <w:rFonts w:ascii="Arial" w:hAnsi="Arial"/>
    </w:rPr>
  </w:style>
  <w:style w:type="paragraph" w:styleId="12">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qFormat/>
    <w:uiPriority w:val="99"/>
    <w:rPr>
      <w:rFonts w:ascii="宋体" w:hAnsi="Courier New" w:eastAsiaTheme="minorEastAsia" w:cstheme="minorBidi"/>
      <w:szCs w:val="22"/>
    </w:rPr>
  </w:style>
  <w:style w:type="paragraph" w:styleId="14">
    <w:name w:val="Date"/>
    <w:basedOn w:val="1"/>
    <w:next w:val="1"/>
    <w:link w:val="54"/>
    <w:qFormat/>
    <w:uiPriority w:val="0"/>
    <w:rPr>
      <w:rFonts w:ascii="Arial" w:hAnsi="Arial" w:eastAsia="宋体" w:cs="Arial"/>
      <w:b/>
      <w:sz w:val="28"/>
    </w:rPr>
  </w:style>
  <w:style w:type="paragraph" w:styleId="15">
    <w:name w:val="Balloon Text"/>
    <w:basedOn w:val="1"/>
    <w:link w:val="41"/>
    <w:semiHidden/>
    <w:unhideWhenUsed/>
    <w:qFormat/>
    <w:uiPriority w:val="99"/>
    <w:rPr>
      <w:sz w:val="18"/>
      <w:szCs w:val="18"/>
    </w:rPr>
  </w:style>
  <w:style w:type="paragraph" w:styleId="16">
    <w:name w:val="footer"/>
    <w:basedOn w:val="1"/>
    <w:link w:val="46"/>
    <w:unhideWhenUsed/>
    <w:qFormat/>
    <w:uiPriority w:val="99"/>
    <w:pPr>
      <w:tabs>
        <w:tab w:val="center" w:pos="4153"/>
        <w:tab w:val="right" w:pos="8306"/>
      </w:tabs>
      <w:snapToGrid w:val="0"/>
      <w:jc w:val="left"/>
    </w:pPr>
    <w:rPr>
      <w:sz w:val="18"/>
      <w:szCs w:val="18"/>
    </w:rPr>
  </w:style>
  <w:style w:type="paragraph" w:styleId="17">
    <w:name w:val="header"/>
    <w:basedOn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List"/>
    <w:basedOn w:val="1"/>
    <w:next w:val="1"/>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0">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Body Text First Indent"/>
    <w:basedOn w:val="9"/>
    <w:unhideWhenUsed/>
    <w:qFormat/>
    <w:uiPriority w:val="99"/>
    <w:pPr>
      <w:ind w:firstLine="420" w:firstLineChars="100"/>
    </w:pPr>
  </w:style>
  <w:style w:type="paragraph" w:styleId="24">
    <w:name w:val="Body Text First Indent 2"/>
    <w:basedOn w:val="10"/>
    <w:next w:val="1"/>
    <w:qFormat/>
    <w:uiPriority w:val="0"/>
    <w:pPr>
      <w:spacing w:line="360" w:lineRule="auto"/>
      <w:ind w:firstLine="200" w:firstLineChars="200"/>
    </w:pPr>
    <w:rPr>
      <w:rFonts w:ascii="宋体"/>
      <w:szCs w:val="20"/>
    </w:rPr>
  </w:style>
  <w:style w:type="table" w:styleId="26">
    <w:name w:val="Table Grid"/>
    <w:basedOn w:val="2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FollowedHyperlink"/>
    <w:basedOn w:val="27"/>
    <w:semiHidden/>
    <w:unhideWhenUsed/>
    <w:qFormat/>
    <w:uiPriority w:val="99"/>
    <w:rPr>
      <w:color w:val="800080"/>
      <w:u w:val="none"/>
    </w:rPr>
  </w:style>
  <w:style w:type="character" w:styleId="30">
    <w:name w:val="Emphasis"/>
    <w:basedOn w:val="27"/>
    <w:qFormat/>
    <w:uiPriority w:val="20"/>
    <w:rPr>
      <w:b/>
      <w:bCs/>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rPr>
  </w:style>
  <w:style w:type="character" w:styleId="33">
    <w:name w:val="HTML Acronym"/>
    <w:basedOn w:val="27"/>
    <w:semiHidden/>
    <w:unhideWhenUsed/>
    <w:qFormat/>
    <w:uiPriority w:val="99"/>
  </w:style>
  <w:style w:type="character" w:styleId="34">
    <w:name w:val="HTML Variable"/>
    <w:basedOn w:val="27"/>
    <w:semiHidden/>
    <w:unhideWhenUsed/>
    <w:qFormat/>
    <w:uiPriority w:val="99"/>
  </w:style>
  <w:style w:type="character" w:styleId="35">
    <w:name w:val="Hyperlink"/>
    <w:basedOn w:val="27"/>
    <w:unhideWhenUsed/>
    <w:qFormat/>
    <w:uiPriority w:val="99"/>
    <w:rPr>
      <w:color w:val="0000FF" w:themeColor="hyperlink"/>
      <w:u w:val="single"/>
      <w14:textFill>
        <w14:solidFill>
          <w14:schemeClr w14:val="hlink"/>
        </w14:solidFill>
      </w14:textFill>
    </w:rPr>
  </w:style>
  <w:style w:type="character" w:styleId="36">
    <w:name w:val="HTML Code"/>
    <w:basedOn w:val="27"/>
    <w:semiHidden/>
    <w:unhideWhenUsed/>
    <w:qFormat/>
    <w:uiPriority w:val="99"/>
    <w:rPr>
      <w:rFonts w:ascii="monospace" w:hAnsi="monospace" w:eastAsia="monospace" w:cs="monospace"/>
      <w:sz w:val="20"/>
    </w:rPr>
  </w:style>
  <w:style w:type="character" w:styleId="37">
    <w:name w:val="HTML Cite"/>
    <w:basedOn w:val="27"/>
    <w:semiHidden/>
    <w:unhideWhenUsed/>
    <w:qFormat/>
    <w:uiPriority w:val="99"/>
  </w:style>
  <w:style w:type="character" w:styleId="38">
    <w:name w:val="HTML Keyboard"/>
    <w:basedOn w:val="27"/>
    <w:semiHidden/>
    <w:unhideWhenUsed/>
    <w:qFormat/>
    <w:uiPriority w:val="99"/>
    <w:rPr>
      <w:rFonts w:hint="default" w:ascii="monospace" w:hAnsi="monospace" w:eastAsia="monospace" w:cs="monospace"/>
      <w:sz w:val="20"/>
    </w:rPr>
  </w:style>
  <w:style w:type="character" w:styleId="39">
    <w:name w:val="HTML Sample"/>
    <w:basedOn w:val="27"/>
    <w:semiHidden/>
    <w:unhideWhenUsed/>
    <w:qFormat/>
    <w:uiPriority w:val="99"/>
    <w:rPr>
      <w:rFonts w:hint="default" w:ascii="monospace" w:hAnsi="monospace" w:eastAsia="monospace" w:cs="monospace"/>
    </w:rPr>
  </w:style>
  <w:style w:type="paragraph" w:customStyle="1" w:styleId="40">
    <w:name w:val="正文 New"/>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character" w:customStyle="1" w:styleId="41">
    <w:name w:val="批注框文本 字符"/>
    <w:basedOn w:val="27"/>
    <w:link w:val="15"/>
    <w:semiHidden/>
    <w:qFormat/>
    <w:uiPriority w:val="99"/>
    <w:rPr>
      <w:rFonts w:ascii="@仿宋_GB2312" w:hAnsi="@仿宋_GB2312" w:eastAsia="@仿宋_GB2312" w:cs="@仿宋_GB2312"/>
      <w:sz w:val="18"/>
      <w:szCs w:val="18"/>
    </w:rPr>
  </w:style>
  <w:style w:type="paragraph" w:customStyle="1" w:styleId="42">
    <w:name w:val="正文（缩进）"/>
    <w:basedOn w:val="1"/>
    <w:qFormat/>
    <w:uiPriority w:val="0"/>
    <w:pPr>
      <w:widowControl/>
      <w:spacing w:before="156" w:after="156"/>
      <w:ind w:firstLine="480" w:firstLineChars="200"/>
      <w:jc w:val="left"/>
    </w:pPr>
    <w:rPr>
      <w:kern w:val="0"/>
      <w:sz w:val="24"/>
      <w:szCs w:val="24"/>
    </w:rPr>
  </w:style>
  <w:style w:type="paragraph" w:customStyle="1" w:styleId="43">
    <w:name w:val="xl31"/>
    <w:basedOn w:val="1"/>
    <w:qFormat/>
    <w:uiPriority w:val="0"/>
    <w:pPr>
      <w:widowControl/>
      <w:spacing w:before="100" w:beforeAutospacing="1" w:after="100" w:afterAutospacing="1"/>
      <w:jc w:val="center"/>
    </w:pPr>
    <w:rPr>
      <w:b/>
      <w:bCs/>
      <w:kern w:val="0"/>
      <w:sz w:val="28"/>
      <w:szCs w:val="28"/>
    </w:rPr>
  </w:style>
  <w:style w:type="paragraph" w:customStyle="1" w:styleId="44">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字符"/>
    <w:basedOn w:val="27"/>
    <w:link w:val="17"/>
    <w:qFormat/>
    <w:uiPriority w:val="0"/>
    <w:rPr>
      <w:rFonts w:ascii="@仿宋_GB2312" w:hAnsi="@仿宋_GB2312" w:eastAsia="@仿宋_GB2312" w:cs="@仿宋_GB2312"/>
      <w:sz w:val="18"/>
      <w:szCs w:val="18"/>
    </w:rPr>
  </w:style>
  <w:style w:type="character" w:customStyle="1" w:styleId="46">
    <w:name w:val="页脚 字符"/>
    <w:basedOn w:val="27"/>
    <w:link w:val="16"/>
    <w:qFormat/>
    <w:uiPriority w:val="99"/>
    <w:rPr>
      <w:rFonts w:ascii="@仿宋_GB2312" w:hAnsi="@仿宋_GB2312" w:eastAsia="@仿宋_GB2312" w:cs="@仿宋_GB2312"/>
      <w:sz w:val="18"/>
      <w:szCs w:val="18"/>
    </w:rPr>
  </w:style>
  <w:style w:type="character" w:customStyle="1" w:styleId="47">
    <w:name w:val="纯文本 字符"/>
    <w:link w:val="13"/>
    <w:qFormat/>
    <w:uiPriority w:val="0"/>
    <w:rPr>
      <w:rFonts w:ascii="宋体" w:hAnsi="Courier New"/>
    </w:rPr>
  </w:style>
  <w:style w:type="character" w:customStyle="1" w:styleId="48">
    <w:name w:val="纯文本 字符1"/>
    <w:basedOn w:val="27"/>
    <w:semiHidden/>
    <w:qFormat/>
    <w:uiPriority w:val="99"/>
    <w:rPr>
      <w:rFonts w:hAnsi="Courier New" w:cs="Courier New" w:asciiTheme="minorEastAsia"/>
      <w:szCs w:val="20"/>
    </w:rPr>
  </w:style>
  <w:style w:type="character" w:customStyle="1" w:styleId="49">
    <w:name w:val="未处理的提及1"/>
    <w:basedOn w:val="27"/>
    <w:semiHidden/>
    <w:unhideWhenUsed/>
    <w:qFormat/>
    <w:uiPriority w:val="99"/>
    <w:rPr>
      <w:color w:val="605E5C"/>
      <w:shd w:val="clear" w:color="auto" w:fill="E1DFDD"/>
    </w:rPr>
  </w:style>
  <w:style w:type="paragraph" w:styleId="50">
    <w:name w:val="List Paragraph"/>
    <w:basedOn w:val="1"/>
    <w:qFormat/>
    <w:uiPriority w:val="34"/>
    <w:pPr>
      <w:ind w:firstLine="420" w:firstLineChars="200"/>
    </w:pPr>
  </w:style>
  <w:style w:type="paragraph" w:customStyle="1" w:styleId="51">
    <w:name w:val="Char Char Char Char Char Char Char1 Char"/>
    <w:basedOn w:val="1"/>
    <w:qFormat/>
    <w:uiPriority w:val="0"/>
    <w:rPr>
      <w:rFonts w:ascii="Arial" w:hAnsi="Arial" w:eastAsia="宋体" w:cs="Arial"/>
      <w:sz w:val="24"/>
    </w:rPr>
  </w:style>
  <w:style w:type="table" w:customStyle="1" w:styleId="52">
    <w:name w:val="网格表 1 浅色1"/>
    <w:basedOn w:val="2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7"/>
    <w:semiHidden/>
    <w:qFormat/>
    <w:uiPriority w:val="99"/>
    <w:rPr>
      <w:rFonts w:ascii="@仿宋_GB2312" w:hAnsi="@仿宋_GB2312" w:eastAsia="@仿宋_GB2312" w:cs="@仿宋_GB2312"/>
      <w:szCs w:val="20"/>
    </w:rPr>
  </w:style>
  <w:style w:type="character" w:customStyle="1" w:styleId="54">
    <w:name w:val="日期 字符1"/>
    <w:link w:val="14"/>
    <w:qFormat/>
    <w:uiPriority w:val="0"/>
    <w:rPr>
      <w:rFonts w:ascii="Arial" w:hAnsi="Arial" w:eastAsia="宋体" w:cs="Arial"/>
      <w:b/>
      <w:sz w:val="28"/>
      <w:szCs w:val="20"/>
    </w:rPr>
  </w:style>
  <w:style w:type="character" w:customStyle="1" w:styleId="55">
    <w:name w:val="纯文本 Char1"/>
    <w:link w:val="56"/>
    <w:qFormat/>
    <w:locked/>
    <w:uiPriority w:val="0"/>
    <w:rPr>
      <w:rFonts w:ascii="Arial" w:hAnsi="Arial" w:eastAsia="Arial"/>
      <w:kern w:val="2"/>
      <w:sz w:val="21"/>
      <w:lang w:val="en-US" w:eastAsia="zh-CN" w:bidi="ar-SA"/>
    </w:rPr>
  </w:style>
  <w:style w:type="paragraph" w:customStyle="1" w:styleId="56">
    <w:name w:val="纯文本1"/>
    <w:basedOn w:val="1"/>
    <w:link w:val="55"/>
    <w:qFormat/>
    <w:uiPriority w:val="0"/>
    <w:rPr>
      <w:rFonts w:ascii="Arial" w:hAnsi="Arial" w:eastAsia="Arial" w:cstheme="minorBidi"/>
    </w:rPr>
  </w:style>
  <w:style w:type="character" w:customStyle="1" w:styleId="57">
    <w:name w:val="批注文字 Char"/>
    <w:basedOn w:val="27"/>
    <w:semiHidden/>
    <w:qFormat/>
    <w:uiPriority w:val="99"/>
    <w:rPr>
      <w:rFonts w:ascii="@仿宋_GB2312" w:hAnsi="@仿宋_GB2312" w:eastAsia="@仿宋_GB2312" w:cs="@仿宋_GB2312"/>
      <w:szCs w:val="20"/>
    </w:rPr>
  </w:style>
  <w:style w:type="character" w:customStyle="1" w:styleId="58">
    <w:name w:val="批注文字 字符"/>
    <w:link w:val="8"/>
    <w:qFormat/>
    <w:uiPriority w:val="0"/>
    <w:rPr>
      <w:rFonts w:ascii="Arial" w:hAnsi="Arial" w:eastAsia="黑体" w:cs="Arial"/>
      <w:szCs w:val="20"/>
    </w:rPr>
  </w:style>
  <w:style w:type="character" w:customStyle="1" w:styleId="59">
    <w:name w:val="标题 1 字符"/>
    <w:basedOn w:val="27"/>
    <w:link w:val="2"/>
    <w:qFormat/>
    <w:uiPriority w:val="9"/>
    <w:rPr>
      <w:rFonts w:ascii="@仿宋_GB2312" w:hAnsi="@仿宋_GB2312" w:eastAsia="@仿宋_GB2312" w:cs="@仿宋_GB2312"/>
      <w:b/>
      <w:bCs/>
      <w:kern w:val="44"/>
      <w:sz w:val="44"/>
      <w:szCs w:val="44"/>
    </w:rPr>
  </w:style>
  <w:style w:type="paragraph" w:customStyle="1" w:styleId="6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字符"/>
    <w:basedOn w:val="27"/>
    <w:link w:val="4"/>
    <w:semiHidden/>
    <w:qFormat/>
    <w:uiPriority w:val="9"/>
    <w:rPr>
      <w:rFonts w:ascii="@仿宋_GB2312" w:hAnsi="@仿宋_GB2312" w:eastAsia="@仿宋_GB2312" w:cs="@仿宋_GB2312"/>
      <w:b/>
      <w:bCs/>
      <w:sz w:val="32"/>
      <w:szCs w:val="32"/>
    </w:rPr>
  </w:style>
  <w:style w:type="character" w:customStyle="1" w:styleId="62">
    <w:name w:val="fontstyle01"/>
    <w:basedOn w:val="27"/>
    <w:qFormat/>
    <w:uiPriority w:val="0"/>
    <w:rPr>
      <w:rFonts w:hint="eastAsia" w:ascii="宋体" w:hAnsi="宋体" w:eastAsia="宋体"/>
      <w:color w:val="000000"/>
      <w:sz w:val="22"/>
      <w:szCs w:val="22"/>
    </w:rPr>
  </w:style>
  <w:style w:type="character" w:customStyle="1" w:styleId="63">
    <w:name w:val="fontstyle21"/>
    <w:basedOn w:val="27"/>
    <w:qFormat/>
    <w:uiPriority w:val="0"/>
    <w:rPr>
      <w:rFonts w:hint="default" w:ascii="TimesNewRomanPSMT" w:hAnsi="TimesNewRomanPSMT"/>
      <w:color w:val="000000"/>
      <w:sz w:val="22"/>
      <w:szCs w:val="22"/>
    </w:rPr>
  </w:style>
  <w:style w:type="character" w:customStyle="1" w:styleId="6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7"/>
    <w:semiHidden/>
    <w:qFormat/>
    <w:uiPriority w:val="9"/>
    <w:rPr>
      <w:rFonts w:asciiTheme="majorHAnsi" w:hAnsiTheme="majorHAnsi" w:eastAsiaTheme="majorEastAsia" w:cstheme="majorBidi"/>
      <w:b/>
      <w:bCs/>
      <w:sz w:val="28"/>
      <w:szCs w:val="28"/>
    </w:rPr>
  </w:style>
  <w:style w:type="character" w:customStyle="1" w:styleId="66">
    <w:name w:val="标题 4 字符1"/>
    <w:link w:val="5"/>
    <w:qFormat/>
    <w:uiPriority w:val="0"/>
    <w:rPr>
      <w:rFonts w:ascii="@仿宋_GB2312" w:hAnsi="@仿宋_GB2312" w:eastAsia="@仿宋_GB2312" w:cs="@仿宋_GB2312"/>
      <w:b/>
      <w:bCs/>
      <w:sz w:val="28"/>
      <w:szCs w:val="28"/>
    </w:rPr>
  </w:style>
  <w:style w:type="character" w:customStyle="1" w:styleId="67">
    <w:name w:val="正文文本 字符"/>
    <w:basedOn w:val="27"/>
    <w:link w:val="9"/>
    <w:qFormat/>
    <w:uiPriority w:val="0"/>
    <w:rPr>
      <w:rFonts w:ascii="@微软简标宋" w:hAnsi="@微软简标宋" w:eastAsia="@微软简标宋" w:cs="@微软简标宋"/>
      <w:szCs w:val="24"/>
      <w:lang w:val="zh-CN" w:eastAsia="zh-CN"/>
    </w:rPr>
  </w:style>
  <w:style w:type="table" w:customStyle="1" w:styleId="68">
    <w:name w:val="网格型1"/>
    <w:basedOn w:val="2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Table Text"/>
    <w:basedOn w:val="1"/>
    <w:semiHidden/>
    <w:qFormat/>
    <w:uiPriority w:val="0"/>
    <w:rPr>
      <w:rFonts w:ascii="Arial" w:hAnsi="Arial" w:eastAsia="Arial" w:cs="Arial"/>
      <w:szCs w:val="21"/>
      <w:lang w:eastAsia="en-US"/>
    </w:rPr>
  </w:style>
  <w:style w:type="character" w:customStyle="1" w:styleId="71">
    <w:name w:val="hover"/>
    <w:basedOn w:val="27"/>
    <w:qFormat/>
    <w:uiPriority w:val="0"/>
    <w:rPr>
      <w:color w:val="2590EB"/>
      <w:shd w:val="clear" w:color="auto" w:fill="E9F4FD"/>
    </w:rPr>
  </w:style>
  <w:style w:type="character" w:customStyle="1" w:styleId="72">
    <w:name w:val="hover1"/>
    <w:basedOn w:val="27"/>
    <w:qFormat/>
    <w:uiPriority w:val="0"/>
  </w:style>
  <w:style w:type="character" w:customStyle="1" w:styleId="73">
    <w:name w:val="hover2"/>
    <w:basedOn w:val="27"/>
    <w:qFormat/>
    <w:uiPriority w:val="0"/>
    <w:rPr>
      <w:color w:val="2590EB"/>
    </w:rPr>
  </w:style>
  <w:style w:type="character" w:customStyle="1" w:styleId="74">
    <w:name w:val="hover3"/>
    <w:basedOn w:val="27"/>
    <w:qFormat/>
    <w:uiPriority w:val="0"/>
    <w:rPr>
      <w:color w:val="2590EB"/>
    </w:rPr>
  </w:style>
  <w:style w:type="character" w:customStyle="1" w:styleId="75">
    <w:name w:val="hover4"/>
    <w:basedOn w:val="27"/>
    <w:qFormat/>
    <w:uiPriority w:val="0"/>
    <w:rPr>
      <w:color w:val="2590EB"/>
      <w:shd w:val="clear" w:color="auto" w:fill="E9F4FD"/>
    </w:rPr>
  </w:style>
  <w:style w:type="paragraph" w:customStyle="1" w:styleId="76">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7">
    <w:name w:val="NormalCharacter"/>
    <w:qFormat/>
    <w:uiPriority w:val="0"/>
  </w:style>
  <w:style w:type="character" w:customStyle="1" w:styleId="78">
    <w:name w:val="font11"/>
    <w:basedOn w:val="27"/>
    <w:qFormat/>
    <w:uiPriority w:val="0"/>
    <w:rPr>
      <w:rFonts w:hint="eastAsia" w:ascii="宋体" w:hAnsi="宋体" w:eastAsia="宋体" w:cs="宋体"/>
      <w:color w:val="000000"/>
      <w:sz w:val="24"/>
      <w:szCs w:val="24"/>
      <w:u w:val="single"/>
    </w:rPr>
  </w:style>
  <w:style w:type="character" w:customStyle="1" w:styleId="79">
    <w:name w:val="font01"/>
    <w:basedOn w:val="2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79</Pages>
  <Words>40319</Words>
  <Characters>42399</Characters>
  <Lines>326</Lines>
  <Paragraphs>92</Paragraphs>
  <TotalTime>28</TotalTime>
  <ScaleCrop>false</ScaleCrop>
  <LinksUpToDate>false</LinksUpToDate>
  <CharactersWithSpaces>44856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朱启</cp:lastModifiedBy>
  <cp:lastPrinted>2025-07-28T04:01:00Z</cp:lastPrinted>
  <dcterms:modified xsi:type="dcterms:W3CDTF">2025-11-28T07:04:24Z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3EA2323136A043AABD9F267310685995_13</vt:lpwstr>
  </property>
  <property fmtid="{D5CDD505-2E9C-101B-9397-08002B2CF9AE}" pid="4" name="KSOTemplateDocerSaveRecord">
    <vt:lpwstr>eyJoZGlkIjoiZTQ4OTM2MTIyODI3Njc5MTE5MDBiNjA4NzIzYTUzZmEiLCJ1c2VySWQiOiI3MDAwNjg2OTUifQ==</vt:lpwstr>
  </property>
</Properties>
</file>