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B8ED">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46AA61AC">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5B9BE3E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36083EC1">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（服务类）</w:t>
      </w:r>
    </w:p>
    <w:p w14:paraId="0F715AA8">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（2024年版）</w:t>
      </w:r>
    </w:p>
    <w:p w14:paraId="7678E78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789E6D7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2A821A9A">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66563537">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710A26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5C488FFF">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kern w:val="0"/>
          <w:sz w:val="32"/>
          <w:szCs w:val="32"/>
          <w:highlight w:val="none"/>
        </w:rPr>
      </w:pPr>
      <w:r>
        <w:rPr>
          <w:rFonts w:hint="eastAsia" w:ascii="宋体" w:hAnsi="宋体" w:eastAsia="宋体"/>
          <w:b/>
          <w:kern w:val="0"/>
          <w:sz w:val="32"/>
          <w:szCs w:val="32"/>
          <w:highlight w:val="none"/>
        </w:rPr>
        <w:t>项目名称：</w:t>
      </w:r>
      <w:r>
        <w:rPr>
          <w:rFonts w:hint="eastAsia" w:ascii="宋体" w:hAnsi="宋体" w:eastAsia="宋体"/>
          <w:b/>
          <w:kern w:val="0"/>
          <w:sz w:val="32"/>
          <w:szCs w:val="32"/>
          <w:highlight w:val="none"/>
          <w:u w:val="single"/>
        </w:rPr>
        <w:t>滁州市公安局科信科350兆警用数字集群系统服务（2025-2027）项目</w:t>
      </w:r>
    </w:p>
    <w:p w14:paraId="5197FD49">
      <w:pPr>
        <w:tabs>
          <w:tab w:val="left" w:pos="2410"/>
        </w:tabs>
        <w:autoSpaceDE w:val="0"/>
        <w:autoSpaceDN w:val="0"/>
        <w:adjustRightInd w:val="0"/>
        <w:snapToGrid w:val="0"/>
        <w:spacing w:line="360" w:lineRule="auto"/>
        <w:ind w:firstLine="643" w:firstLineChars="200"/>
        <w:rPr>
          <w:rFonts w:hint="eastAsia" w:ascii="宋体" w:hAnsi="宋体" w:eastAsia="宋体"/>
          <w:b/>
          <w:kern w:val="0"/>
          <w:sz w:val="32"/>
          <w:szCs w:val="32"/>
          <w:highlight w:val="none"/>
        </w:rPr>
      </w:pPr>
      <w:r>
        <w:rPr>
          <w:rFonts w:hint="eastAsia" w:ascii="宋体" w:hAnsi="宋体" w:eastAsia="宋体"/>
          <w:b/>
          <w:kern w:val="0"/>
          <w:sz w:val="32"/>
          <w:szCs w:val="32"/>
          <w:highlight w:val="none"/>
        </w:rPr>
        <w:t>项目编号：</w:t>
      </w:r>
      <w:r>
        <w:rPr>
          <w:rFonts w:hint="eastAsia" w:ascii="宋体" w:hAnsi="宋体" w:eastAsia="宋体"/>
          <w:b/>
          <w:kern w:val="0"/>
          <w:sz w:val="32"/>
          <w:szCs w:val="32"/>
          <w:highlight w:val="none"/>
          <w:u w:val="single"/>
        </w:rPr>
        <w:t>czsjcg202511-047</w:t>
      </w:r>
    </w:p>
    <w:p w14:paraId="63132E2D">
      <w:pPr>
        <w:tabs>
          <w:tab w:val="left" w:pos="2410"/>
        </w:tabs>
        <w:autoSpaceDE w:val="0"/>
        <w:autoSpaceDN w:val="0"/>
        <w:adjustRightInd w:val="0"/>
        <w:snapToGrid w:val="0"/>
        <w:spacing w:line="360" w:lineRule="auto"/>
        <w:ind w:firstLine="643" w:firstLineChars="200"/>
        <w:rPr>
          <w:rFonts w:hint="eastAsia" w:ascii="宋体" w:hAnsi="宋体" w:eastAsia="宋体"/>
          <w:b/>
          <w:kern w:val="0"/>
          <w:sz w:val="32"/>
          <w:szCs w:val="32"/>
          <w:highlight w:val="none"/>
        </w:rPr>
      </w:pPr>
      <w:r>
        <w:rPr>
          <w:rFonts w:hint="eastAsia" w:ascii="宋体" w:hAnsi="宋体" w:eastAsia="宋体"/>
          <w:b/>
          <w:kern w:val="0"/>
          <w:sz w:val="32"/>
          <w:szCs w:val="32"/>
          <w:highlight w:val="none"/>
        </w:rPr>
        <w:t>采 购 人：</w:t>
      </w:r>
      <w:r>
        <w:rPr>
          <w:rFonts w:hint="eastAsia" w:ascii="宋体" w:hAnsi="宋体" w:eastAsia="宋体"/>
          <w:b/>
          <w:kern w:val="0"/>
          <w:sz w:val="32"/>
          <w:szCs w:val="32"/>
          <w:highlight w:val="none"/>
          <w:u w:val="single"/>
        </w:rPr>
        <w:t>滁州市公安局</w:t>
      </w:r>
    </w:p>
    <w:p w14:paraId="7649BE3C">
      <w:pPr>
        <w:tabs>
          <w:tab w:val="left" w:pos="2410"/>
        </w:tabs>
        <w:autoSpaceDE w:val="0"/>
        <w:autoSpaceDN w:val="0"/>
        <w:adjustRightInd w:val="0"/>
        <w:snapToGrid w:val="0"/>
        <w:spacing w:line="360" w:lineRule="auto"/>
        <w:ind w:firstLine="643" w:firstLineChars="200"/>
        <w:rPr>
          <w:rFonts w:hint="eastAsia" w:ascii="宋体" w:hAnsi="宋体" w:eastAsia="宋体"/>
          <w:b/>
          <w:kern w:val="0"/>
          <w:sz w:val="32"/>
          <w:szCs w:val="32"/>
          <w:highlight w:val="none"/>
        </w:rPr>
      </w:pPr>
      <w:r>
        <w:rPr>
          <w:rFonts w:hint="eastAsia" w:ascii="宋体" w:hAnsi="宋体" w:eastAsia="宋体"/>
          <w:b/>
          <w:kern w:val="0"/>
          <w:sz w:val="32"/>
          <w:szCs w:val="32"/>
          <w:highlight w:val="none"/>
        </w:rPr>
        <w:t>采购代理机构：</w:t>
      </w:r>
      <w:r>
        <w:rPr>
          <w:rFonts w:hint="eastAsia" w:ascii="宋体" w:hAnsi="宋体" w:eastAsia="宋体"/>
          <w:b/>
          <w:kern w:val="0"/>
          <w:sz w:val="32"/>
          <w:szCs w:val="32"/>
          <w:highlight w:val="none"/>
          <w:u w:val="single"/>
        </w:rPr>
        <w:t>滁州市政府采购中心</w:t>
      </w:r>
    </w:p>
    <w:p w14:paraId="19BAF7C3">
      <w:pPr>
        <w:tabs>
          <w:tab w:val="left" w:pos="2410"/>
        </w:tabs>
        <w:autoSpaceDE w:val="0"/>
        <w:autoSpaceDN w:val="0"/>
        <w:adjustRightInd w:val="0"/>
        <w:snapToGrid w:val="0"/>
        <w:spacing w:line="360" w:lineRule="auto"/>
        <w:ind w:firstLine="643" w:firstLineChars="200"/>
        <w:rPr>
          <w:rFonts w:hint="eastAsia" w:ascii="宋体" w:hAnsi="宋体" w:eastAsia="宋体"/>
          <w:b/>
          <w:kern w:val="0"/>
          <w:sz w:val="32"/>
          <w:szCs w:val="32"/>
          <w:highlight w:val="none"/>
        </w:rPr>
      </w:pPr>
    </w:p>
    <w:p w14:paraId="1E00B100">
      <w:pPr>
        <w:tabs>
          <w:tab w:val="left" w:pos="2410"/>
        </w:tabs>
        <w:autoSpaceDE w:val="0"/>
        <w:autoSpaceDN w:val="0"/>
        <w:adjustRightInd w:val="0"/>
        <w:snapToGrid w:val="0"/>
        <w:spacing w:line="360" w:lineRule="auto"/>
        <w:jc w:val="center"/>
        <w:rPr>
          <w:rFonts w:hint="eastAsia"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1</w:t>
      </w:r>
      <w:r>
        <w:rPr>
          <w:rFonts w:hint="eastAsia" w:ascii="宋体" w:hAnsi="宋体" w:eastAsia="宋体"/>
          <w:b/>
          <w:sz w:val="36"/>
          <w:highlight w:val="none"/>
          <w:u w:val="single"/>
          <w:lang w:val="en-US" w:eastAsia="zh-CN"/>
        </w:rPr>
        <w:t>1</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1A6E2837">
      <w:pPr>
        <w:tabs>
          <w:tab w:val="left" w:pos="2410"/>
        </w:tabs>
        <w:autoSpaceDE w:val="0"/>
        <w:autoSpaceDN w:val="0"/>
        <w:adjustRightInd w:val="0"/>
        <w:snapToGrid w:val="0"/>
        <w:spacing w:line="360" w:lineRule="auto"/>
        <w:jc w:val="center"/>
        <w:rPr>
          <w:rFonts w:hint="eastAsia" w:ascii="宋体" w:hAnsi="宋体" w:eastAsia="宋体"/>
          <w:b/>
          <w:sz w:val="28"/>
          <w:highlight w:val="none"/>
        </w:rPr>
      </w:pPr>
      <w:r>
        <w:rPr>
          <w:rFonts w:hint="eastAsia" w:ascii="宋体" w:hAnsi="宋体" w:eastAsia="宋体"/>
          <w:b/>
          <w:sz w:val="28"/>
          <w:highlight w:val="none"/>
        </w:rPr>
        <w:t>目  录</w:t>
      </w:r>
    </w:p>
    <w:p w14:paraId="580507A2">
      <w:pPr>
        <w:pStyle w:val="16"/>
        <w:tabs>
          <w:tab w:val="right" w:leader="dot" w:pos="8306"/>
        </w:tabs>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TOC \o "1-2" \h \z \u </w:instrText>
      </w:r>
      <w:r>
        <w:rPr>
          <w:rFonts w:hint="eastAsia" w:ascii="宋体" w:hAnsi="宋体" w:eastAsia="宋体" w:cs="宋体"/>
          <w:b/>
          <w:sz w:val="24"/>
          <w:szCs w:val="24"/>
          <w:highlight w:val="none"/>
        </w:rPr>
        <w:fldChar w:fldCharType="separate"/>
      </w:r>
      <w:r>
        <w:rPr>
          <w:highlight w:val="none"/>
        </w:rPr>
        <w:fldChar w:fldCharType="begin"/>
      </w:r>
      <w:r>
        <w:rPr>
          <w:highlight w:val="none"/>
        </w:rPr>
        <w:instrText xml:space="preserve"> HYPERLINK \l "_Toc32331" </w:instrText>
      </w:r>
      <w:r>
        <w:rPr>
          <w:highlight w:val="none"/>
        </w:rPr>
        <w:fldChar w:fldCharType="separate"/>
      </w:r>
      <w:r>
        <w:rPr>
          <w:rFonts w:hint="eastAsia" w:ascii="宋体" w:hAnsi="宋体" w:eastAsia="宋体" w:cs="宋体"/>
          <w:sz w:val="24"/>
          <w:szCs w:val="24"/>
          <w:highlight w:val="none"/>
        </w:rPr>
        <w:t>第一章  投标邀请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_Toc32331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B06F486">
      <w:pPr>
        <w:pStyle w:val="16"/>
        <w:tabs>
          <w:tab w:val="right" w:leader="dot" w:pos="8306"/>
        </w:tabs>
        <w:rPr>
          <w:rFonts w:hint="eastAsia" w:ascii="宋体" w:hAnsi="宋体" w:eastAsia="宋体" w:cs="宋体"/>
          <w:sz w:val="24"/>
          <w:szCs w:val="24"/>
          <w:highlight w:val="none"/>
        </w:rPr>
      </w:pPr>
      <w:r>
        <w:rPr>
          <w:highlight w:val="none"/>
        </w:rPr>
        <w:fldChar w:fldCharType="begin"/>
      </w:r>
      <w:r>
        <w:rPr>
          <w:highlight w:val="none"/>
        </w:rPr>
        <w:instrText xml:space="preserve"> HYPERLINK \l "_Toc8888" </w:instrText>
      </w:r>
      <w:r>
        <w:rPr>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_Toc8888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56EBE5E">
      <w:pPr>
        <w:pStyle w:val="16"/>
        <w:tabs>
          <w:tab w:val="right" w:leader="dot" w:pos="8306"/>
        </w:tabs>
        <w:rPr>
          <w:rFonts w:hint="eastAsia" w:ascii="宋体" w:hAnsi="宋体" w:eastAsia="宋体" w:cs="宋体"/>
          <w:sz w:val="24"/>
          <w:szCs w:val="24"/>
          <w:highlight w:val="none"/>
        </w:rPr>
      </w:pPr>
      <w:r>
        <w:rPr>
          <w:highlight w:val="none"/>
        </w:rPr>
        <w:fldChar w:fldCharType="begin"/>
      </w:r>
      <w:r>
        <w:rPr>
          <w:highlight w:val="none"/>
        </w:rPr>
        <w:instrText xml:space="preserve"> HYPERLINK \l "_Toc22605" </w:instrText>
      </w:r>
      <w:r>
        <w:rPr>
          <w:highlight w:val="none"/>
        </w:rPr>
        <w:fldChar w:fldCharType="separate"/>
      </w:r>
      <w:r>
        <w:rPr>
          <w:rFonts w:hint="eastAsia" w:ascii="宋体" w:hAnsi="宋体" w:eastAsia="宋体" w:cs="宋体"/>
          <w:sz w:val="24"/>
          <w:szCs w:val="24"/>
          <w:highlight w:val="none"/>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_Toc22605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217F969">
      <w:pPr>
        <w:pStyle w:val="16"/>
        <w:tabs>
          <w:tab w:val="right" w:leader="dot" w:pos="8306"/>
        </w:tabs>
        <w:rPr>
          <w:rFonts w:hint="eastAsia" w:ascii="宋体" w:hAnsi="宋体" w:eastAsia="宋体" w:cs="宋体"/>
          <w:sz w:val="24"/>
          <w:szCs w:val="24"/>
          <w:highlight w:val="none"/>
        </w:rPr>
      </w:pPr>
      <w:r>
        <w:rPr>
          <w:highlight w:val="none"/>
        </w:rPr>
        <w:fldChar w:fldCharType="begin"/>
      </w:r>
      <w:r>
        <w:rPr>
          <w:highlight w:val="none"/>
        </w:rPr>
        <w:instrText xml:space="preserve"> HYPERLINK \l "_Toc30824" </w:instrText>
      </w:r>
      <w:r>
        <w:rPr>
          <w:highlight w:val="none"/>
        </w:rPr>
        <w:fldChar w:fldCharType="separate"/>
      </w:r>
      <w:r>
        <w:rPr>
          <w:rFonts w:hint="eastAsia" w:ascii="宋体" w:hAnsi="宋体" w:eastAsia="宋体" w:cs="宋体"/>
          <w:sz w:val="24"/>
          <w:szCs w:val="24"/>
          <w:highlight w:val="none"/>
        </w:rPr>
        <w:t>第四章  评标方法和标准（综合评分法）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_Toc30824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76A2C03">
      <w:pPr>
        <w:pStyle w:val="16"/>
        <w:tabs>
          <w:tab w:val="right" w:leader="dot" w:pos="8306"/>
        </w:tabs>
        <w:rPr>
          <w:rFonts w:hint="eastAsia" w:ascii="宋体" w:hAnsi="宋体" w:eastAsia="宋体" w:cs="宋体"/>
          <w:sz w:val="24"/>
          <w:szCs w:val="24"/>
          <w:highlight w:val="none"/>
        </w:rPr>
      </w:pPr>
      <w:r>
        <w:rPr>
          <w:highlight w:val="none"/>
        </w:rPr>
        <w:fldChar w:fldCharType="begin"/>
      </w:r>
      <w:r>
        <w:rPr>
          <w:highlight w:val="none"/>
        </w:rPr>
        <w:instrText xml:space="preserve"> HYPERLINK \l "_Toc20405" </w:instrText>
      </w:r>
      <w:r>
        <w:rPr>
          <w:highlight w:val="none"/>
        </w:rPr>
        <w:fldChar w:fldCharType="separate"/>
      </w:r>
      <w:r>
        <w:rPr>
          <w:rFonts w:hint="eastAsia" w:ascii="宋体" w:hAnsi="宋体" w:eastAsia="宋体" w:cs="宋体"/>
          <w:sz w:val="24"/>
          <w:szCs w:val="24"/>
          <w:highlight w:val="none"/>
        </w:rPr>
        <w:t>第五章  政府采购合同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_Toc20405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DF92C8C">
      <w:pPr>
        <w:pStyle w:val="16"/>
        <w:tabs>
          <w:tab w:val="right" w:leader="dot" w:pos="8306"/>
        </w:tabs>
        <w:rPr>
          <w:rFonts w:hint="eastAsia" w:ascii="宋体" w:hAnsi="宋体" w:eastAsia="宋体" w:cs="宋体"/>
          <w:sz w:val="24"/>
          <w:szCs w:val="24"/>
          <w:highlight w:val="none"/>
        </w:rPr>
      </w:pPr>
      <w:r>
        <w:rPr>
          <w:highlight w:val="none"/>
        </w:rPr>
        <w:fldChar w:fldCharType="begin"/>
      </w:r>
      <w:r>
        <w:rPr>
          <w:highlight w:val="none"/>
        </w:rPr>
        <w:instrText xml:space="preserve"> HYPERLINK \l "_Toc13555" </w:instrText>
      </w:r>
      <w:r>
        <w:rPr>
          <w:highlight w:val="none"/>
        </w:rPr>
        <w:fldChar w:fldCharType="separate"/>
      </w:r>
      <w:r>
        <w:rPr>
          <w:rFonts w:hint="eastAsia" w:ascii="宋体" w:hAnsi="宋体" w:eastAsia="宋体" w:cs="宋体"/>
          <w:sz w:val="24"/>
          <w:szCs w:val="24"/>
          <w:highlight w:val="none"/>
        </w:rPr>
        <w:t>第六章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A849DC9">
      <w:pPr>
        <w:pStyle w:val="16"/>
        <w:tabs>
          <w:tab w:val="right" w:leader="dot" w:pos="8306"/>
        </w:tabs>
        <w:rPr>
          <w:rFonts w:hint="eastAsia" w:ascii="宋体" w:hAnsi="宋体" w:eastAsia="宋体" w:cs="宋体"/>
          <w:sz w:val="24"/>
          <w:szCs w:val="24"/>
          <w:highlight w:val="none"/>
        </w:rPr>
      </w:pPr>
      <w:r>
        <w:rPr>
          <w:highlight w:val="none"/>
        </w:rPr>
        <w:fldChar w:fldCharType="begin"/>
      </w:r>
      <w:r>
        <w:rPr>
          <w:highlight w:val="none"/>
        </w:rPr>
        <w:instrText xml:space="preserve"> HYPERLINK \l "_Toc20819" </w:instrText>
      </w:r>
      <w:r>
        <w:rPr>
          <w:highlight w:val="none"/>
        </w:rPr>
        <w:fldChar w:fldCharType="separate"/>
      </w:r>
      <w:r>
        <w:rPr>
          <w:rFonts w:hint="eastAsia" w:ascii="宋体" w:hAnsi="宋体" w:eastAsia="宋体" w:cs="宋体"/>
          <w:sz w:val="24"/>
          <w:szCs w:val="24"/>
          <w:highlight w:val="none"/>
        </w:rPr>
        <w:t>第七章</w:t>
      </w:r>
      <w:r>
        <w:rPr>
          <w:rFonts w:hint="eastAsia" w:ascii="宋体" w:hAnsi="宋体" w:eastAsia="宋体" w:cs="宋体"/>
          <w:bCs/>
          <w:sz w:val="24"/>
          <w:szCs w:val="24"/>
          <w:highlight w:val="none"/>
        </w:rPr>
        <w:t xml:space="preserve">  政府采购</w:t>
      </w:r>
      <w:r>
        <w:rPr>
          <w:rFonts w:hint="eastAsia" w:ascii="宋体" w:hAnsi="宋体" w:eastAsia="宋体" w:cs="宋体"/>
          <w:sz w:val="24"/>
          <w:szCs w:val="24"/>
          <w:highlight w:val="none"/>
        </w:rPr>
        <w:t>供应</w:t>
      </w:r>
      <w:r>
        <w:rPr>
          <w:rFonts w:hint="eastAsia" w:ascii="宋体" w:hAnsi="宋体" w:eastAsia="宋体" w:cs="宋体"/>
          <w:bCs/>
          <w:sz w:val="24"/>
          <w:szCs w:val="24"/>
          <w:highlight w:val="none"/>
        </w:rPr>
        <w:t>商询问函和质疑函范本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_Toc20819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43EDBF9">
      <w:pPr>
        <w:spacing w:line="360" w:lineRule="auto"/>
        <w:rPr>
          <w:rFonts w:hint="eastAsia" w:asciiTheme="minorEastAsia" w:hAnsiTheme="minorEastAsia" w:eastAsiaTheme="minorEastAsia"/>
          <w:b/>
          <w:sz w:val="32"/>
          <w:highlight w:val="none"/>
        </w:rPr>
      </w:pPr>
      <w:r>
        <w:rPr>
          <w:rFonts w:hint="eastAsia" w:ascii="宋体" w:hAnsi="宋体" w:eastAsia="宋体" w:cs="宋体"/>
          <w:sz w:val="24"/>
          <w:szCs w:val="24"/>
          <w:highlight w:val="none"/>
        </w:rPr>
        <w:fldChar w:fldCharType="end"/>
      </w:r>
    </w:p>
    <w:p w14:paraId="6013E7F1">
      <w:pPr>
        <w:spacing w:line="360" w:lineRule="auto"/>
        <w:rPr>
          <w:rFonts w:hint="eastAsia" w:asciiTheme="minorEastAsia" w:hAnsiTheme="minorEastAsia" w:eastAsiaTheme="minorEastAsia"/>
          <w:b/>
          <w:sz w:val="32"/>
          <w:highlight w:val="none"/>
        </w:rPr>
      </w:pPr>
    </w:p>
    <w:p w14:paraId="059E5D08">
      <w:pPr>
        <w:spacing w:line="360" w:lineRule="auto"/>
        <w:jc w:val="center"/>
        <w:outlineLvl w:val="1"/>
        <w:rPr>
          <w:rFonts w:hint="eastAsia" w:asciiTheme="minorEastAsia" w:hAnsiTheme="minorEastAsia" w:eastAsiaTheme="minorEastAsia"/>
          <w:b/>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71297DB">
      <w:pPr>
        <w:spacing w:line="360" w:lineRule="auto"/>
        <w:jc w:val="center"/>
        <w:outlineLvl w:val="0"/>
        <w:rPr>
          <w:rFonts w:hint="eastAsia" w:asciiTheme="minorEastAsia" w:hAnsiTheme="minorEastAsia" w:eastAsiaTheme="minorEastAsia"/>
          <w:b/>
          <w:sz w:val="28"/>
          <w:highlight w:val="none"/>
        </w:rPr>
      </w:pPr>
      <w:bookmarkStart w:id="1" w:name="_Toc32331"/>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3C3639D4">
      <w:pPr>
        <w:wordWrap w:val="0"/>
        <w:spacing w:line="360" w:lineRule="auto"/>
        <w:ind w:firstLine="480" w:firstLineChars="200"/>
        <w:outlineLvl w:val="2"/>
        <w:rPr>
          <w:rFonts w:hint="eastAsia" w:ascii="宋体" w:hAnsi="宋体" w:eastAsia="宋体"/>
          <w:sz w:val="24"/>
          <w:szCs w:val="18"/>
          <w:highlight w:val="none"/>
        </w:rPr>
      </w:pPr>
      <w:bookmarkStart w:id="2" w:name="_Toc1215"/>
      <w:r>
        <w:rPr>
          <w:rFonts w:hint="eastAsia" w:ascii="宋体" w:hAnsi="宋体" w:eastAsia="宋体"/>
          <w:sz w:val="24"/>
          <w:szCs w:val="18"/>
          <w:highlight w:val="none"/>
        </w:rPr>
        <w:t>项目概况</w:t>
      </w:r>
    </w:p>
    <w:p w14:paraId="02A9E81B">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u w:val="single"/>
        </w:rPr>
        <w:t>滁州市公安局科信科350兆警用数字集群系统服务（2025-2027）项目</w:t>
      </w:r>
      <w:r>
        <w:rPr>
          <w:rFonts w:hint="eastAsia" w:ascii="宋体" w:hAnsi="宋体" w:eastAsia="宋体"/>
          <w:sz w:val="24"/>
          <w:szCs w:val="18"/>
          <w:highlight w:val="none"/>
        </w:rPr>
        <w:t>的潜在投标人应在</w:t>
      </w:r>
      <w:r>
        <w:rPr>
          <w:rFonts w:hint="eastAsia" w:ascii="宋体" w:hAnsi="宋体" w:eastAsia="宋体"/>
          <w:sz w:val="24"/>
          <w:szCs w:val="18"/>
          <w:highlight w:val="none"/>
          <w:u w:val="single"/>
        </w:rPr>
        <w:t>滁州市公共资源交易中心网（http：//ggzy.chuzhou.gov.cn/）</w:t>
      </w:r>
      <w:r>
        <w:rPr>
          <w:rFonts w:hint="eastAsia" w:ascii="宋体" w:hAnsi="宋体" w:eastAsia="宋体"/>
          <w:sz w:val="24"/>
          <w:szCs w:val="18"/>
          <w:highlight w:val="none"/>
        </w:rPr>
        <w:t>获取招标文件，并于</w:t>
      </w:r>
      <w:r>
        <w:rPr>
          <w:rFonts w:hint="eastAsia" w:ascii="宋体" w:hAnsi="宋体" w:eastAsia="宋体"/>
          <w:sz w:val="24"/>
          <w:szCs w:val="18"/>
          <w:highlight w:val="none"/>
          <w:u w:val="single"/>
        </w:rPr>
        <w:t>2025年1</w:t>
      </w:r>
      <w:r>
        <w:rPr>
          <w:rFonts w:hint="eastAsia" w:ascii="宋体" w:hAnsi="宋体" w:eastAsia="宋体"/>
          <w:sz w:val="24"/>
          <w:szCs w:val="18"/>
          <w:highlight w:val="none"/>
          <w:u w:val="single"/>
          <w:lang w:val="en-US" w:eastAsia="zh-CN"/>
        </w:rPr>
        <w:t>2</w:t>
      </w:r>
      <w:r>
        <w:rPr>
          <w:rFonts w:hint="eastAsia" w:ascii="宋体" w:hAnsi="宋体" w:eastAsia="宋体"/>
          <w:sz w:val="24"/>
          <w:szCs w:val="18"/>
          <w:highlight w:val="none"/>
          <w:u w:val="single"/>
        </w:rPr>
        <w:t>月</w:t>
      </w:r>
      <w:r>
        <w:rPr>
          <w:rFonts w:hint="eastAsia" w:ascii="宋体" w:hAnsi="宋体" w:eastAsia="宋体"/>
          <w:sz w:val="24"/>
          <w:szCs w:val="18"/>
          <w:highlight w:val="none"/>
          <w:u w:val="single"/>
          <w:lang w:val="en-US" w:eastAsia="zh-CN"/>
        </w:rPr>
        <w:t>18</w:t>
      </w:r>
      <w:r>
        <w:rPr>
          <w:rFonts w:hint="eastAsia" w:ascii="宋体" w:hAnsi="宋体" w:eastAsia="宋体"/>
          <w:sz w:val="24"/>
          <w:szCs w:val="18"/>
          <w:highlight w:val="none"/>
          <w:u w:val="single"/>
        </w:rPr>
        <w:t>日8点</w:t>
      </w:r>
      <w:r>
        <w:rPr>
          <w:rFonts w:hint="eastAsia" w:ascii="宋体" w:hAnsi="宋体" w:eastAsia="宋体"/>
          <w:sz w:val="24"/>
          <w:szCs w:val="18"/>
          <w:highlight w:val="none"/>
          <w:u w:val="single"/>
          <w:lang w:val="en-US" w:eastAsia="zh-CN"/>
        </w:rPr>
        <w:t>3</w:t>
      </w:r>
      <w:r>
        <w:rPr>
          <w:rFonts w:hint="eastAsia" w:ascii="宋体" w:hAnsi="宋体" w:eastAsia="宋体"/>
          <w:sz w:val="24"/>
          <w:szCs w:val="18"/>
          <w:highlight w:val="none"/>
          <w:u w:val="single"/>
        </w:rPr>
        <w:t>0分</w:t>
      </w:r>
      <w:r>
        <w:rPr>
          <w:rFonts w:hint="eastAsia" w:ascii="宋体" w:hAnsi="宋体" w:eastAsia="宋体"/>
          <w:sz w:val="24"/>
          <w:szCs w:val="18"/>
          <w:highlight w:val="none"/>
        </w:rPr>
        <w:t>（北京时间）前递交投标文件。</w:t>
      </w:r>
    </w:p>
    <w:p w14:paraId="4D887E94">
      <w:pPr>
        <w:spacing w:line="360" w:lineRule="auto"/>
        <w:ind w:firstLine="482" w:firstLineChars="200"/>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一、项目基本情况</w:t>
      </w:r>
    </w:p>
    <w:p w14:paraId="5D2A0F19">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项目编号：czsjcg202511-047</w:t>
      </w:r>
    </w:p>
    <w:p w14:paraId="7F992596">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项目名称：滁州市公安局科信科350兆警用数字集群系统服务（2025-2027）项目</w:t>
      </w:r>
    </w:p>
    <w:p w14:paraId="74B58BC7">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预算金额：980000.00元/年；三年2940000.00元</w:t>
      </w:r>
    </w:p>
    <w:p w14:paraId="0F19FD52">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最高限价：9</w:t>
      </w:r>
      <w:r>
        <w:rPr>
          <w:rFonts w:hint="eastAsia" w:ascii="宋体" w:hAnsi="宋体" w:eastAsia="宋体"/>
          <w:sz w:val="24"/>
          <w:szCs w:val="18"/>
          <w:highlight w:val="none"/>
          <w:lang w:val="en-US" w:eastAsia="zh-CN"/>
        </w:rPr>
        <w:t>6251</w:t>
      </w:r>
      <w:r>
        <w:rPr>
          <w:rFonts w:hint="eastAsia" w:ascii="宋体" w:hAnsi="宋体" w:eastAsia="宋体"/>
          <w:sz w:val="24"/>
          <w:szCs w:val="18"/>
          <w:highlight w:val="none"/>
        </w:rPr>
        <w:t>0.00元/年，三年2</w:t>
      </w:r>
      <w:r>
        <w:rPr>
          <w:rFonts w:hint="eastAsia" w:ascii="宋体" w:hAnsi="宋体" w:eastAsia="宋体"/>
          <w:sz w:val="24"/>
          <w:szCs w:val="18"/>
          <w:highlight w:val="none"/>
          <w:lang w:val="en-US" w:eastAsia="zh-CN"/>
        </w:rPr>
        <w:t>88753</w:t>
      </w:r>
      <w:r>
        <w:rPr>
          <w:rFonts w:hint="eastAsia" w:ascii="宋体" w:hAnsi="宋体" w:eastAsia="宋体"/>
          <w:sz w:val="24"/>
          <w:szCs w:val="18"/>
          <w:highlight w:val="none"/>
        </w:rPr>
        <w:t>0.00元，投标人投标报价不得高于最高限价，否则，其投标文件按无效标处理。</w:t>
      </w:r>
    </w:p>
    <w:p w14:paraId="5D23CAEA">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采购需求：本次服务主要内容，一是维护系统软件功能运行正常，二是提供基站设备进行平滑替换和补盲，三是进一步提升系统的网络安全防护能力，四是为项目提供人员保障支撑和应急通信服务支撑。</w:t>
      </w:r>
    </w:p>
    <w:p w14:paraId="5C0472B9">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合同履行期限：三年，具体以合同签订日期为准。</w:t>
      </w:r>
    </w:p>
    <w:p w14:paraId="41E59B23">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本项目不接受联合体投标。</w:t>
      </w:r>
    </w:p>
    <w:p w14:paraId="0F43CBDE">
      <w:pPr>
        <w:spacing w:line="360" w:lineRule="auto"/>
        <w:ind w:firstLine="482" w:firstLineChars="200"/>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二、申请人的资格要求</w:t>
      </w:r>
    </w:p>
    <w:p w14:paraId="506E8238">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1.满足《中华人民共和国政府采购法》第二十二条规定；</w:t>
      </w:r>
    </w:p>
    <w:p w14:paraId="02F52380">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2.落实政府采购政策需满足的资格要求：</w:t>
      </w:r>
      <w:r>
        <w:rPr>
          <w:rFonts w:hint="eastAsia" w:ascii="宋体" w:hAnsi="宋体" w:eastAsia="宋体"/>
          <w:sz w:val="24"/>
          <w:szCs w:val="18"/>
          <w:highlight w:val="none"/>
          <w:u w:val="single"/>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1056F999">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3.本项目的特定资格要求：</w:t>
      </w:r>
      <w:r>
        <w:rPr>
          <w:rFonts w:hint="eastAsia" w:ascii="宋体" w:hAnsi="宋体" w:eastAsia="宋体"/>
          <w:sz w:val="24"/>
          <w:szCs w:val="18"/>
          <w:highlight w:val="none"/>
          <w:lang w:val="en-US" w:eastAsia="zh-CN"/>
        </w:rPr>
        <w:t>无</w:t>
      </w:r>
      <w:r>
        <w:rPr>
          <w:rFonts w:hint="eastAsia" w:ascii="宋体" w:hAnsi="宋体" w:eastAsia="宋体"/>
          <w:sz w:val="24"/>
          <w:szCs w:val="18"/>
          <w:highlight w:val="none"/>
        </w:rPr>
        <w:t>。</w:t>
      </w:r>
    </w:p>
    <w:p w14:paraId="06D359C1">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4.信誉要求：投标人不得存在以下情形：</w:t>
      </w:r>
    </w:p>
    <w:p w14:paraId="2B1A799D">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①被列入“信用中国”网站“失信被执行人”的；</w:t>
      </w:r>
    </w:p>
    <w:p w14:paraId="3E56338A">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②被列入“信用中国”网站“重大税收违法失信主体”的；</w:t>
      </w:r>
    </w:p>
    <w:p w14:paraId="20F6A929">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③被列入“信用中国”网站 “严重失信主体名单”的；</w:t>
      </w:r>
    </w:p>
    <w:p w14:paraId="60AA378E">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④在</w:t>
      </w:r>
      <w:bookmarkStart w:id="3" w:name="OLE_LINK129"/>
      <w:bookmarkStart w:id="4" w:name="OLE_LINK127"/>
      <w:bookmarkStart w:id="5" w:name="OLE_LINK128"/>
      <w:r>
        <w:rPr>
          <w:rFonts w:hint="eastAsia" w:ascii="宋体" w:hAnsi="宋体" w:eastAsia="宋体"/>
          <w:sz w:val="24"/>
          <w:szCs w:val="18"/>
          <w:highlight w:val="none"/>
        </w:rPr>
        <w:t>“信用中国”网站</w:t>
      </w:r>
      <w:bookmarkEnd w:id="3"/>
      <w:bookmarkEnd w:id="4"/>
      <w:bookmarkEnd w:id="5"/>
      <w:r>
        <w:rPr>
          <w:rFonts w:hint="eastAsia" w:ascii="宋体" w:hAnsi="宋体" w:eastAsia="宋体"/>
          <w:sz w:val="24"/>
          <w:szCs w:val="18"/>
          <w:highlight w:val="none"/>
        </w:rPr>
        <w:t>上披露的仍在公示期的严重失信行为(具体行为类别及判定依据见“信用中国”查询的严重失信行为类别及判定依据)的。</w:t>
      </w:r>
    </w:p>
    <w:p w14:paraId="277095AC">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⑤被列入国家企业信用信息公示系统网站“经营异常名录”或者“严重违法失信名单”的。</w:t>
      </w:r>
    </w:p>
    <w:p w14:paraId="1A2B0C73">
      <w:pPr>
        <w:wordWrap w:val="0"/>
        <w:spacing w:line="360" w:lineRule="auto"/>
        <w:ind w:firstLine="480" w:firstLineChars="200"/>
        <w:outlineLvl w:val="2"/>
        <w:rPr>
          <w:rFonts w:hint="eastAsia" w:ascii="宋体" w:hAnsi="宋体" w:eastAsia="宋体"/>
          <w:sz w:val="24"/>
          <w:szCs w:val="18"/>
          <w:highlight w:val="none"/>
        </w:rPr>
      </w:pPr>
      <w:bookmarkStart w:id="6" w:name="OLE_LINK114"/>
      <w:bookmarkStart w:id="7" w:name="OLE_LINK113"/>
      <w:r>
        <w:rPr>
          <w:rFonts w:hint="eastAsia" w:ascii="宋体" w:hAnsi="宋体" w:eastAsia="宋体"/>
          <w:sz w:val="24"/>
          <w:szCs w:val="18"/>
          <w:highlight w:val="none"/>
        </w:rPr>
        <w:t>⑥</w:t>
      </w:r>
      <w:bookmarkEnd w:id="6"/>
      <w:bookmarkEnd w:id="7"/>
      <w:r>
        <w:rPr>
          <w:rFonts w:hint="eastAsia" w:ascii="宋体" w:hAnsi="宋体" w:eastAsia="宋体"/>
          <w:sz w:val="24"/>
          <w:szCs w:val="18"/>
          <w:highlight w:val="none"/>
        </w:rPr>
        <w:t>被列入中国政府采购网站“政府采购严重违法失信行为信息记录”的。</w:t>
      </w:r>
    </w:p>
    <w:p w14:paraId="7CDF0376">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⑦前三年有行贿犯罪行为的单位和个人。</w:t>
      </w:r>
    </w:p>
    <w:p w14:paraId="4AE91692">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5.投标人所属分公司、办事处等分支机构存在第4款信誉要求①-⑦项情形之一的，接受投标人参加本项目。</w:t>
      </w:r>
    </w:p>
    <w:p w14:paraId="0E71EE11">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备注：第4、5条按照“关于联合惩戒失信行为加强信用查询管理的通知”查询或承诺。</w:t>
      </w:r>
    </w:p>
    <w:p w14:paraId="6A2C0BC0">
      <w:pPr>
        <w:spacing w:line="360" w:lineRule="auto"/>
        <w:ind w:firstLine="482" w:firstLineChars="200"/>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三、获取招标文件</w:t>
      </w:r>
    </w:p>
    <w:p w14:paraId="2AD98061">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时间：</w:t>
      </w:r>
      <w:r>
        <w:rPr>
          <w:rFonts w:hint="eastAsia" w:ascii="宋体" w:hAnsi="宋体" w:eastAsia="宋体"/>
          <w:sz w:val="24"/>
          <w:szCs w:val="18"/>
          <w:highlight w:val="none"/>
          <w:u w:val="single"/>
        </w:rPr>
        <w:t>2025年1</w:t>
      </w:r>
      <w:r>
        <w:rPr>
          <w:rFonts w:hint="eastAsia" w:ascii="宋体" w:hAnsi="宋体" w:eastAsia="宋体"/>
          <w:sz w:val="24"/>
          <w:szCs w:val="18"/>
          <w:highlight w:val="none"/>
          <w:u w:val="single"/>
          <w:lang w:val="en-US" w:eastAsia="zh-CN"/>
        </w:rPr>
        <w:t>1</w:t>
      </w:r>
      <w:r>
        <w:rPr>
          <w:rFonts w:hint="eastAsia" w:ascii="宋体" w:hAnsi="宋体" w:eastAsia="宋体"/>
          <w:sz w:val="24"/>
          <w:szCs w:val="18"/>
          <w:highlight w:val="none"/>
          <w:u w:val="single"/>
        </w:rPr>
        <w:t>月</w:t>
      </w:r>
      <w:r>
        <w:rPr>
          <w:rFonts w:hint="eastAsia" w:ascii="宋体" w:hAnsi="宋体" w:eastAsia="宋体"/>
          <w:sz w:val="24"/>
          <w:szCs w:val="18"/>
          <w:highlight w:val="none"/>
          <w:u w:val="single"/>
          <w:lang w:val="en-US" w:eastAsia="zh-CN"/>
        </w:rPr>
        <w:t>27</w:t>
      </w:r>
      <w:r>
        <w:rPr>
          <w:rFonts w:hint="eastAsia" w:ascii="宋体" w:hAnsi="宋体" w:eastAsia="宋体"/>
          <w:sz w:val="24"/>
          <w:szCs w:val="18"/>
          <w:highlight w:val="none"/>
          <w:u w:val="single"/>
        </w:rPr>
        <w:t>日</w:t>
      </w:r>
      <w:r>
        <w:rPr>
          <w:rFonts w:hint="eastAsia" w:ascii="宋体" w:hAnsi="宋体" w:eastAsia="宋体"/>
          <w:sz w:val="24"/>
          <w:szCs w:val="18"/>
          <w:highlight w:val="none"/>
        </w:rPr>
        <w:t>至</w:t>
      </w:r>
      <w:r>
        <w:rPr>
          <w:rFonts w:hint="eastAsia" w:ascii="宋体" w:hAnsi="宋体" w:eastAsia="宋体"/>
          <w:sz w:val="24"/>
          <w:szCs w:val="18"/>
          <w:highlight w:val="none"/>
          <w:u w:val="single"/>
        </w:rPr>
        <w:t>2025年1</w:t>
      </w:r>
      <w:r>
        <w:rPr>
          <w:rFonts w:hint="eastAsia" w:ascii="宋体" w:hAnsi="宋体" w:eastAsia="宋体"/>
          <w:sz w:val="24"/>
          <w:szCs w:val="18"/>
          <w:highlight w:val="none"/>
          <w:u w:val="single"/>
          <w:lang w:val="en-US" w:eastAsia="zh-CN"/>
        </w:rPr>
        <w:t>2</w:t>
      </w:r>
      <w:r>
        <w:rPr>
          <w:rFonts w:hint="eastAsia" w:ascii="宋体" w:hAnsi="宋体" w:eastAsia="宋体"/>
          <w:sz w:val="24"/>
          <w:szCs w:val="18"/>
          <w:highlight w:val="none"/>
          <w:u w:val="single"/>
        </w:rPr>
        <w:t>月</w:t>
      </w:r>
      <w:r>
        <w:rPr>
          <w:rFonts w:hint="eastAsia" w:ascii="宋体" w:hAnsi="宋体" w:eastAsia="宋体"/>
          <w:sz w:val="24"/>
          <w:szCs w:val="18"/>
          <w:highlight w:val="none"/>
          <w:u w:val="single"/>
          <w:lang w:val="en-US" w:eastAsia="zh-CN"/>
        </w:rPr>
        <w:t>18</w:t>
      </w:r>
      <w:r>
        <w:rPr>
          <w:rFonts w:hint="eastAsia" w:ascii="宋体" w:hAnsi="宋体" w:eastAsia="宋体"/>
          <w:sz w:val="24"/>
          <w:szCs w:val="18"/>
          <w:highlight w:val="none"/>
          <w:u w:val="single"/>
        </w:rPr>
        <w:t>日</w:t>
      </w:r>
      <w:r>
        <w:rPr>
          <w:rFonts w:hint="eastAsia" w:ascii="宋体" w:hAnsi="宋体" w:eastAsia="宋体"/>
          <w:sz w:val="24"/>
          <w:szCs w:val="18"/>
          <w:highlight w:val="none"/>
        </w:rPr>
        <w:t>（提供期限自本公告发布之日起不得少于5个工作日）</w:t>
      </w:r>
    </w:p>
    <w:p w14:paraId="508D7BA3">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地点：滁州市公共资源交易中心网</w:t>
      </w:r>
    </w:p>
    <w:p w14:paraId="4035D01F">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方式：网上下载</w:t>
      </w:r>
    </w:p>
    <w:p w14:paraId="0116D5CA">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售价：0元</w:t>
      </w:r>
    </w:p>
    <w:p w14:paraId="31693795">
      <w:pPr>
        <w:spacing w:line="360" w:lineRule="auto"/>
        <w:ind w:firstLine="482" w:firstLineChars="200"/>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四、提交投标文件截止时间、开标时间和地点</w:t>
      </w:r>
    </w:p>
    <w:p w14:paraId="6879045F">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u w:val="single"/>
        </w:rPr>
        <w:t>2025年1</w:t>
      </w:r>
      <w:r>
        <w:rPr>
          <w:rFonts w:hint="eastAsia" w:ascii="宋体" w:hAnsi="宋体" w:eastAsia="宋体"/>
          <w:sz w:val="24"/>
          <w:szCs w:val="18"/>
          <w:highlight w:val="none"/>
          <w:u w:val="single"/>
          <w:lang w:val="en-US" w:eastAsia="zh-CN"/>
        </w:rPr>
        <w:t>2</w:t>
      </w:r>
      <w:r>
        <w:rPr>
          <w:rFonts w:hint="eastAsia" w:ascii="宋体" w:hAnsi="宋体" w:eastAsia="宋体"/>
          <w:sz w:val="24"/>
          <w:szCs w:val="18"/>
          <w:highlight w:val="none"/>
          <w:u w:val="single"/>
        </w:rPr>
        <w:t>月</w:t>
      </w:r>
      <w:r>
        <w:rPr>
          <w:rFonts w:hint="eastAsia" w:ascii="宋体" w:hAnsi="宋体" w:eastAsia="宋体"/>
          <w:sz w:val="24"/>
          <w:szCs w:val="18"/>
          <w:highlight w:val="none"/>
          <w:u w:val="single"/>
          <w:lang w:val="en-US" w:eastAsia="zh-CN"/>
        </w:rPr>
        <w:t>18</w:t>
      </w:r>
      <w:r>
        <w:rPr>
          <w:rFonts w:hint="eastAsia" w:ascii="宋体" w:hAnsi="宋体" w:eastAsia="宋体"/>
          <w:sz w:val="24"/>
          <w:szCs w:val="18"/>
          <w:highlight w:val="none"/>
          <w:u w:val="single"/>
        </w:rPr>
        <w:t>日8点</w:t>
      </w:r>
      <w:r>
        <w:rPr>
          <w:rFonts w:hint="eastAsia" w:ascii="宋体" w:hAnsi="宋体" w:eastAsia="宋体"/>
          <w:sz w:val="24"/>
          <w:szCs w:val="18"/>
          <w:highlight w:val="none"/>
          <w:u w:val="single"/>
          <w:lang w:val="en-US" w:eastAsia="zh-CN"/>
        </w:rPr>
        <w:t>3</w:t>
      </w:r>
      <w:r>
        <w:rPr>
          <w:rFonts w:hint="eastAsia" w:ascii="宋体" w:hAnsi="宋体" w:eastAsia="宋体"/>
          <w:sz w:val="24"/>
          <w:szCs w:val="18"/>
          <w:highlight w:val="none"/>
          <w:u w:val="single"/>
        </w:rPr>
        <w:t>0分</w:t>
      </w:r>
      <w:r>
        <w:rPr>
          <w:rFonts w:hint="eastAsia" w:ascii="宋体" w:hAnsi="宋体" w:eastAsia="宋体"/>
          <w:sz w:val="24"/>
          <w:szCs w:val="18"/>
          <w:highlight w:val="none"/>
        </w:rPr>
        <w:t>（北京时间）（自招标文件开始发出之日起至投标人提交投标文件截止之日止，不得少于20日）</w:t>
      </w:r>
    </w:p>
    <w:p w14:paraId="0EC46A3D">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地点：滁州市公共资源交易平台电子交易系统</w:t>
      </w:r>
    </w:p>
    <w:p w14:paraId="063DD1E7">
      <w:pPr>
        <w:spacing w:line="360" w:lineRule="auto"/>
        <w:ind w:firstLine="482" w:firstLineChars="200"/>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五、公告期限</w:t>
      </w:r>
    </w:p>
    <w:p w14:paraId="69835C76">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自本公告发布之日起5个工作日。</w:t>
      </w:r>
    </w:p>
    <w:p w14:paraId="62FAD2DD">
      <w:pPr>
        <w:spacing w:line="360" w:lineRule="auto"/>
        <w:ind w:firstLine="482" w:firstLineChars="200"/>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六、其他补充事宜</w:t>
      </w:r>
    </w:p>
    <w:p w14:paraId="4895D2CC">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173BDFC">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2.请投标人登录滁州市公共资源交易中心网站查看参加本项目的程序。（具体操作步骤和程序请参见服务指南&gt;交易须知&gt;投标人填写投标信息、下载文件及网上提问操作手册）。</w:t>
      </w:r>
    </w:p>
    <w:p w14:paraId="2C877F84">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34B23D15">
      <w:pPr>
        <w:wordWrap w:val="0"/>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2"/>
    <w:p w14:paraId="099839BA">
      <w:pPr>
        <w:spacing w:line="360" w:lineRule="auto"/>
        <w:ind w:firstLine="482" w:firstLineChars="200"/>
        <w:outlineLvl w:val="1"/>
        <w:rPr>
          <w:rFonts w:hint="eastAsia" w:ascii="宋体" w:hAnsi="宋体" w:eastAsia="宋体"/>
          <w:b/>
          <w:bCs/>
          <w:sz w:val="24"/>
          <w:szCs w:val="18"/>
          <w:highlight w:val="none"/>
        </w:rPr>
      </w:pPr>
      <w:bookmarkStart w:id="8" w:name="_Toc7265"/>
      <w:bookmarkStart w:id="9" w:name="_Toc13296"/>
      <w:r>
        <w:rPr>
          <w:rFonts w:hint="eastAsia" w:ascii="宋体" w:hAnsi="宋体" w:eastAsia="宋体"/>
          <w:b/>
          <w:bCs/>
          <w:sz w:val="24"/>
          <w:szCs w:val="18"/>
          <w:highlight w:val="none"/>
        </w:rPr>
        <w:t>七、</w:t>
      </w:r>
      <w:bookmarkEnd w:id="8"/>
      <w:r>
        <w:rPr>
          <w:rFonts w:hint="eastAsia" w:ascii="宋体" w:hAnsi="宋体" w:eastAsia="宋体"/>
          <w:b/>
          <w:bCs/>
          <w:sz w:val="24"/>
          <w:szCs w:val="18"/>
          <w:highlight w:val="none"/>
        </w:rPr>
        <w:t>对本次招标提出询问，请按以下方式联系</w:t>
      </w:r>
      <w:bookmarkEnd w:id="9"/>
    </w:p>
    <w:p w14:paraId="09041A7E">
      <w:pPr>
        <w:spacing w:line="360" w:lineRule="auto"/>
        <w:ind w:firstLine="480" w:firstLineChars="200"/>
        <w:outlineLvl w:val="2"/>
        <w:rPr>
          <w:rFonts w:hint="eastAsia" w:ascii="宋体" w:hAnsi="宋体" w:eastAsia="宋体"/>
          <w:sz w:val="24"/>
          <w:szCs w:val="18"/>
          <w:highlight w:val="none"/>
        </w:rPr>
      </w:pPr>
      <w:r>
        <w:rPr>
          <w:rFonts w:hint="eastAsia" w:ascii="宋体" w:hAnsi="宋体" w:eastAsia="宋体"/>
          <w:sz w:val="24"/>
          <w:szCs w:val="18"/>
          <w:highlight w:val="none"/>
        </w:rPr>
        <w:t>1.采购人信息</w:t>
      </w:r>
    </w:p>
    <w:p w14:paraId="672CBBE2">
      <w:pPr>
        <w:spacing w:line="360" w:lineRule="auto"/>
        <w:ind w:firstLine="480" w:firstLineChars="200"/>
        <w:rPr>
          <w:rFonts w:hint="eastAsia"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滁州市公安局</w:t>
      </w:r>
    </w:p>
    <w:p w14:paraId="04352E87">
      <w:pPr>
        <w:spacing w:line="360" w:lineRule="auto"/>
        <w:ind w:firstLine="480" w:firstLineChars="200"/>
        <w:rPr>
          <w:rFonts w:hint="eastAsia"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hint="eastAsia" w:ascii="宋体" w:hAnsi="宋体" w:eastAsia="宋体"/>
          <w:sz w:val="24"/>
          <w:szCs w:val="18"/>
          <w:highlight w:val="none"/>
          <w:u w:val="single"/>
        </w:rPr>
        <w:t>滁州市龙蟠大道111号</w:t>
      </w:r>
    </w:p>
    <w:p w14:paraId="4747CD60">
      <w:pPr>
        <w:spacing w:line="360" w:lineRule="auto"/>
        <w:ind w:firstLine="480" w:firstLineChars="200"/>
        <w:rPr>
          <w:rFonts w:hint="eastAsia"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王鹏</w:t>
      </w:r>
    </w:p>
    <w:p w14:paraId="1D06FABC">
      <w:pPr>
        <w:spacing w:line="360" w:lineRule="auto"/>
        <w:ind w:firstLine="480" w:firstLineChars="200"/>
        <w:rPr>
          <w:rFonts w:hint="eastAsia"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0550-3064711-2055</w:t>
      </w:r>
    </w:p>
    <w:p w14:paraId="3E15129A">
      <w:pPr>
        <w:spacing w:line="360" w:lineRule="auto"/>
        <w:ind w:firstLine="480" w:firstLineChars="200"/>
        <w:outlineLvl w:val="2"/>
        <w:rPr>
          <w:rFonts w:hint="eastAsia"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7DCF845A">
      <w:pPr>
        <w:spacing w:line="360" w:lineRule="auto"/>
        <w:ind w:firstLine="480" w:firstLineChars="200"/>
        <w:rPr>
          <w:rFonts w:hint="eastAsia"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滁州市政府采购中心</w:t>
      </w:r>
    </w:p>
    <w:p w14:paraId="1B9B576B">
      <w:pPr>
        <w:spacing w:line="360" w:lineRule="auto"/>
        <w:ind w:firstLine="480" w:firstLineChars="200"/>
        <w:rPr>
          <w:rFonts w:hint="eastAsia"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滁州市龙蟠大道109号房产商务大厦2楼</w:t>
      </w:r>
    </w:p>
    <w:p w14:paraId="2F0E38D8">
      <w:pPr>
        <w:spacing w:line="360" w:lineRule="auto"/>
        <w:ind w:firstLine="480" w:firstLineChars="200"/>
        <w:rPr>
          <w:rFonts w:hint="eastAsia"/>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胡国庆</w:t>
      </w:r>
    </w:p>
    <w:p w14:paraId="6A5B26BF">
      <w:pPr>
        <w:spacing w:line="360" w:lineRule="auto"/>
        <w:ind w:firstLine="480" w:firstLineChars="200"/>
        <w:rPr>
          <w:rFonts w:hint="eastAsia"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0550-3519517、18005500950</w:t>
      </w:r>
    </w:p>
    <w:p w14:paraId="51683A86">
      <w:pPr>
        <w:spacing w:line="360" w:lineRule="auto"/>
        <w:ind w:firstLine="480" w:firstLineChars="200"/>
        <w:outlineLvl w:val="2"/>
        <w:rPr>
          <w:rFonts w:hint="eastAsia"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288856B6">
      <w:pPr>
        <w:spacing w:line="360" w:lineRule="auto"/>
        <w:ind w:firstLine="480" w:firstLineChars="200"/>
        <w:rPr>
          <w:rFonts w:hint="eastAsia"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滁州市公共资源交易监督管理局</w:t>
      </w:r>
    </w:p>
    <w:p w14:paraId="7B126138">
      <w:pPr>
        <w:spacing w:line="360" w:lineRule="auto"/>
        <w:ind w:firstLine="480" w:firstLineChars="200"/>
        <w:rPr>
          <w:rFonts w:hint="eastAsia"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滁州市龙蟠大道109号房产大厦三楼</w:t>
      </w:r>
    </w:p>
    <w:p w14:paraId="7F0F1BAC">
      <w:pPr>
        <w:spacing w:line="360" w:lineRule="auto"/>
        <w:ind w:firstLine="480" w:firstLineChars="200"/>
        <w:rPr>
          <w:rFonts w:hint="eastAsia"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0550-3801601</w:t>
      </w:r>
    </w:p>
    <w:p w14:paraId="72BA8C68">
      <w:pPr>
        <w:widowControl/>
        <w:jc w:val="left"/>
        <w:rPr>
          <w:rFonts w:hint="eastAsia" w:ascii="宋体" w:hAnsi="宋体" w:eastAsia="宋体"/>
          <w:sz w:val="24"/>
          <w:szCs w:val="18"/>
          <w:highlight w:val="none"/>
        </w:rPr>
      </w:pPr>
      <w:r>
        <w:rPr>
          <w:rFonts w:ascii="宋体" w:hAnsi="宋体" w:eastAsia="宋体"/>
          <w:sz w:val="24"/>
          <w:szCs w:val="18"/>
          <w:highlight w:val="none"/>
        </w:rPr>
        <w:br w:type="page"/>
      </w:r>
    </w:p>
    <w:p w14:paraId="5895117F">
      <w:pPr>
        <w:spacing w:line="360" w:lineRule="auto"/>
        <w:jc w:val="center"/>
        <w:outlineLvl w:val="0"/>
        <w:rPr>
          <w:rFonts w:hint="eastAsia" w:asciiTheme="minorEastAsia" w:hAnsiTheme="minorEastAsia" w:eastAsiaTheme="minorEastAsia"/>
          <w:b/>
          <w:sz w:val="28"/>
          <w:highlight w:val="none"/>
        </w:rPr>
      </w:pPr>
      <w:bookmarkStart w:id="10" w:name="_Toc8888"/>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0"/>
    </w:p>
    <w:p w14:paraId="1DB4DC0C">
      <w:pPr>
        <w:spacing w:line="360" w:lineRule="auto"/>
        <w:jc w:val="center"/>
        <w:outlineLvl w:val="1"/>
        <w:rPr>
          <w:rFonts w:hint="eastAsia" w:asciiTheme="minorEastAsia" w:hAnsiTheme="minorEastAsia" w:eastAsiaTheme="minorEastAsia"/>
          <w:b/>
          <w:sz w:val="24"/>
          <w:highlight w:val="none"/>
        </w:rPr>
      </w:pPr>
      <w:bookmarkStart w:id="11" w:name="_Toc7178"/>
      <w:bookmarkStart w:id="12" w:name="_Toc13589"/>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1"/>
      <w:bookmarkEnd w:id="12"/>
    </w:p>
    <w:p w14:paraId="0C5EA96B">
      <w:pP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3"/>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0FF7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7A56B10">
            <w:pPr>
              <w:pStyle w:val="41"/>
              <w:widowControl w:val="0"/>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174" w:type="pct"/>
            <w:vAlign w:val="center"/>
          </w:tcPr>
          <w:p w14:paraId="4D52E8FB">
            <w:pPr>
              <w:pStyle w:val="41"/>
              <w:widowControl w:val="0"/>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3244" w:type="pct"/>
            <w:vAlign w:val="center"/>
          </w:tcPr>
          <w:p w14:paraId="7A8DAF03">
            <w:pPr>
              <w:pStyle w:val="41"/>
              <w:widowControl w:val="0"/>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36CF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600B0B">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5999451D">
            <w:pPr>
              <w:pStyle w:val="41"/>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kern w:val="2"/>
                <w:sz w:val="24"/>
                <w:szCs w:val="22"/>
                <w:highlight w:val="none"/>
              </w:rPr>
              <w:t>现场考察或标前答疑会</w:t>
            </w:r>
          </w:p>
        </w:tc>
        <w:tc>
          <w:tcPr>
            <w:tcW w:w="3244" w:type="pct"/>
            <w:vAlign w:val="center"/>
          </w:tcPr>
          <w:p w14:paraId="7C6350F9">
            <w:pPr>
              <w:spacing w:line="360" w:lineRule="auto"/>
              <w:rPr>
                <w:rFonts w:hint="eastAsia"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09B7C666">
            <w:pPr>
              <w:spacing w:line="360" w:lineRule="auto"/>
              <w:rPr>
                <w:rFonts w:hint="eastAsia"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1B9E4CD0">
            <w:pPr>
              <w:spacing w:line="360" w:lineRule="auto"/>
              <w:rPr>
                <w:rFonts w:hint="eastAsia"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5B3B8C8D">
            <w:pPr>
              <w:spacing w:line="360" w:lineRule="auto"/>
              <w:rPr>
                <w:rFonts w:hint="eastAsia"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w:t>
            </w:r>
            <w:r>
              <w:rPr>
                <w:rFonts w:ascii="宋体" w:hAnsi="宋体" w:eastAsia="宋体"/>
                <w:bCs/>
                <w:sz w:val="24"/>
                <w:highlight w:val="none"/>
                <w:u w:val="single"/>
              </w:rPr>
              <w:t xml:space="preserve">                  </w:t>
            </w:r>
          </w:p>
          <w:p w14:paraId="7C70411D">
            <w:pPr>
              <w:spacing w:line="360" w:lineRule="auto"/>
              <w:rPr>
                <w:rFonts w:hint="eastAsia"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w:t>
            </w:r>
            <w:r>
              <w:rPr>
                <w:rFonts w:ascii="宋体" w:hAnsi="宋体" w:eastAsia="宋体"/>
                <w:bCs/>
                <w:sz w:val="24"/>
                <w:highlight w:val="none"/>
                <w:u w:val="single"/>
              </w:rPr>
              <w:t xml:space="preserve">      </w:t>
            </w:r>
          </w:p>
          <w:p w14:paraId="1EA9F07F">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0692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179C99">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174" w:type="pct"/>
            <w:vAlign w:val="center"/>
          </w:tcPr>
          <w:p w14:paraId="5E064442">
            <w:pPr>
              <w:pStyle w:val="41"/>
              <w:widowControl w:val="0"/>
              <w:spacing w:before="0" w:beforeAutospacing="0" w:after="0" w:afterAutospacing="0"/>
              <w:jc w:val="left"/>
              <w:rPr>
                <w:rFonts w:hint="eastAsia" w:ascii="宋体" w:hAnsi="宋体" w:eastAsia="宋体"/>
                <w:b w:val="0"/>
                <w:sz w:val="24"/>
                <w:highlight w:val="none"/>
              </w:rPr>
            </w:pPr>
            <w:r>
              <w:rPr>
                <w:rFonts w:hint="eastAsia" w:ascii="宋体" w:hAnsi="宋体" w:eastAsia="宋体"/>
                <w:b w:val="0"/>
                <w:sz w:val="24"/>
                <w:highlight w:val="none"/>
              </w:rPr>
              <w:t>网上询问截止时间</w:t>
            </w:r>
          </w:p>
        </w:tc>
        <w:tc>
          <w:tcPr>
            <w:tcW w:w="3244" w:type="pct"/>
            <w:vAlign w:val="center"/>
          </w:tcPr>
          <w:p w14:paraId="4240CDCA">
            <w:pPr>
              <w:pStyle w:val="41"/>
              <w:widowControl w:val="0"/>
              <w:spacing w:before="0" w:beforeAutospacing="0" w:after="0" w:afterAutospacing="0"/>
              <w:jc w:val="both"/>
              <w:rPr>
                <w:rFonts w:hint="eastAsia" w:ascii="宋体" w:hAnsi="宋体" w:eastAsia="宋体"/>
                <w:b w:val="0"/>
                <w:sz w:val="24"/>
                <w:highlight w:val="none"/>
              </w:rPr>
            </w:pPr>
            <w:r>
              <w:rPr>
                <w:rFonts w:ascii="宋体" w:hAnsi="宋体" w:eastAsia="宋体"/>
                <w:b w:val="0"/>
                <w:sz w:val="24"/>
                <w:highlight w:val="none"/>
                <w:u w:val="single"/>
              </w:rPr>
              <w:t xml:space="preserve"> </w:t>
            </w:r>
            <w:r>
              <w:rPr>
                <w:rFonts w:hint="eastAsia" w:ascii="宋体" w:hAnsi="宋体" w:eastAsia="宋体"/>
                <w:b w:val="0"/>
                <w:sz w:val="24"/>
                <w:highlight w:val="none"/>
                <w:u w:val="single"/>
              </w:rPr>
              <w:t>2025</w:t>
            </w:r>
            <w:r>
              <w:rPr>
                <w:rFonts w:ascii="宋体" w:hAnsi="宋体" w:eastAsia="宋体"/>
                <w:b w:val="0"/>
                <w:sz w:val="24"/>
                <w:highlight w:val="none"/>
                <w:u w:val="single"/>
              </w:rPr>
              <w:t xml:space="preserve"> </w:t>
            </w:r>
            <w:r>
              <w:rPr>
                <w:rFonts w:ascii="宋体" w:hAnsi="宋体" w:eastAsia="宋体"/>
                <w:b w:val="0"/>
                <w:sz w:val="24"/>
                <w:highlight w:val="none"/>
              </w:rPr>
              <w:t>年</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1</w:t>
            </w:r>
            <w:r>
              <w:rPr>
                <w:rFonts w:hint="eastAsia" w:ascii="宋体" w:hAnsi="宋体" w:eastAsia="宋体"/>
                <w:b w:val="0"/>
                <w:sz w:val="24"/>
                <w:highlight w:val="none"/>
                <w:u w:val="single"/>
                <w:lang w:val="en-US" w:eastAsia="zh-CN"/>
              </w:rPr>
              <w:t>2</w:t>
            </w:r>
            <w:r>
              <w:rPr>
                <w:rFonts w:ascii="宋体" w:hAnsi="宋体" w:eastAsia="宋体"/>
                <w:b w:val="0"/>
                <w:sz w:val="24"/>
                <w:highlight w:val="none"/>
                <w:u w:val="single"/>
              </w:rPr>
              <w:t xml:space="preserve"> </w:t>
            </w:r>
            <w:r>
              <w:rPr>
                <w:rFonts w:ascii="宋体" w:hAnsi="宋体" w:eastAsia="宋体"/>
                <w:b w:val="0"/>
                <w:sz w:val="24"/>
                <w:highlight w:val="none"/>
              </w:rPr>
              <w:t>月</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4</w:t>
            </w:r>
            <w:r>
              <w:rPr>
                <w:rFonts w:ascii="宋体" w:hAnsi="宋体" w:eastAsia="宋体"/>
                <w:b w:val="0"/>
                <w:sz w:val="24"/>
                <w:highlight w:val="none"/>
                <w:u w:val="single"/>
              </w:rPr>
              <w:t xml:space="preserve"> </w:t>
            </w:r>
            <w:r>
              <w:rPr>
                <w:rFonts w:ascii="宋体" w:hAnsi="宋体" w:eastAsia="宋体"/>
                <w:b w:val="0"/>
                <w:sz w:val="24"/>
                <w:highlight w:val="none"/>
              </w:rPr>
              <w:t>日</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17</w:t>
            </w:r>
            <w:r>
              <w:rPr>
                <w:rFonts w:ascii="宋体" w:hAnsi="宋体" w:eastAsia="宋体"/>
                <w:b w:val="0"/>
                <w:sz w:val="24"/>
                <w:highlight w:val="none"/>
                <w:u w:val="single"/>
              </w:rPr>
              <w:t xml:space="preserve"> </w:t>
            </w:r>
            <w:r>
              <w:rPr>
                <w:rFonts w:ascii="宋体" w:hAnsi="宋体" w:eastAsia="宋体"/>
                <w:b w:val="0"/>
                <w:sz w:val="24"/>
                <w:highlight w:val="none"/>
              </w:rPr>
              <w:t>时</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30</w:t>
            </w:r>
            <w:r>
              <w:rPr>
                <w:rFonts w:ascii="宋体" w:hAnsi="宋体" w:eastAsia="宋体"/>
                <w:b w:val="0"/>
                <w:sz w:val="24"/>
                <w:highlight w:val="none"/>
                <w:u w:val="single"/>
              </w:rPr>
              <w:t xml:space="preserve"> </w:t>
            </w:r>
            <w:r>
              <w:rPr>
                <w:rFonts w:hint="eastAsia" w:ascii="宋体" w:hAnsi="宋体" w:eastAsia="宋体"/>
                <w:b w:val="0"/>
                <w:sz w:val="24"/>
                <w:highlight w:val="none"/>
              </w:rPr>
              <w:t>分</w:t>
            </w:r>
          </w:p>
        </w:tc>
      </w:tr>
      <w:tr w14:paraId="77D1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BC7416">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174" w:type="pct"/>
            <w:vAlign w:val="center"/>
          </w:tcPr>
          <w:p w14:paraId="4274C7A6">
            <w:pPr>
              <w:pStyle w:val="41"/>
              <w:widowControl w:val="0"/>
              <w:spacing w:before="0" w:beforeAutospacing="0" w:after="0" w:afterAutospacing="0"/>
              <w:jc w:val="left"/>
              <w:rPr>
                <w:rFonts w:hint="eastAsia" w:ascii="宋体" w:hAnsi="宋体" w:eastAsia="宋体"/>
                <w:b w:val="0"/>
                <w:sz w:val="24"/>
                <w:highlight w:val="none"/>
              </w:rPr>
            </w:pPr>
            <w:r>
              <w:rPr>
                <w:rFonts w:hint="eastAsia" w:ascii="宋体" w:hAnsi="宋体" w:eastAsia="宋体"/>
                <w:b w:val="0"/>
                <w:sz w:val="24"/>
                <w:highlight w:val="none"/>
              </w:rPr>
              <w:t>包别划分</w:t>
            </w:r>
          </w:p>
        </w:tc>
        <w:tc>
          <w:tcPr>
            <w:tcW w:w="3244" w:type="pct"/>
            <w:vAlign w:val="center"/>
          </w:tcPr>
          <w:p w14:paraId="76054B30">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bCs w:val="0"/>
                <w:sz w:val="24"/>
                <w:szCs w:val="24"/>
                <w:highlight w:val="none"/>
              </w:rPr>
              <w:t>☑</w:t>
            </w:r>
            <w:r>
              <w:rPr>
                <w:rFonts w:ascii="宋体" w:hAnsi="宋体" w:eastAsia="宋体"/>
                <w:b w:val="0"/>
                <w:sz w:val="24"/>
                <w:highlight w:val="none"/>
              </w:rPr>
              <w:t>不分包     □分为</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w:t>
            </w:r>
            <w:r>
              <w:rPr>
                <w:rFonts w:ascii="宋体" w:hAnsi="宋体" w:eastAsia="宋体"/>
                <w:b w:val="0"/>
                <w:sz w:val="24"/>
                <w:highlight w:val="none"/>
                <w:u w:val="single"/>
              </w:rPr>
              <w:t xml:space="preserve"> </w:t>
            </w:r>
            <w:r>
              <w:rPr>
                <w:rFonts w:ascii="宋体" w:hAnsi="宋体" w:eastAsia="宋体"/>
                <w:b w:val="0"/>
                <w:sz w:val="24"/>
                <w:highlight w:val="none"/>
              </w:rPr>
              <w:t>个包</w:t>
            </w:r>
          </w:p>
          <w:p w14:paraId="1169EFA0">
            <w:pPr>
              <w:pStyle w:val="41"/>
              <w:widowControl w:val="0"/>
              <w:spacing w:before="0" w:beforeAutospacing="0" w:after="0" w:afterAutospacing="0"/>
              <w:jc w:val="both"/>
              <w:rPr>
                <w:rFonts w:hint="eastAsia"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p>
        </w:tc>
      </w:tr>
      <w:tr w14:paraId="3EA1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53DE15A0">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1174" w:type="pct"/>
            <w:vAlign w:val="center"/>
          </w:tcPr>
          <w:p w14:paraId="687A7D6D">
            <w:pPr>
              <w:pStyle w:val="41"/>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投标保证金</w:t>
            </w:r>
          </w:p>
        </w:tc>
        <w:tc>
          <w:tcPr>
            <w:tcW w:w="3244" w:type="pct"/>
            <w:vAlign w:val="center"/>
          </w:tcPr>
          <w:p w14:paraId="62F3362D">
            <w:pPr>
              <w:spacing w:line="360" w:lineRule="auto"/>
              <w:rPr>
                <w:rFonts w:hint="eastAsia"/>
                <w:highlight w:val="none"/>
              </w:rPr>
            </w:pPr>
            <w:r>
              <w:rPr>
                <w:rFonts w:hint="eastAsia" w:ascii="宋体" w:hAnsi="宋体" w:eastAsia="宋体"/>
                <w:bCs/>
                <w:kern w:val="0"/>
                <w:sz w:val="24"/>
                <w:szCs w:val="28"/>
                <w:highlight w:val="none"/>
              </w:rPr>
              <w:t>不收取</w:t>
            </w:r>
          </w:p>
        </w:tc>
      </w:tr>
      <w:tr w14:paraId="567A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635476">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1174" w:type="pct"/>
            <w:vAlign w:val="center"/>
          </w:tcPr>
          <w:p w14:paraId="29AE69B6">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投标有效期</w:t>
            </w:r>
          </w:p>
        </w:tc>
        <w:tc>
          <w:tcPr>
            <w:tcW w:w="3244" w:type="pct"/>
            <w:vAlign w:val="center"/>
          </w:tcPr>
          <w:p w14:paraId="7AF9DE1D">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21C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2C11DD">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1174" w:type="pct"/>
            <w:vAlign w:val="center"/>
          </w:tcPr>
          <w:p w14:paraId="781A46ED">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投标文件解密时间</w:t>
            </w:r>
          </w:p>
        </w:tc>
        <w:tc>
          <w:tcPr>
            <w:tcW w:w="3244" w:type="pct"/>
            <w:vAlign w:val="center"/>
          </w:tcPr>
          <w:p w14:paraId="3CECD9B8">
            <w:pPr>
              <w:pStyle w:val="41"/>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r>
              <w:rPr>
                <w:rFonts w:hint="eastAsia" w:ascii="宋体" w:hAnsi="宋体" w:eastAsia="宋体"/>
                <w:b w:val="0"/>
                <w:sz w:val="24"/>
                <w:highlight w:val="none"/>
                <w:lang w:eastAsia="zh-CN"/>
              </w:rPr>
              <w:t>（以本项目网上招投标系统解密倒计时为准）。</w:t>
            </w:r>
          </w:p>
        </w:tc>
      </w:tr>
      <w:tr w14:paraId="4B3C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B985C14">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14.1</w:t>
            </w:r>
          </w:p>
        </w:tc>
        <w:tc>
          <w:tcPr>
            <w:tcW w:w="1174" w:type="pct"/>
            <w:vAlign w:val="center"/>
          </w:tcPr>
          <w:p w14:paraId="683C0B8F">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资格审查</w:t>
            </w:r>
          </w:p>
        </w:tc>
        <w:tc>
          <w:tcPr>
            <w:tcW w:w="3244" w:type="pct"/>
            <w:vAlign w:val="center"/>
          </w:tcPr>
          <w:p w14:paraId="7E966667">
            <w:pPr>
              <w:pStyle w:val="41"/>
              <w:widowControl w:val="0"/>
              <w:spacing w:before="0" w:beforeAutospacing="0" w:after="0" w:afterAutospacing="0" w:line="360" w:lineRule="auto"/>
              <w:jc w:val="both"/>
              <w:rPr>
                <w:rFonts w:hint="eastAsia"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379BBBB8">
            <w:pPr>
              <w:pStyle w:val="41"/>
              <w:widowControl w:val="0"/>
              <w:spacing w:before="0" w:beforeAutospacing="0" w:after="0" w:afterAutospacing="0" w:line="360" w:lineRule="auto"/>
              <w:jc w:val="both"/>
              <w:rPr>
                <w:rFonts w:hint="eastAsia" w:ascii="宋体" w:hAnsi="宋体" w:eastAsia="宋体"/>
                <w:b w:val="0"/>
                <w:sz w:val="24"/>
                <w:highlight w:val="none"/>
                <w:u w:val="single"/>
              </w:rPr>
            </w:pPr>
            <w:r>
              <w:rPr>
                <w:rFonts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5016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57BBDB">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1174" w:type="pct"/>
            <w:vAlign w:val="center"/>
          </w:tcPr>
          <w:p w14:paraId="1804995F">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评标方法</w:t>
            </w:r>
          </w:p>
        </w:tc>
        <w:tc>
          <w:tcPr>
            <w:tcW w:w="3244" w:type="pct"/>
            <w:vAlign w:val="center"/>
          </w:tcPr>
          <w:p w14:paraId="4DC283C8">
            <w:pPr>
              <w:pStyle w:val="41"/>
              <w:widowControl w:val="0"/>
              <w:spacing w:before="0" w:beforeAutospacing="0" w:after="0" w:afterAutospacing="0" w:line="360" w:lineRule="auto"/>
              <w:jc w:val="both"/>
              <w:rPr>
                <w:rFonts w:hint="eastAsia" w:ascii="宋体" w:hAnsi="宋体" w:eastAsia="宋体"/>
                <w:b w:val="0"/>
                <w:sz w:val="24"/>
                <w:highlight w:val="none"/>
                <w:u w:val="singl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1D193710">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3CE3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EC8F79">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1174" w:type="pct"/>
            <w:vAlign w:val="center"/>
          </w:tcPr>
          <w:p w14:paraId="61BB30D8">
            <w:pPr>
              <w:pStyle w:val="41"/>
              <w:widowControl w:val="0"/>
              <w:spacing w:before="0" w:beforeAutospacing="0" w:after="0" w:afterAutospacing="0" w:line="360" w:lineRule="auto"/>
              <w:jc w:val="both"/>
              <w:rPr>
                <w:rFonts w:hint="eastAsia" w:ascii="宋体" w:hAnsi="宋体" w:eastAsia="宋体"/>
                <w:b w:val="0"/>
                <w:i/>
                <w:sz w:val="24"/>
                <w:highlight w:val="none"/>
              </w:rPr>
            </w:pPr>
            <w:r>
              <w:rPr>
                <w:rFonts w:hint="eastAsia" w:ascii="宋体" w:hAnsi="宋体" w:eastAsia="宋体"/>
                <w:b w:val="0"/>
                <w:sz w:val="24"/>
                <w:highlight w:val="none"/>
              </w:rPr>
              <w:t>报价扣除</w:t>
            </w:r>
          </w:p>
        </w:tc>
        <w:tc>
          <w:tcPr>
            <w:tcW w:w="3244" w:type="pct"/>
            <w:vAlign w:val="center"/>
          </w:tcPr>
          <w:p w14:paraId="0EB8876C">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对小型和微型企业产品的价格给予10%的扣除后参与评审，其评审价=投标报价*90%</w:t>
            </w:r>
            <w:r>
              <w:rPr>
                <w:rFonts w:hint="eastAsia" w:ascii="宋体" w:hAnsi="宋体" w:eastAsia="宋体"/>
                <w:b w:val="0"/>
                <w:sz w:val="24"/>
                <w:highlight w:val="none"/>
              </w:rPr>
              <w:t>。</w:t>
            </w:r>
          </w:p>
          <w:p w14:paraId="3ACA0897">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（2）监狱企业价格扣除：</w:t>
            </w:r>
            <w:r>
              <w:rPr>
                <w:rFonts w:hint="eastAsia" w:ascii="宋体" w:hAnsi="宋体" w:eastAsia="宋体"/>
                <w:b w:val="0"/>
                <w:sz w:val="24"/>
                <w:highlight w:val="none"/>
                <w:u w:val="single"/>
              </w:rPr>
              <w:t>同</w:t>
            </w:r>
            <w:r>
              <w:rPr>
                <w:rFonts w:ascii="宋体" w:hAnsi="宋体" w:eastAsia="宋体"/>
                <w:b w:val="0"/>
                <w:sz w:val="24"/>
                <w:highlight w:val="none"/>
                <w:u w:val="single"/>
              </w:rPr>
              <w:t>小型和微型企业</w:t>
            </w:r>
            <w:r>
              <w:rPr>
                <w:rFonts w:hint="eastAsia" w:ascii="宋体" w:hAnsi="宋体" w:eastAsia="宋体"/>
                <w:b w:val="0"/>
                <w:sz w:val="24"/>
                <w:highlight w:val="none"/>
                <w:u w:val="single"/>
              </w:rPr>
              <w:t>。</w:t>
            </w:r>
          </w:p>
          <w:p w14:paraId="34886ED4">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（3）残疾人福利性单位价格扣除：</w:t>
            </w:r>
            <w:r>
              <w:rPr>
                <w:rFonts w:hint="eastAsia" w:ascii="宋体" w:hAnsi="宋体" w:eastAsia="宋体"/>
                <w:b w:val="0"/>
                <w:sz w:val="24"/>
                <w:highlight w:val="none"/>
                <w:u w:val="single"/>
              </w:rPr>
              <w:t>同</w:t>
            </w:r>
            <w:r>
              <w:rPr>
                <w:rFonts w:ascii="宋体" w:hAnsi="宋体" w:eastAsia="宋体"/>
                <w:b w:val="0"/>
                <w:sz w:val="24"/>
                <w:highlight w:val="none"/>
                <w:u w:val="single"/>
              </w:rPr>
              <w:t>小型和微型企业</w:t>
            </w:r>
            <w:r>
              <w:rPr>
                <w:rFonts w:hint="eastAsia" w:ascii="宋体" w:hAnsi="宋体" w:eastAsia="宋体"/>
                <w:b w:val="0"/>
                <w:sz w:val="24"/>
                <w:highlight w:val="none"/>
                <w:u w:val="single"/>
              </w:rPr>
              <w:t>。</w:t>
            </w:r>
          </w:p>
          <w:p w14:paraId="5F126C79">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w:t>
            </w:r>
            <w:r>
              <w:rPr>
                <w:rFonts w:hint="eastAsia" w:ascii="宋体" w:hAnsi="宋体" w:eastAsia="宋体"/>
                <w:b w:val="0"/>
                <w:sz w:val="24"/>
                <w:highlight w:val="none"/>
              </w:rPr>
              <w:t>。</w:t>
            </w:r>
          </w:p>
          <w:p w14:paraId="3350A3C5">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w:t>
            </w:r>
            <w:r>
              <w:rPr>
                <w:rFonts w:hint="eastAsia" w:ascii="宋体" w:hAnsi="宋体" w:eastAsia="宋体"/>
                <w:b w:val="0"/>
                <w:sz w:val="24"/>
                <w:highlight w:val="none"/>
              </w:rPr>
              <w:t>。</w:t>
            </w:r>
          </w:p>
        </w:tc>
      </w:tr>
      <w:tr w14:paraId="1D6B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77823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1174" w:type="pct"/>
            <w:vAlign w:val="center"/>
          </w:tcPr>
          <w:p w14:paraId="3AC75DF1">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3244" w:type="pct"/>
            <w:vAlign w:val="center"/>
          </w:tcPr>
          <w:p w14:paraId="7DB5A2E0">
            <w:pPr>
              <w:pStyle w:val="41"/>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highlight w:val="none"/>
                <w:u w:val="single"/>
              </w:rPr>
              <w:t>推荐3名中标候选人</w:t>
            </w:r>
          </w:p>
        </w:tc>
      </w:tr>
      <w:tr w14:paraId="3426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22FC1F">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762E9408">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确定中标人</w:t>
            </w:r>
          </w:p>
        </w:tc>
        <w:tc>
          <w:tcPr>
            <w:tcW w:w="3244" w:type="pct"/>
            <w:vAlign w:val="center"/>
          </w:tcPr>
          <w:p w14:paraId="0F10AB32">
            <w:pPr>
              <w:spacing w:line="360" w:lineRule="auto"/>
              <w:rPr>
                <w:rFonts w:hint="eastAsia"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rPr>
              <w:t>□采购</w:t>
            </w:r>
            <w:r>
              <w:rPr>
                <w:rFonts w:hint="eastAsia" w:asciiTheme="minorEastAsia" w:hAnsiTheme="minorEastAsia" w:eastAsiaTheme="minorEastAsia"/>
                <w:kern w:val="0"/>
                <w:sz w:val="24"/>
                <w:szCs w:val="24"/>
                <w:highlight w:val="none"/>
              </w:rPr>
              <w:t>人委托评标委员会确定</w:t>
            </w:r>
          </w:p>
          <w:p w14:paraId="50F2B6C1">
            <w:pPr>
              <w:spacing w:line="360" w:lineRule="auto"/>
              <w:rPr>
                <w:rFonts w:hint="eastAsia" w:ascii="宋体" w:hAnsi="宋体" w:eastAsia="宋体"/>
                <w:sz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采购人确定</w:t>
            </w:r>
          </w:p>
        </w:tc>
      </w:tr>
      <w:tr w14:paraId="4F7D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1F3E4C">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1174" w:type="pct"/>
            <w:vAlign w:val="center"/>
          </w:tcPr>
          <w:p w14:paraId="6632F006">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3244" w:type="pct"/>
            <w:vAlign w:val="center"/>
          </w:tcPr>
          <w:p w14:paraId="217FCA43">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（1）中小企业声明函；</w:t>
            </w:r>
          </w:p>
          <w:p w14:paraId="149A4D36">
            <w:pPr>
              <w:pStyle w:val="41"/>
              <w:widowControl w:val="0"/>
              <w:spacing w:before="0" w:beforeAutospacing="0" w:after="0" w:afterAutospacing="0" w:line="360" w:lineRule="auto"/>
              <w:jc w:val="both"/>
              <w:rPr>
                <w:rFonts w:hint="eastAsia"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53F0659E">
            <w:pPr>
              <w:pStyle w:val="41"/>
              <w:widowControl w:val="0"/>
              <w:spacing w:before="0" w:beforeAutospacing="0" w:after="0" w:afterAutospacing="0" w:line="360" w:lineRule="auto"/>
              <w:jc w:val="both"/>
              <w:rPr>
                <w:rFonts w:hint="eastAsia" w:ascii="宋体" w:hAnsi="宋体" w:eastAsia="宋体"/>
                <w:b w:val="0"/>
                <w:bCs w:val="0"/>
                <w:sz w:val="24"/>
                <w:szCs w:val="24"/>
                <w:highlight w:val="none"/>
              </w:rPr>
            </w:pPr>
            <w:r>
              <w:rPr>
                <w:rFonts w:hint="eastAsia" w:ascii="宋体" w:hAnsi="宋体" w:eastAsia="宋体"/>
                <w:b w:val="0"/>
                <w:sz w:val="24"/>
                <w:highlight w:val="none"/>
              </w:rPr>
              <w:t>（3）中标（成交）供应商的评审总得分。</w:t>
            </w:r>
          </w:p>
        </w:tc>
      </w:tr>
      <w:tr w14:paraId="4C19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67D1F3">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1174" w:type="pct"/>
            <w:vAlign w:val="center"/>
          </w:tcPr>
          <w:p w14:paraId="1CE148BD">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中标通知书发出的形式</w:t>
            </w:r>
          </w:p>
        </w:tc>
        <w:tc>
          <w:tcPr>
            <w:tcW w:w="3244" w:type="pct"/>
            <w:vAlign w:val="center"/>
          </w:tcPr>
          <w:p w14:paraId="7D6440C7">
            <w:pPr>
              <w:pStyle w:val="41"/>
              <w:widowControl w:val="0"/>
              <w:spacing w:before="0" w:beforeAutospacing="0" w:after="0" w:afterAutospacing="0" w:line="360" w:lineRule="auto"/>
              <w:jc w:val="both"/>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3384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C2DC46">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1174" w:type="pct"/>
            <w:vAlign w:val="center"/>
          </w:tcPr>
          <w:p w14:paraId="2041F8C0">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告知招标结果的形式</w:t>
            </w:r>
          </w:p>
        </w:tc>
        <w:tc>
          <w:tcPr>
            <w:tcW w:w="3244" w:type="pct"/>
            <w:vAlign w:val="center"/>
          </w:tcPr>
          <w:p w14:paraId="6C3A3DE3">
            <w:pPr>
              <w:spacing w:line="360" w:lineRule="auto"/>
              <w:rPr>
                <w:rFonts w:hint="eastAsia"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7D2E09C6">
            <w:pPr>
              <w:pStyle w:val="41"/>
              <w:widowControl w:val="0"/>
              <w:spacing w:before="0" w:beforeAutospacing="0" w:after="0" w:afterAutospacing="0" w:line="360" w:lineRule="auto"/>
              <w:jc w:val="both"/>
              <w:rPr>
                <w:rFonts w:hint="eastAsia"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524B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6CB1D7EF">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1174" w:type="pct"/>
            <w:vAlign w:val="center"/>
          </w:tcPr>
          <w:p w14:paraId="49C409A7">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履约保证金</w:t>
            </w:r>
          </w:p>
        </w:tc>
        <w:tc>
          <w:tcPr>
            <w:tcW w:w="3244" w:type="pct"/>
          </w:tcPr>
          <w:p w14:paraId="02CD1F06">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0C73BF66">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☑免收</w:t>
            </w:r>
          </w:p>
          <w:p w14:paraId="27094ECC">
            <w:pPr>
              <w:spacing w:line="360" w:lineRule="auto"/>
              <w:rPr>
                <w:rFonts w:hint="eastAsia"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3109B5A1">
            <w:pPr>
              <w:spacing w:line="360" w:lineRule="auto"/>
              <w:rPr>
                <w:rFonts w:hint="eastAsia"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560EA807">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8BC9048">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A8"/>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A8"/>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23486C10">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 xml:space="preserve">              </w:t>
            </w:r>
          </w:p>
          <w:p w14:paraId="2E97F3D3">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          </w:t>
            </w:r>
          </w:p>
          <w:p w14:paraId="6F180F31">
            <w:pPr>
              <w:spacing w:line="360" w:lineRule="auto"/>
              <w:rPr>
                <w:rFonts w:hint="eastAsia"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          </w:t>
            </w:r>
          </w:p>
          <w:p w14:paraId="2C88B15A">
            <w:pPr>
              <w:spacing w:line="360" w:lineRule="auto"/>
              <w:rPr>
                <w:rFonts w:hint="eastAsia"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34E63C0">
            <w:pPr>
              <w:spacing w:line="360" w:lineRule="auto"/>
              <w:rPr>
                <w:rFonts w:hint="eastAsia"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7992089A">
            <w:pPr>
              <w:spacing w:line="360" w:lineRule="auto"/>
              <w:rPr>
                <w:rFonts w:hint="eastAsia"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6C92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26BD5BFB">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1174" w:type="pct"/>
            <w:vAlign w:val="center"/>
          </w:tcPr>
          <w:p w14:paraId="45E2F52A">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签订合同和合同公告时间</w:t>
            </w:r>
          </w:p>
        </w:tc>
        <w:tc>
          <w:tcPr>
            <w:tcW w:w="3244" w:type="pct"/>
          </w:tcPr>
          <w:p w14:paraId="0ED6FF3E">
            <w:pPr>
              <w:adjustRightInd w:val="0"/>
              <w:snapToGrid w:val="0"/>
              <w:spacing w:line="360" w:lineRule="auto"/>
              <w:rPr>
                <w:rFonts w:hint="eastAsia" w:ascii="宋体" w:hAnsi="宋体" w:eastAsia="宋体" w:cs="宋体"/>
                <w:sz w:val="24"/>
                <w:szCs w:val="24"/>
                <w:highlight w:val="none"/>
              </w:rPr>
            </w:pPr>
            <w:r>
              <w:rPr>
                <w:rFonts w:ascii="宋体" w:hAnsi="宋体" w:eastAsia="宋体" w:cs="宋体"/>
                <w:sz w:val="24"/>
                <w:szCs w:val="24"/>
                <w:highlight w:val="none"/>
              </w:rPr>
              <w:t>（1）采购人与中标人应当自发出中标通知书之日起7个工作日内签订合同，采购合同签订之日起2个工作日内完成政府采购合同公开。</w:t>
            </w:r>
          </w:p>
          <w:p w14:paraId="47887B14">
            <w:pPr>
              <w:adjustRightInd w:val="0"/>
              <w:snapToGrid w:val="0"/>
              <w:spacing w:line="360" w:lineRule="auto"/>
              <w:rPr>
                <w:rFonts w:hint="eastAsia" w:ascii="宋体" w:hAnsi="宋体" w:eastAsia="宋体"/>
                <w:b/>
                <w:bCs/>
                <w:kern w:val="0"/>
                <w:sz w:val="24"/>
                <w:szCs w:val="24"/>
                <w:highlight w:val="none"/>
              </w:rPr>
            </w:pPr>
            <w:r>
              <w:rPr>
                <w:rFonts w:ascii="宋体" w:hAnsi="宋体" w:eastAsia="宋体" w:cs="宋体"/>
                <w:sz w:val="24"/>
                <w:szCs w:val="24"/>
                <w:highlight w:val="none"/>
              </w:rPr>
              <w:t>（2）采购人与中标人不得擅自变更合同，依照政府采购法确需变更政府采购合同内容的，采购人应当自合同变更之日起2个工作日内在安徽省政府采购网</w:t>
            </w:r>
            <w:r>
              <w:rPr>
                <w:rFonts w:hint="eastAsia" w:ascii="宋体" w:hAnsi="宋体" w:eastAsia="宋体" w:cs="宋体"/>
                <w:sz w:val="24"/>
                <w:szCs w:val="24"/>
                <w:highlight w:val="none"/>
              </w:rPr>
              <w:t>和滁州市公共资源交易中心网</w:t>
            </w:r>
            <w:r>
              <w:rPr>
                <w:rFonts w:ascii="宋体" w:hAnsi="宋体" w:eastAsia="宋体" w:cs="宋体"/>
                <w:sz w:val="24"/>
                <w:szCs w:val="24"/>
                <w:highlight w:val="none"/>
              </w:rPr>
              <w:t>发布政府采购合同变更公告，但涉及国家秘密、商业秘密的信息和其他依法不得公开的信息除外。</w:t>
            </w:r>
          </w:p>
        </w:tc>
      </w:tr>
      <w:tr w14:paraId="693F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F3108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174" w:type="pct"/>
            <w:vAlign w:val="center"/>
          </w:tcPr>
          <w:p w14:paraId="057BFCE3">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代理费用</w:t>
            </w:r>
          </w:p>
        </w:tc>
        <w:tc>
          <w:tcPr>
            <w:tcW w:w="3244" w:type="pct"/>
            <w:vAlign w:val="center"/>
          </w:tcPr>
          <w:p w14:paraId="5412F932">
            <w:pPr>
              <w:spacing w:before="39" w:line="360" w:lineRule="auto"/>
              <w:rPr>
                <w:rFonts w:hint="eastAsia"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67199F45">
            <w:pPr>
              <w:spacing w:before="24"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6BDF8DE">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hint="eastAsia" w:ascii="宋体" w:hAnsi="宋体" w:eastAsia="宋体" w:cs="宋体"/>
                <w:b w:val="0"/>
                <w:bCs w:val="0"/>
                <w:kern w:val="2"/>
                <w:sz w:val="24"/>
                <w:szCs w:val="24"/>
                <w:highlight w:val="none"/>
                <w:u w:val="single"/>
              </w:rPr>
              <w:t>参考《滁州市公共资源交易代理机构及从业人员管理办法》(滁公管〔2025〕1 号)以及《关于进一步明确代理费计取标准的通知》（滁公管综〔2023〕19号）文件，以最高限价（控制价）计算。</w:t>
            </w:r>
          </w:p>
        </w:tc>
      </w:tr>
      <w:tr w14:paraId="6CBD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AF6652">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1174" w:type="pct"/>
            <w:vAlign w:val="center"/>
          </w:tcPr>
          <w:p w14:paraId="4DEE1F37">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3244" w:type="pct"/>
            <w:vAlign w:val="center"/>
          </w:tcPr>
          <w:p w14:paraId="76318AF0">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递交方式：</w:t>
            </w:r>
            <w:r>
              <w:rPr>
                <w:rFonts w:hint="eastAsia" w:ascii="宋体" w:hAnsi="宋体" w:eastAsia="宋体"/>
                <w:sz w:val="24"/>
                <w:highlight w:val="none"/>
                <w:u w:val="single"/>
              </w:rPr>
              <w:t xml:space="preserve"> 如投标人对招标文件有质疑，可以依据中华人民共和国财政部令第94号《政府采购质疑和投诉办法》规定，以书面形式向采购人、采购代理机构提出质疑，也可以在滁州市公共资源交易中心网电子交易系统中进行质疑，具体操作步骤和程序请参见服务指南&gt;交易须知&gt;在线异议、质疑和投诉操作手册；</w:t>
            </w:r>
          </w:p>
          <w:p w14:paraId="5F584453">
            <w:pPr>
              <w:pStyle w:val="41"/>
              <w:widowControl w:val="0"/>
              <w:spacing w:before="0" w:beforeAutospacing="0" w:after="0" w:afterAutospacing="0" w:line="360" w:lineRule="auto"/>
              <w:jc w:val="both"/>
              <w:rPr>
                <w:rFonts w:hint="eastAsia"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滁州市公安局、滁州市政府采购中心；</w:t>
            </w:r>
          </w:p>
          <w:p w14:paraId="639439F2">
            <w:pPr>
              <w:pStyle w:val="41"/>
              <w:widowControl w:val="0"/>
              <w:spacing w:before="0" w:beforeAutospacing="0" w:after="0" w:afterAutospacing="0" w:line="360" w:lineRule="auto"/>
              <w:jc w:val="both"/>
              <w:rPr>
                <w:rFonts w:hint="eastAsia"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0550-3064711-2055、0550-3519517；</w:t>
            </w:r>
          </w:p>
          <w:p w14:paraId="6AA10776">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sz w:val="24"/>
                <w:highlight w:val="none"/>
                <w:u w:val="single"/>
              </w:rPr>
              <w:t>滁州市龙蟠大道111号、滁州市龙蟠大道109号房产商务大厦2楼。</w:t>
            </w:r>
          </w:p>
        </w:tc>
      </w:tr>
      <w:tr w14:paraId="5261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pct"/>
            <w:vAlign w:val="center"/>
          </w:tcPr>
          <w:p w14:paraId="7E0172C7">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32</w:t>
            </w:r>
          </w:p>
        </w:tc>
        <w:tc>
          <w:tcPr>
            <w:tcW w:w="1174" w:type="pct"/>
            <w:vAlign w:val="center"/>
          </w:tcPr>
          <w:p w14:paraId="7B2E4AD4">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其他内容</w:t>
            </w:r>
          </w:p>
        </w:tc>
        <w:tc>
          <w:tcPr>
            <w:tcW w:w="3244" w:type="pct"/>
            <w:vAlign w:val="center"/>
          </w:tcPr>
          <w:p w14:paraId="117C28DA">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1.解释权：</w:t>
            </w:r>
          </w:p>
          <w:p w14:paraId="4AA62059">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0FACCED4">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C534B45">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3BADC6A2">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2B05DD1">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29C913AD">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033B3DEE">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p w14:paraId="40210FC1">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4.部分可提供线下政采贷的金融机构：</w:t>
            </w:r>
          </w:p>
          <w:p w14:paraId="08619B41">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市本级</w:t>
            </w:r>
          </w:p>
          <w:p w14:paraId="7E7F8EBA">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金融机构名称：兴业银行滁州分行</w:t>
            </w:r>
          </w:p>
          <w:p w14:paraId="4257F52E">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安徽省滁州市琅琊区丰乐大道1090号</w:t>
            </w:r>
          </w:p>
          <w:p w14:paraId="6F4E3BF4">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伏庚：17755080811。</w:t>
            </w:r>
          </w:p>
          <w:p w14:paraId="16F8BB02">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5.特别提示：</w:t>
            </w:r>
          </w:p>
          <w:p w14:paraId="3C1294F5">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（1）投标人应填写投标信息并下载招标文件，否则无法上传投标文件。</w:t>
            </w:r>
          </w:p>
          <w:p w14:paraId="4C2F3B61">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注：投标人如为联合体的，牵头人必须完善投标人信息，并在上传投标文件环节添加联合体投标信息。</w:t>
            </w:r>
          </w:p>
          <w:p w14:paraId="7C3364B3">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F20AF0A">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（3）如果过程中出现招标文件更改，应以最后发布的招标答疑澄清文件中的模板制作本项目最新投标文件。</w:t>
            </w:r>
          </w:p>
          <w:p w14:paraId="6040485F">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 xml:space="preserve">（4）投标人应当用本单位CA数字证书制作投标文件，制作成功后进行投标文件上传。 </w:t>
            </w:r>
          </w:p>
          <w:p w14:paraId="3F5DB545">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23BCCE7">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（6）请投标人注意加密投标文件CA数字证书的有效期，不在有效期的CA数字证书无法解密投标文件。</w:t>
            </w:r>
          </w:p>
          <w:p w14:paraId="5E581B45">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（7）投标人投标MAC地址或投标人联系人或联系电话相同的，由评标委员会否决其投标，并报告监管部门作不良行为处理和进一步调查。</w:t>
            </w:r>
          </w:p>
          <w:p w14:paraId="48378612">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（8）投标人单方面出现其他投标人材料的，由评标委员会否决其投标。</w:t>
            </w:r>
          </w:p>
          <w:p w14:paraId="73B87781">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E0EEF5A">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5C392A1C">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6.评标过程中的澄清、说明或补正：</w:t>
            </w:r>
          </w:p>
          <w:p w14:paraId="31136F0B">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6F0F3767">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61A74065">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7.同义词语：</w:t>
            </w:r>
          </w:p>
          <w:p w14:paraId="3D5B6767">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招标文件第六章  投标文件格式、附件1“关于联合惩戒失信行为 加强信用查询管理的通知”等章节中 “招标人”、“供应商”，等同于“采购人”、“投标人”。</w:t>
            </w:r>
          </w:p>
          <w:p w14:paraId="2EE92E19">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8.落实政府采购支持节能产品、环境标志产品政策。</w:t>
            </w:r>
          </w:p>
          <w:p w14:paraId="64D324D0">
            <w:pPr>
              <w:pStyle w:val="41"/>
              <w:widowControl w:val="0"/>
              <w:spacing w:before="0" w:beforeAutospacing="0" w:after="0" w:afterAutospacing="0" w:line="360" w:lineRule="auto"/>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9.系统中提供的表格与采购文件中不一致时，以采购文件中提供的表格格式为准。</w:t>
            </w:r>
          </w:p>
        </w:tc>
      </w:tr>
    </w:tbl>
    <w:p w14:paraId="590AC9E3">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13" w:name="_Toc9427"/>
      <w:bookmarkStart w:id="14" w:name="_Toc24882"/>
      <w:r>
        <w:rPr>
          <w:rFonts w:hint="eastAsia" w:asciiTheme="minorEastAsia" w:hAnsiTheme="minorEastAsia" w:eastAsiaTheme="minorEastAsia"/>
          <w:b/>
          <w:sz w:val="24"/>
          <w:highlight w:val="none"/>
        </w:rPr>
        <w:t>二、</w:t>
      </w:r>
      <w:r>
        <w:rPr>
          <w:rFonts w:asciiTheme="minorEastAsia" w:hAnsiTheme="minorEastAsia" w:eastAsiaTheme="minorEastAsia"/>
          <w:b/>
          <w:sz w:val="24"/>
          <w:highlight w:val="none"/>
        </w:rPr>
        <w:t>投标人须知</w:t>
      </w:r>
      <w:r>
        <w:rPr>
          <w:rFonts w:hint="eastAsia" w:asciiTheme="minorEastAsia" w:hAnsiTheme="minorEastAsia" w:eastAsiaTheme="minorEastAsia"/>
          <w:b/>
          <w:sz w:val="24"/>
          <w:highlight w:val="none"/>
        </w:rPr>
        <w:t>正文</w:t>
      </w:r>
      <w:bookmarkEnd w:id="13"/>
      <w:bookmarkEnd w:id="14"/>
    </w:p>
    <w:p w14:paraId="142A2B6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453B065">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045C58D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5444FE18">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457F21C8">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457EE988">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17DD0BD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34B46C7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036C7381">
      <w:pP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03ABF38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018A434C">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285FA094">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5128004B">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71E0E047">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7AC29FAF">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B3C1DF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633C10D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2E63488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6974981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E61761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06E2864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3B79ECD1">
      <w:pP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62E2600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72183826">
      <w:pPr>
        <w:spacing w:line="360" w:lineRule="auto"/>
        <w:ind w:firstLine="435"/>
        <w:rPr>
          <w:rFonts w:hint="eastAsia" w:asciiTheme="minorEastAsia" w:hAnsiTheme="minorEastAsia" w:eastAsiaTheme="minorEastAsia"/>
          <w:sz w:val="24"/>
          <w:highlight w:val="none"/>
        </w:rPr>
      </w:pPr>
      <w:r>
        <w:rPr>
          <w:rFonts w:hint="eastAsia" w:ascii="宋体" w:hAnsi="宋体" w:eastAsia="宋体"/>
          <w:sz w:val="24"/>
          <w:highlight w:val="none"/>
        </w:rPr>
        <w:t>本项目采购人、采购代理机构、投标人、评标委员会的相关行为均受《中华人民共和国政府采购法》、《中</w:t>
      </w:r>
      <w:r>
        <w:rPr>
          <w:rFonts w:hint="eastAsia" w:ascii="宋体" w:hAnsi="宋体" w:eastAsia="宋体"/>
          <w:sz w:val="24"/>
          <w:szCs w:val="22"/>
          <w:highlight w:val="none"/>
        </w:rPr>
        <w:t>华人民共和国政府采购法实施条例》及本项目本级和上级财政部门、政府采购监督管理部门的政府采购有关规定的约束，其权利受到上述法律法规的保护。</w:t>
      </w:r>
    </w:p>
    <w:p w14:paraId="5A7C8F4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18CC88EE">
      <w:pP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588596DA">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81ACC5C">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1EC8DDFD">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34F3685C">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6D0CBD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1348A606">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476BA758">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AFEDF3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w:t>
      </w:r>
      <w:r>
        <w:rPr>
          <w:rFonts w:hint="eastAsia" w:ascii="宋体" w:hAnsi="宋体" w:eastAsia="宋体"/>
          <w:bCs/>
          <w:sz w:val="24"/>
          <w:szCs w:val="22"/>
          <w:highlight w:val="none"/>
        </w:rPr>
        <w:t>标前答疑会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06E523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投标人应认真阅读招标文件所有的事项、格式、条款和技术规范等。</w:t>
      </w:r>
    </w:p>
    <w:p w14:paraId="6C46DD5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招标文件的澄清与修改</w:t>
      </w:r>
    </w:p>
    <w:p w14:paraId="0845D66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w:t>
      </w:r>
      <w:r>
        <w:rPr>
          <w:rFonts w:hint="eastAsia" w:asciiTheme="minorEastAsia" w:hAnsiTheme="minorEastAsia" w:eastAsiaTheme="minorEastAsia"/>
          <w:sz w:val="24"/>
          <w:highlight w:val="none"/>
        </w:rPr>
        <w:t>可</w:t>
      </w:r>
      <w:r>
        <w:rPr>
          <w:rFonts w:asciiTheme="minorEastAsia" w:hAnsiTheme="minorEastAsia" w:eastAsiaTheme="minorEastAsia"/>
          <w:sz w:val="24"/>
          <w:highlight w:val="none"/>
        </w:rPr>
        <w:t>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截止时间前提交给采购代理机构。</w:t>
      </w:r>
    </w:p>
    <w:p w14:paraId="362797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在安徽省政府采购网和滁州市公共资源交易中心网以发布更正公告的方式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127EE4A9">
      <w:pP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B272CDF">
      <w:pP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17CB87D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投标范围及投标文件中标准和计量单位的使用</w:t>
      </w:r>
    </w:p>
    <w:p w14:paraId="4775B9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3B673C6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1087E12">
      <w:pPr>
        <w:spacing w:line="360" w:lineRule="auto"/>
        <w:ind w:firstLine="435"/>
        <w:rPr>
          <w:rFonts w:hint="eastAsia" w:asciiTheme="minorEastAsia" w:hAnsiTheme="minorEastAsia" w:eastAsiaTheme="minorEastAsia"/>
          <w:sz w:val="24"/>
          <w:highlight w:val="none"/>
        </w:rPr>
      </w:pPr>
      <w:bookmarkStart w:id="15"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投标人所投货物、服务及工程（如有）均应符合国家强制性标准。</w:t>
      </w:r>
    </w:p>
    <w:bookmarkEnd w:id="15"/>
    <w:p w14:paraId="74BD283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C47D58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63702E6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6AFFEF2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6130050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16" w:name="_Hlk11703583"/>
      <w:r>
        <w:rPr>
          <w:rFonts w:hint="eastAsia" w:asciiTheme="minorEastAsia" w:hAnsiTheme="minorEastAsia" w:eastAsiaTheme="minorEastAsia"/>
          <w:sz w:val="24"/>
          <w:highlight w:val="none"/>
        </w:rPr>
        <w:t>等。</w:t>
      </w:r>
    </w:p>
    <w:bookmarkEnd w:id="16"/>
    <w:p w14:paraId="73EE7DE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1BFD2D0B">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8BD17A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2.1投标人的报价应当包括满足本次招标全部采购需求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2CEE237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33D266C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123BDC57">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3F7CE3D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2DA1C68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523E760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3E5DC66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3D2BDF3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636BAE9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C5D45F3">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94C1F04">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2F0997B6">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6E58108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F42A72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06CD96A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0FF26D3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709A0DF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13.3采购人或采购代理机构将对开标过程进行记录，并存档备查。</w:t>
      </w:r>
    </w:p>
    <w:p w14:paraId="5051F22D">
      <w:pP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5473B6A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5698855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DEF8FE1">
      <w:pPr>
        <w:spacing w:line="360" w:lineRule="auto"/>
        <w:ind w:firstLine="435"/>
        <w:rPr>
          <w:rFonts w:hint="eastAsia" w:ascii="宋体" w:hAnsi="宋体" w:eastAsia="宋体" w:cs="宋体"/>
          <w:sz w:val="24"/>
          <w:szCs w:val="24"/>
          <w:highlight w:val="none"/>
        </w:rPr>
      </w:pPr>
      <w:bookmarkStart w:id="17"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2B833BF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6BF00C4F">
      <w:pPr>
        <w:spacing w:line="360" w:lineRule="auto"/>
        <w:ind w:firstLine="435"/>
        <w:rPr>
          <w:rFonts w:hint="eastAsia"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7"/>
    <w:p w14:paraId="57213DCD">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AFAD7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0791482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6EA874E3">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586A715C">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409B6386">
      <w:pPr>
        <w:spacing w:line="360" w:lineRule="auto"/>
        <w:ind w:firstLine="435"/>
        <w:rPr>
          <w:rFonts w:hint="eastAsia" w:ascii="宋体" w:hAnsi="宋体" w:eastAsia="宋体"/>
          <w:b/>
          <w:bCs/>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b/>
          <w:bCs/>
          <w:sz w:val="24"/>
          <w:highlight w:val="none"/>
        </w:rPr>
        <w:t>本项目采用远程开标，具体操作方法详见服务指南&gt;交易须知&gt;开标大厅远程解密、质疑(异议)及回复以及评标过程中询标流程操作手册。</w:t>
      </w:r>
    </w:p>
    <w:p w14:paraId="1645DEE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24C1A1B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281BF63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5D8A71CB">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2EBAD9CF">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16654B00">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307F08B8">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42E4294B">
      <w:pP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w:t>
      </w:r>
      <w:r>
        <w:rPr>
          <w:rFonts w:hint="eastAsia" w:ascii="宋体" w:hAnsi="宋体" w:eastAsia="宋体"/>
          <w:sz w:val="24"/>
          <w:highlight w:val="none"/>
        </w:rPr>
        <w:t>无论投标人是接受或是拒绝调整后的价格，都应当由投标人在系统中确认。投标人拒绝对投标文件出现的错漏按上述原则进行修正、澄清、说明</w:t>
      </w:r>
      <w:r>
        <w:rPr>
          <w:rFonts w:ascii="宋体" w:hAnsi="宋体" w:eastAsia="宋体"/>
          <w:sz w:val="24"/>
          <w:highlight w:val="none"/>
        </w:rPr>
        <w:t>，其投标将被认定为</w:t>
      </w:r>
      <w:r>
        <w:rPr>
          <w:rFonts w:ascii="宋体" w:hAnsi="宋体" w:eastAsia="宋体"/>
          <w:b/>
          <w:sz w:val="24"/>
          <w:highlight w:val="none"/>
        </w:rPr>
        <w:t>投标无效</w:t>
      </w:r>
      <w:r>
        <w:rPr>
          <w:rFonts w:ascii="宋体" w:hAnsi="宋体" w:eastAsia="宋体"/>
          <w:sz w:val="24"/>
          <w:highlight w:val="none"/>
        </w:rPr>
        <w:t>。</w:t>
      </w:r>
    </w:p>
    <w:p w14:paraId="6F08DBE8">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05E508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421CED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46819B9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7FBE9E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294969D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9E961B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2AFA39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7656590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45767E4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3EDE61A0">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6A56954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356794D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8DB910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3F104351">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116F6515">
      <w:pP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397003DE">
      <w:pPr>
        <w:spacing w:line="360" w:lineRule="auto"/>
        <w:ind w:firstLine="435"/>
        <w:rPr>
          <w:rFonts w:hint="eastAsia"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w:t>
      </w:r>
      <w:r>
        <w:rPr>
          <w:rFonts w:hint="eastAsia" w:ascii="宋体" w:hAnsi="宋体" w:eastAsia="宋体"/>
          <w:sz w:val="24"/>
          <w:highlight w:val="none"/>
        </w:rPr>
        <w:t>和</w:t>
      </w:r>
      <w:r>
        <w:rPr>
          <w:rFonts w:ascii="宋体" w:hAnsi="宋体" w:eastAsia="宋体"/>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53C0BB98">
      <w:pPr>
        <w:spacing w:line="360" w:lineRule="auto"/>
        <w:ind w:firstLine="435"/>
        <w:rPr>
          <w:rFonts w:hint="eastAsia"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7366B288">
      <w:pPr>
        <w:spacing w:line="360" w:lineRule="auto"/>
        <w:ind w:firstLine="435"/>
        <w:rPr>
          <w:rFonts w:hint="eastAsia"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224E25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1542315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4C861516">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5F6CE019">
      <w:pP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2A794BD7">
      <w:pP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7CA1A72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2BAF697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3D099D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3A3899E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4A79AC0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6568B064">
      <w:pP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18D8BCAD">
      <w:pP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140A783B">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35CEF93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20.1</w:t>
      </w:r>
      <w:r>
        <w:rPr>
          <w:rFonts w:asciiTheme="minorEastAsia" w:hAnsiTheme="minorEastAsia" w:eastAsiaTheme="minorEastAsia"/>
          <w:sz w:val="24"/>
          <w:highlight w:val="none"/>
        </w:rPr>
        <w:t>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7010107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5E3FDCB0">
      <w:pPr>
        <w:spacing w:line="360" w:lineRule="auto"/>
        <w:ind w:firstLine="435"/>
        <w:rPr>
          <w:rFonts w:hint="eastAsia" w:eastAsiaTheme="minorEastAsia"/>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w:t>
      </w:r>
      <w:r>
        <w:rPr>
          <w:rFonts w:hint="eastAsia" w:asciiTheme="minorEastAsia" w:hAnsiTheme="minorEastAsia" w:eastAsiaTheme="minorEastAsia"/>
          <w:sz w:val="24"/>
          <w:highlight w:val="none"/>
        </w:rPr>
        <w:t>按投标报价由低到高顺序排列。</w:t>
      </w:r>
      <w:r>
        <w:rPr>
          <w:rFonts w:asciiTheme="minorEastAsia" w:hAnsiTheme="minorEastAsia" w:eastAsiaTheme="minorEastAsia"/>
          <w:sz w:val="24"/>
          <w:highlight w:val="none"/>
        </w:rPr>
        <w:t>得分与投标报价均相同的</w:t>
      </w:r>
      <w:r>
        <w:rPr>
          <w:rFonts w:hint="eastAsia" w:asciiTheme="minorEastAsia" w:hAnsiTheme="minorEastAsia" w:eastAsiaTheme="minorEastAsia"/>
          <w:sz w:val="24"/>
          <w:highlight w:val="none"/>
        </w:rPr>
        <w:t>，则采取评标委员会随机抽取的方式确定中标候选顺序。</w:t>
      </w:r>
    </w:p>
    <w:p w14:paraId="6F15E03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093F9F2">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46D26B0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4A5877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12520D0B">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3F6686C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5CE7FF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4431CC7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075818E">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自中标人确定之日起2个工作日内，采购代理机构将在安徽省政府采购网（www.ccgp-anhui.gov.cn）和滁州市公共资源交易中心网上发布中标结果公告。</w:t>
      </w:r>
    </w:p>
    <w:p w14:paraId="7D6CF2E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highlight w:val="none"/>
        </w:rPr>
        <w:t>服务范围</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服务要求</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服务时间</w:t>
      </w:r>
      <w:r>
        <w:rPr>
          <w:rFonts w:asciiTheme="minorEastAsia" w:hAnsiTheme="minorEastAsia" w:eastAsiaTheme="minorEastAsia"/>
          <w:sz w:val="24"/>
          <w:highlight w:val="none"/>
        </w:rPr>
        <w:t>、服务</w:t>
      </w:r>
      <w:r>
        <w:rPr>
          <w:rFonts w:hint="eastAsia" w:asciiTheme="minorEastAsia" w:hAnsiTheme="minorEastAsia" w:eastAsiaTheme="minorEastAsia"/>
          <w:sz w:val="24"/>
          <w:highlight w:val="none"/>
        </w:rPr>
        <w:t>标准</w:t>
      </w:r>
      <w:r>
        <w:rPr>
          <w:rFonts w:asciiTheme="minorEastAsia" w:hAnsiTheme="minorEastAsia" w:eastAsiaTheme="minorEastAsia"/>
          <w:sz w:val="24"/>
          <w:highlight w:val="none"/>
        </w:rPr>
        <w:t>，中标公告期限、评审专家名单以及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5C27056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755614E0">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44BFC4C5">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4F0FB5A5">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85F41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973BDD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6883A20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DEF8F1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46AD16B6">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397EFDE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03033195">
      <w:pP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601DED7D">
      <w:pP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4FE552AE">
      <w:pP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3DD909E1">
      <w:pPr>
        <w:spacing w:line="360" w:lineRule="auto"/>
        <w:ind w:firstLine="435"/>
        <w:rPr>
          <w:rFonts w:hint="eastAsia"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4B5D3C0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18E2A64F">
      <w:pP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5730ACE6">
      <w:pPr>
        <w:spacing w:line="360" w:lineRule="auto"/>
        <w:ind w:firstLine="437"/>
        <w:outlineLvl w:val="2"/>
        <w:rPr>
          <w:rFonts w:hint="eastAsia" w:asciiTheme="minorEastAsia" w:hAnsiTheme="minorEastAsia" w:eastAsiaTheme="minorEastAsia"/>
          <w:b/>
          <w:sz w:val="24"/>
          <w:highlight w:val="none"/>
        </w:rPr>
      </w:pPr>
      <w:bookmarkStart w:id="18" w:name="_Toc2583661"/>
      <w:bookmarkStart w:id="19" w:name="_Toc518923100"/>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18"/>
      <w:bookmarkEnd w:id="19"/>
    </w:p>
    <w:p w14:paraId="3F719593">
      <w:pP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226B4172">
      <w:pP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0AFA43D4">
      <w:pPr>
        <w:spacing w:line="360" w:lineRule="auto"/>
        <w:ind w:firstLine="437"/>
        <w:outlineLvl w:val="2"/>
        <w:rPr>
          <w:rFonts w:hint="eastAsia" w:asciiTheme="minorEastAsia" w:hAnsiTheme="minorEastAsia" w:eastAsiaTheme="minorEastAsia"/>
          <w:b/>
          <w:sz w:val="24"/>
          <w:highlight w:val="none"/>
        </w:rPr>
      </w:pPr>
      <w:bookmarkStart w:id="20" w:name="_Toc518923101"/>
      <w:bookmarkStart w:id="21" w:name="_Toc2583662"/>
      <w:r>
        <w:rPr>
          <w:rFonts w:hint="eastAsia" w:asciiTheme="minorEastAsia" w:hAnsiTheme="minorEastAsia" w:eastAsiaTheme="minorEastAsia"/>
          <w:b/>
          <w:sz w:val="24"/>
          <w:highlight w:val="none"/>
        </w:rPr>
        <w:t>30.人员回避</w:t>
      </w:r>
      <w:bookmarkEnd w:id="20"/>
      <w:bookmarkEnd w:id="21"/>
    </w:p>
    <w:p w14:paraId="2B02E5B9">
      <w:pP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5C02905B">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752650FB">
      <w:pP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3C2E9F5">
      <w:pP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9699805">
      <w:pP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52E28196">
      <w:pPr>
        <w:spacing w:line="360" w:lineRule="auto"/>
        <w:ind w:firstLine="435"/>
        <w:rPr>
          <w:rFonts w:hint="eastAsia"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1AC603E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投诉</w:t>
      </w:r>
    </w:p>
    <w:p w14:paraId="59C2A4CB">
      <w:pPr>
        <w:wordWrap w:val="0"/>
        <w:spacing w:line="360" w:lineRule="auto"/>
        <w:ind w:firstLine="437"/>
        <w:rPr>
          <w:rFonts w:hint="eastAsia" w:ascii="宋体" w:hAnsi="宋体" w:eastAsia="宋体"/>
          <w:sz w:val="24"/>
          <w:highlight w:val="none"/>
        </w:rPr>
      </w:pPr>
      <w:r>
        <w:rPr>
          <w:rFonts w:hint="eastAsia" w:ascii="宋体" w:hAnsi="宋体" w:eastAsia="宋体"/>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697D2BD">
      <w:pPr>
        <w:wordWrap w:val="0"/>
        <w:spacing w:line="360" w:lineRule="auto"/>
        <w:ind w:firstLine="437"/>
        <w:rPr>
          <w:rFonts w:hint="eastAsia" w:ascii="宋体" w:hAnsi="宋体" w:eastAsia="宋体"/>
          <w:sz w:val="24"/>
          <w:highlight w:val="none"/>
        </w:rPr>
      </w:pPr>
      <w:r>
        <w:rPr>
          <w:rFonts w:hint="eastAsia" w:ascii="宋体" w:hAnsi="宋体" w:eastAsia="宋体"/>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400F264">
      <w:pPr>
        <w:wordWrap w:val="0"/>
        <w:spacing w:line="360" w:lineRule="auto"/>
        <w:ind w:firstLine="437"/>
        <w:rPr>
          <w:rFonts w:hint="eastAsia" w:ascii="宋体" w:hAnsi="宋体" w:eastAsia="宋体"/>
          <w:sz w:val="24"/>
          <w:highlight w:val="none"/>
        </w:rPr>
      </w:pPr>
      <w:r>
        <w:rPr>
          <w:rFonts w:hint="eastAsia" w:ascii="宋体" w:hAnsi="宋体" w:eastAsia="宋体"/>
          <w:sz w:val="24"/>
          <w:highlight w:val="none"/>
        </w:rPr>
        <w:t>32.3政府采购监督管理部门在处理投诉事项期间，可以视具体情况书面通知采购人暂停采购活动，但暂停时间最长不得超过30日。</w:t>
      </w:r>
    </w:p>
    <w:p w14:paraId="3299322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33.需要补充的其他内容</w:t>
      </w:r>
    </w:p>
    <w:p w14:paraId="5B62EE1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66E6E850">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42BBAA33">
      <w:pPr>
        <w:spacing w:line="360" w:lineRule="auto"/>
        <w:jc w:val="center"/>
        <w:outlineLvl w:val="0"/>
        <w:rPr>
          <w:rFonts w:hint="eastAsia" w:asciiTheme="minorEastAsia" w:hAnsiTheme="minorEastAsia" w:eastAsiaTheme="minorEastAsia"/>
          <w:b/>
          <w:sz w:val="28"/>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74370D01">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第三章 </w:t>
      </w:r>
      <w:bookmarkStart w:id="22" w:name="_Toc22605"/>
      <w:r>
        <w:rPr>
          <w:rFonts w:hint="eastAsia" w:asciiTheme="minorEastAsia" w:hAnsiTheme="minorEastAsia" w:eastAsiaTheme="minorEastAsia"/>
          <w:b/>
          <w:sz w:val="28"/>
          <w:highlight w:val="none"/>
        </w:rPr>
        <w:t xml:space="preserve"> 采购需求</w:t>
      </w:r>
      <w:bookmarkEnd w:id="22"/>
    </w:p>
    <w:p w14:paraId="01C0D23F">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751CC455">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11003F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p>
    <w:p w14:paraId="15354D5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68DDA4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D2F3A7">
      <w:pPr>
        <w:spacing w:line="360" w:lineRule="auto"/>
        <w:ind w:firstLine="435"/>
        <w:rPr>
          <w:rFonts w:hint="eastAsia"/>
          <w:highlight w:val="none"/>
        </w:rPr>
      </w:pPr>
      <w:r>
        <w:rPr>
          <w:rFonts w:hint="eastAsia" w:ascii="宋体" w:hAnsi="宋体" w:eastAsia="宋体" w:cs="宋体"/>
          <w:sz w:val="24"/>
          <w:szCs w:val="24"/>
          <w:highlight w:val="none"/>
        </w:rPr>
        <w:t>（3）企业划型标准按照《关于印发中小企业划型标准规定的通知》（工信部联企业〔2011〕300号）规定执行。中标候选人享受政策性优惠的，在发布中标结果通知书时将在相关媒体予以公开、公示。</w:t>
      </w:r>
    </w:p>
    <w:p w14:paraId="3EE9A3E6">
      <w:pPr>
        <w:spacing w:line="360" w:lineRule="auto"/>
        <w:ind w:firstLine="480" w:firstLineChars="200"/>
        <w:rPr>
          <w:rFonts w:hint="eastAsia" w:ascii="宋体" w:hAnsi="宋体" w:eastAsia="宋体"/>
          <w:bCs/>
          <w:sz w:val="24"/>
          <w:szCs w:val="18"/>
          <w:highlight w:val="none"/>
        </w:rPr>
      </w:pPr>
      <w:r>
        <w:rPr>
          <w:rFonts w:hint="eastAsia" w:ascii="宋体" w:hAnsi="宋体" w:eastAsia="宋体" w:cs="宋体"/>
          <w:sz w:val="24"/>
          <w:szCs w:val="24"/>
          <w:highlight w:val="none"/>
        </w:rPr>
        <w:t>3.如采购人允许采用分包方式履行合同的，应当明确可以分包履行的相关内容：</w:t>
      </w:r>
      <w:r>
        <w:rPr>
          <w:rFonts w:hint="eastAsia" w:ascii="宋体" w:hAnsi="宋体" w:eastAsia="宋体" w:cs="宋体"/>
          <w:sz w:val="24"/>
          <w:szCs w:val="24"/>
          <w:highlight w:val="none"/>
          <w:u w:val="single"/>
        </w:rPr>
        <w:t>本项目不允许分包</w:t>
      </w:r>
      <w:r>
        <w:rPr>
          <w:rFonts w:hint="eastAsia" w:ascii="宋体" w:hAnsi="宋体" w:eastAsia="宋体" w:cs="宋体"/>
          <w:sz w:val="24"/>
          <w:szCs w:val="24"/>
          <w:highlight w:val="none"/>
        </w:rPr>
        <w:t>。</w:t>
      </w:r>
    </w:p>
    <w:p w14:paraId="662E8DDC">
      <w:pPr>
        <w:spacing w:line="360" w:lineRule="auto"/>
        <w:ind w:firstLine="437"/>
        <w:outlineLvl w:val="1"/>
        <w:rPr>
          <w:rFonts w:hint="eastAsia" w:ascii="宋体" w:hAnsi="宋体" w:eastAsia="宋体"/>
          <w:b/>
          <w:sz w:val="24"/>
          <w:szCs w:val="18"/>
          <w:highlight w:val="none"/>
        </w:rPr>
      </w:pPr>
      <w:bookmarkStart w:id="23" w:name="_Toc4148"/>
      <w:bookmarkStart w:id="24" w:name="_Toc21798"/>
      <w:bookmarkStart w:id="25" w:name="_Hlk23621890"/>
      <w:r>
        <w:rPr>
          <w:rFonts w:hint="eastAsia" w:ascii="宋体" w:hAnsi="宋体" w:eastAsia="宋体"/>
          <w:b/>
          <w:sz w:val="24"/>
          <w:szCs w:val="18"/>
          <w:highlight w:val="none"/>
        </w:rPr>
        <w:t>一、采购需求前附表</w:t>
      </w:r>
      <w:bookmarkEnd w:id="23"/>
      <w:bookmarkEnd w:id="2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245"/>
        <w:gridCol w:w="5515"/>
      </w:tblGrid>
      <w:tr w14:paraId="2DB4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07105032">
            <w:pPr>
              <w:pStyle w:val="42"/>
              <w:pBdr>
                <w:bottom w:val="none" w:color="auto" w:sz="0" w:space="0"/>
              </w:pBdr>
              <w:tabs>
                <w:tab w:val="clear" w:pos="4153"/>
                <w:tab w:val="clear" w:pos="8306"/>
              </w:tabs>
              <w:adjustRightInd/>
              <w:spacing w:line="240" w:lineRule="auto"/>
              <w:textAlignment w:val="auto"/>
              <w:rPr>
                <w:rFonts w:hint="eastAsia" w:ascii="宋体" w:hAnsi="宋体" w:eastAsia="宋体"/>
                <w:b/>
                <w:kern w:val="2"/>
                <w:highlight w:val="none"/>
              </w:rPr>
            </w:pPr>
            <w:r>
              <w:rPr>
                <w:rFonts w:hint="eastAsia" w:ascii="宋体" w:hAnsi="宋体" w:eastAsia="宋体"/>
                <w:b/>
                <w:kern w:val="2"/>
                <w:highlight w:val="none"/>
              </w:rPr>
              <w:t>序号</w:t>
            </w:r>
          </w:p>
        </w:tc>
        <w:tc>
          <w:tcPr>
            <w:tcW w:w="1318" w:type="pct"/>
            <w:vAlign w:val="center"/>
          </w:tcPr>
          <w:p w14:paraId="59C4F0A7">
            <w:pPr>
              <w:pStyle w:val="41"/>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条款名称</w:t>
            </w:r>
          </w:p>
        </w:tc>
        <w:tc>
          <w:tcPr>
            <w:tcW w:w="3237" w:type="pct"/>
            <w:vAlign w:val="center"/>
          </w:tcPr>
          <w:p w14:paraId="599AECE7">
            <w:pPr>
              <w:pStyle w:val="41"/>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内容、说明与要求</w:t>
            </w:r>
          </w:p>
        </w:tc>
      </w:tr>
      <w:tr w14:paraId="1AD3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346CAC86">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w:t>
            </w:r>
          </w:p>
        </w:tc>
        <w:tc>
          <w:tcPr>
            <w:tcW w:w="1318" w:type="pct"/>
            <w:vAlign w:val="center"/>
          </w:tcPr>
          <w:p w14:paraId="1D4C8AAC">
            <w:pPr>
              <w:pStyle w:val="41"/>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付款方式</w:t>
            </w:r>
          </w:p>
        </w:tc>
        <w:tc>
          <w:tcPr>
            <w:tcW w:w="3237" w:type="pct"/>
            <w:vAlign w:val="center"/>
          </w:tcPr>
          <w:p w14:paraId="38FDA70C">
            <w:pPr>
              <w:pStyle w:val="41"/>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highlight w:val="none"/>
                <w:u w:val="single"/>
              </w:rPr>
              <w:t>合同生效后，中标人提供预付款等额保函后，采购人预付第一年合同价款的70%预付款，余款在第一年服务期满后进行支付。（第二、第三年服务费按此方式同比支付）第三年验收合格后</w:t>
            </w:r>
            <w:r>
              <w:rPr>
                <w:rFonts w:hint="eastAsia" w:ascii="宋体" w:hAnsi="宋体" w:eastAsia="宋体"/>
                <w:b w:val="0"/>
                <w:sz w:val="24"/>
                <w:highlight w:val="none"/>
                <w:u w:val="single"/>
                <w:lang w:eastAsia="zh-CN"/>
              </w:rPr>
              <w:t>经滁州市公安局内控部门复核，以复核结果</w:t>
            </w:r>
            <w:r>
              <w:rPr>
                <w:rFonts w:hint="eastAsia" w:ascii="宋体" w:hAnsi="宋体" w:eastAsia="宋体"/>
                <w:b w:val="0"/>
                <w:sz w:val="24"/>
                <w:highlight w:val="none"/>
                <w:u w:val="single"/>
              </w:rPr>
              <w:t>支付第三年余款。</w:t>
            </w:r>
          </w:p>
        </w:tc>
      </w:tr>
      <w:tr w14:paraId="1F20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7ECFBBB7">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w:t>
            </w:r>
          </w:p>
        </w:tc>
        <w:tc>
          <w:tcPr>
            <w:tcW w:w="1318" w:type="pct"/>
            <w:vAlign w:val="center"/>
          </w:tcPr>
          <w:p w14:paraId="38D0DD04">
            <w:pPr>
              <w:pStyle w:val="41"/>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服务地点</w:t>
            </w:r>
          </w:p>
        </w:tc>
        <w:tc>
          <w:tcPr>
            <w:tcW w:w="3237" w:type="pct"/>
            <w:vAlign w:val="center"/>
          </w:tcPr>
          <w:p w14:paraId="51E02BF5">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u w:val="single"/>
              </w:rPr>
              <w:t>滁州市内，采购人指定地点</w:t>
            </w:r>
          </w:p>
        </w:tc>
      </w:tr>
      <w:tr w14:paraId="1AF1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45CDD393">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w:t>
            </w:r>
          </w:p>
        </w:tc>
        <w:tc>
          <w:tcPr>
            <w:tcW w:w="1318" w:type="pct"/>
            <w:vAlign w:val="center"/>
          </w:tcPr>
          <w:p w14:paraId="2068239E">
            <w:pPr>
              <w:pStyle w:val="41"/>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服务期限</w:t>
            </w:r>
          </w:p>
        </w:tc>
        <w:tc>
          <w:tcPr>
            <w:tcW w:w="3237" w:type="pct"/>
            <w:vAlign w:val="center"/>
          </w:tcPr>
          <w:p w14:paraId="72C35089">
            <w:pPr>
              <w:pStyle w:val="41"/>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u w:val="single"/>
              </w:rPr>
              <w:t>三年，具体以合同签订日期为准。</w:t>
            </w:r>
          </w:p>
        </w:tc>
      </w:tr>
      <w:tr w14:paraId="7416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pct"/>
            <w:vAlign w:val="center"/>
          </w:tcPr>
          <w:p w14:paraId="7BB734FB">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4</w:t>
            </w:r>
          </w:p>
        </w:tc>
        <w:tc>
          <w:tcPr>
            <w:tcW w:w="1318" w:type="pct"/>
            <w:vAlign w:val="center"/>
          </w:tcPr>
          <w:p w14:paraId="4DEE4CFB">
            <w:pPr>
              <w:pStyle w:val="41"/>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本项目采购标的名称及所属行业</w:t>
            </w:r>
          </w:p>
        </w:tc>
        <w:tc>
          <w:tcPr>
            <w:tcW w:w="3237" w:type="pct"/>
            <w:vAlign w:val="center"/>
          </w:tcPr>
          <w:p w14:paraId="3A0CCCA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标的名称：滁州市公安局科信科350兆警用数字集群系统服务（2025-2027）项目</w:t>
            </w:r>
          </w:p>
          <w:p w14:paraId="4B5DD2E6">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所属行业：</w:t>
            </w:r>
            <w:r>
              <w:rPr>
                <w:rFonts w:hint="eastAsia" w:asciiTheme="minorEastAsia" w:hAnsiTheme="minorEastAsia" w:eastAsiaTheme="minorEastAsia"/>
                <w:b/>
                <w:bCs/>
                <w:sz w:val="24"/>
                <w:highlight w:val="none"/>
              </w:rPr>
              <w:t>软件和信息技术服务业</w:t>
            </w:r>
          </w:p>
        </w:tc>
      </w:tr>
    </w:tbl>
    <w:p w14:paraId="3093F2FD">
      <w:pPr>
        <w:spacing w:line="360" w:lineRule="auto"/>
        <w:rPr>
          <w:rFonts w:hint="eastAsia" w:ascii="宋体" w:hAnsi="宋体" w:eastAsia="宋体"/>
          <w:b/>
          <w:sz w:val="24"/>
          <w:szCs w:val="18"/>
          <w:highlight w:val="none"/>
        </w:rPr>
      </w:pPr>
      <w:bookmarkStart w:id="26" w:name="_Toc16543"/>
      <w:bookmarkStart w:id="27" w:name="_Hlk16461016"/>
    </w:p>
    <w:p w14:paraId="4CB7304F">
      <w:pPr>
        <w:spacing w:line="360" w:lineRule="auto"/>
        <w:ind w:firstLine="437"/>
        <w:outlineLvl w:val="1"/>
        <w:rPr>
          <w:rFonts w:hint="eastAsia" w:ascii="宋体" w:hAnsi="宋体" w:eastAsia="宋体"/>
          <w:b/>
          <w:sz w:val="24"/>
          <w:szCs w:val="18"/>
          <w:highlight w:val="none"/>
        </w:rPr>
      </w:pPr>
      <w:bookmarkStart w:id="28" w:name="_Toc8753"/>
      <w:r>
        <w:rPr>
          <w:rFonts w:hint="eastAsia" w:ascii="宋体" w:hAnsi="宋体" w:eastAsia="宋体"/>
          <w:b/>
          <w:sz w:val="24"/>
          <w:szCs w:val="18"/>
          <w:highlight w:val="none"/>
        </w:rPr>
        <w:t>二、</w:t>
      </w:r>
      <w:bookmarkEnd w:id="26"/>
      <w:bookmarkEnd w:id="28"/>
      <w:r>
        <w:rPr>
          <w:rFonts w:hint="eastAsia" w:ascii="宋体" w:hAnsi="宋体" w:eastAsia="宋体"/>
          <w:b/>
          <w:sz w:val="24"/>
          <w:szCs w:val="18"/>
          <w:highlight w:val="none"/>
        </w:rPr>
        <w:t>项目概况</w:t>
      </w:r>
    </w:p>
    <w:p w14:paraId="5081E28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在“科技强警”战略背景下，各地公安机关纷纷进行信息化系统的研发和应用，在强化社会服务管理、维护治安秩序、保障公共安全、预防和打击违法犯罪等各项警务工作中取得了明显成效。</w:t>
      </w:r>
    </w:p>
    <w:p w14:paraId="323900D4">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350兆警用数字集群系统作为公安无线移动通信的典型运用，随着安全保卫、维护稳定任务的不断加剧和各项公安业务的不断拓展和深化，在各级公安机关日常警务工作、在各级地方政府组织的重大活动安保工作、在执行重大警卫任务工作、在维稳处突、打击和防范犯罪、抢险救灾等各方面都将发挥着越来越重要的作用，并成为公安应急通信不可替代的重要工具，是支撑公安“情指行”一体化工作不可或缺的一环。</w:t>
      </w:r>
    </w:p>
    <w:p w14:paraId="454231E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本次服务主要内容，一是维护系统软件功能运行正常，二是提供基站设备进行平滑替换和补盲，三是进一步提升系统的网络安全防护能力，四是为项目提供人员保障支撑和应急通信服务支撑。</w:t>
      </w:r>
    </w:p>
    <w:p w14:paraId="159A0122">
      <w:pPr>
        <w:spacing w:line="360" w:lineRule="auto"/>
        <w:ind w:firstLine="437"/>
        <w:outlineLvl w:val="1"/>
        <w:rPr>
          <w:rFonts w:hint="eastAsia" w:ascii="宋体" w:hAnsi="宋体" w:eastAsia="宋体"/>
          <w:b/>
          <w:sz w:val="24"/>
          <w:szCs w:val="18"/>
          <w:highlight w:val="none"/>
        </w:rPr>
      </w:pPr>
      <w:bookmarkStart w:id="29" w:name="_Toc27920"/>
      <w:bookmarkStart w:id="30" w:name="_Toc13016"/>
      <w:r>
        <w:rPr>
          <w:rFonts w:hint="eastAsia" w:ascii="宋体" w:hAnsi="宋体" w:eastAsia="宋体"/>
          <w:b/>
          <w:sz w:val="24"/>
          <w:szCs w:val="18"/>
          <w:highlight w:val="none"/>
        </w:rPr>
        <w:t>三、</w:t>
      </w:r>
      <w:bookmarkEnd w:id="29"/>
      <w:bookmarkEnd w:id="30"/>
      <w:r>
        <w:rPr>
          <w:rFonts w:hint="eastAsia" w:ascii="宋体" w:hAnsi="宋体" w:eastAsia="宋体"/>
          <w:b/>
          <w:sz w:val="24"/>
          <w:szCs w:val="18"/>
          <w:highlight w:val="none"/>
        </w:rPr>
        <w:t>建设原则</w:t>
      </w:r>
    </w:p>
    <w:p w14:paraId="2FF09B6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1、积极预防原则</w:t>
      </w:r>
    </w:p>
    <w:p w14:paraId="21D2ADC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采取日常性维护为主，集中性维护为辅的方式，及时查处设备隐患，保持设备运行稳定，不断改进和维护通信质量。</w:t>
      </w:r>
    </w:p>
    <w:p w14:paraId="2ABC36A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2、实用可靠原则</w:t>
      </w:r>
    </w:p>
    <w:p w14:paraId="4455AB1C">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在保证使用要求和技术可行性的前提下，选择易于操作、管理、实用有效的维护方式。</w:t>
      </w:r>
    </w:p>
    <w:p w14:paraId="5EC1588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3、安全保密原则</w:t>
      </w:r>
    </w:p>
    <w:p w14:paraId="3F6E8BDB">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保证运行维护的各个环节数据安全保密，数据不泄露。</w:t>
      </w:r>
    </w:p>
    <w:p w14:paraId="3B08BC05">
      <w:pPr>
        <w:spacing w:line="360" w:lineRule="auto"/>
        <w:ind w:firstLine="437"/>
        <w:outlineLvl w:val="1"/>
        <w:rPr>
          <w:rFonts w:hint="eastAsia" w:ascii="宋体" w:hAnsi="宋体" w:eastAsia="宋体"/>
          <w:b/>
          <w:sz w:val="24"/>
          <w:szCs w:val="18"/>
          <w:highlight w:val="none"/>
        </w:rPr>
      </w:pPr>
      <w:r>
        <w:rPr>
          <w:rFonts w:hint="eastAsia" w:ascii="宋体" w:hAnsi="宋体" w:eastAsia="宋体"/>
          <w:b/>
          <w:sz w:val="24"/>
          <w:szCs w:val="18"/>
          <w:highlight w:val="none"/>
        </w:rPr>
        <w:t>四、建设目标</w:t>
      </w:r>
    </w:p>
    <w:p w14:paraId="42EADA14">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基于维保服务项目主体，围绕应急通信工作的“两个保障”和“三个提升”，对正在使用的350兆警用数字集群系统提供软硬件维保和技术支撑。</w:t>
      </w:r>
    </w:p>
    <w:p w14:paraId="6C8E31E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1、两个保障。</w:t>
      </w:r>
    </w:p>
    <w:p w14:paraId="564D77F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保障现有350兆警用数字集群系统稳定运行；保障现有350兆警用数字集群系统基站的信号覆盖范围合理正常。</w:t>
      </w:r>
    </w:p>
    <w:p w14:paraId="1654272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2、三个提升。</w:t>
      </w:r>
    </w:p>
    <w:p w14:paraId="6F2E8E02">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提升350兆警用数字集群系统的安全防护能力；提升全市公安应急通信机动保障能力；提升全市公安应急通信保障专业队伍的技术水平。</w:t>
      </w:r>
    </w:p>
    <w:p w14:paraId="33F52874">
      <w:pPr>
        <w:spacing w:line="360" w:lineRule="auto"/>
        <w:ind w:firstLine="437"/>
        <w:outlineLvl w:val="1"/>
        <w:rPr>
          <w:rFonts w:hint="eastAsia" w:ascii="宋体" w:hAnsi="宋体" w:eastAsia="宋体"/>
          <w:b/>
          <w:sz w:val="24"/>
          <w:szCs w:val="18"/>
          <w:highlight w:val="none"/>
        </w:rPr>
      </w:pPr>
      <w:r>
        <w:rPr>
          <w:rFonts w:hint="eastAsia" w:ascii="宋体" w:hAnsi="宋体" w:eastAsia="宋体"/>
          <w:b/>
          <w:sz w:val="24"/>
          <w:szCs w:val="18"/>
          <w:highlight w:val="none"/>
        </w:rPr>
        <w:t>五、建设内容</w:t>
      </w:r>
    </w:p>
    <w:p w14:paraId="0517D8E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滁州市公安局350兆警用数字集群系统在网运行有1套交换中心位于市局3楼无线机房；47套数字集群基站分布在滁州市区域内，其中市区7套、来安4套、全椒6套、定远7套、凤阳6套、明光6套、天长8套，3套便携移动站。 </w:t>
      </w:r>
    </w:p>
    <w:p w14:paraId="2C6A9752">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次服务范围内承担所有硬件设备及其系统软件的日常维护、故障处理及更换故障设备，从而保障系统的正常运行。部署日志审计、堡垒机、数据备份设备等网络安全设备，开展PDT系统的安全加固工作，提升系统整体的安全防护能力。协助滁州市公安局开展PDT通信系统、P-PoC通信系统公专融合测试、创新等工作。</w:t>
      </w:r>
    </w:p>
    <w:p w14:paraId="00481EB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服务期内需对设备进行巡检，及时排除隐患；遇重大活动或通信保障任务需提供现场350兆无线通信保障服务；提供针对维保设备的技术咨询与培训；承担维保设备及系统的搬迁或安装、调试。</w:t>
      </w:r>
    </w:p>
    <w:p w14:paraId="655532C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系统相关设备出现故障时，需按服务承诺及时维修。若故障设备无法修复，需及时汇报并提供解决方案以供使用单位进行决策。</w:t>
      </w:r>
    </w:p>
    <w:p w14:paraId="6E49929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服务过程中，因故障导致系统不能正常运行，应先由驻场工程师到现场处理解决，如遇到驻场工程师无法处理的，需另安排专业技术人员及时赶赴现场处理问题。</w:t>
      </w:r>
    </w:p>
    <w:p w14:paraId="0778A1E6">
      <w:pPr>
        <w:spacing w:line="360" w:lineRule="auto"/>
        <w:ind w:firstLine="43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六、组织实施</w:t>
      </w:r>
    </w:p>
    <w:p w14:paraId="050FB135">
      <w:pPr>
        <w:spacing w:line="360" w:lineRule="auto"/>
        <w:ind w:firstLine="435"/>
        <w:rPr>
          <w:rFonts w:hint="eastAsia" w:ascii="宋体" w:hAnsi="宋体" w:eastAsia="宋体" w:cs="宋体"/>
          <w:sz w:val="24"/>
          <w:szCs w:val="24"/>
          <w:highlight w:val="none"/>
        </w:rPr>
      </w:pPr>
      <w:bookmarkStart w:id="31" w:name="_Toc209187724"/>
      <w:r>
        <w:rPr>
          <w:rFonts w:hint="eastAsia" w:ascii="宋体" w:hAnsi="宋体" w:eastAsia="宋体" w:cs="宋体"/>
          <w:b/>
          <w:bCs/>
          <w:sz w:val="24"/>
          <w:szCs w:val="24"/>
          <w:highlight w:val="none"/>
        </w:rPr>
        <w:t>1、设备巡检</w:t>
      </w:r>
      <w:bookmarkEnd w:id="31"/>
    </w:p>
    <w:p w14:paraId="7097BFD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维保服务期间，根据维保内容中的设备，提供远程巡检服务和现场巡检服务。</w:t>
      </w:r>
    </w:p>
    <w:p w14:paraId="6FC7893B">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远程巡检是指通过登录滁州市350兆警用数字集群系统核心网网管系统，对系统核心网服务器、录音服务器、调度服务器及各分布于滁州市辖区的各个基站的联网情况、运行状态、告警信息、日志信息等内容进行巡查并记录，及时发现系统使用中存在的软硬件故障，以便进行及时处理。远程巡检周期为每工作日一次，如遇重要安保任务，需随时进行巡检，执行突发应急任务。</w:t>
      </w:r>
    </w:p>
    <w:p w14:paraId="572A7092">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现场巡检是指定期到设备使用现场，查看设备的运行环境、运行状态及基站信号覆盖效果，能更准确地发现设备运行中存在的问题、原因并及时解决存在的故障，形成书面记录，以进一步保障350兆警用数字集群系统的有效稳定运行。</w:t>
      </w:r>
    </w:p>
    <w:p w14:paraId="7869A782">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根据相关设备的放置位置及重要程度，巡检周期如下：</w:t>
      </w:r>
    </w:p>
    <w:p w14:paraId="4D7C57E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（1）滁州市公安局350兆警用数字集群系统核心网交换中心设备，每工作日现场巡检不低于1次；</w:t>
      </w:r>
    </w:p>
    <w:p w14:paraId="7C95F308">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（2）滁州市公安局350兆警用数字集群系统所有基站的数字集群通信设备及所在机房环境，每年现场巡检不低于2次；</w:t>
      </w:r>
    </w:p>
    <w:p w14:paraId="7D3D4DA1">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（3）如遇重要安保任务或重大活动通信保障任务，原则上提前48小时全面现场巡检该区域内全部基站，确保参加任务的各基站运行状态良好。</w:t>
      </w:r>
    </w:p>
    <w:p w14:paraId="29E50FD7">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（4）现场巡检服务内容如下：</w:t>
      </w:r>
    </w:p>
    <w:p w14:paraId="542AA47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机房环境检查：对核心网机房及各个基站机房的环境、温湿度等进行检查，发现问题及时反馈给使用单位，以确保设备工作良好；</w:t>
      </w:r>
    </w:p>
    <w:p w14:paraId="7C40D93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设备除尘：对维保内容中的相关设备进行除尘处理，卫生清理；</w:t>
      </w:r>
    </w:p>
    <w:p w14:paraId="58E8537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系统检查：对系统进行检查，确保系统的正常运行，防止误操作导致运行异常；</w:t>
      </w:r>
    </w:p>
    <w:p w14:paraId="46A2FE9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基站状态检查：对基站的配置参数、联网状态等进行检查；</w:t>
      </w:r>
    </w:p>
    <w:p w14:paraId="13EA8D0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基站天馈系统性能检查：对基站输出的设备功率、驻波等数据进行检查；</w:t>
      </w:r>
    </w:p>
    <w:p w14:paraId="47C3A95C">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基站覆盖范围测试：对基站的350兆数字信号覆盖范围情况进行测试，通过路测终端自动记录测试通过地点的信号强度情况，以便及时掌握区域内信号覆盖情况；</w:t>
      </w:r>
    </w:p>
    <w:p w14:paraId="4C7F3C1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基站功能测试：对基站的呼叫功能进行测试，判断基站呼叫功能是否正常。</w:t>
      </w:r>
    </w:p>
    <w:p w14:paraId="42AAB13B">
      <w:pPr>
        <w:spacing w:line="360" w:lineRule="auto"/>
        <w:ind w:firstLine="435"/>
        <w:rPr>
          <w:rFonts w:hint="eastAsia" w:ascii="宋体" w:hAnsi="宋体" w:eastAsia="宋体" w:cs="宋体"/>
          <w:sz w:val="24"/>
          <w:szCs w:val="24"/>
          <w:highlight w:val="none"/>
        </w:rPr>
      </w:pPr>
    </w:p>
    <w:p w14:paraId="6BF4F15F">
      <w:pPr>
        <w:spacing w:line="360" w:lineRule="auto"/>
        <w:ind w:firstLine="435"/>
        <w:rPr>
          <w:rFonts w:hint="eastAsia" w:ascii="宋体" w:hAnsi="宋体" w:eastAsia="宋体" w:cs="宋体"/>
          <w:b/>
          <w:bCs/>
          <w:sz w:val="24"/>
          <w:szCs w:val="24"/>
          <w:highlight w:val="none"/>
        </w:rPr>
      </w:pPr>
      <w:bookmarkStart w:id="32" w:name="_Toc209187725"/>
      <w:r>
        <w:rPr>
          <w:rFonts w:hint="eastAsia" w:ascii="宋体" w:hAnsi="宋体" w:eastAsia="宋体" w:cs="宋体"/>
          <w:b/>
          <w:bCs/>
          <w:sz w:val="24"/>
          <w:szCs w:val="24"/>
          <w:highlight w:val="none"/>
        </w:rPr>
        <w:t>2、故障响应及故障处理</w:t>
      </w:r>
      <w:bookmarkEnd w:id="32"/>
    </w:p>
    <w:p w14:paraId="629E1AE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维保服务通过对350兆警用数字集群系统交换中心、基站等进行驻场技术人员定期主动巡检维护，以及时发现350兆警用数字集群运行中存在的问题和故障；对存在问题及突发故障提供及时有效的技术支持；不断完善解决方案和防范机制，使350兆警用数字集群系统保持或迅速恢复其正常的工作状态；消除产生故障的薄弱环节，使350兆警用数字集群系统更趋于稳定、安全。</w:t>
      </w:r>
    </w:p>
    <w:p w14:paraId="554CFDF9">
      <w:pPr>
        <w:spacing w:line="360" w:lineRule="auto"/>
        <w:ind w:firstLine="435"/>
        <w:rPr>
          <w:rFonts w:hint="eastAsia" w:ascii="宋体" w:hAnsi="宋体" w:eastAsia="宋体" w:cs="宋体"/>
          <w:sz w:val="24"/>
          <w:szCs w:val="24"/>
          <w:highlight w:val="none"/>
        </w:rPr>
      </w:pPr>
      <w:bookmarkStart w:id="33" w:name="_Toc193791339"/>
      <w:r>
        <w:rPr>
          <w:rFonts w:hint="eastAsia" w:ascii="宋体" w:hAnsi="宋体" w:eastAsia="宋体" w:cs="宋体"/>
          <w:sz w:val="24"/>
          <w:szCs w:val="24"/>
          <w:highlight w:val="none"/>
        </w:rPr>
        <w:t>（1）故障事件响应</w:t>
      </w:r>
      <w:bookmarkEnd w:id="33"/>
    </w:p>
    <w:p w14:paraId="1204769D">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根据故障造成的影响划分故障级别，根据故障的级别作出响应计划。</w:t>
      </w:r>
    </w:p>
    <w:p w14:paraId="01762DFA">
      <w:pPr>
        <w:spacing w:line="360" w:lineRule="auto"/>
        <w:ind w:firstLine="435"/>
        <w:rPr>
          <w:rFonts w:hint="eastAsia" w:ascii="宋体" w:hAnsi="宋体" w:eastAsia="宋体" w:cs="宋体"/>
          <w:sz w:val="24"/>
          <w:szCs w:val="24"/>
          <w:highlight w:val="none"/>
        </w:rPr>
      </w:pPr>
      <w:bookmarkStart w:id="34" w:name="_Toc193791340"/>
      <w:r>
        <w:rPr>
          <w:rFonts w:hint="eastAsia" w:ascii="宋体" w:hAnsi="宋体" w:eastAsia="宋体" w:cs="宋体"/>
          <w:sz w:val="24"/>
          <w:szCs w:val="24"/>
          <w:highlight w:val="none"/>
        </w:rPr>
        <w:t>（2）故障响应时间</w:t>
      </w:r>
      <w:bookmarkEnd w:id="34"/>
    </w:p>
    <w:p w14:paraId="5CD7A8C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在提供5*8小时现场驻点服务的同时，运维单位还需提供7*24小时技术服务响应，保证在接到使用单位故障告知后，无论周六、周日或国家法定节假日，有解决故障能力的工程师30分钟内给予响应，如需到现场的，6小时内赶赴现场，24小时内解决问题。如遇无法及时解决的问题需在36小时内提出解决方案以供参考。</w:t>
      </w:r>
    </w:p>
    <w:p w14:paraId="49866475">
      <w:pPr>
        <w:spacing w:line="360" w:lineRule="auto"/>
        <w:ind w:firstLine="435"/>
        <w:rPr>
          <w:rFonts w:hint="eastAsia" w:ascii="宋体" w:hAnsi="宋体" w:eastAsia="宋体" w:cs="宋体"/>
          <w:sz w:val="24"/>
          <w:szCs w:val="24"/>
          <w:highlight w:val="none"/>
        </w:rPr>
      </w:pPr>
      <w:bookmarkStart w:id="35" w:name="_Toc193791341"/>
      <w:r>
        <w:rPr>
          <w:rFonts w:hint="eastAsia" w:ascii="宋体" w:hAnsi="宋体" w:eastAsia="宋体" w:cs="宋体"/>
          <w:sz w:val="24"/>
          <w:szCs w:val="24"/>
          <w:highlight w:val="none"/>
        </w:rPr>
        <w:t>（3）设备故障的处理</w:t>
      </w:r>
      <w:bookmarkEnd w:id="35"/>
    </w:p>
    <w:p w14:paraId="2620B5DE">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设备发生故障后，通过远程排障服务仍不能解决的故障,则采取现场排障处理。现场排障时优先进行备品备件的更换，第一时间保证系统或基站的正常运行，同时，现场排障服务应以避免二次入场排障为原则，通过高效迅捷的现场排障服务，解决设备出现的故障问题。</w:t>
      </w:r>
    </w:p>
    <w:p w14:paraId="6762BD20">
      <w:pPr>
        <w:spacing w:line="360" w:lineRule="auto"/>
        <w:ind w:firstLine="435"/>
        <w:rPr>
          <w:rFonts w:hint="eastAsia" w:ascii="宋体" w:hAnsi="宋体" w:eastAsia="宋体" w:cs="宋体"/>
          <w:sz w:val="24"/>
          <w:szCs w:val="24"/>
          <w:highlight w:val="none"/>
        </w:rPr>
      </w:pPr>
    </w:p>
    <w:p w14:paraId="1D6EC3DE">
      <w:pPr>
        <w:spacing w:line="360" w:lineRule="auto"/>
        <w:ind w:firstLine="435"/>
        <w:rPr>
          <w:rFonts w:hint="eastAsia" w:ascii="宋体" w:hAnsi="宋体" w:eastAsia="宋体" w:cs="宋体"/>
          <w:b/>
          <w:bCs/>
          <w:sz w:val="24"/>
          <w:szCs w:val="24"/>
          <w:highlight w:val="none"/>
        </w:rPr>
      </w:pPr>
      <w:bookmarkStart w:id="36" w:name="_Toc209187726"/>
      <w:r>
        <w:rPr>
          <w:rFonts w:hint="eastAsia" w:ascii="宋体" w:hAnsi="宋体" w:eastAsia="宋体" w:cs="宋体"/>
          <w:b/>
          <w:bCs/>
          <w:sz w:val="24"/>
          <w:szCs w:val="24"/>
          <w:highlight w:val="none"/>
        </w:rPr>
        <w:t>3、任务通信保障</w:t>
      </w:r>
      <w:bookmarkEnd w:id="36"/>
    </w:p>
    <w:p w14:paraId="57AEA8CB">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（1）每年需提供最少5人次的活动通信保障服务，保障活动期间通信系统的正常使用。</w:t>
      </w:r>
    </w:p>
    <w:p w14:paraId="03BC4B6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（2）重大任务保障前巡检。提前两天进行相关设备巡检、维护、测试，必要时进行任务现场信号测试等。</w:t>
      </w:r>
    </w:p>
    <w:p w14:paraId="1D0506CD">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（3）重大任务保障要求。根据任务需要安排后台值守力量，按照任务要求时间到岗，检查数字集群系统运行情况，任务中做好值守，任务中系统如有异常及时处置降低影响。</w:t>
      </w:r>
    </w:p>
    <w:p w14:paraId="068D193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（4）重大任务应急要求。根据任务类型和紧急情况，做好移动基站及相关设备的准备工作，以备不时之需。必要时需额外提供一套移动基站以备重大任务通信保障使用。</w:t>
      </w:r>
    </w:p>
    <w:p w14:paraId="1980AA07">
      <w:pPr>
        <w:spacing w:line="360" w:lineRule="auto"/>
        <w:ind w:firstLine="435"/>
        <w:rPr>
          <w:rFonts w:hint="eastAsia" w:ascii="宋体" w:hAnsi="宋体" w:eastAsia="宋体" w:cs="宋体"/>
          <w:sz w:val="24"/>
          <w:szCs w:val="24"/>
          <w:highlight w:val="none"/>
        </w:rPr>
      </w:pPr>
    </w:p>
    <w:p w14:paraId="78E354D1">
      <w:pPr>
        <w:spacing w:line="360" w:lineRule="auto"/>
        <w:ind w:firstLine="435"/>
        <w:rPr>
          <w:rFonts w:hint="eastAsia" w:ascii="宋体" w:hAnsi="宋体" w:eastAsia="宋体" w:cs="宋体"/>
          <w:b/>
          <w:bCs/>
          <w:sz w:val="24"/>
          <w:szCs w:val="24"/>
          <w:highlight w:val="none"/>
        </w:rPr>
      </w:pPr>
      <w:bookmarkStart w:id="37" w:name="_Toc209187727"/>
      <w:r>
        <w:rPr>
          <w:rFonts w:hint="eastAsia" w:ascii="宋体" w:hAnsi="宋体" w:eastAsia="宋体" w:cs="宋体"/>
          <w:b/>
          <w:bCs/>
          <w:sz w:val="24"/>
          <w:szCs w:val="24"/>
          <w:highlight w:val="none"/>
        </w:rPr>
        <w:t>4、系统安全加固</w:t>
      </w:r>
      <w:bookmarkEnd w:id="37"/>
    </w:p>
    <w:p w14:paraId="67F1C0A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350兆警用数字集群系统是一张独立的警用通信专网，根据相关法律、法规要求，通过部署网络安全设备为其建立相应的网络安全防护措施，使其具有一定的网络安全风险防护能力。</w:t>
      </w:r>
    </w:p>
    <w:p w14:paraId="019A9DCA">
      <w:pPr>
        <w:spacing w:line="360" w:lineRule="auto"/>
        <w:ind w:firstLine="435"/>
        <w:rPr>
          <w:rFonts w:hint="eastAsia" w:ascii="宋体" w:hAnsi="宋体" w:eastAsia="宋体" w:cs="宋体"/>
          <w:sz w:val="24"/>
          <w:szCs w:val="24"/>
          <w:highlight w:val="none"/>
        </w:rPr>
      </w:pPr>
    </w:p>
    <w:p w14:paraId="11864C39">
      <w:pPr>
        <w:spacing w:line="360" w:lineRule="auto"/>
        <w:ind w:firstLine="435"/>
        <w:rPr>
          <w:rFonts w:hint="eastAsia" w:ascii="宋体" w:hAnsi="宋体" w:eastAsia="宋体" w:cs="宋体"/>
          <w:b/>
          <w:bCs/>
          <w:sz w:val="24"/>
          <w:szCs w:val="24"/>
          <w:highlight w:val="none"/>
        </w:rPr>
      </w:pPr>
      <w:bookmarkStart w:id="38" w:name="_Toc209187728"/>
      <w:r>
        <w:rPr>
          <w:rFonts w:hint="eastAsia" w:ascii="宋体" w:hAnsi="宋体" w:eastAsia="宋体" w:cs="宋体"/>
          <w:b/>
          <w:bCs/>
          <w:sz w:val="24"/>
          <w:szCs w:val="24"/>
          <w:highlight w:val="none"/>
        </w:rPr>
        <w:t>5、应用创新</w:t>
      </w:r>
      <w:bookmarkEnd w:id="38"/>
    </w:p>
    <w:p w14:paraId="4B152372">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350兆警用数字集群系统信号覆盖受限于资金、地理环境、民辅警区别等限制性因素无法实现100%的全域信号覆盖和100%的民辅警全员配备，结合不同的通信业务应用场景，依据相关的技术标准，使用P-PoC系统协助开展通信手段应用创新测试。</w:t>
      </w:r>
    </w:p>
    <w:p w14:paraId="4A8D3C30">
      <w:pPr>
        <w:spacing w:line="360" w:lineRule="auto"/>
        <w:ind w:firstLine="435"/>
        <w:rPr>
          <w:rFonts w:hint="eastAsia" w:ascii="宋体" w:hAnsi="宋体" w:eastAsia="宋体" w:cs="宋体"/>
          <w:sz w:val="24"/>
          <w:szCs w:val="24"/>
          <w:highlight w:val="none"/>
        </w:rPr>
      </w:pPr>
    </w:p>
    <w:p w14:paraId="06B80EFA">
      <w:pPr>
        <w:spacing w:line="360" w:lineRule="auto"/>
        <w:ind w:firstLine="435"/>
        <w:rPr>
          <w:rFonts w:hint="eastAsia" w:ascii="宋体" w:hAnsi="宋体" w:eastAsia="宋体" w:cs="宋体"/>
          <w:b/>
          <w:bCs/>
          <w:sz w:val="24"/>
          <w:szCs w:val="24"/>
          <w:highlight w:val="none"/>
        </w:rPr>
      </w:pPr>
      <w:bookmarkStart w:id="39" w:name="_Toc209187729"/>
      <w:r>
        <w:rPr>
          <w:rFonts w:hint="eastAsia" w:ascii="宋体" w:hAnsi="宋体" w:eastAsia="宋体" w:cs="宋体"/>
          <w:b/>
          <w:bCs/>
          <w:sz w:val="24"/>
          <w:szCs w:val="24"/>
          <w:highlight w:val="none"/>
        </w:rPr>
        <w:t>6、设备搬迁</w:t>
      </w:r>
      <w:bookmarkEnd w:id="39"/>
    </w:p>
    <w:p w14:paraId="211C3D94">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在服务期内，系统、设备因故需要搬迁、安装、调试的，每年提供不少于2次的设备搬迁、安装、调试服务，并确保设备移动、安装后能正常使用。</w:t>
      </w:r>
    </w:p>
    <w:p w14:paraId="55C40ECC">
      <w:pPr>
        <w:spacing w:line="360" w:lineRule="auto"/>
        <w:ind w:firstLine="435"/>
        <w:rPr>
          <w:rFonts w:hint="eastAsia" w:ascii="宋体" w:hAnsi="宋体" w:eastAsia="宋体" w:cs="宋体"/>
          <w:sz w:val="24"/>
          <w:szCs w:val="24"/>
          <w:highlight w:val="none"/>
        </w:rPr>
      </w:pPr>
    </w:p>
    <w:p w14:paraId="73766029">
      <w:pPr>
        <w:spacing w:line="360" w:lineRule="auto"/>
        <w:ind w:firstLine="435"/>
        <w:rPr>
          <w:rFonts w:hint="eastAsia" w:ascii="宋体" w:hAnsi="宋体" w:eastAsia="宋体" w:cs="宋体"/>
          <w:b/>
          <w:bCs/>
          <w:sz w:val="24"/>
          <w:szCs w:val="24"/>
          <w:highlight w:val="none"/>
        </w:rPr>
      </w:pPr>
      <w:bookmarkStart w:id="40" w:name="_Toc209187730"/>
      <w:r>
        <w:rPr>
          <w:rFonts w:hint="eastAsia" w:ascii="宋体" w:hAnsi="宋体" w:eastAsia="宋体" w:cs="宋体"/>
          <w:b/>
          <w:bCs/>
          <w:sz w:val="24"/>
          <w:szCs w:val="24"/>
          <w:highlight w:val="none"/>
        </w:rPr>
        <w:t>7、人员驻场</w:t>
      </w:r>
      <w:bookmarkEnd w:id="40"/>
    </w:p>
    <w:p w14:paraId="4A3C590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为满足维保服务需要，在维保服务期内提供1名具有二年以上工作经验的技术人员实施工作日驻场服务。</w:t>
      </w:r>
    </w:p>
    <w:p w14:paraId="0FB0FE4C">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驻场人员工作内容（包括不限于）：</w:t>
      </w:r>
    </w:p>
    <w:p w14:paraId="295CE474">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设备系统维护、软硬件故障的解决及技术支持、统计报表。</w:t>
      </w:r>
    </w:p>
    <w:p w14:paraId="11D5AC3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系统远程巡检：每天对交换中心网管软件、基站及互联系统的告警、状态、性能进行巡检并记录。</w:t>
      </w:r>
    </w:p>
    <w:p w14:paraId="012C1EFC">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年度现场巡检：每年度对所有基站设备进行现场状态检测及软硬件维护并形成年度总结报告。</w:t>
      </w:r>
    </w:p>
    <w:p w14:paraId="2935D347">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服从业主单位的工作安排，完成必要的其他工作。</w:t>
      </w:r>
    </w:p>
    <w:p w14:paraId="6FC02367">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驻场人员在运维过程中应按要求填写考勤记录、日常巡检记录，对设备故障处理、维修、更换形成联系单。同时，结合实际运维情况，对人员驻点的出勤情况、巡检</w:t>
      </w:r>
      <w:r>
        <w:rPr>
          <w:rFonts w:hint="eastAsia" w:ascii="宋体" w:hAnsi="宋体" w:eastAsia="宋体" w:cs="宋体"/>
          <w:sz w:val="24"/>
          <w:szCs w:val="24"/>
          <w:highlight w:val="none"/>
          <w:lang w:eastAsia="zh-CN"/>
        </w:rPr>
        <w:t>完成情况</w:t>
      </w:r>
      <w:r>
        <w:rPr>
          <w:rFonts w:hint="eastAsia" w:ascii="宋体" w:hAnsi="宋体" w:eastAsia="宋体" w:cs="宋体"/>
          <w:sz w:val="24"/>
          <w:szCs w:val="24"/>
          <w:highlight w:val="none"/>
        </w:rPr>
        <w:t>、故障处理</w:t>
      </w:r>
      <w:r>
        <w:rPr>
          <w:rFonts w:hint="eastAsia" w:ascii="宋体" w:hAnsi="宋体" w:eastAsia="宋体" w:cs="宋体"/>
          <w:sz w:val="24"/>
          <w:szCs w:val="24"/>
          <w:highlight w:val="none"/>
          <w:lang w:eastAsia="zh-CN"/>
        </w:rPr>
        <w:t>情况</w:t>
      </w:r>
      <w:r>
        <w:rPr>
          <w:rFonts w:hint="eastAsia" w:ascii="宋体" w:hAnsi="宋体" w:eastAsia="宋体" w:cs="宋体"/>
          <w:sz w:val="24"/>
          <w:szCs w:val="24"/>
          <w:highlight w:val="none"/>
        </w:rPr>
        <w:t>作为考核标准。</w:t>
      </w:r>
    </w:p>
    <w:p w14:paraId="4F567203">
      <w:pPr>
        <w:spacing w:line="360" w:lineRule="auto"/>
        <w:ind w:firstLine="435"/>
        <w:rPr>
          <w:rFonts w:ascii="宋体" w:hAnsi="宋体" w:eastAsia="宋体" w:cs="宋体"/>
          <w:b/>
          <w:bCs/>
          <w:sz w:val="24"/>
          <w:szCs w:val="24"/>
          <w:highlight w:val="none"/>
        </w:rPr>
      </w:pPr>
      <w:bookmarkStart w:id="41" w:name="_Toc209187731"/>
    </w:p>
    <w:p w14:paraId="493529E4">
      <w:pPr>
        <w:spacing w:line="360" w:lineRule="auto"/>
        <w:ind w:firstLine="43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8、技术支撑</w:t>
      </w:r>
      <w:bookmarkEnd w:id="41"/>
    </w:p>
    <w:p w14:paraId="797EF0E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（1）对反映的系统、电台使用问题及时受理，并进行指导。</w:t>
      </w:r>
    </w:p>
    <w:p w14:paraId="5629646D">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（2）根据需求，对各单位开展电台使用培训。</w:t>
      </w:r>
    </w:p>
    <w:p w14:paraId="1A1BA16B">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（3）免费提供关于维保项目相关的技术及方案咨询，开展有关项目的实施提供技术支撑，完成交办的专题技术调研与测试工作。</w:t>
      </w:r>
    </w:p>
    <w:p w14:paraId="6E1CA1F3">
      <w:pPr>
        <w:spacing w:line="360" w:lineRule="auto"/>
        <w:ind w:firstLine="435"/>
        <w:rPr>
          <w:rFonts w:hint="eastAsia" w:ascii="宋体" w:hAnsi="宋体" w:eastAsia="宋体" w:cs="宋体"/>
          <w:sz w:val="24"/>
          <w:szCs w:val="24"/>
          <w:highlight w:val="none"/>
        </w:rPr>
      </w:pPr>
    </w:p>
    <w:p w14:paraId="3E5CD9BC">
      <w:pPr>
        <w:spacing w:line="360" w:lineRule="auto"/>
        <w:ind w:firstLine="435"/>
        <w:rPr>
          <w:rFonts w:hint="eastAsia" w:ascii="宋体" w:hAnsi="宋体" w:eastAsia="宋体" w:cs="宋体"/>
          <w:b/>
          <w:bCs/>
          <w:sz w:val="24"/>
          <w:szCs w:val="24"/>
          <w:highlight w:val="none"/>
        </w:rPr>
      </w:pPr>
      <w:bookmarkStart w:id="42" w:name="_Toc209187732"/>
      <w:r>
        <w:rPr>
          <w:rFonts w:hint="eastAsia" w:ascii="宋体" w:hAnsi="宋体" w:eastAsia="宋体" w:cs="宋体"/>
          <w:b/>
          <w:bCs/>
          <w:sz w:val="24"/>
          <w:szCs w:val="24"/>
          <w:highlight w:val="none"/>
        </w:rPr>
        <w:t>9、机房及高空点位资源</w:t>
      </w:r>
      <w:bookmarkEnd w:id="42"/>
    </w:p>
    <w:p w14:paraId="0934EC24">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（1）专用通信机房（或室外柜、高空安装平台）及铁塔挂高资源，城区可挂高平台不低于60米，乡镇可挂高平台不低于 45 米。</w:t>
      </w:r>
    </w:p>
    <w:p w14:paraId="6A55EBB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（2）稳定的220V或-48V供电系统，提供 UPS不间断电源供设备供电，保证在机房停电后提供不少于4小时的后备电源支持。 </w:t>
      </w:r>
    </w:p>
    <w:p w14:paraId="24A0013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（3）应急发电服务，确保机房停电4小时内到达现场提供应急发电服务。</w:t>
      </w:r>
    </w:p>
    <w:p w14:paraId="1A40ED5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（4）机房及高空点位资源需满足使用单位实际的需求，且位置可根据需求进行调整。</w:t>
      </w:r>
    </w:p>
    <w:p w14:paraId="28CBE97A">
      <w:pPr>
        <w:spacing w:line="360" w:lineRule="auto"/>
        <w:ind w:firstLine="435"/>
        <w:rPr>
          <w:rFonts w:hint="eastAsia" w:ascii="宋体" w:hAnsi="宋体" w:eastAsia="宋体" w:cs="宋体"/>
          <w:sz w:val="24"/>
          <w:szCs w:val="24"/>
          <w:highlight w:val="none"/>
        </w:rPr>
      </w:pPr>
    </w:p>
    <w:p w14:paraId="55DE416C">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投标人需充分考虑系统现状及维护滁州市现有基站接入系统正常通信所必须的设备及辅材等，包含（不限于）招标文件要求的采购清单。</w:t>
      </w:r>
    </w:p>
    <w:p w14:paraId="5646FDB8">
      <w:pPr>
        <w:spacing w:line="360" w:lineRule="auto"/>
        <w:ind w:firstLine="435"/>
        <w:rPr>
          <w:rFonts w:hint="eastAsia" w:ascii="宋体" w:hAnsi="宋体" w:eastAsia="宋体" w:cs="宋体"/>
          <w:sz w:val="24"/>
          <w:szCs w:val="24"/>
          <w:highlight w:val="none"/>
        </w:rPr>
      </w:pPr>
    </w:p>
    <w:p w14:paraId="71C7585C">
      <w:pPr>
        <w:spacing w:line="360" w:lineRule="auto"/>
        <w:ind w:firstLine="43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采购清单</w:t>
      </w:r>
    </w:p>
    <w:tbl>
      <w:tblPr>
        <w:tblStyle w:val="23"/>
        <w:tblW w:w="9900" w:type="dxa"/>
        <w:jc w:val="center"/>
        <w:tblLayout w:type="autofit"/>
        <w:tblCellMar>
          <w:top w:w="0" w:type="dxa"/>
          <w:left w:w="108" w:type="dxa"/>
          <w:bottom w:w="0" w:type="dxa"/>
          <w:right w:w="108" w:type="dxa"/>
        </w:tblCellMar>
      </w:tblPr>
      <w:tblGrid>
        <w:gridCol w:w="590"/>
        <w:gridCol w:w="1106"/>
        <w:gridCol w:w="5529"/>
        <w:gridCol w:w="992"/>
        <w:gridCol w:w="876"/>
        <w:gridCol w:w="807"/>
      </w:tblGrid>
      <w:tr w14:paraId="62DFC597">
        <w:tblPrEx>
          <w:tblCellMar>
            <w:top w:w="0" w:type="dxa"/>
            <w:left w:w="108" w:type="dxa"/>
            <w:bottom w:w="0" w:type="dxa"/>
            <w:right w:w="108" w:type="dxa"/>
          </w:tblCellMar>
        </w:tblPrEx>
        <w:trPr>
          <w:jc w:val="center"/>
        </w:trPr>
        <w:tc>
          <w:tcPr>
            <w:tcW w:w="590" w:type="dxa"/>
            <w:tcBorders>
              <w:top w:val="single" w:color="auto" w:sz="4" w:space="0"/>
              <w:left w:val="single" w:color="auto" w:sz="4" w:space="0"/>
              <w:bottom w:val="single" w:color="auto" w:sz="4" w:space="0"/>
              <w:right w:val="single" w:color="auto" w:sz="4" w:space="0"/>
            </w:tcBorders>
            <w:noWrap/>
            <w:vAlign w:val="center"/>
          </w:tcPr>
          <w:p w14:paraId="3B0F0604">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序号</w:t>
            </w:r>
          </w:p>
        </w:tc>
        <w:tc>
          <w:tcPr>
            <w:tcW w:w="1106" w:type="dxa"/>
            <w:tcBorders>
              <w:top w:val="single" w:color="auto" w:sz="4" w:space="0"/>
              <w:left w:val="nil"/>
              <w:bottom w:val="single" w:color="auto" w:sz="4" w:space="0"/>
              <w:right w:val="single" w:color="auto" w:sz="4" w:space="0"/>
            </w:tcBorders>
            <w:vAlign w:val="center"/>
          </w:tcPr>
          <w:p w14:paraId="6DB71549">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名称</w:t>
            </w:r>
          </w:p>
        </w:tc>
        <w:tc>
          <w:tcPr>
            <w:tcW w:w="5529" w:type="dxa"/>
            <w:tcBorders>
              <w:top w:val="single" w:color="auto" w:sz="4" w:space="0"/>
              <w:left w:val="nil"/>
              <w:bottom w:val="single" w:color="auto" w:sz="4" w:space="0"/>
              <w:right w:val="single" w:color="auto" w:sz="4" w:space="0"/>
            </w:tcBorders>
            <w:vAlign w:val="center"/>
          </w:tcPr>
          <w:p w14:paraId="6F86D2A2">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参数要求</w:t>
            </w:r>
          </w:p>
        </w:tc>
        <w:tc>
          <w:tcPr>
            <w:tcW w:w="992" w:type="dxa"/>
            <w:tcBorders>
              <w:top w:val="single" w:color="auto" w:sz="4" w:space="0"/>
              <w:left w:val="nil"/>
              <w:bottom w:val="single" w:color="auto" w:sz="4" w:space="0"/>
              <w:right w:val="single" w:color="auto" w:sz="4" w:space="0"/>
            </w:tcBorders>
            <w:noWrap/>
            <w:vAlign w:val="center"/>
          </w:tcPr>
          <w:p w14:paraId="09A5C188">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数量</w:t>
            </w:r>
          </w:p>
          <w:p w14:paraId="771D7A62">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(每年)</w:t>
            </w:r>
          </w:p>
        </w:tc>
        <w:tc>
          <w:tcPr>
            <w:tcW w:w="876" w:type="dxa"/>
            <w:tcBorders>
              <w:top w:val="single" w:color="auto" w:sz="4" w:space="0"/>
              <w:left w:val="nil"/>
              <w:bottom w:val="single" w:color="auto" w:sz="4" w:space="0"/>
              <w:right w:val="single" w:color="auto" w:sz="4" w:space="0"/>
            </w:tcBorders>
            <w:noWrap/>
            <w:vAlign w:val="center"/>
          </w:tcPr>
          <w:p w14:paraId="493B2C8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单位</w:t>
            </w:r>
          </w:p>
        </w:tc>
        <w:tc>
          <w:tcPr>
            <w:tcW w:w="807" w:type="dxa"/>
            <w:tcBorders>
              <w:top w:val="single" w:color="auto" w:sz="4" w:space="0"/>
              <w:left w:val="nil"/>
              <w:bottom w:val="single" w:color="auto" w:sz="4" w:space="0"/>
              <w:right w:val="single" w:color="auto" w:sz="4" w:space="0"/>
            </w:tcBorders>
            <w:noWrap/>
            <w:vAlign w:val="center"/>
          </w:tcPr>
          <w:p w14:paraId="5630BA61">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备注</w:t>
            </w:r>
          </w:p>
        </w:tc>
      </w:tr>
      <w:tr w14:paraId="2C0C0AB1">
        <w:tblPrEx>
          <w:tblCellMar>
            <w:top w:w="0" w:type="dxa"/>
            <w:left w:w="108" w:type="dxa"/>
            <w:bottom w:w="0" w:type="dxa"/>
            <w:right w:w="108" w:type="dxa"/>
          </w:tblCellMar>
        </w:tblPrEx>
        <w:trPr>
          <w:trHeight w:val="557" w:hRule="atLeast"/>
          <w:jc w:val="center"/>
        </w:trPr>
        <w:tc>
          <w:tcPr>
            <w:tcW w:w="590" w:type="dxa"/>
            <w:tcBorders>
              <w:top w:val="nil"/>
              <w:left w:val="single" w:color="auto" w:sz="4" w:space="0"/>
              <w:bottom w:val="single" w:color="auto" w:sz="4" w:space="0"/>
              <w:right w:val="single" w:color="auto" w:sz="4" w:space="0"/>
            </w:tcBorders>
            <w:noWrap/>
            <w:vAlign w:val="center"/>
          </w:tcPr>
          <w:p w14:paraId="2358D0F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一</w:t>
            </w:r>
          </w:p>
        </w:tc>
        <w:tc>
          <w:tcPr>
            <w:tcW w:w="9310" w:type="dxa"/>
            <w:gridSpan w:val="5"/>
            <w:tcBorders>
              <w:top w:val="single" w:color="auto" w:sz="4" w:space="0"/>
              <w:left w:val="nil"/>
              <w:bottom w:val="single" w:color="auto" w:sz="4" w:space="0"/>
              <w:right w:val="single" w:color="auto" w:sz="4" w:space="0"/>
            </w:tcBorders>
            <w:noWrap/>
            <w:vAlign w:val="center"/>
          </w:tcPr>
          <w:p w14:paraId="68D518B8">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系统软件维护服务</w:t>
            </w:r>
          </w:p>
        </w:tc>
      </w:tr>
      <w:tr w14:paraId="6F6250F5">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5B6CACB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1106" w:type="dxa"/>
            <w:tcBorders>
              <w:top w:val="nil"/>
              <w:left w:val="nil"/>
              <w:bottom w:val="single" w:color="auto" w:sz="4" w:space="0"/>
              <w:right w:val="single" w:color="auto" w:sz="4" w:space="0"/>
            </w:tcBorders>
            <w:vAlign w:val="center"/>
          </w:tcPr>
          <w:p w14:paraId="52EC2D41">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交换中心系统维护服务</w:t>
            </w:r>
          </w:p>
        </w:tc>
        <w:tc>
          <w:tcPr>
            <w:tcW w:w="5529" w:type="dxa"/>
            <w:tcBorders>
              <w:top w:val="nil"/>
              <w:left w:val="nil"/>
              <w:bottom w:val="single" w:color="auto" w:sz="4" w:space="0"/>
              <w:right w:val="single" w:color="auto" w:sz="4" w:space="0"/>
            </w:tcBorders>
            <w:vAlign w:val="center"/>
          </w:tcPr>
          <w:p w14:paraId="7BD97388">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1、对交换中心软件（包括PDT核心网系统、PDT调度系统、PDT录音系统）进行维护，保证系统软件正常运行。</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2、对整套交换中心硬件设备进行维护、运行状态查看，及时发现并处理交换中心硬件故障。</w:t>
            </w:r>
          </w:p>
        </w:tc>
        <w:tc>
          <w:tcPr>
            <w:tcW w:w="992" w:type="dxa"/>
            <w:tcBorders>
              <w:top w:val="nil"/>
              <w:left w:val="nil"/>
              <w:bottom w:val="single" w:color="auto" w:sz="4" w:space="0"/>
              <w:right w:val="single" w:color="auto" w:sz="4" w:space="0"/>
            </w:tcBorders>
            <w:noWrap/>
            <w:vAlign w:val="center"/>
          </w:tcPr>
          <w:p w14:paraId="3D1838C5">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7486B40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项</w:t>
            </w:r>
          </w:p>
        </w:tc>
        <w:tc>
          <w:tcPr>
            <w:tcW w:w="807" w:type="dxa"/>
            <w:tcBorders>
              <w:top w:val="nil"/>
              <w:left w:val="nil"/>
              <w:bottom w:val="single" w:color="auto" w:sz="4" w:space="0"/>
              <w:right w:val="single" w:color="auto" w:sz="4" w:space="0"/>
            </w:tcBorders>
            <w:noWrap/>
            <w:vAlign w:val="center"/>
          </w:tcPr>
          <w:p w14:paraId="51042688">
            <w:pPr>
              <w:snapToGrid w:val="0"/>
              <w:spacing w:line="273" w:lineRule="auto"/>
              <w:jc w:val="center"/>
              <w:rPr>
                <w:rFonts w:hint="eastAsia" w:ascii="宋体" w:hAnsi="宋体" w:eastAsia="宋体" w:cs="宋体"/>
                <w:color w:val="000000"/>
                <w:kern w:val="0"/>
                <w:sz w:val="24"/>
                <w:szCs w:val="24"/>
                <w:highlight w:val="none"/>
              </w:rPr>
            </w:pPr>
          </w:p>
        </w:tc>
      </w:tr>
      <w:tr w14:paraId="254BEF9D">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6E1C318C">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c>
          <w:tcPr>
            <w:tcW w:w="1106" w:type="dxa"/>
            <w:tcBorders>
              <w:top w:val="nil"/>
              <w:left w:val="nil"/>
              <w:bottom w:val="single" w:color="auto" w:sz="4" w:space="0"/>
              <w:right w:val="single" w:color="auto" w:sz="4" w:space="0"/>
            </w:tcBorders>
            <w:vAlign w:val="center"/>
          </w:tcPr>
          <w:p w14:paraId="5621B291">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基站控制器软件维护服务</w:t>
            </w:r>
          </w:p>
        </w:tc>
        <w:tc>
          <w:tcPr>
            <w:tcW w:w="5529" w:type="dxa"/>
            <w:tcBorders>
              <w:top w:val="nil"/>
              <w:left w:val="nil"/>
              <w:bottom w:val="single" w:color="auto" w:sz="4" w:space="0"/>
              <w:right w:val="single" w:color="auto" w:sz="4" w:space="0"/>
            </w:tcBorders>
            <w:vAlign w:val="center"/>
          </w:tcPr>
          <w:p w14:paraId="29AC136F">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1、对47座基站的基站控制器软件进行维护，保证软件正常运行，含近三年更换、新建的基站。</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2、对异常状态的基站控制器进行维护、故障处理，保障设备的正常运行。</w:t>
            </w:r>
          </w:p>
        </w:tc>
        <w:tc>
          <w:tcPr>
            <w:tcW w:w="992" w:type="dxa"/>
            <w:tcBorders>
              <w:top w:val="nil"/>
              <w:left w:val="nil"/>
              <w:bottom w:val="single" w:color="auto" w:sz="4" w:space="0"/>
              <w:right w:val="single" w:color="auto" w:sz="4" w:space="0"/>
            </w:tcBorders>
            <w:noWrap/>
            <w:vAlign w:val="center"/>
          </w:tcPr>
          <w:p w14:paraId="239E1980">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47</w:t>
            </w:r>
          </w:p>
        </w:tc>
        <w:tc>
          <w:tcPr>
            <w:tcW w:w="876" w:type="dxa"/>
            <w:tcBorders>
              <w:top w:val="nil"/>
              <w:left w:val="nil"/>
              <w:bottom w:val="single" w:color="auto" w:sz="4" w:space="0"/>
              <w:right w:val="single" w:color="auto" w:sz="4" w:space="0"/>
            </w:tcBorders>
            <w:noWrap/>
            <w:vAlign w:val="center"/>
          </w:tcPr>
          <w:p w14:paraId="2283EC20">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套</w:t>
            </w:r>
          </w:p>
        </w:tc>
        <w:tc>
          <w:tcPr>
            <w:tcW w:w="807" w:type="dxa"/>
            <w:tcBorders>
              <w:top w:val="nil"/>
              <w:left w:val="nil"/>
              <w:bottom w:val="single" w:color="auto" w:sz="4" w:space="0"/>
              <w:right w:val="single" w:color="auto" w:sz="4" w:space="0"/>
            </w:tcBorders>
            <w:noWrap/>
            <w:vAlign w:val="center"/>
          </w:tcPr>
          <w:p w14:paraId="04F9122D">
            <w:pPr>
              <w:snapToGrid w:val="0"/>
              <w:spacing w:line="273" w:lineRule="auto"/>
              <w:jc w:val="center"/>
              <w:rPr>
                <w:rFonts w:hint="eastAsia" w:ascii="宋体" w:hAnsi="宋体" w:eastAsia="宋体" w:cs="宋体"/>
                <w:color w:val="000000"/>
                <w:kern w:val="0"/>
                <w:sz w:val="24"/>
                <w:szCs w:val="24"/>
                <w:highlight w:val="none"/>
              </w:rPr>
            </w:pPr>
          </w:p>
        </w:tc>
      </w:tr>
      <w:tr w14:paraId="0EC66B5D">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1727A57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w:t>
            </w:r>
          </w:p>
        </w:tc>
        <w:tc>
          <w:tcPr>
            <w:tcW w:w="1106" w:type="dxa"/>
            <w:tcBorders>
              <w:top w:val="nil"/>
              <w:left w:val="nil"/>
              <w:bottom w:val="single" w:color="auto" w:sz="4" w:space="0"/>
              <w:right w:val="single" w:color="auto" w:sz="4" w:space="0"/>
            </w:tcBorders>
            <w:vAlign w:val="center"/>
          </w:tcPr>
          <w:p w14:paraId="1124C00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信道控制器软件维护服务</w:t>
            </w:r>
          </w:p>
        </w:tc>
        <w:tc>
          <w:tcPr>
            <w:tcW w:w="5529" w:type="dxa"/>
            <w:tcBorders>
              <w:top w:val="nil"/>
              <w:left w:val="nil"/>
              <w:bottom w:val="single" w:color="auto" w:sz="4" w:space="0"/>
              <w:right w:val="single" w:color="auto" w:sz="4" w:space="0"/>
            </w:tcBorders>
            <w:vAlign w:val="center"/>
          </w:tcPr>
          <w:p w14:paraId="62FC969B">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1、对137个信道控制器软件进行维护，保证软件正常运行，含近三年更换、新建的基站。</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2、对异常状态的信道进行维护、故障处理，保障设备的正常运行。</w:t>
            </w:r>
          </w:p>
        </w:tc>
        <w:tc>
          <w:tcPr>
            <w:tcW w:w="992" w:type="dxa"/>
            <w:tcBorders>
              <w:top w:val="nil"/>
              <w:left w:val="nil"/>
              <w:bottom w:val="single" w:color="auto" w:sz="4" w:space="0"/>
              <w:right w:val="single" w:color="auto" w:sz="4" w:space="0"/>
            </w:tcBorders>
            <w:noWrap/>
            <w:vAlign w:val="center"/>
          </w:tcPr>
          <w:p w14:paraId="09B36B55">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137</w:t>
            </w:r>
          </w:p>
        </w:tc>
        <w:tc>
          <w:tcPr>
            <w:tcW w:w="876" w:type="dxa"/>
            <w:tcBorders>
              <w:top w:val="nil"/>
              <w:left w:val="nil"/>
              <w:bottom w:val="single" w:color="auto" w:sz="4" w:space="0"/>
              <w:right w:val="single" w:color="auto" w:sz="4" w:space="0"/>
            </w:tcBorders>
            <w:noWrap/>
            <w:vAlign w:val="center"/>
          </w:tcPr>
          <w:p w14:paraId="3D9514C5">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套</w:t>
            </w:r>
          </w:p>
        </w:tc>
        <w:tc>
          <w:tcPr>
            <w:tcW w:w="807" w:type="dxa"/>
            <w:tcBorders>
              <w:top w:val="nil"/>
              <w:left w:val="nil"/>
              <w:bottom w:val="single" w:color="auto" w:sz="4" w:space="0"/>
              <w:right w:val="single" w:color="auto" w:sz="4" w:space="0"/>
            </w:tcBorders>
            <w:noWrap/>
            <w:vAlign w:val="center"/>
          </w:tcPr>
          <w:p w14:paraId="6E43FDF8">
            <w:pPr>
              <w:snapToGrid w:val="0"/>
              <w:spacing w:line="273" w:lineRule="auto"/>
              <w:jc w:val="center"/>
              <w:rPr>
                <w:rFonts w:hint="eastAsia" w:ascii="宋体" w:hAnsi="宋体" w:eastAsia="宋体" w:cs="宋体"/>
                <w:color w:val="000000"/>
                <w:kern w:val="0"/>
                <w:sz w:val="24"/>
                <w:szCs w:val="24"/>
                <w:highlight w:val="none"/>
              </w:rPr>
            </w:pPr>
          </w:p>
        </w:tc>
      </w:tr>
      <w:tr w14:paraId="16CDA0A7">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3453A14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4</w:t>
            </w:r>
          </w:p>
        </w:tc>
        <w:tc>
          <w:tcPr>
            <w:tcW w:w="1106" w:type="dxa"/>
            <w:tcBorders>
              <w:top w:val="nil"/>
              <w:left w:val="nil"/>
              <w:bottom w:val="single" w:color="auto" w:sz="4" w:space="0"/>
              <w:right w:val="single" w:color="auto" w:sz="4" w:space="0"/>
            </w:tcBorders>
            <w:vAlign w:val="center"/>
          </w:tcPr>
          <w:p w14:paraId="2B5A2AC0">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写频服务</w:t>
            </w:r>
          </w:p>
        </w:tc>
        <w:tc>
          <w:tcPr>
            <w:tcW w:w="5529" w:type="dxa"/>
            <w:tcBorders>
              <w:top w:val="nil"/>
              <w:left w:val="nil"/>
              <w:bottom w:val="single" w:color="auto" w:sz="4" w:space="0"/>
              <w:right w:val="single" w:color="auto" w:sz="4" w:space="0"/>
            </w:tcBorders>
            <w:vAlign w:val="center"/>
          </w:tcPr>
          <w:p w14:paraId="32C00C8E">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1、对需要重新写频的对讲机进行写频。</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2、对写频软件进行维护、升级等。</w:t>
            </w:r>
          </w:p>
        </w:tc>
        <w:tc>
          <w:tcPr>
            <w:tcW w:w="992" w:type="dxa"/>
            <w:tcBorders>
              <w:top w:val="nil"/>
              <w:left w:val="nil"/>
              <w:bottom w:val="single" w:color="auto" w:sz="4" w:space="0"/>
              <w:right w:val="single" w:color="auto" w:sz="4" w:space="0"/>
            </w:tcBorders>
            <w:noWrap/>
            <w:vAlign w:val="center"/>
          </w:tcPr>
          <w:p w14:paraId="0EBB3AE0">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1C07D61F">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项</w:t>
            </w:r>
          </w:p>
        </w:tc>
        <w:tc>
          <w:tcPr>
            <w:tcW w:w="807" w:type="dxa"/>
            <w:tcBorders>
              <w:top w:val="nil"/>
              <w:left w:val="nil"/>
              <w:bottom w:val="single" w:color="auto" w:sz="4" w:space="0"/>
              <w:right w:val="single" w:color="auto" w:sz="4" w:space="0"/>
            </w:tcBorders>
            <w:noWrap/>
            <w:vAlign w:val="center"/>
          </w:tcPr>
          <w:p w14:paraId="4D69D407">
            <w:pPr>
              <w:snapToGrid w:val="0"/>
              <w:spacing w:line="273" w:lineRule="auto"/>
              <w:jc w:val="center"/>
              <w:rPr>
                <w:rFonts w:hint="eastAsia" w:ascii="宋体" w:hAnsi="宋体" w:eastAsia="宋体" w:cs="宋体"/>
                <w:color w:val="000000"/>
                <w:kern w:val="0"/>
                <w:sz w:val="24"/>
                <w:szCs w:val="24"/>
                <w:highlight w:val="none"/>
              </w:rPr>
            </w:pPr>
          </w:p>
        </w:tc>
      </w:tr>
      <w:tr w14:paraId="41530FD5">
        <w:tblPrEx>
          <w:tblCellMar>
            <w:top w:w="0" w:type="dxa"/>
            <w:left w:w="108" w:type="dxa"/>
            <w:bottom w:w="0" w:type="dxa"/>
            <w:right w:w="108" w:type="dxa"/>
          </w:tblCellMar>
        </w:tblPrEx>
        <w:trPr>
          <w:trHeight w:val="605" w:hRule="atLeast"/>
          <w:jc w:val="center"/>
        </w:trPr>
        <w:tc>
          <w:tcPr>
            <w:tcW w:w="590" w:type="dxa"/>
            <w:tcBorders>
              <w:top w:val="nil"/>
              <w:left w:val="single" w:color="auto" w:sz="4" w:space="0"/>
              <w:bottom w:val="single" w:color="auto" w:sz="4" w:space="0"/>
              <w:right w:val="single" w:color="auto" w:sz="4" w:space="0"/>
            </w:tcBorders>
            <w:noWrap/>
            <w:vAlign w:val="center"/>
          </w:tcPr>
          <w:p w14:paraId="73AB95D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二</w:t>
            </w:r>
          </w:p>
        </w:tc>
        <w:tc>
          <w:tcPr>
            <w:tcW w:w="9310" w:type="dxa"/>
            <w:gridSpan w:val="5"/>
            <w:tcBorders>
              <w:top w:val="single" w:color="auto" w:sz="4" w:space="0"/>
              <w:left w:val="nil"/>
              <w:bottom w:val="single" w:color="auto" w:sz="4" w:space="0"/>
              <w:right w:val="single" w:color="auto" w:sz="4" w:space="0"/>
            </w:tcBorders>
            <w:noWrap/>
            <w:vAlign w:val="center"/>
          </w:tcPr>
          <w:p w14:paraId="4C879175">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设备（硬件）维护服务</w:t>
            </w:r>
          </w:p>
        </w:tc>
      </w:tr>
      <w:tr w14:paraId="14D07227">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11564F0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1106" w:type="dxa"/>
            <w:tcBorders>
              <w:top w:val="nil"/>
              <w:left w:val="nil"/>
              <w:bottom w:val="single" w:color="auto" w:sz="4" w:space="0"/>
              <w:right w:val="single" w:color="auto" w:sz="4" w:space="0"/>
            </w:tcBorders>
            <w:vAlign w:val="center"/>
          </w:tcPr>
          <w:p w14:paraId="08A39504">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4载频基站</w:t>
            </w:r>
          </w:p>
        </w:tc>
        <w:tc>
          <w:tcPr>
            <w:tcW w:w="5529" w:type="dxa"/>
            <w:tcBorders>
              <w:top w:val="nil"/>
              <w:left w:val="nil"/>
              <w:bottom w:val="single" w:color="auto" w:sz="4" w:space="0"/>
              <w:right w:val="single" w:color="auto" w:sz="4" w:space="0"/>
            </w:tcBorders>
            <w:vAlign w:val="center"/>
          </w:tcPr>
          <w:p w14:paraId="7DD4D877">
            <w:pPr>
              <w:snapToGrid w:val="0"/>
              <w:spacing w:line="273"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一体化基站整机，重量不大于20kg，支持机柜式、抱箍式及壁挂式安装，既支持楼顶、塔顶、电杆等露天环境下固定安装使用，也可作为移动基站车载、便携推拉使用，须提供设备抱箍、壁挂及便携式安装图片。</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2、制式：PDT集群；频率范围：RX:350.8~356.2MHz,TX:360.8~366.2MHz, 4FSK调制频偏误差率≤8%；邻道功率比检验（±12.5kHz）≤-70dB；互调衰减检验（共存要求）≤-65dB。须提供第三方检测机构出具的检测报告扫描件。</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3、载频数：4载频；为应对突发大话务量等特殊情况，设备需支持通过软件远程快速扩容载频数量，最大可临时扩容至不低于8载频，须提供第三方检测机构出具的检测报告扫描件。</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4、供电方式：交流220V或直流－48V两种供电方式；整机功耗:≤350W；工作温度：-40°C～55°C；工作湿度：5%RH to100%RH；电源端口防雷等级：20KA；MTBF≥100,000小时。</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5、为保证基站良好的接收效果，接收指标要求：静态灵敏度：≤-124.5dBm@BER5%，须提供第三方检测机构出具的检测报告扫描件；发送指标要求：每载频功率≤50W。</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6、在户外安装使用时，为保证在雨雪、大风等恶劣天气情况下能够正常使用，设备须具备良好的防水防尘功能，防护等级需≥IP68，须提供第三方检测机构出具的检测报告扫描件。</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7、支持告警功能，网管客户端可实时显示基站产生的告警信息，并将已确认的告警信息自动转入到告警历史；支持按时间、类型实时查询告警数量，并可将告警信息自动发送到指定对讲机，以便管理人员第一时间掌握告警情况并进行处置。</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8、为便于载频资源分配和管理、提高全局基站载频的利用率，基站需支持通过软件方式对载频数量（1-8）和功率（1-50W)进行调节；须提供第三方检测机构出具的检测报告扫描件。</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9、支持指定基站扫描功能，下发目标基站扫描信令后，终端可自动到指定基站登记。</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10、为便于管理和分配频点资源，基站需支持远程修改频点功能，可通过网管客户端增加、删除、修改基站的信道频点。</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11、支持通过网管系统对基站天馈系统的数据进行实时监控及报警查看，支持基站发射驻波比监测，当发射驻波比异常时系统自动发出告警信息，以便运维人员及时发现并处理故障。</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12、基站仅支持北斗定位模式；须提供第三方检测机构出具的检测报告扫描件。</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13、支持信道自动关闭功能:当信道遇到无线干扰不能正常解码时，自动关闭该信道，当干扰消失时，信道会自动启动。</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14、备份链路自动切换：基站与交换中心之间具有主备2条链路时，当主链路断开时，可自动切换到备用链路，链路切换时间应≤30s。</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▲15、支持辅助控制信道功能，单个基站可同时支持1个主控信道和3个辅助控制信道；支持信道列表更新功能，可通过空口写频方式更新终端控制信道列表。须提供第三方检测机构出具的检测报告扫描件。</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16、因设备安装于无专人看守的环境下，为防止警务泄密，设备本身不得具备显示通信频率、信道号、主被叫信息等功能，以防信息泄露，设备不得具有外放声音功能。提供承诺函，格式自拟。</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17、</w:t>
            </w:r>
            <w:r>
              <w:rPr>
                <w:rFonts w:hint="eastAsia" w:ascii="宋体" w:hAnsi="宋体" w:eastAsia="宋体" w:cs="宋体"/>
                <w:kern w:val="0"/>
                <w:sz w:val="24"/>
                <w:szCs w:val="24"/>
                <w:highlight w:val="none"/>
                <w:lang w:val="en-US" w:eastAsia="zh-CN" w:bidi="ar"/>
              </w:rPr>
              <w:t>具有</w:t>
            </w:r>
            <w:r>
              <w:rPr>
                <w:rFonts w:hint="eastAsia" w:ascii="宋体" w:hAnsi="宋体" w:eastAsia="宋体" w:cs="宋体"/>
                <w:kern w:val="0"/>
                <w:sz w:val="24"/>
                <w:szCs w:val="24"/>
                <w:highlight w:val="none"/>
                <w:lang w:bidi="ar"/>
              </w:rPr>
              <w:t>有效期内的《无线电发射设备型号核准证》。</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18、设备通过警用数字集群（PDT）设备空口一致性测试及射频设备性能测试，须提供第三方检测机构出具的检测报告扫描件。</w:t>
            </w:r>
            <w:r>
              <w:rPr>
                <w:rFonts w:hint="eastAsia" w:ascii="宋体" w:hAnsi="宋体" w:eastAsia="宋体" w:cs="宋体"/>
                <w:kern w:val="0"/>
                <w:sz w:val="24"/>
                <w:szCs w:val="24"/>
                <w:highlight w:val="none"/>
                <w:lang w:bidi="ar"/>
              </w:rPr>
              <w:br w:type="textWrapping"/>
            </w:r>
            <w:r>
              <w:rPr>
                <w:rFonts w:hint="eastAsia" w:ascii="宋体" w:hAnsi="宋体" w:eastAsia="宋体" w:cs="宋体"/>
                <w:color w:val="000000"/>
                <w:kern w:val="0"/>
                <w:sz w:val="24"/>
                <w:szCs w:val="24"/>
                <w:highlight w:val="none"/>
                <w:lang w:bidi="ar"/>
              </w:rPr>
              <w:t>▲</w:t>
            </w:r>
            <w:r>
              <w:rPr>
                <w:rFonts w:hint="eastAsia" w:ascii="宋体" w:hAnsi="宋体" w:eastAsia="宋体" w:cs="宋体"/>
                <w:kern w:val="0"/>
                <w:sz w:val="24"/>
                <w:szCs w:val="24"/>
                <w:highlight w:val="none"/>
                <w:lang w:bidi="ar"/>
              </w:rPr>
              <w:t>19、基站设备须能接入到滁州市公安局350兆警用数字集群系统内，实现正常通信，提供承诺函，格式自拟。</w:t>
            </w:r>
          </w:p>
        </w:tc>
        <w:tc>
          <w:tcPr>
            <w:tcW w:w="992" w:type="dxa"/>
            <w:tcBorders>
              <w:top w:val="nil"/>
              <w:left w:val="nil"/>
              <w:bottom w:val="single" w:color="auto" w:sz="4" w:space="0"/>
              <w:right w:val="single" w:color="auto" w:sz="4" w:space="0"/>
            </w:tcBorders>
            <w:noWrap/>
            <w:vAlign w:val="center"/>
          </w:tcPr>
          <w:p w14:paraId="2891D4C8">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5/3</w:t>
            </w:r>
          </w:p>
        </w:tc>
        <w:tc>
          <w:tcPr>
            <w:tcW w:w="876" w:type="dxa"/>
            <w:tcBorders>
              <w:top w:val="nil"/>
              <w:left w:val="nil"/>
              <w:bottom w:val="single" w:color="auto" w:sz="4" w:space="0"/>
              <w:right w:val="single" w:color="auto" w:sz="4" w:space="0"/>
            </w:tcBorders>
            <w:noWrap/>
            <w:vAlign w:val="center"/>
          </w:tcPr>
          <w:p w14:paraId="0FAA2F0D">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套</w:t>
            </w:r>
          </w:p>
        </w:tc>
        <w:tc>
          <w:tcPr>
            <w:tcW w:w="807" w:type="dxa"/>
            <w:tcBorders>
              <w:top w:val="nil"/>
              <w:left w:val="nil"/>
              <w:bottom w:val="single" w:color="auto" w:sz="4" w:space="0"/>
              <w:right w:val="single" w:color="auto" w:sz="4" w:space="0"/>
            </w:tcBorders>
            <w:noWrap/>
            <w:vAlign w:val="center"/>
          </w:tcPr>
          <w:p w14:paraId="38939CC5">
            <w:pPr>
              <w:snapToGrid w:val="0"/>
              <w:spacing w:line="273" w:lineRule="auto"/>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bidi="ar"/>
              </w:rPr>
              <w:t>3年5套</w:t>
            </w:r>
            <w:r>
              <w:rPr>
                <w:rFonts w:hint="eastAsia" w:ascii="宋体" w:hAnsi="宋体" w:eastAsia="宋体" w:cs="宋体"/>
                <w:color w:val="000000"/>
                <w:kern w:val="0"/>
                <w:sz w:val="24"/>
                <w:szCs w:val="24"/>
                <w:highlight w:val="none"/>
                <w:lang w:val="en-US" w:eastAsia="zh-CN" w:bidi="ar"/>
              </w:rPr>
              <w:t>,因运维实际工作需要，需第一年一次性到货5座基站</w:t>
            </w:r>
          </w:p>
        </w:tc>
      </w:tr>
      <w:tr w14:paraId="5C98E75C">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518A1359">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c>
          <w:tcPr>
            <w:tcW w:w="1106" w:type="dxa"/>
            <w:tcBorders>
              <w:top w:val="nil"/>
              <w:left w:val="nil"/>
              <w:bottom w:val="single" w:color="auto" w:sz="4" w:space="0"/>
              <w:right w:val="single" w:color="auto" w:sz="4" w:space="0"/>
            </w:tcBorders>
            <w:vAlign w:val="center"/>
          </w:tcPr>
          <w:p w14:paraId="2AE84068">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专用电源</w:t>
            </w:r>
          </w:p>
        </w:tc>
        <w:tc>
          <w:tcPr>
            <w:tcW w:w="5529" w:type="dxa"/>
            <w:tcBorders>
              <w:top w:val="nil"/>
              <w:left w:val="nil"/>
              <w:bottom w:val="single" w:color="auto" w:sz="4" w:space="0"/>
              <w:right w:val="single" w:color="auto" w:sz="4" w:space="0"/>
            </w:tcBorders>
            <w:vAlign w:val="center"/>
          </w:tcPr>
          <w:p w14:paraId="40E9B809">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1、4载频一体化基站专用；</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2、供电要求：输入端：交流220伏；输出端：直流-48伏；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3、支持抱杆式和墙挂式安装</w:t>
            </w:r>
          </w:p>
        </w:tc>
        <w:tc>
          <w:tcPr>
            <w:tcW w:w="992" w:type="dxa"/>
            <w:tcBorders>
              <w:top w:val="nil"/>
              <w:left w:val="nil"/>
              <w:bottom w:val="single" w:color="auto" w:sz="4" w:space="0"/>
              <w:right w:val="single" w:color="auto" w:sz="4" w:space="0"/>
            </w:tcBorders>
            <w:noWrap/>
            <w:vAlign w:val="center"/>
          </w:tcPr>
          <w:p w14:paraId="1E16869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5/3</w:t>
            </w:r>
          </w:p>
        </w:tc>
        <w:tc>
          <w:tcPr>
            <w:tcW w:w="876" w:type="dxa"/>
            <w:tcBorders>
              <w:top w:val="nil"/>
              <w:left w:val="nil"/>
              <w:bottom w:val="single" w:color="auto" w:sz="4" w:space="0"/>
              <w:right w:val="single" w:color="auto" w:sz="4" w:space="0"/>
            </w:tcBorders>
            <w:noWrap/>
            <w:vAlign w:val="center"/>
          </w:tcPr>
          <w:p w14:paraId="1CDA0155">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台</w:t>
            </w:r>
          </w:p>
        </w:tc>
        <w:tc>
          <w:tcPr>
            <w:tcW w:w="807" w:type="dxa"/>
            <w:tcBorders>
              <w:top w:val="nil"/>
              <w:left w:val="nil"/>
              <w:bottom w:val="single" w:color="auto" w:sz="4" w:space="0"/>
              <w:right w:val="single" w:color="auto" w:sz="4" w:space="0"/>
            </w:tcBorders>
            <w:noWrap/>
            <w:vAlign w:val="center"/>
          </w:tcPr>
          <w:p w14:paraId="3D17AC11">
            <w:pPr>
              <w:snapToGrid w:val="0"/>
              <w:spacing w:line="273"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bidi="ar"/>
              </w:rPr>
              <w:t>3年5台</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因运维实际工作需要，需第一年一次性到货5台电源</w:t>
            </w:r>
          </w:p>
        </w:tc>
      </w:tr>
      <w:tr w14:paraId="50E91336">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5B0C76F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w:t>
            </w:r>
          </w:p>
        </w:tc>
        <w:tc>
          <w:tcPr>
            <w:tcW w:w="1106" w:type="dxa"/>
            <w:tcBorders>
              <w:top w:val="nil"/>
              <w:left w:val="nil"/>
              <w:bottom w:val="single" w:color="auto" w:sz="4" w:space="0"/>
              <w:right w:val="single" w:color="auto" w:sz="4" w:space="0"/>
            </w:tcBorders>
            <w:vAlign w:val="center"/>
          </w:tcPr>
          <w:p w14:paraId="133814A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野战光纤</w:t>
            </w:r>
          </w:p>
        </w:tc>
        <w:tc>
          <w:tcPr>
            <w:tcW w:w="5529" w:type="dxa"/>
            <w:tcBorders>
              <w:top w:val="nil"/>
              <w:left w:val="nil"/>
              <w:bottom w:val="single" w:color="auto" w:sz="4" w:space="0"/>
              <w:right w:val="single" w:color="auto" w:sz="4" w:space="0"/>
            </w:tcBorders>
            <w:vAlign w:val="center"/>
          </w:tcPr>
          <w:p w14:paraId="3293A2E4">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基站搭建使用，要求不低于50米/根，单模双芯，接口定制，含防水保护接头。</w:t>
            </w:r>
          </w:p>
        </w:tc>
        <w:tc>
          <w:tcPr>
            <w:tcW w:w="992" w:type="dxa"/>
            <w:tcBorders>
              <w:top w:val="nil"/>
              <w:left w:val="nil"/>
              <w:bottom w:val="single" w:color="auto" w:sz="4" w:space="0"/>
              <w:right w:val="single" w:color="auto" w:sz="4" w:space="0"/>
            </w:tcBorders>
            <w:noWrap/>
            <w:vAlign w:val="center"/>
          </w:tcPr>
          <w:p w14:paraId="08189E0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5/3</w:t>
            </w:r>
          </w:p>
        </w:tc>
        <w:tc>
          <w:tcPr>
            <w:tcW w:w="876" w:type="dxa"/>
            <w:tcBorders>
              <w:top w:val="nil"/>
              <w:left w:val="nil"/>
              <w:bottom w:val="single" w:color="auto" w:sz="4" w:space="0"/>
              <w:right w:val="single" w:color="auto" w:sz="4" w:space="0"/>
            </w:tcBorders>
            <w:noWrap/>
            <w:vAlign w:val="center"/>
          </w:tcPr>
          <w:p w14:paraId="6C56FA9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根</w:t>
            </w:r>
          </w:p>
        </w:tc>
        <w:tc>
          <w:tcPr>
            <w:tcW w:w="807" w:type="dxa"/>
            <w:tcBorders>
              <w:top w:val="nil"/>
              <w:left w:val="nil"/>
              <w:bottom w:val="single" w:color="auto" w:sz="4" w:space="0"/>
              <w:right w:val="single" w:color="auto" w:sz="4" w:space="0"/>
            </w:tcBorders>
            <w:noWrap/>
            <w:vAlign w:val="center"/>
          </w:tcPr>
          <w:p w14:paraId="50ECB4D7">
            <w:pPr>
              <w:snapToGrid w:val="0"/>
              <w:spacing w:line="273"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bidi="ar"/>
              </w:rPr>
              <w:t>3年5根</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因运维实际工作需要，需第一年一次性到货5根光纤</w:t>
            </w:r>
          </w:p>
        </w:tc>
      </w:tr>
      <w:tr w14:paraId="590EEB13">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02B6518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4</w:t>
            </w:r>
          </w:p>
        </w:tc>
        <w:tc>
          <w:tcPr>
            <w:tcW w:w="1106" w:type="dxa"/>
            <w:tcBorders>
              <w:top w:val="nil"/>
              <w:left w:val="nil"/>
              <w:bottom w:val="single" w:color="auto" w:sz="4" w:space="0"/>
              <w:right w:val="single" w:color="auto" w:sz="4" w:space="0"/>
            </w:tcBorders>
            <w:vAlign w:val="center"/>
          </w:tcPr>
          <w:p w14:paraId="590C871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配套辅材</w:t>
            </w:r>
          </w:p>
        </w:tc>
        <w:tc>
          <w:tcPr>
            <w:tcW w:w="5529" w:type="dxa"/>
            <w:tcBorders>
              <w:top w:val="nil"/>
              <w:left w:val="nil"/>
              <w:bottom w:val="single" w:color="auto" w:sz="4" w:space="0"/>
              <w:right w:val="single" w:color="auto" w:sz="4" w:space="0"/>
            </w:tcBorders>
            <w:vAlign w:val="center"/>
          </w:tcPr>
          <w:p w14:paraId="347B7F98">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基站搭建使用，需提供转接头、双联卡子、胶泥、胶带、接地线、跳线、配线、馈线卡、天线支架。</w:t>
            </w:r>
          </w:p>
        </w:tc>
        <w:tc>
          <w:tcPr>
            <w:tcW w:w="992" w:type="dxa"/>
            <w:tcBorders>
              <w:top w:val="nil"/>
              <w:left w:val="nil"/>
              <w:bottom w:val="single" w:color="auto" w:sz="4" w:space="0"/>
              <w:right w:val="single" w:color="auto" w:sz="4" w:space="0"/>
            </w:tcBorders>
            <w:noWrap/>
            <w:vAlign w:val="center"/>
          </w:tcPr>
          <w:p w14:paraId="29BEC40D">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5/3</w:t>
            </w:r>
          </w:p>
        </w:tc>
        <w:tc>
          <w:tcPr>
            <w:tcW w:w="876" w:type="dxa"/>
            <w:tcBorders>
              <w:top w:val="nil"/>
              <w:left w:val="nil"/>
              <w:bottom w:val="single" w:color="auto" w:sz="4" w:space="0"/>
              <w:right w:val="single" w:color="auto" w:sz="4" w:space="0"/>
            </w:tcBorders>
            <w:noWrap/>
            <w:vAlign w:val="center"/>
          </w:tcPr>
          <w:p w14:paraId="05F8C4AB">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套</w:t>
            </w:r>
          </w:p>
        </w:tc>
        <w:tc>
          <w:tcPr>
            <w:tcW w:w="807" w:type="dxa"/>
            <w:tcBorders>
              <w:top w:val="nil"/>
              <w:left w:val="nil"/>
              <w:bottom w:val="single" w:color="auto" w:sz="4" w:space="0"/>
              <w:right w:val="single" w:color="auto" w:sz="4" w:space="0"/>
            </w:tcBorders>
            <w:noWrap/>
            <w:vAlign w:val="center"/>
          </w:tcPr>
          <w:p w14:paraId="3D8F9BB2">
            <w:pPr>
              <w:snapToGrid w:val="0"/>
              <w:spacing w:line="273"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bidi="ar"/>
              </w:rPr>
              <w:t>3年5套</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因运维实际工作需要，需第一年一次性到货5套辅材</w:t>
            </w:r>
          </w:p>
        </w:tc>
      </w:tr>
      <w:tr w14:paraId="6123A399">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43C9B622">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w:t>
            </w:r>
          </w:p>
        </w:tc>
        <w:tc>
          <w:tcPr>
            <w:tcW w:w="1106" w:type="dxa"/>
            <w:tcBorders>
              <w:top w:val="nil"/>
              <w:left w:val="nil"/>
              <w:bottom w:val="single" w:color="auto" w:sz="4" w:space="0"/>
              <w:right w:val="single" w:color="auto" w:sz="4" w:space="0"/>
            </w:tcBorders>
            <w:vAlign w:val="center"/>
          </w:tcPr>
          <w:p w14:paraId="17BF4BA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卫星电话</w:t>
            </w:r>
          </w:p>
        </w:tc>
        <w:tc>
          <w:tcPr>
            <w:tcW w:w="5529" w:type="dxa"/>
            <w:tcBorders>
              <w:top w:val="nil"/>
              <w:left w:val="nil"/>
              <w:bottom w:val="single" w:color="auto" w:sz="4" w:space="0"/>
              <w:right w:val="single" w:color="auto" w:sz="4" w:space="0"/>
            </w:tcBorders>
            <w:vAlign w:val="center"/>
          </w:tcPr>
          <w:p w14:paraId="5F026CF5">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1、支持天通卫星通话，仅支持北斗定位模式。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2、配置：四核CPU，主频≥1.0GHz；内存：≥1GB RAM+8GB ROM；显示屏≥3.1英寸，支持多点电容触摸屏； </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3、电池容量≥5000mAh，待机时间≥120小时，工作时间≥8小时；支持手动无工具快速拆卸更换。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4、第一年提供卫星电话一部，含通讯费和短信费，每年支付服务费，产权归运维单位所有。</w:t>
            </w:r>
          </w:p>
        </w:tc>
        <w:tc>
          <w:tcPr>
            <w:tcW w:w="992" w:type="dxa"/>
            <w:tcBorders>
              <w:top w:val="nil"/>
              <w:left w:val="nil"/>
              <w:bottom w:val="single" w:color="auto" w:sz="4" w:space="0"/>
              <w:right w:val="single" w:color="auto" w:sz="4" w:space="0"/>
            </w:tcBorders>
            <w:noWrap/>
            <w:vAlign w:val="center"/>
          </w:tcPr>
          <w:p w14:paraId="46FA2089">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73A5725B">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台</w:t>
            </w:r>
          </w:p>
        </w:tc>
        <w:tc>
          <w:tcPr>
            <w:tcW w:w="807" w:type="dxa"/>
            <w:tcBorders>
              <w:top w:val="nil"/>
              <w:left w:val="nil"/>
              <w:bottom w:val="single" w:color="auto" w:sz="4" w:space="0"/>
              <w:right w:val="single" w:color="auto" w:sz="4" w:space="0"/>
            </w:tcBorders>
            <w:noWrap/>
            <w:vAlign w:val="center"/>
          </w:tcPr>
          <w:p w14:paraId="074B4C2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　</w:t>
            </w:r>
          </w:p>
        </w:tc>
      </w:tr>
      <w:tr w14:paraId="60B53E9B">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35B614E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6</w:t>
            </w:r>
          </w:p>
        </w:tc>
        <w:tc>
          <w:tcPr>
            <w:tcW w:w="1106" w:type="dxa"/>
            <w:tcBorders>
              <w:top w:val="nil"/>
              <w:left w:val="nil"/>
              <w:bottom w:val="single" w:color="auto" w:sz="4" w:space="0"/>
              <w:right w:val="single" w:color="auto" w:sz="4" w:space="0"/>
            </w:tcBorders>
            <w:noWrap/>
            <w:vAlign w:val="center"/>
          </w:tcPr>
          <w:p w14:paraId="2E0AEF14">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基站控制器</w:t>
            </w:r>
          </w:p>
        </w:tc>
        <w:tc>
          <w:tcPr>
            <w:tcW w:w="5529" w:type="dxa"/>
            <w:tcBorders>
              <w:top w:val="nil"/>
              <w:left w:val="nil"/>
              <w:bottom w:val="single" w:color="auto" w:sz="4" w:space="0"/>
              <w:right w:val="single" w:color="auto" w:sz="4" w:space="0"/>
            </w:tcBorders>
            <w:vAlign w:val="center"/>
          </w:tcPr>
          <w:p w14:paraId="5975B3BB">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1、实现部分移动性管理、呼叫的接续控制、无线资源管理、基站内设备的操作维护，以及基站与交换中心的接口等功能。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2、支持远程维护，支持热备份，应用数据异地备份，智能预分配信道，交换容量≥16载频；具备双机热备份、远程维护、单站集群功能。</w:t>
            </w:r>
          </w:p>
          <w:p w14:paraId="75D733D9">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3、能够适配控制现有基站使用。</w:t>
            </w:r>
          </w:p>
        </w:tc>
        <w:tc>
          <w:tcPr>
            <w:tcW w:w="992" w:type="dxa"/>
            <w:tcBorders>
              <w:top w:val="nil"/>
              <w:left w:val="nil"/>
              <w:bottom w:val="single" w:color="auto" w:sz="4" w:space="0"/>
              <w:right w:val="single" w:color="auto" w:sz="4" w:space="0"/>
            </w:tcBorders>
            <w:noWrap/>
            <w:vAlign w:val="center"/>
          </w:tcPr>
          <w:p w14:paraId="3BEC5B7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5D09DBC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台</w:t>
            </w:r>
          </w:p>
        </w:tc>
        <w:tc>
          <w:tcPr>
            <w:tcW w:w="807" w:type="dxa"/>
            <w:tcBorders>
              <w:top w:val="nil"/>
              <w:left w:val="nil"/>
              <w:bottom w:val="single" w:color="auto" w:sz="4" w:space="0"/>
              <w:right w:val="single" w:color="auto" w:sz="4" w:space="0"/>
            </w:tcBorders>
            <w:noWrap/>
            <w:vAlign w:val="center"/>
          </w:tcPr>
          <w:p w14:paraId="265DB520">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　</w:t>
            </w:r>
          </w:p>
        </w:tc>
      </w:tr>
      <w:tr w14:paraId="5DF33A93">
        <w:tblPrEx>
          <w:tblCellMar>
            <w:top w:w="0" w:type="dxa"/>
            <w:left w:w="108" w:type="dxa"/>
            <w:bottom w:w="0" w:type="dxa"/>
            <w:right w:w="108" w:type="dxa"/>
          </w:tblCellMar>
        </w:tblPrEx>
        <w:trPr>
          <w:trHeight w:val="498" w:hRule="atLeast"/>
          <w:jc w:val="center"/>
        </w:trPr>
        <w:tc>
          <w:tcPr>
            <w:tcW w:w="590" w:type="dxa"/>
            <w:tcBorders>
              <w:top w:val="nil"/>
              <w:left w:val="single" w:color="auto" w:sz="4" w:space="0"/>
              <w:bottom w:val="single" w:color="auto" w:sz="4" w:space="0"/>
              <w:right w:val="single" w:color="auto" w:sz="4" w:space="0"/>
            </w:tcBorders>
            <w:noWrap/>
            <w:vAlign w:val="center"/>
          </w:tcPr>
          <w:p w14:paraId="54A9E168">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7</w:t>
            </w:r>
          </w:p>
        </w:tc>
        <w:tc>
          <w:tcPr>
            <w:tcW w:w="1106" w:type="dxa"/>
            <w:tcBorders>
              <w:top w:val="nil"/>
              <w:left w:val="nil"/>
              <w:bottom w:val="single" w:color="auto" w:sz="4" w:space="0"/>
              <w:right w:val="single" w:color="auto" w:sz="4" w:space="0"/>
            </w:tcBorders>
            <w:noWrap/>
            <w:vAlign w:val="center"/>
          </w:tcPr>
          <w:p w14:paraId="5B70FA2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手台天线</w:t>
            </w:r>
          </w:p>
        </w:tc>
        <w:tc>
          <w:tcPr>
            <w:tcW w:w="5529" w:type="dxa"/>
            <w:tcBorders>
              <w:top w:val="nil"/>
              <w:left w:val="nil"/>
              <w:bottom w:val="single" w:color="auto" w:sz="4" w:space="0"/>
              <w:right w:val="single" w:color="auto" w:sz="4" w:space="0"/>
            </w:tcBorders>
            <w:noWrap/>
            <w:vAlign w:val="center"/>
          </w:tcPr>
          <w:p w14:paraId="268DFB4E">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适配现有350兆数字终端。</w:t>
            </w:r>
          </w:p>
        </w:tc>
        <w:tc>
          <w:tcPr>
            <w:tcW w:w="992" w:type="dxa"/>
            <w:tcBorders>
              <w:top w:val="nil"/>
              <w:left w:val="nil"/>
              <w:bottom w:val="single" w:color="auto" w:sz="4" w:space="0"/>
              <w:right w:val="single" w:color="auto" w:sz="4" w:space="0"/>
            </w:tcBorders>
            <w:noWrap/>
            <w:vAlign w:val="center"/>
          </w:tcPr>
          <w:p w14:paraId="6F426BFC">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40</w:t>
            </w:r>
          </w:p>
        </w:tc>
        <w:tc>
          <w:tcPr>
            <w:tcW w:w="876" w:type="dxa"/>
            <w:tcBorders>
              <w:top w:val="nil"/>
              <w:left w:val="nil"/>
              <w:bottom w:val="single" w:color="auto" w:sz="4" w:space="0"/>
              <w:right w:val="single" w:color="auto" w:sz="4" w:space="0"/>
            </w:tcBorders>
            <w:noWrap/>
            <w:vAlign w:val="center"/>
          </w:tcPr>
          <w:p w14:paraId="665F109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根</w:t>
            </w:r>
          </w:p>
        </w:tc>
        <w:tc>
          <w:tcPr>
            <w:tcW w:w="807" w:type="dxa"/>
            <w:tcBorders>
              <w:top w:val="nil"/>
              <w:left w:val="nil"/>
              <w:bottom w:val="single" w:color="auto" w:sz="4" w:space="0"/>
              <w:right w:val="single" w:color="auto" w:sz="4" w:space="0"/>
            </w:tcBorders>
            <w:noWrap/>
            <w:vAlign w:val="center"/>
          </w:tcPr>
          <w:p w14:paraId="73A97162">
            <w:pPr>
              <w:snapToGrid w:val="0"/>
              <w:spacing w:line="273" w:lineRule="auto"/>
              <w:jc w:val="center"/>
              <w:rPr>
                <w:rFonts w:hint="eastAsia" w:ascii="宋体" w:hAnsi="宋体" w:eastAsia="宋体" w:cs="宋体"/>
                <w:color w:val="000000"/>
                <w:kern w:val="0"/>
                <w:sz w:val="24"/>
                <w:szCs w:val="24"/>
                <w:highlight w:val="none"/>
              </w:rPr>
            </w:pPr>
          </w:p>
        </w:tc>
      </w:tr>
      <w:tr w14:paraId="070F9199">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63D5DBD5">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8</w:t>
            </w:r>
          </w:p>
        </w:tc>
        <w:tc>
          <w:tcPr>
            <w:tcW w:w="1106" w:type="dxa"/>
            <w:tcBorders>
              <w:top w:val="nil"/>
              <w:left w:val="nil"/>
              <w:bottom w:val="single" w:color="auto" w:sz="4" w:space="0"/>
              <w:right w:val="single" w:color="auto" w:sz="4" w:space="0"/>
            </w:tcBorders>
            <w:noWrap/>
            <w:vAlign w:val="center"/>
          </w:tcPr>
          <w:p w14:paraId="2C6DEE94">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机房及高空点位资源服务</w:t>
            </w:r>
          </w:p>
        </w:tc>
        <w:tc>
          <w:tcPr>
            <w:tcW w:w="5529" w:type="dxa"/>
            <w:tcBorders>
              <w:top w:val="nil"/>
              <w:left w:val="nil"/>
              <w:bottom w:val="single" w:color="auto" w:sz="4" w:space="0"/>
              <w:right w:val="single" w:color="auto" w:sz="4" w:space="0"/>
            </w:tcBorders>
            <w:vAlign w:val="center"/>
          </w:tcPr>
          <w:p w14:paraId="475EB6FD">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1、提供专用通信机房（或室外柜、高空安装平台）及铁塔挂高资源，要求城区可挂高平台不低于60米，乡镇可挂高平台不低于 45 米；</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▲2、提供稳定的220V或-48V供电系统，提供 UPS不间断电源供设备供电，保证在机房停电后提供不少于4小时的后备电源支持；供电接口须部署到通信设备旁，便于设备用电；</w:t>
            </w:r>
            <w:r>
              <w:rPr>
                <w:rFonts w:hint="eastAsia" w:ascii="宋体" w:hAnsi="宋体" w:eastAsia="宋体" w:cs="宋体"/>
                <w:kern w:val="0"/>
                <w:sz w:val="24"/>
                <w:szCs w:val="24"/>
                <w:highlight w:val="none"/>
                <w:lang w:bidi="ar"/>
              </w:rPr>
              <w:t>提供承诺函，格式自拟。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3、提供应急发电服务，确保机房停电4小时内到达现场提供应急发电服务；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4、包含通信设备运行产生的电费。</w:t>
            </w:r>
          </w:p>
        </w:tc>
        <w:tc>
          <w:tcPr>
            <w:tcW w:w="992" w:type="dxa"/>
            <w:tcBorders>
              <w:top w:val="nil"/>
              <w:left w:val="nil"/>
              <w:bottom w:val="single" w:color="auto" w:sz="4" w:space="0"/>
              <w:right w:val="single" w:color="auto" w:sz="4" w:space="0"/>
            </w:tcBorders>
            <w:noWrap/>
            <w:vAlign w:val="center"/>
          </w:tcPr>
          <w:p w14:paraId="1851C95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9</w:t>
            </w:r>
          </w:p>
        </w:tc>
        <w:tc>
          <w:tcPr>
            <w:tcW w:w="876" w:type="dxa"/>
            <w:tcBorders>
              <w:top w:val="nil"/>
              <w:left w:val="nil"/>
              <w:bottom w:val="single" w:color="auto" w:sz="4" w:space="0"/>
              <w:right w:val="single" w:color="auto" w:sz="4" w:space="0"/>
            </w:tcBorders>
            <w:noWrap/>
            <w:vAlign w:val="center"/>
          </w:tcPr>
          <w:p w14:paraId="46CBF1AC">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座</w:t>
            </w:r>
          </w:p>
        </w:tc>
        <w:tc>
          <w:tcPr>
            <w:tcW w:w="807" w:type="dxa"/>
            <w:tcBorders>
              <w:top w:val="nil"/>
              <w:left w:val="nil"/>
              <w:bottom w:val="single" w:color="auto" w:sz="4" w:space="0"/>
              <w:right w:val="single" w:color="auto" w:sz="4" w:space="0"/>
            </w:tcBorders>
            <w:noWrap/>
            <w:vAlign w:val="center"/>
          </w:tcPr>
          <w:p w14:paraId="68EBBC8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　</w:t>
            </w:r>
          </w:p>
        </w:tc>
      </w:tr>
      <w:tr w14:paraId="7A30EF4B">
        <w:tblPrEx>
          <w:tblCellMar>
            <w:top w:w="0" w:type="dxa"/>
            <w:left w:w="108" w:type="dxa"/>
            <w:bottom w:w="0" w:type="dxa"/>
            <w:right w:w="108" w:type="dxa"/>
          </w:tblCellMar>
        </w:tblPrEx>
        <w:trPr>
          <w:trHeight w:val="515" w:hRule="atLeast"/>
          <w:jc w:val="center"/>
        </w:trPr>
        <w:tc>
          <w:tcPr>
            <w:tcW w:w="590" w:type="dxa"/>
            <w:tcBorders>
              <w:top w:val="nil"/>
              <w:left w:val="single" w:color="auto" w:sz="4" w:space="0"/>
              <w:bottom w:val="single" w:color="auto" w:sz="4" w:space="0"/>
              <w:right w:val="single" w:color="auto" w:sz="4" w:space="0"/>
            </w:tcBorders>
            <w:noWrap/>
            <w:vAlign w:val="center"/>
          </w:tcPr>
          <w:p w14:paraId="42C17BA4">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三</w:t>
            </w:r>
          </w:p>
        </w:tc>
        <w:tc>
          <w:tcPr>
            <w:tcW w:w="9310" w:type="dxa"/>
            <w:gridSpan w:val="5"/>
            <w:tcBorders>
              <w:top w:val="single" w:color="auto" w:sz="4" w:space="0"/>
              <w:left w:val="nil"/>
              <w:bottom w:val="single" w:color="auto" w:sz="4" w:space="0"/>
              <w:right w:val="single" w:color="auto" w:sz="4" w:space="0"/>
            </w:tcBorders>
            <w:noWrap/>
            <w:vAlign w:val="center"/>
          </w:tcPr>
          <w:p w14:paraId="54B8956F">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网络安全服务</w:t>
            </w:r>
          </w:p>
        </w:tc>
      </w:tr>
      <w:tr w14:paraId="79C49A7F">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71A74CEF">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1106" w:type="dxa"/>
            <w:tcBorders>
              <w:top w:val="nil"/>
              <w:left w:val="nil"/>
              <w:bottom w:val="single" w:color="auto" w:sz="4" w:space="0"/>
              <w:right w:val="single" w:color="auto" w:sz="4" w:space="0"/>
            </w:tcBorders>
            <w:vAlign w:val="center"/>
          </w:tcPr>
          <w:p w14:paraId="1CF2467F">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日志审计</w:t>
            </w:r>
          </w:p>
        </w:tc>
        <w:tc>
          <w:tcPr>
            <w:tcW w:w="5529" w:type="dxa"/>
            <w:tcBorders>
              <w:top w:val="nil"/>
              <w:left w:val="nil"/>
              <w:bottom w:val="single" w:color="auto" w:sz="4" w:space="0"/>
              <w:right w:val="single" w:color="auto" w:sz="4" w:space="0"/>
            </w:tcBorders>
            <w:vAlign w:val="center"/>
          </w:tcPr>
          <w:p w14:paraId="2BF3F6B5">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1、存储容量≥2T；事件采集可达到15000EPS，事件关联分析可达到3000EPS，事件入库性能可达4000EPS。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▲2、支持手动或按周期自动备份系统配置，可随时对系统资产等配置进行还原操作，且自动备份周期与备份包个数可配，须提供设备功能截图。</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3、支持Windows、Unix、Linux、Solaris、FreeBSD、HP-UX、虚拟化设备等主机类设备，路由器、交换机等网络设备，防火墙、网闸等网络安全设备，WEB服务器、数据库服务器等应用类设备，进行资产管理。</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4、支持查看事件详情，事件详情包括时间信息、基本信息、来源信息、目标信息、事件分类信息、设备信息、关联事件、威胁信息（恶意文件/脚本）、资产详情及资产的弱点信息等。</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5、支持Http、Syslog、Snmptrap、Tcp、Vflow、WMI、FTP、SFTP、SSH、TELNET、SCP、LEA、FILE、AGENT等日志采集方式，须提供功能截图。</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6、第一年提供一台日志审计设备提供服务，每年支付服务费，产权归运维单位所有。</w:t>
            </w:r>
          </w:p>
        </w:tc>
        <w:tc>
          <w:tcPr>
            <w:tcW w:w="992" w:type="dxa"/>
            <w:tcBorders>
              <w:top w:val="nil"/>
              <w:left w:val="nil"/>
              <w:bottom w:val="single" w:color="auto" w:sz="4" w:space="0"/>
              <w:right w:val="single" w:color="auto" w:sz="4" w:space="0"/>
            </w:tcBorders>
            <w:noWrap/>
            <w:vAlign w:val="center"/>
          </w:tcPr>
          <w:p w14:paraId="091EFF6B">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5FB8B328">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台</w:t>
            </w:r>
          </w:p>
        </w:tc>
        <w:tc>
          <w:tcPr>
            <w:tcW w:w="807" w:type="dxa"/>
            <w:tcBorders>
              <w:top w:val="nil"/>
              <w:left w:val="nil"/>
              <w:bottom w:val="single" w:color="auto" w:sz="4" w:space="0"/>
              <w:right w:val="single" w:color="auto" w:sz="4" w:space="0"/>
            </w:tcBorders>
            <w:noWrap/>
            <w:vAlign w:val="center"/>
          </w:tcPr>
          <w:p w14:paraId="692AC235">
            <w:pPr>
              <w:snapToGrid w:val="0"/>
              <w:spacing w:line="273" w:lineRule="auto"/>
              <w:jc w:val="center"/>
              <w:rPr>
                <w:rFonts w:hint="eastAsia" w:ascii="宋体" w:hAnsi="宋体" w:eastAsia="宋体" w:cs="宋体"/>
                <w:color w:val="000000"/>
                <w:kern w:val="0"/>
                <w:sz w:val="24"/>
                <w:szCs w:val="24"/>
                <w:highlight w:val="none"/>
              </w:rPr>
            </w:pPr>
          </w:p>
        </w:tc>
      </w:tr>
      <w:tr w14:paraId="3EA21441">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49CBD2CC">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c>
          <w:tcPr>
            <w:tcW w:w="1106" w:type="dxa"/>
            <w:tcBorders>
              <w:top w:val="nil"/>
              <w:left w:val="nil"/>
              <w:bottom w:val="single" w:color="auto" w:sz="4" w:space="0"/>
              <w:right w:val="single" w:color="auto" w:sz="4" w:space="0"/>
            </w:tcBorders>
            <w:vAlign w:val="center"/>
          </w:tcPr>
          <w:p w14:paraId="00F1921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数据备份</w:t>
            </w:r>
          </w:p>
        </w:tc>
        <w:tc>
          <w:tcPr>
            <w:tcW w:w="5529" w:type="dxa"/>
            <w:tcBorders>
              <w:top w:val="nil"/>
              <w:left w:val="nil"/>
              <w:bottom w:val="single" w:color="auto" w:sz="4" w:space="0"/>
              <w:right w:val="single" w:color="auto" w:sz="4" w:space="0"/>
            </w:tcBorders>
            <w:vAlign w:val="center"/>
          </w:tcPr>
          <w:p w14:paraId="08B772AD">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1、在设备处理能力、存储容量允许的前提下，对被保护系统（Windows、Linux平台）的接入端数量无限制要求。</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2、支持Windows、Linux及Unix操作系统下的文件或数据库在线备份。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3、支持主流的Windows、Linux、Unix操作系统，包括Windows Server2003/2008/2012， Red Hat Linux，SUSE Linux，麒麟，红旗，AIX，Solaris，HP-UX等系统。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4、第一年提供一台数据备份设备提供服务，每年支付服务费，产权归运维单位所有。</w:t>
            </w:r>
          </w:p>
        </w:tc>
        <w:tc>
          <w:tcPr>
            <w:tcW w:w="992" w:type="dxa"/>
            <w:tcBorders>
              <w:top w:val="nil"/>
              <w:left w:val="nil"/>
              <w:bottom w:val="single" w:color="auto" w:sz="4" w:space="0"/>
              <w:right w:val="single" w:color="auto" w:sz="4" w:space="0"/>
            </w:tcBorders>
            <w:noWrap/>
            <w:vAlign w:val="center"/>
          </w:tcPr>
          <w:p w14:paraId="4D1164B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3844C84F">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台</w:t>
            </w:r>
          </w:p>
        </w:tc>
        <w:tc>
          <w:tcPr>
            <w:tcW w:w="807" w:type="dxa"/>
            <w:tcBorders>
              <w:top w:val="nil"/>
              <w:left w:val="nil"/>
              <w:bottom w:val="single" w:color="auto" w:sz="4" w:space="0"/>
              <w:right w:val="single" w:color="auto" w:sz="4" w:space="0"/>
            </w:tcBorders>
            <w:noWrap/>
            <w:vAlign w:val="center"/>
          </w:tcPr>
          <w:p w14:paraId="4B7CE45D">
            <w:pPr>
              <w:snapToGrid w:val="0"/>
              <w:spacing w:line="273" w:lineRule="auto"/>
              <w:jc w:val="center"/>
              <w:rPr>
                <w:rFonts w:hint="eastAsia" w:ascii="宋体" w:hAnsi="宋体" w:eastAsia="宋体" w:cs="宋体"/>
                <w:color w:val="000000"/>
                <w:kern w:val="0"/>
                <w:sz w:val="24"/>
                <w:szCs w:val="24"/>
                <w:highlight w:val="none"/>
              </w:rPr>
            </w:pPr>
          </w:p>
        </w:tc>
      </w:tr>
      <w:tr w14:paraId="20917844">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43564619">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w:t>
            </w:r>
          </w:p>
        </w:tc>
        <w:tc>
          <w:tcPr>
            <w:tcW w:w="1106" w:type="dxa"/>
            <w:tcBorders>
              <w:top w:val="nil"/>
              <w:left w:val="nil"/>
              <w:bottom w:val="single" w:color="auto" w:sz="4" w:space="0"/>
              <w:right w:val="single" w:color="auto" w:sz="4" w:space="0"/>
            </w:tcBorders>
            <w:vAlign w:val="center"/>
          </w:tcPr>
          <w:p w14:paraId="30EDB951">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堡垒机</w:t>
            </w:r>
          </w:p>
        </w:tc>
        <w:tc>
          <w:tcPr>
            <w:tcW w:w="5529" w:type="dxa"/>
            <w:tcBorders>
              <w:top w:val="nil"/>
              <w:left w:val="nil"/>
              <w:bottom w:val="single" w:color="auto" w:sz="4" w:space="0"/>
              <w:right w:val="single" w:color="auto" w:sz="4" w:space="0"/>
            </w:tcBorders>
            <w:vAlign w:val="center"/>
          </w:tcPr>
          <w:p w14:paraId="002E343A">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▲1、机架式设备，内存≥8G，存储≥2T；网络接口≥6* 1000Mbps RJ45；图形会话数≥50，字符会话数≥200；可控资源≥100点。</w:t>
            </w:r>
            <w:r>
              <w:rPr>
                <w:rFonts w:hint="eastAsia" w:ascii="宋体" w:hAnsi="宋体" w:eastAsia="宋体" w:cs="宋体"/>
                <w:kern w:val="0"/>
                <w:sz w:val="24"/>
                <w:szCs w:val="24"/>
                <w:highlight w:val="none"/>
                <w:lang w:bidi="ar"/>
              </w:rPr>
              <w:t>提供承诺函，格式自拟。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2、支持本地口令、USBKEY、AD域、LDAP认证方式，支持批量导入、导出用户信息及设备、账号信息。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3、支持设置用户登录密码限制，可设置最小长度、密码尝试次数、锁定时间、字母数据组合。</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支持服务器区资源的准入控制，在不修改密码情况下，通过IP地址和端口相结合的方式控制对服务器区资源的访问，用户无法绕过运维安全审计系统直接访问资源（如SSH、远程桌面），可支持对单个或多个服务器进行设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5、内置VPN功能，无需专用VPN硬件支持。在远程运维环境下，用户通过系统web页面进行VPN自动连接，无需配置VPN客户端和输入其他信息，保证运维用户和VPN用户的统一性。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支持触发式屏幕水印防护，当用户访问受管理资源时，在屏幕显示水印信息，支持配置传统肉眼可辨识数字水印，内容包含所属部门、用户真实姓名、IP地址、MAC地址、计算机名称、终端时间等，同时支持自定义水印内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7、支持MSTSC和FreeRDP两种方式运维RDP协议资源，登录系统后，可以在系统内根据环境选择IE和Chrome浏览器图标进行http协议的访问。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8、支持定期变更Linux目标设备真实口令，支持自定义口令变更周期和口令强度。口令变更方式至少支持手动指定固定口令、生成随机口令、依照密码策略生成同一口令等方式。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9、第一年提供一台堡垒机设备提供服务，每年支付服务费，产权归运维单位所有。</w:t>
            </w:r>
          </w:p>
        </w:tc>
        <w:tc>
          <w:tcPr>
            <w:tcW w:w="992" w:type="dxa"/>
            <w:tcBorders>
              <w:top w:val="nil"/>
              <w:left w:val="nil"/>
              <w:bottom w:val="single" w:color="auto" w:sz="4" w:space="0"/>
              <w:right w:val="single" w:color="auto" w:sz="4" w:space="0"/>
            </w:tcBorders>
            <w:noWrap/>
            <w:vAlign w:val="center"/>
          </w:tcPr>
          <w:p w14:paraId="107F0C81">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22F42791">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台</w:t>
            </w:r>
          </w:p>
        </w:tc>
        <w:tc>
          <w:tcPr>
            <w:tcW w:w="807" w:type="dxa"/>
            <w:tcBorders>
              <w:top w:val="nil"/>
              <w:left w:val="nil"/>
              <w:bottom w:val="single" w:color="auto" w:sz="4" w:space="0"/>
              <w:right w:val="single" w:color="auto" w:sz="4" w:space="0"/>
            </w:tcBorders>
            <w:noWrap/>
            <w:vAlign w:val="center"/>
          </w:tcPr>
          <w:p w14:paraId="6B642232">
            <w:pPr>
              <w:snapToGrid w:val="0"/>
              <w:spacing w:line="273" w:lineRule="auto"/>
              <w:jc w:val="center"/>
              <w:rPr>
                <w:rFonts w:hint="eastAsia" w:ascii="宋体" w:hAnsi="宋体" w:eastAsia="宋体" w:cs="宋体"/>
                <w:color w:val="000000"/>
                <w:kern w:val="0"/>
                <w:sz w:val="24"/>
                <w:szCs w:val="24"/>
                <w:highlight w:val="none"/>
              </w:rPr>
            </w:pPr>
          </w:p>
        </w:tc>
      </w:tr>
      <w:tr w14:paraId="78667931">
        <w:tblPrEx>
          <w:tblCellMar>
            <w:top w:w="0" w:type="dxa"/>
            <w:left w:w="108" w:type="dxa"/>
            <w:bottom w:w="0" w:type="dxa"/>
            <w:right w:w="108" w:type="dxa"/>
          </w:tblCellMar>
        </w:tblPrEx>
        <w:trPr>
          <w:trHeight w:val="482" w:hRule="atLeast"/>
          <w:jc w:val="center"/>
        </w:trPr>
        <w:tc>
          <w:tcPr>
            <w:tcW w:w="590" w:type="dxa"/>
            <w:tcBorders>
              <w:top w:val="nil"/>
              <w:left w:val="single" w:color="auto" w:sz="4" w:space="0"/>
              <w:bottom w:val="single" w:color="auto" w:sz="4" w:space="0"/>
              <w:right w:val="single" w:color="auto" w:sz="4" w:space="0"/>
            </w:tcBorders>
            <w:noWrap/>
            <w:vAlign w:val="center"/>
          </w:tcPr>
          <w:p w14:paraId="0C6E6A7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四</w:t>
            </w:r>
          </w:p>
        </w:tc>
        <w:tc>
          <w:tcPr>
            <w:tcW w:w="9310" w:type="dxa"/>
            <w:gridSpan w:val="5"/>
            <w:tcBorders>
              <w:top w:val="single" w:color="auto" w:sz="4" w:space="0"/>
              <w:left w:val="nil"/>
              <w:bottom w:val="single" w:color="auto" w:sz="4" w:space="0"/>
              <w:right w:val="single" w:color="auto" w:sz="4" w:space="0"/>
            </w:tcBorders>
            <w:noWrap/>
            <w:vAlign w:val="center"/>
          </w:tcPr>
          <w:p w14:paraId="0A71301A">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人员保障服务</w:t>
            </w:r>
          </w:p>
        </w:tc>
      </w:tr>
      <w:tr w14:paraId="2754696E">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5E62963A">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1106" w:type="dxa"/>
            <w:tcBorders>
              <w:top w:val="nil"/>
              <w:left w:val="nil"/>
              <w:bottom w:val="single" w:color="auto" w:sz="4" w:space="0"/>
              <w:right w:val="single" w:color="auto" w:sz="4" w:space="0"/>
            </w:tcBorders>
            <w:vAlign w:val="center"/>
          </w:tcPr>
          <w:p w14:paraId="1A95C8A2">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人员驻场服务</w:t>
            </w:r>
          </w:p>
        </w:tc>
        <w:tc>
          <w:tcPr>
            <w:tcW w:w="5529" w:type="dxa"/>
            <w:tcBorders>
              <w:top w:val="nil"/>
              <w:left w:val="nil"/>
              <w:bottom w:val="single" w:color="auto" w:sz="4" w:space="0"/>
              <w:right w:val="single" w:color="auto" w:sz="4" w:space="0"/>
            </w:tcBorders>
            <w:vAlign w:val="center"/>
          </w:tcPr>
          <w:p w14:paraId="464F7248">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▲1、需提供一位具有二年以上运维工作经验的工程师提供驻场服务。提供承诺函，格式自拟。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2、需提供5*8小时驻场服务，7*24小时应急响应服务。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3、需每工作日对系统进行远程巡检和远程故障处理，监测系统运行状态，对异常状况进行汇报。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4、需每工作日对交换中心机房进行巡检，查看交换中心设备运行状态，对异常状况进行汇报。</w:t>
            </w:r>
          </w:p>
        </w:tc>
        <w:tc>
          <w:tcPr>
            <w:tcW w:w="992" w:type="dxa"/>
            <w:tcBorders>
              <w:top w:val="nil"/>
              <w:left w:val="nil"/>
              <w:bottom w:val="single" w:color="auto" w:sz="4" w:space="0"/>
              <w:right w:val="single" w:color="auto" w:sz="4" w:space="0"/>
            </w:tcBorders>
            <w:noWrap/>
            <w:vAlign w:val="center"/>
          </w:tcPr>
          <w:p w14:paraId="1CE795BA">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12</w:t>
            </w:r>
          </w:p>
        </w:tc>
        <w:tc>
          <w:tcPr>
            <w:tcW w:w="876" w:type="dxa"/>
            <w:tcBorders>
              <w:top w:val="nil"/>
              <w:left w:val="nil"/>
              <w:bottom w:val="single" w:color="auto" w:sz="4" w:space="0"/>
              <w:right w:val="single" w:color="auto" w:sz="4" w:space="0"/>
            </w:tcBorders>
            <w:noWrap/>
            <w:vAlign w:val="center"/>
          </w:tcPr>
          <w:p w14:paraId="165931FA">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人月</w:t>
            </w:r>
          </w:p>
        </w:tc>
        <w:tc>
          <w:tcPr>
            <w:tcW w:w="807" w:type="dxa"/>
            <w:tcBorders>
              <w:top w:val="nil"/>
              <w:left w:val="nil"/>
              <w:bottom w:val="single" w:color="auto" w:sz="4" w:space="0"/>
              <w:right w:val="single" w:color="auto" w:sz="4" w:space="0"/>
            </w:tcBorders>
            <w:noWrap/>
            <w:vAlign w:val="center"/>
          </w:tcPr>
          <w:p w14:paraId="2B76592B">
            <w:pPr>
              <w:snapToGrid w:val="0"/>
              <w:spacing w:line="273" w:lineRule="auto"/>
              <w:jc w:val="center"/>
              <w:rPr>
                <w:rFonts w:hint="eastAsia" w:ascii="宋体" w:hAnsi="宋体" w:eastAsia="宋体" w:cs="宋体"/>
                <w:color w:val="000000"/>
                <w:kern w:val="0"/>
                <w:sz w:val="24"/>
                <w:szCs w:val="24"/>
                <w:highlight w:val="none"/>
              </w:rPr>
            </w:pPr>
          </w:p>
        </w:tc>
      </w:tr>
      <w:tr w14:paraId="799E377E">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7C146C66">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c>
          <w:tcPr>
            <w:tcW w:w="1106" w:type="dxa"/>
            <w:tcBorders>
              <w:top w:val="nil"/>
              <w:left w:val="nil"/>
              <w:bottom w:val="single" w:color="auto" w:sz="4" w:space="0"/>
              <w:right w:val="single" w:color="auto" w:sz="4" w:space="0"/>
            </w:tcBorders>
            <w:vAlign w:val="center"/>
          </w:tcPr>
          <w:p w14:paraId="18A8D91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现场故障处理服务</w:t>
            </w:r>
          </w:p>
        </w:tc>
        <w:tc>
          <w:tcPr>
            <w:tcW w:w="5529" w:type="dxa"/>
            <w:tcBorders>
              <w:top w:val="nil"/>
              <w:left w:val="nil"/>
              <w:bottom w:val="single" w:color="auto" w:sz="4" w:space="0"/>
              <w:right w:val="single" w:color="auto" w:sz="4" w:space="0"/>
            </w:tcBorders>
            <w:vAlign w:val="center"/>
          </w:tcPr>
          <w:p w14:paraId="1367BB08">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1、一年内不限次数提供现场故障处理服务，车辆使用费、油费、过路费、人员住宿等费用运维单位承担。</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2、排查、发现基站设备故障隐患，及时发现问题并汇报。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3、对故障的基站设备进行更换、维修，并做好登记。</w:t>
            </w:r>
          </w:p>
        </w:tc>
        <w:tc>
          <w:tcPr>
            <w:tcW w:w="992" w:type="dxa"/>
            <w:tcBorders>
              <w:top w:val="nil"/>
              <w:left w:val="nil"/>
              <w:bottom w:val="single" w:color="auto" w:sz="4" w:space="0"/>
              <w:right w:val="single" w:color="auto" w:sz="4" w:space="0"/>
            </w:tcBorders>
            <w:noWrap/>
            <w:vAlign w:val="center"/>
          </w:tcPr>
          <w:p w14:paraId="0BA31D9E">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w:t>
            </w:r>
          </w:p>
        </w:tc>
        <w:tc>
          <w:tcPr>
            <w:tcW w:w="876" w:type="dxa"/>
            <w:tcBorders>
              <w:top w:val="nil"/>
              <w:left w:val="nil"/>
              <w:bottom w:val="single" w:color="auto" w:sz="4" w:space="0"/>
              <w:right w:val="single" w:color="auto" w:sz="4" w:space="0"/>
            </w:tcBorders>
            <w:noWrap/>
            <w:vAlign w:val="center"/>
          </w:tcPr>
          <w:p w14:paraId="63F310ED">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项</w:t>
            </w:r>
          </w:p>
        </w:tc>
        <w:tc>
          <w:tcPr>
            <w:tcW w:w="807" w:type="dxa"/>
            <w:tcBorders>
              <w:top w:val="nil"/>
              <w:left w:val="nil"/>
              <w:bottom w:val="single" w:color="auto" w:sz="4" w:space="0"/>
              <w:right w:val="single" w:color="auto" w:sz="4" w:space="0"/>
            </w:tcBorders>
            <w:noWrap/>
            <w:vAlign w:val="center"/>
          </w:tcPr>
          <w:p w14:paraId="7DB7CF73">
            <w:pPr>
              <w:snapToGrid w:val="0"/>
              <w:spacing w:line="273" w:lineRule="auto"/>
              <w:jc w:val="center"/>
              <w:rPr>
                <w:rFonts w:hint="eastAsia" w:ascii="宋体" w:hAnsi="宋体" w:eastAsia="宋体" w:cs="宋体"/>
                <w:color w:val="000000"/>
                <w:kern w:val="0"/>
                <w:sz w:val="24"/>
                <w:szCs w:val="24"/>
                <w:highlight w:val="none"/>
              </w:rPr>
            </w:pPr>
          </w:p>
        </w:tc>
      </w:tr>
      <w:tr w14:paraId="1618C136">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09D295B4">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3</w:t>
            </w:r>
          </w:p>
        </w:tc>
        <w:tc>
          <w:tcPr>
            <w:tcW w:w="1106" w:type="dxa"/>
            <w:tcBorders>
              <w:top w:val="nil"/>
              <w:left w:val="nil"/>
              <w:bottom w:val="single" w:color="auto" w:sz="4" w:space="0"/>
              <w:right w:val="single" w:color="auto" w:sz="4" w:space="0"/>
            </w:tcBorders>
            <w:vAlign w:val="center"/>
          </w:tcPr>
          <w:p w14:paraId="6AD301D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应急通信保障服务</w:t>
            </w:r>
          </w:p>
        </w:tc>
        <w:tc>
          <w:tcPr>
            <w:tcW w:w="5529" w:type="dxa"/>
            <w:tcBorders>
              <w:top w:val="nil"/>
              <w:left w:val="nil"/>
              <w:bottom w:val="single" w:color="auto" w:sz="4" w:space="0"/>
              <w:right w:val="single" w:color="auto" w:sz="4" w:space="0"/>
            </w:tcBorders>
            <w:vAlign w:val="center"/>
          </w:tcPr>
          <w:p w14:paraId="23CEF0F5">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1、一年需提供5人次活动保障服务。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2、如有特殊情况需要，需提供一套移动基站以备重大任务通信保障使用。</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▲3、为应对任务保障现场的突发情况，提供的移动基站需为一体化设备，需能够背负携带使用，设备整体重量≤10kg，须提供第三方检测机构出具的检测报告扫描件。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▲4、为应对特殊的任务保障场景，移动基站需内置电池，无需外接电源即可独立供电工作，续航时间≥4小时，须提供第三方检测机构出具的检测报告扫描件。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▲5、在任务现场户外使用时，为保证在雨雪、大风等恶劣天气情况下能够正常使用，设备须具备良好的防水防尘功能，防护等级需≥IP68，须提供第三方检测机构出具的检测报告扫描件。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▲6、基站须内置定位模块，仅支持北斗定位模式；须提供第三方检测机构出具的检测报告扫描件。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7、为保证任务现场基站良好的信号接收效果，基站接收指标要求：静态灵敏度：≤-124.5dBm@BER5%，须提供第三方检测机构出具的检测报告扫描件。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▲8、为便于背负携带时机动部署，基站需内置无线链路模块，须提供第三方检测机构出具的检测报告扫描件。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9、为便于及时响应任务保障现场的特殊情况，更快的调整基站运行参数，可通过软件方式对载频数量（1-4）进行临时调整，须提供第三方检测机构出具的检测报告扫描件。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w:t>
            </w:r>
            <w:r>
              <w:rPr>
                <w:rFonts w:hint="eastAsia" w:ascii="宋体" w:hAnsi="宋体" w:eastAsia="宋体" w:cs="宋体"/>
                <w:color w:val="000000"/>
                <w:kern w:val="0"/>
                <w:sz w:val="24"/>
                <w:szCs w:val="24"/>
                <w:highlight w:val="none"/>
                <w:lang w:val="en-US" w:eastAsia="zh-CN" w:bidi="ar"/>
              </w:rPr>
              <w:t>具有</w:t>
            </w:r>
            <w:r>
              <w:rPr>
                <w:rFonts w:hint="eastAsia" w:ascii="宋体" w:hAnsi="宋体" w:eastAsia="宋体" w:cs="宋体"/>
                <w:color w:val="000000"/>
                <w:kern w:val="0"/>
                <w:sz w:val="24"/>
                <w:szCs w:val="24"/>
                <w:highlight w:val="none"/>
                <w:lang w:bidi="ar"/>
              </w:rPr>
              <w:t>有效期内的《无线电发射设备型号核准证》。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▲11、设备通过警用数字集群（PDT）设备空口一致性测试及射频设备性能测试，须提供第三方检测机构出具的检测报告扫描件。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▲12、设备须能接入到滁州市公安局350兆警用数字集群系统内，实现正常通信，提供承诺函，格式自拟。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13、为协助应急通信手段应用创新测试，根据工作需要，运维期内需提供一套P-PoC系统及两部多模终端并与PDT系统对接，以供创新测试实验使用。</w:t>
            </w:r>
          </w:p>
        </w:tc>
        <w:tc>
          <w:tcPr>
            <w:tcW w:w="992" w:type="dxa"/>
            <w:tcBorders>
              <w:top w:val="nil"/>
              <w:left w:val="nil"/>
              <w:bottom w:val="single" w:color="auto" w:sz="4" w:space="0"/>
              <w:right w:val="single" w:color="auto" w:sz="4" w:space="0"/>
            </w:tcBorders>
            <w:noWrap/>
            <w:vAlign w:val="center"/>
          </w:tcPr>
          <w:p w14:paraId="6369C55B">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w:t>
            </w:r>
          </w:p>
        </w:tc>
        <w:tc>
          <w:tcPr>
            <w:tcW w:w="876" w:type="dxa"/>
            <w:tcBorders>
              <w:top w:val="nil"/>
              <w:left w:val="nil"/>
              <w:bottom w:val="single" w:color="auto" w:sz="4" w:space="0"/>
              <w:right w:val="single" w:color="auto" w:sz="4" w:space="0"/>
            </w:tcBorders>
            <w:noWrap/>
            <w:vAlign w:val="center"/>
          </w:tcPr>
          <w:p w14:paraId="3371366B">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人次</w:t>
            </w:r>
          </w:p>
        </w:tc>
        <w:tc>
          <w:tcPr>
            <w:tcW w:w="807" w:type="dxa"/>
            <w:tcBorders>
              <w:top w:val="nil"/>
              <w:left w:val="nil"/>
              <w:bottom w:val="single" w:color="auto" w:sz="4" w:space="0"/>
              <w:right w:val="single" w:color="auto" w:sz="4" w:space="0"/>
            </w:tcBorders>
            <w:noWrap/>
            <w:vAlign w:val="center"/>
          </w:tcPr>
          <w:p w14:paraId="4BF02C41">
            <w:pPr>
              <w:snapToGrid w:val="0"/>
              <w:spacing w:line="273" w:lineRule="auto"/>
              <w:jc w:val="center"/>
              <w:rPr>
                <w:rFonts w:hint="eastAsia" w:ascii="宋体" w:hAnsi="宋体" w:eastAsia="宋体" w:cs="宋体"/>
                <w:color w:val="000000"/>
                <w:kern w:val="0"/>
                <w:sz w:val="24"/>
                <w:szCs w:val="24"/>
                <w:highlight w:val="none"/>
              </w:rPr>
            </w:pPr>
          </w:p>
        </w:tc>
      </w:tr>
      <w:tr w14:paraId="7362B22B">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1508BB4D">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4</w:t>
            </w:r>
          </w:p>
        </w:tc>
        <w:tc>
          <w:tcPr>
            <w:tcW w:w="1106" w:type="dxa"/>
            <w:tcBorders>
              <w:top w:val="nil"/>
              <w:left w:val="nil"/>
              <w:bottom w:val="single" w:color="auto" w:sz="4" w:space="0"/>
              <w:right w:val="single" w:color="auto" w:sz="4" w:space="0"/>
            </w:tcBorders>
            <w:vAlign w:val="center"/>
          </w:tcPr>
          <w:p w14:paraId="26E7F559">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基站现场巡检服务</w:t>
            </w:r>
          </w:p>
        </w:tc>
        <w:tc>
          <w:tcPr>
            <w:tcW w:w="5529" w:type="dxa"/>
            <w:tcBorders>
              <w:top w:val="nil"/>
              <w:left w:val="nil"/>
              <w:bottom w:val="single" w:color="auto" w:sz="4" w:space="0"/>
              <w:right w:val="single" w:color="auto" w:sz="4" w:space="0"/>
            </w:tcBorders>
            <w:vAlign w:val="center"/>
          </w:tcPr>
          <w:p w14:paraId="7289EB8A">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1、一年内2次基站现场巡检服务，车辆使用费、油费、过路费、人员住宿等费用运维单位承担。</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2、需对基站设备进行运行状态查看，并对基站通话、定位等功能进行测试确认。</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3、需对天馈系统进行目视查看，排查安全隐患。</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4、在现场巡检过程中需通过路测终端进行信号路测打点，以便确认基站信号覆盖范围是否正常。</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▲5、为确保路测信号强度的准确性和保密性，路测终端需为350兆专业终端，需通过市局写频后注册到系统内，即可路测打点也可通话使用。提供承诺函，格式自拟</w:t>
            </w:r>
            <w:bookmarkStart w:id="131" w:name="_GoBack"/>
            <w:bookmarkEnd w:id="131"/>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路测终端需能够独立使用，可实时生成路测信息并可实时查看，以供判断基站信号覆盖状态。可供实时查看的信息需包括当前位置、基站位置、当前位置到基站的直线距离，及可在路测终端上进行重点场所标注。需提供设备功能图片。</w:t>
            </w:r>
          </w:p>
        </w:tc>
        <w:tc>
          <w:tcPr>
            <w:tcW w:w="992" w:type="dxa"/>
            <w:tcBorders>
              <w:top w:val="nil"/>
              <w:left w:val="nil"/>
              <w:bottom w:val="single" w:color="auto" w:sz="4" w:space="0"/>
              <w:right w:val="single" w:color="auto" w:sz="4" w:space="0"/>
            </w:tcBorders>
            <w:noWrap/>
            <w:vAlign w:val="center"/>
          </w:tcPr>
          <w:p w14:paraId="62F081F9">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c>
          <w:tcPr>
            <w:tcW w:w="876" w:type="dxa"/>
            <w:tcBorders>
              <w:top w:val="nil"/>
              <w:left w:val="nil"/>
              <w:bottom w:val="single" w:color="auto" w:sz="4" w:space="0"/>
              <w:right w:val="single" w:color="auto" w:sz="4" w:space="0"/>
            </w:tcBorders>
            <w:noWrap/>
            <w:vAlign w:val="center"/>
          </w:tcPr>
          <w:p w14:paraId="438E2C8B">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次</w:t>
            </w:r>
          </w:p>
        </w:tc>
        <w:tc>
          <w:tcPr>
            <w:tcW w:w="807" w:type="dxa"/>
            <w:tcBorders>
              <w:top w:val="nil"/>
              <w:left w:val="nil"/>
              <w:bottom w:val="single" w:color="auto" w:sz="4" w:space="0"/>
              <w:right w:val="single" w:color="auto" w:sz="4" w:space="0"/>
            </w:tcBorders>
            <w:noWrap/>
            <w:vAlign w:val="center"/>
          </w:tcPr>
          <w:p w14:paraId="7A144772">
            <w:pPr>
              <w:snapToGrid w:val="0"/>
              <w:spacing w:line="273" w:lineRule="auto"/>
              <w:jc w:val="center"/>
              <w:rPr>
                <w:rFonts w:hint="eastAsia" w:ascii="宋体" w:hAnsi="宋体" w:eastAsia="宋体" w:cs="宋体"/>
                <w:color w:val="000000"/>
                <w:kern w:val="0"/>
                <w:sz w:val="24"/>
                <w:szCs w:val="24"/>
                <w:highlight w:val="none"/>
              </w:rPr>
            </w:pPr>
          </w:p>
        </w:tc>
      </w:tr>
      <w:tr w14:paraId="0A6FA810">
        <w:tblPrEx>
          <w:tblCellMar>
            <w:top w:w="0" w:type="dxa"/>
            <w:left w:w="108" w:type="dxa"/>
            <w:bottom w:w="0" w:type="dxa"/>
            <w:right w:w="108" w:type="dxa"/>
          </w:tblCellMar>
        </w:tblPrEx>
        <w:trPr>
          <w:jc w:val="center"/>
        </w:trPr>
        <w:tc>
          <w:tcPr>
            <w:tcW w:w="590" w:type="dxa"/>
            <w:tcBorders>
              <w:top w:val="nil"/>
              <w:left w:val="single" w:color="auto" w:sz="4" w:space="0"/>
              <w:bottom w:val="single" w:color="auto" w:sz="4" w:space="0"/>
              <w:right w:val="single" w:color="auto" w:sz="4" w:space="0"/>
            </w:tcBorders>
            <w:noWrap/>
            <w:vAlign w:val="center"/>
          </w:tcPr>
          <w:p w14:paraId="1946EEDD">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5</w:t>
            </w:r>
          </w:p>
        </w:tc>
        <w:tc>
          <w:tcPr>
            <w:tcW w:w="1106" w:type="dxa"/>
            <w:tcBorders>
              <w:top w:val="nil"/>
              <w:left w:val="nil"/>
              <w:bottom w:val="single" w:color="auto" w:sz="4" w:space="0"/>
              <w:right w:val="single" w:color="auto" w:sz="4" w:space="0"/>
            </w:tcBorders>
            <w:vAlign w:val="center"/>
          </w:tcPr>
          <w:p w14:paraId="28C2C6CF">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基站迁移安装服务</w:t>
            </w:r>
          </w:p>
        </w:tc>
        <w:tc>
          <w:tcPr>
            <w:tcW w:w="5529" w:type="dxa"/>
            <w:tcBorders>
              <w:top w:val="nil"/>
              <w:left w:val="nil"/>
              <w:bottom w:val="single" w:color="auto" w:sz="4" w:space="0"/>
              <w:right w:val="single" w:color="auto" w:sz="4" w:space="0"/>
            </w:tcBorders>
            <w:vAlign w:val="center"/>
          </w:tcPr>
          <w:p w14:paraId="3A3F5E8B">
            <w:pPr>
              <w:snapToGrid w:val="0"/>
              <w:spacing w:line="273"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对辖区内基站提供迁移或者安装服务。</w:t>
            </w:r>
          </w:p>
        </w:tc>
        <w:tc>
          <w:tcPr>
            <w:tcW w:w="992" w:type="dxa"/>
            <w:tcBorders>
              <w:top w:val="nil"/>
              <w:left w:val="nil"/>
              <w:bottom w:val="single" w:color="auto" w:sz="4" w:space="0"/>
              <w:right w:val="single" w:color="auto" w:sz="4" w:space="0"/>
            </w:tcBorders>
            <w:noWrap/>
            <w:vAlign w:val="center"/>
          </w:tcPr>
          <w:p w14:paraId="73C21797">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2</w:t>
            </w:r>
          </w:p>
        </w:tc>
        <w:tc>
          <w:tcPr>
            <w:tcW w:w="876" w:type="dxa"/>
            <w:tcBorders>
              <w:top w:val="nil"/>
              <w:left w:val="nil"/>
              <w:bottom w:val="single" w:color="auto" w:sz="4" w:space="0"/>
              <w:right w:val="single" w:color="auto" w:sz="4" w:space="0"/>
            </w:tcBorders>
            <w:noWrap/>
            <w:vAlign w:val="center"/>
          </w:tcPr>
          <w:p w14:paraId="640478D3">
            <w:pPr>
              <w:snapToGrid w:val="0"/>
              <w:spacing w:line="273"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bidi="ar"/>
              </w:rPr>
              <w:t>次</w:t>
            </w:r>
          </w:p>
        </w:tc>
        <w:tc>
          <w:tcPr>
            <w:tcW w:w="807" w:type="dxa"/>
            <w:tcBorders>
              <w:top w:val="nil"/>
              <w:left w:val="nil"/>
              <w:bottom w:val="single" w:color="auto" w:sz="4" w:space="0"/>
              <w:right w:val="single" w:color="auto" w:sz="4" w:space="0"/>
            </w:tcBorders>
            <w:noWrap/>
            <w:vAlign w:val="center"/>
          </w:tcPr>
          <w:p w14:paraId="1D0D9F55">
            <w:pPr>
              <w:snapToGrid w:val="0"/>
              <w:spacing w:line="273" w:lineRule="auto"/>
              <w:jc w:val="center"/>
              <w:rPr>
                <w:rFonts w:hint="eastAsia" w:ascii="宋体" w:hAnsi="宋体" w:eastAsia="宋体" w:cs="宋体"/>
                <w:color w:val="000000"/>
                <w:kern w:val="0"/>
                <w:sz w:val="24"/>
                <w:szCs w:val="24"/>
                <w:highlight w:val="none"/>
              </w:rPr>
            </w:pPr>
          </w:p>
        </w:tc>
      </w:tr>
    </w:tbl>
    <w:p w14:paraId="611B123F">
      <w:pPr>
        <w:spacing w:line="360" w:lineRule="auto"/>
        <w:ind w:firstLine="435"/>
        <w:rPr>
          <w:rFonts w:hint="eastAsia" w:ascii="宋体" w:hAnsi="宋体" w:eastAsia="宋体" w:cs="宋体"/>
          <w:sz w:val="24"/>
          <w:szCs w:val="24"/>
          <w:highlight w:val="none"/>
        </w:rPr>
      </w:pPr>
    </w:p>
    <w:bookmarkEnd w:id="25"/>
    <w:bookmarkEnd w:id="27"/>
    <w:p w14:paraId="208A4690">
      <w:pPr>
        <w:spacing w:line="360" w:lineRule="auto"/>
        <w:ind w:firstLine="435"/>
        <w:rPr>
          <w:rFonts w:hint="eastAsia" w:ascii="宋体" w:hAnsi="宋体" w:eastAsia="宋体" w:cs="宋体"/>
          <w:sz w:val="24"/>
          <w:szCs w:val="24"/>
          <w:highlight w:val="none"/>
        </w:rPr>
      </w:pPr>
    </w:p>
    <w:p w14:paraId="71EE9F95">
      <w:pP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084FFD06">
      <w:pPr>
        <w:spacing w:line="360" w:lineRule="auto"/>
        <w:jc w:val="center"/>
        <w:outlineLvl w:val="0"/>
        <w:rPr>
          <w:rFonts w:hint="eastAsia" w:asciiTheme="minorEastAsia" w:hAnsiTheme="minorEastAsia" w:eastAsiaTheme="minorEastAsia"/>
          <w:b/>
          <w:sz w:val="28"/>
          <w:highlight w:val="none"/>
        </w:rPr>
        <w:sectPr>
          <w:pgSz w:w="11906" w:h="16838"/>
          <w:pgMar w:top="1440" w:right="1803" w:bottom="1440" w:left="1803" w:header="851" w:footer="992" w:gutter="0"/>
          <w:cols w:space="0" w:num="1"/>
          <w:docGrid w:type="lines" w:linePitch="319" w:charSpace="0"/>
        </w:sectPr>
      </w:pPr>
      <w:bookmarkStart w:id="43" w:name="_Toc30824"/>
    </w:p>
    <w:p w14:paraId="16A70509">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评标方法和标准（综合评分法）</w:t>
      </w:r>
      <w:bookmarkEnd w:id="43"/>
    </w:p>
    <w:p w14:paraId="4A16A72D">
      <w:pPr>
        <w:spacing w:line="360" w:lineRule="auto"/>
        <w:ind w:firstLine="437"/>
        <w:outlineLvl w:val="1"/>
        <w:rPr>
          <w:rFonts w:hint="eastAsia" w:asciiTheme="minorEastAsia" w:hAnsiTheme="minorEastAsia" w:eastAsiaTheme="minorEastAsia"/>
          <w:b/>
          <w:sz w:val="24"/>
          <w:highlight w:val="none"/>
        </w:rPr>
      </w:pPr>
      <w:bookmarkStart w:id="44" w:name="_Toc11823"/>
      <w:bookmarkStart w:id="45" w:name="_Toc4705"/>
      <w:r>
        <w:rPr>
          <w:rFonts w:hint="eastAsia" w:asciiTheme="minorEastAsia" w:hAnsiTheme="minorEastAsia" w:eastAsiaTheme="minorEastAsia"/>
          <w:b/>
          <w:sz w:val="24"/>
          <w:highlight w:val="none"/>
        </w:rPr>
        <w:t>一、总则</w:t>
      </w:r>
      <w:bookmarkEnd w:id="44"/>
      <w:bookmarkEnd w:id="45"/>
    </w:p>
    <w:p w14:paraId="3184CD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6F12BB3F">
      <w:pPr>
        <w:spacing w:line="360" w:lineRule="auto"/>
        <w:ind w:firstLine="437"/>
        <w:outlineLvl w:val="1"/>
        <w:rPr>
          <w:rFonts w:hint="eastAsia" w:asciiTheme="minorEastAsia" w:hAnsiTheme="minorEastAsia" w:eastAsiaTheme="minorEastAsia"/>
          <w:b/>
          <w:sz w:val="24"/>
          <w:highlight w:val="none"/>
        </w:rPr>
      </w:pPr>
      <w:bookmarkStart w:id="46" w:name="_Toc32410"/>
      <w:bookmarkStart w:id="47" w:name="_Toc31871"/>
      <w:r>
        <w:rPr>
          <w:rFonts w:hint="eastAsia" w:asciiTheme="minorEastAsia" w:hAnsiTheme="minorEastAsia" w:eastAsiaTheme="minorEastAsia"/>
          <w:b/>
          <w:sz w:val="24"/>
          <w:highlight w:val="none"/>
        </w:rPr>
        <w:t>二、评标方法</w:t>
      </w:r>
      <w:bookmarkEnd w:id="46"/>
      <w:bookmarkEnd w:id="47"/>
    </w:p>
    <w:p w14:paraId="743C6E30">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3"/>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46"/>
        <w:gridCol w:w="4552"/>
        <w:gridCol w:w="1899"/>
      </w:tblGrid>
      <w:tr w14:paraId="24BE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4461C6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2F9E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1BCC3094">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940" w:type="pct"/>
            <w:tcBorders>
              <w:bottom w:val="single" w:color="auto" w:sz="4" w:space="0"/>
            </w:tcBorders>
            <w:vAlign w:val="center"/>
          </w:tcPr>
          <w:p w14:paraId="1BDC168C">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审查因素</w:t>
            </w:r>
          </w:p>
        </w:tc>
        <w:tc>
          <w:tcPr>
            <w:tcW w:w="2600" w:type="pct"/>
            <w:tcBorders>
              <w:bottom w:val="single" w:color="auto" w:sz="4" w:space="0"/>
            </w:tcBorders>
            <w:vAlign w:val="center"/>
          </w:tcPr>
          <w:p w14:paraId="210C4AC9">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审查内容</w:t>
            </w:r>
          </w:p>
        </w:tc>
        <w:tc>
          <w:tcPr>
            <w:tcW w:w="1084" w:type="pct"/>
            <w:tcBorders>
              <w:bottom w:val="single" w:color="auto" w:sz="4" w:space="0"/>
            </w:tcBorders>
            <w:vAlign w:val="center"/>
          </w:tcPr>
          <w:p w14:paraId="79C2B44A">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0A4B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60E0AFE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1</w:t>
            </w:r>
          </w:p>
        </w:tc>
        <w:tc>
          <w:tcPr>
            <w:tcW w:w="940" w:type="pct"/>
            <w:tcBorders>
              <w:bottom w:val="single" w:color="auto" w:sz="4" w:space="0"/>
            </w:tcBorders>
            <w:vAlign w:val="center"/>
          </w:tcPr>
          <w:p w14:paraId="30653485">
            <w:pPr>
              <w:spacing w:after="50" w:line="360" w:lineRule="auto"/>
              <w:ind w:right="-10"/>
              <w:jc w:val="center"/>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0" w:type="pct"/>
            <w:tcBorders>
              <w:bottom w:val="single" w:color="auto" w:sz="4" w:space="0"/>
            </w:tcBorders>
            <w:vAlign w:val="center"/>
          </w:tcPr>
          <w:p w14:paraId="6AF87CDD">
            <w:pP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369055D4">
            <w:pP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12F01A72">
            <w:pP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C2DB73E">
            <w:pPr>
              <w:spacing w:after="50" w:line="360" w:lineRule="auto"/>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2BF921DA">
            <w:pPr>
              <w:spacing w:after="50" w:line="360" w:lineRule="auto"/>
              <w:ind w:right="-10"/>
              <w:jc w:val="left"/>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084" w:type="pct"/>
            <w:vAlign w:val="center"/>
          </w:tcPr>
          <w:p w14:paraId="10AF2EAE">
            <w:pPr>
              <w:spacing w:line="360" w:lineRule="auto"/>
              <w:jc w:val="left"/>
              <w:rPr>
                <w:rFonts w:hint="eastAsia"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1FF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335F0B7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2</w:t>
            </w:r>
          </w:p>
        </w:tc>
        <w:tc>
          <w:tcPr>
            <w:tcW w:w="940" w:type="pct"/>
            <w:tcBorders>
              <w:bottom w:val="single" w:color="auto" w:sz="4" w:space="0"/>
            </w:tcBorders>
            <w:vAlign w:val="center"/>
          </w:tcPr>
          <w:p w14:paraId="1E10B455">
            <w:pPr>
              <w:spacing w:after="50" w:line="360" w:lineRule="auto"/>
              <w:ind w:right="-10"/>
              <w:jc w:val="center"/>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600" w:type="pct"/>
            <w:tcBorders>
              <w:bottom w:val="single" w:color="auto" w:sz="4" w:space="0"/>
            </w:tcBorders>
            <w:vAlign w:val="center"/>
          </w:tcPr>
          <w:p w14:paraId="048518F0">
            <w:pPr>
              <w:spacing w:after="50" w:line="360" w:lineRule="auto"/>
              <w:ind w:right="-10"/>
              <w:jc w:val="left"/>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084" w:type="pct"/>
            <w:vAlign w:val="center"/>
          </w:tcPr>
          <w:p w14:paraId="5E07100B">
            <w:pPr>
              <w:spacing w:line="360" w:lineRule="auto"/>
              <w:jc w:val="left"/>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28BC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395DAED9">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3</w:t>
            </w:r>
          </w:p>
        </w:tc>
        <w:tc>
          <w:tcPr>
            <w:tcW w:w="940" w:type="pct"/>
            <w:tcBorders>
              <w:bottom w:val="single" w:color="auto" w:sz="4" w:space="0"/>
            </w:tcBorders>
            <w:vAlign w:val="center"/>
          </w:tcPr>
          <w:p w14:paraId="7F763B1A">
            <w:pPr>
              <w:spacing w:after="50" w:line="360" w:lineRule="auto"/>
              <w:ind w:right="-10"/>
              <w:jc w:val="center"/>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600" w:type="pct"/>
            <w:tcBorders>
              <w:bottom w:val="single" w:color="auto" w:sz="4" w:space="0"/>
            </w:tcBorders>
            <w:vAlign w:val="center"/>
          </w:tcPr>
          <w:p w14:paraId="3BCC01C1">
            <w:pPr>
              <w:spacing w:after="50" w:line="360" w:lineRule="auto"/>
              <w:ind w:right="-10"/>
              <w:jc w:val="left"/>
              <w:rPr>
                <w:rFonts w:hint="eastAsia"/>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zh-CN"/>
              </w:rPr>
              <w:t>邀请第4条信誉要求和投标人须知正文第1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84" w:type="pct"/>
            <w:tcBorders>
              <w:bottom w:val="single" w:color="auto" w:sz="4" w:space="0"/>
            </w:tcBorders>
            <w:vAlign w:val="center"/>
          </w:tcPr>
          <w:p w14:paraId="5E9BB6E0">
            <w:pPr>
              <w:spacing w:line="360" w:lineRule="auto"/>
              <w:jc w:val="left"/>
              <w:rPr>
                <w:rFonts w:hint="eastAsia"/>
                <w:highlight w:val="none"/>
              </w:rPr>
            </w:pPr>
            <w:r>
              <w:rPr>
                <w:rFonts w:hint="eastAsia" w:ascii="宋体" w:hAnsi="宋体" w:eastAsia="宋体" w:cs="宋体"/>
                <w:sz w:val="24"/>
                <w:szCs w:val="24"/>
                <w:highlight w:val="none"/>
              </w:rPr>
              <w:t>无须投标人提供，由采购人或采购代理机构查询。</w:t>
            </w:r>
          </w:p>
        </w:tc>
      </w:tr>
      <w:tr w14:paraId="43BA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16E7E8D2">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4</w:t>
            </w:r>
          </w:p>
        </w:tc>
        <w:tc>
          <w:tcPr>
            <w:tcW w:w="940" w:type="pct"/>
            <w:tcBorders>
              <w:bottom w:val="single" w:color="auto" w:sz="4" w:space="0"/>
            </w:tcBorders>
            <w:vAlign w:val="center"/>
          </w:tcPr>
          <w:p w14:paraId="2A5E49A8">
            <w:pPr>
              <w:spacing w:after="50" w:line="360" w:lineRule="auto"/>
              <w:ind w:right="-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诚信投标承诺书</w:t>
            </w:r>
          </w:p>
        </w:tc>
        <w:tc>
          <w:tcPr>
            <w:tcW w:w="2600" w:type="pct"/>
            <w:tcBorders>
              <w:bottom w:val="single" w:color="auto" w:sz="4" w:space="0"/>
            </w:tcBorders>
          </w:tcPr>
          <w:p w14:paraId="160D2802">
            <w:pPr>
              <w:spacing w:after="50" w:line="360" w:lineRule="auto"/>
              <w:ind w:right="-10"/>
              <w:jc w:val="left"/>
              <w:rPr>
                <w:rFonts w:hint="eastAsia" w:ascii="宋体" w:hAnsi="宋体" w:eastAsia="宋体" w:cs="宋体"/>
                <w:sz w:val="24"/>
                <w:szCs w:val="24"/>
                <w:highlight w:val="none"/>
              </w:rPr>
            </w:pPr>
            <w:r>
              <w:rPr>
                <w:rFonts w:hint="eastAsia" w:ascii="宋体" w:hAnsi="宋体" w:eastAsia="宋体"/>
                <w:sz w:val="24"/>
                <w:szCs w:val="28"/>
                <w:highlight w:val="none"/>
              </w:rPr>
              <w:t>格式、填写要求符合招标文件规定并加盖投标人电子签章。</w:t>
            </w:r>
          </w:p>
        </w:tc>
        <w:tc>
          <w:tcPr>
            <w:tcW w:w="1084" w:type="pct"/>
            <w:tcBorders>
              <w:bottom w:val="single" w:color="auto" w:sz="4" w:space="0"/>
            </w:tcBorders>
            <w:vAlign w:val="center"/>
          </w:tcPr>
          <w:p w14:paraId="16BD9A80">
            <w:pPr>
              <w:spacing w:after="50" w:line="360" w:lineRule="auto"/>
              <w:ind w:right="-10"/>
              <w:jc w:val="center"/>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bl>
    <w:p w14:paraId="2C9EA7E6">
      <w:pPr>
        <w:spacing w:line="360" w:lineRule="auto"/>
        <w:ind w:firstLine="435"/>
        <w:rPr>
          <w:rFonts w:hint="eastAsia"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1AE65EB3">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2ACED77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114"/>
        <w:gridCol w:w="3124"/>
        <w:gridCol w:w="2516"/>
      </w:tblGrid>
      <w:tr w14:paraId="4CB0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0957BF4">
            <w:pP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75DB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293DB92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1" w:type="pct"/>
            <w:tcBorders>
              <w:bottom w:val="single" w:color="auto" w:sz="4" w:space="0"/>
            </w:tcBorders>
            <w:vAlign w:val="center"/>
          </w:tcPr>
          <w:p w14:paraId="12DF620D">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4" w:type="pct"/>
            <w:tcBorders>
              <w:bottom w:val="single" w:color="auto" w:sz="4" w:space="0"/>
            </w:tcBorders>
            <w:vAlign w:val="center"/>
          </w:tcPr>
          <w:p w14:paraId="322D76CF">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6" w:type="pct"/>
            <w:tcBorders>
              <w:bottom w:val="single" w:color="auto" w:sz="4" w:space="0"/>
            </w:tcBorders>
            <w:vAlign w:val="center"/>
          </w:tcPr>
          <w:p w14:paraId="07B6F483">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77E3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12C3EBF">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1" w:type="pct"/>
            <w:vAlign w:val="center"/>
          </w:tcPr>
          <w:p w14:paraId="187B3715">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4" w:type="pct"/>
            <w:vAlign w:val="center"/>
          </w:tcPr>
          <w:p w14:paraId="212CC4C0">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6" w:type="pct"/>
            <w:vAlign w:val="center"/>
          </w:tcPr>
          <w:p w14:paraId="1406A7D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7D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48BAF4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1" w:type="pct"/>
            <w:vAlign w:val="center"/>
          </w:tcPr>
          <w:p w14:paraId="48E4A3E4">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4" w:type="pct"/>
            <w:vAlign w:val="center"/>
          </w:tcPr>
          <w:p w14:paraId="0D92D97A">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6" w:type="pct"/>
            <w:vAlign w:val="center"/>
          </w:tcPr>
          <w:p w14:paraId="6E9FC721">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214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E00676F">
            <w:pP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1" w:type="pct"/>
            <w:vAlign w:val="center"/>
          </w:tcPr>
          <w:p w14:paraId="434E7BC4">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4" w:type="pct"/>
            <w:vAlign w:val="center"/>
          </w:tcPr>
          <w:p w14:paraId="4725AF7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1476" w:type="pct"/>
            <w:vAlign w:val="center"/>
          </w:tcPr>
          <w:p w14:paraId="36CBC6DC">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31F7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08B3CA5">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1" w:type="pct"/>
            <w:vAlign w:val="center"/>
          </w:tcPr>
          <w:p w14:paraId="3D5757D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4" w:type="pct"/>
            <w:vAlign w:val="center"/>
          </w:tcPr>
          <w:p w14:paraId="7F542AF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6" w:type="pct"/>
            <w:vAlign w:val="center"/>
          </w:tcPr>
          <w:p w14:paraId="5009EC4A">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395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09B20F4">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1" w:type="pct"/>
            <w:vAlign w:val="center"/>
          </w:tcPr>
          <w:p w14:paraId="55D492B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4" w:type="pct"/>
            <w:vAlign w:val="center"/>
          </w:tcPr>
          <w:p w14:paraId="47B52F5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符合招标文件采购需求中对付款方式、服务地点、服务期限等实质性要求</w:t>
            </w:r>
          </w:p>
        </w:tc>
        <w:tc>
          <w:tcPr>
            <w:tcW w:w="1476" w:type="pct"/>
            <w:vAlign w:val="center"/>
          </w:tcPr>
          <w:p w14:paraId="1CCD55A4">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854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74705ED">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1" w:type="pct"/>
            <w:vAlign w:val="center"/>
          </w:tcPr>
          <w:p w14:paraId="72EF0394">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4" w:type="pct"/>
            <w:vAlign w:val="center"/>
          </w:tcPr>
          <w:p w14:paraId="4344F57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6" w:type="pct"/>
            <w:vAlign w:val="center"/>
          </w:tcPr>
          <w:p w14:paraId="020A96AE">
            <w:pPr>
              <w:adjustRightInd w:val="0"/>
              <w:snapToGrid w:val="0"/>
              <w:spacing w:line="360" w:lineRule="auto"/>
              <w:ind w:right="-10"/>
              <w:jc w:val="center"/>
              <w:rPr>
                <w:rFonts w:hint="eastAsia" w:asciiTheme="minorEastAsia" w:hAnsiTheme="minorEastAsia" w:eastAsiaTheme="minorEastAsia"/>
                <w:sz w:val="24"/>
                <w:highlight w:val="none"/>
              </w:rPr>
            </w:pPr>
          </w:p>
        </w:tc>
      </w:tr>
    </w:tbl>
    <w:p w14:paraId="2027AEC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13DE4226">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2.3详细审查</w:t>
      </w:r>
    </w:p>
    <w:p w14:paraId="67CE3F2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7AA1814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90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719"/>
        <w:gridCol w:w="3966"/>
        <w:gridCol w:w="1359"/>
      </w:tblGrid>
      <w:tr w14:paraId="1CAE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4" w:type="pct"/>
            <w:tcBorders>
              <w:top w:val="single" w:color="auto" w:sz="4" w:space="0"/>
              <w:left w:val="single" w:color="auto" w:sz="4" w:space="0"/>
              <w:bottom w:val="single" w:color="auto" w:sz="4" w:space="0"/>
              <w:right w:val="single" w:color="auto" w:sz="4" w:space="0"/>
            </w:tcBorders>
            <w:vAlign w:val="center"/>
          </w:tcPr>
          <w:p w14:paraId="121D50E7">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7391C36">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2328" w:type="pct"/>
            <w:tcBorders>
              <w:top w:val="single" w:color="auto" w:sz="4" w:space="0"/>
              <w:left w:val="single" w:color="auto" w:sz="4" w:space="0"/>
              <w:bottom w:val="single" w:color="auto" w:sz="4" w:space="0"/>
              <w:right w:val="single" w:color="auto" w:sz="4" w:space="0"/>
            </w:tcBorders>
            <w:vAlign w:val="center"/>
          </w:tcPr>
          <w:p w14:paraId="0E6FB294">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797" w:type="pct"/>
            <w:tcBorders>
              <w:top w:val="single" w:color="auto" w:sz="4" w:space="0"/>
              <w:left w:val="single" w:color="auto" w:sz="4" w:space="0"/>
              <w:bottom w:val="single" w:color="auto" w:sz="4" w:space="0"/>
              <w:right w:val="single" w:color="auto" w:sz="4" w:space="0"/>
            </w:tcBorders>
            <w:vAlign w:val="center"/>
          </w:tcPr>
          <w:p w14:paraId="6B6A266E">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16F5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restart"/>
            <w:tcBorders>
              <w:top w:val="single" w:color="auto" w:sz="4" w:space="0"/>
              <w:left w:val="single" w:color="auto" w:sz="4" w:space="0"/>
              <w:right w:val="single" w:color="auto" w:sz="4" w:space="0"/>
            </w:tcBorders>
            <w:vAlign w:val="center"/>
          </w:tcPr>
          <w:p w14:paraId="768C00FC">
            <w:pPr>
              <w:spacing w:line="360" w:lineRule="auto"/>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7F9871AB">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90 </w:t>
            </w:r>
            <w:r>
              <w:rPr>
                <w:rFonts w:hint="eastAsia" w:asciiTheme="minorEastAsia" w:hAnsiTheme="minorEastAsia" w:eastAsiaTheme="minorEastAsia"/>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6337F7BD">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资信部分（12分）</w:t>
            </w:r>
          </w:p>
        </w:tc>
      </w:tr>
      <w:tr w14:paraId="6D6A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BDB90D1">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C65DE95">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业绩</w:t>
            </w:r>
          </w:p>
        </w:tc>
        <w:tc>
          <w:tcPr>
            <w:tcW w:w="2328" w:type="pct"/>
            <w:tcBorders>
              <w:top w:val="single" w:color="auto" w:sz="4" w:space="0"/>
              <w:left w:val="single" w:color="auto" w:sz="4" w:space="0"/>
              <w:bottom w:val="single" w:color="auto" w:sz="4" w:space="0"/>
              <w:right w:val="single" w:color="auto" w:sz="4" w:space="0"/>
            </w:tcBorders>
            <w:vAlign w:val="center"/>
          </w:tcPr>
          <w:p w14:paraId="1A7AC09A">
            <w:pPr>
              <w:spacing w:line="360" w:lineRule="auto"/>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t>自2021年1月1日（以合同签订时间为准）至投标截止时间止，投标人具有350兆</w:t>
            </w:r>
            <w:r>
              <w:rPr>
                <w:rFonts w:hint="eastAsia" w:asciiTheme="minorEastAsia" w:hAnsiTheme="minorEastAsia" w:eastAsiaTheme="minorEastAsia"/>
                <w:sz w:val="24"/>
                <w:highlight w:val="none"/>
              </w:rPr>
              <w:t>建设或运维类</w:t>
            </w:r>
            <w:r>
              <w:rPr>
                <w:rFonts w:asciiTheme="minorEastAsia" w:hAnsiTheme="minorEastAsia" w:eastAsiaTheme="minorEastAsia"/>
                <w:sz w:val="24"/>
                <w:highlight w:val="none"/>
              </w:rPr>
              <w:t>业绩的，每提供一项得1.5分，未提供不得分，本项满分3分。</w:t>
            </w:r>
          </w:p>
          <w:p w14:paraId="3988092B">
            <w:pPr>
              <w:spacing w:line="360" w:lineRule="auto"/>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t>注：</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提供项目合同扫描件。如上述材料不能够充分有效证明该业绩的项目类型等内容，投标人还需另外提供建设单位出具的加盖建设单位公章的证明材料。</w:t>
            </w:r>
          </w:p>
          <w:p w14:paraId="4A33669D">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797" w:type="pct"/>
            <w:tcBorders>
              <w:top w:val="single" w:color="auto" w:sz="4" w:space="0"/>
              <w:left w:val="single" w:color="auto" w:sz="4" w:space="0"/>
              <w:bottom w:val="single" w:color="auto" w:sz="4" w:space="0"/>
              <w:right w:val="single" w:color="auto" w:sz="4" w:space="0"/>
            </w:tcBorders>
            <w:vAlign w:val="center"/>
          </w:tcPr>
          <w:p w14:paraId="43EE389A">
            <w:pPr>
              <w:spacing w:line="360" w:lineRule="auto"/>
              <w:jc w:val="center"/>
              <w:rPr>
                <w:rFonts w:hint="eastAsia" w:asciiTheme="minorEastAsia" w:hAnsiTheme="minorEastAsia" w:eastAsiaTheme="minorEastAsia"/>
                <w:b/>
                <w:bCs/>
                <w:sz w:val="24"/>
                <w:highlight w:val="none"/>
              </w:rPr>
            </w:pPr>
            <w:r>
              <w:rPr>
                <w:rFonts w:asciiTheme="minorEastAsia" w:hAnsiTheme="minorEastAsia" w:eastAsiaTheme="minorEastAsia"/>
                <w:b/>
                <w:bCs/>
                <w:sz w:val="24"/>
                <w:highlight w:val="none"/>
              </w:rPr>
              <w:t>0-</w:t>
            </w:r>
            <w:r>
              <w:rPr>
                <w:rFonts w:hint="eastAsia" w:asciiTheme="minorEastAsia" w:hAnsiTheme="minorEastAsia" w:eastAsiaTheme="minorEastAsia"/>
                <w:b/>
                <w:bCs/>
                <w:sz w:val="24"/>
                <w:highlight w:val="none"/>
              </w:rPr>
              <w:t>3</w:t>
            </w:r>
            <w:r>
              <w:rPr>
                <w:rFonts w:asciiTheme="minorEastAsia" w:hAnsiTheme="minorEastAsia" w:eastAsiaTheme="minorEastAsia"/>
                <w:b/>
                <w:bCs/>
                <w:sz w:val="24"/>
                <w:highlight w:val="none"/>
              </w:rPr>
              <w:t>分</w:t>
            </w:r>
          </w:p>
        </w:tc>
      </w:tr>
      <w:tr w14:paraId="0F8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D45713C">
            <w:pPr>
              <w:spacing w:line="360" w:lineRule="auto"/>
              <w:jc w:val="center"/>
              <w:rPr>
                <w:rFonts w:hint="eastAsia" w:asciiTheme="minorEastAsia" w:hAnsiTheme="minorEastAsia" w:eastAsiaTheme="minorEastAsia"/>
                <w:sz w:val="24"/>
                <w:highlight w:val="none"/>
              </w:rPr>
            </w:pPr>
            <w:bookmarkStart w:id="48" w:name="_Hlk212653451"/>
          </w:p>
        </w:tc>
        <w:tc>
          <w:tcPr>
            <w:tcW w:w="1009" w:type="pct"/>
            <w:tcBorders>
              <w:top w:val="single" w:color="auto" w:sz="4" w:space="0"/>
              <w:left w:val="single" w:color="auto" w:sz="4" w:space="0"/>
              <w:bottom w:val="single" w:color="auto" w:sz="4" w:space="0"/>
              <w:right w:val="single" w:color="auto" w:sz="4" w:space="0"/>
            </w:tcBorders>
            <w:vAlign w:val="center"/>
          </w:tcPr>
          <w:p w14:paraId="42CF5C20">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机房及高空点位资源</w:t>
            </w:r>
          </w:p>
        </w:tc>
        <w:tc>
          <w:tcPr>
            <w:tcW w:w="2328" w:type="pct"/>
            <w:tcBorders>
              <w:top w:val="single" w:color="auto" w:sz="4" w:space="0"/>
              <w:left w:val="single" w:color="auto" w:sz="4" w:space="0"/>
              <w:bottom w:val="single" w:color="auto" w:sz="4" w:space="0"/>
              <w:right w:val="single" w:color="auto" w:sz="4" w:space="0"/>
            </w:tcBorders>
            <w:vAlign w:val="center"/>
          </w:tcPr>
          <w:p w14:paraId="08F55E8A">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为达到覆盖效果和提供通信基础设施，在滁州市区及下辖的六个县（市）区域内，滁州市区内需提供3处、下辖的六个县（市）区域内每个区域内需提供2处满足此项目建设要求的机房及高空点位资源，共计15处，每个区域每提供1处资源得0.6分，提供的资源超出区域内数量要求的不加分，本项满分9分。</w:t>
            </w:r>
          </w:p>
          <w:p w14:paraId="4AB1912B">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注：①自有资源：需提供高点杆塔资源列表和带经纬度坐标标志的场地资源照片并提供切实有效的证明材料（产权证明或同意使用证明材料）；</w:t>
            </w:r>
          </w:p>
          <w:p w14:paraId="4964CC9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②租赁资源：需提供可租赁到符合条件的机房及高空点位资源的证明材料或租赁合同，证明材料或租赁合同需体现机房及高空点位资源产权及用途情况。</w:t>
            </w:r>
          </w:p>
        </w:tc>
        <w:tc>
          <w:tcPr>
            <w:tcW w:w="797" w:type="pct"/>
            <w:tcBorders>
              <w:top w:val="single" w:color="auto" w:sz="4" w:space="0"/>
              <w:left w:val="single" w:color="auto" w:sz="4" w:space="0"/>
              <w:bottom w:val="single" w:color="auto" w:sz="4" w:space="0"/>
              <w:right w:val="single" w:color="auto" w:sz="4" w:space="0"/>
            </w:tcBorders>
            <w:vAlign w:val="center"/>
          </w:tcPr>
          <w:p w14:paraId="2EAEFA18">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0-9分</w:t>
            </w:r>
          </w:p>
        </w:tc>
      </w:tr>
      <w:bookmarkEnd w:id="48"/>
      <w:tr w14:paraId="3902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279C90D4">
            <w:pPr>
              <w:spacing w:line="360" w:lineRule="auto"/>
              <w:jc w:val="center"/>
              <w:rPr>
                <w:rFonts w:hint="eastAsia" w:asciiTheme="minorEastAsia" w:hAnsiTheme="minorEastAsia" w:eastAsiaTheme="minorEastAsia"/>
                <w:sz w:val="24"/>
                <w:highlight w:val="none"/>
              </w:rPr>
            </w:pP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06AD55E5">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技术部分（78分）</w:t>
            </w:r>
          </w:p>
        </w:tc>
      </w:tr>
      <w:tr w14:paraId="1570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F709BAC">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93A55C8">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服务清单响应</w:t>
            </w:r>
          </w:p>
        </w:tc>
        <w:tc>
          <w:tcPr>
            <w:tcW w:w="2328" w:type="pct"/>
            <w:tcBorders>
              <w:top w:val="single" w:color="auto" w:sz="4" w:space="0"/>
              <w:left w:val="single" w:color="auto" w:sz="4" w:space="0"/>
              <w:bottom w:val="single" w:color="auto" w:sz="4" w:space="0"/>
              <w:right w:val="single" w:color="auto" w:sz="4" w:space="0"/>
            </w:tcBorders>
            <w:vAlign w:val="center"/>
          </w:tcPr>
          <w:p w14:paraId="3AA78D34">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根据投标人在投标文件中提供的所投产品技术参数及功能性要求响应情况，由评标委员会进行评分。</w:t>
            </w:r>
          </w:p>
          <w:p w14:paraId="762340EB">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（1）标记“▲”的技术参数，每满足一项招标文件要求的得2分，共24项，最高得48分。</w:t>
            </w:r>
          </w:p>
          <w:p w14:paraId="5A16BC41">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注：标记“▲”的技术参数，未按招标文件技术参数要求提供证明材料、检测报告的视为负偏离，不得分。</w:t>
            </w:r>
          </w:p>
          <w:p w14:paraId="1FBFED5F">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（2）其他技术参数（未标记▲的技术参数）符合性审查,有3条及以上未响应或负偏离的，将导致投标无效。</w:t>
            </w:r>
          </w:p>
        </w:tc>
        <w:tc>
          <w:tcPr>
            <w:tcW w:w="797" w:type="pct"/>
            <w:tcBorders>
              <w:top w:val="single" w:color="auto" w:sz="4" w:space="0"/>
              <w:left w:val="single" w:color="auto" w:sz="4" w:space="0"/>
              <w:bottom w:val="single" w:color="auto" w:sz="4" w:space="0"/>
              <w:right w:val="single" w:color="auto" w:sz="4" w:space="0"/>
            </w:tcBorders>
            <w:vAlign w:val="center"/>
          </w:tcPr>
          <w:p w14:paraId="50E4E4B3">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0-48分</w:t>
            </w:r>
          </w:p>
        </w:tc>
      </w:tr>
      <w:tr w14:paraId="13EE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2CB4C4FD">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1FACFA4">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项目现状知悉程度</w:t>
            </w:r>
          </w:p>
        </w:tc>
        <w:tc>
          <w:tcPr>
            <w:tcW w:w="2328" w:type="pct"/>
            <w:tcBorders>
              <w:top w:val="single" w:color="auto" w:sz="4" w:space="0"/>
              <w:left w:val="single" w:color="auto" w:sz="4" w:space="0"/>
              <w:bottom w:val="single" w:color="auto" w:sz="4" w:space="0"/>
              <w:right w:val="single" w:color="auto" w:sz="4" w:space="0"/>
            </w:tcBorders>
            <w:vAlign w:val="center"/>
          </w:tcPr>
          <w:p w14:paraId="64F670C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投标人需结合采购需求提供关于本项目的现状调研报告，需充分了解本项目当前的痛点和建设目标。</w:t>
            </w:r>
          </w:p>
          <w:p w14:paraId="39A69D5D">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（1）对本项目痛点和建设目标理解准确，现状调研报告优于本项目采购需求，完整详细，可行性、实用性、针对性强，得5分；</w:t>
            </w:r>
          </w:p>
          <w:p w14:paraId="1BD4F68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（2）对本项目痛点和建设目标理解基本准确，现状调研报告适合本项目采购需求，完整详细，具有可行性、实用性和针对性，得3分；</w:t>
            </w:r>
          </w:p>
          <w:p w14:paraId="1318B2A4">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（3）对本项目痛点和建设目标理解有待提升，现状调研报告基本适合本项目采购需求，可行性、实用性、针对性有待改善，得1分；</w:t>
            </w:r>
          </w:p>
          <w:p w14:paraId="2A29666E">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（4）现状调研报告不可行或者未提供得0分。</w:t>
            </w:r>
          </w:p>
        </w:tc>
        <w:tc>
          <w:tcPr>
            <w:tcW w:w="797" w:type="pct"/>
            <w:tcBorders>
              <w:top w:val="single" w:color="auto" w:sz="4" w:space="0"/>
              <w:left w:val="single" w:color="auto" w:sz="4" w:space="0"/>
              <w:bottom w:val="single" w:color="auto" w:sz="4" w:space="0"/>
              <w:right w:val="single" w:color="auto" w:sz="4" w:space="0"/>
            </w:tcBorders>
            <w:vAlign w:val="center"/>
          </w:tcPr>
          <w:p w14:paraId="0FC7ABE1">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0-5分</w:t>
            </w:r>
          </w:p>
        </w:tc>
      </w:tr>
      <w:tr w14:paraId="4B7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20BFD2E2">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2629AD8">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供货、安装方案</w:t>
            </w:r>
          </w:p>
        </w:tc>
        <w:tc>
          <w:tcPr>
            <w:tcW w:w="2328" w:type="pct"/>
            <w:tcBorders>
              <w:top w:val="single" w:color="auto" w:sz="4" w:space="0"/>
              <w:left w:val="single" w:color="auto" w:sz="4" w:space="0"/>
              <w:bottom w:val="single" w:color="auto" w:sz="4" w:space="0"/>
              <w:right w:val="single" w:color="auto" w:sz="4" w:space="0"/>
            </w:tcBorders>
            <w:vAlign w:val="center"/>
          </w:tcPr>
          <w:p w14:paraId="2CAAE0F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投标人需提供本项目的供货、安装实施方案，评标委员会对投标人所提供的方案进行整体横向比较，进行综合评分。</w:t>
            </w:r>
          </w:p>
          <w:p w14:paraId="43F10D22">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（1）对本项目特点和难点理解准确，方案优于本项目采购需求，完整详细，可行性、实用性、针对性强，得5分；</w:t>
            </w:r>
          </w:p>
          <w:p w14:paraId="47EB7ED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（2）对本项目特点和难点理解基本准确，方案适合本项目采购需求，完整详细，具有可行性、实用性和针对性，得3分；</w:t>
            </w:r>
          </w:p>
          <w:p w14:paraId="2E2E0000">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（3）对本项目特点和难点理解有待提升，方案基本适合本项目采购需求，可行性、实用性、针对性有待改善，得1分；</w:t>
            </w:r>
          </w:p>
          <w:p w14:paraId="60560B50">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（4）方案不可行或者未提供得0分。</w:t>
            </w:r>
          </w:p>
        </w:tc>
        <w:tc>
          <w:tcPr>
            <w:tcW w:w="797" w:type="pct"/>
            <w:tcBorders>
              <w:top w:val="single" w:color="auto" w:sz="4" w:space="0"/>
              <w:left w:val="single" w:color="auto" w:sz="4" w:space="0"/>
              <w:bottom w:val="single" w:color="auto" w:sz="4" w:space="0"/>
              <w:right w:val="single" w:color="auto" w:sz="4" w:space="0"/>
            </w:tcBorders>
            <w:vAlign w:val="center"/>
          </w:tcPr>
          <w:p w14:paraId="5B3B466F">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0-5分</w:t>
            </w:r>
          </w:p>
        </w:tc>
      </w:tr>
      <w:tr w14:paraId="4781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AAA2C0F">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4642487">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运维服务方案</w:t>
            </w:r>
          </w:p>
        </w:tc>
        <w:tc>
          <w:tcPr>
            <w:tcW w:w="2328" w:type="pct"/>
            <w:tcBorders>
              <w:top w:val="single" w:color="auto" w:sz="4" w:space="0"/>
              <w:left w:val="single" w:color="auto" w:sz="4" w:space="0"/>
              <w:bottom w:val="single" w:color="auto" w:sz="4" w:space="0"/>
              <w:right w:val="single" w:color="auto" w:sz="4" w:space="0"/>
            </w:tcBorders>
            <w:vAlign w:val="center"/>
          </w:tcPr>
          <w:p w14:paraId="492EA44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投标人需提供本项目运维服务方案，方案至少包括运维目标、运维内容、运维表格等，评标委员会对投标人所提供的方案进行整体横向比较，进行综合评分。</w:t>
            </w:r>
          </w:p>
          <w:p w14:paraId="3DD35C33">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（1）对本项目特点和难点理解准确，方案优于本项目采购需求，完整详细，可行性、实用性、针对性强，得5分；</w:t>
            </w:r>
          </w:p>
          <w:p w14:paraId="0FE08F27">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（2）对本项目特点和难点理解基本准确，方案适合本项目采购需求，完整详细，具有可行性、实用性和针对性，得3分；</w:t>
            </w:r>
          </w:p>
          <w:p w14:paraId="152DA444">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（3）对本项目特点和难点理解有待提升，方案基本适合本项目采购需求，可行性、实用性、针对性有待改善，得1分；</w:t>
            </w:r>
          </w:p>
          <w:p w14:paraId="0FEFAAE2">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（4）方案不可行或者未提供得0分。</w:t>
            </w:r>
          </w:p>
        </w:tc>
        <w:tc>
          <w:tcPr>
            <w:tcW w:w="797" w:type="pct"/>
            <w:tcBorders>
              <w:top w:val="single" w:color="auto" w:sz="4" w:space="0"/>
              <w:left w:val="single" w:color="auto" w:sz="4" w:space="0"/>
              <w:bottom w:val="single" w:color="auto" w:sz="4" w:space="0"/>
              <w:right w:val="single" w:color="auto" w:sz="4" w:space="0"/>
            </w:tcBorders>
            <w:vAlign w:val="center"/>
          </w:tcPr>
          <w:p w14:paraId="07DB794F">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0-5分</w:t>
            </w:r>
          </w:p>
        </w:tc>
      </w:tr>
      <w:tr w14:paraId="1CE5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4BA82AE4">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2F46289">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系统安全加固方案</w:t>
            </w:r>
          </w:p>
        </w:tc>
        <w:tc>
          <w:tcPr>
            <w:tcW w:w="2328" w:type="pct"/>
            <w:tcBorders>
              <w:top w:val="single" w:color="auto" w:sz="4" w:space="0"/>
              <w:left w:val="single" w:color="auto" w:sz="4" w:space="0"/>
              <w:bottom w:val="single" w:color="auto" w:sz="4" w:space="0"/>
              <w:right w:val="single" w:color="auto" w:sz="4" w:space="0"/>
            </w:tcBorders>
            <w:vAlign w:val="center"/>
          </w:tcPr>
          <w:p w14:paraId="7079CC43">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投标人需提供本项目系统安全加固方案，评标委员会对投标人所提供的方案进行整体横向比较，进行综合评分。</w:t>
            </w:r>
          </w:p>
          <w:p w14:paraId="47AA5A03">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（1）对本项目特点和难点理解准确，方案优于本项目采购需求，完整详细，可行性、实用性、针对性强，得5分；</w:t>
            </w:r>
          </w:p>
          <w:p w14:paraId="018A32FD">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（2）对本项目特点和难点理解基本准确，方案适合本项目采购需求，完整详细，具有可行性、实用性和针对性，得3分；</w:t>
            </w:r>
          </w:p>
          <w:p w14:paraId="7ED2F4D4">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（3）对本项目特点和难点理解有待提升，方案基本适合本项目采购需求，可行性、实用性、针对性有待改善，得1分；</w:t>
            </w:r>
          </w:p>
          <w:p w14:paraId="1C397271">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（4）方案不可行或者未提供得0分。</w:t>
            </w:r>
          </w:p>
        </w:tc>
        <w:tc>
          <w:tcPr>
            <w:tcW w:w="797" w:type="pct"/>
            <w:tcBorders>
              <w:top w:val="single" w:color="auto" w:sz="4" w:space="0"/>
              <w:left w:val="single" w:color="auto" w:sz="4" w:space="0"/>
              <w:bottom w:val="single" w:color="auto" w:sz="4" w:space="0"/>
              <w:right w:val="single" w:color="auto" w:sz="4" w:space="0"/>
            </w:tcBorders>
            <w:vAlign w:val="center"/>
          </w:tcPr>
          <w:p w14:paraId="46263DFA">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0-5分</w:t>
            </w:r>
          </w:p>
        </w:tc>
      </w:tr>
      <w:tr w14:paraId="0E41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872775F">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FA219A6">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应急响应方案</w:t>
            </w:r>
          </w:p>
        </w:tc>
        <w:tc>
          <w:tcPr>
            <w:tcW w:w="2328" w:type="pct"/>
            <w:tcBorders>
              <w:top w:val="single" w:color="auto" w:sz="4" w:space="0"/>
              <w:left w:val="single" w:color="auto" w:sz="4" w:space="0"/>
              <w:bottom w:val="single" w:color="auto" w:sz="4" w:space="0"/>
              <w:right w:val="single" w:color="auto" w:sz="4" w:space="0"/>
            </w:tcBorders>
            <w:vAlign w:val="center"/>
          </w:tcPr>
          <w:p w14:paraId="4312D056">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投标人需提供本项目应急响应方案，方案至少包括故障处理、中、大型事项处理等，评标委员会对投标人所提供的方案进行整体横向比较，进行综合评分。</w:t>
            </w:r>
          </w:p>
          <w:p w14:paraId="100B58FD">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（1）对本项目特点和难点理解准确，方案优于本项目采购需求，完整详细，可行性、实用性、针对性强，得5分；</w:t>
            </w:r>
          </w:p>
          <w:p w14:paraId="45DBBC0E">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（2）对本项目特点和难点理解基本准确，方案适合本项目采购需求，完整详细，具有可行性、实用性和针对性，得3分；</w:t>
            </w:r>
          </w:p>
          <w:p w14:paraId="2D95382C">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（3）对本项目特点和难点理解有待提升，方案基本适合本项目采购需求，可行性、实用性、针对性有待改善，得1分；</w:t>
            </w:r>
          </w:p>
          <w:p w14:paraId="58159269">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（4）方案不可行或者未提供得0分。</w:t>
            </w:r>
          </w:p>
        </w:tc>
        <w:tc>
          <w:tcPr>
            <w:tcW w:w="797" w:type="pct"/>
            <w:tcBorders>
              <w:top w:val="single" w:color="auto" w:sz="4" w:space="0"/>
              <w:left w:val="single" w:color="auto" w:sz="4" w:space="0"/>
              <w:bottom w:val="single" w:color="auto" w:sz="4" w:space="0"/>
              <w:right w:val="single" w:color="auto" w:sz="4" w:space="0"/>
            </w:tcBorders>
            <w:vAlign w:val="center"/>
          </w:tcPr>
          <w:p w14:paraId="22B2DF8B">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0-5分</w:t>
            </w:r>
          </w:p>
        </w:tc>
      </w:tr>
      <w:tr w14:paraId="54A1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466882E4">
            <w:pPr>
              <w:spacing w:line="360" w:lineRule="auto"/>
              <w:jc w:val="center"/>
              <w:rPr>
                <w:rFonts w:hint="eastAsia" w:asciiTheme="minorEastAsia" w:hAnsiTheme="minorEastAsia" w:eastAsiaTheme="minorEastAsia"/>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FF52AAD">
            <w:pPr>
              <w:spacing w:line="360" w:lineRule="auto"/>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合理建议及创新方案</w:t>
            </w:r>
          </w:p>
        </w:tc>
        <w:tc>
          <w:tcPr>
            <w:tcW w:w="2328" w:type="pct"/>
            <w:tcBorders>
              <w:top w:val="single" w:color="auto" w:sz="4" w:space="0"/>
              <w:left w:val="single" w:color="auto" w:sz="4" w:space="0"/>
              <w:bottom w:val="single" w:color="auto" w:sz="4" w:space="0"/>
              <w:right w:val="single" w:color="auto" w:sz="4" w:space="0"/>
            </w:tcBorders>
            <w:vAlign w:val="center"/>
          </w:tcPr>
          <w:p w14:paraId="648FAE83">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投标人需提供本项目合理建议及创新方案，方案至少包括系统建设、运维管理、网络安全、应用创新等，评标委员会对投标人所提供的方案进行整体横向比较，进行综合评分。</w:t>
            </w:r>
          </w:p>
          <w:p w14:paraId="25275D9A">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（1）对本项目特点和难点理解准确，方案优于本项目采购需求，完整详细，可行性、实用性、针对性强，得5分；</w:t>
            </w:r>
          </w:p>
          <w:p w14:paraId="266289A4">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（2）对本项目特点和难点理解基本准确，方案适合本项目采购需求，完整详细，具有可行性、实用性和针对性，得3分；</w:t>
            </w:r>
          </w:p>
          <w:p w14:paraId="4323AB73">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（3）对本项目特点和难点理解有待提升，方案基本适合本项目采购需求，可行性、实用性、针对性有待改善，得1分；</w:t>
            </w:r>
          </w:p>
          <w:p w14:paraId="279F9665">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（4）方案不可行或者未提供得0分。</w:t>
            </w:r>
          </w:p>
        </w:tc>
        <w:tc>
          <w:tcPr>
            <w:tcW w:w="797" w:type="pct"/>
            <w:tcBorders>
              <w:top w:val="single" w:color="auto" w:sz="4" w:space="0"/>
              <w:left w:val="single" w:color="auto" w:sz="4" w:space="0"/>
              <w:bottom w:val="single" w:color="auto" w:sz="4" w:space="0"/>
              <w:right w:val="single" w:color="auto" w:sz="4" w:space="0"/>
            </w:tcBorders>
            <w:vAlign w:val="center"/>
          </w:tcPr>
          <w:p w14:paraId="38B2E5CF">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0-5分</w:t>
            </w:r>
          </w:p>
        </w:tc>
      </w:tr>
      <w:tr w14:paraId="1E37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tcBorders>
              <w:left w:val="single" w:color="auto" w:sz="4" w:space="0"/>
              <w:right w:val="single" w:color="auto" w:sz="4" w:space="0"/>
            </w:tcBorders>
            <w:vAlign w:val="center"/>
          </w:tcPr>
          <w:p w14:paraId="5724D05F">
            <w:pPr>
              <w:spacing w:line="360" w:lineRule="auto"/>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1CD8B0D9">
            <w:pPr>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10 </w:t>
            </w:r>
            <w:r>
              <w:rPr>
                <w:rFonts w:hint="eastAsia" w:asciiTheme="minorEastAsia" w:hAnsiTheme="minorEastAsia" w:eastAsiaTheme="minorEastAsia"/>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6873C90E">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10 </w:t>
            </w:r>
            <w:r>
              <w:rPr>
                <w:rFonts w:hint="eastAsia" w:asciiTheme="minorEastAsia" w:hAnsiTheme="minorEastAsia" w:eastAsiaTheme="minorEastAsia"/>
                <w:sz w:val="24"/>
                <w:highlight w:val="none"/>
              </w:rPr>
              <w:t>分。其他投标人的价格分统一按照下列公式计算：</w:t>
            </w:r>
          </w:p>
          <w:p w14:paraId="181E31B8">
            <w:pPr>
              <w:spacing w:line="360" w:lineRule="auto"/>
              <w:rPr>
                <w:rFonts w:hint="eastAsia"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10 </w:t>
            </w:r>
            <w:r>
              <w:rPr>
                <w:rFonts w:hint="eastAsia" w:asciiTheme="minorEastAsia" w:hAnsiTheme="minorEastAsia" w:eastAsiaTheme="minorEastAsia"/>
                <w:sz w:val="24"/>
                <w:highlight w:val="none"/>
              </w:rPr>
              <w:t>％×100</w:t>
            </w:r>
          </w:p>
        </w:tc>
      </w:tr>
    </w:tbl>
    <w:p w14:paraId="76B2019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06D573F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1671BBE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r>
        <w:rPr>
          <w:rFonts w:hint="eastAsia" w:asciiTheme="minorEastAsia" w:hAnsiTheme="minorEastAsia" w:eastAsiaTheme="minorEastAsia"/>
          <w:sz w:val="24"/>
          <w:highlight w:val="none"/>
        </w:rPr>
        <w:t>。</w:t>
      </w:r>
    </w:p>
    <w:p w14:paraId="7740C157">
      <w:pPr>
        <w:spacing w:line="360" w:lineRule="auto"/>
        <w:ind w:firstLine="435"/>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三、无效投标条款</w:t>
      </w:r>
    </w:p>
    <w:p w14:paraId="01A9827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3.1投标文件有下列情形之一的,其投标文件拒收:</w:t>
      </w:r>
    </w:p>
    <w:p w14:paraId="490AA29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 未在开标截止时间前通过网上招标投标系统递交有效电子投标文件的，开标系统不予接收，投标将被拒绝。</w:t>
      </w:r>
    </w:p>
    <w:p w14:paraId="031281C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1F996E3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3.2投标人有下列情形之一的,资格审查后其投标作无效投标处理：</w:t>
      </w:r>
    </w:p>
    <w:p w14:paraId="42EC191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(1)投标人为本项目提供招标代理服务的；</w:t>
      </w:r>
    </w:p>
    <w:p w14:paraId="32F588F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(2)投标人与在本项目代理机构存在相互任职或工作的；</w:t>
      </w:r>
    </w:p>
    <w:p w14:paraId="6CCDA35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(3)招标公告写明专门面向中小企业采购，投标人提供的货物非中小企业制造的；</w:t>
      </w:r>
    </w:p>
    <w:p w14:paraId="7DCE95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(4)要求供应商以联合体形式参加采购活动，投标人非联合体或者联合协议中中小企业合同金额未达到应当达到的比例；</w:t>
      </w:r>
    </w:p>
    <w:p w14:paraId="79C5A0A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(5)要求获得采购合同的供应商向中小企业分包，投标人未提供分包意向协议或者分包意向协议中中小企业合同金额未达到应当达到的比例；</w:t>
      </w:r>
    </w:p>
    <w:p w14:paraId="000EDF0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(6)评标专家无法查看并检验电子投标文件中相关资料的；</w:t>
      </w:r>
    </w:p>
    <w:p w14:paraId="15A6C60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(7)联合体投标未提交联合体协议的；</w:t>
      </w:r>
    </w:p>
    <w:p w14:paraId="03F1B02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(8)责令停产停业的；</w:t>
      </w:r>
    </w:p>
    <w:p w14:paraId="3515002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(9)暂停或者取消参与政府采购项目资格的；</w:t>
      </w:r>
    </w:p>
    <w:p w14:paraId="046EA0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(10)投标人单位负责人为同一人或者存在（直接）控股、管理关系的不同单位的；</w:t>
      </w:r>
    </w:p>
    <w:p w14:paraId="2FE548F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(11)投标人基本资格条件和特定资格条件中有一项及以上不符合要求的；</w:t>
      </w:r>
    </w:p>
    <w:p w14:paraId="3DBC8D8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391351B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(13)其它情形，经评标委员会委提出按无效投标处理，并经公共资源交易监督部门核准的；</w:t>
      </w:r>
    </w:p>
    <w:p w14:paraId="3365586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(14)投标人投标MAC地址或投标人联系人或联系电话相同的，由评标委员会否决其投标，并报告监管部门作不良行为处理和进一步调查；</w:t>
      </w:r>
    </w:p>
    <w:p w14:paraId="3E6C97E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(15)投标人单方面出现其他投标人材料的；</w:t>
      </w:r>
    </w:p>
    <w:p w14:paraId="1F5CA90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(16)招标公告未写明允许采购进口产品，投标人所投产品为进口产品的；</w:t>
      </w:r>
    </w:p>
    <w:p w14:paraId="00CC58E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(17)招标文件规定的其它无效投标情形。</w:t>
      </w:r>
    </w:p>
    <w:p w14:paraId="1FF9BE5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3.3 投标人有下列情形之一的,符合性审查后其投标按无效投标处理：</w:t>
      </w:r>
    </w:p>
    <w:p w14:paraId="00189E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(1)投标文件签字、盖章不全，经评标委员会一致认定对开评标内容有实质性影响并经公共资源交易监督部门核准的；</w:t>
      </w:r>
    </w:p>
    <w:p w14:paraId="4D025E9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(2)未按规定的格式填写导致实质性内容不全以及实质上不响应，或者关键字迹模糊、无法辨认; 经公共资源交易监督部门核准的；</w:t>
      </w:r>
    </w:p>
    <w:p w14:paraId="1C29543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(3)同一投标人提交两个以上不同的投标文件或者投标报价，但招标文件规定提交备选方案的除外；</w:t>
      </w:r>
    </w:p>
    <w:p w14:paraId="5C6B0A8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(4)投标文件没有对招标文件的实质性要求和条件作出响应;</w:t>
      </w:r>
    </w:p>
    <w:p w14:paraId="5948B36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(5)投标报价超出规定的投标限价或公布的采购预算的或投标人的投标报价各项单价高于招标文件给定的单价最高限价；</w:t>
      </w:r>
    </w:p>
    <w:p w14:paraId="3927368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(6)不按评标委员会要求澄清、说明或补正的，或者评标委员会根据招标文件的规定对投标文件的计算错误进行修正后，投标人不接受修正的投标报价的。</w:t>
      </w:r>
    </w:p>
    <w:p w14:paraId="7A549E1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(7)其它情形，经评标委员会委提出按无效投标处理，并经公共资源交易监督部门核准的；</w:t>
      </w:r>
    </w:p>
    <w:p w14:paraId="675A5BA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(8)投标文件含有采购人不能接受的附加条件的；</w:t>
      </w:r>
    </w:p>
    <w:p w14:paraId="65AE067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(9)招标文件规定的其它无效投标情形。</w:t>
      </w:r>
    </w:p>
    <w:p w14:paraId="31934FF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3.4 投标人有下列情形之一的, 详细评审后其投标按无效投标处理：</w:t>
      </w:r>
    </w:p>
    <w:p w14:paraId="77F6EC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(1)投标产品不符合必须强制执行的国家标准的；</w:t>
      </w:r>
    </w:p>
    <w:p w14:paraId="007C1DF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(2)投标人有串通投标、弄虚作假、行贿等违法行为；</w:t>
      </w:r>
    </w:p>
    <w:p w14:paraId="3D7BF43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(3)投标文件含有违反国家法律、法规的内容，或附有采购人不能接受的条件的；</w:t>
      </w:r>
    </w:p>
    <w:p w14:paraId="01234C6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(4)报价明显低于其他投标人，且不能证明报价合理性的投标无效；</w:t>
      </w:r>
    </w:p>
    <w:p w14:paraId="2EE3E18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(5)拒不确认评标委员会评审修正的投标无效；</w:t>
      </w:r>
    </w:p>
    <w:p w14:paraId="71689D2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(6)其它情形，经评标委员会委提出按无效投标处理，并经公共资源交易监督部门核准的；</w:t>
      </w:r>
    </w:p>
    <w:p w14:paraId="40CA26B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(7)招标文件规定的其它无效投标情形</w:t>
      </w:r>
      <w:r>
        <w:rPr>
          <w:rFonts w:asciiTheme="minorEastAsia" w:hAnsiTheme="minorEastAsia" w:eastAsiaTheme="minorEastAsia"/>
          <w:sz w:val="24"/>
          <w:highlight w:val="none"/>
        </w:rPr>
        <w:t>。</w:t>
      </w:r>
      <w:r>
        <w:rPr>
          <w:rFonts w:asciiTheme="minorEastAsia" w:hAnsiTheme="minorEastAsia" w:eastAsiaTheme="minorEastAsia"/>
          <w:sz w:val="24"/>
          <w:highlight w:val="none"/>
        </w:rPr>
        <w:br w:type="page"/>
      </w:r>
    </w:p>
    <w:p w14:paraId="3CB00A96">
      <w:pPr>
        <w:spacing w:line="360" w:lineRule="auto"/>
        <w:jc w:val="center"/>
        <w:outlineLvl w:val="0"/>
        <w:rPr>
          <w:rFonts w:hint="eastAsia" w:asciiTheme="minorEastAsia" w:hAnsiTheme="minorEastAsia" w:eastAsiaTheme="minorEastAsia"/>
          <w:b/>
          <w:sz w:val="28"/>
          <w:highlight w:val="none"/>
        </w:rPr>
      </w:pPr>
      <w:bookmarkStart w:id="49" w:name="_Toc20405"/>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9"/>
    </w:p>
    <w:p w14:paraId="0F298FB6">
      <w:pPr>
        <w:autoSpaceDE w:val="0"/>
        <w:spacing w:line="400" w:lineRule="exact"/>
        <w:ind w:firstLine="437"/>
        <w:rPr>
          <w:rFonts w:hint="eastAsia" w:ascii="宋体" w:hAnsi="宋体" w:eastAsia="宋体"/>
          <w:sz w:val="24"/>
          <w:szCs w:val="24"/>
          <w:highlight w:val="none"/>
        </w:rPr>
      </w:pPr>
      <w:bookmarkStart w:id="50" w:name="_Toc331685784"/>
    </w:p>
    <w:p w14:paraId="18BB9D9E">
      <w:pPr>
        <w:spacing w:line="480" w:lineRule="auto"/>
        <w:jc w:val="center"/>
        <w:outlineLvl w:val="1"/>
        <w:rPr>
          <w:rFonts w:hint="eastAsia" w:ascii="宋体" w:hAnsi="宋体" w:eastAsia="宋体"/>
          <w:b/>
          <w:sz w:val="32"/>
          <w:szCs w:val="32"/>
          <w:highlight w:val="none"/>
        </w:rPr>
      </w:pPr>
      <w:r>
        <w:rPr>
          <w:rFonts w:hint="eastAsia" w:ascii="宋体" w:hAnsi="宋体" w:eastAsia="宋体"/>
          <w:b/>
          <w:sz w:val="32"/>
          <w:szCs w:val="32"/>
          <w:highlight w:val="none"/>
          <w:lang w:bidi="ar"/>
        </w:rPr>
        <w:t xml:space="preserve"> </w:t>
      </w:r>
    </w:p>
    <w:p w14:paraId="5F1F91B4">
      <w:pPr>
        <w:spacing w:line="480" w:lineRule="auto"/>
        <w:jc w:val="center"/>
        <w:outlineLvl w:val="1"/>
        <w:rPr>
          <w:rFonts w:hint="eastAsia" w:ascii="宋体" w:hAnsi="宋体" w:eastAsia="宋体"/>
          <w:b/>
          <w:sz w:val="32"/>
          <w:szCs w:val="32"/>
          <w:highlight w:val="none"/>
        </w:rPr>
      </w:pPr>
      <w:r>
        <w:rPr>
          <w:rFonts w:hint="eastAsia" w:ascii="宋体" w:hAnsi="宋体" w:eastAsia="宋体" w:cs="宋体"/>
          <w:b/>
          <w:sz w:val="32"/>
          <w:szCs w:val="32"/>
          <w:highlight w:val="none"/>
          <w:lang w:bidi="ar"/>
        </w:rPr>
        <w:t>政府采购合同参考范本</w:t>
      </w:r>
    </w:p>
    <w:p w14:paraId="40326270">
      <w:pPr>
        <w:spacing w:line="480" w:lineRule="auto"/>
        <w:jc w:val="center"/>
        <w:outlineLvl w:val="1"/>
        <w:rPr>
          <w:rFonts w:hint="eastAsia" w:ascii="宋体" w:hAnsi="宋体" w:eastAsia="宋体"/>
          <w:b/>
          <w:sz w:val="32"/>
          <w:szCs w:val="32"/>
          <w:highlight w:val="none"/>
        </w:rPr>
      </w:pPr>
      <w:r>
        <w:rPr>
          <w:rFonts w:hint="eastAsia" w:ascii="宋体" w:hAnsi="宋体" w:eastAsia="宋体" w:cs="宋体"/>
          <w:b/>
          <w:sz w:val="32"/>
          <w:szCs w:val="32"/>
          <w:highlight w:val="none"/>
          <w:lang w:bidi="ar"/>
        </w:rPr>
        <w:t>（服务类）</w:t>
      </w:r>
    </w:p>
    <w:p w14:paraId="77EC6D14">
      <w:pPr>
        <w:spacing w:line="480" w:lineRule="auto"/>
        <w:jc w:val="center"/>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799D16AA">
      <w:pPr>
        <w:spacing w:line="480" w:lineRule="auto"/>
        <w:jc w:val="center"/>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12A4038F">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bidi="ar"/>
        </w:rPr>
        <w:t>第一部分</w:t>
      </w:r>
      <w:r>
        <w:rPr>
          <w:rFonts w:hint="eastAsia" w:ascii="宋体" w:hAnsi="宋体" w:eastAsia="宋体"/>
          <w:b/>
          <w:sz w:val="24"/>
          <w:szCs w:val="24"/>
          <w:highlight w:val="none"/>
          <w:lang w:bidi="ar"/>
        </w:rPr>
        <w:t xml:space="preserve"> </w:t>
      </w:r>
      <w:r>
        <w:rPr>
          <w:rFonts w:hint="eastAsia" w:ascii="宋体" w:hAnsi="宋体" w:eastAsia="宋体" w:cs="宋体"/>
          <w:b/>
          <w:sz w:val="24"/>
          <w:szCs w:val="24"/>
          <w:highlight w:val="none"/>
          <w:lang w:bidi="ar"/>
        </w:rPr>
        <w:t>合同书</w:t>
      </w:r>
    </w:p>
    <w:p w14:paraId="4D6599EA">
      <w:pPr>
        <w:spacing w:line="480" w:lineRule="auto"/>
        <w:jc w:val="center"/>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730A4905">
      <w:pPr>
        <w:spacing w:line="480" w:lineRule="auto"/>
        <w:jc w:val="center"/>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1D047306">
      <w:pPr>
        <w:spacing w:line="480" w:lineRule="auto"/>
        <w:jc w:val="center"/>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226839AF">
      <w:pPr>
        <w:spacing w:before="120" w:line="480" w:lineRule="auto"/>
        <w:ind w:left="96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项目名称：</w:t>
      </w:r>
      <w:r>
        <w:rPr>
          <w:rFonts w:hint="eastAsia" w:ascii="宋体" w:hAnsi="宋体" w:eastAsia="宋体"/>
          <w:sz w:val="24"/>
          <w:szCs w:val="24"/>
          <w:highlight w:val="none"/>
          <w:u w:val="single"/>
          <w:lang w:bidi="ar"/>
        </w:rPr>
        <w:t xml:space="preserve">                                   </w:t>
      </w:r>
    </w:p>
    <w:p w14:paraId="1D84E555">
      <w:pPr>
        <w:spacing w:before="120" w:line="480" w:lineRule="auto"/>
        <w:ind w:left="960"/>
        <w:rPr>
          <w:rFonts w:hint="eastAsia" w:ascii="宋体" w:hAnsi="宋体" w:eastAsia="宋体"/>
          <w:sz w:val="24"/>
          <w:szCs w:val="24"/>
          <w:highlight w:val="none"/>
        </w:rPr>
      </w:pPr>
      <w:r>
        <w:rPr>
          <w:rFonts w:hint="eastAsia" w:ascii="宋体" w:hAnsi="宋体" w:eastAsia="宋体" w:cs="宋体"/>
          <w:sz w:val="24"/>
          <w:szCs w:val="24"/>
          <w:highlight w:val="none"/>
          <w:lang w:bidi="ar"/>
        </w:rPr>
        <w:t>项目编号：</w:t>
      </w:r>
      <w:r>
        <w:rPr>
          <w:rFonts w:hint="eastAsia" w:ascii="宋体" w:hAnsi="宋体" w:eastAsia="宋体"/>
          <w:sz w:val="24"/>
          <w:szCs w:val="24"/>
          <w:highlight w:val="none"/>
          <w:u w:val="single"/>
          <w:lang w:bidi="ar"/>
        </w:rPr>
        <w:t xml:space="preserve">                                   </w:t>
      </w:r>
    </w:p>
    <w:p w14:paraId="1565AFC5">
      <w:pPr>
        <w:spacing w:before="120" w:line="480" w:lineRule="auto"/>
        <w:ind w:left="96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甲方（采购人）：</w:t>
      </w:r>
      <w:r>
        <w:rPr>
          <w:rFonts w:hint="eastAsia" w:ascii="宋体" w:hAnsi="宋体" w:eastAsia="宋体"/>
          <w:sz w:val="24"/>
          <w:szCs w:val="24"/>
          <w:highlight w:val="none"/>
          <w:u w:val="single"/>
          <w:lang w:bidi="ar"/>
        </w:rPr>
        <w:t xml:space="preserve">                              </w:t>
      </w:r>
    </w:p>
    <w:p w14:paraId="407DCCAD">
      <w:pPr>
        <w:spacing w:before="120" w:line="480" w:lineRule="auto"/>
        <w:ind w:left="96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乙方（中标人）：</w:t>
      </w:r>
      <w:r>
        <w:rPr>
          <w:rFonts w:hint="eastAsia" w:ascii="宋体" w:hAnsi="宋体" w:eastAsia="宋体"/>
          <w:sz w:val="24"/>
          <w:szCs w:val="24"/>
          <w:highlight w:val="none"/>
          <w:u w:val="single"/>
          <w:lang w:bidi="ar"/>
        </w:rPr>
        <w:t xml:space="preserve">                              </w:t>
      </w:r>
    </w:p>
    <w:p w14:paraId="4AF00B90">
      <w:pPr>
        <w:spacing w:before="120" w:line="480" w:lineRule="auto"/>
        <w:ind w:firstLine="960" w:firstLineChars="4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签订地：</w:t>
      </w:r>
      <w:r>
        <w:rPr>
          <w:rFonts w:hint="eastAsia" w:ascii="宋体" w:hAnsi="宋体" w:eastAsia="宋体"/>
          <w:sz w:val="24"/>
          <w:szCs w:val="24"/>
          <w:highlight w:val="none"/>
          <w:u w:val="single"/>
          <w:lang w:bidi="ar"/>
        </w:rPr>
        <w:t xml:space="preserve">                                     </w:t>
      </w:r>
    </w:p>
    <w:p w14:paraId="459C3D30">
      <w:pPr>
        <w:spacing w:before="120" w:line="480" w:lineRule="auto"/>
        <w:ind w:firstLine="960" w:firstLineChars="400"/>
        <w:rPr>
          <w:rFonts w:hint="eastAsia" w:ascii="宋体" w:hAnsi="宋体" w:eastAsia="宋体"/>
          <w:sz w:val="24"/>
          <w:szCs w:val="24"/>
          <w:highlight w:val="none"/>
        </w:rPr>
      </w:pPr>
      <w:r>
        <w:rPr>
          <w:rFonts w:hint="eastAsia" w:ascii="宋体" w:hAnsi="宋体" w:eastAsia="宋体" w:cs="宋体"/>
          <w:sz w:val="24"/>
          <w:szCs w:val="24"/>
          <w:highlight w:val="none"/>
          <w:lang w:bidi="ar"/>
        </w:rPr>
        <w:t>签订日期：</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年</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月</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日</w:t>
      </w:r>
    </w:p>
    <w:p w14:paraId="7C0FB429">
      <w:pPr>
        <w:widowControl/>
        <w:jc w:val="left"/>
        <w:rPr>
          <w:rFonts w:hint="eastAsia" w:ascii="宋体" w:hAnsi="宋体" w:eastAsia="宋体"/>
          <w:sz w:val="24"/>
          <w:szCs w:val="24"/>
          <w:highlight w:val="none"/>
        </w:rPr>
      </w:pPr>
      <w:r>
        <w:rPr>
          <w:rFonts w:hint="eastAsia" w:ascii="宋体" w:hAnsi="宋体" w:eastAsia="宋体"/>
          <w:sz w:val="24"/>
          <w:szCs w:val="24"/>
          <w:highlight w:val="none"/>
          <w:lang w:bidi="ar"/>
        </w:rPr>
        <w:br w:type="page"/>
      </w:r>
    </w:p>
    <w:p w14:paraId="669BC144">
      <w:pPr>
        <w:spacing w:line="360" w:lineRule="auto"/>
        <w:ind w:firstLine="435"/>
        <w:rPr>
          <w:rFonts w:hint="eastAsia" w:ascii="宋体" w:hAnsi="宋体" w:eastAsia="宋体"/>
          <w:sz w:val="24"/>
          <w:szCs w:val="24"/>
          <w:highlight w:val="none"/>
        </w:rPr>
      </w:pP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（（以下简称：甲方）通过</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组织的公开招标方式采购活动，经评标委员会评定，</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（以下简称：乙方）为本项目中标人，现按照采购文件确定的事项签订本合同。</w:t>
      </w:r>
    </w:p>
    <w:p w14:paraId="4E616E10">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根据《中华人民共和国民法典》、《中华人民共和国政府采购法》等相关法律法规之规定，按照平等、自愿、公平和诚实信用的原则，经甲方和乙方协商一致，约定以下合同条款，以兹共同遵守、全面履行。</w:t>
      </w:r>
    </w:p>
    <w:p w14:paraId="1E93931A">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1.1</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合同组成部分</w:t>
      </w:r>
    </w:p>
    <w:p w14:paraId="32168621">
      <w:pPr>
        <w:spacing w:line="360" w:lineRule="auto"/>
        <w:ind w:firstLine="435"/>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0024DFAC">
      <w:pPr>
        <w:spacing w:line="360" w:lineRule="auto"/>
        <w:ind w:firstLine="435"/>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1.1.1本合同及其补充合同、变更协议；</w:t>
      </w:r>
    </w:p>
    <w:p w14:paraId="548BBF84">
      <w:pPr>
        <w:spacing w:line="360" w:lineRule="auto"/>
        <w:ind w:firstLine="435"/>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1.1.2中标通知书；</w:t>
      </w:r>
    </w:p>
    <w:p w14:paraId="4A0E5F47">
      <w:pPr>
        <w:spacing w:line="360" w:lineRule="auto"/>
        <w:ind w:firstLine="435"/>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1.1.3投标文件（含澄清或者说明文件）；</w:t>
      </w:r>
    </w:p>
    <w:p w14:paraId="0C294ED8">
      <w:pPr>
        <w:spacing w:line="360" w:lineRule="auto"/>
        <w:ind w:firstLine="435"/>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1.1.4招标文件（含澄清或者修改文件）；</w:t>
      </w:r>
    </w:p>
    <w:p w14:paraId="6E2D508B">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1.1.5其他相关采购文件。</w:t>
      </w:r>
    </w:p>
    <w:p w14:paraId="0AB12AF0">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1.2</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服务</w:t>
      </w:r>
    </w:p>
    <w:p w14:paraId="59A9575C">
      <w:pPr>
        <w:spacing w:line="360" w:lineRule="auto"/>
        <w:ind w:firstLine="435"/>
        <w:rPr>
          <w:rFonts w:hint="eastAsia" w:ascii="宋体" w:hAnsi="宋体" w:eastAsia="宋体" w:cs="Times New Roman"/>
          <w:sz w:val="24"/>
          <w:szCs w:val="24"/>
          <w:highlight w:val="none"/>
          <w:u w:val="single"/>
        </w:rPr>
      </w:pPr>
      <w:r>
        <w:rPr>
          <w:rFonts w:hint="eastAsia" w:ascii="宋体" w:hAnsi="宋体" w:eastAsia="宋体" w:cs="宋体"/>
          <w:sz w:val="24"/>
          <w:szCs w:val="24"/>
          <w:highlight w:val="none"/>
          <w:lang w:bidi="ar"/>
        </w:rPr>
        <w:t>1.2.1服务名称：</w:t>
      </w:r>
      <w:r>
        <w:rPr>
          <w:rFonts w:hint="eastAsia" w:ascii="宋体" w:hAnsi="宋体" w:eastAsia="宋体" w:cs="Times New Roman"/>
          <w:sz w:val="24"/>
          <w:szCs w:val="24"/>
          <w:highlight w:val="none"/>
          <w:u w:val="single"/>
          <w:lang w:bidi="ar"/>
        </w:rPr>
        <w:t xml:space="preserve">                                                </w:t>
      </w:r>
      <w:r>
        <w:rPr>
          <w:rFonts w:hint="eastAsia" w:ascii="宋体" w:hAnsi="宋体" w:eastAsia="宋体" w:cs="宋体"/>
          <w:sz w:val="24"/>
          <w:szCs w:val="24"/>
          <w:highlight w:val="none"/>
          <w:lang w:bidi="ar"/>
        </w:rPr>
        <w:t>；</w:t>
      </w:r>
    </w:p>
    <w:p w14:paraId="6B49397C">
      <w:pPr>
        <w:spacing w:line="360" w:lineRule="auto"/>
        <w:ind w:firstLine="435"/>
        <w:rPr>
          <w:rFonts w:hint="eastAsia" w:ascii="宋体" w:hAnsi="宋体" w:eastAsia="宋体" w:cs="Times New Roman"/>
          <w:sz w:val="24"/>
          <w:szCs w:val="24"/>
          <w:highlight w:val="none"/>
          <w:u w:val="single"/>
        </w:rPr>
      </w:pPr>
      <w:r>
        <w:rPr>
          <w:rFonts w:hint="eastAsia" w:ascii="宋体" w:hAnsi="宋体" w:eastAsia="宋体" w:cs="宋体"/>
          <w:sz w:val="24"/>
          <w:szCs w:val="24"/>
          <w:highlight w:val="none"/>
          <w:lang w:bidi="ar"/>
        </w:rPr>
        <w:t>1.2.2服务内容：</w:t>
      </w:r>
      <w:r>
        <w:rPr>
          <w:rFonts w:hint="eastAsia" w:ascii="宋体" w:hAnsi="宋体" w:eastAsia="宋体" w:cs="Times New Roman"/>
          <w:sz w:val="24"/>
          <w:szCs w:val="24"/>
          <w:highlight w:val="none"/>
          <w:u w:val="single"/>
          <w:lang w:bidi="ar"/>
        </w:rPr>
        <w:t xml:space="preserve">                                                </w:t>
      </w:r>
      <w:r>
        <w:rPr>
          <w:rFonts w:hint="eastAsia" w:ascii="宋体" w:hAnsi="宋体" w:eastAsia="宋体" w:cs="宋体"/>
          <w:sz w:val="24"/>
          <w:szCs w:val="24"/>
          <w:highlight w:val="none"/>
          <w:lang w:bidi="ar"/>
        </w:rPr>
        <w:t>；</w:t>
      </w:r>
    </w:p>
    <w:p w14:paraId="41019330">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1.2.3服务质量：</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w:t>
      </w:r>
    </w:p>
    <w:p w14:paraId="65AF2B8D">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w:t>
      </w:r>
      <w:r>
        <w:rPr>
          <w:rFonts w:hint="eastAsia" w:ascii="宋体" w:hAnsi="宋体" w:eastAsia="宋体"/>
          <w:b/>
          <w:bCs/>
          <w:sz w:val="24"/>
          <w:szCs w:val="24"/>
          <w:highlight w:val="none"/>
          <w:lang w:bidi="ar"/>
        </w:rPr>
        <w:t xml:space="preserve">3 </w:t>
      </w:r>
      <w:r>
        <w:rPr>
          <w:rFonts w:hint="eastAsia" w:ascii="宋体" w:hAnsi="宋体" w:eastAsia="宋体" w:cs="宋体"/>
          <w:b/>
          <w:bCs/>
          <w:sz w:val="24"/>
          <w:szCs w:val="24"/>
          <w:highlight w:val="none"/>
          <w:lang w:bidi="ar"/>
        </w:rPr>
        <w:t>价款</w:t>
      </w:r>
    </w:p>
    <w:p w14:paraId="0A093978">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本合同总价为：￥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元（大写：人民币</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元）。</w:t>
      </w:r>
    </w:p>
    <w:p w14:paraId="02FD72A3">
      <w:pPr>
        <w:spacing w:line="360" w:lineRule="auto"/>
        <w:ind w:firstLine="435"/>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分项价格：</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314"/>
        <w:gridCol w:w="12"/>
        <w:gridCol w:w="3222"/>
        <w:gridCol w:w="12"/>
      </w:tblGrid>
      <w:tr w14:paraId="1736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14:paraId="03192928">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序号</w:t>
            </w:r>
          </w:p>
        </w:tc>
        <w:tc>
          <w:tcPr>
            <w:tcW w:w="2532" w:type="pct"/>
            <w:tcBorders>
              <w:top w:val="single" w:color="auto" w:sz="4" w:space="0"/>
              <w:left w:val="single" w:color="auto" w:sz="4" w:space="0"/>
              <w:bottom w:val="single" w:color="auto" w:sz="4" w:space="0"/>
              <w:right w:val="single" w:color="auto" w:sz="4" w:space="0"/>
            </w:tcBorders>
            <w:vAlign w:val="center"/>
          </w:tcPr>
          <w:p w14:paraId="0B058B10">
            <w:pPr>
              <w:pStyle w:val="84"/>
              <w:ind w:firstLine="200"/>
              <w:jc w:val="center"/>
              <w:rPr>
                <w:rFonts w:hint="eastAsia" w:ascii="宋体" w:hAnsi="宋体" w:eastAsia="宋体"/>
                <w:sz w:val="24"/>
                <w:szCs w:val="24"/>
                <w:highlight w:val="none"/>
              </w:rPr>
            </w:pPr>
            <w:r>
              <w:rPr>
                <w:rFonts w:hint="eastAsia" w:ascii="宋体" w:hAnsi="宋体" w:eastAsia="宋体" w:cs="宋体"/>
                <w:sz w:val="24"/>
                <w:szCs w:val="24"/>
                <w:highlight w:val="none"/>
              </w:rPr>
              <w:t>分项名称</w:t>
            </w:r>
          </w:p>
        </w:tc>
        <w:tc>
          <w:tcPr>
            <w:tcW w:w="1898" w:type="pct"/>
            <w:gridSpan w:val="2"/>
            <w:tcBorders>
              <w:top w:val="single" w:color="auto" w:sz="4" w:space="0"/>
              <w:left w:val="single" w:color="auto" w:sz="4" w:space="0"/>
              <w:bottom w:val="single" w:color="auto" w:sz="4" w:space="0"/>
              <w:right w:val="single" w:color="auto" w:sz="4" w:space="0"/>
            </w:tcBorders>
            <w:vAlign w:val="center"/>
          </w:tcPr>
          <w:p w14:paraId="2E88AF12">
            <w:pPr>
              <w:pStyle w:val="84"/>
              <w:jc w:val="center"/>
              <w:rPr>
                <w:rFonts w:hint="eastAsia" w:ascii="宋体" w:hAnsi="宋体" w:eastAsia="宋体"/>
                <w:sz w:val="24"/>
                <w:szCs w:val="24"/>
                <w:highlight w:val="none"/>
              </w:rPr>
            </w:pPr>
            <w:r>
              <w:rPr>
                <w:rFonts w:hint="eastAsia" w:ascii="宋体" w:hAnsi="宋体" w:eastAsia="宋体" w:cs="宋体"/>
                <w:sz w:val="24"/>
                <w:szCs w:val="24"/>
                <w:highlight w:val="none"/>
              </w:rPr>
              <w:t>分项价格</w:t>
            </w:r>
          </w:p>
        </w:tc>
      </w:tr>
      <w:tr w14:paraId="02C2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14:paraId="5E7532E0">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2532" w:type="pct"/>
            <w:tcBorders>
              <w:top w:val="single" w:color="auto" w:sz="4" w:space="0"/>
              <w:left w:val="single" w:color="auto" w:sz="4" w:space="0"/>
              <w:bottom w:val="single" w:color="auto" w:sz="4" w:space="0"/>
              <w:right w:val="single" w:color="auto" w:sz="4" w:space="0"/>
            </w:tcBorders>
            <w:vAlign w:val="center"/>
          </w:tcPr>
          <w:p w14:paraId="6CFBC65B">
            <w:pPr>
              <w:pStyle w:val="84"/>
              <w:ind w:firstLine="200"/>
              <w:jc w:val="center"/>
              <w:rPr>
                <w:rFonts w:hint="eastAsia" w:ascii="宋体" w:hAnsi="宋体" w:eastAsia="宋体"/>
                <w:sz w:val="24"/>
                <w:szCs w:val="24"/>
                <w:highlight w:val="none"/>
              </w:rPr>
            </w:pPr>
          </w:p>
        </w:tc>
        <w:tc>
          <w:tcPr>
            <w:tcW w:w="1898" w:type="pct"/>
            <w:gridSpan w:val="2"/>
            <w:tcBorders>
              <w:top w:val="single" w:color="auto" w:sz="4" w:space="0"/>
              <w:left w:val="single" w:color="auto" w:sz="4" w:space="0"/>
              <w:bottom w:val="single" w:color="auto" w:sz="4" w:space="0"/>
              <w:right w:val="single" w:color="auto" w:sz="4" w:space="0"/>
            </w:tcBorders>
            <w:vAlign w:val="center"/>
          </w:tcPr>
          <w:p w14:paraId="4ABC262B">
            <w:pPr>
              <w:pStyle w:val="84"/>
              <w:ind w:firstLine="200"/>
              <w:jc w:val="center"/>
              <w:rPr>
                <w:rFonts w:hint="eastAsia" w:ascii="宋体" w:hAnsi="宋体" w:eastAsia="宋体"/>
                <w:sz w:val="24"/>
                <w:szCs w:val="24"/>
                <w:highlight w:val="none"/>
              </w:rPr>
            </w:pPr>
          </w:p>
        </w:tc>
      </w:tr>
      <w:tr w14:paraId="0067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14:paraId="31E5CE58">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2532" w:type="pct"/>
            <w:tcBorders>
              <w:top w:val="single" w:color="auto" w:sz="4" w:space="0"/>
              <w:left w:val="single" w:color="auto" w:sz="4" w:space="0"/>
              <w:bottom w:val="single" w:color="auto" w:sz="4" w:space="0"/>
              <w:right w:val="single" w:color="auto" w:sz="4" w:space="0"/>
            </w:tcBorders>
            <w:vAlign w:val="center"/>
          </w:tcPr>
          <w:p w14:paraId="16DA9D7C">
            <w:pPr>
              <w:pStyle w:val="84"/>
              <w:ind w:firstLine="200"/>
              <w:jc w:val="center"/>
              <w:rPr>
                <w:rFonts w:hint="eastAsia" w:ascii="宋体" w:hAnsi="宋体" w:eastAsia="宋体"/>
                <w:sz w:val="24"/>
                <w:szCs w:val="24"/>
                <w:highlight w:val="none"/>
              </w:rPr>
            </w:pPr>
          </w:p>
        </w:tc>
        <w:tc>
          <w:tcPr>
            <w:tcW w:w="1898" w:type="pct"/>
            <w:gridSpan w:val="2"/>
            <w:tcBorders>
              <w:top w:val="single" w:color="auto" w:sz="4" w:space="0"/>
              <w:left w:val="single" w:color="auto" w:sz="4" w:space="0"/>
              <w:bottom w:val="single" w:color="auto" w:sz="4" w:space="0"/>
              <w:right w:val="single" w:color="auto" w:sz="4" w:space="0"/>
            </w:tcBorders>
            <w:vAlign w:val="center"/>
          </w:tcPr>
          <w:p w14:paraId="45500F5B">
            <w:pPr>
              <w:pStyle w:val="84"/>
              <w:ind w:firstLine="200"/>
              <w:jc w:val="center"/>
              <w:rPr>
                <w:rFonts w:hint="eastAsia" w:ascii="宋体" w:hAnsi="宋体" w:eastAsia="宋体"/>
                <w:sz w:val="24"/>
                <w:szCs w:val="24"/>
                <w:highlight w:val="none"/>
              </w:rPr>
            </w:pPr>
          </w:p>
        </w:tc>
      </w:tr>
      <w:tr w14:paraId="269C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14:paraId="2165A888">
            <w:pPr>
              <w:jc w:val="center"/>
              <w:rPr>
                <w:rFonts w:hint="eastAsia" w:ascii="宋体" w:hAnsi="宋体" w:eastAsia="宋体"/>
                <w:sz w:val="24"/>
                <w:szCs w:val="24"/>
                <w:highlight w:val="none"/>
              </w:rPr>
            </w:pPr>
            <w:r>
              <w:rPr>
                <w:rFonts w:hint="eastAsia" w:ascii="宋体" w:hAnsi="宋体" w:eastAsia="宋体"/>
                <w:sz w:val="24"/>
                <w:szCs w:val="24"/>
                <w:highlight w:val="none"/>
                <w:lang w:bidi="ar"/>
              </w:rPr>
              <w:t>3</w:t>
            </w:r>
          </w:p>
        </w:tc>
        <w:tc>
          <w:tcPr>
            <w:tcW w:w="2532" w:type="pct"/>
            <w:tcBorders>
              <w:top w:val="single" w:color="auto" w:sz="4" w:space="0"/>
              <w:left w:val="single" w:color="auto" w:sz="4" w:space="0"/>
              <w:bottom w:val="single" w:color="auto" w:sz="4" w:space="0"/>
              <w:right w:val="single" w:color="auto" w:sz="4" w:space="0"/>
            </w:tcBorders>
            <w:vAlign w:val="center"/>
          </w:tcPr>
          <w:p w14:paraId="60BA99D7">
            <w:pPr>
              <w:pStyle w:val="84"/>
              <w:ind w:firstLine="200"/>
              <w:jc w:val="center"/>
              <w:rPr>
                <w:rFonts w:hint="eastAsia" w:ascii="宋体" w:hAnsi="宋体" w:eastAsia="宋体"/>
                <w:sz w:val="24"/>
                <w:szCs w:val="24"/>
                <w:highlight w:val="none"/>
              </w:rPr>
            </w:pPr>
          </w:p>
        </w:tc>
        <w:tc>
          <w:tcPr>
            <w:tcW w:w="1898" w:type="pct"/>
            <w:gridSpan w:val="2"/>
            <w:tcBorders>
              <w:top w:val="single" w:color="auto" w:sz="4" w:space="0"/>
              <w:left w:val="single" w:color="auto" w:sz="4" w:space="0"/>
              <w:bottom w:val="single" w:color="auto" w:sz="4" w:space="0"/>
              <w:right w:val="single" w:color="auto" w:sz="4" w:space="0"/>
            </w:tcBorders>
            <w:vAlign w:val="center"/>
          </w:tcPr>
          <w:p w14:paraId="04560E62">
            <w:pPr>
              <w:pStyle w:val="84"/>
              <w:ind w:firstLine="200"/>
              <w:jc w:val="center"/>
              <w:rPr>
                <w:rFonts w:hint="eastAsia" w:ascii="宋体" w:hAnsi="宋体" w:eastAsia="宋体"/>
                <w:sz w:val="24"/>
                <w:szCs w:val="24"/>
                <w:highlight w:val="none"/>
              </w:rPr>
            </w:pPr>
          </w:p>
        </w:tc>
      </w:tr>
      <w:tr w14:paraId="3B33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562" w:type="pct"/>
            <w:tcBorders>
              <w:top w:val="single" w:color="auto" w:sz="4" w:space="0"/>
              <w:left w:val="single" w:color="auto" w:sz="4" w:space="0"/>
              <w:bottom w:val="single" w:color="auto" w:sz="4" w:space="0"/>
              <w:right w:val="single" w:color="auto" w:sz="4" w:space="0"/>
            </w:tcBorders>
          </w:tcPr>
          <w:p w14:paraId="39DF8D84">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2532" w:type="pct"/>
            <w:tcBorders>
              <w:top w:val="single" w:color="auto" w:sz="4" w:space="0"/>
              <w:left w:val="single" w:color="auto" w:sz="4" w:space="0"/>
              <w:bottom w:val="single" w:color="auto" w:sz="4" w:space="0"/>
              <w:right w:val="single" w:color="auto" w:sz="4" w:space="0"/>
            </w:tcBorders>
            <w:vAlign w:val="center"/>
          </w:tcPr>
          <w:p w14:paraId="058F77C6">
            <w:pPr>
              <w:pStyle w:val="84"/>
              <w:ind w:firstLine="200"/>
              <w:jc w:val="center"/>
              <w:rPr>
                <w:rFonts w:hint="eastAsia" w:ascii="宋体" w:hAnsi="宋体" w:eastAsia="宋体"/>
                <w:sz w:val="24"/>
                <w:szCs w:val="24"/>
                <w:highlight w:val="none"/>
              </w:rPr>
            </w:pPr>
          </w:p>
        </w:tc>
        <w:tc>
          <w:tcPr>
            <w:tcW w:w="1898" w:type="pct"/>
            <w:gridSpan w:val="2"/>
            <w:tcBorders>
              <w:top w:val="single" w:color="auto" w:sz="4" w:space="0"/>
              <w:left w:val="single" w:color="auto" w:sz="4" w:space="0"/>
              <w:bottom w:val="single" w:color="auto" w:sz="4" w:space="0"/>
              <w:right w:val="single" w:color="auto" w:sz="4" w:space="0"/>
            </w:tcBorders>
            <w:vAlign w:val="center"/>
          </w:tcPr>
          <w:p w14:paraId="41591487">
            <w:pPr>
              <w:pStyle w:val="84"/>
              <w:ind w:firstLine="200"/>
              <w:jc w:val="center"/>
              <w:rPr>
                <w:rFonts w:hint="eastAsia" w:ascii="宋体" w:hAnsi="宋体" w:eastAsia="宋体"/>
                <w:sz w:val="24"/>
                <w:szCs w:val="24"/>
                <w:highlight w:val="none"/>
              </w:rPr>
            </w:pPr>
          </w:p>
        </w:tc>
      </w:tr>
      <w:tr w14:paraId="1CCC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vAlign w:val="center"/>
          </w:tcPr>
          <w:p w14:paraId="5D4107C2">
            <w:pPr>
              <w:pStyle w:val="84"/>
              <w:ind w:firstLine="200"/>
              <w:jc w:val="center"/>
              <w:rPr>
                <w:rFonts w:hint="eastAsia" w:ascii="宋体" w:hAnsi="宋体" w:eastAsia="宋体"/>
                <w:sz w:val="24"/>
                <w:szCs w:val="24"/>
                <w:highlight w:val="none"/>
              </w:rPr>
            </w:pPr>
            <w:r>
              <w:rPr>
                <w:rFonts w:hint="eastAsia" w:ascii="宋体" w:hAnsi="宋体" w:eastAsia="宋体" w:cs="宋体"/>
                <w:sz w:val="24"/>
                <w:szCs w:val="24"/>
                <w:highlight w:val="none"/>
              </w:rPr>
              <w:t>总价</w:t>
            </w:r>
          </w:p>
        </w:tc>
        <w:tc>
          <w:tcPr>
            <w:tcW w:w="1898" w:type="pct"/>
            <w:gridSpan w:val="2"/>
            <w:tcBorders>
              <w:top w:val="single" w:color="auto" w:sz="4" w:space="0"/>
              <w:left w:val="single" w:color="auto" w:sz="4" w:space="0"/>
              <w:bottom w:val="single" w:color="auto" w:sz="4" w:space="0"/>
              <w:right w:val="single" w:color="auto" w:sz="4" w:space="0"/>
            </w:tcBorders>
            <w:vAlign w:val="center"/>
          </w:tcPr>
          <w:p w14:paraId="0E5E4EE7">
            <w:pPr>
              <w:pStyle w:val="84"/>
              <w:ind w:firstLine="200"/>
              <w:jc w:val="center"/>
              <w:rPr>
                <w:rFonts w:hint="eastAsia" w:ascii="宋体" w:hAnsi="宋体" w:eastAsia="宋体"/>
                <w:sz w:val="24"/>
                <w:szCs w:val="24"/>
                <w:highlight w:val="none"/>
              </w:rPr>
            </w:pPr>
          </w:p>
        </w:tc>
      </w:tr>
    </w:tbl>
    <w:p w14:paraId="0D8C412B">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w:t>
      </w:r>
      <w:r>
        <w:rPr>
          <w:rFonts w:hint="eastAsia" w:ascii="宋体" w:hAnsi="宋体" w:eastAsia="宋体"/>
          <w:b/>
          <w:bCs/>
          <w:sz w:val="24"/>
          <w:szCs w:val="24"/>
          <w:highlight w:val="none"/>
          <w:lang w:bidi="ar"/>
        </w:rPr>
        <w:t>4 付款方式和发票开具方式</w:t>
      </w:r>
    </w:p>
    <w:p w14:paraId="5C85773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1.4.1付款方式：</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w:t>
      </w:r>
    </w:p>
    <w:p w14:paraId="06ACB340">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1.4.2发票开具方式：</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w:t>
      </w:r>
    </w:p>
    <w:p w14:paraId="32D127B6">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w:t>
      </w:r>
      <w:r>
        <w:rPr>
          <w:rFonts w:hint="eastAsia" w:ascii="宋体" w:hAnsi="宋体" w:eastAsia="宋体"/>
          <w:b/>
          <w:bCs/>
          <w:sz w:val="24"/>
          <w:szCs w:val="24"/>
          <w:highlight w:val="none"/>
          <w:lang w:bidi="ar"/>
        </w:rPr>
        <w:t xml:space="preserve">5 </w:t>
      </w:r>
      <w:r>
        <w:rPr>
          <w:rFonts w:hint="eastAsia" w:ascii="宋体" w:hAnsi="宋体" w:eastAsia="宋体" w:cs="宋体"/>
          <w:b/>
          <w:bCs/>
          <w:sz w:val="24"/>
          <w:szCs w:val="24"/>
          <w:highlight w:val="none"/>
          <w:lang w:bidi="ar"/>
        </w:rPr>
        <w:t>服务期限、地点和方式</w:t>
      </w:r>
    </w:p>
    <w:p w14:paraId="6277029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1.5.1服务期限：</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w:t>
      </w:r>
    </w:p>
    <w:p w14:paraId="3DE456E6">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1.5.2服务地点：</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w:t>
      </w:r>
    </w:p>
    <w:p w14:paraId="7C2371D6">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1.5.3服务方式：</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w:t>
      </w:r>
    </w:p>
    <w:p w14:paraId="5F6D4202">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1.6 违约责任</w:t>
      </w:r>
    </w:p>
    <w:p w14:paraId="16EFE189">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 xml:space="preserve">1 </w:t>
      </w:r>
      <w:r>
        <w:rPr>
          <w:rFonts w:hint="eastAsia" w:ascii="宋体" w:hAnsi="宋体" w:eastAsia="宋体"/>
          <w:sz w:val="24"/>
          <w:szCs w:val="24"/>
          <w:highlight w:val="none"/>
          <w:lang w:bidi="ar"/>
        </w:rPr>
        <w:t>%计算</w:t>
      </w:r>
      <w:r>
        <w:rPr>
          <w:rFonts w:hint="eastAsia" w:ascii="宋体" w:hAnsi="宋体" w:eastAsia="宋体" w:cs="宋体"/>
          <w:sz w:val="24"/>
          <w:szCs w:val="24"/>
          <w:highlight w:val="none"/>
          <w:lang w:bidi="ar"/>
        </w:rPr>
        <w:t>，最高限额为本合同总价的</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 xml:space="preserve">10 </w:t>
      </w:r>
      <w:r>
        <w:rPr>
          <w:rFonts w:hint="eastAsia" w:ascii="宋体" w:hAnsi="宋体" w:eastAsia="宋体"/>
          <w:sz w:val="24"/>
          <w:szCs w:val="24"/>
          <w:highlight w:val="none"/>
          <w:lang w:bidi="ar"/>
        </w:rPr>
        <w:t>%</w:t>
      </w:r>
      <w:r>
        <w:rPr>
          <w:rFonts w:hint="eastAsia" w:ascii="宋体" w:hAnsi="宋体" w:eastAsia="宋体" w:cs="宋体"/>
          <w:sz w:val="24"/>
          <w:szCs w:val="24"/>
          <w:highlight w:val="none"/>
          <w:lang w:bidi="ar"/>
        </w:rPr>
        <w:t>；迟延履行的违约金计算数额达到前述最高限额之日起，甲方有权在要求乙方支付违约金的同时，书面通知乙方解除本合同；</w:t>
      </w:r>
    </w:p>
    <w:p w14:paraId="63D5DB1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1.6.2除不可抗力外，如果甲方没有按照本合同约定的付款方式付款，那么乙方可要求甲方支付违约金，违约金按每迟延付款一日的应付而未付款的</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 xml:space="preserve">0.1 </w:t>
      </w:r>
      <w:r>
        <w:rPr>
          <w:rFonts w:hint="eastAsia" w:ascii="宋体" w:hAnsi="宋体" w:eastAsia="宋体"/>
          <w:sz w:val="24"/>
          <w:szCs w:val="24"/>
          <w:highlight w:val="none"/>
          <w:lang w:bidi="ar"/>
        </w:rPr>
        <w:t>%计算</w:t>
      </w:r>
      <w:r>
        <w:rPr>
          <w:rFonts w:hint="eastAsia" w:ascii="宋体" w:hAnsi="宋体" w:eastAsia="宋体" w:cs="宋体"/>
          <w:sz w:val="24"/>
          <w:szCs w:val="24"/>
          <w:highlight w:val="none"/>
          <w:lang w:bidi="ar"/>
        </w:rPr>
        <w:t>，最高限额为本合同总价的</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 xml:space="preserve">1 </w:t>
      </w:r>
      <w:r>
        <w:rPr>
          <w:rFonts w:hint="eastAsia" w:ascii="宋体" w:hAnsi="宋体" w:eastAsia="宋体"/>
          <w:sz w:val="24"/>
          <w:szCs w:val="24"/>
          <w:highlight w:val="none"/>
          <w:lang w:bidi="ar"/>
        </w:rPr>
        <w:t>%</w:t>
      </w:r>
      <w:r>
        <w:rPr>
          <w:rFonts w:hint="eastAsia" w:ascii="宋体" w:hAnsi="宋体" w:eastAsia="宋体" w:cs="宋体"/>
          <w:sz w:val="24"/>
          <w:szCs w:val="24"/>
          <w:highlight w:val="none"/>
          <w:lang w:bidi="ar"/>
        </w:rPr>
        <w:t>；迟延付款的违约金计算数额达到前述最高限额之日起，乙方有权在要求甲方支付违约金的同时，书面通知甲方解除本合同；</w:t>
      </w:r>
    </w:p>
    <w:p w14:paraId="243C87B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1062DF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03025D2">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CFFA58B">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1.6.6如果出现政府采购监督管理部门在处理投诉事项期间，书面通知甲方暂停采购活动的情形，或者询问或质疑事项可能影响中标结果的，导致甲方中止履行合同的情形，均不视为甲方违约。</w:t>
      </w:r>
    </w:p>
    <w:p w14:paraId="70BD77DE">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6B0FEE9">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1.7</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合同争议的解决</w:t>
      </w:r>
    </w:p>
    <w:p w14:paraId="340EA21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本合同履行过程中发生的任何争议，双方当事人均可通过和解或者调解解决；不愿和解、调解或者和解、调解不成的，可以选择下列第</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2</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种方式解决：</w:t>
      </w:r>
    </w:p>
    <w:p w14:paraId="01459A1D">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1.7.1将争议提交</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滁州</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仲裁委员会依申请仲裁时其现行有效的仲裁规则裁决；</w:t>
      </w:r>
    </w:p>
    <w:p w14:paraId="3AFD22B6">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1.7.2向</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甲方（采购人）所在地</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人民法院起诉。</w:t>
      </w:r>
    </w:p>
    <w:p w14:paraId="3F360BAC">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1.8</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合同生效</w:t>
      </w:r>
    </w:p>
    <w:p w14:paraId="739A14EC">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本合同自双方当事人盖章时生效。</w:t>
      </w:r>
    </w:p>
    <w:p w14:paraId="641BF54E">
      <w:pPr>
        <w:autoSpaceDE w:val="0"/>
        <w:autoSpaceDN w:val="0"/>
        <w:adjustRightInd w:val="0"/>
        <w:spacing w:line="560" w:lineRule="exact"/>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550CF99B">
      <w:pPr>
        <w:autoSpaceDE w:val="0"/>
        <w:autoSpaceDN w:val="0"/>
        <w:adjustRightInd w:val="0"/>
        <w:spacing w:line="560" w:lineRule="exact"/>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047A7BC4">
      <w:pPr>
        <w:autoSpaceDE w:val="0"/>
        <w:autoSpaceDN w:val="0"/>
        <w:adjustRightInd w:val="0"/>
        <w:spacing w:line="560" w:lineRule="exact"/>
        <w:rPr>
          <w:rFonts w:hint="eastAsia" w:ascii="宋体" w:hAnsi="宋体" w:eastAsia="宋体" w:cs="Times New Roman"/>
          <w:bCs/>
          <w:sz w:val="24"/>
          <w:szCs w:val="24"/>
          <w:highlight w:val="none"/>
        </w:rPr>
      </w:pPr>
      <w:r>
        <w:rPr>
          <w:rFonts w:hint="eastAsia" w:ascii="宋体" w:hAnsi="宋体" w:eastAsia="宋体" w:cs="宋体"/>
          <w:bCs/>
          <w:sz w:val="24"/>
          <w:szCs w:val="24"/>
          <w:highlight w:val="none"/>
          <w:lang w:bidi="ar"/>
        </w:rPr>
        <w:t>甲</w:t>
      </w:r>
      <w:r>
        <w:rPr>
          <w:rFonts w:hint="eastAsia" w:ascii="宋体" w:hAnsi="宋体" w:eastAsia="宋体" w:cs="Times New Roman"/>
          <w:bCs/>
          <w:sz w:val="24"/>
          <w:szCs w:val="24"/>
          <w:highlight w:val="none"/>
          <w:lang w:bidi="ar"/>
        </w:rPr>
        <w:t xml:space="preserve">    </w:t>
      </w:r>
      <w:r>
        <w:rPr>
          <w:rFonts w:hint="eastAsia" w:ascii="宋体" w:hAnsi="宋体" w:eastAsia="宋体" w:cs="宋体"/>
          <w:bCs/>
          <w:sz w:val="24"/>
          <w:szCs w:val="24"/>
          <w:highlight w:val="none"/>
          <w:lang w:bidi="ar"/>
        </w:rPr>
        <w:t>方：</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u w:val="single"/>
          <w:lang w:bidi="ar"/>
        </w:rPr>
        <w:t>（单位盖章）</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Times New Roman"/>
          <w:bCs/>
          <w:sz w:val="24"/>
          <w:szCs w:val="24"/>
          <w:highlight w:val="none"/>
          <w:lang w:bidi="ar"/>
        </w:rPr>
        <w:t xml:space="preserve">          </w:t>
      </w:r>
      <w:r>
        <w:rPr>
          <w:rFonts w:hint="eastAsia" w:ascii="宋体" w:hAnsi="宋体" w:eastAsia="宋体" w:cs="宋体"/>
          <w:bCs/>
          <w:sz w:val="24"/>
          <w:szCs w:val="24"/>
          <w:highlight w:val="none"/>
          <w:lang w:bidi="ar"/>
        </w:rPr>
        <w:t>乙方：</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u w:val="single"/>
          <w:lang w:bidi="ar"/>
        </w:rPr>
        <w:t>（单位盖章）</w:t>
      </w:r>
      <w:r>
        <w:rPr>
          <w:rFonts w:hint="eastAsia" w:ascii="宋体" w:hAnsi="宋体" w:eastAsia="宋体" w:cs="Times New Roman"/>
          <w:bCs/>
          <w:sz w:val="24"/>
          <w:szCs w:val="24"/>
          <w:highlight w:val="none"/>
          <w:u w:val="single"/>
          <w:lang w:bidi="ar"/>
        </w:rPr>
        <w:t xml:space="preserve">     </w:t>
      </w:r>
    </w:p>
    <w:p w14:paraId="3C2BF4DD">
      <w:pPr>
        <w:autoSpaceDE w:val="0"/>
        <w:autoSpaceDN w:val="0"/>
        <w:adjustRightInd w:val="0"/>
        <w:spacing w:line="560" w:lineRule="exact"/>
        <w:rPr>
          <w:rFonts w:hint="eastAsia" w:ascii="宋体" w:hAnsi="宋体" w:eastAsia="宋体" w:cs="Times New Roman"/>
          <w:sz w:val="24"/>
          <w:szCs w:val="24"/>
          <w:highlight w:val="none"/>
        </w:rPr>
      </w:pPr>
      <w:r>
        <w:rPr>
          <w:rFonts w:hint="eastAsia" w:ascii="宋体" w:hAnsi="宋体" w:eastAsia="宋体" w:cs="宋体"/>
          <w:sz w:val="24"/>
          <w:szCs w:val="24"/>
          <w:highlight w:val="none"/>
          <w:lang w:bidi="ar"/>
        </w:rPr>
        <w:t>法定代表人</w:t>
      </w:r>
      <w:r>
        <w:rPr>
          <w:rFonts w:hint="eastAsia" w:ascii="宋体" w:hAnsi="宋体" w:eastAsia="宋体" w:cs="Times New Roman"/>
          <w:sz w:val="24"/>
          <w:szCs w:val="24"/>
          <w:highlight w:val="none"/>
          <w:lang w:bidi="ar"/>
        </w:rPr>
        <w:t xml:space="preserve">                               </w:t>
      </w:r>
      <w:r>
        <w:rPr>
          <w:rFonts w:hint="eastAsia" w:ascii="宋体" w:hAnsi="宋体" w:eastAsia="宋体" w:cs="宋体"/>
          <w:sz w:val="24"/>
          <w:szCs w:val="24"/>
          <w:highlight w:val="none"/>
          <w:lang w:bidi="ar"/>
        </w:rPr>
        <w:t>法定代表人</w:t>
      </w:r>
    </w:p>
    <w:p w14:paraId="3F17983D">
      <w:pPr>
        <w:autoSpaceDE w:val="0"/>
        <w:autoSpaceDN w:val="0"/>
        <w:adjustRightInd w:val="0"/>
        <w:spacing w:line="560" w:lineRule="exact"/>
        <w:rPr>
          <w:rFonts w:hint="eastAsia" w:ascii="宋体" w:hAnsi="宋体" w:eastAsia="宋体" w:cs="Times New Roman"/>
          <w:sz w:val="24"/>
          <w:szCs w:val="24"/>
          <w:highlight w:val="none"/>
        </w:rPr>
      </w:pPr>
      <w:r>
        <w:rPr>
          <w:rFonts w:hint="eastAsia" w:ascii="宋体" w:hAnsi="宋体" w:eastAsia="宋体" w:cs="宋体"/>
          <w:sz w:val="24"/>
          <w:szCs w:val="24"/>
          <w:highlight w:val="none"/>
          <w:lang w:bidi="ar"/>
        </w:rPr>
        <w:t>或授权代表（签字）：</w:t>
      </w:r>
      <w:r>
        <w:rPr>
          <w:rFonts w:hint="eastAsia" w:ascii="宋体" w:hAnsi="宋体" w:eastAsia="宋体" w:cs="Times New Roman"/>
          <w:sz w:val="24"/>
          <w:szCs w:val="24"/>
          <w:highlight w:val="none"/>
          <w:lang w:bidi="ar"/>
        </w:rPr>
        <w:t xml:space="preserve">                      </w:t>
      </w:r>
      <w:r>
        <w:rPr>
          <w:rFonts w:hint="eastAsia" w:ascii="宋体" w:hAnsi="宋体" w:eastAsia="宋体" w:cs="宋体"/>
          <w:sz w:val="24"/>
          <w:szCs w:val="24"/>
          <w:highlight w:val="none"/>
          <w:lang w:bidi="ar"/>
        </w:rPr>
        <w:t>或授权代表（签字）：</w:t>
      </w:r>
    </w:p>
    <w:p w14:paraId="5614990C">
      <w:pPr>
        <w:widowControl/>
        <w:spacing w:line="560" w:lineRule="exact"/>
        <w:jc w:val="left"/>
        <w:rPr>
          <w:rFonts w:hint="eastAsia" w:ascii="宋体" w:hAnsi="宋体" w:eastAsia="宋体" w:cs="Times New Roman"/>
          <w:bCs/>
          <w:sz w:val="24"/>
          <w:szCs w:val="24"/>
          <w:highlight w:val="none"/>
        </w:rPr>
      </w:pPr>
      <w:r>
        <w:rPr>
          <w:rFonts w:hint="eastAsia" w:ascii="宋体" w:hAnsi="宋体" w:eastAsia="宋体" w:cs="宋体"/>
          <w:bCs/>
          <w:sz w:val="24"/>
          <w:szCs w:val="24"/>
          <w:highlight w:val="none"/>
          <w:lang w:bidi="ar"/>
        </w:rPr>
        <w:t>时间：</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lang w:bidi="ar"/>
        </w:rPr>
        <w:t>年</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lang w:bidi="ar"/>
        </w:rPr>
        <w:t>月</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lang w:bidi="ar"/>
        </w:rPr>
        <w:t>日</w:t>
      </w:r>
      <w:r>
        <w:rPr>
          <w:rFonts w:hint="eastAsia" w:ascii="宋体" w:hAnsi="宋体" w:eastAsia="宋体" w:cs="Times New Roman"/>
          <w:bCs/>
          <w:sz w:val="24"/>
          <w:szCs w:val="24"/>
          <w:highlight w:val="none"/>
          <w:lang w:bidi="ar"/>
        </w:rPr>
        <w:t xml:space="preserve">               </w:t>
      </w:r>
      <w:r>
        <w:rPr>
          <w:rFonts w:hint="eastAsia" w:ascii="宋体" w:hAnsi="宋体" w:eastAsia="宋体" w:cs="宋体"/>
          <w:bCs/>
          <w:sz w:val="24"/>
          <w:szCs w:val="24"/>
          <w:highlight w:val="none"/>
          <w:lang w:bidi="ar"/>
        </w:rPr>
        <w:t>时间：</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lang w:bidi="ar"/>
        </w:rPr>
        <w:t>年</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lang w:bidi="ar"/>
        </w:rPr>
        <w:t>月</w:t>
      </w:r>
      <w:r>
        <w:rPr>
          <w:rFonts w:hint="eastAsia" w:ascii="宋体" w:hAnsi="宋体" w:eastAsia="宋体" w:cs="Times New Roman"/>
          <w:bCs/>
          <w:sz w:val="24"/>
          <w:szCs w:val="24"/>
          <w:highlight w:val="none"/>
          <w:u w:val="single"/>
          <w:lang w:bidi="ar"/>
        </w:rPr>
        <w:t xml:space="preserve">    </w:t>
      </w:r>
      <w:r>
        <w:rPr>
          <w:rFonts w:hint="eastAsia" w:ascii="宋体" w:hAnsi="宋体" w:eastAsia="宋体" w:cs="宋体"/>
          <w:bCs/>
          <w:sz w:val="24"/>
          <w:szCs w:val="24"/>
          <w:highlight w:val="none"/>
          <w:lang w:bidi="ar"/>
        </w:rPr>
        <w:t>日</w:t>
      </w:r>
    </w:p>
    <w:p w14:paraId="0A6F74F2">
      <w:pPr>
        <w:widowControl/>
        <w:spacing w:line="560" w:lineRule="exact"/>
        <w:jc w:val="left"/>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bidi="ar"/>
        </w:rPr>
        <w:t xml:space="preserve">                                        </w:t>
      </w:r>
      <w:r>
        <w:rPr>
          <w:rFonts w:hint="eastAsia" w:ascii="宋体" w:hAnsi="宋体" w:eastAsia="宋体" w:cs="宋体"/>
          <w:bCs/>
          <w:sz w:val="24"/>
          <w:szCs w:val="24"/>
          <w:highlight w:val="none"/>
          <w:lang w:bidi="ar"/>
        </w:rPr>
        <w:t>乙方账户信息</w:t>
      </w:r>
    </w:p>
    <w:p w14:paraId="3CE568F4">
      <w:pPr>
        <w:widowControl/>
        <w:spacing w:line="560" w:lineRule="exact"/>
        <w:jc w:val="left"/>
        <w:rPr>
          <w:rFonts w:hint="eastAsia" w:ascii="宋体" w:hAnsi="宋体" w:eastAsia="宋体" w:cs="Times New Roman"/>
          <w:bCs/>
          <w:sz w:val="24"/>
          <w:szCs w:val="24"/>
          <w:highlight w:val="none"/>
          <w:u w:val="single"/>
        </w:rPr>
      </w:pPr>
      <w:r>
        <w:rPr>
          <w:rFonts w:hint="eastAsia" w:ascii="宋体" w:hAnsi="宋体" w:eastAsia="宋体" w:cs="Times New Roman"/>
          <w:bCs/>
          <w:sz w:val="24"/>
          <w:szCs w:val="24"/>
          <w:highlight w:val="none"/>
          <w:lang w:bidi="ar"/>
        </w:rPr>
        <w:t xml:space="preserve">                                        </w:t>
      </w:r>
      <w:r>
        <w:rPr>
          <w:rFonts w:hint="eastAsia" w:ascii="宋体" w:hAnsi="宋体" w:eastAsia="宋体" w:cs="宋体"/>
          <w:bCs/>
          <w:sz w:val="24"/>
          <w:szCs w:val="24"/>
          <w:highlight w:val="none"/>
          <w:lang w:bidi="ar"/>
        </w:rPr>
        <w:t>户名：</w:t>
      </w:r>
      <w:r>
        <w:rPr>
          <w:rFonts w:hint="eastAsia" w:ascii="宋体" w:hAnsi="宋体" w:eastAsia="宋体" w:cs="Times New Roman"/>
          <w:bCs/>
          <w:sz w:val="24"/>
          <w:szCs w:val="24"/>
          <w:highlight w:val="none"/>
          <w:u w:val="single"/>
          <w:lang w:bidi="ar"/>
        </w:rPr>
        <w:t xml:space="preserve">                    </w:t>
      </w:r>
    </w:p>
    <w:p w14:paraId="7A6FB668">
      <w:pPr>
        <w:widowControl/>
        <w:spacing w:line="560" w:lineRule="exact"/>
        <w:jc w:val="left"/>
        <w:rPr>
          <w:rFonts w:hint="eastAsia" w:ascii="宋体" w:hAnsi="宋体" w:eastAsia="宋体" w:cs="Times New Roman"/>
          <w:bCs/>
          <w:sz w:val="24"/>
          <w:szCs w:val="24"/>
          <w:highlight w:val="none"/>
          <w:u w:val="single"/>
        </w:rPr>
      </w:pPr>
      <w:r>
        <w:rPr>
          <w:rFonts w:hint="eastAsia" w:ascii="宋体" w:hAnsi="宋体" w:eastAsia="宋体" w:cs="Times New Roman"/>
          <w:bCs/>
          <w:sz w:val="24"/>
          <w:szCs w:val="24"/>
          <w:highlight w:val="none"/>
          <w:lang w:bidi="ar"/>
        </w:rPr>
        <w:t xml:space="preserve">                                        </w:t>
      </w:r>
      <w:r>
        <w:rPr>
          <w:rFonts w:hint="eastAsia" w:ascii="宋体" w:hAnsi="宋体" w:eastAsia="宋体" w:cs="宋体"/>
          <w:bCs/>
          <w:sz w:val="24"/>
          <w:szCs w:val="24"/>
          <w:highlight w:val="none"/>
          <w:lang w:bidi="ar"/>
        </w:rPr>
        <w:t>账号：</w:t>
      </w:r>
      <w:r>
        <w:rPr>
          <w:rFonts w:hint="eastAsia" w:ascii="宋体" w:hAnsi="宋体" w:eastAsia="宋体" w:cs="Times New Roman"/>
          <w:bCs/>
          <w:sz w:val="24"/>
          <w:szCs w:val="24"/>
          <w:highlight w:val="none"/>
          <w:u w:val="single"/>
          <w:lang w:bidi="ar"/>
        </w:rPr>
        <w:t xml:space="preserve">                    </w:t>
      </w:r>
    </w:p>
    <w:p w14:paraId="5777CEB3">
      <w:pPr>
        <w:widowControl/>
        <w:spacing w:line="560" w:lineRule="exact"/>
        <w:jc w:val="left"/>
        <w:rPr>
          <w:rFonts w:hint="eastAsia" w:ascii="宋体" w:hAnsi="宋体" w:eastAsia="宋体" w:cs="Times New Roman"/>
          <w:bCs/>
          <w:sz w:val="24"/>
          <w:szCs w:val="24"/>
          <w:highlight w:val="none"/>
          <w:u w:val="single"/>
        </w:rPr>
      </w:pPr>
      <w:r>
        <w:rPr>
          <w:rFonts w:hint="eastAsia" w:ascii="宋体" w:hAnsi="宋体" w:eastAsia="宋体" w:cs="Times New Roman"/>
          <w:bCs/>
          <w:sz w:val="24"/>
          <w:szCs w:val="24"/>
          <w:highlight w:val="none"/>
          <w:lang w:bidi="ar"/>
        </w:rPr>
        <w:t xml:space="preserve">                                        </w:t>
      </w:r>
      <w:r>
        <w:rPr>
          <w:rFonts w:hint="eastAsia" w:ascii="宋体" w:hAnsi="宋体" w:eastAsia="宋体" w:cs="宋体"/>
          <w:bCs/>
          <w:sz w:val="24"/>
          <w:szCs w:val="24"/>
          <w:highlight w:val="none"/>
          <w:lang w:bidi="ar"/>
        </w:rPr>
        <w:t>开户银行：</w:t>
      </w:r>
      <w:r>
        <w:rPr>
          <w:rFonts w:hint="eastAsia" w:ascii="宋体" w:hAnsi="宋体" w:eastAsia="宋体" w:cs="Times New Roman"/>
          <w:bCs/>
          <w:sz w:val="24"/>
          <w:szCs w:val="24"/>
          <w:highlight w:val="none"/>
          <w:u w:val="single"/>
          <w:lang w:bidi="ar"/>
        </w:rPr>
        <w:t xml:space="preserve">                </w:t>
      </w:r>
    </w:p>
    <w:p w14:paraId="284ED419">
      <w:pPr>
        <w:widowControl/>
        <w:jc w:val="left"/>
        <w:rPr>
          <w:rFonts w:hint="eastAsia" w:ascii="宋体" w:hAnsi="宋体" w:eastAsia="宋体"/>
          <w:b/>
          <w:sz w:val="24"/>
          <w:szCs w:val="24"/>
          <w:highlight w:val="none"/>
        </w:rPr>
      </w:pPr>
      <w:r>
        <w:rPr>
          <w:rFonts w:hint="eastAsia" w:ascii="宋体" w:hAnsi="宋体" w:eastAsia="宋体"/>
          <w:b/>
          <w:sz w:val="24"/>
          <w:szCs w:val="24"/>
          <w:highlight w:val="none"/>
          <w:lang w:bidi="ar"/>
        </w:rPr>
        <w:br w:type="page"/>
      </w:r>
    </w:p>
    <w:p w14:paraId="0AFA7799">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bidi="ar"/>
        </w:rPr>
        <w:t>第二部分</w:t>
      </w:r>
      <w:r>
        <w:rPr>
          <w:rFonts w:hint="eastAsia" w:ascii="宋体" w:hAnsi="宋体" w:eastAsia="宋体"/>
          <w:b/>
          <w:sz w:val="24"/>
          <w:szCs w:val="24"/>
          <w:highlight w:val="none"/>
          <w:lang w:bidi="ar"/>
        </w:rPr>
        <w:t xml:space="preserve"> </w:t>
      </w:r>
      <w:r>
        <w:rPr>
          <w:rFonts w:hint="eastAsia" w:ascii="宋体" w:hAnsi="宋体" w:eastAsia="宋体" w:cs="宋体"/>
          <w:b/>
          <w:sz w:val="24"/>
          <w:szCs w:val="24"/>
          <w:highlight w:val="none"/>
          <w:lang w:bidi="ar"/>
        </w:rPr>
        <w:t>合同一般条款</w:t>
      </w:r>
    </w:p>
    <w:p w14:paraId="2E77E272">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2.1</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定义</w:t>
      </w:r>
    </w:p>
    <w:p w14:paraId="12ACD78C">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本合同中的下列词语应按以下内容进行解释：</w:t>
      </w:r>
    </w:p>
    <w:p w14:paraId="72AFF95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2.1.1“合同”系指采购人和中标人签订的载明双方当事人所达成的协议，并包括所有的附件、附录和构成合同的其他文件。</w:t>
      </w:r>
    </w:p>
    <w:p w14:paraId="5A3B09C1">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2.1.2“合同价”系指根据合同约定，中标人在完全履行合同义务后，采购人应支付给中标人的价格。</w:t>
      </w:r>
    </w:p>
    <w:p w14:paraId="18DA665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2.1.3“服务”系指中标人根据合同约定应向采购人履行的除货物和工程以外的其他政府采购对象，包括采购人自身需要的服务和向社会公众提供的公共服务。</w:t>
      </w:r>
    </w:p>
    <w:p w14:paraId="2274B10B">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2.1.4“甲方”系指与中标人签署合同的采购人；采购人委托采购代理机构代表其与乙方签订合同的，采购人的授权委托书作为合同附件。</w:t>
      </w:r>
    </w:p>
    <w:p w14:paraId="5EDEEE40">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446C6C6">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2.1.6“现场”系指合同约定提供服务的地点。</w:t>
      </w:r>
    </w:p>
    <w:p w14:paraId="23421E0D">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w:t>
      </w:r>
      <w:r>
        <w:rPr>
          <w:rFonts w:hint="eastAsia" w:ascii="宋体" w:hAnsi="宋体" w:eastAsia="宋体"/>
          <w:b/>
          <w:bCs/>
          <w:sz w:val="24"/>
          <w:szCs w:val="24"/>
          <w:highlight w:val="none"/>
          <w:lang w:bidi="ar"/>
        </w:rPr>
        <w:t>2 技术规范</w:t>
      </w:r>
    </w:p>
    <w:p w14:paraId="08CB2F91">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8EAB549">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w:t>
      </w:r>
      <w:r>
        <w:rPr>
          <w:rFonts w:hint="eastAsia" w:ascii="宋体" w:hAnsi="宋体" w:eastAsia="宋体"/>
          <w:b/>
          <w:bCs/>
          <w:sz w:val="24"/>
          <w:szCs w:val="24"/>
          <w:highlight w:val="none"/>
          <w:lang w:bidi="ar"/>
        </w:rPr>
        <w:t>3 知识产权</w:t>
      </w:r>
    </w:p>
    <w:p w14:paraId="0CE63718">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7F9DF29C">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2.3.2具有知识产权的计算机软件等货物的知识产权归属，详见</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w:t>
      </w:r>
    </w:p>
    <w:p w14:paraId="5DD8984D">
      <w:pPr>
        <w:spacing w:line="360" w:lineRule="auto"/>
        <w:ind w:firstLine="437"/>
        <w:outlineLvl w:val="2"/>
        <w:rPr>
          <w:rFonts w:hint="eastAsia" w:ascii="宋体" w:hAnsi="宋体" w:eastAsia="宋体"/>
          <w:b/>
          <w:sz w:val="24"/>
          <w:szCs w:val="24"/>
          <w:highlight w:val="none"/>
        </w:rPr>
      </w:pPr>
      <w:r>
        <w:rPr>
          <w:rFonts w:hint="eastAsia" w:ascii="宋体" w:hAnsi="宋体" w:eastAsia="宋体" w:cs="宋体"/>
          <w:b/>
          <w:bCs/>
          <w:sz w:val="24"/>
          <w:szCs w:val="24"/>
          <w:highlight w:val="none"/>
          <w:lang w:bidi="ar"/>
        </w:rPr>
        <w:t>2.4</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履约检查和问题反馈</w:t>
      </w:r>
    </w:p>
    <w:p w14:paraId="728137C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2.4.1甲方有权在其认为必要时，对乙方是否能够按照合同约定提供服务进行履约检查，以确保乙方所提供的服务能够依约满足甲方项目需求，但不得因履约检查妨碍乙方的正常工作，乙方应予积极配合；</w:t>
      </w:r>
    </w:p>
    <w:p w14:paraId="5B5E2CFF">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2.4.2合同履行期间，甲方有权将履行过程中出现的问题反馈给乙方，双方当事人应以书面形式约定需要完善和改进的内容。</w:t>
      </w:r>
    </w:p>
    <w:p w14:paraId="31D0C273">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2.5</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结算方式和付款条件</w:t>
      </w:r>
    </w:p>
    <w:p w14:paraId="0817988B">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详见</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w:t>
      </w:r>
    </w:p>
    <w:p w14:paraId="4057EB2F">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2.6</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技术资料和保密义务</w:t>
      </w:r>
    </w:p>
    <w:p w14:paraId="6BEF32C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2.6.1乙方有权依据合同约定和项目需要，向甲方了解有关情况，调阅有关资料等，甲方应予积极配合；</w:t>
      </w:r>
    </w:p>
    <w:p w14:paraId="631BAD0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2.6.2乙方有义务妥善保管和保护由甲方提供的前款信息和资料等；</w:t>
      </w:r>
    </w:p>
    <w:p w14:paraId="2A9E21A8">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8ABCC4D">
      <w:pPr>
        <w:spacing w:line="360" w:lineRule="auto"/>
        <w:ind w:firstLine="437"/>
        <w:outlineLvl w:val="2"/>
        <w:rPr>
          <w:rFonts w:hint="eastAsia" w:ascii="宋体" w:hAnsi="宋体" w:eastAsia="宋体"/>
          <w:b/>
          <w:bCs/>
          <w:sz w:val="24"/>
          <w:szCs w:val="24"/>
          <w:highlight w:val="none"/>
        </w:rPr>
      </w:pPr>
      <w:r>
        <w:rPr>
          <w:rFonts w:hint="eastAsia" w:ascii="宋体" w:hAnsi="宋体" w:eastAsia="宋体"/>
          <w:b/>
          <w:bCs/>
          <w:sz w:val="24"/>
          <w:szCs w:val="24"/>
          <w:highlight w:val="none"/>
          <w:lang w:bidi="ar"/>
        </w:rPr>
        <w:t>2.</w:t>
      </w:r>
      <w:r>
        <w:rPr>
          <w:rFonts w:hint="eastAsia" w:ascii="宋体" w:hAnsi="宋体" w:eastAsia="宋体" w:cs="宋体"/>
          <w:b/>
          <w:bCs/>
          <w:sz w:val="24"/>
          <w:szCs w:val="24"/>
          <w:highlight w:val="none"/>
          <w:lang w:bidi="ar"/>
        </w:rPr>
        <w:t>7</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质量保证</w:t>
      </w:r>
    </w:p>
    <w:p w14:paraId="6E9C24D5">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2.7.1乙方应建立和完善履行合同的内部质量保证体系，并提供相关内部规章制度给甲方，以便甲方进行监督检查；</w:t>
      </w:r>
    </w:p>
    <w:p w14:paraId="49DD2D65">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2.7.2乙方应保证履行合同的人员数量和素质、软件和硬件设备的配置、场地、环境和设施等满足全面履行合同的要求，保证完全满足甲方采购需求，并应接受甲方的监督检查。</w:t>
      </w:r>
    </w:p>
    <w:p w14:paraId="1BD1D74F">
      <w:pPr>
        <w:spacing w:line="360" w:lineRule="auto"/>
        <w:ind w:firstLine="437"/>
        <w:outlineLvl w:val="2"/>
        <w:rPr>
          <w:rFonts w:hint="eastAsia" w:ascii="宋体" w:hAnsi="宋体" w:eastAsia="宋体"/>
          <w:b/>
          <w:bCs/>
          <w:sz w:val="24"/>
          <w:szCs w:val="24"/>
          <w:highlight w:val="none"/>
        </w:rPr>
      </w:pPr>
      <w:r>
        <w:rPr>
          <w:rFonts w:hint="eastAsia" w:ascii="宋体" w:hAnsi="宋体" w:eastAsia="宋体"/>
          <w:b/>
          <w:bCs/>
          <w:sz w:val="24"/>
          <w:szCs w:val="24"/>
          <w:highlight w:val="none"/>
          <w:lang w:bidi="ar"/>
        </w:rPr>
        <w:t>2.</w:t>
      </w:r>
      <w:r>
        <w:rPr>
          <w:rFonts w:hint="eastAsia" w:ascii="宋体" w:hAnsi="宋体" w:eastAsia="宋体" w:cs="宋体"/>
          <w:b/>
          <w:bCs/>
          <w:sz w:val="24"/>
          <w:szCs w:val="24"/>
          <w:highlight w:val="none"/>
          <w:lang w:bidi="ar"/>
        </w:rPr>
        <w:t>8</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延迟履行</w:t>
      </w:r>
    </w:p>
    <w:p w14:paraId="3923B90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5E4A461">
      <w:pPr>
        <w:spacing w:line="360" w:lineRule="auto"/>
        <w:ind w:firstLine="437"/>
        <w:outlineLvl w:val="2"/>
        <w:rPr>
          <w:rFonts w:hint="eastAsia" w:ascii="宋体" w:hAnsi="宋体" w:eastAsia="宋体"/>
          <w:b/>
          <w:bCs/>
          <w:sz w:val="24"/>
          <w:szCs w:val="24"/>
          <w:highlight w:val="none"/>
        </w:rPr>
      </w:pPr>
      <w:r>
        <w:rPr>
          <w:rFonts w:hint="eastAsia" w:ascii="宋体" w:hAnsi="宋体" w:eastAsia="宋体"/>
          <w:b/>
          <w:bCs/>
          <w:sz w:val="24"/>
          <w:szCs w:val="24"/>
          <w:highlight w:val="none"/>
          <w:lang w:bidi="ar"/>
        </w:rPr>
        <w:t>2.</w:t>
      </w:r>
      <w:r>
        <w:rPr>
          <w:rFonts w:hint="eastAsia" w:ascii="宋体" w:hAnsi="宋体" w:eastAsia="宋体" w:cs="宋体"/>
          <w:b/>
          <w:bCs/>
          <w:sz w:val="24"/>
          <w:szCs w:val="24"/>
          <w:highlight w:val="none"/>
          <w:lang w:bidi="ar"/>
        </w:rPr>
        <w:t>9</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合同变更</w:t>
      </w:r>
    </w:p>
    <w:p w14:paraId="382A67D5">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2.9.1双方当事人协商一致，可以签订书面补充合同的形式变更合同，但不得违背采购文件确定的事项；</w:t>
      </w:r>
    </w:p>
    <w:p w14:paraId="4E484B25">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2.9.2合同继续履行将损害国家利益和社会公共利益的，双方当事人应当以书面形式变更合同。有过错的一方应当承担赔偿责任，双方当事人都有过错的，各自承担相应的责任。</w:t>
      </w:r>
    </w:p>
    <w:p w14:paraId="3B190C26">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2.10</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合同转让和分包</w:t>
      </w:r>
    </w:p>
    <w:p w14:paraId="4BFAF0EE">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E1D1857">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2.11</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不可抗力</w:t>
      </w:r>
    </w:p>
    <w:p w14:paraId="32D24F1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2.11.1如果任何一方遭遇法律规定的不可抗力，致使合同履行受阻时，履行合同的期限应予延长，延长的期限应相当于不可抗力所影响的时间；</w:t>
      </w:r>
    </w:p>
    <w:p w14:paraId="484EDF0A">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2.11.2因不可抗力致使不能实现合同目的的，当事人可以解除合同；</w:t>
      </w:r>
    </w:p>
    <w:p w14:paraId="114B7D5B">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2.11.3因不可抗力致使合同有变更必要的，双方当事人应在</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约定时间内以书面形式变更合同；</w:t>
      </w:r>
    </w:p>
    <w:p w14:paraId="23314878">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2.11</w:t>
      </w:r>
      <w:r>
        <w:rPr>
          <w:rFonts w:hint="eastAsia" w:ascii="宋体" w:hAnsi="宋体" w:eastAsia="宋体"/>
          <w:sz w:val="24"/>
          <w:szCs w:val="24"/>
          <w:highlight w:val="none"/>
          <w:lang w:bidi="ar"/>
        </w:rPr>
        <w:t>.</w:t>
      </w:r>
      <w:r>
        <w:rPr>
          <w:rFonts w:hint="eastAsia" w:ascii="宋体" w:hAnsi="宋体" w:eastAsia="宋体" w:cs="宋体"/>
          <w:sz w:val="24"/>
          <w:szCs w:val="24"/>
          <w:highlight w:val="none"/>
          <w:lang w:bidi="ar"/>
        </w:rPr>
        <w:t>4受不可抗力影响的一方在不可抗力发生后，应在</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约定时间内以书面形式通知对方当事人，并在</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约定时间内，将有关部门出具的证明文件送达对方当事人。</w:t>
      </w:r>
    </w:p>
    <w:p w14:paraId="34FFC347">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w:t>
      </w:r>
      <w:r>
        <w:rPr>
          <w:rFonts w:hint="eastAsia" w:ascii="宋体" w:hAnsi="宋体" w:eastAsia="宋体"/>
          <w:b/>
          <w:bCs/>
          <w:sz w:val="24"/>
          <w:szCs w:val="24"/>
          <w:highlight w:val="none"/>
          <w:lang w:bidi="ar"/>
        </w:rPr>
        <w:t>1</w:t>
      </w:r>
      <w:r>
        <w:rPr>
          <w:rFonts w:hint="eastAsia" w:ascii="宋体" w:hAnsi="宋体" w:eastAsia="宋体" w:cs="宋体"/>
          <w:b/>
          <w:bCs/>
          <w:sz w:val="24"/>
          <w:szCs w:val="24"/>
          <w:highlight w:val="none"/>
          <w:lang w:bidi="ar"/>
        </w:rPr>
        <w:t>2</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税费</w:t>
      </w:r>
    </w:p>
    <w:p w14:paraId="75B6B71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与合同有关的一切税费，均按照中华人民共和国法律的相关规定缴纳。</w:t>
      </w:r>
    </w:p>
    <w:p w14:paraId="582DF830">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w:t>
      </w:r>
      <w:r>
        <w:rPr>
          <w:rFonts w:hint="eastAsia" w:ascii="宋体" w:hAnsi="宋体" w:eastAsia="宋体"/>
          <w:b/>
          <w:bCs/>
          <w:sz w:val="24"/>
          <w:szCs w:val="24"/>
          <w:highlight w:val="none"/>
          <w:lang w:bidi="ar"/>
        </w:rPr>
        <w:t>1</w:t>
      </w:r>
      <w:r>
        <w:rPr>
          <w:rFonts w:hint="eastAsia" w:ascii="宋体" w:hAnsi="宋体" w:eastAsia="宋体" w:cs="宋体"/>
          <w:b/>
          <w:bCs/>
          <w:sz w:val="24"/>
          <w:szCs w:val="24"/>
          <w:highlight w:val="none"/>
          <w:lang w:bidi="ar"/>
        </w:rPr>
        <w:t>3</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乙方破产</w:t>
      </w:r>
    </w:p>
    <w:p w14:paraId="3A70E71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4FFD8BB">
      <w:pPr>
        <w:spacing w:line="360" w:lineRule="auto"/>
        <w:ind w:firstLine="437"/>
        <w:outlineLvl w:val="2"/>
        <w:rPr>
          <w:rFonts w:hint="eastAsia" w:ascii="宋体" w:hAnsi="宋体" w:eastAsia="宋体"/>
          <w:b/>
          <w:sz w:val="24"/>
          <w:szCs w:val="24"/>
          <w:highlight w:val="none"/>
        </w:rPr>
      </w:pPr>
      <w:r>
        <w:rPr>
          <w:rFonts w:hint="eastAsia" w:ascii="宋体" w:hAnsi="宋体" w:eastAsia="宋体" w:cs="宋体"/>
          <w:b/>
          <w:bCs/>
          <w:sz w:val="24"/>
          <w:szCs w:val="24"/>
          <w:highlight w:val="none"/>
          <w:lang w:bidi="ar"/>
        </w:rPr>
        <w:t>2.14</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合同中止、终止</w:t>
      </w:r>
    </w:p>
    <w:p w14:paraId="362F62A9">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2.14.1双方当事人不得擅自中止或者终止合同；</w:t>
      </w:r>
    </w:p>
    <w:p w14:paraId="12CF7C11">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2.14.2合同继续履行将损害国家利益和社会公共利益的，双方当事人应当中止或者终止合同。有过错的一方应当承担赔偿责任，双方当事人都有过错的，各自承担相应的责任。</w:t>
      </w:r>
    </w:p>
    <w:p w14:paraId="40FDBC01">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2.15</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检验和验收</w:t>
      </w:r>
    </w:p>
    <w:p w14:paraId="34DB5908">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w:t>
      </w:r>
      <w:r>
        <w:rPr>
          <w:rFonts w:hint="eastAsia" w:ascii="宋体" w:hAnsi="宋体" w:eastAsia="宋体"/>
          <w:sz w:val="24"/>
          <w:szCs w:val="24"/>
          <w:highlight w:val="none"/>
          <w:lang w:bidi="ar"/>
        </w:rPr>
        <w:t>1</w:t>
      </w:r>
      <w:r>
        <w:rPr>
          <w:rFonts w:hint="eastAsia" w:ascii="宋体" w:hAnsi="宋体" w:eastAsia="宋体" w:cs="宋体"/>
          <w:sz w:val="24"/>
          <w:szCs w:val="24"/>
          <w:highlight w:val="none"/>
          <w:lang w:bidi="ar"/>
        </w:rPr>
        <w:t>5</w:t>
      </w:r>
      <w:r>
        <w:rPr>
          <w:rFonts w:hint="eastAsia" w:ascii="宋体" w:hAnsi="宋体" w:eastAsia="宋体"/>
          <w:sz w:val="24"/>
          <w:szCs w:val="24"/>
          <w:highlight w:val="none"/>
          <w:lang w:bidi="ar"/>
        </w:rPr>
        <w:t>.</w:t>
      </w:r>
      <w:r>
        <w:rPr>
          <w:rFonts w:hint="eastAsia" w:ascii="宋体" w:hAnsi="宋体" w:eastAsia="宋体" w:cs="宋体"/>
          <w:sz w:val="24"/>
          <w:szCs w:val="24"/>
          <w:highlight w:val="none"/>
          <w:lang w:bidi="ar"/>
        </w:rPr>
        <w:t>1乙方按照</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的约定，定期提交服务报告，甲方按照</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的约定进行定期验收；</w:t>
      </w:r>
    </w:p>
    <w:p w14:paraId="5666B4B0">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A3047CF">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2.15.3检验和验收标准、程序等具体内容以及前述验收书的效力详见</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i/>
          <w:sz w:val="24"/>
          <w:szCs w:val="24"/>
          <w:highlight w:val="none"/>
          <w:lang w:bidi="ar"/>
        </w:rPr>
        <w:t>。</w:t>
      </w:r>
    </w:p>
    <w:p w14:paraId="1D25A959">
      <w:pPr>
        <w:spacing w:line="360" w:lineRule="auto"/>
        <w:ind w:firstLine="437"/>
        <w:outlineLvl w:val="2"/>
        <w:rPr>
          <w:rFonts w:hint="eastAsia" w:ascii="宋体" w:hAnsi="宋体" w:eastAsia="宋体"/>
          <w:b/>
          <w:bCs/>
          <w:sz w:val="24"/>
          <w:szCs w:val="24"/>
          <w:highlight w:val="none"/>
        </w:rPr>
      </w:pPr>
      <w:r>
        <w:rPr>
          <w:rFonts w:hint="eastAsia" w:ascii="宋体" w:hAnsi="宋体" w:eastAsia="宋体" w:cs="宋体"/>
          <w:b/>
          <w:bCs/>
          <w:sz w:val="24"/>
          <w:szCs w:val="24"/>
          <w:highlight w:val="none"/>
          <w:lang w:bidi="ar"/>
        </w:rPr>
        <w:t>2.16 合同使用的文字和适用的法律</w:t>
      </w:r>
    </w:p>
    <w:p w14:paraId="43E17589">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2.16.1合同使用汉语书就、变更和解释；</w:t>
      </w:r>
    </w:p>
    <w:p w14:paraId="2116B45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2.16.2合同适用中华人民共和国法律。</w:t>
      </w:r>
    </w:p>
    <w:p w14:paraId="1EB65CE0">
      <w:pPr>
        <w:spacing w:line="360" w:lineRule="auto"/>
        <w:ind w:firstLine="437"/>
        <w:outlineLvl w:val="2"/>
        <w:rPr>
          <w:rFonts w:hint="eastAsia" w:ascii="宋体" w:hAnsi="宋体" w:eastAsia="宋体"/>
          <w:b/>
          <w:sz w:val="24"/>
          <w:szCs w:val="24"/>
          <w:highlight w:val="none"/>
        </w:rPr>
      </w:pPr>
      <w:r>
        <w:rPr>
          <w:rFonts w:hint="eastAsia" w:ascii="宋体" w:hAnsi="宋体" w:eastAsia="宋体" w:cs="宋体"/>
          <w:b/>
          <w:bCs/>
          <w:sz w:val="24"/>
          <w:szCs w:val="24"/>
          <w:highlight w:val="none"/>
          <w:lang w:bidi="ar"/>
        </w:rPr>
        <w:t>2.17</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履约保证金</w:t>
      </w:r>
    </w:p>
    <w:p w14:paraId="6C9FA2D4">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2.17.1采购文件要求乙方提交履约保证金的，乙方应按</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约定的方式，以支票、汇票、本票或者金融机构、担保机构出具的保函等非现金形式提交；</w:t>
      </w:r>
    </w:p>
    <w:p w14:paraId="44D80965">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2.17</w:t>
      </w:r>
      <w:r>
        <w:rPr>
          <w:rFonts w:hint="eastAsia" w:ascii="宋体" w:hAnsi="宋体" w:eastAsia="宋体"/>
          <w:sz w:val="24"/>
          <w:szCs w:val="24"/>
          <w:highlight w:val="none"/>
          <w:lang w:bidi="ar"/>
        </w:rPr>
        <w:t>.2</w:t>
      </w:r>
      <w:r>
        <w:rPr>
          <w:rFonts w:hint="eastAsia" w:ascii="宋体" w:hAnsi="宋体" w:eastAsia="宋体" w:cs="宋体"/>
          <w:sz w:val="24"/>
          <w:szCs w:val="24"/>
          <w:highlight w:val="none"/>
          <w:lang w:bidi="ar"/>
        </w:rPr>
        <w:t>履约保证金在</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约定期间内不予退还或者应完全有效，前述约定期间届满之日起</w:t>
      </w:r>
      <w:r>
        <w:rPr>
          <w:rFonts w:hint="eastAsia" w:ascii="宋体" w:hAnsi="宋体" w:eastAsia="宋体" w:cs="Times New Roman"/>
          <w:sz w:val="24"/>
          <w:szCs w:val="24"/>
          <w:highlight w:val="none"/>
          <w:u w:val="single"/>
          <w:lang w:bidi="ar"/>
        </w:rPr>
        <w:t xml:space="preserve">  </w:t>
      </w:r>
      <w:r>
        <w:rPr>
          <w:rFonts w:hint="eastAsia" w:ascii="宋体" w:hAnsi="宋体" w:eastAsia="宋体" w:cs="宋体"/>
          <w:sz w:val="24"/>
          <w:szCs w:val="24"/>
          <w:highlight w:val="none"/>
          <w:lang w:bidi="ar"/>
        </w:rPr>
        <w:t>个工作日内，甲方应将履约保证金退还乙方，甲方逾期退还履约保证金应承担违约责任。</w:t>
      </w:r>
    </w:p>
    <w:p w14:paraId="56D6B357">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4C67681">
      <w:pPr>
        <w:spacing w:line="360" w:lineRule="auto"/>
        <w:ind w:firstLine="437"/>
        <w:outlineLvl w:val="2"/>
        <w:rPr>
          <w:rFonts w:hint="eastAsia" w:ascii="宋体" w:hAnsi="宋体" w:eastAsia="宋体"/>
          <w:b/>
          <w:sz w:val="24"/>
          <w:szCs w:val="24"/>
          <w:highlight w:val="none"/>
        </w:rPr>
      </w:pPr>
      <w:r>
        <w:rPr>
          <w:rFonts w:hint="eastAsia" w:ascii="宋体" w:hAnsi="宋体" w:eastAsia="宋体" w:cs="宋体"/>
          <w:b/>
          <w:bCs/>
          <w:sz w:val="24"/>
          <w:szCs w:val="24"/>
          <w:highlight w:val="none"/>
          <w:lang w:bidi="ar"/>
        </w:rPr>
        <w:t>2.18</w:t>
      </w:r>
      <w:r>
        <w:rPr>
          <w:rFonts w:hint="eastAsia" w:ascii="宋体" w:hAnsi="宋体" w:eastAsia="宋体"/>
          <w:b/>
          <w:bCs/>
          <w:sz w:val="24"/>
          <w:szCs w:val="24"/>
          <w:highlight w:val="none"/>
          <w:lang w:bidi="ar"/>
        </w:rPr>
        <w:t xml:space="preserve"> </w:t>
      </w:r>
      <w:r>
        <w:rPr>
          <w:rFonts w:hint="eastAsia" w:ascii="宋体" w:hAnsi="宋体" w:eastAsia="宋体" w:cs="宋体"/>
          <w:b/>
          <w:bCs/>
          <w:sz w:val="24"/>
          <w:szCs w:val="24"/>
          <w:highlight w:val="none"/>
          <w:lang w:bidi="ar"/>
        </w:rPr>
        <w:t>合同份数</w:t>
      </w:r>
    </w:p>
    <w:p w14:paraId="25371613">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合同份数按</w:t>
      </w:r>
      <w:r>
        <w:rPr>
          <w:rFonts w:hint="eastAsia" w:ascii="宋体" w:hAnsi="宋体" w:eastAsia="宋体" w:cs="宋体"/>
          <w:b/>
          <w:i/>
          <w:sz w:val="24"/>
          <w:szCs w:val="24"/>
          <w:highlight w:val="none"/>
          <w:u w:val="single"/>
          <w:lang w:bidi="ar"/>
        </w:rPr>
        <w:t>合同专用条款</w:t>
      </w:r>
      <w:r>
        <w:rPr>
          <w:rFonts w:hint="eastAsia" w:ascii="宋体" w:hAnsi="宋体" w:eastAsia="宋体" w:cs="宋体"/>
          <w:sz w:val="24"/>
          <w:szCs w:val="24"/>
          <w:highlight w:val="none"/>
          <w:lang w:bidi="ar"/>
        </w:rPr>
        <w:t>规定，每份均具有同等法律效力。</w:t>
      </w:r>
    </w:p>
    <w:p w14:paraId="618B58D3">
      <w:pPr>
        <w:spacing w:line="360" w:lineRule="auto"/>
        <w:jc w:val="center"/>
        <w:outlineLvl w:val="1"/>
        <w:rPr>
          <w:rFonts w:hint="eastAsia" w:ascii="宋体" w:hAnsi="宋体" w:eastAsia="宋体"/>
          <w:b/>
          <w:sz w:val="24"/>
          <w:szCs w:val="24"/>
          <w:highlight w:val="none"/>
        </w:rPr>
      </w:pPr>
      <w:r>
        <w:rPr>
          <w:rFonts w:hint="eastAsia" w:ascii="宋体" w:hAnsi="宋体" w:eastAsia="宋体"/>
          <w:sz w:val="24"/>
          <w:szCs w:val="24"/>
          <w:highlight w:val="none"/>
          <w:lang w:bidi="ar"/>
        </w:rPr>
        <w:br w:type="page"/>
      </w:r>
      <w:r>
        <w:rPr>
          <w:rFonts w:hint="eastAsia" w:ascii="宋体" w:hAnsi="宋体" w:eastAsia="宋体" w:cs="宋体"/>
          <w:b/>
          <w:sz w:val="24"/>
          <w:szCs w:val="24"/>
          <w:highlight w:val="none"/>
          <w:lang w:bidi="ar"/>
        </w:rPr>
        <w:t>第三部分</w:t>
      </w:r>
      <w:r>
        <w:rPr>
          <w:rFonts w:hint="eastAsia" w:ascii="宋体" w:hAnsi="宋体" w:eastAsia="宋体"/>
          <w:b/>
          <w:sz w:val="24"/>
          <w:szCs w:val="24"/>
          <w:highlight w:val="none"/>
          <w:lang w:bidi="ar"/>
        </w:rPr>
        <w:t xml:space="preserve"> </w:t>
      </w:r>
      <w:r>
        <w:rPr>
          <w:rFonts w:hint="eastAsia" w:ascii="宋体" w:hAnsi="宋体" w:eastAsia="宋体" w:cs="宋体"/>
          <w:b/>
          <w:sz w:val="24"/>
          <w:szCs w:val="24"/>
          <w:highlight w:val="none"/>
          <w:lang w:bidi="ar"/>
        </w:rPr>
        <w:t>合同专用条款</w:t>
      </w:r>
    </w:p>
    <w:p w14:paraId="666DB555">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2"/>
        <w:gridCol w:w="7564"/>
      </w:tblGrid>
      <w:tr w14:paraId="0A112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6EB48768">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条款号</w:t>
            </w:r>
          </w:p>
        </w:tc>
        <w:tc>
          <w:tcPr>
            <w:tcW w:w="4525" w:type="pct"/>
            <w:tcBorders>
              <w:top w:val="single" w:color="auto" w:sz="6" w:space="0"/>
              <w:left w:val="single" w:color="auto" w:sz="6" w:space="0"/>
              <w:bottom w:val="single" w:color="auto" w:sz="6" w:space="0"/>
              <w:right w:val="single" w:color="auto" w:sz="6" w:space="0"/>
            </w:tcBorders>
            <w:vAlign w:val="center"/>
          </w:tcPr>
          <w:p w14:paraId="6477A3E5">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约定内容</w:t>
            </w:r>
          </w:p>
        </w:tc>
      </w:tr>
      <w:tr w14:paraId="649D6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08C5C5BB">
            <w:pPr>
              <w:spacing w:line="360" w:lineRule="auto"/>
              <w:ind w:firstLine="435"/>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CC09A18">
            <w:pPr>
              <w:spacing w:line="360" w:lineRule="auto"/>
              <w:ind w:firstLine="435"/>
              <w:rPr>
                <w:rFonts w:hint="eastAsia" w:ascii="宋体" w:hAnsi="宋体" w:eastAsia="宋体"/>
                <w:sz w:val="24"/>
                <w:szCs w:val="24"/>
                <w:highlight w:val="none"/>
              </w:rPr>
            </w:pPr>
          </w:p>
        </w:tc>
      </w:tr>
      <w:tr w14:paraId="1A00C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30FD8669">
            <w:pPr>
              <w:spacing w:line="360" w:lineRule="auto"/>
              <w:ind w:firstLine="435"/>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5739E4DD">
            <w:pPr>
              <w:spacing w:line="360" w:lineRule="auto"/>
              <w:ind w:firstLine="435"/>
              <w:rPr>
                <w:rFonts w:hint="eastAsia" w:ascii="宋体" w:hAnsi="宋体" w:eastAsia="宋体"/>
                <w:sz w:val="24"/>
                <w:szCs w:val="24"/>
                <w:highlight w:val="none"/>
              </w:rPr>
            </w:pPr>
          </w:p>
        </w:tc>
      </w:tr>
      <w:tr w14:paraId="00171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1A556047">
            <w:pPr>
              <w:spacing w:line="360" w:lineRule="auto"/>
              <w:ind w:firstLine="435"/>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081F772">
            <w:pPr>
              <w:spacing w:line="360" w:lineRule="auto"/>
              <w:ind w:firstLine="435"/>
              <w:rPr>
                <w:rFonts w:hint="eastAsia" w:ascii="宋体" w:hAnsi="宋体" w:eastAsia="宋体"/>
                <w:sz w:val="24"/>
                <w:szCs w:val="24"/>
                <w:highlight w:val="none"/>
              </w:rPr>
            </w:pPr>
          </w:p>
        </w:tc>
      </w:tr>
      <w:tr w14:paraId="5CB38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474" w:type="pct"/>
            <w:tcBorders>
              <w:top w:val="single" w:color="auto" w:sz="6" w:space="0"/>
              <w:left w:val="single" w:color="auto" w:sz="4" w:space="0"/>
              <w:bottom w:val="single" w:color="auto" w:sz="6" w:space="0"/>
              <w:right w:val="single" w:color="auto" w:sz="6" w:space="0"/>
            </w:tcBorders>
            <w:vAlign w:val="center"/>
          </w:tcPr>
          <w:p w14:paraId="195417F3">
            <w:pPr>
              <w:spacing w:line="360" w:lineRule="auto"/>
              <w:ind w:firstLine="435"/>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383B2EF">
            <w:pPr>
              <w:spacing w:line="360" w:lineRule="auto"/>
              <w:rPr>
                <w:rFonts w:hint="eastAsia" w:ascii="宋体" w:hAnsi="宋体" w:eastAsia="宋体"/>
                <w:sz w:val="24"/>
                <w:szCs w:val="24"/>
                <w:highlight w:val="none"/>
              </w:rPr>
            </w:pPr>
          </w:p>
        </w:tc>
      </w:tr>
      <w:tr w14:paraId="4EAB1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26650FD8">
            <w:pPr>
              <w:spacing w:line="360" w:lineRule="auto"/>
              <w:ind w:firstLine="435"/>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547776CD">
            <w:pPr>
              <w:spacing w:line="360" w:lineRule="auto"/>
              <w:rPr>
                <w:rFonts w:hint="eastAsia" w:ascii="宋体" w:hAnsi="宋体" w:eastAsia="宋体"/>
                <w:sz w:val="24"/>
                <w:szCs w:val="24"/>
                <w:highlight w:val="none"/>
              </w:rPr>
            </w:pPr>
          </w:p>
        </w:tc>
      </w:tr>
      <w:tr w14:paraId="66AEC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59E4EC96">
            <w:pPr>
              <w:spacing w:line="360" w:lineRule="auto"/>
              <w:ind w:firstLine="435"/>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AE51DC8">
            <w:pPr>
              <w:spacing w:line="360" w:lineRule="auto"/>
              <w:ind w:firstLine="435"/>
              <w:rPr>
                <w:rFonts w:hint="eastAsia" w:ascii="宋体" w:hAnsi="宋体" w:eastAsia="宋体"/>
                <w:sz w:val="24"/>
                <w:szCs w:val="24"/>
                <w:highlight w:val="none"/>
              </w:rPr>
            </w:pPr>
          </w:p>
        </w:tc>
      </w:tr>
      <w:tr w14:paraId="6B29B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4DEF4EF7">
            <w:pPr>
              <w:spacing w:line="560" w:lineRule="exact"/>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8185EA2">
            <w:pPr>
              <w:spacing w:line="560" w:lineRule="exact"/>
              <w:rPr>
                <w:rFonts w:hint="eastAsia" w:ascii="宋体" w:hAnsi="宋体" w:eastAsia="宋体"/>
                <w:sz w:val="24"/>
                <w:szCs w:val="24"/>
                <w:highlight w:val="none"/>
              </w:rPr>
            </w:pPr>
          </w:p>
        </w:tc>
      </w:tr>
      <w:tr w14:paraId="4FC65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6F35B9BA">
            <w:pPr>
              <w:spacing w:line="560" w:lineRule="exact"/>
              <w:rPr>
                <w:rFonts w:hint="eastAsia" w:ascii="宋体" w:hAnsi="宋体" w:eastAsia="宋体"/>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46B02A04">
            <w:pPr>
              <w:spacing w:line="560" w:lineRule="exact"/>
              <w:rPr>
                <w:rFonts w:hint="eastAsia" w:ascii="宋体" w:hAnsi="宋体" w:eastAsia="宋体"/>
                <w:sz w:val="24"/>
                <w:szCs w:val="24"/>
                <w:highlight w:val="none"/>
              </w:rPr>
            </w:pPr>
          </w:p>
        </w:tc>
      </w:tr>
      <w:tr w14:paraId="5C527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11D0439E">
            <w:pPr>
              <w:spacing w:line="560" w:lineRule="exact"/>
              <w:rPr>
                <w:rFonts w:hint="eastAsia" w:ascii="宋体" w:hAnsi="宋体" w:eastAsia="宋体"/>
                <w:sz w:val="24"/>
                <w:szCs w:val="24"/>
                <w:highlight w:val="none"/>
              </w:rPr>
            </w:pPr>
          </w:p>
        </w:tc>
        <w:tc>
          <w:tcPr>
            <w:tcW w:w="4525" w:type="pct"/>
            <w:tcBorders>
              <w:top w:val="single" w:color="auto" w:sz="6" w:space="0"/>
              <w:left w:val="nil"/>
              <w:bottom w:val="single" w:color="auto" w:sz="6" w:space="0"/>
              <w:right w:val="single" w:color="auto" w:sz="6" w:space="0"/>
            </w:tcBorders>
            <w:vAlign w:val="center"/>
          </w:tcPr>
          <w:p w14:paraId="67B3E3AD">
            <w:pPr>
              <w:spacing w:line="560" w:lineRule="exact"/>
              <w:rPr>
                <w:rFonts w:hint="eastAsia" w:ascii="宋体" w:hAnsi="宋体" w:eastAsia="宋体"/>
                <w:sz w:val="24"/>
                <w:szCs w:val="24"/>
                <w:highlight w:val="none"/>
              </w:rPr>
            </w:pPr>
          </w:p>
        </w:tc>
      </w:tr>
      <w:tr w14:paraId="7A89F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7FFAFBD1">
            <w:pPr>
              <w:spacing w:line="560" w:lineRule="exact"/>
              <w:rPr>
                <w:rFonts w:hint="eastAsia" w:ascii="宋体" w:hAnsi="宋体" w:eastAsia="宋体"/>
                <w:sz w:val="24"/>
                <w:szCs w:val="24"/>
                <w:highlight w:val="none"/>
              </w:rPr>
            </w:pPr>
          </w:p>
        </w:tc>
        <w:tc>
          <w:tcPr>
            <w:tcW w:w="4525" w:type="pct"/>
            <w:tcBorders>
              <w:top w:val="single" w:color="auto" w:sz="6" w:space="0"/>
              <w:left w:val="nil"/>
              <w:bottom w:val="single" w:color="auto" w:sz="6" w:space="0"/>
              <w:right w:val="single" w:color="auto" w:sz="6" w:space="0"/>
            </w:tcBorders>
            <w:vAlign w:val="center"/>
          </w:tcPr>
          <w:p w14:paraId="74747121">
            <w:pPr>
              <w:spacing w:line="560" w:lineRule="exact"/>
              <w:rPr>
                <w:rFonts w:hint="eastAsia" w:ascii="宋体" w:hAnsi="宋体" w:eastAsia="宋体"/>
                <w:sz w:val="24"/>
                <w:szCs w:val="24"/>
                <w:highlight w:val="none"/>
              </w:rPr>
            </w:pPr>
          </w:p>
        </w:tc>
      </w:tr>
    </w:tbl>
    <w:p w14:paraId="1DDC479E">
      <w:pPr>
        <w:widowControl/>
        <w:spacing w:line="360" w:lineRule="auto"/>
        <w:ind w:firstLine="480" w:firstLineChars="200"/>
        <w:jc w:val="left"/>
        <w:rPr>
          <w:rFonts w:hint="eastAsia" w:ascii="宋体" w:hAnsi="宋体" w:eastAsia="宋体" w:cs="宋体"/>
          <w:kern w:val="0"/>
          <w:sz w:val="24"/>
          <w:szCs w:val="24"/>
          <w:highlight w:val="none"/>
          <w:lang w:bidi="ar"/>
        </w:rPr>
      </w:pPr>
    </w:p>
    <w:p w14:paraId="22881387">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bookmarkEnd w:id="50"/>
    <w:p w14:paraId="7B81F657">
      <w:pPr>
        <w:spacing w:line="360" w:lineRule="auto"/>
        <w:jc w:val="center"/>
        <w:outlineLvl w:val="0"/>
        <w:rPr>
          <w:rFonts w:hint="eastAsia" w:asciiTheme="minorEastAsia" w:hAnsiTheme="minorEastAsia" w:eastAsiaTheme="minorEastAsia"/>
          <w:b/>
          <w:sz w:val="28"/>
          <w:highlight w:val="none"/>
        </w:rPr>
      </w:pPr>
      <w:bookmarkStart w:id="51" w:name="_Toc13555"/>
      <w:r>
        <w:rPr>
          <w:rFonts w:hint="eastAsia" w:asciiTheme="minorEastAsia" w:hAnsiTheme="minorEastAsia" w:eastAsiaTheme="minorEastAsia"/>
          <w:b/>
          <w:sz w:val="28"/>
          <w:highlight w:val="none"/>
        </w:rPr>
        <w:t>第六章  投标文件格式</w:t>
      </w:r>
      <w:bookmarkEnd w:id="51"/>
    </w:p>
    <w:p w14:paraId="22E6FEF6">
      <w:pPr>
        <w:spacing w:line="900" w:lineRule="exact"/>
        <w:jc w:val="center"/>
        <w:rPr>
          <w:rFonts w:hint="eastAsia" w:asciiTheme="minorEastAsia" w:hAnsiTheme="minorEastAsia" w:eastAsiaTheme="minorEastAsia"/>
          <w:b/>
          <w:sz w:val="72"/>
          <w:highlight w:val="none"/>
        </w:rPr>
      </w:pPr>
    </w:p>
    <w:p w14:paraId="2B54DF29">
      <w:pPr>
        <w:spacing w:line="900" w:lineRule="exact"/>
        <w:jc w:val="center"/>
        <w:outlineLvl w:val="1"/>
        <w:rPr>
          <w:rFonts w:hint="eastAsia" w:asciiTheme="minorEastAsia" w:hAnsiTheme="minorEastAsia" w:eastAsiaTheme="minorEastAsia"/>
          <w:b/>
          <w:sz w:val="72"/>
          <w:highlight w:val="none"/>
        </w:rPr>
      </w:pPr>
      <w:bookmarkStart w:id="52" w:name="_Toc5119"/>
      <w:r>
        <w:rPr>
          <w:rFonts w:hint="eastAsia" w:asciiTheme="minorEastAsia" w:hAnsiTheme="minorEastAsia" w:eastAsiaTheme="minorEastAsia"/>
          <w:b/>
          <w:sz w:val="72"/>
          <w:highlight w:val="none"/>
        </w:rPr>
        <w:t>投</w:t>
      </w:r>
      <w:bookmarkEnd w:id="52"/>
    </w:p>
    <w:p w14:paraId="57812F24">
      <w:pPr>
        <w:spacing w:line="900" w:lineRule="exact"/>
        <w:jc w:val="center"/>
        <w:rPr>
          <w:rFonts w:hint="eastAsia" w:asciiTheme="minorEastAsia" w:hAnsiTheme="minorEastAsia" w:eastAsiaTheme="minorEastAsia"/>
          <w:b/>
          <w:sz w:val="72"/>
          <w:highlight w:val="none"/>
        </w:rPr>
      </w:pPr>
    </w:p>
    <w:p w14:paraId="1FF5BA4E">
      <w:pPr>
        <w:spacing w:line="900" w:lineRule="exact"/>
        <w:jc w:val="center"/>
        <w:outlineLvl w:val="1"/>
        <w:rPr>
          <w:rFonts w:hint="eastAsia" w:asciiTheme="minorEastAsia" w:hAnsiTheme="minorEastAsia" w:eastAsiaTheme="minorEastAsia"/>
          <w:b/>
          <w:sz w:val="72"/>
          <w:highlight w:val="none"/>
        </w:rPr>
      </w:pPr>
      <w:bookmarkStart w:id="53" w:name="_Toc4782"/>
      <w:r>
        <w:rPr>
          <w:rFonts w:hint="eastAsia" w:asciiTheme="minorEastAsia" w:hAnsiTheme="minorEastAsia" w:eastAsiaTheme="minorEastAsia"/>
          <w:b/>
          <w:sz w:val="72"/>
          <w:highlight w:val="none"/>
        </w:rPr>
        <w:t>标</w:t>
      </w:r>
      <w:bookmarkEnd w:id="53"/>
    </w:p>
    <w:p w14:paraId="097782FC">
      <w:pPr>
        <w:spacing w:line="900" w:lineRule="exact"/>
        <w:jc w:val="center"/>
        <w:rPr>
          <w:rFonts w:hint="eastAsia" w:asciiTheme="minorEastAsia" w:hAnsiTheme="minorEastAsia" w:eastAsiaTheme="minorEastAsia"/>
          <w:b/>
          <w:sz w:val="72"/>
          <w:highlight w:val="none"/>
        </w:rPr>
      </w:pPr>
    </w:p>
    <w:p w14:paraId="39E43C42">
      <w:pPr>
        <w:spacing w:line="900" w:lineRule="exact"/>
        <w:jc w:val="center"/>
        <w:outlineLvl w:val="1"/>
        <w:rPr>
          <w:rFonts w:hint="eastAsia" w:asciiTheme="minorEastAsia" w:hAnsiTheme="minorEastAsia" w:eastAsiaTheme="minorEastAsia"/>
          <w:b/>
          <w:sz w:val="72"/>
          <w:highlight w:val="none"/>
        </w:rPr>
      </w:pPr>
      <w:bookmarkStart w:id="54" w:name="_Toc19607"/>
      <w:r>
        <w:rPr>
          <w:rFonts w:hint="eastAsia" w:asciiTheme="minorEastAsia" w:hAnsiTheme="minorEastAsia" w:eastAsiaTheme="minorEastAsia"/>
          <w:b/>
          <w:sz w:val="72"/>
          <w:highlight w:val="none"/>
        </w:rPr>
        <w:t>文</w:t>
      </w:r>
      <w:bookmarkEnd w:id="54"/>
    </w:p>
    <w:p w14:paraId="6222D5CF">
      <w:pPr>
        <w:spacing w:line="900" w:lineRule="exact"/>
        <w:jc w:val="center"/>
        <w:rPr>
          <w:rFonts w:hint="eastAsia" w:asciiTheme="minorEastAsia" w:hAnsiTheme="minorEastAsia" w:eastAsiaTheme="minorEastAsia"/>
          <w:b/>
          <w:sz w:val="72"/>
          <w:highlight w:val="none"/>
        </w:rPr>
      </w:pPr>
    </w:p>
    <w:p w14:paraId="508F3416">
      <w:pPr>
        <w:jc w:val="center"/>
        <w:outlineLvl w:val="1"/>
        <w:rPr>
          <w:rFonts w:hint="eastAsia" w:asciiTheme="minorEastAsia" w:hAnsiTheme="minorEastAsia" w:eastAsiaTheme="minorEastAsia"/>
          <w:b/>
          <w:sz w:val="72"/>
          <w:highlight w:val="none"/>
        </w:rPr>
      </w:pPr>
      <w:bookmarkStart w:id="55" w:name="_Toc8365"/>
      <w:r>
        <w:rPr>
          <w:rFonts w:hint="eastAsia" w:asciiTheme="minorEastAsia" w:hAnsiTheme="minorEastAsia" w:eastAsiaTheme="minorEastAsia"/>
          <w:b/>
          <w:sz w:val="72"/>
          <w:highlight w:val="none"/>
        </w:rPr>
        <w:t>件</w:t>
      </w:r>
      <w:bookmarkEnd w:id="55"/>
    </w:p>
    <w:p w14:paraId="6AF9085D">
      <w:pPr>
        <w:spacing w:after="159" w:afterLines="50"/>
        <w:jc w:val="center"/>
        <w:rPr>
          <w:rFonts w:hint="eastAsia" w:asciiTheme="minorEastAsia" w:hAnsiTheme="minorEastAsia" w:eastAsiaTheme="minorEastAsia"/>
          <w:b/>
          <w:sz w:val="72"/>
          <w:highlight w:val="none"/>
        </w:rPr>
      </w:pPr>
    </w:p>
    <w:p w14:paraId="4312992C">
      <w:pPr>
        <w:pStyle w:val="8"/>
        <w:spacing w:after="0" w:line="360" w:lineRule="auto"/>
        <w:ind w:firstLine="480" w:firstLineChars="200"/>
        <w:jc w:val="center"/>
        <w:outlineLvl w:val="1"/>
        <w:rPr>
          <w:rFonts w:hint="eastAsia" w:ascii="宋体" w:hAnsi="宋体" w:eastAsia="宋体"/>
          <w:sz w:val="24"/>
          <w:szCs w:val="18"/>
          <w:highlight w:val="none"/>
          <w:lang w:val="en-US"/>
        </w:rPr>
      </w:pPr>
    </w:p>
    <w:p w14:paraId="4CCE52B1">
      <w:pPr>
        <w:spacing w:before="159" w:beforeLines="50" w:after="159" w:afterLines="50"/>
        <w:jc w:val="center"/>
        <w:rPr>
          <w:rFonts w:hint="eastAsia" w:asciiTheme="minorEastAsia" w:hAnsiTheme="minorEastAsia" w:eastAsiaTheme="minorEastAsia"/>
          <w:b/>
          <w:sz w:val="32"/>
          <w:szCs w:val="32"/>
          <w:highlight w:val="none"/>
        </w:rPr>
      </w:pPr>
    </w:p>
    <w:p w14:paraId="3DC9DB55">
      <w:pPr>
        <w:spacing w:after="159" w:afterLines="50" w:line="500" w:lineRule="exact"/>
        <w:jc w:val="center"/>
        <w:rPr>
          <w:rFonts w:hint="eastAsia" w:asciiTheme="minorEastAsia" w:hAnsiTheme="minorEastAsia" w:eastAsiaTheme="minorEastAsia"/>
          <w:b/>
          <w:sz w:val="28"/>
          <w:szCs w:val="28"/>
          <w:highlight w:val="none"/>
        </w:rPr>
      </w:pPr>
    </w:p>
    <w:p w14:paraId="7DE3B66F">
      <w:pPr>
        <w:tabs>
          <w:tab w:val="left" w:pos="2410"/>
        </w:tabs>
        <w:autoSpaceDE w:val="0"/>
        <w:autoSpaceDN w:val="0"/>
        <w:adjustRightInd w:val="0"/>
        <w:snapToGrid w:val="0"/>
        <w:spacing w:line="360" w:lineRule="auto"/>
        <w:ind w:firstLine="1928" w:firstLineChars="600"/>
        <w:rPr>
          <w:rFonts w:hint="eastAsia"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6F320414">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012A7675">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4F781D06">
      <w:pPr>
        <w:spacing w:after="159" w:afterLines="50" w:line="500" w:lineRule="exact"/>
        <w:jc w:val="center"/>
        <w:outlineLvl w:val="1"/>
        <w:rPr>
          <w:rFonts w:hint="eastAsia"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6" w:name="_Toc19687"/>
      <w:bookmarkStart w:id="57" w:name="_Toc803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6"/>
      <w:bookmarkEnd w:id="57"/>
    </w:p>
    <w:p w14:paraId="4E1D46BE">
      <w:pPr>
        <w:widowControl/>
        <w:jc w:val="left"/>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6F0DDDD7">
      <w:pPr>
        <w:spacing w:line="360" w:lineRule="auto"/>
        <w:jc w:val="center"/>
        <w:outlineLvl w:val="1"/>
        <w:rPr>
          <w:rFonts w:hint="eastAsia" w:asciiTheme="minorEastAsia" w:hAnsiTheme="minorEastAsia" w:eastAsiaTheme="minorEastAsia"/>
          <w:b/>
          <w:sz w:val="24"/>
          <w:highlight w:val="none"/>
        </w:rPr>
      </w:pPr>
      <w:bookmarkStart w:id="58" w:name="_Toc28960"/>
      <w:bookmarkStart w:id="59" w:name="_Toc17986"/>
      <w:r>
        <w:rPr>
          <w:rFonts w:hint="eastAsia" w:asciiTheme="minorEastAsia" w:hAnsiTheme="minorEastAsia" w:eastAsiaTheme="minorEastAsia"/>
          <w:b/>
          <w:sz w:val="24"/>
          <w:highlight w:val="none"/>
        </w:rPr>
        <w:t>一、开标一览表</w:t>
      </w:r>
      <w:bookmarkEnd w:id="58"/>
      <w:bookmarkEnd w:id="59"/>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3"/>
      </w:tblGrid>
      <w:tr w14:paraId="6619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4563C183">
            <w:pPr>
              <w:widowControl/>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9913E13">
            <w:pPr>
              <w:spacing w:line="360" w:lineRule="exact"/>
              <w:jc w:val="center"/>
              <w:rPr>
                <w:rFonts w:hint="eastAsia" w:asciiTheme="minorEastAsia" w:hAnsiTheme="minorEastAsia" w:eastAsiaTheme="minorEastAsia"/>
                <w:bCs/>
                <w:sz w:val="24"/>
                <w:highlight w:val="none"/>
                <w:u w:val="single"/>
              </w:rPr>
            </w:pPr>
          </w:p>
        </w:tc>
      </w:tr>
      <w:tr w14:paraId="7FA9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76AB952">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56A1CEB2">
            <w:pPr>
              <w:spacing w:line="360" w:lineRule="auto"/>
              <w:rPr>
                <w:rFonts w:hint="eastAsia" w:asciiTheme="minorEastAsia" w:hAnsiTheme="minorEastAsia" w:eastAsiaTheme="minorEastAsia"/>
                <w:sz w:val="24"/>
                <w:highlight w:val="none"/>
              </w:rPr>
            </w:pPr>
          </w:p>
        </w:tc>
      </w:tr>
      <w:tr w14:paraId="2E7F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C42D453">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24464097">
            <w:pPr>
              <w:widowControl/>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w:t>
            </w:r>
          </w:p>
        </w:tc>
      </w:tr>
      <w:tr w14:paraId="1A12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BF42AB9">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6F480988">
            <w:pP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一年：           ，三年：         </w:t>
            </w:r>
          </w:p>
          <w:p w14:paraId="17F7998E">
            <w:pPr>
              <w:spacing w:line="360" w:lineRule="auto"/>
              <w:ind w:right="-670"/>
              <w:rPr>
                <w:rFonts w:hint="eastAsia"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               </w:t>
            </w:r>
          </w:p>
        </w:tc>
      </w:tr>
      <w:tr w14:paraId="6F8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C29099B">
            <w:p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3F012FAE">
            <w:pPr>
              <w:spacing w:line="360" w:lineRule="auto"/>
              <w:jc w:val="left"/>
              <w:rPr>
                <w:rFonts w:hint="eastAsia" w:asciiTheme="minorEastAsia" w:hAnsiTheme="minorEastAsia" w:eastAsiaTheme="minorEastAsia"/>
                <w:sz w:val="24"/>
                <w:szCs w:val="28"/>
                <w:highlight w:val="none"/>
              </w:rPr>
            </w:pPr>
          </w:p>
        </w:tc>
      </w:tr>
    </w:tbl>
    <w:p w14:paraId="6491B8D9">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2F8AB651">
      <w:pPr>
        <w:tabs>
          <w:tab w:val="left" w:pos="630"/>
        </w:tabs>
        <w:spacing w:line="360" w:lineRule="auto"/>
        <w:ind w:firstLine="4800" w:firstLineChars="2000"/>
        <w:rPr>
          <w:rFonts w:hint="eastAsia" w:asciiTheme="minorEastAsia" w:hAnsiTheme="minorEastAsia" w:eastAsiaTheme="minorEastAsia"/>
          <w:sz w:val="24"/>
          <w:highlight w:val="non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9525DD2">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3A4DCC35">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20031FC2">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7FE04AD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2F396744">
      <w:pPr>
        <w:spacing w:line="360" w:lineRule="auto"/>
        <w:jc w:val="center"/>
        <w:outlineLvl w:val="1"/>
        <w:rPr>
          <w:rFonts w:hint="eastAsia" w:asciiTheme="minorEastAsia" w:hAnsiTheme="minorEastAsia" w:eastAsiaTheme="minorEastAsia"/>
          <w:b/>
          <w:sz w:val="24"/>
          <w:highlight w:val="none"/>
        </w:rPr>
      </w:pPr>
      <w:bookmarkStart w:id="60" w:name="_Toc6441"/>
      <w:bookmarkStart w:id="61" w:name="_Toc6120"/>
      <w:r>
        <w:rPr>
          <w:rFonts w:hint="eastAsia" w:asciiTheme="minorEastAsia" w:hAnsiTheme="minorEastAsia" w:eastAsiaTheme="minorEastAsia"/>
          <w:b/>
          <w:sz w:val="24"/>
          <w:highlight w:val="none"/>
        </w:rPr>
        <w:t>二、投标函</w:t>
      </w:r>
      <w:bookmarkEnd w:id="60"/>
      <w:bookmarkEnd w:id="61"/>
    </w:p>
    <w:p w14:paraId="134EFC97">
      <w:pPr>
        <w:pStyle w:val="11"/>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2858D70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2D6596B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50382A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37E91AA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B20A19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16BF5FF">
      <w:pPr>
        <w:spacing w:line="360" w:lineRule="auto"/>
        <w:ind w:firstLine="4800" w:firstLineChars="2000"/>
        <w:rPr>
          <w:rFonts w:hint="eastAsia" w:ascii="宋体" w:hAnsi="宋体" w:eastAsia="宋体"/>
          <w:sz w:val="24"/>
          <w:highlight w:val="none"/>
        </w:rPr>
      </w:pPr>
    </w:p>
    <w:p w14:paraId="4B98E323">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159A835A">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7AEE2319">
      <w:pPr>
        <w:widowControl/>
        <w:jc w:val="left"/>
        <w:rPr>
          <w:rFonts w:hint="eastAsia" w:ascii="宋体" w:hAnsi="宋体" w:eastAsia="宋体"/>
          <w:sz w:val="24"/>
          <w:highlight w:val="none"/>
          <w:u w:val="single"/>
        </w:rPr>
      </w:pPr>
      <w:r>
        <w:rPr>
          <w:rFonts w:ascii="宋体" w:hAnsi="宋体" w:eastAsia="宋体"/>
          <w:sz w:val="24"/>
          <w:highlight w:val="none"/>
          <w:u w:val="single"/>
        </w:rPr>
        <w:br w:type="page"/>
      </w:r>
    </w:p>
    <w:p w14:paraId="3DE7A117">
      <w:pPr>
        <w:spacing w:line="360" w:lineRule="auto"/>
        <w:jc w:val="center"/>
        <w:outlineLvl w:val="1"/>
        <w:rPr>
          <w:rFonts w:hint="eastAsia" w:asciiTheme="minorEastAsia" w:hAnsiTheme="minorEastAsia" w:eastAsiaTheme="minorEastAsia"/>
          <w:b/>
          <w:sz w:val="24"/>
          <w:highlight w:val="none"/>
        </w:rPr>
      </w:pPr>
      <w:bookmarkStart w:id="62" w:name="_Toc18881"/>
      <w:r>
        <w:rPr>
          <w:rFonts w:hint="eastAsia" w:asciiTheme="minorEastAsia" w:hAnsiTheme="minorEastAsia" w:eastAsiaTheme="minorEastAsia"/>
          <w:b/>
          <w:sz w:val="24"/>
          <w:highlight w:val="none"/>
        </w:rPr>
        <w:t>三．投标人资格声明书</w:t>
      </w:r>
      <w:bookmarkEnd w:id="62"/>
      <w:r>
        <w:rPr>
          <w:rFonts w:hint="eastAsia" w:asciiTheme="minorEastAsia" w:hAnsiTheme="minorEastAsia" w:eastAsiaTheme="minorEastAsia"/>
          <w:b/>
          <w:sz w:val="24"/>
          <w:highlight w:val="none"/>
        </w:rPr>
        <w:t xml:space="preserve"> </w:t>
      </w:r>
    </w:p>
    <w:p w14:paraId="36E51DED">
      <w:pPr>
        <w:pStyle w:val="11"/>
        <w:spacing w:line="360" w:lineRule="auto"/>
        <w:rPr>
          <w:rFonts w:hint="eastAsia"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41383865">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6453F427">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01666CD4">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6AFB0BA1">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392FEB1A">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95BFB21">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691B62EA">
      <w:pPr>
        <w:widowControl/>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05094083">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39"/>
        <w:gridCol w:w="2839"/>
      </w:tblGrid>
      <w:tr w14:paraId="3D02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228674">
            <w:pPr>
              <w:widowControl/>
              <w:spacing w:before="159" w:beforeLines="50" w:after="10"/>
              <w:jc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4E315148">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2BDD5F8F">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68E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83E6F1">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5982A374">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p>
        </w:tc>
        <w:tc>
          <w:tcPr>
            <w:tcW w:w="2841" w:type="dxa"/>
          </w:tcPr>
          <w:p w14:paraId="61E3A5AA">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p>
        </w:tc>
      </w:tr>
      <w:tr w14:paraId="4DF7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1C9C77">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047051DE">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p>
        </w:tc>
        <w:tc>
          <w:tcPr>
            <w:tcW w:w="2841" w:type="dxa"/>
          </w:tcPr>
          <w:p w14:paraId="3F37622F">
            <w:pPr>
              <w:pStyle w:val="8"/>
              <w:spacing w:before="159" w:beforeLines="50" w:after="10"/>
              <w:jc w:val="center"/>
              <w:rPr>
                <w:rFonts w:hint="eastAsia" w:asciiTheme="minorEastAsia" w:hAnsiTheme="minorEastAsia" w:eastAsiaTheme="minorEastAsia" w:cstheme="minorEastAsia"/>
                <w:kern w:val="0"/>
                <w:sz w:val="24"/>
                <w:highlight w:val="none"/>
                <w:lang w:val="en-US" w:bidi="ar"/>
              </w:rPr>
            </w:pPr>
          </w:p>
        </w:tc>
      </w:tr>
    </w:tbl>
    <w:p w14:paraId="65BC6C71">
      <w:pPr>
        <w:spacing w:line="360" w:lineRule="auto"/>
        <w:ind w:firstLine="435"/>
        <w:rPr>
          <w:rFonts w:hint="eastAsia"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000B6B15">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7FDAD7E">
      <w:pPr>
        <w:tabs>
          <w:tab w:val="left" w:pos="630"/>
        </w:tabs>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4BAF0AC">
      <w:pPr>
        <w:rPr>
          <w:rFonts w:hint="eastAsia" w:asciiTheme="minorEastAsia" w:hAnsiTheme="minorEastAsia" w:eastAsiaTheme="minorEastAsia"/>
          <w:b/>
          <w:sz w:val="24"/>
          <w:highlight w:val="none"/>
        </w:rPr>
      </w:pPr>
      <w:bookmarkStart w:id="63" w:name="_Toc11607"/>
      <w:r>
        <w:rPr>
          <w:rFonts w:hint="eastAsia" w:asciiTheme="minorEastAsia" w:hAnsiTheme="minorEastAsia" w:eastAsiaTheme="minorEastAsia"/>
          <w:b/>
          <w:sz w:val="24"/>
          <w:highlight w:val="none"/>
        </w:rPr>
        <w:br w:type="page"/>
      </w:r>
    </w:p>
    <w:p w14:paraId="5F1013F6">
      <w:pPr>
        <w:spacing w:line="360" w:lineRule="auto"/>
        <w:jc w:val="center"/>
        <w:outlineLvl w:val="1"/>
        <w:rPr>
          <w:rFonts w:hint="eastAsia" w:asciiTheme="minorEastAsia" w:hAnsiTheme="minorEastAsia" w:eastAsiaTheme="minorEastAsia"/>
          <w:b/>
          <w:sz w:val="24"/>
          <w:highlight w:val="none"/>
        </w:rPr>
      </w:pPr>
      <w:bookmarkStart w:id="64" w:name="_Toc24583"/>
      <w:r>
        <w:rPr>
          <w:rFonts w:hint="eastAsia" w:asciiTheme="minorEastAsia" w:hAnsiTheme="minorEastAsia" w:eastAsiaTheme="minorEastAsia"/>
          <w:b/>
          <w:sz w:val="24"/>
          <w:highlight w:val="none"/>
        </w:rPr>
        <w:t>四、授权书</w:t>
      </w:r>
      <w:bookmarkEnd w:id="63"/>
      <w:bookmarkEnd w:id="64"/>
    </w:p>
    <w:p w14:paraId="00B26400">
      <w:pPr>
        <w:pStyle w:val="10"/>
        <w:snapToGrid w:val="0"/>
        <w:spacing w:line="360" w:lineRule="auto"/>
        <w:ind w:firstLine="480" w:firstLineChars="200"/>
        <w:jc w:val="left"/>
        <w:rPr>
          <w:rFonts w:hint="eastAsia" w:hAnsi="宋体" w:eastAsia="宋体"/>
          <w:sz w:val="24"/>
          <w:szCs w:val="28"/>
          <w:highlight w:val="none"/>
        </w:rPr>
      </w:pPr>
    </w:p>
    <w:p w14:paraId="600BC43F">
      <w:pPr>
        <w:spacing w:line="360" w:lineRule="auto"/>
        <w:ind w:firstLine="435"/>
        <w:rPr>
          <w:rFonts w:hint="eastAsia"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190A945">
      <w:pPr>
        <w:spacing w:line="360" w:lineRule="auto"/>
        <w:ind w:firstLine="435"/>
        <w:rPr>
          <w:rFonts w:hint="eastAsia" w:hAnsi="宋体" w:eastAsia="宋体"/>
          <w:sz w:val="24"/>
          <w:szCs w:val="28"/>
          <w:highlight w:val="none"/>
        </w:rPr>
      </w:pPr>
      <w:r>
        <w:rPr>
          <w:rFonts w:hint="eastAsia" w:hAnsi="宋体" w:eastAsia="宋体"/>
          <w:sz w:val="24"/>
          <w:szCs w:val="28"/>
          <w:highlight w:val="none"/>
        </w:rPr>
        <w:t>本授权书自出具之日起生效。</w:t>
      </w:r>
    </w:p>
    <w:p w14:paraId="188B68A3">
      <w:pPr>
        <w:spacing w:line="360" w:lineRule="auto"/>
        <w:ind w:firstLine="435"/>
        <w:rPr>
          <w:rFonts w:hint="eastAsia"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1BC80A1D">
      <w:pPr>
        <w:spacing w:line="360" w:lineRule="auto"/>
        <w:ind w:firstLine="435"/>
        <w:rPr>
          <w:rFonts w:hint="eastAsia" w:asciiTheme="minorEastAsia" w:hAnsiTheme="minorEastAsia" w:eastAsiaTheme="minorEastAsia"/>
          <w:sz w:val="24"/>
          <w:highlight w:val="none"/>
        </w:rPr>
      </w:pPr>
    </w:p>
    <w:p w14:paraId="0B0CC7FE">
      <w:pPr>
        <w:spacing w:line="360" w:lineRule="auto"/>
        <w:ind w:firstLine="435"/>
        <w:rPr>
          <w:rFonts w:hint="eastAsia" w:asciiTheme="minorEastAsia" w:hAnsiTheme="minorEastAsia" w:eastAsiaTheme="minorEastAsia"/>
          <w:sz w:val="24"/>
          <w:highlight w:val="none"/>
        </w:rPr>
      </w:pPr>
    </w:p>
    <w:p w14:paraId="63FEDFE2">
      <w:pPr>
        <w:spacing w:line="360" w:lineRule="auto"/>
        <w:ind w:firstLine="435"/>
        <w:rPr>
          <w:rFonts w:hint="eastAsia" w:asciiTheme="minorEastAsia" w:hAnsiTheme="minorEastAsia" w:eastAsiaTheme="minorEastAsia"/>
          <w:sz w:val="24"/>
          <w:highlight w:val="none"/>
        </w:rPr>
      </w:pPr>
    </w:p>
    <w:p w14:paraId="58B29A5A">
      <w:pPr>
        <w:spacing w:line="360" w:lineRule="auto"/>
        <w:ind w:firstLine="435"/>
        <w:rPr>
          <w:rFonts w:hint="eastAsia"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9FEC5C1">
      <w:pPr>
        <w:spacing w:line="360" w:lineRule="auto"/>
        <w:ind w:firstLine="435"/>
        <w:rPr>
          <w:rFonts w:hint="eastAsia" w:hAnsi="宋体" w:eastAsia="宋体"/>
          <w:sz w:val="24"/>
          <w:szCs w:val="28"/>
          <w:highlight w:val="none"/>
          <w:lang w:val="zh-CN"/>
        </w:rPr>
      </w:pPr>
    </w:p>
    <w:p w14:paraId="0F46189C">
      <w:pPr>
        <w:spacing w:line="360" w:lineRule="auto"/>
        <w:ind w:firstLine="435"/>
        <w:rPr>
          <w:rFonts w:hint="eastAsia"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239A01EA">
      <w:pPr>
        <w:spacing w:line="360" w:lineRule="auto"/>
        <w:rPr>
          <w:rFonts w:hint="eastAsia" w:ascii="宋体" w:hAnsi="宋体" w:eastAsia="宋体"/>
          <w:sz w:val="24"/>
          <w:szCs w:val="28"/>
          <w:highlight w:val="none"/>
        </w:rPr>
      </w:pPr>
    </w:p>
    <w:p w14:paraId="70F837DE">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0429A2E5">
      <w:pPr>
        <w:tabs>
          <w:tab w:val="left" w:pos="630"/>
        </w:tabs>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42E0AEB4">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4DECC60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2B4AF80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1EA853">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F27FF57">
      <w:pPr>
        <w:spacing w:line="360" w:lineRule="auto"/>
        <w:jc w:val="center"/>
        <w:outlineLvl w:val="1"/>
        <w:rPr>
          <w:rFonts w:hint="eastAsia" w:ascii="宋体" w:hAnsi="宋体" w:eastAsia="宋体"/>
          <w:b/>
          <w:sz w:val="24"/>
          <w:szCs w:val="24"/>
          <w:highlight w:val="none"/>
        </w:rPr>
      </w:pPr>
      <w:bookmarkStart w:id="65" w:name="_Toc31027"/>
      <w:bookmarkStart w:id="66" w:name="_Toc32226"/>
      <w:r>
        <w:rPr>
          <w:rFonts w:hint="eastAsia" w:asciiTheme="minorEastAsia" w:hAnsiTheme="minorEastAsia" w:eastAsiaTheme="minorEastAsia"/>
          <w:b/>
          <w:sz w:val="24"/>
          <w:highlight w:val="none"/>
        </w:rPr>
        <w:t>五、</w:t>
      </w:r>
      <w:r>
        <w:rPr>
          <w:rFonts w:hint="eastAsia" w:ascii="宋体" w:hAnsi="宋体" w:eastAsia="宋体" w:cs="宋体"/>
          <w:b/>
          <w:sz w:val="24"/>
          <w:szCs w:val="24"/>
          <w:highlight w:val="none"/>
          <w:lang w:bidi="ar"/>
        </w:rPr>
        <w:t>诚信投标承诺书</w:t>
      </w:r>
    </w:p>
    <w:p w14:paraId="2AD25EDE">
      <w:pPr>
        <w:spacing w:line="500" w:lineRule="exact"/>
        <w:rPr>
          <w:rFonts w:hint="eastAsia" w:ascii="宋体" w:hAnsi="宋体" w:eastAsia="宋体" w:cs="宋体"/>
          <w:szCs w:val="21"/>
          <w:highlight w:val="none"/>
        </w:rPr>
      </w:pPr>
      <w:r>
        <w:rPr>
          <w:rFonts w:hint="eastAsia" w:ascii="宋体" w:hAnsi="宋体" w:eastAsia="宋体" w:cs="宋体"/>
          <w:szCs w:val="21"/>
          <w:highlight w:val="none"/>
          <w:lang w:bidi="ar"/>
        </w:rPr>
        <w:t>本人以企业法定代表人的身份郑重承诺：</w:t>
      </w:r>
    </w:p>
    <w:p w14:paraId="652A4862">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一、将遵循公开、公正和诚实信用的原则自愿参加</w:t>
      </w:r>
      <w:r>
        <w:rPr>
          <w:rFonts w:hint="eastAsia" w:ascii="宋体" w:hAnsi="宋体" w:eastAsia="宋体" w:cs="宋体"/>
          <w:szCs w:val="21"/>
          <w:highlight w:val="none"/>
          <w:u w:val="single"/>
          <w:lang w:bidi="ar"/>
        </w:rPr>
        <w:t xml:space="preserve">                   </w:t>
      </w:r>
      <w:r>
        <w:rPr>
          <w:rFonts w:hint="eastAsia" w:ascii="宋体" w:hAnsi="宋体" w:eastAsia="宋体" w:cs="宋体"/>
          <w:szCs w:val="21"/>
          <w:highlight w:val="none"/>
          <w:lang w:bidi="ar"/>
        </w:rPr>
        <w:t>项目的投标，所提供的一切材料都是真实、有效、合法的；</w:t>
      </w:r>
    </w:p>
    <w:p w14:paraId="540A7977">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E0A95D2">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三、不出借、转让资质证书，不让他人挂靠投标，不以他人名义投标或者以其他方式弄虚作假，骗取中标；</w:t>
      </w:r>
    </w:p>
    <w:p w14:paraId="1108A008">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四、不与其他投标人相互串通投标报价，不排挤其他投标人的公平竞争、损害采购人的合法权益；</w:t>
      </w:r>
    </w:p>
    <w:p w14:paraId="4D64C32B">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五、不与采购人、采购代理机构或其他投标人串通投标，损害国家利益、社会公共利益或者他人的合法权益；</w:t>
      </w:r>
    </w:p>
    <w:p w14:paraId="6107131B">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 xml:space="preserve">六、 </w:t>
      </w:r>
      <w:r>
        <w:rPr>
          <w:rFonts w:hint="eastAsia" w:ascii="宋体" w:hAnsi="宋体" w:eastAsia="宋体" w:cs="宋体"/>
          <w:szCs w:val="21"/>
          <w:highlight w:val="none"/>
          <w:u w:val="single"/>
          <w:lang w:bidi="ar"/>
        </w:rPr>
        <w:t xml:space="preserve">    （企业名称）</w:t>
      </w:r>
      <w:r>
        <w:rPr>
          <w:rFonts w:hint="eastAsia" w:ascii="宋体" w:hAnsi="宋体" w:eastAsia="宋体" w:cs="宋体"/>
          <w:szCs w:val="21"/>
          <w:highlight w:val="none"/>
          <w:lang w:bidi="ar"/>
        </w:rPr>
        <w:t>或</w:t>
      </w:r>
      <w:r>
        <w:rPr>
          <w:rFonts w:hint="eastAsia" w:ascii="宋体" w:hAnsi="宋体" w:eastAsia="宋体" w:cs="宋体"/>
          <w:szCs w:val="21"/>
          <w:highlight w:val="none"/>
          <w:u w:val="single"/>
          <w:lang w:bidi="ar"/>
        </w:rPr>
        <w:t xml:space="preserve">     （企业名称）</w:t>
      </w:r>
      <w:r>
        <w:rPr>
          <w:rFonts w:hint="eastAsia" w:ascii="宋体" w:hAnsi="宋体" w:eastAsia="宋体" w:cs="宋体"/>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7E417EF">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七、我公司没有下列情形：被滁州市县两级公管部门记入不良行为记录且在披露期内。</w:t>
      </w:r>
    </w:p>
    <w:p w14:paraId="301D8E04">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八、严格遵守开标现场纪律，服从监管人员管理；</w:t>
      </w:r>
    </w:p>
    <w:p w14:paraId="4BC41475">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九、保证中标后不转包，若有分包征得招标人同意；</w:t>
      </w:r>
    </w:p>
    <w:p w14:paraId="1675297D">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十、保证中标之后，按照投标文件要求提供相关后续服务；</w:t>
      </w:r>
    </w:p>
    <w:p w14:paraId="04DB8215">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十一、保证企业及所属相关人员在本次投标中无行贿等犯罪行为；</w:t>
      </w:r>
    </w:p>
    <w:p w14:paraId="73D37F59">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C70378F">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以上内容我已仔细阅读，本公司若有违反承诺内容的行为，自愿接受取消投标或者中标资格、中标无效、记入不良行为记录等有关处理，愿意承担法律责任，给采购人造成损失的，依法承担赔偿责任。</w:t>
      </w:r>
    </w:p>
    <w:p w14:paraId="3DE24152">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 xml:space="preserve"> </w:t>
      </w:r>
    </w:p>
    <w:p w14:paraId="08C6FEDF">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开户银行：                       基本账户：</w:t>
      </w:r>
    </w:p>
    <w:p w14:paraId="3537F5F0">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投标单位（签章）：               法定代表人（签章）：</w:t>
      </w:r>
    </w:p>
    <w:p w14:paraId="16427947">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bidi="ar"/>
        </w:rPr>
        <w:t xml:space="preserve"> </w:t>
      </w:r>
    </w:p>
    <w:p w14:paraId="2181C403">
      <w:pPr>
        <w:spacing w:line="560" w:lineRule="exact"/>
        <w:jc w:val="right"/>
        <w:rPr>
          <w:rFonts w:hint="eastAsia" w:ascii="仿宋_GB2312" w:eastAsia="仿宋_GB2312" w:cs="仿宋_GB2312"/>
          <w:sz w:val="32"/>
          <w:szCs w:val="32"/>
          <w:highlight w:val="none"/>
        </w:rPr>
      </w:pPr>
      <w:r>
        <w:rPr>
          <w:rFonts w:hint="eastAsia" w:ascii="宋体" w:hAnsi="宋体" w:eastAsia="宋体" w:cs="宋体"/>
          <w:szCs w:val="21"/>
          <w:highlight w:val="none"/>
          <w:lang w:bidi="ar"/>
        </w:rPr>
        <w:t>日期：</w:t>
      </w:r>
      <w:r>
        <w:rPr>
          <w:rFonts w:hint="eastAsia" w:ascii="宋体" w:hAnsi="宋体" w:eastAsia="宋体" w:cs="宋体"/>
          <w:szCs w:val="21"/>
          <w:highlight w:val="none"/>
          <w:u w:val="single"/>
          <w:lang w:bidi="ar"/>
        </w:rPr>
        <w:t xml:space="preserve">         </w:t>
      </w:r>
      <w:r>
        <w:rPr>
          <w:rFonts w:hint="eastAsia" w:ascii="宋体" w:hAnsi="宋体" w:eastAsia="宋体" w:cs="宋体"/>
          <w:szCs w:val="21"/>
          <w:highlight w:val="none"/>
          <w:lang w:bidi="ar"/>
        </w:rPr>
        <w:t xml:space="preserve">年 </w:t>
      </w:r>
      <w:r>
        <w:rPr>
          <w:rFonts w:hint="eastAsia" w:ascii="宋体" w:hAnsi="宋体" w:eastAsia="宋体" w:cs="宋体"/>
          <w:szCs w:val="21"/>
          <w:highlight w:val="none"/>
          <w:u w:val="single"/>
          <w:lang w:bidi="ar"/>
        </w:rPr>
        <w:t xml:space="preserve">         </w:t>
      </w:r>
      <w:r>
        <w:rPr>
          <w:rFonts w:hint="eastAsia" w:ascii="宋体" w:hAnsi="宋体" w:eastAsia="宋体" w:cs="宋体"/>
          <w:szCs w:val="21"/>
          <w:highlight w:val="none"/>
          <w:lang w:bidi="ar"/>
        </w:rPr>
        <w:t xml:space="preserve">月 </w:t>
      </w:r>
      <w:r>
        <w:rPr>
          <w:rFonts w:hint="eastAsia" w:ascii="宋体" w:hAnsi="宋体" w:eastAsia="宋体" w:cs="宋体"/>
          <w:szCs w:val="21"/>
          <w:highlight w:val="none"/>
          <w:u w:val="single"/>
          <w:lang w:bidi="ar"/>
        </w:rPr>
        <w:t xml:space="preserve">          </w:t>
      </w:r>
      <w:r>
        <w:rPr>
          <w:rFonts w:hint="eastAsia" w:ascii="宋体" w:hAnsi="宋体" w:eastAsia="宋体" w:cs="宋体"/>
          <w:szCs w:val="21"/>
          <w:highlight w:val="none"/>
          <w:lang w:bidi="ar"/>
        </w:rPr>
        <w:t>日</w:t>
      </w:r>
    </w:p>
    <w:p w14:paraId="253C2C0B">
      <w:pPr>
        <w:spacing w:line="360" w:lineRule="auto"/>
        <w:jc w:val="center"/>
        <w:outlineLvl w:val="1"/>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1A7346D8">
      <w:pPr>
        <w:spacing w:line="360" w:lineRule="auto"/>
        <w:jc w:val="center"/>
        <w:outlineLvl w:val="1"/>
        <w:rPr>
          <w:rFonts w:hint="eastAsia" w:ascii="宋体" w:hAnsi="宋体" w:eastAsia="宋体"/>
          <w:b/>
          <w:sz w:val="24"/>
          <w:szCs w:val="24"/>
          <w:highlight w:val="none"/>
        </w:rPr>
      </w:pPr>
    </w:p>
    <w:p w14:paraId="7089B4B2">
      <w:pPr>
        <w:spacing w:line="360" w:lineRule="auto"/>
        <w:jc w:val="center"/>
        <w:outlineLvl w:val="1"/>
        <w:rPr>
          <w:rFonts w:hint="eastAsia" w:asciiTheme="minorEastAsia" w:hAnsiTheme="minorEastAsia" w:eastAsiaTheme="minorEastAsia"/>
          <w:b/>
          <w:sz w:val="24"/>
          <w:highlight w:val="none"/>
        </w:rPr>
      </w:pPr>
    </w:p>
    <w:p w14:paraId="1CA3B629">
      <w:pPr>
        <w:spacing w:line="360" w:lineRule="auto"/>
        <w:jc w:val="center"/>
        <w:outlineLvl w:val="1"/>
        <w:rPr>
          <w:rFonts w:hint="eastAsia" w:asciiTheme="minorEastAsia" w:hAnsiTheme="minorEastAsia" w:eastAsiaTheme="minorEastAsia"/>
          <w:b/>
          <w:sz w:val="24"/>
          <w:highlight w:val="none"/>
        </w:rPr>
      </w:pPr>
    </w:p>
    <w:p w14:paraId="04A725DD">
      <w:pPr>
        <w:spacing w:line="360" w:lineRule="auto"/>
        <w:jc w:val="center"/>
        <w:outlineLvl w:val="1"/>
        <w:rPr>
          <w:rFonts w:hint="eastAsia" w:asciiTheme="minorEastAsia" w:hAnsiTheme="minorEastAsia" w:eastAsiaTheme="minorEastAsia"/>
          <w:b/>
          <w:sz w:val="24"/>
          <w:highlight w:val="none"/>
        </w:rPr>
      </w:pPr>
    </w:p>
    <w:p w14:paraId="030154FA">
      <w:pP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5912AE0A">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六、投标分项报价表</w:t>
      </w:r>
      <w:bookmarkEnd w:id="65"/>
      <w:bookmarkEnd w:id="66"/>
    </w:p>
    <w:p w14:paraId="2D69CC30">
      <w:pPr>
        <w:spacing w:line="360" w:lineRule="auto"/>
        <w:ind w:firstLine="435"/>
        <w:jc w:val="center"/>
        <w:rPr>
          <w:rFonts w:hint="eastAsia" w:asciiTheme="minorEastAsia" w:hAnsiTheme="minorEastAsia" w:eastAsiaTheme="minorEastAsia"/>
          <w:b/>
          <w:sz w:val="24"/>
          <w:highlight w:val="none"/>
        </w:rPr>
      </w:pPr>
      <w:r>
        <w:rPr>
          <w:rFonts w:hint="eastAsia" w:asciiTheme="minorEastAsia" w:hAnsiTheme="minorEastAsia" w:eastAsiaTheme="minorEastAsia"/>
          <w:i/>
          <w:sz w:val="24"/>
          <w:highlight w:val="none"/>
        </w:rPr>
        <w:t>（仅供参考，投标人可自行制作格式）</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7"/>
        <w:gridCol w:w="1356"/>
        <w:gridCol w:w="1696"/>
        <w:gridCol w:w="1567"/>
      </w:tblGrid>
      <w:tr w14:paraId="2C34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74C194A8">
            <w:pP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序号</w:t>
            </w:r>
          </w:p>
        </w:tc>
        <w:tc>
          <w:tcPr>
            <w:tcW w:w="1824" w:type="pct"/>
            <w:vAlign w:val="center"/>
          </w:tcPr>
          <w:p w14:paraId="647826EC">
            <w:pP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服务内容</w:t>
            </w:r>
          </w:p>
        </w:tc>
        <w:tc>
          <w:tcPr>
            <w:tcW w:w="796" w:type="pct"/>
            <w:vAlign w:val="center"/>
          </w:tcPr>
          <w:p w14:paraId="57544684">
            <w:pP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w:t>
            </w:r>
          </w:p>
        </w:tc>
        <w:tc>
          <w:tcPr>
            <w:tcW w:w="995" w:type="pct"/>
            <w:vAlign w:val="center"/>
          </w:tcPr>
          <w:p w14:paraId="6CB80938">
            <w:pP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tc>
        <w:tc>
          <w:tcPr>
            <w:tcW w:w="920" w:type="pct"/>
            <w:vAlign w:val="center"/>
          </w:tcPr>
          <w:p w14:paraId="51322E32">
            <w:pPr>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小计金额（元）</w:t>
            </w:r>
          </w:p>
        </w:tc>
      </w:tr>
      <w:tr w14:paraId="742A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2167C14">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24" w:type="pct"/>
            <w:vAlign w:val="center"/>
          </w:tcPr>
          <w:p w14:paraId="53A51C84">
            <w:pPr>
              <w:jc w:val="center"/>
              <w:rPr>
                <w:rFonts w:hint="eastAsia" w:asciiTheme="minorEastAsia" w:hAnsiTheme="minorEastAsia" w:eastAsiaTheme="minorEastAsia"/>
                <w:sz w:val="24"/>
                <w:highlight w:val="none"/>
              </w:rPr>
            </w:pPr>
          </w:p>
        </w:tc>
        <w:tc>
          <w:tcPr>
            <w:tcW w:w="796" w:type="pct"/>
            <w:vAlign w:val="center"/>
          </w:tcPr>
          <w:p w14:paraId="4AD1125E">
            <w:pPr>
              <w:jc w:val="center"/>
              <w:rPr>
                <w:rFonts w:hint="eastAsia" w:asciiTheme="minorEastAsia" w:hAnsiTheme="minorEastAsia" w:eastAsiaTheme="minorEastAsia"/>
                <w:sz w:val="24"/>
                <w:highlight w:val="none"/>
              </w:rPr>
            </w:pPr>
          </w:p>
        </w:tc>
        <w:tc>
          <w:tcPr>
            <w:tcW w:w="995" w:type="pct"/>
            <w:vAlign w:val="center"/>
          </w:tcPr>
          <w:p w14:paraId="038DA496">
            <w:pPr>
              <w:jc w:val="center"/>
              <w:rPr>
                <w:rFonts w:hint="eastAsia" w:asciiTheme="minorEastAsia" w:hAnsiTheme="minorEastAsia" w:eastAsiaTheme="minorEastAsia"/>
                <w:sz w:val="24"/>
                <w:highlight w:val="none"/>
              </w:rPr>
            </w:pPr>
          </w:p>
        </w:tc>
        <w:tc>
          <w:tcPr>
            <w:tcW w:w="920" w:type="pct"/>
            <w:vAlign w:val="center"/>
          </w:tcPr>
          <w:p w14:paraId="223F74D9">
            <w:pPr>
              <w:jc w:val="center"/>
              <w:rPr>
                <w:rFonts w:hint="eastAsia" w:asciiTheme="minorEastAsia" w:hAnsiTheme="minorEastAsia" w:eastAsiaTheme="minorEastAsia"/>
                <w:sz w:val="24"/>
                <w:highlight w:val="none"/>
              </w:rPr>
            </w:pPr>
          </w:p>
        </w:tc>
      </w:tr>
      <w:tr w14:paraId="0F7A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59B1DB0">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24" w:type="pct"/>
            <w:vAlign w:val="center"/>
          </w:tcPr>
          <w:p w14:paraId="4EA11547">
            <w:pPr>
              <w:jc w:val="center"/>
              <w:rPr>
                <w:rFonts w:hint="eastAsia" w:asciiTheme="minorEastAsia" w:hAnsiTheme="minorEastAsia" w:eastAsiaTheme="minorEastAsia"/>
                <w:sz w:val="24"/>
                <w:highlight w:val="none"/>
              </w:rPr>
            </w:pPr>
          </w:p>
        </w:tc>
        <w:tc>
          <w:tcPr>
            <w:tcW w:w="796" w:type="pct"/>
            <w:vAlign w:val="center"/>
          </w:tcPr>
          <w:p w14:paraId="0C5B0DCE">
            <w:pPr>
              <w:jc w:val="center"/>
              <w:rPr>
                <w:rFonts w:hint="eastAsia" w:asciiTheme="minorEastAsia" w:hAnsiTheme="minorEastAsia" w:eastAsiaTheme="minorEastAsia"/>
                <w:sz w:val="24"/>
                <w:highlight w:val="none"/>
              </w:rPr>
            </w:pPr>
          </w:p>
        </w:tc>
        <w:tc>
          <w:tcPr>
            <w:tcW w:w="995" w:type="pct"/>
            <w:vAlign w:val="center"/>
          </w:tcPr>
          <w:p w14:paraId="757FE84C">
            <w:pPr>
              <w:jc w:val="center"/>
              <w:rPr>
                <w:rFonts w:hint="eastAsia" w:asciiTheme="minorEastAsia" w:hAnsiTheme="minorEastAsia" w:eastAsiaTheme="minorEastAsia"/>
                <w:sz w:val="24"/>
                <w:highlight w:val="none"/>
              </w:rPr>
            </w:pPr>
          </w:p>
        </w:tc>
        <w:tc>
          <w:tcPr>
            <w:tcW w:w="920" w:type="pct"/>
            <w:vAlign w:val="center"/>
          </w:tcPr>
          <w:p w14:paraId="664B8EF2">
            <w:pPr>
              <w:jc w:val="center"/>
              <w:rPr>
                <w:rFonts w:hint="eastAsia" w:asciiTheme="minorEastAsia" w:hAnsiTheme="minorEastAsia" w:eastAsiaTheme="minorEastAsia"/>
                <w:sz w:val="24"/>
                <w:highlight w:val="none"/>
              </w:rPr>
            </w:pPr>
          </w:p>
        </w:tc>
      </w:tr>
      <w:tr w14:paraId="01C3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5CB2F64">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824" w:type="pct"/>
            <w:vAlign w:val="center"/>
          </w:tcPr>
          <w:p w14:paraId="58721F6F">
            <w:pPr>
              <w:jc w:val="center"/>
              <w:rPr>
                <w:rFonts w:hint="eastAsia" w:asciiTheme="minorEastAsia" w:hAnsiTheme="minorEastAsia" w:eastAsiaTheme="minorEastAsia"/>
                <w:sz w:val="24"/>
                <w:highlight w:val="none"/>
              </w:rPr>
            </w:pPr>
          </w:p>
        </w:tc>
        <w:tc>
          <w:tcPr>
            <w:tcW w:w="796" w:type="pct"/>
            <w:vAlign w:val="center"/>
          </w:tcPr>
          <w:p w14:paraId="212AED5A">
            <w:pPr>
              <w:jc w:val="center"/>
              <w:rPr>
                <w:rFonts w:hint="eastAsia" w:asciiTheme="minorEastAsia" w:hAnsiTheme="minorEastAsia" w:eastAsiaTheme="minorEastAsia"/>
                <w:sz w:val="24"/>
                <w:highlight w:val="none"/>
              </w:rPr>
            </w:pPr>
          </w:p>
        </w:tc>
        <w:tc>
          <w:tcPr>
            <w:tcW w:w="995" w:type="pct"/>
            <w:vAlign w:val="center"/>
          </w:tcPr>
          <w:p w14:paraId="030F802B">
            <w:pPr>
              <w:jc w:val="center"/>
              <w:rPr>
                <w:rFonts w:hint="eastAsia" w:asciiTheme="minorEastAsia" w:hAnsiTheme="minorEastAsia" w:eastAsiaTheme="minorEastAsia"/>
                <w:sz w:val="24"/>
                <w:highlight w:val="none"/>
              </w:rPr>
            </w:pPr>
          </w:p>
        </w:tc>
        <w:tc>
          <w:tcPr>
            <w:tcW w:w="920" w:type="pct"/>
            <w:vAlign w:val="center"/>
          </w:tcPr>
          <w:p w14:paraId="782EB554">
            <w:pPr>
              <w:jc w:val="center"/>
              <w:rPr>
                <w:rFonts w:hint="eastAsia" w:asciiTheme="minorEastAsia" w:hAnsiTheme="minorEastAsia" w:eastAsiaTheme="minorEastAsia"/>
                <w:sz w:val="24"/>
                <w:highlight w:val="none"/>
              </w:rPr>
            </w:pPr>
          </w:p>
        </w:tc>
      </w:tr>
      <w:tr w14:paraId="31F5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4733FC9">
            <w:pPr>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1824" w:type="pct"/>
            <w:vAlign w:val="center"/>
          </w:tcPr>
          <w:p w14:paraId="6E4E96BD">
            <w:pPr>
              <w:jc w:val="center"/>
              <w:rPr>
                <w:rFonts w:hint="eastAsia" w:asciiTheme="minorEastAsia" w:hAnsiTheme="minorEastAsia" w:eastAsiaTheme="minorEastAsia"/>
                <w:sz w:val="24"/>
                <w:highlight w:val="none"/>
              </w:rPr>
            </w:pPr>
          </w:p>
        </w:tc>
        <w:tc>
          <w:tcPr>
            <w:tcW w:w="796" w:type="pct"/>
            <w:vAlign w:val="center"/>
          </w:tcPr>
          <w:p w14:paraId="32DAC52C">
            <w:pPr>
              <w:jc w:val="center"/>
              <w:rPr>
                <w:rFonts w:hint="eastAsia" w:asciiTheme="minorEastAsia" w:hAnsiTheme="minorEastAsia" w:eastAsiaTheme="minorEastAsia"/>
                <w:sz w:val="24"/>
                <w:highlight w:val="none"/>
              </w:rPr>
            </w:pPr>
          </w:p>
        </w:tc>
        <w:tc>
          <w:tcPr>
            <w:tcW w:w="995" w:type="pct"/>
            <w:vAlign w:val="center"/>
          </w:tcPr>
          <w:p w14:paraId="3B68A811">
            <w:pPr>
              <w:jc w:val="center"/>
              <w:rPr>
                <w:rFonts w:hint="eastAsia" w:asciiTheme="minorEastAsia" w:hAnsiTheme="minorEastAsia" w:eastAsiaTheme="minorEastAsia"/>
                <w:sz w:val="24"/>
                <w:highlight w:val="none"/>
              </w:rPr>
            </w:pPr>
          </w:p>
        </w:tc>
        <w:tc>
          <w:tcPr>
            <w:tcW w:w="920" w:type="pct"/>
            <w:vAlign w:val="center"/>
          </w:tcPr>
          <w:p w14:paraId="0C0CFE4A">
            <w:pPr>
              <w:jc w:val="center"/>
              <w:rPr>
                <w:rFonts w:hint="eastAsia" w:asciiTheme="minorEastAsia" w:hAnsiTheme="minorEastAsia" w:eastAsiaTheme="minorEastAsia"/>
                <w:sz w:val="24"/>
                <w:highlight w:val="none"/>
              </w:rPr>
            </w:pPr>
          </w:p>
        </w:tc>
      </w:tr>
      <w:tr w14:paraId="33E1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D559D5C">
            <w:pPr>
              <w:jc w:val="center"/>
              <w:rPr>
                <w:rFonts w:hint="eastAsia" w:asciiTheme="minorEastAsia" w:hAnsiTheme="minorEastAsia" w:eastAsiaTheme="minorEastAsia"/>
                <w:sz w:val="24"/>
                <w:highlight w:val="none"/>
              </w:rPr>
            </w:pPr>
          </w:p>
        </w:tc>
        <w:tc>
          <w:tcPr>
            <w:tcW w:w="1824" w:type="pct"/>
            <w:vAlign w:val="center"/>
          </w:tcPr>
          <w:p w14:paraId="07349AB0">
            <w:pPr>
              <w:pStyle w:val="49"/>
              <w:ind w:left="-108"/>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796" w:type="pct"/>
            <w:vAlign w:val="center"/>
          </w:tcPr>
          <w:p w14:paraId="74C99E76">
            <w:pPr>
              <w:jc w:val="center"/>
              <w:rPr>
                <w:rFonts w:hint="eastAsia" w:asciiTheme="minorEastAsia" w:hAnsiTheme="minorEastAsia" w:eastAsiaTheme="minorEastAsia"/>
                <w:sz w:val="24"/>
                <w:highlight w:val="none"/>
              </w:rPr>
            </w:pPr>
          </w:p>
        </w:tc>
        <w:tc>
          <w:tcPr>
            <w:tcW w:w="995" w:type="pct"/>
            <w:vAlign w:val="center"/>
          </w:tcPr>
          <w:p w14:paraId="6C1119CA">
            <w:pPr>
              <w:jc w:val="center"/>
              <w:rPr>
                <w:rFonts w:hint="eastAsia" w:asciiTheme="minorEastAsia" w:hAnsiTheme="minorEastAsia" w:eastAsiaTheme="minorEastAsia"/>
                <w:sz w:val="24"/>
                <w:highlight w:val="none"/>
              </w:rPr>
            </w:pPr>
          </w:p>
        </w:tc>
        <w:tc>
          <w:tcPr>
            <w:tcW w:w="920" w:type="pct"/>
            <w:vAlign w:val="center"/>
          </w:tcPr>
          <w:p w14:paraId="74B02E05">
            <w:pPr>
              <w:jc w:val="center"/>
              <w:rPr>
                <w:rFonts w:hint="eastAsia" w:asciiTheme="minorEastAsia" w:hAnsiTheme="minorEastAsia" w:eastAsiaTheme="minorEastAsia"/>
                <w:sz w:val="24"/>
                <w:highlight w:val="none"/>
              </w:rPr>
            </w:pPr>
          </w:p>
        </w:tc>
      </w:tr>
      <w:tr w14:paraId="3B47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8300399">
            <w:pPr>
              <w:jc w:val="center"/>
              <w:rPr>
                <w:rFonts w:hint="eastAsia" w:asciiTheme="minorEastAsia" w:hAnsiTheme="minorEastAsia" w:eastAsiaTheme="minorEastAsia"/>
                <w:sz w:val="24"/>
                <w:highlight w:val="none"/>
              </w:rPr>
            </w:pPr>
          </w:p>
        </w:tc>
        <w:tc>
          <w:tcPr>
            <w:tcW w:w="1824" w:type="pct"/>
            <w:vAlign w:val="center"/>
          </w:tcPr>
          <w:p w14:paraId="67ACFE7B">
            <w:pPr>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w:t>
            </w:r>
          </w:p>
        </w:tc>
        <w:tc>
          <w:tcPr>
            <w:tcW w:w="796" w:type="pct"/>
            <w:vAlign w:val="center"/>
          </w:tcPr>
          <w:p w14:paraId="4E715313">
            <w:pPr>
              <w:jc w:val="center"/>
              <w:rPr>
                <w:rFonts w:hint="eastAsia" w:asciiTheme="minorEastAsia" w:hAnsiTheme="minorEastAsia" w:eastAsiaTheme="minorEastAsia"/>
                <w:sz w:val="24"/>
                <w:highlight w:val="none"/>
              </w:rPr>
            </w:pPr>
          </w:p>
        </w:tc>
        <w:tc>
          <w:tcPr>
            <w:tcW w:w="995" w:type="pct"/>
            <w:vAlign w:val="center"/>
          </w:tcPr>
          <w:p w14:paraId="73EA428C">
            <w:pPr>
              <w:jc w:val="center"/>
              <w:rPr>
                <w:rFonts w:hint="eastAsia" w:asciiTheme="minorEastAsia" w:hAnsiTheme="minorEastAsia" w:eastAsiaTheme="minorEastAsia"/>
                <w:sz w:val="24"/>
                <w:highlight w:val="none"/>
              </w:rPr>
            </w:pPr>
          </w:p>
        </w:tc>
        <w:tc>
          <w:tcPr>
            <w:tcW w:w="920" w:type="pct"/>
            <w:vAlign w:val="center"/>
          </w:tcPr>
          <w:p w14:paraId="3B97EAC1">
            <w:pPr>
              <w:jc w:val="center"/>
              <w:rPr>
                <w:rFonts w:hint="eastAsia" w:asciiTheme="minorEastAsia" w:hAnsiTheme="minorEastAsia" w:eastAsiaTheme="minorEastAsia"/>
                <w:sz w:val="24"/>
                <w:highlight w:val="none"/>
              </w:rPr>
            </w:pPr>
          </w:p>
        </w:tc>
      </w:tr>
      <w:tr w14:paraId="5A6D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722EB90">
            <w:pPr>
              <w:jc w:val="center"/>
              <w:rPr>
                <w:rFonts w:hint="eastAsia" w:asciiTheme="minorEastAsia" w:hAnsiTheme="minorEastAsia" w:eastAsiaTheme="minorEastAsia"/>
                <w:sz w:val="24"/>
                <w:highlight w:val="none"/>
              </w:rPr>
            </w:pPr>
            <w:r>
              <w:rPr>
                <w:rFonts w:hint="eastAsia" w:asciiTheme="minorEastAsia" w:hAnsiTheme="minorEastAsia" w:eastAsiaTheme="minorEastAsia"/>
                <w:b/>
                <w:sz w:val="24"/>
                <w:highlight w:val="none"/>
              </w:rPr>
              <w:t>合计金额（元）</w:t>
            </w:r>
          </w:p>
        </w:tc>
        <w:tc>
          <w:tcPr>
            <w:tcW w:w="920" w:type="pct"/>
            <w:vAlign w:val="center"/>
          </w:tcPr>
          <w:p w14:paraId="5E626974">
            <w:pPr>
              <w:jc w:val="center"/>
              <w:rPr>
                <w:rFonts w:hint="eastAsia" w:asciiTheme="minorEastAsia" w:hAnsiTheme="minorEastAsia" w:eastAsiaTheme="minorEastAsia"/>
                <w:sz w:val="24"/>
                <w:highlight w:val="none"/>
              </w:rPr>
            </w:pPr>
          </w:p>
        </w:tc>
      </w:tr>
    </w:tbl>
    <w:p w14:paraId="3910A347">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400881C4">
      <w:pPr>
        <w:tabs>
          <w:tab w:val="left" w:pos="630"/>
        </w:tabs>
        <w:spacing w:line="360" w:lineRule="auto"/>
        <w:ind w:firstLine="4800" w:firstLineChars="2000"/>
        <w:rPr>
          <w:rFonts w:hint="eastAsia" w:asciiTheme="minorEastAsia" w:hAnsiTheme="minorEastAsia" w:eastAsiaTheme="minorEastAsia"/>
          <w:b/>
          <w:bCs/>
          <w:sz w:val="24"/>
          <w:szCs w:val="28"/>
          <w:highlight w:val="non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30145DC2">
      <w:pPr>
        <w:adjustRightInd w:val="0"/>
        <w:snapToGrid w:val="0"/>
        <w:spacing w:line="360" w:lineRule="auto"/>
        <w:rPr>
          <w:rFonts w:hint="eastAsia"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6764D8F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所列服务为对应本项目需求的全部服务内容。如有漏项或缺项，投标人承担全部责任。</w:t>
      </w:r>
    </w:p>
    <w:p w14:paraId="5005EC72">
      <w:pPr>
        <w:pStyle w:val="8"/>
        <w:rPr>
          <w:rFonts w:hint="eastAsia" w:asciiTheme="minorEastAsia" w:hAnsiTheme="minorEastAsia" w:eastAsiaTheme="minorEastAsia"/>
          <w:sz w:val="24"/>
          <w:highlight w:val="none"/>
        </w:rPr>
      </w:pPr>
    </w:p>
    <w:p w14:paraId="78344DFA">
      <w:pPr>
        <w:rPr>
          <w:rFonts w:hint="eastAsia" w:asciiTheme="minorEastAsia" w:hAnsiTheme="minorEastAsia" w:eastAsiaTheme="minorEastAsia"/>
          <w:b/>
          <w:sz w:val="24"/>
          <w:highlight w:val="none"/>
        </w:rPr>
      </w:pPr>
      <w:bookmarkStart w:id="67" w:name="_Toc20329"/>
      <w:r>
        <w:rPr>
          <w:rFonts w:hint="eastAsia" w:asciiTheme="minorEastAsia" w:hAnsiTheme="minorEastAsia" w:eastAsiaTheme="minorEastAsia"/>
          <w:b/>
          <w:sz w:val="24"/>
          <w:highlight w:val="none"/>
        </w:rPr>
        <w:br w:type="page"/>
      </w:r>
    </w:p>
    <w:p w14:paraId="3310360B">
      <w:pPr>
        <w:spacing w:line="360" w:lineRule="auto"/>
        <w:jc w:val="center"/>
        <w:outlineLvl w:val="1"/>
        <w:rPr>
          <w:rFonts w:hint="eastAsia" w:asciiTheme="minorEastAsia" w:hAnsiTheme="minorEastAsia" w:eastAsiaTheme="minorEastAsia"/>
          <w:b/>
          <w:sz w:val="24"/>
          <w:highlight w:val="none"/>
        </w:rPr>
      </w:pPr>
      <w:bookmarkStart w:id="68" w:name="_Toc15209"/>
      <w:r>
        <w:rPr>
          <w:rFonts w:hint="eastAsia" w:asciiTheme="minorEastAsia" w:hAnsiTheme="minorEastAsia" w:eastAsiaTheme="minorEastAsia"/>
          <w:b/>
          <w:sz w:val="24"/>
          <w:highlight w:val="none"/>
        </w:rPr>
        <w:t>七、投标响应表</w:t>
      </w:r>
      <w:bookmarkEnd w:id="67"/>
      <w:bookmarkEnd w:id="68"/>
    </w:p>
    <w:p w14:paraId="6A6A978B">
      <w:pPr>
        <w:spacing w:line="360" w:lineRule="auto"/>
        <w:ind w:firstLine="435"/>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5"/>
        <w:gridCol w:w="2496"/>
        <w:gridCol w:w="2573"/>
        <w:gridCol w:w="810"/>
      </w:tblGrid>
      <w:tr w14:paraId="1CF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129488E">
            <w:pPr>
              <w:pStyle w:val="10"/>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序号</w:t>
            </w:r>
          </w:p>
        </w:tc>
        <w:tc>
          <w:tcPr>
            <w:tcW w:w="1124" w:type="pct"/>
            <w:vAlign w:val="center"/>
          </w:tcPr>
          <w:p w14:paraId="77F25DAC">
            <w:pPr>
              <w:pStyle w:val="10"/>
              <w:jc w:val="center"/>
              <w:rPr>
                <w:rFonts w:hint="eastAsia"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1465" w:type="pct"/>
            <w:vAlign w:val="center"/>
          </w:tcPr>
          <w:p w14:paraId="0E3CD321">
            <w:pPr>
              <w:pStyle w:val="10"/>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1510" w:type="pct"/>
            <w:vAlign w:val="center"/>
          </w:tcPr>
          <w:p w14:paraId="32D00234">
            <w:pPr>
              <w:pStyle w:val="10"/>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475" w:type="pct"/>
            <w:vAlign w:val="center"/>
          </w:tcPr>
          <w:p w14:paraId="3C287A8B">
            <w:pPr>
              <w:pStyle w:val="10"/>
              <w:jc w:val="center"/>
              <w:rPr>
                <w:rFonts w:hint="eastAsia"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44EB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25D0237">
            <w:pPr>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124" w:type="pct"/>
            <w:vAlign w:val="center"/>
          </w:tcPr>
          <w:p w14:paraId="7C8D6F3D">
            <w:pPr>
              <w:jc w:val="center"/>
              <w:rPr>
                <w:rFonts w:hint="eastAsia" w:ascii="宋体" w:hAnsi="宋体" w:eastAsia="宋体"/>
                <w:sz w:val="24"/>
                <w:highlight w:val="none"/>
              </w:rPr>
            </w:pPr>
            <w:r>
              <w:rPr>
                <w:rFonts w:asciiTheme="minorEastAsia" w:hAnsiTheme="minorEastAsia" w:eastAsiaTheme="minorEastAsia"/>
                <w:sz w:val="24"/>
                <w:highlight w:val="none"/>
              </w:rPr>
              <w:t>付款方式</w:t>
            </w:r>
          </w:p>
        </w:tc>
        <w:tc>
          <w:tcPr>
            <w:tcW w:w="1465" w:type="pct"/>
            <w:vAlign w:val="center"/>
          </w:tcPr>
          <w:p w14:paraId="54308B2D">
            <w:pPr>
              <w:jc w:val="center"/>
              <w:rPr>
                <w:rFonts w:hint="eastAsia" w:asciiTheme="minorEastAsia" w:hAnsiTheme="minorEastAsia" w:eastAsiaTheme="minorEastAsia"/>
                <w:sz w:val="24"/>
                <w:highlight w:val="none"/>
              </w:rPr>
            </w:pPr>
          </w:p>
        </w:tc>
        <w:tc>
          <w:tcPr>
            <w:tcW w:w="1510" w:type="pct"/>
            <w:vAlign w:val="center"/>
          </w:tcPr>
          <w:p w14:paraId="30DF5FA4">
            <w:pPr>
              <w:jc w:val="center"/>
              <w:rPr>
                <w:rFonts w:hint="eastAsia" w:asciiTheme="minorEastAsia" w:hAnsiTheme="minorEastAsia" w:eastAsiaTheme="minorEastAsia"/>
                <w:sz w:val="24"/>
                <w:highlight w:val="none"/>
              </w:rPr>
            </w:pPr>
          </w:p>
        </w:tc>
        <w:tc>
          <w:tcPr>
            <w:tcW w:w="475" w:type="pct"/>
            <w:vAlign w:val="center"/>
          </w:tcPr>
          <w:p w14:paraId="1ECCE024">
            <w:pPr>
              <w:jc w:val="center"/>
              <w:rPr>
                <w:rFonts w:hint="eastAsia" w:asciiTheme="minorEastAsia" w:hAnsiTheme="minorEastAsia" w:eastAsiaTheme="minorEastAsia"/>
                <w:sz w:val="24"/>
                <w:highlight w:val="none"/>
              </w:rPr>
            </w:pPr>
          </w:p>
        </w:tc>
      </w:tr>
      <w:tr w14:paraId="39A5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5649AAA">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124" w:type="pct"/>
            <w:vAlign w:val="center"/>
          </w:tcPr>
          <w:p w14:paraId="44A21A9C">
            <w:pPr>
              <w:jc w:val="center"/>
              <w:rPr>
                <w:rFonts w:hint="eastAsia" w:ascii="宋体" w:hAnsi="宋体" w:eastAsia="宋体"/>
                <w:sz w:val="24"/>
                <w:highlight w:val="none"/>
              </w:rPr>
            </w:pPr>
            <w:r>
              <w:rPr>
                <w:rFonts w:hint="eastAsia" w:ascii="宋体" w:hAnsi="宋体" w:eastAsia="宋体"/>
                <w:sz w:val="24"/>
                <w:highlight w:val="none"/>
              </w:rPr>
              <w:t>服务地点</w:t>
            </w:r>
          </w:p>
        </w:tc>
        <w:tc>
          <w:tcPr>
            <w:tcW w:w="1465" w:type="pct"/>
            <w:vAlign w:val="center"/>
          </w:tcPr>
          <w:p w14:paraId="6F9A93F7">
            <w:pPr>
              <w:jc w:val="center"/>
              <w:rPr>
                <w:rFonts w:hint="eastAsia" w:asciiTheme="minorEastAsia" w:hAnsiTheme="minorEastAsia" w:eastAsiaTheme="minorEastAsia"/>
                <w:sz w:val="24"/>
                <w:highlight w:val="none"/>
              </w:rPr>
            </w:pPr>
          </w:p>
        </w:tc>
        <w:tc>
          <w:tcPr>
            <w:tcW w:w="1510" w:type="pct"/>
            <w:vAlign w:val="center"/>
          </w:tcPr>
          <w:p w14:paraId="4CDD9190">
            <w:pPr>
              <w:jc w:val="center"/>
              <w:rPr>
                <w:rFonts w:hint="eastAsia" w:asciiTheme="minorEastAsia" w:hAnsiTheme="minorEastAsia" w:eastAsiaTheme="minorEastAsia"/>
                <w:sz w:val="24"/>
                <w:highlight w:val="none"/>
              </w:rPr>
            </w:pPr>
          </w:p>
        </w:tc>
        <w:tc>
          <w:tcPr>
            <w:tcW w:w="475" w:type="pct"/>
            <w:vAlign w:val="center"/>
          </w:tcPr>
          <w:p w14:paraId="321DCA44">
            <w:pPr>
              <w:jc w:val="center"/>
              <w:rPr>
                <w:rFonts w:hint="eastAsia" w:asciiTheme="minorEastAsia" w:hAnsiTheme="minorEastAsia" w:eastAsiaTheme="minorEastAsia"/>
                <w:sz w:val="24"/>
                <w:highlight w:val="none"/>
              </w:rPr>
            </w:pPr>
          </w:p>
        </w:tc>
      </w:tr>
      <w:tr w14:paraId="5EBC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5484E9">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124" w:type="pct"/>
            <w:vAlign w:val="center"/>
          </w:tcPr>
          <w:p w14:paraId="63B4F594">
            <w:pPr>
              <w:jc w:val="center"/>
              <w:rPr>
                <w:rFonts w:hint="eastAsia" w:ascii="宋体" w:hAnsi="宋体" w:eastAsia="宋体"/>
                <w:sz w:val="24"/>
                <w:highlight w:val="none"/>
              </w:rPr>
            </w:pPr>
            <w:r>
              <w:rPr>
                <w:rFonts w:hint="eastAsia" w:ascii="宋体" w:hAnsi="宋体" w:eastAsia="宋体"/>
                <w:sz w:val="24"/>
                <w:highlight w:val="none"/>
              </w:rPr>
              <w:t>服务期限</w:t>
            </w:r>
          </w:p>
        </w:tc>
        <w:tc>
          <w:tcPr>
            <w:tcW w:w="1465" w:type="pct"/>
            <w:vAlign w:val="center"/>
          </w:tcPr>
          <w:p w14:paraId="4CC066AA">
            <w:pPr>
              <w:jc w:val="center"/>
              <w:rPr>
                <w:rFonts w:hint="eastAsia" w:asciiTheme="minorEastAsia" w:hAnsiTheme="minorEastAsia" w:eastAsiaTheme="minorEastAsia"/>
                <w:sz w:val="24"/>
                <w:highlight w:val="none"/>
              </w:rPr>
            </w:pPr>
          </w:p>
        </w:tc>
        <w:tc>
          <w:tcPr>
            <w:tcW w:w="1510" w:type="pct"/>
            <w:vAlign w:val="center"/>
          </w:tcPr>
          <w:p w14:paraId="73392FFB">
            <w:pPr>
              <w:pStyle w:val="49"/>
              <w:jc w:val="center"/>
              <w:rPr>
                <w:rFonts w:hint="eastAsia" w:asciiTheme="minorEastAsia" w:hAnsiTheme="minorEastAsia" w:eastAsiaTheme="minorEastAsia"/>
                <w:highlight w:val="none"/>
              </w:rPr>
            </w:pPr>
          </w:p>
        </w:tc>
        <w:tc>
          <w:tcPr>
            <w:tcW w:w="475" w:type="pct"/>
            <w:vAlign w:val="center"/>
          </w:tcPr>
          <w:p w14:paraId="318B26DD">
            <w:pPr>
              <w:jc w:val="center"/>
              <w:rPr>
                <w:rFonts w:hint="eastAsia" w:asciiTheme="minorEastAsia" w:hAnsiTheme="minorEastAsia" w:eastAsiaTheme="minorEastAsia"/>
                <w:sz w:val="24"/>
                <w:highlight w:val="none"/>
              </w:rPr>
            </w:pPr>
          </w:p>
        </w:tc>
      </w:tr>
      <w:tr w14:paraId="3440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2C1E780">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124" w:type="pct"/>
            <w:vAlign w:val="center"/>
          </w:tcPr>
          <w:p w14:paraId="6F0A7031">
            <w:pPr>
              <w:jc w:val="center"/>
              <w:rPr>
                <w:rFonts w:hint="eastAsia" w:ascii="宋体" w:hAnsi="宋体" w:eastAsia="宋体"/>
                <w:sz w:val="24"/>
                <w:highlight w:val="none"/>
              </w:rPr>
            </w:pPr>
          </w:p>
        </w:tc>
        <w:tc>
          <w:tcPr>
            <w:tcW w:w="1465" w:type="pct"/>
            <w:vAlign w:val="center"/>
          </w:tcPr>
          <w:p w14:paraId="4877064B">
            <w:pPr>
              <w:jc w:val="center"/>
              <w:rPr>
                <w:rFonts w:hint="eastAsia" w:asciiTheme="minorEastAsia" w:hAnsiTheme="minorEastAsia" w:eastAsiaTheme="minorEastAsia"/>
                <w:sz w:val="24"/>
                <w:highlight w:val="none"/>
              </w:rPr>
            </w:pPr>
          </w:p>
        </w:tc>
        <w:tc>
          <w:tcPr>
            <w:tcW w:w="1510" w:type="pct"/>
            <w:vAlign w:val="center"/>
          </w:tcPr>
          <w:p w14:paraId="363AB886">
            <w:pPr>
              <w:jc w:val="center"/>
              <w:rPr>
                <w:rFonts w:hint="eastAsia" w:asciiTheme="minorEastAsia" w:hAnsiTheme="minorEastAsia" w:eastAsiaTheme="minorEastAsia"/>
                <w:sz w:val="24"/>
                <w:highlight w:val="none"/>
              </w:rPr>
            </w:pPr>
          </w:p>
        </w:tc>
        <w:tc>
          <w:tcPr>
            <w:tcW w:w="475" w:type="pct"/>
            <w:vAlign w:val="center"/>
          </w:tcPr>
          <w:p w14:paraId="2C3146B5">
            <w:pPr>
              <w:jc w:val="center"/>
              <w:rPr>
                <w:rFonts w:hint="eastAsia" w:asciiTheme="minorEastAsia" w:hAnsiTheme="minorEastAsia" w:eastAsiaTheme="minorEastAsia"/>
                <w:sz w:val="24"/>
                <w:highlight w:val="none"/>
              </w:rPr>
            </w:pPr>
          </w:p>
        </w:tc>
      </w:tr>
    </w:tbl>
    <w:p w14:paraId="13895208">
      <w:pPr>
        <w:spacing w:line="360" w:lineRule="auto"/>
        <w:ind w:firstLine="435"/>
        <w:outlineLvl w:val="2"/>
        <w:rPr>
          <w:rFonts w:hint="eastAsia" w:ascii="宋体" w:hAnsi="宋体" w:eastAsia="宋体"/>
          <w:bCs/>
          <w:i/>
          <w:iCs/>
          <w:sz w:val="24"/>
          <w:szCs w:val="24"/>
          <w:highlight w:val="none"/>
        </w:rPr>
      </w:pPr>
      <w:r>
        <w:rPr>
          <w:rFonts w:hint="eastAsia" w:ascii="宋体" w:hAnsi="宋体" w:eastAsia="宋体" w:cs="宋体"/>
          <w:b/>
          <w:sz w:val="24"/>
          <w:szCs w:val="24"/>
          <w:highlight w:val="none"/>
          <w:lang w:bidi="ar"/>
        </w:rPr>
        <w:t>6</w:t>
      </w:r>
      <w:r>
        <w:rPr>
          <w:rFonts w:hint="eastAsia" w:ascii="宋体" w:hAnsi="宋体" w:eastAsia="宋体"/>
          <w:b/>
          <w:sz w:val="24"/>
          <w:szCs w:val="24"/>
          <w:highlight w:val="none"/>
          <w:lang w:bidi="ar"/>
        </w:rPr>
        <w:t>.2</w:t>
      </w:r>
      <w:r>
        <w:rPr>
          <w:rFonts w:hint="eastAsia" w:ascii="宋体" w:hAnsi="宋体" w:eastAsia="宋体" w:cs="宋体"/>
          <w:b/>
          <w:sz w:val="24"/>
          <w:szCs w:val="24"/>
          <w:highlight w:val="none"/>
          <w:lang w:bidi="ar"/>
        </w:rPr>
        <w:t>清单响应表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59"/>
        <w:gridCol w:w="2862"/>
        <w:gridCol w:w="2481"/>
        <w:gridCol w:w="854"/>
      </w:tblGrid>
      <w:tr w14:paraId="5C4F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368AF220">
            <w:pPr>
              <w:pStyle w:val="18"/>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915" w:type="pct"/>
            <w:tcBorders>
              <w:top w:val="single" w:color="auto" w:sz="4" w:space="0"/>
              <w:left w:val="single" w:color="auto" w:sz="4" w:space="0"/>
              <w:bottom w:val="single" w:color="auto" w:sz="4" w:space="0"/>
              <w:right w:val="single" w:color="auto" w:sz="4" w:space="0"/>
            </w:tcBorders>
            <w:vAlign w:val="center"/>
          </w:tcPr>
          <w:p w14:paraId="414DB62A">
            <w:pPr>
              <w:pStyle w:val="18"/>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名称</w:t>
            </w:r>
          </w:p>
        </w:tc>
        <w:tc>
          <w:tcPr>
            <w:tcW w:w="1680" w:type="pct"/>
            <w:tcBorders>
              <w:top w:val="single" w:color="auto" w:sz="4" w:space="0"/>
              <w:left w:val="single" w:color="auto" w:sz="4" w:space="0"/>
              <w:bottom w:val="single" w:color="auto" w:sz="4" w:space="0"/>
              <w:right w:val="single" w:color="auto" w:sz="4" w:space="0"/>
            </w:tcBorders>
            <w:vAlign w:val="center"/>
          </w:tcPr>
          <w:p w14:paraId="39DADEF9">
            <w:pPr>
              <w:pStyle w:val="18"/>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招标文件规定的技术参数要求</w:t>
            </w:r>
          </w:p>
        </w:tc>
        <w:tc>
          <w:tcPr>
            <w:tcW w:w="1456" w:type="pct"/>
            <w:tcBorders>
              <w:top w:val="single" w:color="auto" w:sz="4" w:space="0"/>
              <w:left w:val="single" w:color="auto" w:sz="4" w:space="0"/>
              <w:bottom w:val="single" w:color="auto" w:sz="4" w:space="0"/>
              <w:right w:val="single" w:color="auto" w:sz="4" w:space="0"/>
            </w:tcBorders>
            <w:vAlign w:val="center"/>
          </w:tcPr>
          <w:p w14:paraId="4CC6EC6A">
            <w:pPr>
              <w:pStyle w:val="18"/>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所投产品的品牌、型号及技术参数</w:t>
            </w:r>
          </w:p>
        </w:tc>
        <w:tc>
          <w:tcPr>
            <w:tcW w:w="501" w:type="pct"/>
            <w:tcBorders>
              <w:top w:val="single" w:color="auto" w:sz="4" w:space="0"/>
              <w:left w:val="single" w:color="auto" w:sz="4" w:space="0"/>
              <w:bottom w:val="single" w:color="auto" w:sz="4" w:space="0"/>
              <w:right w:val="single" w:color="auto" w:sz="4" w:space="0"/>
            </w:tcBorders>
            <w:vAlign w:val="center"/>
          </w:tcPr>
          <w:p w14:paraId="717B5BB4">
            <w:pPr>
              <w:pStyle w:val="18"/>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64C5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42AE58D2">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915" w:type="pct"/>
            <w:tcBorders>
              <w:top w:val="single" w:color="auto" w:sz="4" w:space="0"/>
              <w:left w:val="single" w:color="auto" w:sz="4" w:space="0"/>
              <w:bottom w:val="single" w:color="auto" w:sz="4" w:space="0"/>
              <w:right w:val="single" w:color="auto" w:sz="4" w:space="0"/>
            </w:tcBorders>
            <w:vAlign w:val="center"/>
          </w:tcPr>
          <w:p w14:paraId="4944E6FB">
            <w:pPr>
              <w:jc w:val="center"/>
              <w:rPr>
                <w:rFonts w:hint="eastAsia" w:ascii="宋体" w:hAnsi="宋体" w:eastAsia="宋体"/>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vAlign w:val="center"/>
          </w:tcPr>
          <w:p w14:paraId="650142F5">
            <w:pPr>
              <w:jc w:val="center"/>
              <w:rPr>
                <w:rFonts w:hint="eastAsia" w:ascii="宋体" w:hAnsi="宋体" w:eastAsia="宋体"/>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vAlign w:val="center"/>
          </w:tcPr>
          <w:p w14:paraId="3C95B40C">
            <w:pPr>
              <w:jc w:val="center"/>
              <w:rPr>
                <w:rFonts w:hint="eastAsia" w:ascii="宋体" w:hAnsi="宋体" w:eastAsia="宋体"/>
                <w:sz w:val="24"/>
                <w:szCs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E59CF18">
            <w:pPr>
              <w:jc w:val="center"/>
              <w:rPr>
                <w:rFonts w:hint="eastAsia" w:ascii="宋体" w:hAnsi="宋体" w:eastAsia="宋体"/>
                <w:sz w:val="24"/>
                <w:szCs w:val="24"/>
                <w:highlight w:val="none"/>
              </w:rPr>
            </w:pPr>
          </w:p>
        </w:tc>
      </w:tr>
      <w:tr w14:paraId="74C4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7B4D0AC6">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915" w:type="pct"/>
            <w:tcBorders>
              <w:top w:val="single" w:color="auto" w:sz="4" w:space="0"/>
              <w:left w:val="single" w:color="auto" w:sz="4" w:space="0"/>
              <w:bottom w:val="single" w:color="auto" w:sz="4" w:space="0"/>
              <w:right w:val="single" w:color="auto" w:sz="4" w:space="0"/>
            </w:tcBorders>
            <w:vAlign w:val="center"/>
          </w:tcPr>
          <w:p w14:paraId="7089AE2B">
            <w:pPr>
              <w:jc w:val="center"/>
              <w:rPr>
                <w:rFonts w:hint="eastAsia" w:ascii="宋体" w:hAnsi="宋体" w:eastAsia="宋体"/>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vAlign w:val="center"/>
          </w:tcPr>
          <w:p w14:paraId="75FB8001">
            <w:pPr>
              <w:jc w:val="center"/>
              <w:rPr>
                <w:rFonts w:hint="eastAsia" w:ascii="宋体" w:hAnsi="宋体" w:eastAsia="宋体"/>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vAlign w:val="center"/>
          </w:tcPr>
          <w:p w14:paraId="65EA22E3">
            <w:pPr>
              <w:jc w:val="center"/>
              <w:rPr>
                <w:rFonts w:hint="eastAsia" w:ascii="宋体" w:hAnsi="宋体" w:eastAsia="宋体"/>
                <w:sz w:val="24"/>
                <w:szCs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72E4E86">
            <w:pPr>
              <w:jc w:val="center"/>
              <w:rPr>
                <w:rFonts w:hint="eastAsia" w:ascii="宋体" w:hAnsi="宋体" w:eastAsia="宋体"/>
                <w:sz w:val="24"/>
                <w:szCs w:val="24"/>
                <w:highlight w:val="none"/>
              </w:rPr>
            </w:pPr>
          </w:p>
        </w:tc>
      </w:tr>
      <w:tr w14:paraId="67F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064FBA84">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915" w:type="pct"/>
            <w:tcBorders>
              <w:top w:val="single" w:color="auto" w:sz="4" w:space="0"/>
              <w:left w:val="single" w:color="auto" w:sz="4" w:space="0"/>
              <w:bottom w:val="single" w:color="auto" w:sz="4" w:space="0"/>
              <w:right w:val="single" w:color="auto" w:sz="4" w:space="0"/>
            </w:tcBorders>
            <w:vAlign w:val="center"/>
          </w:tcPr>
          <w:p w14:paraId="5E68BA5D">
            <w:pPr>
              <w:jc w:val="center"/>
              <w:rPr>
                <w:rFonts w:hint="eastAsia" w:ascii="宋体" w:hAnsi="宋体" w:eastAsia="宋体"/>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vAlign w:val="center"/>
          </w:tcPr>
          <w:p w14:paraId="7C357BC8">
            <w:pPr>
              <w:jc w:val="center"/>
              <w:rPr>
                <w:rFonts w:hint="eastAsia" w:ascii="宋体" w:hAnsi="宋体" w:eastAsia="宋体"/>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vAlign w:val="center"/>
          </w:tcPr>
          <w:p w14:paraId="33255626">
            <w:pPr>
              <w:pStyle w:val="18"/>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B996096">
            <w:pPr>
              <w:jc w:val="center"/>
              <w:rPr>
                <w:rFonts w:hint="eastAsia" w:ascii="宋体" w:hAnsi="宋体" w:eastAsia="宋体"/>
                <w:sz w:val="24"/>
                <w:szCs w:val="24"/>
                <w:highlight w:val="none"/>
              </w:rPr>
            </w:pPr>
          </w:p>
        </w:tc>
      </w:tr>
      <w:tr w14:paraId="3211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2EE9B987">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4</w:t>
            </w:r>
          </w:p>
        </w:tc>
        <w:tc>
          <w:tcPr>
            <w:tcW w:w="915" w:type="pct"/>
            <w:tcBorders>
              <w:top w:val="single" w:color="auto" w:sz="4" w:space="0"/>
              <w:left w:val="single" w:color="auto" w:sz="4" w:space="0"/>
              <w:bottom w:val="single" w:color="auto" w:sz="4" w:space="0"/>
              <w:right w:val="single" w:color="auto" w:sz="4" w:space="0"/>
            </w:tcBorders>
            <w:vAlign w:val="center"/>
          </w:tcPr>
          <w:p w14:paraId="5327E6B8">
            <w:pPr>
              <w:jc w:val="center"/>
              <w:rPr>
                <w:rFonts w:hint="eastAsia" w:ascii="宋体" w:hAnsi="宋体" w:eastAsia="宋体"/>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vAlign w:val="center"/>
          </w:tcPr>
          <w:p w14:paraId="334F1435">
            <w:pPr>
              <w:jc w:val="center"/>
              <w:rPr>
                <w:rFonts w:hint="eastAsia" w:ascii="宋体" w:hAnsi="宋体" w:eastAsia="宋体"/>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vAlign w:val="center"/>
          </w:tcPr>
          <w:p w14:paraId="65188A95">
            <w:pPr>
              <w:pStyle w:val="18"/>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393DB20">
            <w:pPr>
              <w:jc w:val="center"/>
              <w:rPr>
                <w:rFonts w:hint="eastAsia" w:ascii="宋体" w:hAnsi="宋体" w:eastAsia="宋体"/>
                <w:sz w:val="24"/>
                <w:szCs w:val="24"/>
                <w:highlight w:val="none"/>
              </w:rPr>
            </w:pPr>
          </w:p>
        </w:tc>
      </w:tr>
      <w:tr w14:paraId="2BF6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14:paraId="18C85545">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915" w:type="pct"/>
            <w:tcBorders>
              <w:top w:val="single" w:color="auto" w:sz="4" w:space="0"/>
              <w:left w:val="single" w:color="auto" w:sz="4" w:space="0"/>
              <w:bottom w:val="single" w:color="auto" w:sz="4" w:space="0"/>
              <w:right w:val="single" w:color="auto" w:sz="4" w:space="0"/>
            </w:tcBorders>
            <w:vAlign w:val="center"/>
          </w:tcPr>
          <w:p w14:paraId="04767DAD">
            <w:pPr>
              <w:jc w:val="center"/>
              <w:rPr>
                <w:rFonts w:hint="eastAsia" w:ascii="宋体" w:hAnsi="宋体" w:eastAsia="宋体"/>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vAlign w:val="center"/>
          </w:tcPr>
          <w:p w14:paraId="4BB5A95D">
            <w:pPr>
              <w:jc w:val="center"/>
              <w:rPr>
                <w:rFonts w:hint="eastAsia" w:ascii="宋体" w:hAnsi="宋体" w:eastAsia="宋体"/>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vAlign w:val="center"/>
          </w:tcPr>
          <w:p w14:paraId="2391E194">
            <w:pPr>
              <w:jc w:val="center"/>
              <w:rPr>
                <w:rFonts w:hint="eastAsia" w:ascii="宋体" w:hAnsi="宋体" w:eastAsia="宋体"/>
                <w:sz w:val="24"/>
                <w:szCs w:val="24"/>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E380901">
            <w:pPr>
              <w:jc w:val="center"/>
              <w:rPr>
                <w:rFonts w:hint="eastAsia" w:ascii="宋体" w:hAnsi="宋体" w:eastAsia="宋体"/>
                <w:sz w:val="24"/>
                <w:szCs w:val="24"/>
                <w:highlight w:val="none"/>
              </w:rPr>
            </w:pPr>
          </w:p>
        </w:tc>
      </w:tr>
    </w:tbl>
    <w:p w14:paraId="2CFAE870">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投标人电子签章：</w:t>
      </w:r>
      <w:r>
        <w:rPr>
          <w:rFonts w:hint="eastAsia" w:ascii="宋体" w:hAnsi="宋体" w:eastAsia="宋体"/>
          <w:sz w:val="24"/>
          <w:szCs w:val="24"/>
          <w:highlight w:val="none"/>
          <w:u w:val="single"/>
          <w:lang w:bidi="ar"/>
        </w:rPr>
        <w:t xml:space="preserve">             </w:t>
      </w:r>
    </w:p>
    <w:p w14:paraId="207AD69C">
      <w:pPr>
        <w:spacing w:line="360" w:lineRule="auto"/>
        <w:ind w:firstLine="4800" w:firstLineChars="2000"/>
        <w:rPr>
          <w:rFonts w:hint="eastAsia"/>
          <w:highlight w:val="non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FBC6F94">
      <w:pPr>
        <w:tabs>
          <w:tab w:val="left" w:pos="630"/>
        </w:tabs>
        <w:spacing w:line="360" w:lineRule="auto"/>
        <w:ind w:firstLine="4800" w:firstLineChars="2000"/>
        <w:rPr>
          <w:rFonts w:hint="eastAsia" w:ascii="宋体" w:hAnsi="宋体" w:eastAsia="宋体"/>
          <w:sz w:val="24"/>
          <w:highlight w:val="none"/>
          <w:u w:val="single"/>
        </w:rPr>
      </w:pPr>
    </w:p>
    <w:p w14:paraId="66AB336D">
      <w:pPr>
        <w:pStyle w:val="11"/>
        <w:spacing w:line="360" w:lineRule="auto"/>
        <w:rPr>
          <w:rFonts w:hint="eastAsia"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2E944473">
      <w:pPr>
        <w:spacing w:line="360" w:lineRule="auto"/>
        <w:jc w:val="center"/>
        <w:outlineLvl w:val="1"/>
        <w:rPr>
          <w:rFonts w:hint="eastAsia" w:asciiTheme="minorEastAsia" w:hAnsiTheme="minorEastAsia" w:eastAsiaTheme="minorEastAsia"/>
          <w:b/>
          <w:sz w:val="24"/>
          <w:highlight w:val="none"/>
        </w:rPr>
      </w:pPr>
      <w:bookmarkStart w:id="69" w:name="_Toc23068"/>
      <w:r>
        <w:rPr>
          <w:rFonts w:hint="eastAsia" w:asciiTheme="minorEastAsia" w:hAnsiTheme="minorEastAsia" w:eastAsiaTheme="minorEastAsia"/>
          <w:b/>
          <w:sz w:val="24"/>
          <w:highlight w:val="none"/>
        </w:rPr>
        <w:t>八、中小企业声明函</w:t>
      </w:r>
      <w:bookmarkEnd w:id="69"/>
    </w:p>
    <w:p w14:paraId="2A849158">
      <w:pPr>
        <w:pStyle w:val="8"/>
        <w:jc w:val="center"/>
        <w:rPr>
          <w:rFonts w:hint="eastAsia"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4183E6A9">
      <w:pPr>
        <w:rPr>
          <w:rFonts w:hint="eastAsia" w:asciiTheme="minorEastAsia" w:hAnsiTheme="minorEastAsia" w:eastAsiaTheme="minorEastAsia"/>
          <w:sz w:val="24"/>
          <w:szCs w:val="24"/>
          <w:highlight w:val="none"/>
        </w:rPr>
      </w:pPr>
    </w:p>
    <w:p w14:paraId="509487F2">
      <w:pP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）采购活动，服务全部由符合政策要求的中小企业承接。相关企业（含联合体中的中小企业、签订分包意向协议的中小企业）的具体情况如下： </w:t>
      </w:r>
    </w:p>
    <w:p w14:paraId="558F8EAE">
      <w:pP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81C9EA8">
      <w:pP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5E97132">
      <w:pP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w:t>
      </w:r>
    </w:p>
    <w:p w14:paraId="67DA87AC">
      <w:pP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53129884">
      <w:pPr>
        <w:spacing w:line="360" w:lineRule="auto"/>
        <w:ind w:firstLine="435"/>
        <w:rPr>
          <w:rFonts w:hint="eastAsia"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2E568DE7">
      <w:pPr>
        <w:spacing w:line="360" w:lineRule="auto"/>
        <w:ind w:firstLine="435"/>
        <w:rPr>
          <w:rFonts w:hint="eastAsia" w:asciiTheme="minorEastAsia" w:hAnsiTheme="minorEastAsia" w:eastAsiaTheme="minorEastAsia"/>
          <w:sz w:val="24"/>
          <w:szCs w:val="24"/>
          <w:highlight w:val="none"/>
        </w:rPr>
      </w:pPr>
    </w:p>
    <w:p w14:paraId="407FA9D5">
      <w:pPr>
        <w:spacing w:line="360" w:lineRule="auto"/>
        <w:ind w:firstLine="435"/>
        <w:rPr>
          <w:rFonts w:hint="eastAsia" w:asciiTheme="minorEastAsia" w:hAnsiTheme="minorEastAsia" w:eastAsiaTheme="minorEastAsia"/>
          <w:sz w:val="24"/>
          <w:szCs w:val="24"/>
          <w:highlight w:val="none"/>
        </w:rPr>
      </w:pPr>
    </w:p>
    <w:p w14:paraId="7824257F">
      <w:pPr>
        <w:spacing w:line="360" w:lineRule="auto"/>
        <w:ind w:firstLine="4228" w:firstLineChars="176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61F9459D">
      <w:pPr>
        <w:tabs>
          <w:tab w:val="left" w:pos="4620"/>
        </w:tabs>
        <w:spacing w:line="360" w:lineRule="auto"/>
        <w:ind w:firstLine="4252" w:firstLineChars="177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744E8E9">
      <w:pPr>
        <w:tabs>
          <w:tab w:val="left" w:pos="4620"/>
        </w:tabs>
        <w:spacing w:line="360" w:lineRule="auto"/>
        <w:jc w:val="left"/>
        <w:rPr>
          <w:rFonts w:hint="eastAsia" w:asciiTheme="minorEastAsia" w:hAnsiTheme="minorEastAsia" w:eastAsiaTheme="minorEastAsia"/>
          <w:sz w:val="24"/>
          <w:szCs w:val="24"/>
          <w:highlight w:val="none"/>
        </w:rPr>
      </w:pPr>
    </w:p>
    <w:p w14:paraId="7FF2A810">
      <w:pPr>
        <w:tabs>
          <w:tab w:val="left" w:pos="4620"/>
        </w:tabs>
        <w:spacing w:line="360" w:lineRule="auto"/>
        <w:jc w:val="left"/>
        <w:rPr>
          <w:rFonts w:hint="eastAsia" w:asciiTheme="minorEastAsia" w:hAnsiTheme="minorEastAsia" w:eastAsiaTheme="minorEastAsia"/>
          <w:sz w:val="24"/>
          <w:szCs w:val="24"/>
          <w:highlight w:val="none"/>
        </w:rPr>
      </w:pPr>
    </w:p>
    <w:p w14:paraId="17AD8DBD">
      <w:pPr>
        <w:tabs>
          <w:tab w:val="left" w:pos="4620"/>
        </w:tabs>
        <w:spacing w:line="360" w:lineRule="auto"/>
        <w:jc w:val="left"/>
        <w:rPr>
          <w:rFonts w:hint="eastAsia" w:asciiTheme="minorEastAsia" w:hAnsiTheme="minorEastAsia" w:eastAsiaTheme="minorEastAsia"/>
          <w:sz w:val="24"/>
          <w:szCs w:val="24"/>
          <w:highlight w:val="none"/>
        </w:rPr>
      </w:pPr>
    </w:p>
    <w:p w14:paraId="0836ED47">
      <w:pPr>
        <w:tabs>
          <w:tab w:val="left" w:pos="4620"/>
        </w:tabs>
        <w:spacing w:line="360" w:lineRule="auto"/>
        <w:jc w:val="left"/>
        <w:rPr>
          <w:rFonts w:hint="eastAsia" w:asciiTheme="minorEastAsia" w:hAnsiTheme="minorEastAsia" w:eastAsiaTheme="minorEastAsia"/>
          <w:sz w:val="24"/>
          <w:szCs w:val="24"/>
          <w:highlight w:val="none"/>
        </w:rPr>
      </w:pPr>
    </w:p>
    <w:p w14:paraId="6C5C3F1D">
      <w:pPr>
        <w:tabs>
          <w:tab w:val="left" w:pos="4620"/>
        </w:tabs>
        <w:spacing w:line="360" w:lineRule="auto"/>
        <w:jc w:val="left"/>
        <w:rPr>
          <w:rFonts w:hint="eastAsia"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0D3202B8">
      <w:pPr>
        <w:tabs>
          <w:tab w:val="left" w:pos="4620"/>
        </w:tabs>
        <w:spacing w:line="360" w:lineRule="auto"/>
        <w:rPr>
          <w:rFonts w:hint="eastAsia"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24EB19AD">
      <w:pP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0AE9DED7">
      <w:pP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”，详见第三章采购需求前附表中明确的“标的名称”。</w:t>
      </w:r>
    </w:p>
    <w:p w14:paraId="4A88063F">
      <w:pP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”，详见第三章采购需求前附表中明确的“所属行业”。</w:t>
      </w:r>
    </w:p>
    <w:p w14:paraId="15A78B26">
      <w:pPr>
        <w:tabs>
          <w:tab w:val="left" w:pos="4620"/>
        </w:tabs>
        <w:spacing w:line="36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rPr>
        <w:t>某标的名称</w:t>
      </w:r>
      <w:r>
        <w:rPr>
          <w:rFonts w:hint="eastAsia" w:ascii="宋体" w:hAnsi="宋体" w:eastAsia="宋体" w:cs="宋体"/>
          <w:b/>
          <w:bCs/>
          <w:szCs w:val="21"/>
          <w:highlight w:val="none"/>
        </w:rPr>
        <w:t>（</w:t>
      </w:r>
      <w:r>
        <w:rPr>
          <w:rFonts w:hint="eastAsia" w:ascii="宋体" w:hAnsi="宋体" w:eastAsia="宋体" w:cs="宋体"/>
          <w:b/>
          <w:bCs/>
          <w:szCs w:val="21"/>
          <w:highlight w:val="none"/>
          <w:u w:val="single"/>
        </w:rPr>
        <w:t>填写第三章采购需求前附表中明确的“标的名称”</w:t>
      </w:r>
      <w:r>
        <w:rPr>
          <w:rFonts w:hint="eastAsia" w:ascii="宋体" w:hAnsi="宋体" w:eastAsia="宋体" w:cs="宋体"/>
          <w:b/>
          <w:bCs/>
          <w:szCs w:val="21"/>
          <w:highlight w:val="none"/>
        </w:rPr>
        <w:t>），属于</w:t>
      </w:r>
      <w:r>
        <w:rPr>
          <w:rFonts w:hint="eastAsia" w:ascii="宋体" w:hAnsi="宋体" w:eastAsia="宋体" w:cs="宋体"/>
          <w:b/>
          <w:bCs/>
          <w:szCs w:val="21"/>
          <w:highlight w:val="none"/>
          <w:u w:val="single"/>
        </w:rPr>
        <w:t>（填写第三章采购需求前附表中明确的“所属行业”，如软件和信息技术服务业）</w:t>
      </w:r>
      <w:r>
        <w:rPr>
          <w:rFonts w:hint="eastAsia" w:ascii="宋体" w:hAnsi="宋体" w:eastAsia="宋体" w:cs="宋体"/>
          <w:b/>
          <w:bCs/>
          <w:szCs w:val="21"/>
          <w:highlight w:val="none"/>
        </w:rPr>
        <w:t>行业；承接企业为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rPr>
        <w:t>中</w:t>
      </w:r>
      <w:r>
        <w:rPr>
          <w:rFonts w:hint="eastAsia" w:ascii="宋体" w:hAnsi="宋体" w:eastAsia="宋体" w:cs="宋体"/>
          <w:b/>
          <w:bCs/>
          <w:szCs w:val="21"/>
          <w:highlight w:val="none"/>
          <w:u w:val="single"/>
          <w:lang w:val="zh-CN"/>
        </w:rPr>
        <w:t>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6737756D">
      <w:pPr>
        <w:pStyle w:val="8"/>
        <w:rPr>
          <w:rFonts w:hint="eastAsia" w:asciiTheme="minorEastAsia" w:hAnsiTheme="minorEastAsia" w:eastAsiaTheme="minorEastAsia"/>
          <w:b/>
          <w:bCs/>
          <w:highlight w:val="none"/>
          <w:lang w:val="en-US"/>
        </w:rPr>
      </w:pPr>
    </w:p>
    <w:p w14:paraId="346DE3F2">
      <w:pPr>
        <w:rPr>
          <w:rFonts w:hint="eastAsia" w:asciiTheme="minorEastAsia" w:hAnsiTheme="minorEastAsia" w:eastAsiaTheme="minorEastAsia"/>
          <w:b/>
          <w:sz w:val="24"/>
          <w:highlight w:val="none"/>
        </w:rPr>
      </w:pPr>
      <w:bookmarkStart w:id="70" w:name="_Toc16713"/>
      <w:r>
        <w:rPr>
          <w:rFonts w:hint="eastAsia" w:asciiTheme="minorEastAsia" w:hAnsiTheme="minorEastAsia" w:eastAsiaTheme="minorEastAsia"/>
          <w:b/>
          <w:sz w:val="24"/>
          <w:highlight w:val="none"/>
        </w:rPr>
        <w:br w:type="page"/>
      </w:r>
    </w:p>
    <w:p w14:paraId="295D8D71">
      <w:pPr>
        <w:spacing w:line="360" w:lineRule="auto"/>
        <w:jc w:val="center"/>
        <w:outlineLvl w:val="1"/>
        <w:rPr>
          <w:rFonts w:hint="eastAsia" w:asciiTheme="minorEastAsia" w:hAnsiTheme="minorEastAsia" w:eastAsiaTheme="minorEastAsia"/>
          <w:b/>
          <w:sz w:val="24"/>
          <w:highlight w:val="none"/>
        </w:rPr>
      </w:pPr>
      <w:bookmarkStart w:id="71" w:name="_Toc17315"/>
      <w:r>
        <w:rPr>
          <w:rFonts w:hint="eastAsia" w:asciiTheme="minorEastAsia" w:hAnsiTheme="minorEastAsia" w:eastAsiaTheme="minorEastAsia"/>
          <w:b/>
          <w:sz w:val="24"/>
          <w:highlight w:val="none"/>
        </w:rPr>
        <w:t>九、残疾人福利性单位声明函</w:t>
      </w:r>
      <w:bookmarkEnd w:id="70"/>
      <w:bookmarkEnd w:id="71"/>
    </w:p>
    <w:p w14:paraId="6D05E701">
      <w:pPr>
        <w:pStyle w:val="8"/>
        <w:jc w:val="center"/>
        <w:rPr>
          <w:rFonts w:hint="eastAsia"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360D3FE4">
      <w:pPr>
        <w:spacing w:line="360" w:lineRule="auto"/>
        <w:ind w:firstLine="435"/>
        <w:rPr>
          <w:rFonts w:hint="eastAsia"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18801B51">
      <w:pPr>
        <w:spacing w:line="360" w:lineRule="auto"/>
        <w:ind w:firstLine="435"/>
        <w:rPr>
          <w:rFonts w:hint="eastAsia"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45F0CD16">
      <w:pPr>
        <w:spacing w:line="360" w:lineRule="auto"/>
        <w:ind w:firstLine="4228" w:firstLineChars="1762"/>
        <w:rPr>
          <w:rFonts w:hint="eastAsia" w:asciiTheme="minorEastAsia" w:hAnsiTheme="minorEastAsia" w:eastAsiaTheme="minorEastAsia"/>
          <w:sz w:val="24"/>
          <w:szCs w:val="24"/>
          <w:highlight w:val="none"/>
        </w:rPr>
      </w:pPr>
    </w:p>
    <w:p w14:paraId="541BFBBA">
      <w:pPr>
        <w:spacing w:line="360" w:lineRule="auto"/>
        <w:ind w:firstLine="4228" w:firstLineChars="1762"/>
        <w:rPr>
          <w:rFonts w:hint="eastAsia" w:asciiTheme="minorEastAsia" w:hAnsiTheme="minorEastAsia" w:eastAsiaTheme="minorEastAsia"/>
          <w:sz w:val="24"/>
          <w:szCs w:val="24"/>
          <w:highlight w:val="none"/>
        </w:rPr>
      </w:pPr>
    </w:p>
    <w:p w14:paraId="6D273639">
      <w:pPr>
        <w:spacing w:line="360" w:lineRule="auto"/>
        <w:ind w:firstLine="4228" w:firstLineChars="176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518F39D">
      <w:pPr>
        <w:tabs>
          <w:tab w:val="left" w:pos="4620"/>
        </w:tabs>
        <w:spacing w:line="360" w:lineRule="auto"/>
        <w:ind w:firstLine="4252" w:firstLineChars="1772"/>
        <w:rPr>
          <w:rFonts w:hint="eastAsia"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2FE49B8D">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37DC868">
      <w:pPr>
        <w:spacing w:line="360" w:lineRule="auto"/>
        <w:jc w:val="center"/>
        <w:outlineLvl w:val="1"/>
        <w:rPr>
          <w:rFonts w:hint="eastAsia" w:asciiTheme="minorEastAsia" w:hAnsiTheme="minorEastAsia" w:eastAsiaTheme="minorEastAsia"/>
          <w:b/>
          <w:sz w:val="24"/>
          <w:highlight w:val="none"/>
        </w:rPr>
      </w:pPr>
      <w:bookmarkStart w:id="72" w:name="_Toc457768004"/>
      <w:bookmarkStart w:id="73" w:name="_Toc520299348"/>
      <w:bookmarkStart w:id="74" w:name="_Toc300210382"/>
      <w:bookmarkStart w:id="75" w:name="_Toc23860"/>
      <w:bookmarkStart w:id="76" w:name="_Toc26536"/>
      <w:bookmarkStart w:id="77" w:name="_Hlk11701496"/>
      <w:r>
        <w:rPr>
          <w:rFonts w:hint="eastAsia" w:asciiTheme="minorEastAsia" w:hAnsiTheme="minorEastAsia" w:eastAsiaTheme="minorEastAsia"/>
          <w:b/>
          <w:sz w:val="24"/>
          <w:highlight w:val="none"/>
        </w:rPr>
        <w:t>十、</w:t>
      </w:r>
      <w:bookmarkEnd w:id="72"/>
      <w:bookmarkEnd w:id="73"/>
      <w:bookmarkEnd w:id="74"/>
      <w:r>
        <w:rPr>
          <w:rFonts w:hint="eastAsia" w:asciiTheme="minorEastAsia" w:hAnsiTheme="minorEastAsia" w:eastAsiaTheme="minorEastAsia"/>
          <w:b/>
          <w:sz w:val="24"/>
          <w:highlight w:val="none"/>
        </w:rPr>
        <w:t>诚信履约承诺函</w:t>
      </w:r>
      <w:bookmarkEnd w:id="75"/>
      <w:bookmarkEnd w:id="76"/>
    </w:p>
    <w:p w14:paraId="22F10C8C">
      <w:pPr>
        <w:spacing w:line="360" w:lineRule="auto"/>
        <w:rPr>
          <w:rFonts w:hint="eastAsia" w:asciiTheme="minorEastAsia" w:hAnsiTheme="minorEastAsia" w:eastAsiaTheme="minorEastAsia"/>
          <w:b/>
          <w:bCs/>
          <w:sz w:val="24"/>
          <w:highlight w:val="none"/>
        </w:rPr>
      </w:pPr>
    </w:p>
    <w:p w14:paraId="056E71E1">
      <w:pPr>
        <w:spacing w:line="360" w:lineRule="auto"/>
        <w:rPr>
          <w:rFonts w:hint="eastAsia"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19D21068">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4A834DB">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757123B4">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09D7B91E">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1BC26A0B">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0EFE72D5">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547656B">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B90881">
      <w:pPr>
        <w:spacing w:line="360" w:lineRule="auto"/>
        <w:rPr>
          <w:rFonts w:hint="eastAsia" w:asciiTheme="minorEastAsia" w:hAnsiTheme="minorEastAsia" w:eastAsiaTheme="minorEastAsia"/>
          <w:bCs/>
          <w:sz w:val="24"/>
          <w:highlight w:val="none"/>
        </w:rPr>
      </w:pPr>
    </w:p>
    <w:p w14:paraId="61E700BC">
      <w:pPr>
        <w:spacing w:line="360" w:lineRule="auto"/>
        <w:rPr>
          <w:rFonts w:hint="eastAsia" w:asciiTheme="minorEastAsia" w:hAnsiTheme="minorEastAsia" w:eastAsiaTheme="minorEastAsia"/>
          <w:bCs/>
          <w:sz w:val="24"/>
          <w:highlight w:val="none"/>
        </w:rPr>
      </w:pPr>
    </w:p>
    <w:p w14:paraId="09ED4D82">
      <w:pPr>
        <w:spacing w:line="360" w:lineRule="auto"/>
        <w:ind w:firstLine="4320" w:firstLineChars="18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C91442F">
      <w:pPr>
        <w:spacing w:line="360" w:lineRule="auto"/>
        <w:ind w:firstLine="4320" w:firstLineChars="18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721DEB28">
      <w:pPr>
        <w:widowControl/>
        <w:jc w:val="left"/>
        <w:rPr>
          <w:rFonts w:hint="eastAsia" w:ascii="宋体" w:hAnsi="宋体" w:eastAsia="宋体" w:cs="Arial"/>
          <w:sz w:val="24"/>
          <w:highlight w:val="none"/>
        </w:rPr>
      </w:pPr>
      <w:r>
        <w:rPr>
          <w:rFonts w:ascii="宋体" w:hAnsi="宋体" w:eastAsia="宋体" w:cs="Arial"/>
          <w:sz w:val="24"/>
          <w:highlight w:val="none"/>
        </w:rPr>
        <w:br w:type="page"/>
      </w:r>
    </w:p>
    <w:bookmarkEnd w:id="77"/>
    <w:p w14:paraId="4A84BADA">
      <w:pPr>
        <w:spacing w:line="360" w:lineRule="auto"/>
        <w:jc w:val="center"/>
        <w:outlineLvl w:val="1"/>
        <w:rPr>
          <w:rFonts w:hint="eastAsia" w:asciiTheme="minorEastAsia" w:hAnsiTheme="minorEastAsia" w:eastAsiaTheme="minorEastAsia"/>
          <w:b/>
          <w:sz w:val="24"/>
          <w:highlight w:val="none"/>
        </w:rPr>
      </w:pPr>
      <w:bookmarkStart w:id="78" w:name="_Toc31807"/>
      <w:bookmarkStart w:id="79" w:name="_Toc32633"/>
      <w:r>
        <w:rPr>
          <w:rFonts w:hint="eastAsia" w:asciiTheme="minorEastAsia" w:hAnsiTheme="minorEastAsia" w:eastAsiaTheme="minorEastAsia"/>
          <w:b/>
          <w:sz w:val="24"/>
          <w:highlight w:val="none"/>
        </w:rPr>
        <w:t>十一、其他相关证明材料</w:t>
      </w:r>
      <w:bookmarkEnd w:id="78"/>
      <w:bookmarkEnd w:id="79"/>
    </w:p>
    <w:p w14:paraId="3C51992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00D6BFD">
      <w:pPr>
        <w:spacing w:line="360" w:lineRule="auto"/>
        <w:ind w:firstLine="480" w:firstLineChars="200"/>
        <w:rPr>
          <w:rFonts w:hint="eastAsia" w:asciiTheme="minorEastAsia" w:hAnsiTheme="minorEastAsia" w:eastAsiaTheme="minorEastAsia"/>
          <w:sz w:val="24"/>
          <w:highlight w:val="none"/>
        </w:rPr>
      </w:pPr>
    </w:p>
    <w:p w14:paraId="4A30DDA9">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135DE2C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r>
        <w:rPr>
          <w:rFonts w:hint="eastAsia" w:asciiTheme="minorEastAsia" w:hAnsiTheme="minorEastAsia" w:eastAsiaTheme="minorEastAsia"/>
          <w:sz w:val="24"/>
          <w:highlight w:val="none"/>
        </w:rPr>
        <w:t>。</w:t>
      </w:r>
    </w:p>
    <w:p w14:paraId="36BB41D7">
      <w:pPr>
        <w:spacing w:line="360" w:lineRule="auto"/>
        <w:ind w:firstLine="435"/>
        <w:rPr>
          <w:rFonts w:hint="eastAsia" w:asciiTheme="minorEastAsia" w:hAnsiTheme="minorEastAsia" w:eastAsiaTheme="minorEastAsia"/>
          <w:sz w:val="24"/>
          <w:highlight w:val="none"/>
        </w:rPr>
      </w:pPr>
    </w:p>
    <w:p w14:paraId="7974BB5B">
      <w:pPr>
        <w:spacing w:line="360" w:lineRule="auto"/>
        <w:ind w:firstLine="435"/>
        <w:rPr>
          <w:rFonts w:hint="eastAsia" w:asciiTheme="minorEastAsia" w:hAnsiTheme="minorEastAsia" w:eastAsiaTheme="minorEastAsia"/>
          <w:sz w:val="24"/>
          <w:highlight w:val="none"/>
        </w:rPr>
      </w:pPr>
    </w:p>
    <w:p w14:paraId="66C3A57E">
      <w:pPr>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bidi="ar"/>
        </w:rPr>
        <w:br w:type="page"/>
      </w:r>
    </w:p>
    <w:p w14:paraId="37F05F54">
      <w:pPr>
        <w:spacing w:line="360" w:lineRule="auto"/>
        <w:jc w:val="center"/>
        <w:outlineLvl w:val="0"/>
        <w:rPr>
          <w:rFonts w:hint="eastAsia" w:ascii="宋体" w:hAnsi="宋体" w:eastAsia="宋体"/>
          <w:b/>
          <w:bCs/>
          <w:sz w:val="28"/>
          <w:highlight w:val="none"/>
        </w:rPr>
      </w:pPr>
      <w:bookmarkStart w:id="80" w:name="_Toc20819"/>
      <w:bookmarkStart w:id="81" w:name="_Toc6435"/>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80"/>
      <w:bookmarkEnd w:id="81"/>
    </w:p>
    <w:p w14:paraId="4847850F">
      <w:pPr>
        <w:spacing w:line="360" w:lineRule="auto"/>
        <w:jc w:val="center"/>
        <w:outlineLvl w:val="1"/>
        <w:rPr>
          <w:rFonts w:hint="eastAsia" w:ascii="仿宋" w:hAnsi="仿宋" w:eastAsia="仿宋" w:cs="仿宋"/>
          <w:b/>
          <w:bCs/>
          <w:sz w:val="32"/>
          <w:szCs w:val="44"/>
          <w:highlight w:val="none"/>
        </w:rPr>
      </w:pPr>
      <w:bookmarkStart w:id="82" w:name="_Toc27159"/>
      <w:bookmarkStart w:id="83" w:name="_Toc6955"/>
      <w:r>
        <w:rPr>
          <w:rFonts w:hint="eastAsia" w:ascii="仿宋" w:hAnsi="仿宋" w:eastAsia="仿宋" w:cs="仿宋"/>
          <w:b/>
          <w:bCs/>
          <w:sz w:val="32"/>
          <w:szCs w:val="44"/>
          <w:highlight w:val="none"/>
        </w:rPr>
        <w:t>询问函范本</w:t>
      </w:r>
      <w:bookmarkEnd w:id="82"/>
      <w:bookmarkEnd w:id="83"/>
    </w:p>
    <w:p w14:paraId="11272F7E">
      <w:pPr>
        <w:adjustRightInd w:val="0"/>
        <w:snapToGrid w:val="0"/>
        <w:spacing w:line="360" w:lineRule="auto"/>
        <w:ind w:firstLine="480" w:firstLineChars="200"/>
        <w:jc w:val="center"/>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65DA37B2">
      <w:pP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0F6A7205">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2C0E048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84" w:name="_Toc13899"/>
      <w:r>
        <w:rPr>
          <w:rFonts w:hint="eastAsia" w:cs="仿宋" w:asciiTheme="minorEastAsia" w:hAnsiTheme="minorEastAsia" w:eastAsiaTheme="minorEastAsia"/>
          <w:sz w:val="24"/>
          <w:szCs w:val="24"/>
          <w:highlight w:val="none"/>
        </w:rPr>
        <w:t>一、(事项一)</w:t>
      </w:r>
      <w:bookmarkEnd w:id="84"/>
    </w:p>
    <w:p w14:paraId="0D868B0B">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2574A622">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367B47E5">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7EC3BBF">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85" w:name="_Toc3352"/>
      <w:r>
        <w:rPr>
          <w:rFonts w:hint="eastAsia" w:cs="仿宋" w:asciiTheme="minorEastAsia" w:hAnsiTheme="minorEastAsia" w:eastAsiaTheme="minorEastAsia"/>
          <w:sz w:val="24"/>
          <w:szCs w:val="24"/>
          <w:highlight w:val="none"/>
        </w:rPr>
        <w:t>二、(事项二)</w:t>
      </w:r>
      <w:bookmarkEnd w:id="85"/>
    </w:p>
    <w:p w14:paraId="02E770DB">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15FBF39D">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198C68FC">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5BA3E2F6">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70FB0C0B">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125B4363">
      <w:pP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73F07F5B">
      <w:pPr>
        <w:jc w:val="center"/>
        <w:outlineLvl w:val="1"/>
        <w:rPr>
          <w:rFonts w:hint="eastAsia" w:ascii="仿宋" w:hAnsi="仿宋" w:eastAsia="仿宋" w:cs="仿宋"/>
          <w:b/>
          <w:bCs/>
          <w:sz w:val="32"/>
          <w:szCs w:val="44"/>
          <w:highlight w:val="none"/>
        </w:rPr>
      </w:pPr>
      <w:bookmarkStart w:id="86" w:name="_Toc1575"/>
      <w:bookmarkStart w:id="87" w:name="_Toc857"/>
      <w:r>
        <w:rPr>
          <w:rFonts w:hint="eastAsia" w:ascii="仿宋" w:hAnsi="仿宋" w:eastAsia="仿宋" w:cs="仿宋"/>
          <w:b/>
          <w:bCs/>
          <w:sz w:val="32"/>
          <w:szCs w:val="44"/>
          <w:highlight w:val="none"/>
        </w:rPr>
        <w:t>质疑函范本</w:t>
      </w:r>
      <w:bookmarkEnd w:id="86"/>
      <w:bookmarkEnd w:id="87"/>
    </w:p>
    <w:p w14:paraId="6248F78F">
      <w:pPr>
        <w:adjustRightInd w:val="0"/>
        <w:snapToGrid w:val="0"/>
        <w:spacing w:before="319" w:beforeLines="100" w:line="360" w:lineRule="auto"/>
        <w:rPr>
          <w:rFonts w:hint="eastAsia" w:cs="仿宋" w:asciiTheme="minorEastAsia" w:hAnsiTheme="minorEastAsia" w:eastAsiaTheme="minorEastAsia"/>
          <w:b/>
          <w:bCs/>
          <w:sz w:val="24"/>
          <w:szCs w:val="24"/>
          <w:highlight w:val="none"/>
        </w:rPr>
      </w:pPr>
      <w:bookmarkStart w:id="88" w:name="_Toc21381"/>
      <w:r>
        <w:rPr>
          <w:rFonts w:hint="eastAsia" w:cs="仿宋" w:asciiTheme="minorEastAsia" w:hAnsiTheme="minorEastAsia" w:eastAsiaTheme="minorEastAsia"/>
          <w:b/>
          <w:bCs/>
          <w:sz w:val="24"/>
          <w:szCs w:val="24"/>
          <w:highlight w:val="none"/>
        </w:rPr>
        <w:t>一、质疑供应商基本信息</w:t>
      </w:r>
      <w:bookmarkEnd w:id="88"/>
    </w:p>
    <w:p w14:paraId="1266C460">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3038FD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52B4F1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0EA962CD">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9501C0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17AE5271">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10FF0677">
      <w:pPr>
        <w:adjustRightInd w:val="0"/>
        <w:snapToGrid w:val="0"/>
        <w:spacing w:line="360" w:lineRule="auto"/>
        <w:rPr>
          <w:rFonts w:hint="eastAsia" w:cs="仿宋" w:asciiTheme="minorEastAsia" w:hAnsiTheme="minorEastAsia" w:eastAsiaTheme="minorEastAsia"/>
          <w:b/>
          <w:bCs/>
          <w:sz w:val="24"/>
          <w:szCs w:val="24"/>
          <w:highlight w:val="none"/>
        </w:rPr>
      </w:pPr>
      <w:bookmarkStart w:id="89" w:name="_Toc28415"/>
      <w:r>
        <w:rPr>
          <w:rFonts w:hint="eastAsia" w:cs="仿宋" w:asciiTheme="minorEastAsia" w:hAnsiTheme="minorEastAsia" w:eastAsiaTheme="minorEastAsia"/>
          <w:b/>
          <w:bCs/>
          <w:sz w:val="24"/>
          <w:szCs w:val="24"/>
          <w:highlight w:val="none"/>
        </w:rPr>
        <w:t>二、质疑项目基本情况</w:t>
      </w:r>
      <w:bookmarkEnd w:id="89"/>
    </w:p>
    <w:p w14:paraId="0CF7F19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740EFAB3">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3178381E">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4D1C726E">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2DD334F6">
      <w:pPr>
        <w:adjustRightInd w:val="0"/>
        <w:snapToGrid w:val="0"/>
        <w:spacing w:line="360" w:lineRule="auto"/>
        <w:rPr>
          <w:rFonts w:hint="eastAsia" w:cs="仿宋" w:asciiTheme="minorEastAsia" w:hAnsiTheme="minorEastAsia" w:eastAsiaTheme="minorEastAsia"/>
          <w:b/>
          <w:bCs/>
          <w:sz w:val="24"/>
          <w:szCs w:val="24"/>
          <w:highlight w:val="none"/>
        </w:rPr>
      </w:pPr>
      <w:bookmarkStart w:id="90" w:name="_Toc19014"/>
      <w:r>
        <w:rPr>
          <w:rFonts w:hint="eastAsia" w:cs="仿宋" w:asciiTheme="minorEastAsia" w:hAnsiTheme="minorEastAsia" w:eastAsiaTheme="minorEastAsia"/>
          <w:b/>
          <w:bCs/>
          <w:sz w:val="24"/>
          <w:szCs w:val="24"/>
          <w:highlight w:val="none"/>
        </w:rPr>
        <w:t>三、质疑事项具体内容</w:t>
      </w:r>
      <w:bookmarkEnd w:id="90"/>
    </w:p>
    <w:p w14:paraId="01196E6E">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377297D">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3CEE2A57">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4B6E0AC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7E2F0533">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66FB860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5B0FEB5B">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43AC9104">
      <w:pPr>
        <w:adjustRightInd w:val="0"/>
        <w:snapToGrid w:val="0"/>
        <w:spacing w:line="360" w:lineRule="auto"/>
        <w:rPr>
          <w:rFonts w:hint="eastAsia" w:cs="仿宋" w:asciiTheme="minorEastAsia" w:hAnsiTheme="minorEastAsia" w:eastAsiaTheme="minorEastAsia"/>
          <w:b/>
          <w:bCs/>
          <w:sz w:val="24"/>
          <w:szCs w:val="24"/>
          <w:highlight w:val="none"/>
        </w:rPr>
      </w:pPr>
      <w:bookmarkStart w:id="91" w:name="_Toc17919"/>
      <w:r>
        <w:rPr>
          <w:rFonts w:hint="eastAsia" w:cs="仿宋" w:asciiTheme="minorEastAsia" w:hAnsiTheme="minorEastAsia" w:eastAsiaTheme="minorEastAsia"/>
          <w:b/>
          <w:bCs/>
          <w:sz w:val="24"/>
          <w:szCs w:val="24"/>
          <w:highlight w:val="none"/>
        </w:rPr>
        <w:t>四、与质疑事项相关的质疑请求</w:t>
      </w:r>
      <w:bookmarkEnd w:id="91"/>
    </w:p>
    <w:p w14:paraId="1BC67527">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4870EE76">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10D94CAF">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0FEBFF86">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6516C6ED">
      <w:pPr>
        <w:outlineLvl w:val="0"/>
        <w:rPr>
          <w:rFonts w:hint="eastAsia" w:asciiTheme="minorEastAsia" w:hAnsiTheme="minorEastAsia" w:eastAsiaTheme="minorEastAsia"/>
          <w:b/>
          <w:sz w:val="28"/>
          <w:szCs w:val="32"/>
          <w:highlight w:val="none"/>
        </w:rPr>
      </w:pPr>
      <w:bookmarkStart w:id="92" w:name="_Toc22239"/>
      <w:bookmarkStart w:id="93" w:name="_Toc9754"/>
      <w:r>
        <w:rPr>
          <w:rFonts w:hint="eastAsia" w:asciiTheme="minorEastAsia" w:hAnsiTheme="minorEastAsia" w:eastAsiaTheme="minorEastAsia"/>
          <w:b/>
          <w:sz w:val="28"/>
          <w:szCs w:val="32"/>
          <w:highlight w:val="none"/>
        </w:rPr>
        <w:t>质疑函制作说明：</w:t>
      </w:r>
      <w:bookmarkEnd w:id="92"/>
      <w:bookmarkEnd w:id="93"/>
    </w:p>
    <w:p w14:paraId="0556C98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2A252B0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7584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7B5648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76E1D66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26A76B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49ED2FDF">
      <w:pPr>
        <w:spacing w:line="360" w:lineRule="auto"/>
        <w:ind w:firstLine="435"/>
        <w:rPr>
          <w:rFonts w:hint="eastAsia" w:asciiTheme="minorEastAsia" w:hAnsiTheme="minorEastAsia" w:eastAsiaTheme="minorEastAsia"/>
          <w:sz w:val="24"/>
          <w:highlight w:val="none"/>
        </w:rPr>
      </w:pPr>
    </w:p>
    <w:p w14:paraId="2D9CBE19">
      <w:pPr>
        <w:rPr>
          <w:rFonts w:hint="eastAsia" w:ascii="宋体" w:hAnsi="宋体" w:eastAsia="宋体" w:cs="宋体"/>
          <w:b/>
          <w:sz w:val="28"/>
          <w:szCs w:val="28"/>
          <w:highlight w:val="none"/>
          <w:lang w:bidi="ar"/>
        </w:rPr>
      </w:pPr>
    </w:p>
    <w:p w14:paraId="0474075D">
      <w:pPr>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bidi="ar"/>
        </w:rPr>
        <w:br w:type="page"/>
      </w:r>
    </w:p>
    <w:p w14:paraId="105CFCC4">
      <w:pPr>
        <w:rPr>
          <w:rFonts w:hint="eastAsia" w:ascii="宋体" w:hAnsi="宋体" w:eastAsia="宋体" w:cs="宋体"/>
          <w:sz w:val="28"/>
          <w:szCs w:val="28"/>
          <w:highlight w:val="none"/>
        </w:rPr>
      </w:pPr>
      <w:r>
        <w:rPr>
          <w:rFonts w:hint="eastAsia" w:ascii="宋体" w:hAnsi="宋体" w:eastAsia="宋体" w:cs="宋体"/>
          <w:b/>
          <w:sz w:val="28"/>
          <w:szCs w:val="28"/>
          <w:highlight w:val="none"/>
          <w:lang w:bidi="ar"/>
        </w:rPr>
        <w:t>附件</w:t>
      </w:r>
      <w:r>
        <w:rPr>
          <w:rFonts w:ascii="Times New Roman" w:hAnsi="Times New Roman" w:eastAsia="宋体" w:cs="Times New Roman"/>
          <w:b/>
          <w:sz w:val="28"/>
          <w:szCs w:val="28"/>
          <w:highlight w:val="none"/>
          <w:lang w:bidi="ar"/>
        </w:rPr>
        <w:t>1</w:t>
      </w:r>
    </w:p>
    <w:p w14:paraId="22174A2E">
      <w:pPr>
        <w:spacing w:line="440" w:lineRule="exact"/>
        <w:jc w:val="center"/>
        <w:rPr>
          <w:rFonts w:hint="eastAsia" w:ascii="黑体" w:hAnsi="宋体" w:eastAsia="黑体" w:cs="黑体"/>
          <w:b/>
          <w:sz w:val="30"/>
          <w:szCs w:val="30"/>
          <w:highlight w:val="none"/>
        </w:rPr>
      </w:pPr>
      <w:r>
        <w:rPr>
          <w:rFonts w:hint="eastAsia" w:ascii="黑体" w:hAnsi="宋体" w:eastAsia="黑体" w:cs="黑体"/>
          <w:b/>
          <w:sz w:val="30"/>
          <w:szCs w:val="30"/>
          <w:highlight w:val="none"/>
          <w:lang w:bidi="ar"/>
        </w:rPr>
        <w:t>关于联合惩戒失信行为 加强信用查询管理的通知</w:t>
      </w:r>
    </w:p>
    <w:p w14:paraId="00F3821C">
      <w:pPr>
        <w:autoSpaceDE w:val="0"/>
        <w:spacing w:line="4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一、失信行为联合惩戒的范围和查询渠道</w:t>
      </w:r>
    </w:p>
    <w:p w14:paraId="2CEAC68D">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在我市公共资源交易活动中对存在下列失信行为的投标人、法定代表人及其项目经理（建造师）实施联合惩戒，禁止参与我市公共资源交易活动。</w:t>
      </w:r>
    </w:p>
    <w:p w14:paraId="2B8EDC06">
      <w:pPr>
        <w:widowControl/>
        <w:autoSpaceDE w:val="0"/>
        <w:spacing w:line="480" w:lineRule="exact"/>
        <w:ind w:firstLine="482" w:firstLineChars="200"/>
        <w:textAlignment w:val="baseline"/>
        <w:rPr>
          <w:rFonts w:hint="eastAsia" w:ascii="宋体" w:hAnsi="宋体" w:eastAsia="宋体" w:cs="宋体"/>
          <w:bCs/>
          <w:sz w:val="24"/>
          <w:szCs w:val="24"/>
          <w:highlight w:val="none"/>
        </w:rPr>
      </w:pPr>
      <w:r>
        <w:rPr>
          <w:rFonts w:hint="eastAsia" w:ascii="宋体" w:hAnsi="宋体" w:eastAsia="宋体" w:cs="宋体"/>
          <w:b/>
          <w:kern w:val="0"/>
          <w:sz w:val="24"/>
          <w:szCs w:val="24"/>
          <w:highlight w:val="none"/>
          <w:lang w:bidi="ar"/>
        </w:rPr>
        <w:t>（一）工程建设项目</w:t>
      </w:r>
    </w:p>
    <w:p w14:paraId="3EFA5073">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1、“信用中国”网站（www.creditchina.gov.cn）查询</w:t>
      </w:r>
      <w:bookmarkStart w:id="94" w:name="OLE_LINK103"/>
      <w:bookmarkEnd w:id="94"/>
      <w:bookmarkStart w:id="95" w:name="OLE_LINK91"/>
      <w:bookmarkEnd w:id="95"/>
      <w:bookmarkStart w:id="96" w:name="OLE_LINK92"/>
      <w:bookmarkEnd w:id="96"/>
      <w:bookmarkStart w:id="97" w:name="OLE_LINK93"/>
      <w:r>
        <w:rPr>
          <w:rFonts w:hint="eastAsia" w:ascii="宋体" w:hAnsi="宋体" w:eastAsia="宋体" w:cs="宋体"/>
          <w:bCs/>
          <w:kern w:val="0"/>
          <w:sz w:val="24"/>
          <w:szCs w:val="24"/>
          <w:highlight w:val="none"/>
          <w:lang w:bidi="ar"/>
        </w:rPr>
        <w:t>投标人、法定代表人及其项目经理(建造师)</w:t>
      </w:r>
      <w:bookmarkEnd w:id="97"/>
      <w:r>
        <w:rPr>
          <w:rFonts w:hint="eastAsia" w:ascii="宋体" w:hAnsi="宋体" w:eastAsia="宋体" w:cs="宋体"/>
          <w:bCs/>
          <w:kern w:val="0"/>
          <w:sz w:val="24"/>
          <w:szCs w:val="24"/>
          <w:highlight w:val="none"/>
          <w:lang w:bidi="ar"/>
        </w:rPr>
        <w:t>以下失信行为：</w:t>
      </w:r>
    </w:p>
    <w:p w14:paraId="7C69D3E1">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bookmarkStart w:id="98" w:name="OLE_LINK119"/>
      <w:bookmarkEnd w:id="98"/>
      <w:bookmarkStart w:id="99" w:name="OLE_LINK86"/>
      <w:bookmarkEnd w:id="99"/>
      <w:bookmarkStart w:id="100" w:name="OLE_LINK87"/>
      <w:bookmarkEnd w:id="100"/>
      <w:bookmarkStart w:id="101" w:name="OLE_LINK3"/>
      <w:bookmarkEnd w:id="101"/>
      <w:bookmarkStart w:id="102" w:name="OLE_LINK94"/>
      <w:r>
        <w:rPr>
          <w:rFonts w:hint="eastAsia" w:ascii="宋体" w:hAnsi="宋体" w:eastAsia="宋体" w:cs="宋体"/>
          <w:bCs/>
          <w:kern w:val="0"/>
          <w:sz w:val="24"/>
          <w:szCs w:val="24"/>
          <w:highlight w:val="none"/>
          <w:lang w:bidi="ar"/>
        </w:rPr>
        <w:t>①被列入“失信被执行人”的;</w:t>
      </w:r>
      <w:bookmarkEnd w:id="102"/>
    </w:p>
    <w:p w14:paraId="34793E6F">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②被列入</w:t>
      </w:r>
      <w:bookmarkStart w:id="103" w:name="OLE_LINK118"/>
      <w:bookmarkEnd w:id="103"/>
      <w:bookmarkStart w:id="104" w:name="OLE_LINK116"/>
      <w:bookmarkEnd w:id="104"/>
      <w:bookmarkStart w:id="105" w:name="OLE_LINK117"/>
      <w:bookmarkEnd w:id="105"/>
      <w:bookmarkStart w:id="106" w:name="OLE_LINK115"/>
      <w:r>
        <w:rPr>
          <w:rFonts w:hint="eastAsia" w:ascii="宋体" w:hAnsi="宋体" w:eastAsia="宋体" w:cs="宋体"/>
          <w:bCs/>
          <w:kern w:val="0"/>
          <w:sz w:val="24"/>
          <w:szCs w:val="24"/>
          <w:highlight w:val="none"/>
          <w:lang w:bidi="ar"/>
        </w:rPr>
        <w:t>“重大税收违法失信主体”</w:t>
      </w:r>
      <w:bookmarkEnd w:id="106"/>
      <w:r>
        <w:rPr>
          <w:rFonts w:hint="eastAsia" w:ascii="宋体" w:hAnsi="宋体" w:eastAsia="宋体" w:cs="宋体"/>
          <w:bCs/>
          <w:kern w:val="0"/>
          <w:sz w:val="24"/>
          <w:szCs w:val="24"/>
          <w:highlight w:val="none"/>
          <w:lang w:bidi="ar"/>
        </w:rPr>
        <w:t>的；</w:t>
      </w:r>
    </w:p>
    <w:p w14:paraId="50A8B7CB">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bookmarkStart w:id="107" w:name="OLE_LINK1"/>
      <w:bookmarkEnd w:id="107"/>
      <w:bookmarkStart w:id="108" w:name="OLE_LINK2"/>
      <w:r>
        <w:rPr>
          <w:rFonts w:hint="eastAsia" w:ascii="宋体" w:hAnsi="宋体" w:eastAsia="宋体" w:cs="宋体"/>
          <w:bCs/>
          <w:kern w:val="0"/>
          <w:sz w:val="24"/>
          <w:szCs w:val="24"/>
          <w:highlight w:val="none"/>
          <w:lang w:bidi="ar"/>
        </w:rPr>
        <w:t>③被列入“拖欠</w:t>
      </w:r>
      <w:bookmarkEnd w:id="108"/>
      <w:bookmarkStart w:id="109" w:name="OLE_LINK85"/>
      <w:bookmarkEnd w:id="109"/>
      <w:bookmarkStart w:id="110" w:name="OLE_LINK84"/>
      <w:r>
        <w:rPr>
          <w:rFonts w:hint="eastAsia" w:ascii="宋体" w:hAnsi="宋体" w:eastAsia="宋体" w:cs="宋体"/>
          <w:bCs/>
          <w:kern w:val="0"/>
          <w:sz w:val="24"/>
          <w:szCs w:val="24"/>
          <w:highlight w:val="none"/>
          <w:lang w:bidi="ar"/>
        </w:rPr>
        <w:t>农民工工资失信联合惩戒对象</w:t>
      </w:r>
      <w:bookmarkEnd w:id="110"/>
      <w:r>
        <w:rPr>
          <w:rFonts w:hint="eastAsia" w:ascii="宋体" w:hAnsi="宋体" w:eastAsia="宋体" w:cs="宋体"/>
          <w:bCs/>
          <w:kern w:val="0"/>
          <w:sz w:val="24"/>
          <w:szCs w:val="24"/>
          <w:highlight w:val="none"/>
          <w:lang w:bidi="ar"/>
        </w:rPr>
        <w:t>名单”的；</w:t>
      </w:r>
    </w:p>
    <w:p w14:paraId="6298BCF7">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④被列入 “严重失信主体名单”的；</w:t>
      </w:r>
    </w:p>
    <w:p w14:paraId="40710BFB">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⑤在“信用中国”网站上披露的仍在公示期的严重失信行为(具体行为类别及判定依据见附件2)的。</w:t>
      </w:r>
    </w:p>
    <w:p w14:paraId="7336A57E">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2、</w:t>
      </w:r>
      <w:bookmarkStart w:id="111" w:name="OLE_LINK130"/>
      <w:r>
        <w:rPr>
          <w:rFonts w:hint="eastAsia" w:ascii="宋体" w:hAnsi="宋体" w:eastAsia="宋体" w:cs="宋体"/>
          <w:bCs/>
          <w:kern w:val="0"/>
          <w:sz w:val="24"/>
          <w:szCs w:val="24"/>
          <w:highlight w:val="none"/>
          <w:lang w:bidi="ar"/>
        </w:rPr>
        <w:t>国家企业信用信息公示系统网站</w:t>
      </w:r>
      <w:bookmarkEnd w:id="111"/>
      <w:r>
        <w:rPr>
          <w:rFonts w:hint="eastAsia" w:ascii="宋体" w:hAnsi="宋体" w:eastAsia="宋体" w:cs="宋体"/>
          <w:bCs/>
          <w:kern w:val="0"/>
          <w:sz w:val="24"/>
          <w:szCs w:val="24"/>
          <w:highlight w:val="none"/>
          <w:lang w:bidi="ar"/>
        </w:rPr>
        <w:t>（</w:t>
      </w:r>
      <w:r>
        <w:rPr>
          <w:rFonts w:hint="eastAsia" w:ascii="宋体" w:hAnsi="宋体" w:eastAsia="宋体" w:cs="宋体"/>
          <w:bCs/>
          <w:kern w:val="0"/>
          <w:sz w:val="24"/>
          <w:szCs w:val="24"/>
          <w:highlight w:val="none"/>
        </w:rPr>
        <w:t>www.gsxt.gov.cn）</w:t>
      </w:r>
      <w:r>
        <w:rPr>
          <w:rFonts w:hint="eastAsia" w:ascii="宋体" w:hAnsi="宋体" w:eastAsia="宋体" w:cs="宋体"/>
          <w:bCs/>
          <w:kern w:val="0"/>
          <w:sz w:val="24"/>
          <w:szCs w:val="24"/>
          <w:highlight w:val="none"/>
          <w:lang w:bidi="ar"/>
        </w:rPr>
        <w:t>查询投标人以下失信行为：</w:t>
      </w:r>
    </w:p>
    <w:p w14:paraId="1B73408D">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bookmarkStart w:id="112" w:name="OLE_LINK120"/>
      <w:bookmarkEnd w:id="112"/>
      <w:bookmarkStart w:id="113" w:name="OLE_LINK121"/>
      <w:bookmarkEnd w:id="113"/>
      <w:bookmarkStart w:id="114" w:name="OLE_LINK122"/>
      <w:r>
        <w:rPr>
          <w:rFonts w:hint="eastAsia" w:ascii="宋体" w:hAnsi="宋体" w:eastAsia="宋体" w:cs="宋体"/>
          <w:bCs/>
          <w:kern w:val="0"/>
          <w:sz w:val="24"/>
          <w:szCs w:val="24"/>
          <w:highlight w:val="none"/>
          <w:lang w:bidi="ar"/>
        </w:rPr>
        <w:t>①被列入“经营异常名录”或者“严重违法失信名单”的。</w:t>
      </w:r>
      <w:bookmarkEnd w:id="114"/>
    </w:p>
    <w:p w14:paraId="7D9F829D">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3、由投标人、法定代表人及其项目经理(建造师)进行承诺，不进行现场网上信用查询的失信行为：</w:t>
      </w:r>
    </w:p>
    <w:p w14:paraId="0AC90C89">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①前三年有行贿犯罪行为的单位和个人；</w:t>
      </w:r>
    </w:p>
    <w:p w14:paraId="12F5D1C9">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②被滁州市县两级公管部门取消在一定期限内的投标资格且在取消期限内的；</w:t>
      </w:r>
    </w:p>
    <w:p w14:paraId="0C0824B4">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③被滁州市县两级各行业主管部门取消在一定期限内的投标资格且在取消期限内的；</w:t>
      </w:r>
    </w:p>
    <w:p w14:paraId="0B7B6ED7">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④因拖欠农民工工资被</w:t>
      </w:r>
      <w:bookmarkStart w:id="115" w:name="OLE_LINK107"/>
      <w:bookmarkEnd w:id="115"/>
      <w:bookmarkStart w:id="116" w:name="OLE_LINK108"/>
      <w:r>
        <w:rPr>
          <w:rFonts w:hint="eastAsia" w:ascii="宋体" w:hAnsi="宋体" w:eastAsia="宋体" w:cs="宋体"/>
          <w:bCs/>
          <w:kern w:val="0"/>
          <w:sz w:val="24"/>
          <w:szCs w:val="24"/>
          <w:highlight w:val="none"/>
          <w:lang w:bidi="ar"/>
        </w:rPr>
        <w:t>县级及以上有关行政主管部门限制投标资格且在限制期限内的</w:t>
      </w:r>
      <w:bookmarkEnd w:id="116"/>
      <w:r>
        <w:rPr>
          <w:rFonts w:hint="eastAsia" w:ascii="宋体" w:hAnsi="宋体" w:eastAsia="宋体" w:cs="宋体"/>
          <w:bCs/>
          <w:kern w:val="0"/>
          <w:sz w:val="24"/>
          <w:szCs w:val="24"/>
          <w:highlight w:val="none"/>
          <w:lang w:bidi="ar"/>
        </w:rPr>
        <w:t>；</w:t>
      </w:r>
    </w:p>
    <w:p w14:paraId="10CC0401">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417F674">
      <w:pPr>
        <w:widowControl/>
        <w:autoSpaceDE w:val="0"/>
        <w:spacing w:line="480" w:lineRule="exact"/>
        <w:ind w:firstLine="482" w:firstLineChars="200"/>
        <w:textAlignment w:val="baseline"/>
        <w:rPr>
          <w:rFonts w:hint="eastAsia" w:ascii="宋体" w:hAnsi="宋体" w:eastAsia="宋体" w:cs="宋体"/>
          <w:bCs/>
          <w:sz w:val="24"/>
          <w:szCs w:val="24"/>
          <w:highlight w:val="none"/>
        </w:rPr>
      </w:pPr>
      <w:r>
        <w:rPr>
          <w:rFonts w:hint="eastAsia" w:ascii="宋体" w:hAnsi="宋体" w:eastAsia="宋体" w:cs="宋体"/>
          <w:b/>
          <w:kern w:val="0"/>
          <w:sz w:val="24"/>
          <w:szCs w:val="24"/>
          <w:highlight w:val="none"/>
          <w:lang w:bidi="ar"/>
        </w:rPr>
        <w:t>（二）政府采购项目</w:t>
      </w:r>
    </w:p>
    <w:p w14:paraId="2694C572">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1、“信用中国”网站（www.creditchina.gov.cn）查询供应商、法定代表人及其项目负责人以下失信行为：</w:t>
      </w:r>
    </w:p>
    <w:p w14:paraId="4C3B6FD3">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①被列入“失信被执行人”的;</w:t>
      </w:r>
    </w:p>
    <w:p w14:paraId="14BDD8BB">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②被列入“重大税收违法失信主体”的；</w:t>
      </w:r>
    </w:p>
    <w:p w14:paraId="45DE14AB">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③被列入“严重失信主体名单”的；</w:t>
      </w:r>
    </w:p>
    <w:p w14:paraId="2E519E43">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④在“信用中国”网站上披露的仍在公示期的严重失信行为(具体行为类别及判定依据见附件2)的。</w:t>
      </w:r>
    </w:p>
    <w:p w14:paraId="38E82433">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2、国家企业信用信息公示系统网站（</w:t>
      </w:r>
      <w:r>
        <w:rPr>
          <w:rFonts w:hint="eastAsia" w:ascii="宋体" w:hAnsi="宋体" w:eastAsia="宋体" w:cs="宋体"/>
          <w:bCs/>
          <w:kern w:val="0"/>
          <w:sz w:val="24"/>
          <w:szCs w:val="24"/>
          <w:highlight w:val="none"/>
        </w:rPr>
        <w:t>www.gsxt.gov.cn）</w:t>
      </w:r>
      <w:r>
        <w:rPr>
          <w:rFonts w:hint="eastAsia" w:ascii="宋体" w:hAnsi="宋体" w:eastAsia="宋体" w:cs="宋体"/>
          <w:bCs/>
          <w:kern w:val="0"/>
          <w:sz w:val="24"/>
          <w:szCs w:val="24"/>
          <w:highlight w:val="none"/>
          <w:lang w:bidi="ar"/>
        </w:rPr>
        <w:t>查询供应商以下失信行为：</w:t>
      </w:r>
    </w:p>
    <w:p w14:paraId="4FB01242">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①</w:t>
      </w:r>
      <w:bookmarkStart w:id="117" w:name="OLE_LINK102"/>
      <w:bookmarkEnd w:id="117"/>
      <w:bookmarkStart w:id="118" w:name="OLE_LINK101"/>
      <w:bookmarkEnd w:id="118"/>
      <w:bookmarkStart w:id="119" w:name="OLE_LINK100"/>
      <w:r>
        <w:rPr>
          <w:rFonts w:hint="eastAsia" w:ascii="宋体" w:hAnsi="宋体" w:eastAsia="宋体" w:cs="宋体"/>
          <w:bCs/>
          <w:kern w:val="0"/>
          <w:sz w:val="24"/>
          <w:szCs w:val="24"/>
          <w:highlight w:val="none"/>
          <w:lang w:bidi="ar"/>
        </w:rPr>
        <w:t>被列入“经营异常名录”或者“严重违法失信名单”的</w:t>
      </w:r>
      <w:bookmarkEnd w:id="119"/>
      <w:r>
        <w:rPr>
          <w:rFonts w:hint="eastAsia" w:ascii="宋体" w:hAnsi="宋体" w:eastAsia="宋体" w:cs="宋体"/>
          <w:bCs/>
          <w:kern w:val="0"/>
          <w:sz w:val="24"/>
          <w:szCs w:val="24"/>
          <w:highlight w:val="none"/>
          <w:lang w:bidi="ar"/>
        </w:rPr>
        <w:t>。</w:t>
      </w:r>
    </w:p>
    <w:p w14:paraId="4DD64EA6">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3、中国政府采购网站（</w:t>
      </w:r>
      <w:bookmarkStart w:id="120" w:name="OLE_LINK96"/>
      <w:bookmarkEnd w:id="120"/>
      <w:r>
        <w:rPr>
          <w:rFonts w:hint="eastAsia" w:ascii="宋体" w:hAnsi="宋体" w:eastAsia="宋体" w:cs="宋体"/>
          <w:bCs/>
          <w:kern w:val="0"/>
          <w:sz w:val="24"/>
          <w:szCs w:val="24"/>
          <w:highlight w:val="none"/>
        </w:rPr>
        <w:t>www.ccgp.gov.cn</w:t>
      </w:r>
      <w:r>
        <w:rPr>
          <w:rFonts w:hint="eastAsia" w:ascii="宋体" w:hAnsi="宋体" w:eastAsia="宋体" w:cs="宋体"/>
          <w:bCs/>
          <w:kern w:val="0"/>
          <w:sz w:val="24"/>
          <w:szCs w:val="24"/>
          <w:highlight w:val="none"/>
          <w:lang w:bidi="ar"/>
        </w:rPr>
        <w:t>）查询以下失信行为：</w:t>
      </w:r>
    </w:p>
    <w:p w14:paraId="4212E591">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①</w:t>
      </w:r>
      <w:bookmarkStart w:id="121" w:name="OLE_LINK106"/>
      <w:bookmarkEnd w:id="121"/>
      <w:bookmarkStart w:id="122" w:name="OLE_LINK104"/>
      <w:bookmarkEnd w:id="122"/>
      <w:bookmarkStart w:id="123" w:name="OLE_LINK105"/>
      <w:r>
        <w:rPr>
          <w:rFonts w:hint="eastAsia" w:ascii="宋体" w:hAnsi="宋体" w:eastAsia="宋体" w:cs="宋体"/>
          <w:bCs/>
          <w:kern w:val="0"/>
          <w:sz w:val="24"/>
          <w:szCs w:val="24"/>
          <w:highlight w:val="none"/>
          <w:lang w:bidi="ar"/>
        </w:rPr>
        <w:t>被列入“政府采购严重违法失信行为信息记录”的</w:t>
      </w:r>
      <w:bookmarkEnd w:id="123"/>
      <w:r>
        <w:rPr>
          <w:rFonts w:hint="eastAsia" w:ascii="宋体" w:hAnsi="宋体" w:eastAsia="宋体" w:cs="宋体"/>
          <w:bCs/>
          <w:kern w:val="0"/>
          <w:sz w:val="24"/>
          <w:szCs w:val="24"/>
          <w:highlight w:val="none"/>
          <w:lang w:bidi="ar"/>
        </w:rPr>
        <w:t>。</w:t>
      </w:r>
    </w:p>
    <w:p w14:paraId="4B616306">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4、由竞争主体进行承诺，不进行现场网上信用查询的失信行为：</w:t>
      </w:r>
    </w:p>
    <w:p w14:paraId="29304977">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①前三年有行贿犯罪行为的单位和个人。</w:t>
      </w:r>
    </w:p>
    <w:p w14:paraId="50A3C230">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二、在开评标活动中的查询程序</w:t>
      </w:r>
    </w:p>
    <w:p w14:paraId="253D0DEB">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4385542">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D4ADE7E">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3、项目单位及其委托的代理机构应当做好信用查询结果截图和记录留存。</w:t>
      </w:r>
    </w:p>
    <w:p w14:paraId="32292564">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三、相关要求</w:t>
      </w:r>
    </w:p>
    <w:p w14:paraId="2F421F63">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C150508">
      <w:pPr>
        <w:widowControl/>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EE5ADCA">
      <w:pPr>
        <w:widowControl/>
        <w:wordWrap w:val="0"/>
        <w:autoSpaceDE w:val="0"/>
        <w:spacing w:line="480" w:lineRule="exact"/>
        <w:ind w:firstLine="480" w:firstLineChars="200"/>
        <w:textAlignment w:val="baseline"/>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w:t>
      </w:r>
      <w:r>
        <w:rPr>
          <w:rFonts w:hint="eastAsia" w:ascii="宋体" w:hAnsi="宋体" w:eastAsia="宋体" w:cs="宋体"/>
          <w:bCs/>
          <w:kern w:val="0"/>
          <w:sz w:val="24"/>
          <w:szCs w:val="24"/>
          <w:highlight w:val="none"/>
        </w:rPr>
        <w:t>https://credit.ah.gov.cn/xinyong-fuwu/xvbahv/index.html</w:t>
      </w:r>
      <w:r>
        <w:rPr>
          <w:rFonts w:hint="eastAsia" w:ascii="宋体" w:hAnsi="宋体" w:eastAsia="宋体" w:cs="宋体"/>
          <w:bCs/>
          <w:kern w:val="0"/>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5DEAB88">
      <w:pPr>
        <w:widowControl/>
        <w:autoSpaceDE w:val="0"/>
        <w:spacing w:line="480" w:lineRule="exact"/>
        <w:ind w:firstLine="482" w:firstLineChars="200"/>
        <w:textAlignment w:val="baseline"/>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2、“信用中国”查询的严重失信行为判定依据为各行业主管部门下发的联合惩戒文件中规定的行为（按附件2执行）。</w:t>
      </w:r>
    </w:p>
    <w:p w14:paraId="5B593D21">
      <w:pPr>
        <w:widowControl/>
        <w:autoSpaceDE w:val="0"/>
        <w:spacing w:line="480" w:lineRule="exact"/>
        <w:ind w:firstLine="480" w:firstLineChars="20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bidi="ar"/>
        </w:rPr>
        <w:t>3、资格预审的项目以递交资格预审申请文件截止时间查询为准；资格后审的项目以递交投标文件截止时间查询为准。</w:t>
      </w:r>
    </w:p>
    <w:p w14:paraId="15A04CBE">
      <w:pPr>
        <w:autoSpaceDE w:val="0"/>
        <w:spacing w:line="4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2F3F3A83">
      <w:pPr>
        <w:pStyle w:val="18"/>
        <w:widowControl/>
        <w:autoSpaceDE w:val="0"/>
        <w:spacing w:before="0" w:beforeAutospacing="0" w:after="0" w:afterAutospacing="0" w:line="480" w:lineRule="exact"/>
        <w:ind w:firstLine="420" w:firstLineChars="200"/>
        <w:jc w:val="both"/>
        <w:rPr>
          <w:rFonts w:ascii="Times New Roman" w:hAnsi="Times New Roman" w:eastAsia="宋体"/>
          <w:kern w:val="2"/>
          <w:sz w:val="21"/>
          <w:szCs w:val="21"/>
          <w:highlight w:val="none"/>
        </w:rPr>
      </w:pPr>
      <w:r>
        <w:rPr>
          <w:rFonts w:hint="eastAsia" w:ascii="Times New Roman" w:hAnsi="Times New Roman" w:eastAsia="宋体"/>
          <w:kern w:val="2"/>
          <w:sz w:val="21"/>
          <w:szCs w:val="21"/>
          <w:highlight w:val="none"/>
          <w:lang w:bidi="ar"/>
        </w:rPr>
        <w:t xml:space="preserve"> </w:t>
      </w:r>
    </w:p>
    <w:p w14:paraId="6A8E32C9">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br w:type="page"/>
      </w:r>
      <w:r>
        <w:rPr>
          <w:rFonts w:hint="eastAsia" w:ascii="宋体" w:hAnsi="宋体" w:eastAsia="宋体" w:cs="宋体"/>
          <w:b/>
          <w:sz w:val="24"/>
          <w:szCs w:val="24"/>
          <w:highlight w:val="none"/>
          <w:lang w:bidi="ar"/>
        </w:rPr>
        <w:t>附件</w:t>
      </w:r>
      <w:r>
        <w:rPr>
          <w:rFonts w:ascii="Times New Roman" w:hAnsi="Times New Roman" w:eastAsia="宋体" w:cs="Times New Roman"/>
          <w:b/>
          <w:sz w:val="24"/>
          <w:szCs w:val="24"/>
          <w:highlight w:val="none"/>
          <w:lang w:bidi="ar"/>
        </w:rPr>
        <w:t>2</w:t>
      </w:r>
    </w:p>
    <w:p w14:paraId="7D35135B">
      <w:pPr>
        <w:spacing w:line="4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“信用中国”查询的严重失信行为类别及判定依据</w:t>
      </w:r>
    </w:p>
    <w:p w14:paraId="60A07710">
      <w:pPr>
        <w:spacing w:line="4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1CC9E30D">
      <w:pPr>
        <w:widowControl/>
        <w:autoSpaceDE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“信用中国”查询的严重失信行为判定依据为各行业主管部门下发的联合惩戒文件中规定的行为。下面将部分类别的严重失信行为列举如下：</w:t>
      </w:r>
    </w:p>
    <w:p w14:paraId="0B9EB8DD">
      <w:pPr>
        <w:widowControl/>
        <w:autoSpaceDE w:val="0"/>
        <w:spacing w:line="480" w:lineRule="exact"/>
        <w:ind w:firstLine="482" w:firstLineChars="200"/>
        <w:jc w:val="left"/>
        <w:textAlignment w:val="baseline"/>
        <w:rPr>
          <w:rFonts w:hint="eastAsia" w:ascii="宋体" w:hAnsi="宋体" w:eastAsia="宋体" w:cs="Times New Roman"/>
          <w:b/>
          <w:bCs/>
          <w:sz w:val="24"/>
          <w:szCs w:val="24"/>
          <w:highlight w:val="none"/>
        </w:rPr>
      </w:pPr>
      <w:r>
        <w:rPr>
          <w:rFonts w:hint="eastAsia" w:ascii="宋体" w:hAnsi="宋体" w:eastAsia="宋体" w:cs="Times New Roman"/>
          <w:b/>
          <w:bCs/>
          <w:kern w:val="0"/>
          <w:sz w:val="24"/>
          <w:szCs w:val="24"/>
          <w:highlight w:val="none"/>
          <w:lang w:bidi="ar"/>
        </w:rPr>
        <w:t xml:space="preserve"> </w:t>
      </w:r>
    </w:p>
    <w:p w14:paraId="1C86F8E2">
      <w:pPr>
        <w:widowControl/>
        <w:autoSpaceDE w:val="0"/>
        <w:spacing w:line="480" w:lineRule="exact"/>
        <w:ind w:firstLine="482" w:firstLineChars="200"/>
        <w:jc w:val="left"/>
        <w:textAlignment w:val="baseline"/>
        <w:rPr>
          <w:rFonts w:hint="eastAsia" w:ascii="宋体" w:hAnsi="宋体" w:eastAsia="宋体" w:cs="Times New Roman"/>
          <w:b/>
          <w:bCs/>
          <w:sz w:val="24"/>
          <w:szCs w:val="24"/>
          <w:highlight w:val="none"/>
        </w:rPr>
      </w:pPr>
      <w:r>
        <w:rPr>
          <w:rFonts w:hint="eastAsia" w:ascii="宋体" w:hAnsi="宋体" w:eastAsia="宋体" w:cs="宋体"/>
          <w:b/>
          <w:bCs/>
          <w:kern w:val="0"/>
          <w:sz w:val="24"/>
          <w:szCs w:val="24"/>
          <w:highlight w:val="none"/>
          <w:lang w:bidi="ar"/>
        </w:rPr>
        <w:t>一、安全生产领域严重失信行为：</w:t>
      </w:r>
    </w:p>
    <w:p w14:paraId="4A36206E">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（一）下列发生生产安全事故的生产经营单位及其有关人员应当列入严重失信主体名单：</w:t>
      </w:r>
    </w:p>
    <w:p w14:paraId="6BBEDD17">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1、发生特别重大、重大生产安全事故的生产经营单位及其主要负责人，以及经调查认定对该事故发生负有责任，应当列入名单的其他单位和人员；</w:t>
      </w:r>
    </w:p>
    <w:p w14:paraId="15E172B6">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2、12个月内累计发生2起以上较大生产安全事故的生产经营单位及其主要负责人；</w:t>
      </w:r>
    </w:p>
    <w:p w14:paraId="53636985">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4B985C54">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4、瞒报、谎报生产安全事故的生产经营单位及其有关责任人员；</w:t>
      </w:r>
    </w:p>
    <w:p w14:paraId="2E602E88">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5、发生生产安全事故后，不立即组织抢救或者在事故调查处理期间擅离职守或者逃匿的生产经营单位主要负责人。</w:t>
      </w:r>
    </w:p>
    <w:p w14:paraId="5C290DE6">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（二）下列未发生生产安全事故，但因安全生产违法行为，受到行政处罚的生产经营单位或者机构及其有关人员，应当列入严重失信主体名单：</w:t>
      </w:r>
    </w:p>
    <w:p w14:paraId="64F1072D">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1、未依法取得安全生产相关许可或者许可被暂扣、吊销期间从事相关生产经营活动的生产经营单位及其主要负责人；</w:t>
      </w:r>
    </w:p>
    <w:p w14:paraId="0FFD8EE4">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2、承担安全评价、认证、检测、检验职责的机构及其直接责任人员租借资质、挂靠、出具虚假报告或者证书的；</w:t>
      </w:r>
    </w:p>
    <w:p w14:paraId="4FC53933">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3、在应急管理部门作出行政处罚后，有执行能力拒不执行或者逃避执行的生产经营单位及其主要负责人；</w:t>
      </w:r>
    </w:p>
    <w:p w14:paraId="2711228D">
      <w:pPr>
        <w:widowControl/>
        <w:autoSpaceDE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4、其他违反安全生产法律法规受到行政处罚，且性质恶劣、情节严重的。</w:t>
      </w:r>
    </w:p>
    <w:p w14:paraId="52B0CBCA">
      <w:pPr>
        <w:widowControl/>
        <w:autoSpaceDE w:val="0"/>
        <w:spacing w:line="480" w:lineRule="exact"/>
        <w:ind w:firstLine="482"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依据：《安全生产严重失信主体名单管理办法》（2023年8月8日应急管理部令第11号）</w:t>
      </w:r>
    </w:p>
    <w:p w14:paraId="479955EA">
      <w:pPr>
        <w:widowControl/>
        <w:autoSpaceDE w:val="0"/>
        <w:spacing w:line="480" w:lineRule="exact"/>
        <w:ind w:firstLine="482" w:firstLineChars="200"/>
        <w:jc w:val="left"/>
        <w:textAlignment w:val="baseline"/>
        <w:rPr>
          <w:rFonts w:hint="eastAsia" w:ascii="宋体" w:hAnsi="宋体" w:eastAsia="宋体" w:cs="Times New Roman"/>
          <w:b/>
          <w:bCs/>
          <w:sz w:val="24"/>
          <w:szCs w:val="24"/>
          <w:highlight w:val="none"/>
        </w:rPr>
      </w:pPr>
      <w:r>
        <w:rPr>
          <w:rFonts w:hint="eastAsia" w:ascii="宋体" w:hAnsi="宋体" w:eastAsia="宋体" w:cs="Times New Roman"/>
          <w:b/>
          <w:bCs/>
          <w:kern w:val="0"/>
          <w:sz w:val="24"/>
          <w:szCs w:val="24"/>
          <w:highlight w:val="none"/>
          <w:lang w:bidi="ar"/>
        </w:rPr>
        <w:t xml:space="preserve"> </w:t>
      </w:r>
    </w:p>
    <w:p w14:paraId="6163F212">
      <w:pPr>
        <w:widowControl/>
        <w:autoSpaceDE w:val="0"/>
        <w:spacing w:line="480" w:lineRule="exact"/>
        <w:ind w:firstLine="482" w:firstLineChars="200"/>
        <w:jc w:val="left"/>
        <w:textAlignment w:val="baseline"/>
        <w:rPr>
          <w:rFonts w:hint="eastAsia" w:ascii="宋体" w:hAnsi="宋体" w:eastAsia="宋体" w:cs="Times New Roman"/>
          <w:b/>
          <w:bCs/>
          <w:sz w:val="24"/>
          <w:szCs w:val="24"/>
          <w:highlight w:val="none"/>
        </w:rPr>
      </w:pPr>
      <w:r>
        <w:rPr>
          <w:rFonts w:hint="eastAsia" w:ascii="宋体" w:hAnsi="宋体" w:eastAsia="宋体" w:cs="宋体"/>
          <w:b/>
          <w:bCs/>
          <w:kern w:val="0"/>
          <w:sz w:val="24"/>
          <w:szCs w:val="24"/>
          <w:highlight w:val="none"/>
          <w:lang w:bidi="ar"/>
        </w:rPr>
        <w:t>二、环境保护领域严重失信行为：</w:t>
      </w:r>
    </w:p>
    <w:p w14:paraId="4FFA3F59">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（一）因为环境违法构成</w:t>
      </w:r>
      <w:r>
        <w:rPr>
          <w:rFonts w:hint="eastAsia" w:ascii="宋体" w:hAnsi="宋体" w:eastAsia="宋体" w:cs="宋体"/>
          <w:kern w:val="0"/>
          <w:sz w:val="24"/>
          <w:szCs w:val="24"/>
          <w:highlight w:val="none"/>
        </w:rPr>
        <w:t>环境犯罪</w:t>
      </w:r>
      <w:r>
        <w:rPr>
          <w:rFonts w:hint="eastAsia" w:ascii="宋体" w:hAnsi="宋体" w:eastAsia="宋体" w:cs="宋体"/>
          <w:kern w:val="0"/>
          <w:sz w:val="24"/>
          <w:szCs w:val="24"/>
          <w:highlight w:val="none"/>
          <w:lang w:bidi="ar"/>
        </w:rPr>
        <w:t>的；</w:t>
      </w:r>
    </w:p>
    <w:p w14:paraId="6D67E1D3">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（二）</w:t>
      </w:r>
      <w:r>
        <w:rPr>
          <w:rFonts w:hint="eastAsia" w:ascii="宋体" w:hAnsi="宋体" w:eastAsia="宋体" w:cs="宋体"/>
          <w:kern w:val="0"/>
          <w:sz w:val="24"/>
          <w:szCs w:val="24"/>
          <w:highlight w:val="none"/>
        </w:rPr>
        <w:t>建设项目环境影响评价</w:t>
      </w:r>
      <w:r>
        <w:rPr>
          <w:rFonts w:hint="eastAsia" w:ascii="宋体" w:hAnsi="宋体" w:eastAsia="宋体" w:cs="宋体"/>
          <w:kern w:val="0"/>
          <w:sz w:val="24"/>
          <w:szCs w:val="24"/>
          <w:highlight w:val="none"/>
          <w:lang w:bidi="ar"/>
        </w:rPr>
        <w:t>文件未按规定通过审批，擅自开工建设的；</w:t>
      </w:r>
    </w:p>
    <w:p w14:paraId="20733B63">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（三）建设项目环保设施未建成、环保措施未落实、未通过</w:t>
      </w:r>
      <w:r>
        <w:rPr>
          <w:rFonts w:hint="eastAsia" w:ascii="宋体" w:hAnsi="宋体" w:eastAsia="宋体" w:cs="宋体"/>
          <w:kern w:val="0"/>
          <w:sz w:val="24"/>
          <w:szCs w:val="24"/>
          <w:highlight w:val="none"/>
        </w:rPr>
        <w:t>竣工环保验收</w:t>
      </w:r>
      <w:r>
        <w:rPr>
          <w:rFonts w:hint="eastAsia" w:ascii="宋体" w:hAnsi="宋体" w:eastAsia="宋体" w:cs="宋体"/>
          <w:kern w:val="0"/>
          <w:sz w:val="24"/>
          <w:szCs w:val="24"/>
          <w:highlight w:val="none"/>
          <w:lang w:bidi="ar"/>
        </w:rPr>
        <w:t>或者验收不合格，主体工程正式投入生产或者使用的；</w:t>
      </w:r>
    </w:p>
    <w:p w14:paraId="37E5040F">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5CE4B45B">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（五）主要污染物排放总量超过控制指标的；</w:t>
      </w:r>
    </w:p>
    <w:p w14:paraId="63DFD7A2">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（六）私设暗管或者利用</w:t>
      </w:r>
      <w:r>
        <w:rPr>
          <w:rFonts w:hint="eastAsia" w:ascii="宋体" w:hAnsi="宋体" w:eastAsia="宋体" w:cs="宋体"/>
          <w:kern w:val="0"/>
          <w:sz w:val="24"/>
          <w:szCs w:val="24"/>
          <w:highlight w:val="none"/>
        </w:rPr>
        <w:t>渗井</w:t>
      </w:r>
      <w:r>
        <w:rPr>
          <w:rFonts w:hint="eastAsia" w:ascii="宋体" w:hAnsi="宋体" w:eastAsia="宋体" w:cs="宋体"/>
          <w:kern w:val="0"/>
          <w:sz w:val="24"/>
          <w:szCs w:val="24"/>
          <w:highlight w:val="none"/>
          <w:lang w:bidi="ar"/>
        </w:rPr>
        <w:t>、渗坑、裂隙、溶洞等排放、倾倒、处置水污染物，或者通过私设旁路排放</w:t>
      </w:r>
      <w:r>
        <w:rPr>
          <w:rFonts w:hint="eastAsia" w:ascii="宋体" w:hAnsi="宋体" w:eastAsia="宋体" w:cs="宋体"/>
          <w:kern w:val="0"/>
          <w:sz w:val="24"/>
          <w:szCs w:val="24"/>
          <w:highlight w:val="none"/>
        </w:rPr>
        <w:t>大气污染物</w:t>
      </w:r>
      <w:r>
        <w:rPr>
          <w:rFonts w:hint="eastAsia" w:ascii="宋体" w:hAnsi="宋体" w:eastAsia="宋体" w:cs="宋体"/>
          <w:kern w:val="0"/>
          <w:sz w:val="24"/>
          <w:szCs w:val="24"/>
          <w:highlight w:val="none"/>
          <w:lang w:bidi="ar"/>
        </w:rPr>
        <w:t>的；</w:t>
      </w:r>
    </w:p>
    <w:p w14:paraId="595899A7">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（七）非法排放、倾倒、处置危险废物，或者向无</w:t>
      </w:r>
      <w:r>
        <w:rPr>
          <w:rFonts w:hint="eastAsia" w:ascii="宋体" w:hAnsi="宋体" w:eastAsia="宋体" w:cs="宋体"/>
          <w:kern w:val="0"/>
          <w:sz w:val="24"/>
          <w:szCs w:val="24"/>
          <w:highlight w:val="none"/>
        </w:rPr>
        <w:t>经营许可证</w:t>
      </w:r>
      <w:r>
        <w:rPr>
          <w:rFonts w:hint="eastAsia" w:ascii="宋体" w:hAnsi="宋体" w:eastAsia="宋体" w:cs="宋体"/>
          <w:kern w:val="0"/>
          <w:sz w:val="24"/>
          <w:szCs w:val="24"/>
          <w:highlight w:val="none"/>
          <w:lang w:bidi="ar"/>
        </w:rPr>
        <w:t>或者超出经营许可范围的单位或个人提供或者委托其收集、贮存、利用、处置危险废物的；</w:t>
      </w:r>
    </w:p>
    <w:p w14:paraId="125A2CAD">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（八）</w:t>
      </w:r>
      <w:r>
        <w:rPr>
          <w:rFonts w:hint="eastAsia" w:ascii="宋体" w:hAnsi="宋体" w:eastAsia="宋体" w:cs="宋体"/>
          <w:kern w:val="0"/>
          <w:sz w:val="24"/>
          <w:szCs w:val="24"/>
          <w:highlight w:val="none"/>
        </w:rPr>
        <w:t>环境违法行为</w:t>
      </w:r>
      <w:r>
        <w:rPr>
          <w:rFonts w:hint="eastAsia" w:ascii="宋体" w:hAnsi="宋体" w:eastAsia="宋体" w:cs="宋体"/>
          <w:kern w:val="0"/>
          <w:sz w:val="24"/>
          <w:szCs w:val="24"/>
          <w:highlight w:val="none"/>
          <w:lang w:bidi="ar"/>
        </w:rPr>
        <w:t>造成集中式生活饮用水水源取水中断的；</w:t>
      </w:r>
    </w:p>
    <w:p w14:paraId="1F9346FD">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（九）环境违法行为对生活饮用水水源保护区、自然保护区、</w:t>
      </w:r>
      <w:r>
        <w:rPr>
          <w:rFonts w:hint="eastAsia" w:ascii="宋体" w:hAnsi="宋体" w:eastAsia="宋体" w:cs="宋体"/>
          <w:kern w:val="0"/>
          <w:sz w:val="24"/>
          <w:szCs w:val="24"/>
          <w:highlight w:val="none"/>
        </w:rPr>
        <w:t>国家重点生态功能区</w:t>
      </w:r>
      <w:r>
        <w:rPr>
          <w:rFonts w:hint="eastAsia" w:ascii="宋体" w:hAnsi="宋体" w:eastAsia="宋体" w:cs="宋体"/>
          <w:kern w:val="0"/>
          <w:sz w:val="24"/>
          <w:szCs w:val="24"/>
          <w:highlight w:val="none"/>
          <w:lang w:bidi="ar"/>
        </w:rPr>
        <w:t>、风景名胜区、居住功能区、</w:t>
      </w:r>
      <w:r>
        <w:rPr>
          <w:rFonts w:hint="eastAsia" w:ascii="宋体" w:hAnsi="宋体" w:eastAsia="宋体" w:cs="宋体"/>
          <w:kern w:val="0"/>
          <w:sz w:val="24"/>
          <w:szCs w:val="24"/>
          <w:highlight w:val="none"/>
        </w:rPr>
        <w:t>基本农田保护区</w:t>
      </w:r>
      <w:r>
        <w:rPr>
          <w:rFonts w:hint="eastAsia" w:ascii="宋体" w:hAnsi="宋体" w:eastAsia="宋体" w:cs="宋体"/>
          <w:kern w:val="0"/>
          <w:sz w:val="24"/>
          <w:szCs w:val="24"/>
          <w:highlight w:val="none"/>
          <w:lang w:bidi="ar"/>
        </w:rPr>
        <w:t>等环境敏感区造成重大不利影响的；</w:t>
      </w:r>
    </w:p>
    <w:p w14:paraId="6FB1F94D">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（十）违法从事自然资源开发、交通基础设施建设，以及其他开发建设活动，造成严重生态破坏的；</w:t>
      </w:r>
    </w:p>
    <w:p w14:paraId="17AF3DF5">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（十一）发生较大及以上突发环境事件的；</w:t>
      </w:r>
    </w:p>
    <w:p w14:paraId="749B08D2">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（十二）被环保部门挂牌督办，整改逾期未完成的；</w:t>
      </w:r>
    </w:p>
    <w:p w14:paraId="4AA51CA5">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（十三）以暴力、威胁等方式拒绝、阻挠环保部门工作人员现场检查的；</w:t>
      </w:r>
    </w:p>
    <w:p w14:paraId="73D3436A">
      <w:pPr>
        <w:widowControl/>
        <w:autoSpaceDE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（十四）违反重污染天气应急预案有关规定，对重污染天气响应不力的。</w:t>
      </w:r>
    </w:p>
    <w:p w14:paraId="4867AA6E">
      <w:pPr>
        <w:widowControl/>
        <w:autoSpaceDE w:val="0"/>
        <w:spacing w:line="480" w:lineRule="exact"/>
        <w:ind w:firstLine="482"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依据：《</w:t>
      </w:r>
      <w:bookmarkStart w:id="124" w:name="OLE_LINK10"/>
      <w:bookmarkEnd w:id="124"/>
      <w:bookmarkStart w:id="125" w:name="OLE_LINK8"/>
      <w:bookmarkEnd w:id="125"/>
      <w:bookmarkStart w:id="126" w:name="OLE_LINK9"/>
      <w:r>
        <w:rPr>
          <w:rFonts w:hint="eastAsia" w:ascii="宋体" w:hAnsi="宋体" w:eastAsia="宋体" w:cs="宋体"/>
          <w:b/>
          <w:kern w:val="0"/>
          <w:sz w:val="24"/>
          <w:szCs w:val="24"/>
          <w:highlight w:val="none"/>
          <w:lang w:bidi="ar"/>
        </w:rPr>
        <w:t>关于对环境保护领域失信生产经营单位及其有关人员开展联合惩戒的合作备忘录</w:t>
      </w:r>
      <w:bookmarkEnd w:id="126"/>
      <w:r>
        <w:rPr>
          <w:rFonts w:hint="eastAsia" w:ascii="宋体" w:hAnsi="宋体" w:eastAsia="宋体" w:cs="宋体"/>
          <w:b/>
          <w:kern w:val="0"/>
          <w:sz w:val="24"/>
          <w:szCs w:val="24"/>
          <w:highlight w:val="none"/>
          <w:lang w:bidi="ar"/>
        </w:rPr>
        <w:t>》、《</w:t>
      </w:r>
      <w:bookmarkStart w:id="127" w:name="OLE_LINK11"/>
      <w:bookmarkEnd w:id="127"/>
      <w:bookmarkStart w:id="128" w:name="OLE_LINK12"/>
      <w:r>
        <w:rPr>
          <w:rFonts w:hint="eastAsia" w:ascii="宋体" w:hAnsi="宋体" w:eastAsia="宋体" w:cs="宋体"/>
          <w:b/>
          <w:kern w:val="0"/>
          <w:sz w:val="24"/>
          <w:szCs w:val="24"/>
          <w:highlight w:val="none"/>
          <w:lang w:bidi="ar"/>
        </w:rPr>
        <w:t>企业环境信用评价办法（试行）</w:t>
      </w:r>
      <w:bookmarkEnd w:id="128"/>
      <w:r>
        <w:rPr>
          <w:rFonts w:hint="eastAsia" w:ascii="宋体" w:hAnsi="宋体" w:eastAsia="宋体" w:cs="宋体"/>
          <w:b/>
          <w:kern w:val="0"/>
          <w:sz w:val="24"/>
          <w:szCs w:val="24"/>
          <w:highlight w:val="none"/>
          <w:lang w:bidi="ar"/>
        </w:rPr>
        <w:t>》（环发〔2013〕150号）</w:t>
      </w:r>
    </w:p>
    <w:p w14:paraId="6E681A4F">
      <w:pPr>
        <w:widowControl/>
        <w:autoSpaceDE w:val="0"/>
        <w:spacing w:line="480" w:lineRule="exact"/>
        <w:ind w:firstLine="482" w:firstLineChars="200"/>
        <w:jc w:val="left"/>
        <w:textAlignment w:val="baseline"/>
        <w:rPr>
          <w:rFonts w:hint="eastAsia" w:ascii="宋体" w:hAnsi="宋体" w:eastAsia="宋体" w:cs="Times New Roman"/>
          <w:b/>
          <w:bCs/>
          <w:sz w:val="24"/>
          <w:szCs w:val="24"/>
          <w:highlight w:val="none"/>
        </w:rPr>
      </w:pPr>
      <w:r>
        <w:rPr>
          <w:rFonts w:hint="eastAsia" w:ascii="宋体" w:hAnsi="宋体" w:eastAsia="宋体" w:cs="Times New Roman"/>
          <w:b/>
          <w:bCs/>
          <w:kern w:val="0"/>
          <w:sz w:val="24"/>
          <w:szCs w:val="24"/>
          <w:highlight w:val="none"/>
          <w:lang w:bidi="ar"/>
        </w:rPr>
        <w:t xml:space="preserve"> </w:t>
      </w:r>
    </w:p>
    <w:p w14:paraId="10C7B081">
      <w:pPr>
        <w:widowControl/>
        <w:autoSpaceDE w:val="0"/>
        <w:spacing w:line="480" w:lineRule="exact"/>
        <w:ind w:firstLine="482" w:firstLineChars="200"/>
        <w:jc w:val="left"/>
        <w:textAlignment w:val="baseline"/>
        <w:rPr>
          <w:rFonts w:hint="eastAsia" w:ascii="宋体" w:hAnsi="宋体" w:eastAsia="宋体" w:cs="Times New Roman"/>
          <w:b/>
          <w:bCs/>
          <w:sz w:val="24"/>
          <w:szCs w:val="24"/>
          <w:highlight w:val="none"/>
        </w:rPr>
      </w:pPr>
      <w:r>
        <w:rPr>
          <w:rFonts w:hint="eastAsia" w:ascii="宋体" w:hAnsi="宋体" w:eastAsia="宋体" w:cs="宋体"/>
          <w:b/>
          <w:bCs/>
          <w:kern w:val="0"/>
          <w:sz w:val="24"/>
          <w:szCs w:val="24"/>
          <w:highlight w:val="none"/>
          <w:lang w:bidi="ar"/>
        </w:rPr>
        <w:t>三、公共资源交易领域严重失信行为</w:t>
      </w:r>
    </w:p>
    <w:p w14:paraId="7778CE7D">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（一）违反法律规定，必须进行招标的项目而不招标的，将必须进行招标的项目化整为零或者以其他任何方式规避招标的； </w:t>
      </w:r>
    </w:p>
    <w:p w14:paraId="30613784">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745BC299">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7D2F5F4C">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15B9C0B8">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（五）投标人相互串通投标或者与招标人串通投标的，投标人以向招标人或者评标委员会成员行贿的手段谋取中标的； </w:t>
      </w:r>
    </w:p>
    <w:p w14:paraId="39D7131B">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（六）投标人以他人名义投标或者以其他方式弄虚作假，骗取中标的；</w:t>
      </w:r>
    </w:p>
    <w:p w14:paraId="0065F29F">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（七）依法必须进行招标的项目，招标人违反法律规定，与投标人就投标价格、投标方案等实质性内容进行谈判的；</w:t>
      </w:r>
    </w:p>
    <w:p w14:paraId="50A11DFE">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B09FF87">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F7064B4">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2F347B8">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（十一）招标人与中标人不按照招标文件和中标人的投标文件订立合同的，或者招标人、中标人订立背离合同实质性内容的 协议的； </w:t>
      </w:r>
    </w:p>
    <w:p w14:paraId="087C53B2">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（十二）中标人不按照与招标人订立的合同履行义务，情节严重的； </w:t>
      </w:r>
    </w:p>
    <w:p w14:paraId="7A8D4612">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64CA275">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A3D158C">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 （十五）采购人对应当实行集中采购的政府采购项目，不委托集中采购机构实行集中采购的； </w:t>
      </w:r>
    </w:p>
    <w:p w14:paraId="637F7EEF">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（十六）采购人、采购代理机构违反法律规定隐匿、销毁应当保存的采购文件或者伪造、变造采购文件的； </w:t>
      </w:r>
    </w:p>
    <w:p w14:paraId="1C2557C2">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4589925">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（十八）疫苗生产企业向县级疾病预防控制机构以外的单位或者个人销售第二类疫苗的； </w:t>
      </w:r>
    </w:p>
    <w:p w14:paraId="7D602056">
      <w:pPr>
        <w:widowControl/>
        <w:autoSpaceDE w:val="0"/>
        <w:spacing w:line="480" w:lineRule="exact"/>
        <w:ind w:firstLine="480" w:firstLineChars="200"/>
        <w:jc w:val="left"/>
        <w:textAlignment w:val="baseline"/>
        <w:rPr>
          <w:rFonts w:hint="eastAsia" w:ascii="宋体" w:hAnsi="宋体" w:eastAsia="宋体" w:cs="Times New Roman"/>
          <w:sz w:val="24"/>
          <w:szCs w:val="24"/>
          <w:highlight w:val="none"/>
        </w:rPr>
      </w:pPr>
      <w:r>
        <w:rPr>
          <w:rFonts w:hint="eastAsia" w:ascii="宋体" w:hAnsi="宋体" w:eastAsia="宋体" w:cs="宋体"/>
          <w:kern w:val="0"/>
          <w:sz w:val="24"/>
          <w:szCs w:val="24"/>
          <w:highlight w:val="none"/>
          <w:lang w:bidi="ar"/>
        </w:rPr>
        <w:t>（十九）存在其他违反公共资源交易法律法规行为的。</w:t>
      </w:r>
    </w:p>
    <w:p w14:paraId="5F87BAA6">
      <w:pPr>
        <w:widowControl/>
        <w:autoSpaceDE w:val="0"/>
        <w:spacing w:line="480" w:lineRule="exact"/>
        <w:ind w:firstLine="482"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依据：《关于对公共资源交易领域严重失信主体开展联合惩戒的备忘录》（发改法规〔2018〕457号）</w:t>
      </w:r>
    </w:p>
    <w:p w14:paraId="679CAF03">
      <w:pPr>
        <w:widowControl/>
        <w:autoSpaceDE w:val="0"/>
        <w:spacing w:line="480" w:lineRule="exact"/>
        <w:ind w:firstLine="482"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 xml:space="preserve"> </w:t>
      </w:r>
    </w:p>
    <w:p w14:paraId="2FDFC2EC">
      <w:pPr>
        <w:widowControl/>
        <w:autoSpaceDE w:val="0"/>
        <w:spacing w:line="480" w:lineRule="exact"/>
        <w:ind w:firstLine="482"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四、社会保险领域严重失信行为</w:t>
      </w:r>
    </w:p>
    <w:p w14:paraId="27E0D616">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（一）用人单位未按相关规定参加社会保险且拒不整改的； </w:t>
      </w:r>
    </w:p>
    <w:p w14:paraId="77D810B6">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（二）用人单位未如实申报社会保险缴费基数且拒不整改的； </w:t>
      </w:r>
    </w:p>
    <w:p w14:paraId="418E079E">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（三）应缴纳社会保险费却拒不缴纳的； </w:t>
      </w:r>
    </w:p>
    <w:p w14:paraId="5EFEE806">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（四）隐匿、转移、侵占、挪用社会保险费款、基金或者违规投资运营的；</w:t>
      </w:r>
    </w:p>
    <w:p w14:paraId="2023B98C">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（五）以欺诈、伪造证明材料或者其他手段参加、申报社会保险和骗取社会保险基金支出或社会保险待遇的； </w:t>
      </w:r>
    </w:p>
    <w:p w14:paraId="54B7C74B">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（六）非法获取、出售或变相交易社会保险个人权益数据的； </w:t>
      </w:r>
    </w:p>
    <w:p w14:paraId="65A3F341">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（七）社会保险服务机构违反服务协议或相关规定的； </w:t>
      </w:r>
    </w:p>
    <w:p w14:paraId="737EBF4A">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16C5AFF1">
      <w:pPr>
        <w:widowControl/>
        <w:autoSpaceDE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（九）其他违反法律法规规定的。</w:t>
      </w:r>
    </w:p>
    <w:p w14:paraId="237B30D4">
      <w:pPr>
        <w:widowControl/>
        <w:autoSpaceDE w:val="0"/>
        <w:spacing w:line="480" w:lineRule="exact"/>
        <w:ind w:firstLine="482"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依据：《关于对社会保险领域严重失信企业及其有关人员实施联合惩戒的合作备忘录》（发改财金〔2018〕1704号）</w:t>
      </w:r>
    </w:p>
    <w:p w14:paraId="0E5BF8FF">
      <w:pPr>
        <w:widowControl/>
        <w:autoSpaceDE w:val="0"/>
        <w:spacing w:line="480" w:lineRule="exact"/>
        <w:ind w:firstLine="482"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 xml:space="preserve"> </w:t>
      </w:r>
    </w:p>
    <w:p w14:paraId="61D631D2">
      <w:pPr>
        <w:widowControl/>
        <w:autoSpaceDE w:val="0"/>
        <w:spacing w:line="480" w:lineRule="exact"/>
        <w:ind w:firstLine="482"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五、建筑市场领域严重失信行为</w:t>
      </w:r>
    </w:p>
    <w:p w14:paraId="638142EC">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（一）利用虚假材料、以欺骗手段取得企业资质的；</w:t>
      </w:r>
    </w:p>
    <w:p w14:paraId="2FB47B37">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（二）发生转包、出借资质，受到行政处罚的；</w:t>
      </w:r>
    </w:p>
    <w:p w14:paraId="678D5A0A">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2AE9C0BA">
      <w:pPr>
        <w:widowControl/>
        <w:autoSpaceDE w:val="0"/>
        <w:spacing w:line="480" w:lineRule="exact"/>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（四）经法院判决或仲裁机构裁决，认定为拖欠工程款,且拒不履行生效法律文书确定的义务的。</w:t>
      </w:r>
    </w:p>
    <w:p w14:paraId="449A968D">
      <w:pPr>
        <w:widowControl/>
        <w:autoSpaceDE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669D7333">
      <w:pPr>
        <w:widowControl/>
        <w:autoSpaceDE w:val="0"/>
        <w:spacing w:line="480" w:lineRule="exact"/>
        <w:ind w:firstLine="482" w:firstLineChars="200"/>
        <w:jc w:val="left"/>
        <w:textAlignment w:val="baseline"/>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bidi="ar"/>
        </w:rPr>
        <w:t>依据：《</w:t>
      </w:r>
      <w:bookmarkStart w:id="129" w:name="OLE_LINK17"/>
      <w:bookmarkEnd w:id="129"/>
      <w:bookmarkStart w:id="130" w:name="OLE_LINK18"/>
      <w:r>
        <w:rPr>
          <w:rFonts w:hint="eastAsia" w:ascii="宋体" w:hAnsi="宋体" w:eastAsia="宋体" w:cs="宋体"/>
          <w:b/>
          <w:kern w:val="0"/>
          <w:sz w:val="24"/>
          <w:szCs w:val="24"/>
          <w:highlight w:val="none"/>
          <w:lang w:bidi="ar"/>
        </w:rPr>
        <w:t>建筑市场信用管理暂行办法</w:t>
      </w:r>
      <w:bookmarkEnd w:id="130"/>
      <w:r>
        <w:rPr>
          <w:rFonts w:hint="eastAsia" w:ascii="宋体" w:hAnsi="宋体" w:eastAsia="宋体" w:cs="宋体"/>
          <w:b/>
          <w:kern w:val="0"/>
          <w:sz w:val="24"/>
          <w:szCs w:val="24"/>
          <w:highlight w:val="none"/>
          <w:lang w:bidi="ar"/>
        </w:rPr>
        <w:t>》（建市〔2017〕241号）</w:t>
      </w:r>
    </w:p>
    <w:p w14:paraId="411E5AB1">
      <w:pPr>
        <w:widowControl/>
        <w:autoSpaceDE w:val="0"/>
        <w:spacing w:line="480" w:lineRule="exact"/>
        <w:ind w:firstLine="482"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 xml:space="preserve"> </w:t>
      </w:r>
    </w:p>
    <w:p w14:paraId="18B47FDE">
      <w:pPr>
        <w:widowControl/>
        <w:autoSpaceDE w:val="0"/>
        <w:spacing w:line="480" w:lineRule="exact"/>
        <w:ind w:firstLine="482"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六、政府采购严重失信行为</w:t>
      </w:r>
    </w:p>
    <w:p w14:paraId="680DC997">
      <w:pPr>
        <w:widowControl/>
        <w:autoSpaceDE w:val="0"/>
        <w:spacing w:line="480" w:lineRule="exact"/>
        <w:ind w:firstLine="480" w:firstLineChars="200"/>
        <w:jc w:val="left"/>
        <w:textAlignment w:val="baseline"/>
        <w:rPr>
          <w:rFonts w:hint="eastAsia" w:ascii="宋体" w:hAnsi="宋体" w:eastAsia="宋体" w:cs="Times New Roman"/>
          <w:sz w:val="24"/>
          <w:szCs w:val="24"/>
          <w:highlight w:val="none"/>
        </w:rPr>
      </w:pPr>
      <w:r>
        <w:rPr>
          <w:rFonts w:hint="eastAsia" w:ascii="宋体" w:hAnsi="宋体" w:eastAsia="宋体" w:cs="宋体"/>
          <w:kern w:val="0"/>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xml:space="preserve">  （一）三万元以上罚款；</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xml:space="preserve">  （二）在一至三年内禁止参加政府采购活动（处罚期限届满的除外）；</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xml:space="preserve">  （三）在一至三年内禁止代理政府采购业务（处罚期限届满的除外）；</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 xml:space="preserve">  （四）撤销政府采购代理机构资格（仅针对《政府采购法》第78条修改前作出的处罚决定）。</w:t>
      </w:r>
    </w:p>
    <w:p w14:paraId="58FC45F2">
      <w:pPr>
        <w:widowControl/>
        <w:autoSpaceDE w:val="0"/>
        <w:spacing w:line="480" w:lineRule="exact"/>
        <w:ind w:firstLine="482" w:firstLineChars="200"/>
        <w:jc w:val="left"/>
        <w:textAlignment w:val="baseline"/>
        <w:rPr>
          <w:rFonts w:hint="eastAsia" w:ascii="宋体" w:hAnsi="宋体" w:eastAsia="宋体" w:cs="Times New Roman"/>
          <w:b/>
          <w:sz w:val="24"/>
          <w:szCs w:val="24"/>
          <w:highlight w:val="none"/>
        </w:rPr>
      </w:pPr>
      <w:r>
        <w:rPr>
          <w:rFonts w:hint="eastAsia" w:ascii="宋体" w:hAnsi="宋体" w:eastAsia="宋体" w:cs="宋体"/>
          <w:b/>
          <w:kern w:val="0"/>
          <w:sz w:val="24"/>
          <w:szCs w:val="24"/>
          <w:highlight w:val="none"/>
          <w:lang w:bidi="ar"/>
        </w:rPr>
        <w:t>依据：《关于报送政府采购严重违法失信行为信息记录的通知》（财办库〔2014〕526号）</w:t>
      </w:r>
    </w:p>
    <w:p w14:paraId="361450D6">
      <w:pPr>
        <w:widowControl/>
        <w:autoSpaceDE w:val="0"/>
        <w:spacing w:line="480" w:lineRule="exact"/>
        <w:ind w:firstLine="482" w:firstLineChars="200"/>
        <w:jc w:val="left"/>
        <w:textAlignment w:val="baseline"/>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 xml:space="preserve"> </w:t>
      </w:r>
      <w:r>
        <w:rPr>
          <w:rFonts w:hint="eastAsia" w:ascii="宋体" w:hAnsi="宋体" w:eastAsia="宋体" w:cs="宋体"/>
          <w:kern w:val="0"/>
          <w:sz w:val="24"/>
          <w:szCs w:val="24"/>
          <w:highlight w:val="none"/>
          <w:lang w:bidi="ar"/>
        </w:rPr>
        <w:t xml:space="preserve"> </w:t>
      </w:r>
    </w:p>
    <w:p w14:paraId="20E2F16C">
      <w:pPr>
        <w:widowControl/>
        <w:autoSpaceDE w:val="0"/>
        <w:spacing w:line="48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未列出的其他类别严重失信行为，由招标人（代理机构）根据各类别行业主管部门下发的联合惩戒文件进行判断。</w:t>
      </w:r>
    </w:p>
    <w:p w14:paraId="1CFDFDE5">
      <w:pPr>
        <w:spacing w:line="440" w:lineRule="exact"/>
        <w:ind w:firstLine="615"/>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19FB055B">
      <w:pPr>
        <w:spacing w:line="360" w:lineRule="auto"/>
        <w:ind w:firstLine="435"/>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7D95FF1E">
      <w:pPr>
        <w:spacing w:line="360" w:lineRule="auto"/>
        <w:ind w:firstLine="435"/>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68E70B95">
      <w:pPr>
        <w:spacing w:line="360" w:lineRule="auto"/>
        <w:ind w:firstLine="435"/>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_GBK">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BFA2">
    <w:pPr>
      <w:pStyle w:val="14"/>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C7A7">
    <w:pPr>
      <w:pStyle w:val="1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2C122">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152C122">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5CBE">
    <w:pPr>
      <w:pStyle w:val="15"/>
      <w:pBdr>
        <w:bottom w:val="none" w:color="auto" w:sz="0" w:space="1"/>
      </w:pBdr>
      <w:jc w:val="left"/>
      <w:rPr>
        <w:rFonts w:hint="eastAsia"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8E04">
    <w:pPr>
      <w:pStyle w:val="15"/>
      <w:pBdr>
        <w:bottom w:val="none" w:color="auto" w:sz="0" w:space="1"/>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043F"/>
    <w:rsid w:val="00002EA6"/>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0ADC"/>
    <w:rsid w:val="000530EC"/>
    <w:rsid w:val="000544DE"/>
    <w:rsid w:val="000648D2"/>
    <w:rsid w:val="00070E0E"/>
    <w:rsid w:val="00076DB7"/>
    <w:rsid w:val="00080B7B"/>
    <w:rsid w:val="00080FEB"/>
    <w:rsid w:val="00081B81"/>
    <w:rsid w:val="00085DCF"/>
    <w:rsid w:val="000868D6"/>
    <w:rsid w:val="000942BA"/>
    <w:rsid w:val="00094D41"/>
    <w:rsid w:val="00097CB9"/>
    <w:rsid w:val="000A3569"/>
    <w:rsid w:val="000A4640"/>
    <w:rsid w:val="000A6345"/>
    <w:rsid w:val="000A6693"/>
    <w:rsid w:val="000A6B73"/>
    <w:rsid w:val="000A7D94"/>
    <w:rsid w:val="000B1511"/>
    <w:rsid w:val="000B44D3"/>
    <w:rsid w:val="000B54F4"/>
    <w:rsid w:val="000C01F1"/>
    <w:rsid w:val="000C1DB1"/>
    <w:rsid w:val="000D3F37"/>
    <w:rsid w:val="000D431F"/>
    <w:rsid w:val="000E2208"/>
    <w:rsid w:val="000E3AC1"/>
    <w:rsid w:val="000E3C74"/>
    <w:rsid w:val="000E3F9B"/>
    <w:rsid w:val="000E3FC3"/>
    <w:rsid w:val="000E6689"/>
    <w:rsid w:val="000F00A3"/>
    <w:rsid w:val="000F014C"/>
    <w:rsid w:val="000F172B"/>
    <w:rsid w:val="000F1C24"/>
    <w:rsid w:val="000F2198"/>
    <w:rsid w:val="000F39B6"/>
    <w:rsid w:val="000F6B7B"/>
    <w:rsid w:val="00100B0F"/>
    <w:rsid w:val="0010187C"/>
    <w:rsid w:val="001037E3"/>
    <w:rsid w:val="00110911"/>
    <w:rsid w:val="00111161"/>
    <w:rsid w:val="00114747"/>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2A27"/>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0FF9"/>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4526"/>
    <w:rsid w:val="0029762C"/>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3E5B"/>
    <w:rsid w:val="003D6C7C"/>
    <w:rsid w:val="003D6EFB"/>
    <w:rsid w:val="003D7E52"/>
    <w:rsid w:val="003E25C6"/>
    <w:rsid w:val="003E6BEB"/>
    <w:rsid w:val="003F145B"/>
    <w:rsid w:val="003F2122"/>
    <w:rsid w:val="003F326A"/>
    <w:rsid w:val="004011AA"/>
    <w:rsid w:val="0040202C"/>
    <w:rsid w:val="004029E4"/>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174E0"/>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54718"/>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3822"/>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377FA"/>
    <w:rsid w:val="00755D75"/>
    <w:rsid w:val="00756245"/>
    <w:rsid w:val="0076130F"/>
    <w:rsid w:val="00761662"/>
    <w:rsid w:val="00764043"/>
    <w:rsid w:val="00773989"/>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4446"/>
    <w:rsid w:val="007E4934"/>
    <w:rsid w:val="007E5DDE"/>
    <w:rsid w:val="00801028"/>
    <w:rsid w:val="00802CE2"/>
    <w:rsid w:val="00803793"/>
    <w:rsid w:val="0080643F"/>
    <w:rsid w:val="00814052"/>
    <w:rsid w:val="008149FD"/>
    <w:rsid w:val="00817A01"/>
    <w:rsid w:val="00824F21"/>
    <w:rsid w:val="00824FE4"/>
    <w:rsid w:val="0082500C"/>
    <w:rsid w:val="00825E35"/>
    <w:rsid w:val="008334F8"/>
    <w:rsid w:val="008341AA"/>
    <w:rsid w:val="00835D8E"/>
    <w:rsid w:val="008372F6"/>
    <w:rsid w:val="008377CA"/>
    <w:rsid w:val="0084173F"/>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6DB"/>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3B13"/>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5EE8"/>
    <w:rsid w:val="00B3720B"/>
    <w:rsid w:val="00B40EE3"/>
    <w:rsid w:val="00B4535A"/>
    <w:rsid w:val="00B55271"/>
    <w:rsid w:val="00B55545"/>
    <w:rsid w:val="00B5558A"/>
    <w:rsid w:val="00B56513"/>
    <w:rsid w:val="00B56B2E"/>
    <w:rsid w:val="00B64376"/>
    <w:rsid w:val="00B71533"/>
    <w:rsid w:val="00B7401F"/>
    <w:rsid w:val="00B75153"/>
    <w:rsid w:val="00B806C3"/>
    <w:rsid w:val="00B838F5"/>
    <w:rsid w:val="00B84FCA"/>
    <w:rsid w:val="00B9089F"/>
    <w:rsid w:val="00B91AEE"/>
    <w:rsid w:val="00B94F71"/>
    <w:rsid w:val="00B95F5A"/>
    <w:rsid w:val="00B96EAD"/>
    <w:rsid w:val="00BA03C8"/>
    <w:rsid w:val="00BA22AF"/>
    <w:rsid w:val="00BA4B42"/>
    <w:rsid w:val="00BA79F5"/>
    <w:rsid w:val="00BB02E8"/>
    <w:rsid w:val="00BB318C"/>
    <w:rsid w:val="00BB3AB6"/>
    <w:rsid w:val="00BB766D"/>
    <w:rsid w:val="00BC007B"/>
    <w:rsid w:val="00BC15E7"/>
    <w:rsid w:val="00BC26BA"/>
    <w:rsid w:val="00BC28D1"/>
    <w:rsid w:val="00BC35F8"/>
    <w:rsid w:val="00BC49BF"/>
    <w:rsid w:val="00BC5043"/>
    <w:rsid w:val="00BC7140"/>
    <w:rsid w:val="00BD1B89"/>
    <w:rsid w:val="00BD3944"/>
    <w:rsid w:val="00BE1545"/>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6A84"/>
    <w:rsid w:val="00C47037"/>
    <w:rsid w:val="00C53625"/>
    <w:rsid w:val="00C602C1"/>
    <w:rsid w:val="00C61C98"/>
    <w:rsid w:val="00C63FC0"/>
    <w:rsid w:val="00C66392"/>
    <w:rsid w:val="00C74C5E"/>
    <w:rsid w:val="00C77487"/>
    <w:rsid w:val="00C827A2"/>
    <w:rsid w:val="00C82B69"/>
    <w:rsid w:val="00C85394"/>
    <w:rsid w:val="00C8657D"/>
    <w:rsid w:val="00C90759"/>
    <w:rsid w:val="00C91B28"/>
    <w:rsid w:val="00C91F3A"/>
    <w:rsid w:val="00C94A6F"/>
    <w:rsid w:val="00CA06E3"/>
    <w:rsid w:val="00CA460C"/>
    <w:rsid w:val="00CA4FB8"/>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0D69"/>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2732"/>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27763"/>
    <w:rsid w:val="00E30ACD"/>
    <w:rsid w:val="00E30CFE"/>
    <w:rsid w:val="00E3184B"/>
    <w:rsid w:val="00E32735"/>
    <w:rsid w:val="00E43638"/>
    <w:rsid w:val="00E5391D"/>
    <w:rsid w:val="00E544E5"/>
    <w:rsid w:val="00E553CE"/>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465A"/>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A7623"/>
    <w:rsid w:val="00FB0453"/>
    <w:rsid w:val="00FB0C07"/>
    <w:rsid w:val="00FB298D"/>
    <w:rsid w:val="00FC1439"/>
    <w:rsid w:val="00FC58BE"/>
    <w:rsid w:val="00FC7225"/>
    <w:rsid w:val="00FC724B"/>
    <w:rsid w:val="00FC767C"/>
    <w:rsid w:val="00FC7910"/>
    <w:rsid w:val="00FD0834"/>
    <w:rsid w:val="00FD4076"/>
    <w:rsid w:val="00FD6EA4"/>
    <w:rsid w:val="00FE13AD"/>
    <w:rsid w:val="00FE348D"/>
    <w:rsid w:val="00FE51C8"/>
    <w:rsid w:val="00FE53B6"/>
    <w:rsid w:val="00FE72A6"/>
    <w:rsid w:val="00FF0ABF"/>
    <w:rsid w:val="00FF0DA7"/>
    <w:rsid w:val="00FF44E0"/>
    <w:rsid w:val="00FF4CB6"/>
    <w:rsid w:val="00FF5834"/>
    <w:rsid w:val="00FF6C72"/>
    <w:rsid w:val="010F1DA1"/>
    <w:rsid w:val="014B7AE2"/>
    <w:rsid w:val="01804C74"/>
    <w:rsid w:val="0188638F"/>
    <w:rsid w:val="01D34DB2"/>
    <w:rsid w:val="0214602E"/>
    <w:rsid w:val="02235CC1"/>
    <w:rsid w:val="02331ABF"/>
    <w:rsid w:val="02443869"/>
    <w:rsid w:val="02874295"/>
    <w:rsid w:val="02AB5AF9"/>
    <w:rsid w:val="02F37843"/>
    <w:rsid w:val="03486B27"/>
    <w:rsid w:val="03863E70"/>
    <w:rsid w:val="040A094E"/>
    <w:rsid w:val="041A2636"/>
    <w:rsid w:val="043164D2"/>
    <w:rsid w:val="049C3EC3"/>
    <w:rsid w:val="04AE367F"/>
    <w:rsid w:val="04E36C96"/>
    <w:rsid w:val="051E7727"/>
    <w:rsid w:val="053710A9"/>
    <w:rsid w:val="0559183C"/>
    <w:rsid w:val="056800F4"/>
    <w:rsid w:val="056F201D"/>
    <w:rsid w:val="05850883"/>
    <w:rsid w:val="058D4B98"/>
    <w:rsid w:val="05A607FA"/>
    <w:rsid w:val="05B664D4"/>
    <w:rsid w:val="05CF5FA2"/>
    <w:rsid w:val="05D215EF"/>
    <w:rsid w:val="05F2068C"/>
    <w:rsid w:val="0633077A"/>
    <w:rsid w:val="065E56D7"/>
    <w:rsid w:val="06D118A6"/>
    <w:rsid w:val="070677A2"/>
    <w:rsid w:val="07076C01"/>
    <w:rsid w:val="071C12AC"/>
    <w:rsid w:val="074A3962"/>
    <w:rsid w:val="074E231E"/>
    <w:rsid w:val="076A196A"/>
    <w:rsid w:val="07921036"/>
    <w:rsid w:val="079A27C4"/>
    <w:rsid w:val="07A934B3"/>
    <w:rsid w:val="07D03DA8"/>
    <w:rsid w:val="07E129C9"/>
    <w:rsid w:val="07EB2663"/>
    <w:rsid w:val="083E11BD"/>
    <w:rsid w:val="08412444"/>
    <w:rsid w:val="08A92ADB"/>
    <w:rsid w:val="08B15E54"/>
    <w:rsid w:val="08CB2A51"/>
    <w:rsid w:val="08E458C1"/>
    <w:rsid w:val="09082248"/>
    <w:rsid w:val="09267C87"/>
    <w:rsid w:val="0966277A"/>
    <w:rsid w:val="097C3D4B"/>
    <w:rsid w:val="0980799C"/>
    <w:rsid w:val="099948FD"/>
    <w:rsid w:val="09A84B40"/>
    <w:rsid w:val="09DB5CCC"/>
    <w:rsid w:val="0A0F6376"/>
    <w:rsid w:val="0A1B5312"/>
    <w:rsid w:val="0A2E2D1E"/>
    <w:rsid w:val="0A353CEA"/>
    <w:rsid w:val="0A546A76"/>
    <w:rsid w:val="0A6A08B7"/>
    <w:rsid w:val="0A6A18DB"/>
    <w:rsid w:val="0A9849A9"/>
    <w:rsid w:val="0AB305F9"/>
    <w:rsid w:val="0AEF3828"/>
    <w:rsid w:val="0B2823DD"/>
    <w:rsid w:val="0BBB665B"/>
    <w:rsid w:val="0BCD3D94"/>
    <w:rsid w:val="0C8353F1"/>
    <w:rsid w:val="0C963376"/>
    <w:rsid w:val="0CB7664E"/>
    <w:rsid w:val="0D4C612B"/>
    <w:rsid w:val="0D6B3773"/>
    <w:rsid w:val="0D9A6E96"/>
    <w:rsid w:val="0DAB2E51"/>
    <w:rsid w:val="0DD26630"/>
    <w:rsid w:val="0DD8176C"/>
    <w:rsid w:val="0E296B84"/>
    <w:rsid w:val="0E3E5A73"/>
    <w:rsid w:val="0E816EC5"/>
    <w:rsid w:val="0ED40186"/>
    <w:rsid w:val="0EEA6FC1"/>
    <w:rsid w:val="0F490B74"/>
    <w:rsid w:val="0F8F4712"/>
    <w:rsid w:val="0F954485"/>
    <w:rsid w:val="0FA933C0"/>
    <w:rsid w:val="0FBF344F"/>
    <w:rsid w:val="0FE10DAC"/>
    <w:rsid w:val="10067CF4"/>
    <w:rsid w:val="101C0036"/>
    <w:rsid w:val="102869DB"/>
    <w:rsid w:val="103A04BC"/>
    <w:rsid w:val="10505F32"/>
    <w:rsid w:val="10563548"/>
    <w:rsid w:val="105A27E6"/>
    <w:rsid w:val="10B1077E"/>
    <w:rsid w:val="10CD30DE"/>
    <w:rsid w:val="10DB0369"/>
    <w:rsid w:val="11113EA3"/>
    <w:rsid w:val="112B7251"/>
    <w:rsid w:val="11660CBD"/>
    <w:rsid w:val="11673533"/>
    <w:rsid w:val="117B00BB"/>
    <w:rsid w:val="119B0711"/>
    <w:rsid w:val="11BA02F0"/>
    <w:rsid w:val="12152F8F"/>
    <w:rsid w:val="12197477"/>
    <w:rsid w:val="12331667"/>
    <w:rsid w:val="1289059B"/>
    <w:rsid w:val="12D06431"/>
    <w:rsid w:val="12E7492B"/>
    <w:rsid w:val="130C43B0"/>
    <w:rsid w:val="13174AE5"/>
    <w:rsid w:val="13587E2C"/>
    <w:rsid w:val="13B50586"/>
    <w:rsid w:val="13D36C5E"/>
    <w:rsid w:val="13E744B7"/>
    <w:rsid w:val="142F5D29"/>
    <w:rsid w:val="143538C7"/>
    <w:rsid w:val="1466407E"/>
    <w:rsid w:val="14733F9D"/>
    <w:rsid w:val="14834E28"/>
    <w:rsid w:val="148E7D65"/>
    <w:rsid w:val="14CA62B3"/>
    <w:rsid w:val="14EF5D19"/>
    <w:rsid w:val="14F055ED"/>
    <w:rsid w:val="14F50584"/>
    <w:rsid w:val="15080B89"/>
    <w:rsid w:val="151D4243"/>
    <w:rsid w:val="15231BF9"/>
    <w:rsid w:val="15533B0A"/>
    <w:rsid w:val="157C32FC"/>
    <w:rsid w:val="15AA6950"/>
    <w:rsid w:val="15CA4090"/>
    <w:rsid w:val="16051EF8"/>
    <w:rsid w:val="160C28FB"/>
    <w:rsid w:val="161F43DC"/>
    <w:rsid w:val="162C3719"/>
    <w:rsid w:val="167209B0"/>
    <w:rsid w:val="16EB42BE"/>
    <w:rsid w:val="16FE3FF2"/>
    <w:rsid w:val="171E4694"/>
    <w:rsid w:val="172D64A6"/>
    <w:rsid w:val="17394588"/>
    <w:rsid w:val="17577E5E"/>
    <w:rsid w:val="178D35C8"/>
    <w:rsid w:val="179F5278"/>
    <w:rsid w:val="17B32F15"/>
    <w:rsid w:val="17CF1E32"/>
    <w:rsid w:val="17D6540A"/>
    <w:rsid w:val="17E07B9B"/>
    <w:rsid w:val="185D743E"/>
    <w:rsid w:val="186270E4"/>
    <w:rsid w:val="188B5D2F"/>
    <w:rsid w:val="198304D2"/>
    <w:rsid w:val="1990114D"/>
    <w:rsid w:val="19E02EBB"/>
    <w:rsid w:val="19EF056A"/>
    <w:rsid w:val="1A1E6C69"/>
    <w:rsid w:val="1A3B68AA"/>
    <w:rsid w:val="1A3E1C1E"/>
    <w:rsid w:val="1A4A39F2"/>
    <w:rsid w:val="1A4E703E"/>
    <w:rsid w:val="1A69644B"/>
    <w:rsid w:val="1AE31E7C"/>
    <w:rsid w:val="1AE856E5"/>
    <w:rsid w:val="1B0E67CD"/>
    <w:rsid w:val="1B105834"/>
    <w:rsid w:val="1B391A9C"/>
    <w:rsid w:val="1B843A53"/>
    <w:rsid w:val="1BB93E21"/>
    <w:rsid w:val="1BCA4DEA"/>
    <w:rsid w:val="1BCA6B98"/>
    <w:rsid w:val="1BDD4B1E"/>
    <w:rsid w:val="1BEE63EC"/>
    <w:rsid w:val="1C042AFF"/>
    <w:rsid w:val="1C141836"/>
    <w:rsid w:val="1C7A236C"/>
    <w:rsid w:val="1C8F13B1"/>
    <w:rsid w:val="1C962F1E"/>
    <w:rsid w:val="1CB02232"/>
    <w:rsid w:val="1CC23D13"/>
    <w:rsid w:val="1D031584"/>
    <w:rsid w:val="1D0B7468"/>
    <w:rsid w:val="1D1B4B41"/>
    <w:rsid w:val="1D8F29E0"/>
    <w:rsid w:val="1D9E066F"/>
    <w:rsid w:val="1DA3702B"/>
    <w:rsid w:val="1DA376A1"/>
    <w:rsid w:val="1DB96EC4"/>
    <w:rsid w:val="1DD0420E"/>
    <w:rsid w:val="1DF0665E"/>
    <w:rsid w:val="1DF95513"/>
    <w:rsid w:val="1E1D4D68"/>
    <w:rsid w:val="1E450758"/>
    <w:rsid w:val="1E663337"/>
    <w:rsid w:val="1E6B6A14"/>
    <w:rsid w:val="1E8A7418"/>
    <w:rsid w:val="1E8B4C6A"/>
    <w:rsid w:val="1EAA6A05"/>
    <w:rsid w:val="1EBF49AE"/>
    <w:rsid w:val="1F244944"/>
    <w:rsid w:val="1F325180"/>
    <w:rsid w:val="1FE521F3"/>
    <w:rsid w:val="202E11BC"/>
    <w:rsid w:val="20550D9A"/>
    <w:rsid w:val="20A26336"/>
    <w:rsid w:val="20EC5803"/>
    <w:rsid w:val="21584C46"/>
    <w:rsid w:val="21714B53"/>
    <w:rsid w:val="217521B6"/>
    <w:rsid w:val="21845A3B"/>
    <w:rsid w:val="218E2416"/>
    <w:rsid w:val="22097CEF"/>
    <w:rsid w:val="225B2C40"/>
    <w:rsid w:val="226915FE"/>
    <w:rsid w:val="22BA5BB9"/>
    <w:rsid w:val="22BE4F7D"/>
    <w:rsid w:val="22C15BA8"/>
    <w:rsid w:val="22D24584"/>
    <w:rsid w:val="22DB758F"/>
    <w:rsid w:val="22E14C32"/>
    <w:rsid w:val="231828DF"/>
    <w:rsid w:val="23201794"/>
    <w:rsid w:val="23713D9D"/>
    <w:rsid w:val="23AE0B4E"/>
    <w:rsid w:val="23F46D37"/>
    <w:rsid w:val="24101808"/>
    <w:rsid w:val="241E5CD3"/>
    <w:rsid w:val="24681E07"/>
    <w:rsid w:val="246F29D3"/>
    <w:rsid w:val="24A93FC6"/>
    <w:rsid w:val="24B97929"/>
    <w:rsid w:val="24D12D46"/>
    <w:rsid w:val="24D67C6F"/>
    <w:rsid w:val="24FF48BB"/>
    <w:rsid w:val="2520252D"/>
    <w:rsid w:val="25592D3B"/>
    <w:rsid w:val="25843D51"/>
    <w:rsid w:val="25A8619C"/>
    <w:rsid w:val="2605432E"/>
    <w:rsid w:val="26122A2E"/>
    <w:rsid w:val="26130602"/>
    <w:rsid w:val="2613131C"/>
    <w:rsid w:val="26163BC1"/>
    <w:rsid w:val="26357304"/>
    <w:rsid w:val="263712CE"/>
    <w:rsid w:val="266F6CBA"/>
    <w:rsid w:val="2685028B"/>
    <w:rsid w:val="26A225FF"/>
    <w:rsid w:val="26A64C5A"/>
    <w:rsid w:val="26D7485F"/>
    <w:rsid w:val="26DC4BB2"/>
    <w:rsid w:val="26F50752"/>
    <w:rsid w:val="27135D4E"/>
    <w:rsid w:val="2729330D"/>
    <w:rsid w:val="27675BE3"/>
    <w:rsid w:val="27D11B30"/>
    <w:rsid w:val="27D843EB"/>
    <w:rsid w:val="27DC037F"/>
    <w:rsid w:val="285F0CA7"/>
    <w:rsid w:val="285F40CA"/>
    <w:rsid w:val="28A60622"/>
    <w:rsid w:val="28C01ECB"/>
    <w:rsid w:val="28C127EC"/>
    <w:rsid w:val="28D56B7C"/>
    <w:rsid w:val="28EC3ECC"/>
    <w:rsid w:val="29470893"/>
    <w:rsid w:val="296543A4"/>
    <w:rsid w:val="29BF71E3"/>
    <w:rsid w:val="29D64538"/>
    <w:rsid w:val="29FC3482"/>
    <w:rsid w:val="2A1262DA"/>
    <w:rsid w:val="2A127B63"/>
    <w:rsid w:val="2A293624"/>
    <w:rsid w:val="2A510484"/>
    <w:rsid w:val="2AAA4765"/>
    <w:rsid w:val="2ABA427C"/>
    <w:rsid w:val="2ABE3FE8"/>
    <w:rsid w:val="2AC21606"/>
    <w:rsid w:val="2AF63C5E"/>
    <w:rsid w:val="2AFE060C"/>
    <w:rsid w:val="2B7E7608"/>
    <w:rsid w:val="2B7F04E9"/>
    <w:rsid w:val="2BB533C1"/>
    <w:rsid w:val="2C0003B4"/>
    <w:rsid w:val="2C1520B2"/>
    <w:rsid w:val="2C305555"/>
    <w:rsid w:val="2C9A21B9"/>
    <w:rsid w:val="2CCE400E"/>
    <w:rsid w:val="2CE20523"/>
    <w:rsid w:val="2D484307"/>
    <w:rsid w:val="2D496D68"/>
    <w:rsid w:val="2D5B1D46"/>
    <w:rsid w:val="2DB90CBD"/>
    <w:rsid w:val="2DBB0A37"/>
    <w:rsid w:val="2DE51610"/>
    <w:rsid w:val="2DEF248E"/>
    <w:rsid w:val="2E6672CB"/>
    <w:rsid w:val="2E7A48DE"/>
    <w:rsid w:val="2E8E1CA7"/>
    <w:rsid w:val="2EDC3ED8"/>
    <w:rsid w:val="2F097580"/>
    <w:rsid w:val="2F2D046C"/>
    <w:rsid w:val="2F2F348A"/>
    <w:rsid w:val="2F3B5F94"/>
    <w:rsid w:val="2F5B427F"/>
    <w:rsid w:val="2F6351B4"/>
    <w:rsid w:val="2F77256D"/>
    <w:rsid w:val="2F9949A6"/>
    <w:rsid w:val="2FA64FEA"/>
    <w:rsid w:val="2FCF199E"/>
    <w:rsid w:val="2FD7142C"/>
    <w:rsid w:val="300F6E18"/>
    <w:rsid w:val="30483E83"/>
    <w:rsid w:val="304F5466"/>
    <w:rsid w:val="30793D93"/>
    <w:rsid w:val="30AA0E97"/>
    <w:rsid w:val="30BC42A9"/>
    <w:rsid w:val="30C776F3"/>
    <w:rsid w:val="31126BC0"/>
    <w:rsid w:val="314805C3"/>
    <w:rsid w:val="318854D0"/>
    <w:rsid w:val="31AB491E"/>
    <w:rsid w:val="31D9148B"/>
    <w:rsid w:val="32036508"/>
    <w:rsid w:val="3234700A"/>
    <w:rsid w:val="32821B23"/>
    <w:rsid w:val="32A41A99"/>
    <w:rsid w:val="32B3717E"/>
    <w:rsid w:val="334E4CD8"/>
    <w:rsid w:val="33802506"/>
    <w:rsid w:val="33956111"/>
    <w:rsid w:val="33CF6D75"/>
    <w:rsid w:val="33DC1707"/>
    <w:rsid w:val="33F22ACC"/>
    <w:rsid w:val="33FC76B3"/>
    <w:rsid w:val="34136117"/>
    <w:rsid w:val="343C0775"/>
    <w:rsid w:val="348558FB"/>
    <w:rsid w:val="34AA76A9"/>
    <w:rsid w:val="34D10B40"/>
    <w:rsid w:val="355E5C87"/>
    <w:rsid w:val="356C50EC"/>
    <w:rsid w:val="35725E7F"/>
    <w:rsid w:val="357838DE"/>
    <w:rsid w:val="35A547AD"/>
    <w:rsid w:val="35E87EEF"/>
    <w:rsid w:val="35EA010B"/>
    <w:rsid w:val="35EB79DF"/>
    <w:rsid w:val="35EF41BA"/>
    <w:rsid w:val="360B4679"/>
    <w:rsid w:val="361108CD"/>
    <w:rsid w:val="361F7F47"/>
    <w:rsid w:val="36525CB0"/>
    <w:rsid w:val="365E28A7"/>
    <w:rsid w:val="36624375"/>
    <w:rsid w:val="36DD1A1E"/>
    <w:rsid w:val="3700166C"/>
    <w:rsid w:val="37046461"/>
    <w:rsid w:val="3727617F"/>
    <w:rsid w:val="375969FE"/>
    <w:rsid w:val="375A306E"/>
    <w:rsid w:val="375F0685"/>
    <w:rsid w:val="37620175"/>
    <w:rsid w:val="37667C65"/>
    <w:rsid w:val="3781779A"/>
    <w:rsid w:val="37EA2644"/>
    <w:rsid w:val="3851430F"/>
    <w:rsid w:val="38694EE9"/>
    <w:rsid w:val="38804D57"/>
    <w:rsid w:val="38B8629F"/>
    <w:rsid w:val="38C54755"/>
    <w:rsid w:val="38D86941"/>
    <w:rsid w:val="39037E27"/>
    <w:rsid w:val="390F1C37"/>
    <w:rsid w:val="391334D5"/>
    <w:rsid w:val="3914724D"/>
    <w:rsid w:val="391905F6"/>
    <w:rsid w:val="39243934"/>
    <w:rsid w:val="39677CC5"/>
    <w:rsid w:val="39953223"/>
    <w:rsid w:val="399A3BF6"/>
    <w:rsid w:val="39A20CFD"/>
    <w:rsid w:val="39E76710"/>
    <w:rsid w:val="39F23A32"/>
    <w:rsid w:val="3A202852"/>
    <w:rsid w:val="3A377697"/>
    <w:rsid w:val="3A7166BD"/>
    <w:rsid w:val="3A856654"/>
    <w:rsid w:val="3ABC7B9C"/>
    <w:rsid w:val="3AD60C5E"/>
    <w:rsid w:val="3B365CC9"/>
    <w:rsid w:val="3B4C2CCE"/>
    <w:rsid w:val="3B4C7172"/>
    <w:rsid w:val="3B5A363D"/>
    <w:rsid w:val="3B713BD8"/>
    <w:rsid w:val="3B8E59E5"/>
    <w:rsid w:val="3B9A7B88"/>
    <w:rsid w:val="3B9F3746"/>
    <w:rsid w:val="3BC114FF"/>
    <w:rsid w:val="3BDF3DFC"/>
    <w:rsid w:val="3BE41159"/>
    <w:rsid w:val="3BEC625F"/>
    <w:rsid w:val="3C0F436B"/>
    <w:rsid w:val="3C2660C6"/>
    <w:rsid w:val="3C495460"/>
    <w:rsid w:val="3C517B1A"/>
    <w:rsid w:val="3C7C5835"/>
    <w:rsid w:val="3C94492D"/>
    <w:rsid w:val="3CB642F5"/>
    <w:rsid w:val="3D2C7AC8"/>
    <w:rsid w:val="3D2D6B2F"/>
    <w:rsid w:val="3D344362"/>
    <w:rsid w:val="3D7F6D36"/>
    <w:rsid w:val="3D855D12"/>
    <w:rsid w:val="3D8B42FF"/>
    <w:rsid w:val="3D8C02DD"/>
    <w:rsid w:val="3D9170BE"/>
    <w:rsid w:val="3DC20089"/>
    <w:rsid w:val="3DF36A6E"/>
    <w:rsid w:val="3DFA2506"/>
    <w:rsid w:val="3E02162D"/>
    <w:rsid w:val="3E1D69B6"/>
    <w:rsid w:val="3E3D0FF4"/>
    <w:rsid w:val="3E6B3DB3"/>
    <w:rsid w:val="3EAE54E2"/>
    <w:rsid w:val="3ECA6436"/>
    <w:rsid w:val="3F1138E1"/>
    <w:rsid w:val="3F2A1578"/>
    <w:rsid w:val="3F473D96"/>
    <w:rsid w:val="3F792F1E"/>
    <w:rsid w:val="3FA34D13"/>
    <w:rsid w:val="3FF51B86"/>
    <w:rsid w:val="40004FD0"/>
    <w:rsid w:val="4070746C"/>
    <w:rsid w:val="40824826"/>
    <w:rsid w:val="408C11D1"/>
    <w:rsid w:val="40C36AAA"/>
    <w:rsid w:val="40C91210"/>
    <w:rsid w:val="40D95004"/>
    <w:rsid w:val="40E63923"/>
    <w:rsid w:val="40E90D2E"/>
    <w:rsid w:val="40F05F95"/>
    <w:rsid w:val="414B735B"/>
    <w:rsid w:val="418F5DD2"/>
    <w:rsid w:val="41BE4CC7"/>
    <w:rsid w:val="41CA0DF1"/>
    <w:rsid w:val="4219017E"/>
    <w:rsid w:val="4267663F"/>
    <w:rsid w:val="42937435"/>
    <w:rsid w:val="42B443F4"/>
    <w:rsid w:val="42EB7271"/>
    <w:rsid w:val="42ED4D97"/>
    <w:rsid w:val="42F43FD4"/>
    <w:rsid w:val="4359067E"/>
    <w:rsid w:val="435B3335"/>
    <w:rsid w:val="43A51B15"/>
    <w:rsid w:val="43A91E5B"/>
    <w:rsid w:val="43E268C5"/>
    <w:rsid w:val="441445A5"/>
    <w:rsid w:val="443E6CDE"/>
    <w:rsid w:val="44817E8C"/>
    <w:rsid w:val="448F2126"/>
    <w:rsid w:val="44BC3308"/>
    <w:rsid w:val="450D1720"/>
    <w:rsid w:val="45383C57"/>
    <w:rsid w:val="45813EBC"/>
    <w:rsid w:val="45BA48DB"/>
    <w:rsid w:val="45CD77AA"/>
    <w:rsid w:val="45E21D1F"/>
    <w:rsid w:val="45E42C1A"/>
    <w:rsid w:val="46030B23"/>
    <w:rsid w:val="46194743"/>
    <w:rsid w:val="463A3650"/>
    <w:rsid w:val="464C0026"/>
    <w:rsid w:val="469F0116"/>
    <w:rsid w:val="46C91677"/>
    <w:rsid w:val="47211286"/>
    <w:rsid w:val="475259B7"/>
    <w:rsid w:val="47867568"/>
    <w:rsid w:val="47B75973"/>
    <w:rsid w:val="47BC14BF"/>
    <w:rsid w:val="47DF0FED"/>
    <w:rsid w:val="47F44954"/>
    <w:rsid w:val="480D3A23"/>
    <w:rsid w:val="48496F13"/>
    <w:rsid w:val="48623B31"/>
    <w:rsid w:val="48831CF9"/>
    <w:rsid w:val="48EF3693"/>
    <w:rsid w:val="494E2307"/>
    <w:rsid w:val="49564F55"/>
    <w:rsid w:val="49580328"/>
    <w:rsid w:val="49874D6A"/>
    <w:rsid w:val="49883A6B"/>
    <w:rsid w:val="49A165B8"/>
    <w:rsid w:val="49B1408D"/>
    <w:rsid w:val="49CF51F6"/>
    <w:rsid w:val="4A7C1915"/>
    <w:rsid w:val="4A7D4FD2"/>
    <w:rsid w:val="4A913C9A"/>
    <w:rsid w:val="4AB67DF8"/>
    <w:rsid w:val="4AC565F9"/>
    <w:rsid w:val="4AE22D2F"/>
    <w:rsid w:val="4AE44CD1"/>
    <w:rsid w:val="4B1F70AC"/>
    <w:rsid w:val="4B240F94"/>
    <w:rsid w:val="4B38326F"/>
    <w:rsid w:val="4B386AE5"/>
    <w:rsid w:val="4B5005B9"/>
    <w:rsid w:val="4B610285"/>
    <w:rsid w:val="4B647BC0"/>
    <w:rsid w:val="4BA75287"/>
    <w:rsid w:val="4BE62CCB"/>
    <w:rsid w:val="4BED70D6"/>
    <w:rsid w:val="4C3C565C"/>
    <w:rsid w:val="4C46376A"/>
    <w:rsid w:val="4C542AA0"/>
    <w:rsid w:val="4C602AB7"/>
    <w:rsid w:val="4CCC79C7"/>
    <w:rsid w:val="4CD64AED"/>
    <w:rsid w:val="4CDF0BC4"/>
    <w:rsid w:val="4D072EF9"/>
    <w:rsid w:val="4D1D44CA"/>
    <w:rsid w:val="4D5333F4"/>
    <w:rsid w:val="4D7555C7"/>
    <w:rsid w:val="4D7F0CE1"/>
    <w:rsid w:val="4DB52955"/>
    <w:rsid w:val="4DF94F37"/>
    <w:rsid w:val="4E261AA5"/>
    <w:rsid w:val="4E3A10AC"/>
    <w:rsid w:val="4EAE6DA0"/>
    <w:rsid w:val="4EBE3A8B"/>
    <w:rsid w:val="4EC372F3"/>
    <w:rsid w:val="4ECF2AAF"/>
    <w:rsid w:val="4EFB6A8D"/>
    <w:rsid w:val="4F22401A"/>
    <w:rsid w:val="4F2F3C65"/>
    <w:rsid w:val="4F3D70A6"/>
    <w:rsid w:val="4F692614"/>
    <w:rsid w:val="4F90367A"/>
    <w:rsid w:val="4FD037EF"/>
    <w:rsid w:val="5016514B"/>
    <w:rsid w:val="502857C7"/>
    <w:rsid w:val="5043249A"/>
    <w:rsid w:val="50461F8A"/>
    <w:rsid w:val="50476D3D"/>
    <w:rsid w:val="509167D9"/>
    <w:rsid w:val="5105680D"/>
    <w:rsid w:val="51200A2D"/>
    <w:rsid w:val="51BB734E"/>
    <w:rsid w:val="51CB1C78"/>
    <w:rsid w:val="51D13AD5"/>
    <w:rsid w:val="51D55866"/>
    <w:rsid w:val="51DB6702"/>
    <w:rsid w:val="51EF5BB9"/>
    <w:rsid w:val="51FD6A51"/>
    <w:rsid w:val="52070FB5"/>
    <w:rsid w:val="524264A3"/>
    <w:rsid w:val="52466271"/>
    <w:rsid w:val="525B4979"/>
    <w:rsid w:val="525F5585"/>
    <w:rsid w:val="526B680A"/>
    <w:rsid w:val="527C6CA6"/>
    <w:rsid w:val="528F15C5"/>
    <w:rsid w:val="52E33AC0"/>
    <w:rsid w:val="52F3306D"/>
    <w:rsid w:val="530D168E"/>
    <w:rsid w:val="53150D15"/>
    <w:rsid w:val="53172495"/>
    <w:rsid w:val="53185E60"/>
    <w:rsid w:val="531968C6"/>
    <w:rsid w:val="5352083E"/>
    <w:rsid w:val="536F5CA7"/>
    <w:rsid w:val="53B13BBE"/>
    <w:rsid w:val="53D30A5E"/>
    <w:rsid w:val="53E47AF0"/>
    <w:rsid w:val="53EA467D"/>
    <w:rsid w:val="54120B01"/>
    <w:rsid w:val="54196F7E"/>
    <w:rsid w:val="541A5D30"/>
    <w:rsid w:val="54921C42"/>
    <w:rsid w:val="54CA3B23"/>
    <w:rsid w:val="54D93F05"/>
    <w:rsid w:val="54EA55DA"/>
    <w:rsid w:val="54F2448F"/>
    <w:rsid w:val="54F93A6F"/>
    <w:rsid w:val="553E632F"/>
    <w:rsid w:val="554A3878"/>
    <w:rsid w:val="55690BF5"/>
    <w:rsid w:val="55833339"/>
    <w:rsid w:val="55AE0106"/>
    <w:rsid w:val="55C0458D"/>
    <w:rsid w:val="55F068CD"/>
    <w:rsid w:val="561A6DC2"/>
    <w:rsid w:val="566B62A7"/>
    <w:rsid w:val="566C3136"/>
    <w:rsid w:val="568D04F2"/>
    <w:rsid w:val="56B0015D"/>
    <w:rsid w:val="56E246C3"/>
    <w:rsid w:val="570F757A"/>
    <w:rsid w:val="57256D9D"/>
    <w:rsid w:val="574216FD"/>
    <w:rsid w:val="578515EA"/>
    <w:rsid w:val="578C63DF"/>
    <w:rsid w:val="57923F19"/>
    <w:rsid w:val="579D2DD8"/>
    <w:rsid w:val="579F69F6"/>
    <w:rsid w:val="57B40DFD"/>
    <w:rsid w:val="582F0470"/>
    <w:rsid w:val="585B234B"/>
    <w:rsid w:val="585E353C"/>
    <w:rsid w:val="586438F5"/>
    <w:rsid w:val="588D6DD7"/>
    <w:rsid w:val="58DF2F7C"/>
    <w:rsid w:val="59065BDE"/>
    <w:rsid w:val="591A3FB4"/>
    <w:rsid w:val="5A0E1D6B"/>
    <w:rsid w:val="5A526582"/>
    <w:rsid w:val="5A5F5C77"/>
    <w:rsid w:val="5A7122F9"/>
    <w:rsid w:val="5AF905A1"/>
    <w:rsid w:val="5AFD23DA"/>
    <w:rsid w:val="5B073454"/>
    <w:rsid w:val="5B10566E"/>
    <w:rsid w:val="5B323837"/>
    <w:rsid w:val="5BBE39CD"/>
    <w:rsid w:val="5BC11A60"/>
    <w:rsid w:val="5C050F4B"/>
    <w:rsid w:val="5C201D6D"/>
    <w:rsid w:val="5C295359"/>
    <w:rsid w:val="5C4C0928"/>
    <w:rsid w:val="5C7A4D54"/>
    <w:rsid w:val="5C904CB9"/>
    <w:rsid w:val="5CA70254"/>
    <w:rsid w:val="5CD23B73"/>
    <w:rsid w:val="5D704AEA"/>
    <w:rsid w:val="5D755C5D"/>
    <w:rsid w:val="5DB00E6A"/>
    <w:rsid w:val="5EC06CB8"/>
    <w:rsid w:val="5ED13367"/>
    <w:rsid w:val="5EFD3C0A"/>
    <w:rsid w:val="5F011414"/>
    <w:rsid w:val="5F127819"/>
    <w:rsid w:val="5F63752A"/>
    <w:rsid w:val="5FAE55D9"/>
    <w:rsid w:val="5FBC1D27"/>
    <w:rsid w:val="5FBF7663"/>
    <w:rsid w:val="5FE07D05"/>
    <w:rsid w:val="5FEB66AA"/>
    <w:rsid w:val="60335C18"/>
    <w:rsid w:val="603A0266"/>
    <w:rsid w:val="60C12E8B"/>
    <w:rsid w:val="60D44997"/>
    <w:rsid w:val="60F1503F"/>
    <w:rsid w:val="61025188"/>
    <w:rsid w:val="61057D5F"/>
    <w:rsid w:val="61412A26"/>
    <w:rsid w:val="61483DB4"/>
    <w:rsid w:val="614D4977"/>
    <w:rsid w:val="61665FE8"/>
    <w:rsid w:val="61774699"/>
    <w:rsid w:val="61A05540"/>
    <w:rsid w:val="61B56F70"/>
    <w:rsid w:val="62011A3F"/>
    <w:rsid w:val="621F0E23"/>
    <w:rsid w:val="62514EEA"/>
    <w:rsid w:val="6287090C"/>
    <w:rsid w:val="62917095"/>
    <w:rsid w:val="629E7A04"/>
    <w:rsid w:val="62A63DB0"/>
    <w:rsid w:val="62CA6298"/>
    <w:rsid w:val="62CB6586"/>
    <w:rsid w:val="62CD5E9B"/>
    <w:rsid w:val="62EA2C49"/>
    <w:rsid w:val="62EE098B"/>
    <w:rsid w:val="62F37D50"/>
    <w:rsid w:val="631A1780"/>
    <w:rsid w:val="631A194D"/>
    <w:rsid w:val="632154F3"/>
    <w:rsid w:val="63235EC9"/>
    <w:rsid w:val="632E0D88"/>
    <w:rsid w:val="634F0626"/>
    <w:rsid w:val="63504476"/>
    <w:rsid w:val="63C60FC0"/>
    <w:rsid w:val="63C96C0E"/>
    <w:rsid w:val="63F14E78"/>
    <w:rsid w:val="63FA3360"/>
    <w:rsid w:val="64153CF6"/>
    <w:rsid w:val="64632CB3"/>
    <w:rsid w:val="64654DEB"/>
    <w:rsid w:val="647E5D3F"/>
    <w:rsid w:val="64922A01"/>
    <w:rsid w:val="64BA3D7A"/>
    <w:rsid w:val="64D54118"/>
    <w:rsid w:val="64F179BC"/>
    <w:rsid w:val="65357C58"/>
    <w:rsid w:val="65507AC7"/>
    <w:rsid w:val="65562818"/>
    <w:rsid w:val="65766A16"/>
    <w:rsid w:val="65945F13"/>
    <w:rsid w:val="65C94C55"/>
    <w:rsid w:val="662C3C0B"/>
    <w:rsid w:val="665704D3"/>
    <w:rsid w:val="66AC783F"/>
    <w:rsid w:val="66E75E1D"/>
    <w:rsid w:val="67002A3B"/>
    <w:rsid w:val="670047E9"/>
    <w:rsid w:val="673148E2"/>
    <w:rsid w:val="673A29F1"/>
    <w:rsid w:val="674A1F08"/>
    <w:rsid w:val="674E72EB"/>
    <w:rsid w:val="675445CD"/>
    <w:rsid w:val="67702665"/>
    <w:rsid w:val="67900263"/>
    <w:rsid w:val="679F2254"/>
    <w:rsid w:val="67C065A4"/>
    <w:rsid w:val="67C37CA9"/>
    <w:rsid w:val="67C779FD"/>
    <w:rsid w:val="67D359C9"/>
    <w:rsid w:val="67F53CE1"/>
    <w:rsid w:val="68155CD8"/>
    <w:rsid w:val="6849089E"/>
    <w:rsid w:val="68664E5D"/>
    <w:rsid w:val="68684436"/>
    <w:rsid w:val="686C5CBD"/>
    <w:rsid w:val="68A51AEC"/>
    <w:rsid w:val="68BC11F8"/>
    <w:rsid w:val="68DB1440"/>
    <w:rsid w:val="68E63EB3"/>
    <w:rsid w:val="68FE36DD"/>
    <w:rsid w:val="692073C4"/>
    <w:rsid w:val="694E60FC"/>
    <w:rsid w:val="69693705"/>
    <w:rsid w:val="696E6382"/>
    <w:rsid w:val="69EF4042"/>
    <w:rsid w:val="6A3249BC"/>
    <w:rsid w:val="6AB06526"/>
    <w:rsid w:val="6AF347B7"/>
    <w:rsid w:val="6B0D3978"/>
    <w:rsid w:val="6C410A63"/>
    <w:rsid w:val="6C646557"/>
    <w:rsid w:val="6C675CE6"/>
    <w:rsid w:val="6C874CC2"/>
    <w:rsid w:val="6C8B724B"/>
    <w:rsid w:val="6C8E2A92"/>
    <w:rsid w:val="6CA97D11"/>
    <w:rsid w:val="6CE64481"/>
    <w:rsid w:val="6CEF35AF"/>
    <w:rsid w:val="6D003795"/>
    <w:rsid w:val="6D1F7993"/>
    <w:rsid w:val="6D384CD5"/>
    <w:rsid w:val="6D452BB7"/>
    <w:rsid w:val="6D4F4321"/>
    <w:rsid w:val="6D8141AA"/>
    <w:rsid w:val="6DFF7360"/>
    <w:rsid w:val="6E0C43BB"/>
    <w:rsid w:val="6E14501E"/>
    <w:rsid w:val="6E602011"/>
    <w:rsid w:val="6E7A5F73"/>
    <w:rsid w:val="6E7C32EF"/>
    <w:rsid w:val="6EA025E7"/>
    <w:rsid w:val="6EC425A0"/>
    <w:rsid w:val="6EC86534"/>
    <w:rsid w:val="6F1104C5"/>
    <w:rsid w:val="6F1B7502"/>
    <w:rsid w:val="6F2E3798"/>
    <w:rsid w:val="6F463B6B"/>
    <w:rsid w:val="6F621672"/>
    <w:rsid w:val="6F675D4D"/>
    <w:rsid w:val="6FD74228"/>
    <w:rsid w:val="6FDC4FAB"/>
    <w:rsid w:val="701E15D0"/>
    <w:rsid w:val="70206492"/>
    <w:rsid w:val="702A0B29"/>
    <w:rsid w:val="7072622A"/>
    <w:rsid w:val="709F32C5"/>
    <w:rsid w:val="70FE5EDF"/>
    <w:rsid w:val="71297032"/>
    <w:rsid w:val="71633091"/>
    <w:rsid w:val="71957DA3"/>
    <w:rsid w:val="72203F91"/>
    <w:rsid w:val="72C50FCD"/>
    <w:rsid w:val="72D27981"/>
    <w:rsid w:val="72E70F53"/>
    <w:rsid w:val="73081CA5"/>
    <w:rsid w:val="73AB0341"/>
    <w:rsid w:val="73B61FEA"/>
    <w:rsid w:val="74381A66"/>
    <w:rsid w:val="74545B7C"/>
    <w:rsid w:val="74571B2A"/>
    <w:rsid w:val="74842075"/>
    <w:rsid w:val="7487762D"/>
    <w:rsid w:val="74AD0280"/>
    <w:rsid w:val="74AD7D25"/>
    <w:rsid w:val="74E938A0"/>
    <w:rsid w:val="74F160B9"/>
    <w:rsid w:val="75145083"/>
    <w:rsid w:val="75385498"/>
    <w:rsid w:val="75954C96"/>
    <w:rsid w:val="759A2AA2"/>
    <w:rsid w:val="75C335B1"/>
    <w:rsid w:val="760342F6"/>
    <w:rsid w:val="76574C50"/>
    <w:rsid w:val="769962BD"/>
    <w:rsid w:val="76B24594"/>
    <w:rsid w:val="76BC207F"/>
    <w:rsid w:val="76D42084"/>
    <w:rsid w:val="76EB4904"/>
    <w:rsid w:val="76F105F2"/>
    <w:rsid w:val="77194977"/>
    <w:rsid w:val="776112D4"/>
    <w:rsid w:val="777378F5"/>
    <w:rsid w:val="777A2D3C"/>
    <w:rsid w:val="777D1F12"/>
    <w:rsid w:val="77882D05"/>
    <w:rsid w:val="77B07ED5"/>
    <w:rsid w:val="77C41863"/>
    <w:rsid w:val="780835EF"/>
    <w:rsid w:val="780D4FB8"/>
    <w:rsid w:val="782B182B"/>
    <w:rsid w:val="78537BEA"/>
    <w:rsid w:val="78561AB1"/>
    <w:rsid w:val="785726D7"/>
    <w:rsid w:val="78657FA9"/>
    <w:rsid w:val="78774B27"/>
    <w:rsid w:val="787B6E79"/>
    <w:rsid w:val="787E5EB6"/>
    <w:rsid w:val="78872FBC"/>
    <w:rsid w:val="789F482B"/>
    <w:rsid w:val="79074B81"/>
    <w:rsid w:val="793622EC"/>
    <w:rsid w:val="79413A08"/>
    <w:rsid w:val="794F0939"/>
    <w:rsid w:val="797A0886"/>
    <w:rsid w:val="79AF0FCA"/>
    <w:rsid w:val="79C74517"/>
    <w:rsid w:val="79E20016"/>
    <w:rsid w:val="79EF2560"/>
    <w:rsid w:val="79F24465"/>
    <w:rsid w:val="79F3642F"/>
    <w:rsid w:val="7A910122"/>
    <w:rsid w:val="7AB94608"/>
    <w:rsid w:val="7AC878BC"/>
    <w:rsid w:val="7ACB6A1D"/>
    <w:rsid w:val="7AF9279C"/>
    <w:rsid w:val="7B060A9A"/>
    <w:rsid w:val="7B42766E"/>
    <w:rsid w:val="7B4A207F"/>
    <w:rsid w:val="7B566C76"/>
    <w:rsid w:val="7B7C696F"/>
    <w:rsid w:val="7BBA0FB3"/>
    <w:rsid w:val="7BE2675B"/>
    <w:rsid w:val="7C1648AD"/>
    <w:rsid w:val="7C2D79D7"/>
    <w:rsid w:val="7C615578"/>
    <w:rsid w:val="7CC51958"/>
    <w:rsid w:val="7CDD764F"/>
    <w:rsid w:val="7CE65DD7"/>
    <w:rsid w:val="7CEC40B6"/>
    <w:rsid w:val="7D0C1CE2"/>
    <w:rsid w:val="7D556349"/>
    <w:rsid w:val="7D720A1D"/>
    <w:rsid w:val="7DC97BD3"/>
    <w:rsid w:val="7E2936C3"/>
    <w:rsid w:val="7E2E365C"/>
    <w:rsid w:val="7E3F60E7"/>
    <w:rsid w:val="7E6411B9"/>
    <w:rsid w:val="7E653D41"/>
    <w:rsid w:val="7EBE0350"/>
    <w:rsid w:val="7ED00AED"/>
    <w:rsid w:val="7ED71E7C"/>
    <w:rsid w:val="7F3217A8"/>
    <w:rsid w:val="7F6556D9"/>
    <w:rsid w:val="7F7F4398"/>
    <w:rsid w:val="7F9F166F"/>
    <w:rsid w:val="7FA75CF2"/>
    <w:rsid w:val="7FAC5D6F"/>
    <w:rsid w:val="DFEDFD8F"/>
    <w:rsid w:val="E7FF4633"/>
    <w:rsid w:val="EDECB0AB"/>
    <w:rsid w:val="EF978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45"/>
    <w:qFormat/>
    <w:uiPriority w:val="99"/>
    <w:rPr>
      <w:rFonts w:ascii="宋体" w:hAnsi="Courier New" w:eastAsiaTheme="minorEastAsia" w:cstheme="minorBidi"/>
      <w:szCs w:val="22"/>
    </w:rPr>
  </w:style>
  <w:style w:type="paragraph" w:styleId="11">
    <w:name w:val="Date"/>
    <w:basedOn w:val="1"/>
    <w:next w:val="1"/>
    <w:link w:val="52"/>
    <w:qFormat/>
    <w:uiPriority w:val="0"/>
    <w:rPr>
      <w:rFonts w:ascii="Arial" w:hAnsi="Arial" w:eastAsia="宋体" w:cs="Arial"/>
      <w:b/>
      <w:sz w:val="28"/>
    </w:rPr>
  </w:style>
  <w:style w:type="paragraph" w:styleId="12">
    <w:name w:val="Body Text Indent 2"/>
    <w:basedOn w:val="1"/>
    <w:semiHidden/>
    <w:unhideWhenUsed/>
    <w:qFormat/>
    <w:uiPriority w:val="99"/>
    <w:pPr>
      <w:spacing w:after="120" w:line="480" w:lineRule="auto"/>
      <w:ind w:left="420" w:leftChars="200"/>
    </w:pPr>
    <w:rPr>
      <w:rFonts w:ascii="Times New Roman" w:hAnsi="Times New Roman" w:cs="Times New Roman"/>
      <w:szCs w:val="21"/>
    </w:rPr>
  </w:style>
  <w:style w:type="paragraph" w:styleId="13">
    <w:name w:val="Balloon Text"/>
    <w:basedOn w:val="1"/>
    <w:link w:val="39"/>
    <w:semiHidden/>
    <w:unhideWhenUsed/>
    <w:qFormat/>
    <w:uiPriority w:val="99"/>
    <w:rPr>
      <w:sz w:val="18"/>
      <w:szCs w:val="18"/>
    </w:r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66"/>
    <w:semiHidden/>
    <w:unhideWhenUsed/>
    <w:qFormat/>
    <w:uiPriority w:val="99"/>
    <w:rPr>
      <w:rFonts w:ascii="@仿宋_GB2312" w:hAnsi="@仿宋_GB2312" w:eastAsia="@仿宋_GB2312" w:cs="@仿宋_GB2312"/>
      <w:b/>
      <w:bCs/>
    </w:rPr>
  </w:style>
  <w:style w:type="paragraph" w:styleId="21">
    <w:name w:val="Body Text First Indent"/>
    <w:basedOn w:val="8"/>
    <w:unhideWhenUsed/>
    <w:qFormat/>
    <w:uiPriority w:val="99"/>
    <w:pPr>
      <w:ind w:firstLine="420" w:firstLineChars="100"/>
    </w:pPr>
  </w:style>
  <w:style w:type="paragraph" w:styleId="22">
    <w:name w:val="Body Text First Indent 2"/>
    <w:semiHidden/>
    <w:unhideWhenUsed/>
    <w:qFormat/>
    <w:uiPriority w:val="99"/>
    <w:pPr>
      <w:widowControl w:val="0"/>
      <w:spacing w:beforeAutospacing="1" w:after="120"/>
      <w:ind w:left="420" w:leftChars="200" w:firstLine="420" w:firstLineChars="200"/>
      <w:jc w:val="both"/>
    </w:pPr>
    <w:rPr>
      <w:rFonts w:ascii="Calibri" w:hAnsi="Calibri" w:eastAsia="宋体" w:cs="Times New Roman"/>
      <w:kern w:val="2"/>
      <w:sz w:val="21"/>
      <w:szCs w:val="21"/>
      <w:lang w:val="en-US" w:eastAsia="zh-CN" w:bidi="ar-SA"/>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FollowedHyperlink"/>
    <w:basedOn w:val="25"/>
    <w:semiHidden/>
    <w:unhideWhenUsed/>
    <w:qFormat/>
    <w:uiPriority w:val="99"/>
    <w:rPr>
      <w:color w:val="5C5C5C"/>
      <w:u w:val="none"/>
    </w:rPr>
  </w:style>
  <w:style w:type="character" w:styleId="28">
    <w:name w:val="Emphasis"/>
    <w:basedOn w:val="25"/>
    <w:qFormat/>
    <w:uiPriority w:val="20"/>
    <w:rPr>
      <w:b/>
      <w:bCs/>
    </w:rPr>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ascii="monospace" w:hAnsi="monospace" w:eastAsia="monospace" w:cs="monospace"/>
      <w:sz w:val="20"/>
    </w:rPr>
  </w:style>
  <w:style w:type="character" w:styleId="35">
    <w:name w:val="annotation reference"/>
    <w:basedOn w:val="25"/>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hint="default" w:ascii="monospace" w:hAnsi="monospace" w:eastAsia="monospace" w:cs="monospace"/>
      <w:sz w:val="20"/>
    </w:rPr>
  </w:style>
  <w:style w:type="character" w:styleId="38">
    <w:name w:val="HTML Sample"/>
    <w:basedOn w:val="25"/>
    <w:semiHidden/>
    <w:unhideWhenUsed/>
    <w:qFormat/>
    <w:uiPriority w:val="99"/>
    <w:rPr>
      <w:rFonts w:hint="default" w:ascii="monospace" w:hAnsi="monospace" w:eastAsia="monospace" w:cs="monospace"/>
    </w:rPr>
  </w:style>
  <w:style w:type="character" w:customStyle="1" w:styleId="39">
    <w:name w:val="批注框文本 字符"/>
    <w:basedOn w:val="25"/>
    <w:link w:val="13"/>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字符"/>
    <w:basedOn w:val="25"/>
    <w:link w:val="15"/>
    <w:qFormat/>
    <w:uiPriority w:val="99"/>
    <w:rPr>
      <w:rFonts w:ascii="@仿宋_GB2312" w:hAnsi="@仿宋_GB2312" w:eastAsia="@仿宋_GB2312" w:cs="@仿宋_GB2312"/>
      <w:sz w:val="18"/>
      <w:szCs w:val="18"/>
    </w:rPr>
  </w:style>
  <w:style w:type="character" w:customStyle="1" w:styleId="44">
    <w:name w:val="页脚 字符"/>
    <w:basedOn w:val="25"/>
    <w:link w:val="14"/>
    <w:qFormat/>
    <w:uiPriority w:val="99"/>
    <w:rPr>
      <w:rFonts w:ascii="@仿宋_GB2312" w:hAnsi="@仿宋_GB2312" w:eastAsia="@仿宋_GB2312" w:cs="@仿宋_GB2312"/>
      <w:sz w:val="18"/>
      <w:szCs w:val="18"/>
    </w:rPr>
  </w:style>
  <w:style w:type="character" w:customStyle="1" w:styleId="45">
    <w:name w:val="纯文本 字符"/>
    <w:link w:val="10"/>
    <w:qFormat/>
    <w:uiPriority w:val="0"/>
    <w:rPr>
      <w:rFonts w:ascii="宋体" w:hAnsi="Courier New"/>
    </w:rPr>
  </w:style>
  <w:style w:type="character" w:customStyle="1" w:styleId="46">
    <w:name w:val="纯文本 字符1"/>
    <w:basedOn w:val="25"/>
    <w:semiHidden/>
    <w:qFormat/>
    <w:uiPriority w:val="99"/>
    <w:rPr>
      <w:rFonts w:hAnsi="Courier New" w:cs="Courier New" w:asciiTheme="minorEastAsia"/>
      <w:szCs w:val="20"/>
    </w:rPr>
  </w:style>
  <w:style w:type="character" w:customStyle="1" w:styleId="47">
    <w:name w:val="未处理的提及1"/>
    <w:basedOn w:val="25"/>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semiHidden/>
    <w:qFormat/>
    <w:uiPriority w:val="99"/>
    <w:rPr>
      <w:rFonts w:ascii="@仿宋_GB2312" w:hAnsi="@仿宋_GB2312" w:eastAsia="@仿宋_GB2312" w:cs="@仿宋_GB2312"/>
      <w:szCs w:val="20"/>
    </w:rPr>
  </w:style>
  <w:style w:type="character" w:customStyle="1" w:styleId="52">
    <w:name w:val="日期 字符1"/>
    <w:link w:val="11"/>
    <w:qFormat/>
    <w:uiPriority w:val="0"/>
    <w:rPr>
      <w:rFonts w:ascii="Arial" w:hAnsi="Arial" w:eastAsia="宋体" w:cs="Arial"/>
      <w:b/>
      <w:sz w:val="28"/>
      <w:szCs w:val="20"/>
    </w:rPr>
  </w:style>
  <w:style w:type="character" w:customStyle="1" w:styleId="53">
    <w:name w:val="纯文本 Char1"/>
    <w:qFormat/>
    <w:locked/>
    <w:uiPriority w:val="99"/>
    <w:rPr>
      <w:rFonts w:ascii="Arial" w:hAnsi="Arial" w:eastAsia="Arial"/>
      <w:kern w:val="2"/>
      <w:sz w:val="21"/>
      <w:lang w:val="en-US" w:eastAsia="zh-CN" w:bidi="ar-SA"/>
    </w:rPr>
  </w:style>
  <w:style w:type="character" w:customStyle="1" w:styleId="54">
    <w:name w:val="批注文字 Char"/>
    <w:basedOn w:val="25"/>
    <w:semiHidden/>
    <w:qFormat/>
    <w:uiPriority w:val="99"/>
    <w:rPr>
      <w:rFonts w:ascii="@仿宋_GB2312" w:hAnsi="@仿宋_GB2312" w:eastAsia="@仿宋_GB2312" w:cs="@仿宋_GB2312"/>
      <w:szCs w:val="20"/>
    </w:rPr>
  </w:style>
  <w:style w:type="character" w:customStyle="1" w:styleId="55">
    <w:name w:val="批注文字 字符"/>
    <w:link w:val="7"/>
    <w:qFormat/>
    <w:uiPriority w:val="0"/>
    <w:rPr>
      <w:rFonts w:ascii="Arial" w:hAnsi="Arial" w:eastAsia="黑体" w:cs="Arial"/>
      <w:szCs w:val="20"/>
    </w:rPr>
  </w:style>
  <w:style w:type="character" w:customStyle="1" w:styleId="56">
    <w:name w:val="标题 1 字符"/>
    <w:basedOn w:val="25"/>
    <w:link w:val="2"/>
    <w:qFormat/>
    <w:uiPriority w:val="9"/>
    <w:rPr>
      <w:rFonts w:ascii="@仿宋_GB2312" w:hAnsi="@仿宋_GB2312" w:eastAsia="@仿宋_GB2312" w:cs="@仿宋_GB2312"/>
      <w:b/>
      <w:bCs/>
      <w:kern w:val="44"/>
      <w:sz w:val="44"/>
      <w:szCs w:val="44"/>
    </w:rPr>
  </w:style>
  <w:style w:type="paragraph" w:customStyle="1" w:styleId="5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字符"/>
    <w:basedOn w:val="25"/>
    <w:link w:val="4"/>
    <w:semiHidden/>
    <w:qFormat/>
    <w:uiPriority w:val="9"/>
    <w:rPr>
      <w:rFonts w:ascii="@仿宋_GB2312" w:hAnsi="@仿宋_GB2312" w:eastAsia="@仿宋_GB2312" w:cs="@仿宋_GB2312"/>
      <w:b/>
      <w:bCs/>
      <w:sz w:val="32"/>
      <w:szCs w:val="32"/>
    </w:rPr>
  </w:style>
  <w:style w:type="character" w:customStyle="1" w:styleId="59">
    <w:name w:val="fontstyle01"/>
    <w:basedOn w:val="25"/>
    <w:qFormat/>
    <w:uiPriority w:val="0"/>
    <w:rPr>
      <w:rFonts w:hint="eastAsia" w:ascii="宋体" w:hAnsi="宋体" w:eastAsia="宋体"/>
      <w:color w:val="000000"/>
      <w:sz w:val="22"/>
      <w:szCs w:val="22"/>
    </w:rPr>
  </w:style>
  <w:style w:type="character" w:customStyle="1" w:styleId="60">
    <w:name w:val="fontstyle21"/>
    <w:basedOn w:val="25"/>
    <w:qFormat/>
    <w:uiPriority w:val="0"/>
    <w:rPr>
      <w:rFonts w:hint="default" w:ascii="TimesNewRomanPSMT" w:hAnsi="TimesNewRomanPSMT"/>
      <w:color w:val="000000"/>
      <w:sz w:val="22"/>
      <w:szCs w:val="22"/>
    </w:rPr>
  </w:style>
  <w:style w:type="character" w:customStyle="1" w:styleId="6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semiHidden/>
    <w:qFormat/>
    <w:uiPriority w:val="9"/>
    <w:rPr>
      <w:rFonts w:asciiTheme="majorHAnsi" w:hAnsiTheme="majorHAnsi" w:eastAsiaTheme="majorEastAsia" w:cstheme="majorBidi"/>
      <w:b/>
      <w:bCs/>
      <w:sz w:val="28"/>
      <w:szCs w:val="28"/>
    </w:rPr>
  </w:style>
  <w:style w:type="character" w:customStyle="1" w:styleId="63">
    <w:name w:val="标题 4 字符1"/>
    <w:link w:val="5"/>
    <w:qFormat/>
    <w:uiPriority w:val="0"/>
    <w:rPr>
      <w:rFonts w:ascii="@仿宋_GB2312" w:hAnsi="@仿宋_GB2312" w:eastAsia="@仿宋_GB2312" w:cs="@仿宋_GB2312"/>
      <w:b/>
      <w:bCs/>
      <w:sz w:val="28"/>
      <w:szCs w:val="28"/>
    </w:rPr>
  </w:style>
  <w:style w:type="character" w:customStyle="1" w:styleId="64">
    <w:name w:val="标题 4 Char"/>
    <w:qFormat/>
    <w:uiPriority w:val="0"/>
    <w:rPr>
      <w:rFonts w:ascii="Arial" w:hAnsi="Arial" w:eastAsia="Arial"/>
      <w:b/>
      <w:bCs/>
      <w:kern w:val="2"/>
      <w:sz w:val="28"/>
      <w:szCs w:val="28"/>
      <w:lang w:val="en-US" w:eastAsia="zh-CN" w:bidi="ar-SA"/>
    </w:rPr>
  </w:style>
  <w:style w:type="table" w:customStyle="1" w:styleId="65">
    <w:name w:val="网格型1"/>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批注主题 字符"/>
    <w:basedOn w:val="55"/>
    <w:link w:val="20"/>
    <w:semiHidden/>
    <w:qFormat/>
    <w:uiPriority w:val="99"/>
    <w:rPr>
      <w:rFonts w:ascii="@仿宋_GB2312" w:hAnsi="@仿宋_GB2312" w:eastAsia="@仿宋_GB2312" w:cs="@仿宋_GB2312"/>
      <w:b/>
      <w:bCs/>
      <w:szCs w:val="20"/>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Cs w:val="21"/>
      <w:lang w:eastAsia="en-US"/>
    </w:rPr>
  </w:style>
  <w:style w:type="character" w:customStyle="1" w:styleId="69">
    <w:name w:val="15"/>
    <w:basedOn w:val="25"/>
    <w:qFormat/>
    <w:uiPriority w:val="0"/>
    <w:rPr>
      <w:rFonts w:hint="default" w:ascii="Times New Roman" w:hAnsi="Times New Roman" w:cs="Times New Roman"/>
      <w:b/>
      <w:bCs/>
      <w:kern w:val="44"/>
      <w:sz w:val="44"/>
      <w:szCs w:val="44"/>
    </w:rPr>
  </w:style>
  <w:style w:type="paragraph" w:customStyle="1" w:styleId="70">
    <w:name w:val="纯文本1"/>
    <w:basedOn w:val="1"/>
    <w:qFormat/>
    <w:uiPriority w:val="0"/>
    <w:pPr>
      <w:adjustRightInd w:val="0"/>
    </w:pPr>
    <w:rPr>
      <w:rFonts w:hint="eastAsia" w:ascii="宋体" w:hAnsi="Courier New" w:eastAsia="楷体_GB2312" w:cs="Times New Roman"/>
      <w:sz w:val="26"/>
      <w:szCs w:val="26"/>
    </w:rPr>
  </w:style>
  <w:style w:type="character" w:customStyle="1" w:styleId="71">
    <w:name w:val="10"/>
    <w:basedOn w:val="25"/>
    <w:qFormat/>
    <w:uiPriority w:val="0"/>
    <w:rPr>
      <w:rFonts w:hint="default" w:ascii="Verdana" w:hAnsi="Verdana" w:cs="Verdana"/>
      <w:sz w:val="30"/>
      <w:szCs w:val="30"/>
    </w:rPr>
  </w:style>
  <w:style w:type="character" w:customStyle="1" w:styleId="72">
    <w:name w:val="16"/>
    <w:basedOn w:val="25"/>
    <w:qFormat/>
    <w:uiPriority w:val="0"/>
    <w:rPr>
      <w:rFonts w:hint="default" w:ascii="Verdana" w:hAnsi="Verdana" w:cs="Verdana"/>
      <w:sz w:val="30"/>
      <w:szCs w:val="30"/>
    </w:rPr>
  </w:style>
  <w:style w:type="character" w:customStyle="1" w:styleId="73">
    <w:name w:val="font31"/>
    <w:basedOn w:val="25"/>
    <w:qFormat/>
    <w:uiPriority w:val="0"/>
    <w:rPr>
      <w:rFonts w:hint="default" w:ascii="方正书宋_GBK" w:hAnsi="方正书宋_GBK" w:eastAsia="方正书宋_GBK" w:cs="方正书宋_GBK"/>
      <w:color w:val="000000"/>
      <w:sz w:val="20"/>
      <w:szCs w:val="20"/>
      <w:u w:val="none"/>
    </w:rPr>
  </w:style>
  <w:style w:type="character" w:customStyle="1" w:styleId="74">
    <w:name w:val="font51"/>
    <w:basedOn w:val="25"/>
    <w:qFormat/>
    <w:uiPriority w:val="0"/>
    <w:rPr>
      <w:rFonts w:hint="default" w:ascii="Arial" w:hAnsi="Arial" w:cs="Arial"/>
      <w:color w:val="000000"/>
      <w:sz w:val="20"/>
      <w:szCs w:val="20"/>
      <w:u w:val="none"/>
    </w:rPr>
  </w:style>
  <w:style w:type="character" w:customStyle="1" w:styleId="75">
    <w:name w:val="font41"/>
    <w:basedOn w:val="25"/>
    <w:qFormat/>
    <w:uiPriority w:val="0"/>
    <w:rPr>
      <w:rFonts w:hint="default" w:ascii="Arial" w:hAnsi="Arial" w:cs="Arial"/>
      <w:color w:val="000000"/>
      <w:sz w:val="20"/>
      <w:szCs w:val="20"/>
      <w:u w:val="none"/>
    </w:rPr>
  </w:style>
  <w:style w:type="character" w:customStyle="1" w:styleId="76">
    <w:name w:val="font61"/>
    <w:basedOn w:val="25"/>
    <w:qFormat/>
    <w:uiPriority w:val="0"/>
    <w:rPr>
      <w:rFonts w:hint="default" w:ascii="方正书宋_GBK" w:hAnsi="方正书宋_GBK" w:eastAsia="方正书宋_GBK" w:cs="方正书宋_GBK"/>
      <w:color w:val="FF0000"/>
      <w:sz w:val="20"/>
      <w:szCs w:val="20"/>
      <w:u w:val="none"/>
    </w:rPr>
  </w:style>
  <w:style w:type="character" w:customStyle="1" w:styleId="77">
    <w:name w:val="font11"/>
    <w:basedOn w:val="25"/>
    <w:qFormat/>
    <w:uiPriority w:val="0"/>
    <w:rPr>
      <w:rFonts w:hint="eastAsia" w:ascii="宋体" w:hAnsi="宋体" w:eastAsia="宋体" w:cs="宋体"/>
      <w:color w:val="000000"/>
      <w:sz w:val="24"/>
      <w:szCs w:val="24"/>
      <w:u w:val="none"/>
    </w:rPr>
  </w:style>
  <w:style w:type="character" w:customStyle="1" w:styleId="78">
    <w:name w:val="font21"/>
    <w:basedOn w:val="25"/>
    <w:qFormat/>
    <w:uiPriority w:val="0"/>
    <w:rPr>
      <w:rFonts w:ascii="方正书宋_GBK" w:hAnsi="方正书宋_GBK" w:eastAsia="方正书宋_GBK" w:cs="方正书宋_GBK"/>
      <w:color w:val="000000"/>
      <w:sz w:val="20"/>
      <w:szCs w:val="20"/>
      <w:u w:val="none"/>
    </w:rPr>
  </w:style>
  <w:style w:type="character" w:customStyle="1" w:styleId="79">
    <w:name w:val="hover1"/>
    <w:basedOn w:val="25"/>
    <w:qFormat/>
    <w:uiPriority w:val="0"/>
    <w:rPr>
      <w:color w:val="2590EB"/>
    </w:rPr>
  </w:style>
  <w:style w:type="character" w:customStyle="1" w:styleId="80">
    <w:name w:val="hover2"/>
    <w:basedOn w:val="25"/>
    <w:qFormat/>
    <w:uiPriority w:val="0"/>
    <w:rPr>
      <w:color w:val="2590EB"/>
    </w:rPr>
  </w:style>
  <w:style w:type="character" w:customStyle="1" w:styleId="81">
    <w:name w:val="hover3"/>
    <w:basedOn w:val="25"/>
    <w:qFormat/>
    <w:uiPriority w:val="0"/>
  </w:style>
  <w:style w:type="character" w:customStyle="1" w:styleId="82">
    <w:name w:val="hover4"/>
    <w:basedOn w:val="25"/>
    <w:qFormat/>
    <w:uiPriority w:val="0"/>
    <w:rPr>
      <w:color w:val="2590EB"/>
      <w:shd w:val="clear" w:color="auto" w:fill="E9F4FD"/>
    </w:rPr>
  </w:style>
  <w:style w:type="character" w:customStyle="1" w:styleId="83">
    <w:name w:val="hover"/>
    <w:basedOn w:val="25"/>
    <w:qFormat/>
    <w:uiPriority w:val="0"/>
    <w:rPr>
      <w:color w:val="2590EB"/>
    </w:rPr>
  </w:style>
  <w:style w:type="paragraph" w:customStyle="1" w:styleId="84">
    <w:name w:val="纯文本11"/>
    <w:basedOn w:val="1"/>
    <w:qFormat/>
    <w:uiPriority w:val="0"/>
    <w:rPr>
      <w:rFonts w:ascii="Arial" w:hAnsi="Arial"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85</Pages>
  <Words>2487</Words>
  <Characters>2892</Characters>
  <Lines>351</Lines>
  <Paragraphs>98</Paragraphs>
  <TotalTime>8</TotalTime>
  <ScaleCrop>false</ScaleCrop>
  <LinksUpToDate>false</LinksUpToDate>
  <CharactersWithSpaces>2979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这不科学</cp:lastModifiedBy>
  <cp:lastPrinted>2019-12-07T23:18:00Z</cp:lastPrinted>
  <dcterms:modified xsi:type="dcterms:W3CDTF">2025-11-27T08:11:31Z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B1D187563D49496FAAE01A915A4BB7A4</vt:lpwstr>
  </property>
  <property fmtid="{D5CDD505-2E9C-101B-9397-08002B2CF9AE}" pid="4" name="KSOTemplateDocerSaveRecord">
    <vt:lpwstr>eyJoZGlkIjoiZmI5ZDY5ZDNjMmE2ZDcxYTFkMDY0Zjg5Mjg3YTE0YTgiLCJ1c2VySWQiOiI1MDM3MjkwOTMifQ==</vt:lpwstr>
  </property>
</Properties>
</file>