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95C9A">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val="en-US" w:eastAsia="zh-CN"/>
        </w:rPr>
      </w:pPr>
      <w:bookmarkStart w:id="0" w:name="_Hlk9544796"/>
    </w:p>
    <w:p w14:paraId="231D63BD">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val="en-US" w:eastAsia="zh-CN"/>
        </w:rPr>
      </w:pPr>
    </w:p>
    <w:p w14:paraId="75900B60">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val="en-US" w:eastAsia="zh-CN"/>
        </w:rPr>
      </w:pPr>
      <w:r>
        <w:rPr>
          <w:rFonts w:hint="eastAsia" w:asciiTheme="minorEastAsia" w:hAnsiTheme="minorEastAsia" w:eastAsiaTheme="minorEastAsia"/>
          <w:b/>
          <w:bCs/>
          <w:color w:val="auto"/>
          <w:sz w:val="52"/>
          <w:szCs w:val="52"/>
          <w:highlight w:val="none"/>
          <w:lang w:val="en-US" w:eastAsia="zh-CN"/>
        </w:rPr>
        <w:t>滁州市市直机关卫生所AED除颤仪</w:t>
      </w:r>
    </w:p>
    <w:p w14:paraId="5D0DF6FA">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val="en-US" w:eastAsia="zh-CN"/>
        </w:rPr>
      </w:pPr>
      <w:r>
        <w:rPr>
          <w:rFonts w:hint="eastAsia" w:asciiTheme="minorEastAsia" w:hAnsiTheme="minorEastAsia" w:eastAsiaTheme="minorEastAsia"/>
          <w:b/>
          <w:bCs/>
          <w:color w:val="auto"/>
          <w:sz w:val="52"/>
          <w:szCs w:val="52"/>
          <w:highlight w:val="none"/>
          <w:lang w:val="en-US" w:eastAsia="zh-CN"/>
        </w:rPr>
        <w:t>采购及安装项目</w:t>
      </w:r>
    </w:p>
    <w:p w14:paraId="60572858">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rPr>
      </w:pPr>
    </w:p>
    <w:p w14:paraId="16108A6C">
      <w:pPr>
        <w:tabs>
          <w:tab w:val="left" w:pos="315"/>
          <w:tab w:val="left" w:pos="8820"/>
        </w:tabs>
        <w:spacing w:before="240" w:beforeLines="100" w:after="120" w:afterLines="50" w:line="500" w:lineRule="exact"/>
        <w:ind w:right="267" w:rightChars="127"/>
        <w:jc w:val="center"/>
        <w:rPr>
          <w:rFonts w:hint="default" w:asciiTheme="minorEastAsia" w:hAnsiTheme="minorEastAsia" w:eastAsiaTheme="minorEastAsia"/>
          <w:b/>
          <w:bCs/>
          <w:color w:val="auto"/>
          <w:sz w:val="52"/>
          <w:szCs w:val="52"/>
          <w:highlight w:val="none"/>
          <w:lang w:val="en-US" w:eastAsia="zh-CN"/>
        </w:rPr>
      </w:pPr>
      <w:r>
        <w:rPr>
          <w:rFonts w:hint="eastAsia" w:asciiTheme="minorEastAsia" w:hAnsiTheme="minorEastAsia" w:eastAsiaTheme="minorEastAsia"/>
          <w:b/>
          <w:bCs/>
          <w:color w:val="auto"/>
          <w:sz w:val="52"/>
          <w:szCs w:val="52"/>
          <w:highlight w:val="none"/>
        </w:rPr>
        <w:t>询价</w:t>
      </w:r>
      <w:bookmarkEnd w:id="0"/>
      <w:r>
        <w:rPr>
          <w:rFonts w:hint="eastAsia" w:asciiTheme="minorEastAsia" w:hAnsiTheme="minorEastAsia" w:eastAsiaTheme="minorEastAsia"/>
          <w:b/>
          <w:bCs/>
          <w:color w:val="auto"/>
          <w:sz w:val="52"/>
          <w:szCs w:val="52"/>
          <w:highlight w:val="none"/>
          <w:lang w:val="en-US" w:eastAsia="zh-CN"/>
        </w:rPr>
        <w:t xml:space="preserve">采购文件                                                                                                                                                                                                                                                                                                                                                                                         </w:t>
      </w:r>
    </w:p>
    <w:p w14:paraId="5DF98A32">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1B960380">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50E9F51D">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7F00FBFA">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611BACE6">
      <w:pPr>
        <w:tabs>
          <w:tab w:val="left" w:pos="2410"/>
        </w:tabs>
        <w:autoSpaceDE w:val="0"/>
        <w:autoSpaceDN w:val="0"/>
        <w:adjustRightInd w:val="0"/>
        <w:snapToGrid w:val="0"/>
        <w:spacing w:line="360" w:lineRule="auto"/>
        <w:ind w:firstLine="723" w:firstLineChars="200"/>
        <w:rPr>
          <w:rFonts w:hint="default" w:asciiTheme="minorEastAsia" w:hAnsiTheme="minorEastAsia" w:eastAsiaTheme="minorEastAsia"/>
          <w:b/>
          <w:color w:val="auto"/>
          <w:spacing w:val="20"/>
          <w:kern w:val="0"/>
          <w:sz w:val="32"/>
          <w:szCs w:val="32"/>
          <w:highlight w:val="none"/>
          <w:u w:val="single"/>
          <w:lang w:val="en-US"/>
        </w:rPr>
      </w:pPr>
      <w:r>
        <w:rPr>
          <w:rFonts w:hint="eastAsia" w:asciiTheme="minorEastAsia" w:hAnsiTheme="minorEastAsia" w:eastAsiaTheme="minorEastAsia"/>
          <w:b/>
          <w:color w:val="auto"/>
          <w:spacing w:val="20"/>
          <w:kern w:val="0"/>
          <w:sz w:val="32"/>
          <w:szCs w:val="32"/>
          <w:highlight w:val="none"/>
        </w:rPr>
        <w:t>采</w:t>
      </w:r>
      <w:r>
        <w:rPr>
          <w:rFonts w:hint="eastAsia" w:asciiTheme="minorEastAsia" w:hAnsiTheme="minorEastAsia" w:eastAsiaTheme="minorEastAsia"/>
          <w:b/>
          <w:color w:val="auto"/>
          <w:spacing w:val="20"/>
          <w:kern w:val="0"/>
          <w:sz w:val="32"/>
          <w:szCs w:val="32"/>
          <w:highlight w:val="none"/>
          <w:lang w:val="en-US" w:eastAsia="zh-CN"/>
        </w:rPr>
        <w:t xml:space="preserve"> </w:t>
      </w:r>
      <w:r>
        <w:rPr>
          <w:rFonts w:hint="eastAsia" w:asciiTheme="minorEastAsia" w:hAnsiTheme="minorEastAsia" w:eastAsiaTheme="minorEastAsia"/>
          <w:b/>
          <w:color w:val="auto"/>
          <w:spacing w:val="20"/>
          <w:kern w:val="0"/>
          <w:sz w:val="32"/>
          <w:szCs w:val="32"/>
          <w:highlight w:val="none"/>
        </w:rPr>
        <w:t>购</w:t>
      </w:r>
      <w:r>
        <w:rPr>
          <w:rFonts w:hint="eastAsia" w:asciiTheme="minorEastAsia" w:hAnsiTheme="minorEastAsia" w:eastAsiaTheme="minorEastAsia"/>
          <w:b/>
          <w:color w:val="auto"/>
          <w:spacing w:val="20"/>
          <w:kern w:val="0"/>
          <w:sz w:val="32"/>
          <w:szCs w:val="32"/>
          <w:highlight w:val="none"/>
          <w:lang w:val="en-US" w:eastAsia="zh-CN"/>
        </w:rPr>
        <w:t xml:space="preserve"> </w:t>
      </w:r>
      <w:r>
        <w:rPr>
          <w:rFonts w:hint="eastAsia" w:asciiTheme="minorEastAsia" w:hAnsiTheme="minorEastAsia" w:eastAsiaTheme="minorEastAsia"/>
          <w:b/>
          <w:color w:val="auto"/>
          <w:spacing w:val="20"/>
          <w:kern w:val="0"/>
          <w:sz w:val="32"/>
          <w:szCs w:val="32"/>
          <w:highlight w:val="none"/>
        </w:rPr>
        <w:t>人：</w:t>
      </w:r>
      <w:r>
        <w:rPr>
          <w:rFonts w:hint="eastAsia" w:asciiTheme="minorEastAsia" w:hAnsiTheme="minorEastAsia" w:eastAsiaTheme="minorEastAsia"/>
          <w:b/>
          <w:color w:val="auto"/>
          <w:spacing w:val="20"/>
          <w:kern w:val="0"/>
          <w:sz w:val="32"/>
          <w:szCs w:val="32"/>
          <w:highlight w:val="none"/>
          <w:u w:val="single"/>
          <w:lang w:val="en-US" w:eastAsia="zh-CN"/>
        </w:rPr>
        <w:t xml:space="preserve">    滁州市市直机关卫生所    </w:t>
      </w:r>
    </w:p>
    <w:p w14:paraId="589D71DE">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p>
    <w:p w14:paraId="37C48D67">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代理机构：</w:t>
      </w:r>
      <w:r>
        <w:rPr>
          <w:rFonts w:hint="eastAsia" w:asciiTheme="minorEastAsia" w:hAnsiTheme="minorEastAsia" w:eastAsiaTheme="minorEastAsia"/>
          <w:b/>
          <w:color w:val="auto"/>
          <w:spacing w:val="20"/>
          <w:kern w:val="0"/>
          <w:sz w:val="32"/>
          <w:szCs w:val="32"/>
          <w:highlight w:val="none"/>
          <w:u w:val="single"/>
          <w:lang w:val="en-US" w:eastAsia="zh-CN"/>
        </w:rPr>
        <w:t>滁州市城投工程咨询管理有限公司</w:t>
      </w:r>
    </w:p>
    <w:p w14:paraId="6150723B">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1B9AD07D">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color w:val="auto"/>
          <w:sz w:val="36"/>
          <w:highlight w:val="none"/>
        </w:rPr>
      </w:pPr>
      <w:r>
        <w:rPr>
          <w:rFonts w:hint="eastAsia" w:asciiTheme="minorEastAsia" w:hAnsiTheme="minorEastAsia" w:eastAsiaTheme="minorEastAsia"/>
          <w:b/>
          <w:color w:val="auto"/>
          <w:sz w:val="36"/>
          <w:highlight w:val="none"/>
          <w:u w:val="single"/>
        </w:rPr>
        <w:t>202</w:t>
      </w:r>
      <w:r>
        <w:rPr>
          <w:rFonts w:hint="eastAsia" w:asciiTheme="minorEastAsia" w:hAnsiTheme="minorEastAsia" w:eastAsiaTheme="minorEastAsia"/>
          <w:b/>
          <w:color w:val="auto"/>
          <w:sz w:val="36"/>
          <w:highlight w:val="none"/>
          <w:u w:val="single"/>
          <w:lang w:val="en-US" w:eastAsia="zh-CN"/>
        </w:rPr>
        <w:t>6</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rPr>
        <w:t>年</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u w:val="single"/>
          <w:lang w:val="en-US" w:eastAsia="zh-CN"/>
        </w:rPr>
        <w:t>7</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rPr>
        <w:t>月</w:t>
      </w:r>
      <w:r>
        <w:rPr>
          <w:rFonts w:asciiTheme="minorEastAsia" w:hAnsiTheme="minorEastAsia" w:eastAsiaTheme="minorEastAsia"/>
          <w:b/>
          <w:color w:val="auto"/>
          <w:sz w:val="36"/>
          <w:highlight w:val="none"/>
        </w:rPr>
        <w:br w:type="page"/>
      </w:r>
    </w:p>
    <w:p w14:paraId="06D9A4CA">
      <w:pPr>
        <w:tabs>
          <w:tab w:val="left" w:pos="2410"/>
        </w:tabs>
        <w:autoSpaceDE w:val="0"/>
        <w:autoSpaceDN w:val="0"/>
        <w:adjustRightInd w:val="0"/>
        <w:snapToGrid w:val="0"/>
        <w:spacing w:line="360" w:lineRule="auto"/>
        <w:jc w:val="center"/>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目  录</w:t>
      </w:r>
    </w:p>
    <w:p w14:paraId="450BA13E">
      <w:pPr>
        <w:pStyle w:val="21"/>
        <w:tabs>
          <w:tab w:val="right" w:leader="dot" w:pos="8279"/>
        </w:tabs>
        <w:rPr>
          <w:color w:val="auto"/>
          <w:highlight w:val="none"/>
        </w:rPr>
      </w:pPr>
      <w:r>
        <w:rPr>
          <w:rFonts w:asciiTheme="minorEastAsia" w:hAnsiTheme="minorEastAsia"/>
          <w:b/>
          <w:bCs/>
          <w:color w:val="auto"/>
          <w:sz w:val="24"/>
          <w:szCs w:val="24"/>
          <w:highlight w:val="none"/>
        </w:rPr>
        <w:fldChar w:fldCharType="begin"/>
      </w:r>
      <w:r>
        <w:rPr>
          <w:rFonts w:asciiTheme="minorEastAsia" w:hAnsiTheme="minorEastAsia"/>
          <w:b/>
          <w:bCs/>
          <w:color w:val="auto"/>
          <w:sz w:val="24"/>
          <w:szCs w:val="24"/>
          <w:highlight w:val="none"/>
        </w:rPr>
        <w:instrText xml:space="preserve"> </w:instrText>
      </w:r>
      <w:r>
        <w:rPr>
          <w:rFonts w:hint="eastAsia" w:asciiTheme="minorEastAsia" w:hAnsiTheme="minorEastAsia"/>
          <w:b/>
          <w:bCs/>
          <w:color w:val="auto"/>
          <w:sz w:val="24"/>
          <w:szCs w:val="24"/>
          <w:highlight w:val="none"/>
        </w:rPr>
        <w:instrText xml:space="preserve">TOC \o "1-2" \h \z \u</w:instrText>
      </w:r>
      <w:r>
        <w:rPr>
          <w:rFonts w:asciiTheme="minorEastAsia" w:hAnsiTheme="minorEastAsia"/>
          <w:b/>
          <w:bCs/>
          <w:color w:val="auto"/>
          <w:sz w:val="24"/>
          <w:szCs w:val="24"/>
          <w:highlight w:val="none"/>
        </w:rPr>
        <w:instrText xml:space="preserve"> </w:instrText>
      </w:r>
      <w:r>
        <w:rPr>
          <w:rFonts w:asciiTheme="minorEastAsia" w:hAnsiTheme="minorEastAsia"/>
          <w:b/>
          <w:bCs/>
          <w:color w:val="auto"/>
          <w:sz w:val="24"/>
          <w:szCs w:val="24"/>
          <w:highlight w:val="none"/>
        </w:rPr>
        <w:fldChar w:fldCharType="separate"/>
      </w:r>
      <w:r>
        <w:rPr>
          <w:color w:val="auto"/>
          <w:highlight w:val="none"/>
        </w:rPr>
        <w:fldChar w:fldCharType="begin"/>
      </w:r>
      <w:r>
        <w:rPr>
          <w:color w:val="auto"/>
          <w:highlight w:val="none"/>
        </w:rPr>
        <w:instrText xml:space="preserve"> HYPERLINK \l "_Toc17729" </w:instrText>
      </w:r>
      <w:r>
        <w:rPr>
          <w:color w:val="auto"/>
          <w:highlight w:val="none"/>
        </w:rPr>
        <w:fldChar w:fldCharType="separate"/>
      </w:r>
      <w:r>
        <w:rPr>
          <w:rFonts w:hint="eastAsia" w:asciiTheme="minorEastAsia" w:hAnsiTheme="minorEastAsia"/>
          <w:color w:val="auto"/>
          <w:highlight w:val="none"/>
        </w:rPr>
        <w:t xml:space="preserve">第一章 </w:t>
      </w:r>
      <w:r>
        <w:rPr>
          <w:rFonts w:asciiTheme="minorEastAsia" w:hAnsiTheme="minorEastAsia"/>
          <w:color w:val="auto"/>
          <w:highlight w:val="none"/>
        </w:rPr>
        <w:t xml:space="preserve"> </w:t>
      </w:r>
      <w:r>
        <w:rPr>
          <w:rFonts w:hint="eastAsia" w:asciiTheme="minorEastAsia" w:hAnsiTheme="minorEastAsia"/>
          <w:color w:val="auto"/>
          <w:highlight w:val="none"/>
        </w:rPr>
        <w:t>询价邀请</w:t>
      </w:r>
      <w:r>
        <w:rPr>
          <w:color w:val="auto"/>
          <w:highlight w:val="none"/>
        </w:rPr>
        <w:tab/>
      </w:r>
      <w:r>
        <w:rPr>
          <w:rFonts w:hint="eastAsia"/>
          <w:color w:val="auto"/>
          <w:highlight w:val="none"/>
        </w:rPr>
        <w:t>1</w:t>
      </w:r>
      <w:r>
        <w:rPr>
          <w:rFonts w:hint="eastAsia"/>
          <w:color w:val="auto"/>
          <w:highlight w:val="none"/>
        </w:rPr>
        <w:fldChar w:fldCharType="end"/>
      </w:r>
    </w:p>
    <w:p w14:paraId="6F1A391A">
      <w:pPr>
        <w:pStyle w:val="21"/>
        <w:tabs>
          <w:tab w:val="right" w:leader="dot" w:pos="8279"/>
        </w:tabs>
        <w:rPr>
          <w:color w:val="auto"/>
          <w:highlight w:val="none"/>
        </w:rPr>
      </w:pPr>
      <w:r>
        <w:rPr>
          <w:color w:val="auto"/>
          <w:highlight w:val="none"/>
        </w:rPr>
        <w:fldChar w:fldCharType="begin"/>
      </w:r>
      <w:r>
        <w:rPr>
          <w:color w:val="auto"/>
          <w:highlight w:val="none"/>
        </w:rPr>
        <w:instrText xml:space="preserve"> HYPERLINK \l "_Toc3199" </w:instrText>
      </w:r>
      <w:r>
        <w:rPr>
          <w:color w:val="auto"/>
          <w:highlight w:val="none"/>
        </w:rPr>
        <w:fldChar w:fldCharType="separate"/>
      </w:r>
      <w:r>
        <w:rPr>
          <w:rFonts w:hint="eastAsia" w:asciiTheme="minorEastAsia" w:hAnsiTheme="minorEastAsia"/>
          <w:color w:val="auto"/>
          <w:highlight w:val="none"/>
        </w:rPr>
        <w:t>第二章</w:t>
      </w:r>
      <w:r>
        <w:rPr>
          <w:rFonts w:asciiTheme="minorEastAsia" w:hAnsiTheme="minorEastAsia"/>
          <w:color w:val="auto"/>
          <w:highlight w:val="none"/>
        </w:rPr>
        <w:t xml:space="preserve"> </w:t>
      </w:r>
      <w:r>
        <w:rPr>
          <w:rFonts w:hint="eastAsia" w:asciiTheme="minorEastAsia" w:hAnsiTheme="minorEastAsia"/>
          <w:color w:val="auto"/>
          <w:highlight w:val="none"/>
        </w:rPr>
        <w:t xml:space="preserve"> 供应商</w:t>
      </w:r>
      <w:r>
        <w:rPr>
          <w:rFonts w:asciiTheme="minorEastAsia" w:hAnsiTheme="minorEastAsia"/>
          <w:color w:val="auto"/>
          <w:highlight w:val="none"/>
        </w:rPr>
        <w:t>须知</w:t>
      </w:r>
      <w:r>
        <w:rPr>
          <w:color w:val="auto"/>
          <w:highlight w:val="none"/>
        </w:rPr>
        <w:tab/>
      </w:r>
      <w:r>
        <w:rPr>
          <w:rFonts w:hint="eastAsia"/>
          <w:color w:val="auto"/>
          <w:highlight w:val="none"/>
          <w:lang w:val="en-US" w:eastAsia="zh-CN"/>
        </w:rPr>
        <w:t>3</w:t>
      </w:r>
      <w:r>
        <w:rPr>
          <w:rFonts w:hint="eastAsia"/>
          <w:color w:val="auto"/>
          <w:highlight w:val="none"/>
        </w:rPr>
        <w:fldChar w:fldCharType="end"/>
      </w:r>
    </w:p>
    <w:p w14:paraId="11F73D30">
      <w:pPr>
        <w:pStyle w:val="21"/>
        <w:tabs>
          <w:tab w:val="right" w:leader="dot" w:pos="8279"/>
        </w:tabs>
        <w:rPr>
          <w:rFonts w:asciiTheme="minorEastAsia" w:hAnsiTheme="minorEastAsia"/>
          <w:bCs/>
          <w:color w:val="auto"/>
          <w:szCs w:val="24"/>
          <w:highlight w:val="none"/>
        </w:rPr>
      </w:pPr>
      <w:r>
        <w:rPr>
          <w:color w:val="auto"/>
          <w:highlight w:val="none"/>
        </w:rPr>
        <w:fldChar w:fldCharType="begin"/>
      </w:r>
      <w:r>
        <w:rPr>
          <w:color w:val="auto"/>
          <w:highlight w:val="none"/>
        </w:rPr>
        <w:instrText xml:space="preserve"> HYPERLINK \l "_Toc1471" </w:instrText>
      </w:r>
      <w:r>
        <w:rPr>
          <w:color w:val="auto"/>
          <w:highlight w:val="none"/>
        </w:rPr>
        <w:fldChar w:fldCharType="separate"/>
      </w:r>
      <w:r>
        <w:rPr>
          <w:rFonts w:hint="eastAsia" w:asciiTheme="minorEastAsia" w:hAnsiTheme="minorEastAsia"/>
          <w:color w:val="auto"/>
          <w:highlight w:val="none"/>
        </w:rPr>
        <w:t>第三章  采购需求</w:t>
      </w:r>
      <w:r>
        <w:rPr>
          <w:color w:val="auto"/>
          <w:highlight w:val="none"/>
        </w:rPr>
        <w:tab/>
      </w:r>
      <w:r>
        <w:rPr>
          <w:rFonts w:hint="eastAsia"/>
          <w:color w:val="auto"/>
          <w:highlight w:val="none"/>
          <w:lang w:val="en-US" w:eastAsia="zh-CN"/>
        </w:rPr>
        <w:t>1</w:t>
      </w:r>
      <w:r>
        <w:rPr>
          <w:rFonts w:hint="eastAsia"/>
          <w:color w:val="auto"/>
          <w:highlight w:val="none"/>
        </w:rPr>
        <w:fldChar w:fldCharType="end"/>
      </w:r>
      <w:r>
        <w:rPr>
          <w:rFonts w:hint="eastAsia"/>
          <w:color w:val="auto"/>
          <w:highlight w:val="none"/>
          <w:lang w:val="en-US" w:eastAsia="zh-CN"/>
        </w:rPr>
        <w:t>2</w:t>
      </w:r>
    </w:p>
    <w:p w14:paraId="49A7CED4">
      <w:pPr>
        <w:pStyle w:val="21"/>
        <w:tabs>
          <w:tab w:val="right" w:leader="dot" w:pos="8279"/>
        </w:tabs>
        <w:rPr>
          <w:rFonts w:hint="default" w:eastAsiaTheme="minorEastAsia"/>
          <w:color w:val="auto"/>
          <w:highlight w:val="none"/>
          <w:lang w:val="en-US" w:eastAsia="zh-CN"/>
        </w:rPr>
      </w:pPr>
      <w:r>
        <w:rPr>
          <w:color w:val="auto"/>
          <w:highlight w:val="none"/>
        </w:rPr>
        <w:fldChar w:fldCharType="begin"/>
      </w:r>
      <w:r>
        <w:rPr>
          <w:color w:val="auto"/>
          <w:highlight w:val="none"/>
        </w:rPr>
        <w:instrText xml:space="preserve"> HYPERLINK \l "_Toc15765" </w:instrText>
      </w:r>
      <w:r>
        <w:rPr>
          <w:color w:val="auto"/>
          <w:highlight w:val="none"/>
        </w:rPr>
        <w:fldChar w:fldCharType="separate"/>
      </w:r>
      <w:r>
        <w:rPr>
          <w:rFonts w:hint="eastAsia" w:asciiTheme="minorEastAsia" w:hAnsiTheme="minorEastAsia"/>
          <w:color w:val="auto"/>
          <w:highlight w:val="none"/>
        </w:rPr>
        <w:t>第四章  评审方法和标准</w:t>
      </w:r>
      <w:r>
        <w:rPr>
          <w:color w:val="auto"/>
          <w:highlight w:val="none"/>
        </w:rPr>
        <w:tab/>
      </w:r>
      <w:r>
        <w:rPr>
          <w:rFonts w:hint="eastAsia"/>
          <w:color w:val="auto"/>
          <w:highlight w:val="none"/>
        </w:rPr>
        <w:fldChar w:fldCharType="end"/>
      </w:r>
      <w:r>
        <w:rPr>
          <w:rFonts w:hint="eastAsia"/>
          <w:color w:val="auto"/>
          <w:highlight w:val="none"/>
          <w:lang w:val="en-US" w:eastAsia="zh-CN"/>
        </w:rPr>
        <w:t>15</w:t>
      </w:r>
    </w:p>
    <w:p w14:paraId="5053AF53">
      <w:pPr>
        <w:pStyle w:val="21"/>
        <w:tabs>
          <w:tab w:val="right" w:leader="dot" w:pos="8279"/>
        </w:tabs>
        <w:rPr>
          <w:rFonts w:hint="default"/>
          <w:color w:val="auto"/>
          <w:highlight w:val="none"/>
          <w:lang w:val="en-US"/>
        </w:rPr>
      </w:pPr>
      <w:r>
        <w:rPr>
          <w:color w:val="auto"/>
          <w:highlight w:val="none"/>
        </w:rPr>
        <w:fldChar w:fldCharType="begin"/>
      </w:r>
      <w:r>
        <w:rPr>
          <w:color w:val="auto"/>
          <w:highlight w:val="none"/>
        </w:rPr>
        <w:instrText xml:space="preserve"> HYPERLINK \l "_Toc5156" </w:instrText>
      </w:r>
      <w:r>
        <w:rPr>
          <w:color w:val="auto"/>
          <w:highlight w:val="none"/>
        </w:rPr>
        <w:fldChar w:fldCharType="separate"/>
      </w:r>
      <w:r>
        <w:rPr>
          <w:rFonts w:hint="eastAsia" w:asciiTheme="minorEastAsia" w:hAnsiTheme="minorEastAsia"/>
          <w:color w:val="auto"/>
          <w:highlight w:val="none"/>
        </w:rPr>
        <w:t xml:space="preserve">第五章  </w:t>
      </w:r>
      <w:r>
        <w:rPr>
          <w:rFonts w:asciiTheme="minorEastAsia" w:hAnsiTheme="minorEastAsia"/>
          <w:color w:val="auto"/>
          <w:highlight w:val="none"/>
        </w:rPr>
        <w:t>政府采购合同</w:t>
      </w:r>
      <w:r>
        <w:rPr>
          <w:color w:val="auto"/>
          <w:highlight w:val="none"/>
        </w:rPr>
        <w:tab/>
      </w:r>
      <w:r>
        <w:rPr>
          <w:rFonts w:hint="eastAsia"/>
          <w:color w:val="auto"/>
          <w:highlight w:val="none"/>
        </w:rPr>
        <w:fldChar w:fldCharType="end"/>
      </w:r>
      <w:r>
        <w:rPr>
          <w:rFonts w:hint="eastAsia"/>
          <w:color w:val="auto"/>
          <w:highlight w:val="none"/>
          <w:lang w:val="en-US" w:eastAsia="zh-CN"/>
        </w:rPr>
        <w:t>18</w:t>
      </w:r>
    </w:p>
    <w:p w14:paraId="6DBEA1A4">
      <w:pPr>
        <w:pStyle w:val="21"/>
        <w:tabs>
          <w:tab w:val="right" w:leader="dot" w:pos="8279"/>
        </w:tabs>
        <w:rPr>
          <w:rFonts w:hint="eastAsia" w:eastAsiaTheme="minorEastAsia"/>
          <w:color w:val="auto"/>
          <w:highlight w:val="none"/>
          <w:lang w:val="en-US" w:eastAsia="zh-CN"/>
        </w:rPr>
      </w:pPr>
      <w:r>
        <w:rPr>
          <w:color w:val="auto"/>
          <w:highlight w:val="none"/>
        </w:rPr>
        <w:fldChar w:fldCharType="begin"/>
      </w:r>
      <w:r>
        <w:rPr>
          <w:color w:val="auto"/>
          <w:highlight w:val="none"/>
        </w:rPr>
        <w:instrText xml:space="preserve"> HYPERLINK \l "_Toc29013" </w:instrText>
      </w:r>
      <w:r>
        <w:rPr>
          <w:color w:val="auto"/>
          <w:highlight w:val="none"/>
        </w:rPr>
        <w:fldChar w:fldCharType="separate"/>
      </w:r>
      <w:r>
        <w:rPr>
          <w:rFonts w:hint="eastAsia" w:asciiTheme="minorEastAsia" w:hAnsiTheme="minorEastAsia"/>
          <w:color w:val="auto"/>
          <w:highlight w:val="none"/>
        </w:rPr>
        <w:t>第六章  响应文件格式</w:t>
      </w:r>
      <w:r>
        <w:rPr>
          <w:color w:val="auto"/>
          <w:highlight w:val="none"/>
        </w:rPr>
        <w:tab/>
      </w:r>
      <w:r>
        <w:rPr>
          <w:rFonts w:hint="eastAsia"/>
          <w:color w:val="auto"/>
          <w:highlight w:val="none"/>
          <w:lang w:val="en-US" w:eastAsia="zh-CN"/>
        </w:rPr>
        <w:t>2</w:t>
      </w:r>
      <w:r>
        <w:rPr>
          <w:rFonts w:hint="eastAsia"/>
          <w:color w:val="auto"/>
          <w:highlight w:val="none"/>
        </w:rPr>
        <w:fldChar w:fldCharType="end"/>
      </w:r>
      <w:r>
        <w:rPr>
          <w:rFonts w:hint="eastAsia"/>
          <w:color w:val="auto"/>
          <w:highlight w:val="none"/>
          <w:lang w:val="en-US" w:eastAsia="zh-CN"/>
        </w:rPr>
        <w:t>7</w:t>
      </w:r>
    </w:p>
    <w:p w14:paraId="7616207E">
      <w:pPr>
        <w:pStyle w:val="21"/>
        <w:tabs>
          <w:tab w:val="right" w:leader="dot" w:pos="8279"/>
        </w:tabs>
        <w:rPr>
          <w:rFonts w:hint="default"/>
          <w:color w:val="auto"/>
          <w:highlight w:val="none"/>
          <w:lang w:val="en-US"/>
        </w:rPr>
      </w:pPr>
      <w:r>
        <w:rPr>
          <w:color w:val="auto"/>
          <w:highlight w:val="none"/>
        </w:rPr>
        <w:fldChar w:fldCharType="begin"/>
      </w:r>
      <w:r>
        <w:rPr>
          <w:color w:val="auto"/>
          <w:highlight w:val="none"/>
        </w:rPr>
        <w:instrText xml:space="preserve"> HYPERLINK \l "_Toc1141" </w:instrText>
      </w:r>
      <w:r>
        <w:rPr>
          <w:color w:val="auto"/>
          <w:highlight w:val="none"/>
        </w:rPr>
        <w:fldChar w:fldCharType="separate"/>
      </w:r>
      <w:r>
        <w:rPr>
          <w:rFonts w:hint="eastAsia"/>
          <w:color w:val="auto"/>
          <w:highlight w:val="none"/>
        </w:rPr>
        <w:t>第七章  政府采购供应商询问函和质疑函范本</w:t>
      </w:r>
      <w:r>
        <w:rPr>
          <w:color w:val="auto"/>
          <w:highlight w:val="none"/>
        </w:rPr>
        <w:tab/>
      </w:r>
      <w:r>
        <w:rPr>
          <w:rFonts w:hint="eastAsia"/>
          <w:color w:val="auto"/>
          <w:highlight w:val="none"/>
        </w:rPr>
        <w:fldChar w:fldCharType="end"/>
      </w:r>
      <w:r>
        <w:rPr>
          <w:rFonts w:hint="eastAsia"/>
          <w:color w:val="auto"/>
          <w:highlight w:val="none"/>
          <w:lang w:val="en-US" w:eastAsia="zh-CN"/>
        </w:rPr>
        <w:t>37</w:t>
      </w:r>
    </w:p>
    <w:p w14:paraId="0D3F1B89">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bCs/>
          <w:color w:val="auto"/>
          <w:szCs w:val="24"/>
          <w:highlight w:val="none"/>
        </w:rPr>
        <w:fldChar w:fldCharType="end"/>
      </w:r>
    </w:p>
    <w:p w14:paraId="079EBDE5">
      <w:pPr>
        <w:pStyle w:val="21"/>
        <w:tabs>
          <w:tab w:val="right" w:leader="dot" w:pos="8279"/>
        </w:tabs>
        <w:rPr>
          <w:rFonts w:asciiTheme="minorEastAsia" w:hAnsiTheme="minorEastAsia"/>
          <w:b/>
          <w:color w:val="auto"/>
          <w:sz w:val="28"/>
          <w:highlight w:val="none"/>
        </w:rPr>
        <w:sectPr>
          <w:headerReference r:id="rId3" w:type="default"/>
          <w:footerReference r:id="rId4" w:type="default"/>
          <w:pgSz w:w="11905" w:h="16838"/>
          <w:pgMar w:top="1417" w:right="1417" w:bottom="1417" w:left="1417" w:header="851" w:footer="992" w:gutter="0"/>
          <w:cols w:space="0" w:num="1"/>
          <w:rtlGutter w:val="0"/>
          <w:docGrid w:type="lines" w:linePitch="313" w:charSpace="0"/>
        </w:sectPr>
      </w:pPr>
    </w:p>
    <w:p w14:paraId="798652DD">
      <w:pPr>
        <w:spacing w:line="360" w:lineRule="auto"/>
        <w:jc w:val="center"/>
        <w:outlineLvl w:val="0"/>
        <w:rPr>
          <w:rFonts w:asciiTheme="minorEastAsia" w:hAnsiTheme="minorEastAsia" w:eastAsiaTheme="minorEastAsia"/>
          <w:b/>
          <w:color w:val="auto"/>
          <w:sz w:val="28"/>
          <w:highlight w:val="none"/>
        </w:rPr>
      </w:pPr>
      <w:bookmarkStart w:id="1" w:name="_Toc17729"/>
      <w:r>
        <w:rPr>
          <w:rFonts w:hint="eastAsia" w:asciiTheme="minorEastAsia" w:hAnsiTheme="minorEastAsia" w:eastAsiaTheme="minorEastAsia"/>
          <w:b/>
          <w:color w:val="auto"/>
          <w:sz w:val="28"/>
          <w:highlight w:val="none"/>
        </w:rPr>
        <w:t>第一章 询价邀请</w:t>
      </w:r>
      <w:bookmarkEnd w:id="1"/>
    </w:p>
    <w:p w14:paraId="426BC2FC">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bookmarkStart w:id="2" w:name="_Toc35393630"/>
      <w:bookmarkStart w:id="3" w:name="_Toc28359013"/>
      <w:bookmarkStart w:id="4" w:name="_Toc35393799"/>
      <w:bookmarkStart w:id="5" w:name="_Toc28359090"/>
      <w:r>
        <w:rPr>
          <w:rFonts w:hint="eastAsia" w:ascii="黑体" w:hAnsi="黑体" w:eastAsia="黑体" w:cs="黑体"/>
          <w:color w:val="auto"/>
          <w:kern w:val="0"/>
          <w:sz w:val="28"/>
          <w:szCs w:val="28"/>
          <w:highlight w:val="none"/>
          <w:u w:color="000000"/>
        </w:rPr>
        <w:t>一、项目基本情况</w:t>
      </w:r>
    </w:p>
    <w:p w14:paraId="057038F5">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rPr>
        <w:t>项目名称：</w:t>
      </w:r>
      <w:bookmarkStart w:id="92" w:name="_GoBack"/>
      <w:r>
        <w:rPr>
          <w:rFonts w:hint="eastAsia" w:ascii="仿宋" w:hAnsi="仿宋" w:eastAsia="仿宋" w:cs="Times New Roman"/>
          <w:color w:val="auto"/>
          <w:kern w:val="0"/>
          <w:sz w:val="28"/>
          <w:szCs w:val="28"/>
          <w:highlight w:val="none"/>
          <w:u w:color="000000"/>
          <w:lang w:val="en-US" w:eastAsia="zh-CN"/>
        </w:rPr>
        <w:t>滁州市市直机关卫生所AED除颤仪采购及安装项目</w:t>
      </w:r>
      <w:bookmarkEnd w:id="92"/>
    </w:p>
    <w:p w14:paraId="09A2FD84">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预算金额：</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万元</w:t>
      </w:r>
    </w:p>
    <w:p w14:paraId="7C628F80">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最高限价：</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万元，响应报价不得高于最高限价，否则按无效响应处理。</w:t>
      </w:r>
    </w:p>
    <w:p w14:paraId="059518F3">
      <w:pPr>
        <w:pageBreakBefore w:val="0"/>
        <w:widowControl/>
        <w:kinsoku/>
        <w:overflowPunct/>
        <w:topLinePunct w:val="0"/>
        <w:autoSpaceDE/>
        <w:autoSpaceDN/>
        <w:bidi w:val="0"/>
        <w:adjustRightInd/>
        <w:snapToGrid/>
        <w:spacing w:line="560" w:lineRule="exact"/>
        <w:ind w:firstLine="560" w:firstLineChars="200"/>
        <w:textAlignment w:val="baseline"/>
        <w:rPr>
          <w:rFonts w:hint="default"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rPr>
        <w:t>采购需求：</w:t>
      </w:r>
      <w:r>
        <w:rPr>
          <w:rFonts w:hint="eastAsia" w:ascii="仿宋" w:hAnsi="仿宋" w:eastAsia="仿宋" w:cs="Times New Roman"/>
          <w:color w:val="auto"/>
          <w:kern w:val="0"/>
          <w:sz w:val="28"/>
          <w:szCs w:val="28"/>
          <w:highlight w:val="none"/>
          <w:u w:color="000000"/>
          <w:lang w:val="en-US" w:eastAsia="zh-CN"/>
        </w:rPr>
        <w:t>AED除颤仪采购及安装</w:t>
      </w:r>
    </w:p>
    <w:p w14:paraId="3F910848">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合同履行期限：</w:t>
      </w:r>
      <w:r>
        <w:rPr>
          <w:rFonts w:hint="eastAsia" w:ascii="仿宋" w:hAnsi="仿宋" w:eastAsia="仿宋" w:cs="Times New Roman"/>
          <w:color w:val="auto"/>
          <w:kern w:val="0"/>
          <w:sz w:val="28"/>
          <w:szCs w:val="28"/>
          <w:highlight w:val="none"/>
          <w:u w:color="000000"/>
        </w:rPr>
        <w:t>自合同签订后</w:t>
      </w:r>
      <w:r>
        <w:rPr>
          <w:rFonts w:hint="eastAsia" w:ascii="仿宋" w:hAnsi="仿宋" w:eastAsia="仿宋" w:cs="Times New Roman"/>
          <w:color w:val="auto"/>
          <w:kern w:val="0"/>
          <w:sz w:val="28"/>
          <w:szCs w:val="28"/>
          <w:highlight w:val="none"/>
          <w:u w:color="000000"/>
          <w:lang w:val="en-US" w:eastAsia="zh-CN"/>
        </w:rPr>
        <w:t>1</w:t>
      </w:r>
      <w:r>
        <w:rPr>
          <w:rFonts w:hint="eastAsia" w:ascii="仿宋" w:hAnsi="仿宋" w:eastAsia="仿宋" w:cs="Times New Roman"/>
          <w:color w:val="auto"/>
          <w:kern w:val="0"/>
          <w:sz w:val="28"/>
          <w:szCs w:val="28"/>
          <w:highlight w:val="none"/>
          <w:u w:color="000000"/>
        </w:rPr>
        <w:t>0个工作日内完成供货并</w:t>
      </w:r>
      <w:r>
        <w:rPr>
          <w:rFonts w:hint="eastAsia" w:ascii="仿宋" w:hAnsi="仿宋" w:eastAsia="仿宋" w:cs="Times New Roman"/>
          <w:color w:val="auto"/>
          <w:kern w:val="0"/>
          <w:sz w:val="28"/>
          <w:szCs w:val="28"/>
          <w:highlight w:val="none"/>
          <w:u w:color="000000"/>
          <w:lang w:val="en-US" w:eastAsia="zh-CN"/>
        </w:rPr>
        <w:t>通过验收</w:t>
      </w:r>
      <w:r>
        <w:rPr>
          <w:rFonts w:hint="eastAsia" w:ascii="仿宋" w:hAnsi="仿宋" w:eastAsia="仿宋" w:cs="Times New Roman"/>
          <w:color w:val="auto"/>
          <w:kern w:val="0"/>
          <w:sz w:val="28"/>
          <w:szCs w:val="28"/>
          <w:highlight w:val="none"/>
          <w:u w:color="000000"/>
        </w:rPr>
        <w:t>。</w:t>
      </w:r>
    </w:p>
    <w:p w14:paraId="599825E5">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本项目不接受联合体。</w:t>
      </w:r>
    </w:p>
    <w:bookmarkEnd w:id="2"/>
    <w:bookmarkEnd w:id="3"/>
    <w:bookmarkEnd w:id="4"/>
    <w:bookmarkEnd w:id="5"/>
    <w:p w14:paraId="73BCB36D">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bookmarkStart w:id="6" w:name="_Toc35393631"/>
      <w:bookmarkStart w:id="7" w:name="_Toc35393800"/>
      <w:bookmarkStart w:id="8" w:name="_Toc28359014"/>
      <w:bookmarkStart w:id="9" w:name="_Toc28359091"/>
      <w:r>
        <w:rPr>
          <w:rFonts w:hint="eastAsia" w:ascii="黑体" w:hAnsi="黑体" w:eastAsia="黑体" w:cs="黑体"/>
          <w:color w:val="auto"/>
          <w:kern w:val="0"/>
          <w:sz w:val="28"/>
          <w:szCs w:val="28"/>
          <w:highlight w:val="none"/>
          <w:u w:color="000000"/>
        </w:rPr>
        <w:t>二、申请人的资格要求</w:t>
      </w:r>
    </w:p>
    <w:p w14:paraId="09AEBEAF">
      <w:pPr>
        <w:pStyle w:val="2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560"/>
        <w:jc w:val="both"/>
        <w:rPr>
          <w:rFonts w:ascii="微软雅黑" w:hAnsi="微软雅黑" w:eastAsia="微软雅黑" w:cs="微软雅黑"/>
          <w:i w:val="0"/>
          <w:iCs w:val="0"/>
          <w:caps w:val="0"/>
          <w:color w:val="auto"/>
          <w:spacing w:val="0"/>
          <w:sz w:val="27"/>
          <w:szCs w:val="27"/>
          <w:highlight w:val="none"/>
        </w:rPr>
      </w:pPr>
      <w:r>
        <w:rPr>
          <w:rFonts w:hint="eastAsia" w:ascii="仿宋" w:hAnsi="仿宋" w:eastAsia="仿宋" w:cs="Times New Roman"/>
          <w:color w:val="auto"/>
          <w:kern w:val="0"/>
          <w:sz w:val="28"/>
          <w:szCs w:val="28"/>
          <w:highlight w:val="none"/>
          <w:u w:color="000000"/>
        </w:rPr>
        <w:t>1.</w:t>
      </w:r>
      <w:r>
        <w:rPr>
          <w:rFonts w:hint="eastAsia" w:ascii="仿宋" w:hAnsi="仿宋" w:eastAsia="仿宋" w:cs="仿宋"/>
          <w:i w:val="0"/>
          <w:iCs w:val="0"/>
          <w:caps w:val="0"/>
          <w:color w:val="auto"/>
          <w:spacing w:val="0"/>
          <w:sz w:val="28"/>
          <w:szCs w:val="28"/>
          <w:highlight w:val="none"/>
          <w:lang w:val="en-US" w:eastAsia="zh-CN"/>
        </w:rPr>
        <w:t>供应商</w:t>
      </w:r>
      <w:r>
        <w:rPr>
          <w:rFonts w:ascii="仿宋" w:hAnsi="仿宋" w:eastAsia="仿宋" w:cs="仿宋"/>
          <w:i w:val="0"/>
          <w:iCs w:val="0"/>
          <w:caps w:val="0"/>
          <w:color w:val="auto"/>
          <w:spacing w:val="0"/>
          <w:sz w:val="28"/>
          <w:szCs w:val="28"/>
          <w:highlight w:val="none"/>
        </w:rPr>
        <w:t>为制造商的，应具有</w:t>
      </w:r>
      <w:r>
        <w:rPr>
          <w:rFonts w:hint="eastAsia" w:ascii="仿宋" w:hAnsi="仿宋" w:eastAsia="仿宋" w:cs="仿宋"/>
          <w:i w:val="0"/>
          <w:iCs w:val="0"/>
          <w:caps w:val="0"/>
          <w:color w:val="auto"/>
          <w:spacing w:val="0"/>
          <w:sz w:val="28"/>
          <w:szCs w:val="28"/>
          <w:highlight w:val="none"/>
        </w:rPr>
        <w:t>有效的医疗器械生产许可证和医疗器械经营许可证；</w:t>
      </w:r>
      <w:r>
        <w:rPr>
          <w:rFonts w:hint="eastAsia" w:ascii="仿宋" w:hAnsi="仿宋" w:eastAsia="仿宋" w:cs="仿宋"/>
          <w:i w:val="0"/>
          <w:iCs w:val="0"/>
          <w:caps w:val="0"/>
          <w:color w:val="auto"/>
          <w:spacing w:val="0"/>
          <w:sz w:val="28"/>
          <w:szCs w:val="28"/>
          <w:highlight w:val="none"/>
          <w:lang w:val="en-US" w:eastAsia="zh-CN"/>
        </w:rPr>
        <w:t>供应商</w:t>
      </w:r>
      <w:r>
        <w:rPr>
          <w:rFonts w:hint="eastAsia" w:ascii="仿宋" w:hAnsi="仿宋" w:eastAsia="仿宋" w:cs="仿宋"/>
          <w:i w:val="0"/>
          <w:iCs w:val="0"/>
          <w:caps w:val="0"/>
          <w:color w:val="auto"/>
          <w:spacing w:val="0"/>
          <w:sz w:val="28"/>
          <w:szCs w:val="28"/>
          <w:highlight w:val="none"/>
        </w:rPr>
        <w:t>为代理商的，应具有有效的医疗器械经营许可证；</w:t>
      </w:r>
    </w:p>
    <w:p w14:paraId="04DD3F70">
      <w:pPr>
        <w:pStyle w:val="2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560"/>
        <w:jc w:val="both"/>
        <w:rPr>
          <w:rFonts w:hint="eastAsia" w:ascii="微软雅黑" w:hAnsi="微软雅黑" w:eastAsia="微软雅黑" w:cs="微软雅黑"/>
          <w:i w:val="0"/>
          <w:iCs w:val="0"/>
          <w:caps w:val="0"/>
          <w:color w:val="auto"/>
          <w:spacing w:val="0"/>
          <w:sz w:val="27"/>
          <w:szCs w:val="27"/>
          <w:highlight w:val="none"/>
        </w:rPr>
      </w:pPr>
      <w:r>
        <w:rPr>
          <w:rFonts w:hint="eastAsia" w:ascii="仿宋" w:hAnsi="仿宋" w:eastAsia="仿宋" w:cs="仿宋"/>
          <w:i w:val="0"/>
          <w:iCs w:val="0"/>
          <w:caps w:val="0"/>
          <w:color w:val="auto"/>
          <w:spacing w:val="0"/>
          <w:sz w:val="28"/>
          <w:szCs w:val="28"/>
          <w:highlight w:val="none"/>
          <w:lang w:val="en-US" w:eastAsia="zh-CN"/>
        </w:rPr>
        <w:t>2.</w:t>
      </w:r>
      <w:r>
        <w:rPr>
          <w:rFonts w:hint="eastAsia" w:ascii="仿宋" w:hAnsi="仿宋" w:eastAsia="仿宋" w:cs="仿宋"/>
          <w:i w:val="0"/>
          <w:iCs w:val="0"/>
          <w:caps w:val="0"/>
          <w:color w:val="auto"/>
          <w:spacing w:val="0"/>
          <w:sz w:val="28"/>
          <w:szCs w:val="28"/>
          <w:highlight w:val="none"/>
        </w:rPr>
        <w:t>所投产品须具有有效的第三类医疗器械注册证。</w:t>
      </w:r>
    </w:p>
    <w:bookmarkEnd w:id="6"/>
    <w:bookmarkEnd w:id="7"/>
    <w:bookmarkEnd w:id="8"/>
    <w:bookmarkEnd w:id="9"/>
    <w:p w14:paraId="68454BAE">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bookmarkStart w:id="10" w:name="_Toc35393632"/>
      <w:bookmarkStart w:id="11" w:name="_Toc35393801"/>
      <w:bookmarkStart w:id="12" w:name="_Toc28359015"/>
      <w:bookmarkStart w:id="13" w:name="_Toc28359092"/>
      <w:r>
        <w:rPr>
          <w:rFonts w:hint="eastAsia" w:ascii="黑体" w:hAnsi="黑体" w:eastAsia="黑体" w:cs="黑体"/>
          <w:color w:val="auto"/>
          <w:kern w:val="0"/>
          <w:sz w:val="28"/>
          <w:szCs w:val="28"/>
          <w:highlight w:val="none"/>
          <w:u w:color="000000"/>
        </w:rPr>
        <w:t>三、获取采购文件</w:t>
      </w:r>
    </w:p>
    <w:p w14:paraId="46B267C9">
      <w:pPr>
        <w:pageBreakBefore w:val="0"/>
        <w:kinsoku/>
        <w:overflowPunct/>
        <w:topLinePunct w:val="0"/>
        <w:autoSpaceDE/>
        <w:autoSpaceDN/>
        <w:bidi w:val="0"/>
        <w:adjustRightInd/>
        <w:snapToGrid/>
        <w:spacing w:line="560" w:lineRule="exact"/>
        <w:ind w:firstLine="54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1、采购文件获取方式：</w:t>
      </w:r>
    </w:p>
    <w:p w14:paraId="12C6E428">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lang w:eastAsia="zh-CN"/>
        </w:rPr>
      </w:pPr>
      <w:r>
        <w:rPr>
          <w:rFonts w:hint="eastAsia" w:ascii="仿宋" w:hAnsi="仿宋" w:eastAsia="仿宋" w:cs="Times New Roman"/>
          <w:color w:val="auto"/>
          <w:kern w:val="0"/>
          <w:sz w:val="28"/>
          <w:szCs w:val="28"/>
          <w:highlight w:val="none"/>
          <w:u w:color="000000"/>
        </w:rPr>
        <w:t>时间：202</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年</w:t>
      </w:r>
      <w:r>
        <w:rPr>
          <w:rFonts w:hint="eastAsia" w:ascii="仿宋" w:hAnsi="仿宋" w:eastAsia="仿宋" w:cs="Times New Roman"/>
          <w:color w:val="auto"/>
          <w:kern w:val="0"/>
          <w:sz w:val="28"/>
          <w:szCs w:val="28"/>
          <w:highlight w:val="none"/>
          <w:u w:color="000000"/>
          <w:lang w:val="en-US" w:eastAsia="zh-CN"/>
        </w:rPr>
        <w:t>7</w:t>
      </w:r>
      <w:r>
        <w:rPr>
          <w:rFonts w:hint="eastAsia" w:ascii="仿宋" w:hAnsi="仿宋" w:eastAsia="仿宋" w:cs="Times New Roman"/>
          <w:color w:val="auto"/>
          <w:kern w:val="0"/>
          <w:sz w:val="28"/>
          <w:szCs w:val="28"/>
          <w:highlight w:val="none"/>
          <w:u w:color="000000"/>
        </w:rPr>
        <w:t>月</w:t>
      </w:r>
      <w:r>
        <w:rPr>
          <w:rFonts w:hint="eastAsia" w:ascii="仿宋" w:hAnsi="仿宋" w:eastAsia="仿宋" w:cs="Times New Roman"/>
          <w:color w:val="auto"/>
          <w:kern w:val="0"/>
          <w:sz w:val="28"/>
          <w:szCs w:val="28"/>
          <w:highlight w:val="none"/>
          <w:u w:color="000000"/>
          <w:lang w:val="en-US" w:eastAsia="zh-CN"/>
        </w:rPr>
        <w:t>28</w:t>
      </w:r>
      <w:r>
        <w:rPr>
          <w:rFonts w:hint="eastAsia" w:ascii="仿宋" w:hAnsi="仿宋" w:eastAsia="仿宋" w:cs="Times New Roman"/>
          <w:color w:val="auto"/>
          <w:kern w:val="0"/>
          <w:sz w:val="28"/>
          <w:szCs w:val="28"/>
          <w:highlight w:val="none"/>
          <w:u w:color="000000"/>
        </w:rPr>
        <w:t>日至202</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年</w:t>
      </w:r>
      <w:r>
        <w:rPr>
          <w:rFonts w:hint="eastAsia" w:ascii="仿宋" w:hAnsi="仿宋" w:eastAsia="仿宋" w:cs="Times New Roman"/>
          <w:color w:val="auto"/>
          <w:kern w:val="0"/>
          <w:sz w:val="28"/>
          <w:szCs w:val="28"/>
          <w:highlight w:val="none"/>
          <w:u w:color="000000"/>
          <w:lang w:val="en-US" w:eastAsia="zh-CN"/>
        </w:rPr>
        <w:t>7</w:t>
      </w:r>
      <w:r>
        <w:rPr>
          <w:rFonts w:hint="eastAsia" w:ascii="仿宋" w:hAnsi="仿宋" w:eastAsia="仿宋" w:cs="Times New Roman"/>
          <w:color w:val="auto"/>
          <w:kern w:val="0"/>
          <w:sz w:val="28"/>
          <w:szCs w:val="28"/>
          <w:highlight w:val="none"/>
          <w:u w:color="000000"/>
          <w:lang w:eastAsia="zh-CN"/>
        </w:rPr>
        <w:t>月</w:t>
      </w:r>
      <w:r>
        <w:rPr>
          <w:rFonts w:hint="eastAsia" w:ascii="仿宋" w:hAnsi="仿宋" w:eastAsia="仿宋" w:cs="Times New Roman"/>
          <w:color w:val="auto"/>
          <w:kern w:val="0"/>
          <w:sz w:val="28"/>
          <w:szCs w:val="28"/>
          <w:highlight w:val="none"/>
          <w:u w:color="000000"/>
          <w:lang w:val="en-US" w:eastAsia="zh-CN"/>
        </w:rPr>
        <w:t>31</w:t>
      </w:r>
      <w:r>
        <w:rPr>
          <w:rFonts w:hint="eastAsia" w:ascii="仿宋" w:hAnsi="仿宋" w:eastAsia="仿宋" w:cs="Times New Roman"/>
          <w:color w:val="auto"/>
          <w:kern w:val="0"/>
          <w:sz w:val="28"/>
          <w:szCs w:val="28"/>
          <w:highlight w:val="none"/>
          <w:u w:color="000000"/>
          <w:lang w:eastAsia="zh-CN"/>
        </w:rPr>
        <w:t>日</w:t>
      </w:r>
    </w:p>
    <w:p w14:paraId="7C3865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left="0" w:right="0" w:firstLine="567"/>
        <w:jc w:val="left"/>
        <w:textAlignment w:val="auto"/>
        <w:rPr>
          <w:rFonts w:ascii="微软雅黑" w:hAnsi="微软雅黑" w:eastAsia="微软雅黑" w:cs="微软雅黑"/>
          <w:i w:val="0"/>
          <w:iCs w:val="0"/>
          <w:caps w:val="0"/>
          <w:color w:val="auto"/>
          <w:spacing w:val="0"/>
          <w:sz w:val="21"/>
          <w:szCs w:val="21"/>
          <w:highlight w:val="none"/>
        </w:rPr>
      </w:pPr>
      <w:r>
        <w:rPr>
          <w:rFonts w:ascii="仿宋" w:hAnsi="仿宋" w:eastAsia="仿宋" w:cs="仿宋"/>
          <w:i w:val="0"/>
          <w:iCs w:val="0"/>
          <w:caps w:val="0"/>
          <w:color w:val="auto"/>
          <w:spacing w:val="0"/>
          <w:kern w:val="0"/>
          <w:sz w:val="28"/>
          <w:szCs w:val="28"/>
          <w:highlight w:val="none"/>
          <w:shd w:val="clear" w:color="auto" w:fill="FFFFFF"/>
          <w:lang w:val="en-US" w:eastAsia="zh-CN" w:bidi="ar"/>
        </w:rPr>
        <w:t>地点：</w:t>
      </w: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请于公告发布之日起从滁州市机关事务管理处官网（</w:t>
      </w:r>
      <w:r>
        <w:rPr>
          <w:rFonts w:hint="eastAsia" w:ascii="仿宋" w:hAnsi="仿宋" w:eastAsia="仿宋" w:cs="仿宋"/>
          <w:i w:val="0"/>
          <w:iCs w:val="0"/>
          <w:caps w:val="0"/>
          <w:color w:val="auto"/>
          <w:spacing w:val="0"/>
          <w:sz w:val="28"/>
          <w:szCs w:val="28"/>
          <w:highlight w:val="none"/>
          <w:lang w:val="en-US" w:eastAsia="zh-CN"/>
        </w:rPr>
        <w:t>https://sgc.chuzhou.gov.cn/index.html</w:t>
      </w: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w:t>
      </w:r>
      <w:r>
        <w:rPr>
          <w:rFonts w:hint="eastAsia" w:ascii="仿宋" w:hAnsi="仿宋" w:eastAsia="仿宋" w:cs="仿宋"/>
          <w:color w:val="auto"/>
          <w:sz w:val="28"/>
          <w:szCs w:val="28"/>
          <w:highlight w:val="none"/>
        </w:rPr>
        <w:t>滁州市城投工程咨询管理有限公司（http</w:t>
      </w:r>
      <w:r>
        <w:rPr>
          <w:rFonts w:ascii="仿宋" w:hAnsi="仿宋" w:eastAsia="仿宋" w:cs="仿宋"/>
          <w:color w:val="auto"/>
          <w:sz w:val="28"/>
          <w:szCs w:val="28"/>
          <w:highlight w:val="none"/>
        </w:rPr>
        <w:t>s</w:t>
      </w:r>
      <w:r>
        <w:rPr>
          <w:rFonts w:hint="eastAsia" w:ascii="仿宋" w:hAnsi="仿宋" w:eastAsia="仿宋" w:cs="仿宋"/>
          <w:color w:val="auto"/>
          <w:sz w:val="28"/>
          <w:szCs w:val="28"/>
          <w:highlight w:val="none"/>
        </w:rPr>
        <w:t>://www.czctgczx.com/）网</w:t>
      </w:r>
      <w:r>
        <w:rPr>
          <w:rFonts w:hint="eastAsia" w:ascii="仿宋" w:hAnsi="仿宋" w:eastAsia="仿宋" w:cs="宋体"/>
          <w:color w:val="auto"/>
          <w:sz w:val="28"/>
          <w:szCs w:val="28"/>
          <w:highlight w:val="none"/>
        </w:rPr>
        <w:t>站</w:t>
      </w: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下载。供应商自行承担因未按要求获取采购文件导致无法递交响应文件的风险。</w:t>
      </w:r>
    </w:p>
    <w:bookmarkEnd w:id="10"/>
    <w:bookmarkEnd w:id="11"/>
    <w:bookmarkEnd w:id="12"/>
    <w:bookmarkEnd w:id="13"/>
    <w:p w14:paraId="2B23CD60">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bookmarkStart w:id="14" w:name="_Toc28359016"/>
      <w:bookmarkStart w:id="15" w:name="_Toc35393633"/>
      <w:bookmarkStart w:id="16" w:name="_Toc28359093"/>
      <w:bookmarkStart w:id="17" w:name="_Toc35393802"/>
      <w:r>
        <w:rPr>
          <w:rFonts w:hint="eastAsia" w:ascii="黑体" w:hAnsi="黑体" w:eastAsia="黑体" w:cs="黑体"/>
          <w:color w:val="auto"/>
          <w:kern w:val="0"/>
          <w:sz w:val="28"/>
          <w:szCs w:val="28"/>
          <w:highlight w:val="none"/>
          <w:u w:color="000000"/>
        </w:rPr>
        <w:t>四、响应文件提交</w:t>
      </w:r>
    </w:p>
    <w:p w14:paraId="4595FCAB">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截止时间：202</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年</w:t>
      </w:r>
      <w:r>
        <w:rPr>
          <w:rFonts w:hint="eastAsia" w:ascii="仿宋" w:hAnsi="仿宋" w:eastAsia="仿宋" w:cs="Times New Roman"/>
          <w:color w:val="auto"/>
          <w:kern w:val="0"/>
          <w:sz w:val="28"/>
          <w:szCs w:val="28"/>
          <w:highlight w:val="none"/>
          <w:u w:color="000000"/>
          <w:lang w:val="en-US" w:eastAsia="zh-CN"/>
        </w:rPr>
        <w:t>7</w:t>
      </w:r>
      <w:r>
        <w:rPr>
          <w:rFonts w:hint="eastAsia" w:ascii="仿宋" w:hAnsi="仿宋" w:eastAsia="仿宋" w:cs="Times New Roman"/>
          <w:color w:val="auto"/>
          <w:kern w:val="0"/>
          <w:sz w:val="28"/>
          <w:szCs w:val="28"/>
          <w:highlight w:val="none"/>
          <w:u w:color="000000"/>
          <w:lang w:eastAsia="zh-CN"/>
        </w:rPr>
        <w:t>月</w:t>
      </w:r>
      <w:r>
        <w:rPr>
          <w:rFonts w:hint="eastAsia" w:ascii="仿宋" w:hAnsi="仿宋" w:eastAsia="仿宋" w:cs="Times New Roman"/>
          <w:color w:val="auto"/>
          <w:kern w:val="0"/>
          <w:sz w:val="28"/>
          <w:szCs w:val="28"/>
          <w:highlight w:val="none"/>
          <w:u w:color="000000"/>
          <w:lang w:val="en-US" w:eastAsia="zh-CN"/>
        </w:rPr>
        <w:t>31</w:t>
      </w:r>
      <w:r>
        <w:rPr>
          <w:rFonts w:hint="eastAsia" w:ascii="仿宋" w:hAnsi="仿宋" w:eastAsia="仿宋" w:cs="Times New Roman"/>
          <w:color w:val="auto"/>
          <w:kern w:val="0"/>
          <w:sz w:val="28"/>
          <w:szCs w:val="28"/>
          <w:highlight w:val="none"/>
          <w:u w:color="000000"/>
          <w:lang w:eastAsia="zh-CN"/>
        </w:rPr>
        <w:t>日</w:t>
      </w:r>
      <w:r>
        <w:rPr>
          <w:rFonts w:hint="eastAsia" w:ascii="仿宋" w:hAnsi="仿宋" w:eastAsia="仿宋" w:cs="Times New Roman"/>
          <w:color w:val="auto"/>
          <w:kern w:val="0"/>
          <w:sz w:val="28"/>
          <w:szCs w:val="28"/>
          <w:highlight w:val="none"/>
          <w:u w:color="000000"/>
          <w:lang w:val="en-US" w:eastAsia="zh-CN"/>
        </w:rPr>
        <w:t>15</w:t>
      </w:r>
      <w:r>
        <w:rPr>
          <w:rFonts w:hint="eastAsia" w:ascii="仿宋" w:hAnsi="仿宋" w:eastAsia="仿宋" w:cs="Times New Roman"/>
          <w:color w:val="auto"/>
          <w:kern w:val="0"/>
          <w:sz w:val="28"/>
          <w:szCs w:val="28"/>
          <w:highlight w:val="none"/>
          <w:u w:color="000000"/>
        </w:rPr>
        <w:t>点00分（北京时间）（从</w:t>
      </w:r>
      <w:r>
        <w:rPr>
          <w:rFonts w:hint="eastAsia" w:ascii="仿宋" w:hAnsi="仿宋" w:eastAsia="仿宋" w:cs="Times New Roman"/>
          <w:color w:val="auto"/>
          <w:kern w:val="0"/>
          <w:sz w:val="28"/>
          <w:szCs w:val="28"/>
          <w:highlight w:val="none"/>
          <w:u w:color="000000"/>
          <w:lang w:eastAsia="zh-CN"/>
        </w:rPr>
        <w:t>询价采购文件</w:t>
      </w:r>
      <w:r>
        <w:rPr>
          <w:rFonts w:hint="eastAsia" w:ascii="仿宋" w:hAnsi="仿宋" w:eastAsia="仿宋" w:cs="Times New Roman"/>
          <w:color w:val="auto"/>
          <w:kern w:val="0"/>
          <w:sz w:val="28"/>
          <w:szCs w:val="28"/>
          <w:highlight w:val="none"/>
          <w:u w:color="000000"/>
        </w:rPr>
        <w:t>开始发出之日起至供应商提交响应文件截止之日止不得少于3个工作日）</w:t>
      </w:r>
    </w:p>
    <w:p w14:paraId="21C15A43">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lang w:val="en-US" w:eastAsia="zh-CN"/>
        </w:rPr>
        <w:t>递交地点：</w:t>
      </w:r>
      <w:r>
        <w:rPr>
          <w:rFonts w:hint="eastAsia" w:ascii="仿宋" w:hAnsi="仿宋" w:eastAsia="仿宋" w:cs="Times New Roman"/>
          <w:color w:val="auto"/>
          <w:kern w:val="0"/>
          <w:sz w:val="28"/>
          <w:szCs w:val="28"/>
          <w:highlight w:val="none"/>
          <w:u w:color="000000"/>
        </w:rPr>
        <w:t>滁州市龙蟠大道109号房产大厦</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楼</w:t>
      </w:r>
      <w:r>
        <w:rPr>
          <w:rFonts w:hint="eastAsia" w:ascii="仿宋" w:hAnsi="仿宋" w:eastAsia="仿宋" w:cs="Times New Roman"/>
          <w:color w:val="auto"/>
          <w:kern w:val="0"/>
          <w:sz w:val="28"/>
          <w:szCs w:val="28"/>
          <w:highlight w:val="none"/>
          <w:u w:color="000000"/>
          <w:lang w:val="en-US" w:eastAsia="zh-CN"/>
        </w:rPr>
        <w:t>603会议室</w:t>
      </w:r>
    </w:p>
    <w:p w14:paraId="01BF6DAE">
      <w:pPr>
        <w:pageBreakBefore w:val="0"/>
        <w:widowControl/>
        <w:kinsoku/>
        <w:overflowPunct/>
        <w:topLinePunct w:val="0"/>
        <w:autoSpaceDE/>
        <w:autoSpaceDN/>
        <w:bidi w:val="0"/>
        <w:adjustRightInd/>
        <w:snapToGrid/>
        <w:spacing w:line="560" w:lineRule="exact"/>
        <w:ind w:firstLine="560" w:firstLineChars="200"/>
        <w:textAlignment w:val="baseline"/>
        <w:rPr>
          <w:rFonts w:hint="default"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lang w:val="en-US" w:eastAsia="zh-CN"/>
        </w:rPr>
        <w:t>递交方式：现场递交</w:t>
      </w:r>
    </w:p>
    <w:bookmarkEnd w:id="14"/>
    <w:bookmarkEnd w:id="15"/>
    <w:bookmarkEnd w:id="16"/>
    <w:bookmarkEnd w:id="17"/>
    <w:p w14:paraId="13348A40">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bookmarkStart w:id="18" w:name="_Toc2396"/>
      <w:bookmarkStart w:id="19" w:name="_Toc14529"/>
      <w:r>
        <w:rPr>
          <w:rFonts w:hint="eastAsia" w:ascii="黑体" w:hAnsi="黑体" w:eastAsia="黑体" w:cs="黑体"/>
          <w:color w:val="auto"/>
          <w:kern w:val="0"/>
          <w:sz w:val="28"/>
          <w:szCs w:val="28"/>
          <w:highlight w:val="none"/>
          <w:u w:color="000000"/>
        </w:rPr>
        <w:t>五、开启</w:t>
      </w:r>
    </w:p>
    <w:p w14:paraId="28DBE574">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时间：202</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年</w:t>
      </w:r>
      <w:r>
        <w:rPr>
          <w:rFonts w:hint="eastAsia" w:ascii="仿宋" w:hAnsi="仿宋" w:eastAsia="仿宋" w:cs="Times New Roman"/>
          <w:color w:val="auto"/>
          <w:kern w:val="0"/>
          <w:sz w:val="28"/>
          <w:szCs w:val="28"/>
          <w:highlight w:val="none"/>
          <w:u w:color="000000"/>
          <w:lang w:val="en-US" w:eastAsia="zh-CN"/>
        </w:rPr>
        <w:t>7</w:t>
      </w:r>
      <w:r>
        <w:rPr>
          <w:rFonts w:hint="eastAsia" w:ascii="仿宋" w:hAnsi="仿宋" w:eastAsia="仿宋" w:cs="Times New Roman"/>
          <w:color w:val="auto"/>
          <w:kern w:val="0"/>
          <w:sz w:val="28"/>
          <w:szCs w:val="28"/>
          <w:highlight w:val="none"/>
          <w:u w:color="000000"/>
          <w:lang w:eastAsia="zh-CN"/>
        </w:rPr>
        <w:t>月</w:t>
      </w:r>
      <w:r>
        <w:rPr>
          <w:rFonts w:hint="eastAsia" w:ascii="仿宋" w:hAnsi="仿宋" w:eastAsia="仿宋" w:cs="Times New Roman"/>
          <w:color w:val="auto"/>
          <w:kern w:val="0"/>
          <w:sz w:val="28"/>
          <w:szCs w:val="28"/>
          <w:highlight w:val="none"/>
          <w:u w:color="000000"/>
          <w:lang w:val="en-US" w:eastAsia="zh-CN"/>
        </w:rPr>
        <w:t>31</w:t>
      </w:r>
      <w:r>
        <w:rPr>
          <w:rFonts w:hint="eastAsia" w:ascii="仿宋" w:hAnsi="仿宋" w:eastAsia="仿宋" w:cs="Times New Roman"/>
          <w:color w:val="auto"/>
          <w:kern w:val="0"/>
          <w:sz w:val="28"/>
          <w:szCs w:val="28"/>
          <w:highlight w:val="none"/>
          <w:u w:color="000000"/>
          <w:lang w:eastAsia="zh-CN"/>
        </w:rPr>
        <w:t>日</w:t>
      </w:r>
      <w:r>
        <w:rPr>
          <w:rFonts w:hint="eastAsia" w:ascii="仿宋" w:hAnsi="仿宋" w:eastAsia="仿宋" w:cs="Times New Roman"/>
          <w:color w:val="auto"/>
          <w:kern w:val="0"/>
          <w:sz w:val="28"/>
          <w:szCs w:val="28"/>
          <w:highlight w:val="none"/>
          <w:u w:color="000000"/>
          <w:lang w:val="en-US" w:eastAsia="zh-CN"/>
        </w:rPr>
        <w:t>15</w:t>
      </w:r>
      <w:r>
        <w:rPr>
          <w:rFonts w:hint="eastAsia" w:ascii="仿宋" w:hAnsi="仿宋" w:eastAsia="仿宋" w:cs="Times New Roman"/>
          <w:color w:val="auto"/>
          <w:kern w:val="0"/>
          <w:sz w:val="28"/>
          <w:szCs w:val="28"/>
          <w:highlight w:val="none"/>
          <w:u w:color="000000"/>
        </w:rPr>
        <w:t>点00分（北京时间）</w:t>
      </w:r>
    </w:p>
    <w:p w14:paraId="1606A5B4">
      <w:pPr>
        <w:keepNext w:val="0"/>
        <w:keepLines w:val="0"/>
        <w:pageBreakBefore w:val="0"/>
        <w:widowControl/>
        <w:kinsoku/>
        <w:wordWrap w:val="0"/>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地点：滁州市龙蟠大道109号房产大厦</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楼</w:t>
      </w:r>
      <w:r>
        <w:rPr>
          <w:rFonts w:hint="eastAsia" w:ascii="仿宋" w:hAnsi="仿宋" w:eastAsia="仿宋" w:cs="Times New Roman"/>
          <w:color w:val="auto"/>
          <w:kern w:val="0"/>
          <w:sz w:val="28"/>
          <w:szCs w:val="28"/>
          <w:highlight w:val="none"/>
          <w:u w:color="000000"/>
          <w:lang w:val="en-US" w:eastAsia="zh-CN"/>
        </w:rPr>
        <w:t>603会议室</w:t>
      </w: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w:t>
      </w:r>
    </w:p>
    <w:p w14:paraId="52E0962F">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r>
        <w:rPr>
          <w:rFonts w:hint="eastAsia" w:ascii="黑体" w:hAnsi="黑体" w:eastAsia="黑体" w:cs="黑体"/>
          <w:color w:val="auto"/>
          <w:kern w:val="0"/>
          <w:sz w:val="28"/>
          <w:szCs w:val="28"/>
          <w:highlight w:val="none"/>
          <w:u w:color="000000"/>
        </w:rPr>
        <w:t>六、公告期限</w:t>
      </w:r>
    </w:p>
    <w:p w14:paraId="41B0BEF5">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自本公告发布之日起3个工作日。</w:t>
      </w:r>
    </w:p>
    <w:bookmarkEnd w:id="18"/>
    <w:bookmarkEnd w:id="19"/>
    <w:p w14:paraId="757B4810">
      <w:pPr>
        <w:keepNext/>
        <w:keepLines/>
        <w:pageBreakBefore w:val="0"/>
        <w:kinsoku/>
        <w:overflowPunct/>
        <w:topLinePunct w:val="0"/>
        <w:autoSpaceDE/>
        <w:autoSpaceDN/>
        <w:bidi w:val="0"/>
        <w:adjustRightInd/>
        <w:snapToGrid/>
        <w:spacing w:before="260" w:after="260" w:line="560" w:lineRule="exact"/>
        <w:rPr>
          <w:rFonts w:ascii="黑体" w:hAnsi="黑体" w:eastAsia="黑体" w:cs="黑体"/>
          <w:color w:val="auto"/>
          <w:kern w:val="0"/>
          <w:sz w:val="28"/>
          <w:szCs w:val="28"/>
          <w:highlight w:val="none"/>
          <w:u w:color="000000"/>
        </w:rPr>
      </w:pPr>
      <w:r>
        <w:rPr>
          <w:rFonts w:hint="eastAsia" w:ascii="黑体" w:hAnsi="黑体" w:eastAsia="黑体" w:cs="黑体"/>
          <w:color w:val="auto"/>
          <w:kern w:val="0"/>
          <w:sz w:val="28"/>
          <w:szCs w:val="28"/>
          <w:highlight w:val="none"/>
          <w:u w:color="000000"/>
        </w:rPr>
        <w:t>七、凡对本次采购提出询问，请按以下方式联系</w:t>
      </w:r>
    </w:p>
    <w:p w14:paraId="37C44C40">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1.采购人信息</w:t>
      </w:r>
    </w:p>
    <w:p w14:paraId="154415E0">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名  称：</w:t>
      </w:r>
      <w:r>
        <w:rPr>
          <w:rFonts w:hint="eastAsia" w:ascii="仿宋" w:hAnsi="仿宋" w:eastAsia="仿宋" w:cs="Times New Roman"/>
          <w:color w:val="auto"/>
          <w:kern w:val="0"/>
          <w:sz w:val="28"/>
          <w:szCs w:val="28"/>
          <w:highlight w:val="none"/>
          <w:u w:color="000000"/>
          <w:lang w:val="en-US" w:eastAsia="zh-CN"/>
        </w:rPr>
        <w:t>滁州市市直机关卫生所</w:t>
      </w:r>
    </w:p>
    <w:p w14:paraId="3B19EE6D">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地  址：滁州市南谯区龙蟠大道99号市政务中心南一楼</w:t>
      </w:r>
    </w:p>
    <w:p w14:paraId="62192710">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rPr>
        <w:t>联系人：</w:t>
      </w:r>
      <w:r>
        <w:rPr>
          <w:rFonts w:hint="eastAsia" w:ascii="仿宋" w:hAnsi="仿宋" w:eastAsia="仿宋" w:cs="Times New Roman"/>
          <w:color w:val="auto"/>
          <w:kern w:val="0"/>
          <w:sz w:val="28"/>
          <w:szCs w:val="28"/>
          <w:highlight w:val="none"/>
          <w:u w:color="000000"/>
          <w:lang w:val="en-US" w:eastAsia="zh-CN"/>
        </w:rPr>
        <w:t xml:space="preserve">刘所长   </w:t>
      </w:r>
    </w:p>
    <w:p w14:paraId="39D6B4EA">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rPr>
        <w:t>联系方式：</w:t>
      </w:r>
      <w:r>
        <w:rPr>
          <w:rFonts w:hint="eastAsia" w:ascii="仿宋" w:hAnsi="仿宋" w:eastAsia="仿宋" w:cs="Times New Roman"/>
          <w:color w:val="auto"/>
          <w:kern w:val="0"/>
          <w:sz w:val="28"/>
          <w:szCs w:val="28"/>
          <w:highlight w:val="none"/>
          <w:u w:color="000000"/>
          <w:lang w:val="en-US" w:eastAsia="zh-CN"/>
        </w:rPr>
        <w:t>0550-2166575</w:t>
      </w:r>
    </w:p>
    <w:p w14:paraId="2B70A482">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2.代理机构信息</w:t>
      </w:r>
    </w:p>
    <w:p w14:paraId="480F2D1D">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名称：</w:t>
      </w:r>
      <w:r>
        <w:rPr>
          <w:rFonts w:hint="eastAsia" w:ascii="仿宋" w:hAnsi="仿宋" w:eastAsia="仿宋" w:cs="Times New Roman"/>
          <w:color w:val="auto"/>
          <w:kern w:val="0"/>
          <w:sz w:val="28"/>
          <w:szCs w:val="28"/>
          <w:highlight w:val="none"/>
          <w:u w:color="000000"/>
          <w:lang w:val="en-US" w:eastAsia="zh-CN"/>
        </w:rPr>
        <w:t>滁州市城投工程咨询管理有限公司</w:t>
      </w:r>
    </w:p>
    <w:p w14:paraId="5FD5A788">
      <w:pPr>
        <w:pageBreakBefore w:val="0"/>
        <w:widowControl/>
        <w:kinsoku/>
        <w:overflowPunct/>
        <w:topLinePunct w:val="0"/>
        <w:autoSpaceDE/>
        <w:autoSpaceDN/>
        <w:bidi w:val="0"/>
        <w:adjustRightInd/>
        <w:snapToGrid/>
        <w:spacing w:line="560" w:lineRule="exact"/>
        <w:ind w:firstLine="560" w:firstLineChars="200"/>
        <w:textAlignment w:val="baseline"/>
        <w:rPr>
          <w:rFonts w:ascii="仿宋" w:hAnsi="仿宋" w:eastAsia="仿宋" w:cs="Times New Roman"/>
          <w:color w:val="auto"/>
          <w:kern w:val="0"/>
          <w:sz w:val="28"/>
          <w:szCs w:val="28"/>
          <w:highlight w:val="none"/>
          <w:u w:color="000000"/>
        </w:rPr>
      </w:pPr>
      <w:r>
        <w:rPr>
          <w:rFonts w:hint="eastAsia" w:ascii="仿宋" w:hAnsi="仿宋" w:eastAsia="仿宋" w:cs="Times New Roman"/>
          <w:color w:val="auto"/>
          <w:kern w:val="0"/>
          <w:sz w:val="28"/>
          <w:szCs w:val="28"/>
          <w:highlight w:val="none"/>
          <w:u w:color="000000"/>
        </w:rPr>
        <w:t>地址：滁州市龙蟠大道109号房产大厦</w:t>
      </w:r>
      <w:r>
        <w:rPr>
          <w:rFonts w:hint="eastAsia" w:ascii="仿宋" w:hAnsi="仿宋" w:eastAsia="仿宋" w:cs="Times New Roman"/>
          <w:color w:val="auto"/>
          <w:kern w:val="0"/>
          <w:sz w:val="28"/>
          <w:szCs w:val="28"/>
          <w:highlight w:val="none"/>
          <w:u w:color="000000"/>
          <w:lang w:val="en-US" w:eastAsia="zh-CN"/>
        </w:rPr>
        <w:t>6</w:t>
      </w:r>
      <w:r>
        <w:rPr>
          <w:rFonts w:hint="eastAsia" w:ascii="仿宋" w:hAnsi="仿宋" w:eastAsia="仿宋" w:cs="Times New Roman"/>
          <w:color w:val="auto"/>
          <w:kern w:val="0"/>
          <w:sz w:val="28"/>
          <w:szCs w:val="28"/>
          <w:highlight w:val="none"/>
          <w:u w:color="000000"/>
        </w:rPr>
        <w:t>楼</w:t>
      </w:r>
    </w:p>
    <w:p w14:paraId="720A5FC6">
      <w:pPr>
        <w:pageBreakBefore w:val="0"/>
        <w:widowControl/>
        <w:kinsoku/>
        <w:overflowPunct/>
        <w:topLinePunct w:val="0"/>
        <w:autoSpaceDE/>
        <w:autoSpaceDN/>
        <w:bidi w:val="0"/>
        <w:adjustRightInd/>
        <w:snapToGrid/>
        <w:spacing w:line="560" w:lineRule="exact"/>
        <w:ind w:firstLine="560" w:firstLineChars="200"/>
        <w:textAlignment w:val="baseline"/>
        <w:rPr>
          <w:rFonts w:hint="eastAsia" w:ascii="仿宋" w:hAnsi="仿宋" w:eastAsia="仿宋" w:cs="Times New Roman"/>
          <w:color w:val="auto"/>
          <w:kern w:val="0"/>
          <w:sz w:val="28"/>
          <w:szCs w:val="28"/>
          <w:highlight w:val="none"/>
          <w:u w:color="000000"/>
          <w:lang w:eastAsia="zh-CN"/>
        </w:rPr>
      </w:pPr>
      <w:r>
        <w:rPr>
          <w:rFonts w:hint="eastAsia" w:ascii="仿宋" w:hAnsi="仿宋" w:eastAsia="仿宋" w:cs="Times New Roman"/>
          <w:color w:val="auto"/>
          <w:kern w:val="0"/>
          <w:sz w:val="28"/>
          <w:szCs w:val="28"/>
          <w:highlight w:val="none"/>
          <w:u w:color="000000"/>
        </w:rPr>
        <w:t>联系人：</w:t>
      </w:r>
      <w:r>
        <w:rPr>
          <w:rFonts w:hint="eastAsia" w:ascii="仿宋" w:hAnsi="仿宋" w:eastAsia="仿宋" w:cs="Times New Roman"/>
          <w:color w:val="auto"/>
          <w:kern w:val="0"/>
          <w:sz w:val="28"/>
          <w:szCs w:val="28"/>
          <w:highlight w:val="none"/>
          <w:u w:color="000000"/>
          <w:lang w:val="en-US" w:eastAsia="zh-CN"/>
        </w:rPr>
        <w:t>关勤勤</w:t>
      </w:r>
    </w:p>
    <w:p w14:paraId="6B33E05F">
      <w:pPr>
        <w:pageBreakBefore w:val="0"/>
        <w:widowControl/>
        <w:kinsoku/>
        <w:overflowPunct/>
        <w:topLinePunct w:val="0"/>
        <w:autoSpaceDE/>
        <w:autoSpaceDN/>
        <w:bidi w:val="0"/>
        <w:adjustRightInd/>
        <w:snapToGrid/>
        <w:spacing w:line="560" w:lineRule="exact"/>
        <w:ind w:firstLine="560" w:firstLineChars="200"/>
        <w:textAlignment w:val="baseline"/>
        <w:rPr>
          <w:rFonts w:hint="default" w:ascii="仿宋" w:hAnsi="仿宋" w:eastAsia="仿宋" w:cs="Times New Roman"/>
          <w:color w:val="auto"/>
          <w:kern w:val="0"/>
          <w:sz w:val="28"/>
          <w:szCs w:val="28"/>
          <w:highlight w:val="none"/>
          <w:u w:color="000000"/>
          <w:lang w:val="en-US" w:eastAsia="zh-CN"/>
        </w:rPr>
      </w:pPr>
      <w:r>
        <w:rPr>
          <w:rFonts w:hint="eastAsia" w:ascii="仿宋" w:hAnsi="仿宋" w:eastAsia="仿宋" w:cs="Times New Roman"/>
          <w:color w:val="auto"/>
          <w:kern w:val="0"/>
          <w:sz w:val="28"/>
          <w:szCs w:val="28"/>
          <w:highlight w:val="none"/>
          <w:u w:color="000000"/>
        </w:rPr>
        <w:t>联系方式：</w:t>
      </w:r>
      <w:r>
        <w:rPr>
          <w:rFonts w:hint="eastAsia" w:ascii="仿宋" w:hAnsi="仿宋" w:eastAsia="仿宋" w:cs="Times New Roman"/>
          <w:color w:val="auto"/>
          <w:kern w:val="0"/>
          <w:sz w:val="28"/>
          <w:szCs w:val="28"/>
          <w:highlight w:val="none"/>
          <w:u w:color="000000"/>
          <w:lang w:val="en-US" w:eastAsia="zh-CN"/>
        </w:rPr>
        <w:t>18909605753</w:t>
      </w:r>
    </w:p>
    <w:p w14:paraId="16827CE3">
      <w:pPr>
        <w:spacing w:line="360" w:lineRule="auto"/>
        <w:ind w:firstLine="435"/>
        <w:rPr>
          <w:rFonts w:asciiTheme="minorEastAsia" w:hAnsiTheme="minorEastAsia" w:eastAsiaTheme="minorEastAsia"/>
          <w:color w:val="auto"/>
          <w:sz w:val="24"/>
          <w:szCs w:val="18"/>
          <w:highlight w:val="none"/>
        </w:rPr>
      </w:pPr>
      <w:r>
        <w:rPr>
          <w:rFonts w:asciiTheme="minorEastAsia" w:hAnsiTheme="minorEastAsia" w:eastAsiaTheme="minorEastAsia"/>
          <w:color w:val="auto"/>
          <w:sz w:val="24"/>
          <w:szCs w:val="18"/>
          <w:highlight w:val="none"/>
        </w:rPr>
        <w:br w:type="page"/>
      </w:r>
    </w:p>
    <w:p w14:paraId="0908EE81">
      <w:pPr>
        <w:spacing w:line="360" w:lineRule="auto"/>
        <w:jc w:val="center"/>
        <w:outlineLvl w:val="0"/>
        <w:rPr>
          <w:rFonts w:asciiTheme="minorEastAsia" w:hAnsiTheme="minorEastAsia" w:eastAsiaTheme="minorEastAsia"/>
          <w:b/>
          <w:color w:val="auto"/>
          <w:sz w:val="28"/>
          <w:highlight w:val="none"/>
        </w:rPr>
      </w:pPr>
      <w:bookmarkStart w:id="20" w:name="_Toc319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0"/>
    </w:p>
    <w:p w14:paraId="4599502F">
      <w:pPr>
        <w:spacing w:line="360" w:lineRule="auto"/>
        <w:jc w:val="center"/>
        <w:outlineLvl w:val="1"/>
        <w:rPr>
          <w:rFonts w:asciiTheme="minorEastAsia" w:hAnsiTheme="minorEastAsia" w:eastAsiaTheme="minorEastAsia"/>
          <w:b/>
          <w:color w:val="auto"/>
          <w:sz w:val="24"/>
          <w:highlight w:val="none"/>
        </w:rPr>
      </w:pPr>
      <w:bookmarkStart w:id="21" w:name="_Toc5571"/>
      <w:bookmarkStart w:id="22" w:name="_Toc12172"/>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1"/>
      <w:bookmarkEnd w:id="22"/>
    </w:p>
    <w:p w14:paraId="24B1E9B3">
      <w:pPr>
        <w:spacing w:line="360" w:lineRule="auto"/>
        <w:ind w:firstLine="435"/>
        <w:rPr>
          <w:rFonts w:asciiTheme="minorEastAsia" w:hAnsiTheme="minorEastAsia" w:eastAsiaTheme="minorEastAsia"/>
          <w:color w:val="auto"/>
          <w:sz w:val="24"/>
          <w:szCs w:val="18"/>
          <w:highlight w:val="none"/>
        </w:rPr>
      </w:pPr>
      <w:r>
        <w:rPr>
          <w:rFonts w:hint="eastAsia" w:asciiTheme="minorEastAsia" w:hAnsiTheme="minorEastAsia" w:eastAsiaTheme="minorEastAsia"/>
          <w:b/>
          <w:bCs/>
          <w:color w:val="auto"/>
          <w:sz w:val="24"/>
          <w:szCs w:val="18"/>
          <w:highlight w:val="none"/>
        </w:rPr>
        <w:t>注：</w:t>
      </w:r>
      <w:r>
        <w:rPr>
          <w:rFonts w:hint="eastAsia" w:asciiTheme="minorEastAsia" w:hAnsiTheme="minorEastAsia" w:eastAsiaTheme="minorEastAsia"/>
          <w:color w:val="auto"/>
          <w:sz w:val="24"/>
          <w:szCs w:val="18"/>
          <w:highlight w:val="none"/>
        </w:rPr>
        <w:t>本表是本项目的具体要求，是对供应商须知的具体补充和修改，如有不一致，以本表为准。</w:t>
      </w:r>
    </w:p>
    <w:tbl>
      <w:tblPr>
        <w:tblStyle w:val="27"/>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2028"/>
        <w:gridCol w:w="6335"/>
      </w:tblGrid>
      <w:tr w14:paraId="33BF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2CD61335">
            <w:pPr>
              <w:pStyle w:val="46"/>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条款号</w:t>
            </w:r>
          </w:p>
        </w:tc>
        <w:tc>
          <w:tcPr>
            <w:tcW w:w="2028" w:type="dxa"/>
            <w:vAlign w:val="center"/>
          </w:tcPr>
          <w:p w14:paraId="310CEF3D">
            <w:pPr>
              <w:pStyle w:val="46"/>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条款名称</w:t>
            </w:r>
          </w:p>
        </w:tc>
        <w:tc>
          <w:tcPr>
            <w:tcW w:w="6335" w:type="dxa"/>
            <w:vAlign w:val="center"/>
          </w:tcPr>
          <w:p w14:paraId="211CCF1D">
            <w:pPr>
              <w:pStyle w:val="46"/>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内容、说明与要求</w:t>
            </w:r>
          </w:p>
        </w:tc>
      </w:tr>
      <w:tr w14:paraId="0DBD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095" w:type="dxa"/>
            <w:vAlign w:val="center"/>
          </w:tcPr>
          <w:p w14:paraId="194BEE16">
            <w:pPr>
              <w:pStyle w:val="47"/>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28" w:type="dxa"/>
            <w:vAlign w:val="center"/>
          </w:tcPr>
          <w:p w14:paraId="77C1282C">
            <w:pPr>
              <w:pStyle w:val="46"/>
              <w:widowControl w:val="0"/>
              <w:spacing w:before="0" w:beforeAutospacing="0" w:after="0" w:afterAutospacing="0" w:line="360" w:lineRule="auto"/>
              <w:jc w:val="left"/>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现场考察或标前答疑会</w:t>
            </w:r>
          </w:p>
        </w:tc>
        <w:tc>
          <w:tcPr>
            <w:tcW w:w="6335" w:type="dxa"/>
            <w:vAlign w:val="center"/>
          </w:tcPr>
          <w:p w14:paraId="25C3DB22">
            <w:pPr>
              <w:spacing w:line="360" w:lineRule="auto"/>
              <w:rPr>
                <w:rFonts w:asciiTheme="minorEastAsia" w:hAnsiTheme="minorEastAsia" w:eastAsiaTheme="minorEastAsia"/>
                <w:b w:val="0"/>
                <w:color w:val="auto"/>
                <w:sz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highlight w:val="none"/>
              </w:rPr>
              <w:t>不组织或不召开</w:t>
            </w:r>
          </w:p>
        </w:tc>
      </w:tr>
      <w:tr w14:paraId="0B2C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54414E59">
            <w:pPr>
              <w:pStyle w:val="47"/>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6</w:t>
            </w:r>
            <w:r>
              <w:rPr>
                <w:rFonts w:asciiTheme="minorEastAsia" w:hAnsiTheme="minorEastAsia" w:eastAsiaTheme="minorEastAsia"/>
                <w:bCs/>
                <w:color w:val="auto"/>
                <w:kern w:val="2"/>
                <w:highlight w:val="none"/>
              </w:rPr>
              <w:t>.1</w:t>
            </w:r>
          </w:p>
        </w:tc>
        <w:tc>
          <w:tcPr>
            <w:tcW w:w="2028" w:type="dxa"/>
            <w:vAlign w:val="center"/>
          </w:tcPr>
          <w:p w14:paraId="178568A5">
            <w:pPr>
              <w:pStyle w:val="46"/>
              <w:widowControl w:val="0"/>
              <w:spacing w:before="0" w:beforeAutospacing="0" w:after="0" w:afterAutospacing="0"/>
              <w:jc w:val="left"/>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询问截止时间</w:t>
            </w:r>
          </w:p>
        </w:tc>
        <w:tc>
          <w:tcPr>
            <w:tcW w:w="6335" w:type="dxa"/>
            <w:vAlign w:val="center"/>
          </w:tcPr>
          <w:p w14:paraId="6B6DDCC5">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rPr>
              <w:t>202</w:t>
            </w:r>
            <w:r>
              <w:rPr>
                <w:rFonts w:hint="eastAsia" w:asciiTheme="minorEastAsia" w:hAnsiTheme="minorEastAsia" w:eastAsiaTheme="minorEastAsia"/>
                <w:b w:val="0"/>
                <w:color w:val="auto"/>
                <w:sz w:val="24"/>
                <w:highlight w:val="none"/>
                <w:u w:val="single"/>
                <w:lang w:val="en-US" w:eastAsia="zh-CN"/>
              </w:rPr>
              <w:t>6</w:t>
            </w:r>
            <w:r>
              <w:rPr>
                <w:rFonts w:asciiTheme="minorEastAsia" w:hAnsiTheme="minorEastAsia" w:eastAsiaTheme="minorEastAsia"/>
                <w:b w:val="0"/>
                <w:color w:val="auto"/>
                <w:sz w:val="24"/>
                <w:highlight w:val="none"/>
              </w:rPr>
              <w:t>年</w:t>
            </w:r>
            <w:r>
              <w:rPr>
                <w:rFonts w:hint="eastAsia"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7</w:t>
            </w:r>
            <w:r>
              <w:rPr>
                <w:rFonts w:asciiTheme="minorEastAsia" w:hAnsiTheme="minorEastAsia" w:eastAsiaTheme="minorEastAsia"/>
                <w:b w:val="0"/>
                <w:color w:val="auto"/>
                <w:sz w:val="24"/>
                <w:highlight w:val="none"/>
              </w:rPr>
              <w:t>月</w:t>
            </w:r>
            <w:r>
              <w:rPr>
                <w:rFonts w:hint="eastAsia" w:asciiTheme="minorEastAsia" w:hAnsiTheme="minorEastAsia" w:eastAsiaTheme="minorEastAsia"/>
                <w:b w:val="0"/>
                <w:color w:val="auto"/>
                <w:sz w:val="24"/>
                <w:highlight w:val="none"/>
                <w:u w:val="single"/>
                <w:lang w:val="en-US" w:eastAsia="zh-CN"/>
              </w:rPr>
              <w:t>30</w:t>
            </w:r>
            <w:r>
              <w:rPr>
                <w:rFonts w:asciiTheme="minorEastAsia" w:hAnsiTheme="minorEastAsia" w:eastAsiaTheme="minorEastAsia"/>
                <w:b w:val="0"/>
                <w:color w:val="auto"/>
                <w:sz w:val="24"/>
                <w:highlight w:val="none"/>
              </w:rPr>
              <w:t>日</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rPr>
              <w:t>17</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时</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rPr>
              <w:t>30</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rPr>
              <w:t>分</w:t>
            </w:r>
          </w:p>
        </w:tc>
      </w:tr>
      <w:tr w14:paraId="235A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Merge w:val="restart"/>
            <w:vAlign w:val="center"/>
          </w:tcPr>
          <w:p w14:paraId="7875D918">
            <w:pPr>
              <w:pStyle w:val="47"/>
              <w:pBdr>
                <w:bottom w:val="none" w:color="auto" w:sz="0" w:space="0"/>
              </w:pBdr>
              <w:tabs>
                <w:tab w:val="clear" w:pos="4153"/>
                <w:tab w:val="clear" w:pos="8306"/>
              </w:tabs>
              <w:adjustRightInd/>
              <w:spacing w:line="240" w:lineRule="auto"/>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7.1</w:t>
            </w:r>
          </w:p>
        </w:tc>
        <w:tc>
          <w:tcPr>
            <w:tcW w:w="2028" w:type="dxa"/>
            <w:vMerge w:val="restart"/>
            <w:vAlign w:val="center"/>
          </w:tcPr>
          <w:p w14:paraId="7D10E877">
            <w:pPr>
              <w:pStyle w:val="46"/>
              <w:widowControl w:val="0"/>
              <w:spacing w:before="0" w:beforeAutospacing="0" w:after="0" w:afterAutospacing="0" w:line="360" w:lineRule="auto"/>
              <w:jc w:val="left"/>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包别划分</w:t>
            </w:r>
          </w:p>
        </w:tc>
        <w:tc>
          <w:tcPr>
            <w:tcW w:w="6335" w:type="dxa"/>
            <w:vAlign w:val="center"/>
          </w:tcPr>
          <w:p w14:paraId="2E08DC0E">
            <w:pPr>
              <w:pStyle w:val="46"/>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☑不分包     □分为/个包</w:t>
            </w:r>
          </w:p>
        </w:tc>
      </w:tr>
      <w:tr w14:paraId="019D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Merge w:val="continue"/>
            <w:vAlign w:val="center"/>
          </w:tcPr>
          <w:p w14:paraId="4218D744">
            <w:pPr>
              <w:pStyle w:val="47"/>
              <w:pBdr>
                <w:bottom w:val="none" w:color="auto" w:sz="0" w:space="0"/>
              </w:pBdr>
              <w:tabs>
                <w:tab w:val="clear" w:pos="4153"/>
                <w:tab w:val="clear" w:pos="8306"/>
              </w:tabs>
              <w:adjustRightInd/>
              <w:spacing w:line="240" w:lineRule="auto"/>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p>
        </w:tc>
        <w:tc>
          <w:tcPr>
            <w:tcW w:w="2028" w:type="dxa"/>
            <w:vMerge w:val="continue"/>
            <w:vAlign w:val="center"/>
          </w:tcPr>
          <w:p w14:paraId="7F7FFA4B">
            <w:pPr>
              <w:pStyle w:val="46"/>
              <w:widowControl w:val="0"/>
              <w:spacing w:before="0" w:beforeAutospacing="0" w:after="0" w:afterAutospacing="0" w:line="360" w:lineRule="auto"/>
              <w:rPr>
                <w:rFonts w:hint="eastAsia" w:cs="@仿宋_GB2312" w:asciiTheme="minorEastAsia" w:hAnsiTheme="minorEastAsia" w:eastAsiaTheme="minorEastAsia"/>
                <w:b w:val="0"/>
                <w:bCs/>
                <w:color w:val="auto"/>
                <w:kern w:val="0"/>
                <w:sz w:val="24"/>
                <w:szCs w:val="28"/>
                <w:highlight w:val="none"/>
                <w:lang w:val="en-US" w:eastAsia="zh-CN" w:bidi="ar-SA"/>
              </w:rPr>
            </w:pPr>
          </w:p>
        </w:tc>
        <w:tc>
          <w:tcPr>
            <w:tcW w:w="6335" w:type="dxa"/>
            <w:vAlign w:val="center"/>
          </w:tcPr>
          <w:p w14:paraId="0CEFBECC">
            <w:pPr>
              <w:pStyle w:val="46"/>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 xml:space="preserve">供应商对多个包进行报价的成交包数规定：  /        </w:t>
            </w:r>
          </w:p>
        </w:tc>
      </w:tr>
      <w:tr w14:paraId="0FE7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95" w:type="dxa"/>
            <w:vAlign w:val="center"/>
          </w:tcPr>
          <w:p w14:paraId="39FAC378">
            <w:pPr>
              <w:pStyle w:val="47"/>
              <w:pBdr>
                <w:bottom w:val="none" w:color="auto" w:sz="0" w:space="0"/>
              </w:pBdr>
              <w:tabs>
                <w:tab w:val="clear" w:pos="4153"/>
                <w:tab w:val="clear" w:pos="8306"/>
              </w:tabs>
              <w:adjustRightInd/>
              <w:spacing w:line="240" w:lineRule="auto"/>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10.1</w:t>
            </w:r>
          </w:p>
        </w:tc>
        <w:tc>
          <w:tcPr>
            <w:tcW w:w="2028" w:type="dxa"/>
            <w:vAlign w:val="center"/>
          </w:tcPr>
          <w:p w14:paraId="79FC6349">
            <w:pPr>
              <w:pStyle w:val="46"/>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询价有效期</w:t>
            </w:r>
          </w:p>
        </w:tc>
        <w:tc>
          <w:tcPr>
            <w:tcW w:w="6335" w:type="dxa"/>
            <w:vAlign w:val="center"/>
          </w:tcPr>
          <w:p w14:paraId="6094F451">
            <w:pPr>
              <w:pStyle w:val="46"/>
              <w:widowControl w:val="0"/>
              <w:spacing w:before="0" w:beforeAutospacing="0" w:after="0" w:afterAutospacing="0" w:line="360" w:lineRule="auto"/>
              <w:jc w:val="both"/>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 xml:space="preserve"> 90日历日</w:t>
            </w:r>
          </w:p>
        </w:tc>
      </w:tr>
      <w:tr w14:paraId="2238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19B369F2">
            <w:pPr>
              <w:pStyle w:val="47"/>
              <w:pBdr>
                <w:bottom w:val="none" w:color="auto" w:sz="0" w:space="0"/>
              </w:pBdr>
              <w:tabs>
                <w:tab w:val="clear" w:pos="4153"/>
                <w:tab w:val="clear" w:pos="8306"/>
              </w:tabs>
              <w:adjustRightInd/>
              <w:spacing w:line="240" w:lineRule="auto"/>
              <w:textAlignment w:val="auto"/>
              <w:rPr>
                <w:rFonts w:hint="default"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11.1.1</w:t>
            </w:r>
          </w:p>
        </w:tc>
        <w:tc>
          <w:tcPr>
            <w:tcW w:w="2028" w:type="dxa"/>
            <w:vAlign w:val="center"/>
          </w:tcPr>
          <w:p w14:paraId="24E3C199">
            <w:pPr>
              <w:widowControl/>
              <w:spacing w:line="320" w:lineRule="exact"/>
              <w:jc w:val="left"/>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响应文件份数</w:t>
            </w:r>
          </w:p>
        </w:tc>
        <w:tc>
          <w:tcPr>
            <w:tcW w:w="6335" w:type="dxa"/>
            <w:vAlign w:val="center"/>
          </w:tcPr>
          <w:p w14:paraId="383E7214">
            <w:pPr>
              <w:widowControl/>
              <w:spacing w:line="320" w:lineRule="exact"/>
              <w:jc w:val="left"/>
              <w:rPr>
                <w:rFonts w:hint="eastAsia" w:cs="@仿宋_GB2312" w:asciiTheme="minorEastAsia" w:hAnsiTheme="minorEastAsia" w:eastAsiaTheme="minorEastAsia"/>
                <w:b/>
                <w:bCs w:val="0"/>
                <w:color w:val="auto"/>
                <w:kern w:val="0"/>
                <w:sz w:val="24"/>
                <w:szCs w:val="28"/>
                <w:highlight w:val="none"/>
                <w:lang w:val="en-US" w:eastAsia="zh-CN" w:bidi="ar-SA"/>
              </w:rPr>
            </w:pPr>
            <w:r>
              <w:rPr>
                <w:rFonts w:hint="eastAsia" w:cs="@仿宋_GB2312" w:asciiTheme="minorEastAsia" w:hAnsiTheme="minorEastAsia" w:eastAsiaTheme="minorEastAsia"/>
                <w:b/>
                <w:bCs w:val="0"/>
                <w:color w:val="auto"/>
                <w:kern w:val="0"/>
                <w:sz w:val="24"/>
                <w:szCs w:val="28"/>
                <w:highlight w:val="none"/>
                <w:lang w:val="en-US" w:eastAsia="zh-CN" w:bidi="ar-SA"/>
              </w:rPr>
              <w:t>正本1份、副本2份。</w:t>
            </w:r>
          </w:p>
        </w:tc>
      </w:tr>
      <w:tr w14:paraId="0C60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52319D6B">
            <w:pPr>
              <w:pStyle w:val="47"/>
              <w:pBdr>
                <w:bottom w:val="none" w:color="auto" w:sz="0" w:space="0"/>
              </w:pBdr>
              <w:tabs>
                <w:tab w:val="clear" w:pos="4153"/>
                <w:tab w:val="clear" w:pos="8306"/>
              </w:tabs>
              <w:adjustRightInd/>
              <w:spacing w:line="240" w:lineRule="auto"/>
              <w:textAlignment w:val="auto"/>
              <w:rPr>
                <w:rFonts w:hint="default"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11.2.2</w:t>
            </w:r>
          </w:p>
        </w:tc>
        <w:tc>
          <w:tcPr>
            <w:tcW w:w="2028" w:type="dxa"/>
            <w:vAlign w:val="center"/>
          </w:tcPr>
          <w:p w14:paraId="759E6484">
            <w:pPr>
              <w:spacing w:line="320" w:lineRule="exact"/>
              <w:jc w:val="left"/>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密封要求</w:t>
            </w:r>
          </w:p>
        </w:tc>
        <w:tc>
          <w:tcPr>
            <w:tcW w:w="6335" w:type="dxa"/>
            <w:vAlign w:val="center"/>
          </w:tcPr>
          <w:p w14:paraId="1FE7EA10">
            <w:pPr>
              <w:widowControl/>
              <w:spacing w:line="320" w:lineRule="exact"/>
              <w:jc w:val="left"/>
              <w:rPr>
                <w:rFonts w:hint="eastAsia" w:cs="@仿宋_GB2312" w:asciiTheme="minorEastAsia" w:hAnsiTheme="minorEastAsia" w:eastAsiaTheme="minorEastAsia"/>
                <w:b/>
                <w:bCs w:val="0"/>
                <w:color w:val="auto"/>
                <w:kern w:val="0"/>
                <w:sz w:val="24"/>
                <w:szCs w:val="28"/>
                <w:highlight w:val="none"/>
                <w:lang w:val="en-US" w:eastAsia="zh-CN" w:bidi="ar-SA"/>
              </w:rPr>
            </w:pPr>
            <w:r>
              <w:rPr>
                <w:rFonts w:hint="eastAsia" w:cs="@仿宋_GB2312" w:asciiTheme="minorEastAsia" w:hAnsiTheme="minorEastAsia" w:eastAsiaTheme="minorEastAsia"/>
                <w:b/>
                <w:bCs w:val="0"/>
                <w:color w:val="auto"/>
                <w:kern w:val="0"/>
                <w:sz w:val="24"/>
                <w:szCs w:val="28"/>
                <w:highlight w:val="none"/>
                <w:lang w:val="en-US" w:eastAsia="zh-CN" w:bidi="ar-SA"/>
              </w:rPr>
              <w:t>投标人应当将响应文件正副本密封在一个文件袋内。</w:t>
            </w:r>
          </w:p>
        </w:tc>
      </w:tr>
      <w:tr w14:paraId="5E3B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715E7232">
            <w:pPr>
              <w:pStyle w:val="47"/>
              <w:pBdr>
                <w:bottom w:val="none" w:color="auto" w:sz="0" w:space="0"/>
              </w:pBdr>
              <w:tabs>
                <w:tab w:val="clear" w:pos="4153"/>
                <w:tab w:val="clear" w:pos="8306"/>
              </w:tabs>
              <w:adjustRightInd/>
              <w:spacing w:line="240" w:lineRule="auto"/>
              <w:textAlignment w:val="auto"/>
              <w:rPr>
                <w:rFonts w:hint="default"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11.3.1</w:t>
            </w:r>
          </w:p>
        </w:tc>
        <w:tc>
          <w:tcPr>
            <w:tcW w:w="2028" w:type="dxa"/>
            <w:vAlign w:val="center"/>
          </w:tcPr>
          <w:p w14:paraId="5B12C7DD">
            <w:pPr>
              <w:kinsoku/>
              <w:overflowPunct/>
              <w:autoSpaceDE/>
              <w:autoSpaceDN/>
              <w:bidi w:val="0"/>
              <w:spacing w:line="440" w:lineRule="exact"/>
              <w:ind w:left="0" w:leftChars="0" w:right="0" w:rightChars="0"/>
              <w:jc w:val="center"/>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响应截止时间</w:t>
            </w:r>
          </w:p>
        </w:tc>
        <w:tc>
          <w:tcPr>
            <w:tcW w:w="6335" w:type="dxa"/>
            <w:vAlign w:val="center"/>
          </w:tcPr>
          <w:p w14:paraId="111AFE29">
            <w:pPr>
              <w:kinsoku/>
              <w:overflowPunct/>
              <w:autoSpaceDE/>
              <w:autoSpaceDN/>
              <w:bidi w:val="0"/>
              <w:spacing w:line="440" w:lineRule="exact"/>
              <w:ind w:left="0" w:leftChars="0" w:right="0" w:rightChars="0" w:firstLine="21" w:firstLineChars="9"/>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2026年7月31日15时00分（北京时间）</w:t>
            </w:r>
          </w:p>
        </w:tc>
      </w:tr>
      <w:tr w14:paraId="68EA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2AA339D7">
            <w:pPr>
              <w:pStyle w:val="47"/>
              <w:pBdr>
                <w:bottom w:val="none" w:color="auto" w:sz="0" w:space="0"/>
              </w:pBdr>
              <w:tabs>
                <w:tab w:val="clear" w:pos="4153"/>
                <w:tab w:val="clear" w:pos="8306"/>
              </w:tabs>
              <w:adjustRightInd/>
              <w:spacing w:line="240" w:lineRule="auto"/>
              <w:textAlignment w:val="auto"/>
              <w:rPr>
                <w:rFonts w:hint="default"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11.3.1</w:t>
            </w:r>
          </w:p>
        </w:tc>
        <w:tc>
          <w:tcPr>
            <w:tcW w:w="2028" w:type="dxa"/>
            <w:vAlign w:val="center"/>
          </w:tcPr>
          <w:p w14:paraId="455BBFFB">
            <w:pPr>
              <w:kinsoku/>
              <w:overflowPunct/>
              <w:autoSpaceDE/>
              <w:autoSpaceDN/>
              <w:bidi w:val="0"/>
              <w:spacing w:line="440" w:lineRule="exact"/>
              <w:ind w:left="0" w:leftChars="0" w:right="0" w:rightChars="0"/>
              <w:jc w:val="center"/>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递交响应文件地点</w:t>
            </w:r>
          </w:p>
        </w:tc>
        <w:tc>
          <w:tcPr>
            <w:tcW w:w="6335" w:type="dxa"/>
            <w:vAlign w:val="center"/>
          </w:tcPr>
          <w:p w14:paraId="2EFBAACA">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收件人：滁州市城投工程咨询管理有限公司</w:t>
            </w:r>
          </w:p>
          <w:p w14:paraId="56EFFE14">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 xml:space="preserve">时  间：2026年7月31日15时00分 </w:t>
            </w:r>
          </w:p>
          <w:p w14:paraId="652B908C">
            <w:pPr>
              <w:numPr>
                <w:ilvl w:val="0"/>
                <w:numId w:val="0"/>
              </w:numPr>
              <w:kinsoku/>
              <w:overflowPunct/>
              <w:autoSpaceDE/>
              <w:autoSpaceDN/>
              <w:bidi w:val="0"/>
              <w:spacing w:line="360" w:lineRule="auto"/>
              <w:ind w:left="0" w:leftChars="0" w:right="0" w:rightChars="0" w:firstLine="0" w:firstLineChars="0"/>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地  点：滁州市龙蟠大道109号房产大厦6楼603会议室</w:t>
            </w:r>
          </w:p>
        </w:tc>
      </w:tr>
      <w:tr w14:paraId="4906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3D774910">
            <w:pPr>
              <w:pStyle w:val="47"/>
              <w:pBdr>
                <w:bottom w:val="none" w:color="auto" w:sz="0" w:space="0"/>
              </w:pBdr>
              <w:tabs>
                <w:tab w:val="clear" w:pos="4153"/>
                <w:tab w:val="clear" w:pos="8306"/>
              </w:tabs>
              <w:adjustRightInd/>
              <w:spacing w:line="240" w:lineRule="auto"/>
              <w:textAlignment w:val="auto"/>
              <w:rPr>
                <w:rFonts w:hint="default"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11.4</w:t>
            </w:r>
          </w:p>
        </w:tc>
        <w:tc>
          <w:tcPr>
            <w:tcW w:w="2028" w:type="dxa"/>
            <w:vAlign w:val="center"/>
          </w:tcPr>
          <w:p w14:paraId="1FB38F57">
            <w:pPr>
              <w:keepNext w:val="0"/>
              <w:keepLines w:val="0"/>
              <w:pageBreakBefore w:val="0"/>
              <w:kinsoku/>
              <w:overflowPunct/>
              <w:autoSpaceDE/>
              <w:autoSpaceDN/>
              <w:bidi w:val="0"/>
              <w:adjustRightInd/>
              <w:snapToGrid/>
              <w:spacing w:line="440" w:lineRule="exact"/>
              <w:jc w:val="left"/>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是否退还响应文件</w:t>
            </w:r>
          </w:p>
        </w:tc>
        <w:tc>
          <w:tcPr>
            <w:tcW w:w="6335" w:type="dxa"/>
            <w:vAlign w:val="center"/>
          </w:tcPr>
          <w:p w14:paraId="2461847E">
            <w:pPr>
              <w:keepNext w:val="0"/>
              <w:keepLines w:val="0"/>
              <w:pageBreakBefore w:val="0"/>
              <w:kinsoku/>
              <w:overflowPunct/>
              <w:autoSpaceDE/>
              <w:autoSpaceDN/>
              <w:bidi w:val="0"/>
              <w:adjustRightInd/>
              <w:snapToGrid/>
              <w:spacing w:line="440" w:lineRule="exact"/>
              <w:textAlignment w:val="auto"/>
              <w:rPr>
                <w:rFonts w:hint="eastAsia" w:cs="@仿宋_GB2312" w:asciiTheme="minorEastAsia" w:hAnsiTheme="minorEastAsia" w:eastAsiaTheme="minorEastAsia"/>
                <w:b w:val="0"/>
                <w:bCs/>
                <w:color w:val="auto"/>
                <w:kern w:val="0"/>
                <w:sz w:val="24"/>
                <w:szCs w:val="28"/>
                <w:highlight w:val="none"/>
                <w:lang w:val="en-US" w:eastAsia="zh-CN" w:bidi="ar-SA"/>
              </w:rPr>
            </w:pPr>
            <w:r>
              <w:rPr>
                <w:rFonts w:hint="eastAsia" w:cs="@仿宋_GB2312" w:asciiTheme="minorEastAsia" w:hAnsiTheme="minorEastAsia" w:eastAsiaTheme="minorEastAsia"/>
                <w:b w:val="0"/>
                <w:bCs/>
                <w:color w:val="auto"/>
                <w:kern w:val="0"/>
                <w:sz w:val="24"/>
                <w:szCs w:val="28"/>
                <w:highlight w:val="none"/>
                <w:lang w:val="en-US" w:eastAsia="zh-CN" w:bidi="ar-SA"/>
              </w:rPr>
              <w:t>否</w:t>
            </w:r>
          </w:p>
        </w:tc>
      </w:tr>
      <w:tr w14:paraId="56F1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50B0C162">
            <w:pPr>
              <w:pStyle w:val="47"/>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17</w:t>
            </w:r>
            <w:r>
              <w:rPr>
                <w:rFonts w:asciiTheme="minorEastAsia" w:hAnsiTheme="minorEastAsia" w:eastAsiaTheme="minorEastAsia"/>
                <w:bCs/>
                <w:color w:val="auto"/>
                <w:kern w:val="2"/>
                <w:highlight w:val="none"/>
              </w:rPr>
              <w:t>.</w:t>
            </w:r>
            <w:r>
              <w:rPr>
                <w:rFonts w:hint="eastAsia" w:asciiTheme="minorEastAsia" w:hAnsiTheme="minorEastAsia" w:eastAsiaTheme="minorEastAsia"/>
                <w:bCs/>
                <w:color w:val="auto"/>
                <w:kern w:val="2"/>
                <w:highlight w:val="none"/>
              </w:rPr>
              <w:t>2</w:t>
            </w:r>
          </w:p>
        </w:tc>
        <w:tc>
          <w:tcPr>
            <w:tcW w:w="2028" w:type="dxa"/>
            <w:vAlign w:val="center"/>
          </w:tcPr>
          <w:p w14:paraId="7AA5B2BF">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确定成交供应商</w:t>
            </w:r>
          </w:p>
        </w:tc>
        <w:tc>
          <w:tcPr>
            <w:tcW w:w="6335" w:type="dxa"/>
            <w:vAlign w:val="center"/>
          </w:tcPr>
          <w:p w14:paraId="0424FEE3">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bCs w:val="0"/>
                <w:color w:val="auto"/>
                <w:sz w:val="24"/>
                <w:szCs w:val="24"/>
                <w:highlight w:val="none"/>
              </w:rPr>
              <w:sym w:font="Wingdings" w:char="00A8"/>
            </w:r>
            <w:r>
              <w:rPr>
                <w:rFonts w:hint="eastAsia" w:asciiTheme="minorEastAsia" w:hAnsiTheme="minorEastAsia" w:eastAsiaTheme="minorEastAsia"/>
                <w:b w:val="0"/>
                <w:color w:val="auto"/>
                <w:sz w:val="24"/>
                <w:highlight w:val="none"/>
              </w:rPr>
              <w:t xml:space="preserve">采购人委托询价小组确定 </w:t>
            </w:r>
          </w:p>
          <w:p w14:paraId="1A5747AD">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☑采购人确定</w:t>
            </w:r>
          </w:p>
        </w:tc>
      </w:tr>
      <w:tr w14:paraId="46AA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63F185FE">
            <w:pPr>
              <w:pStyle w:val="47"/>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21</w:t>
            </w:r>
            <w:r>
              <w:rPr>
                <w:rFonts w:asciiTheme="minorEastAsia" w:hAnsiTheme="minorEastAsia" w:eastAsiaTheme="minorEastAsia"/>
                <w:bCs/>
                <w:color w:val="auto"/>
                <w:kern w:val="2"/>
                <w:highlight w:val="none"/>
              </w:rPr>
              <w:t>.1</w:t>
            </w:r>
          </w:p>
        </w:tc>
        <w:tc>
          <w:tcPr>
            <w:tcW w:w="2028" w:type="dxa"/>
            <w:vAlign w:val="center"/>
          </w:tcPr>
          <w:p w14:paraId="34B0177F">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成交通知书发出的形式</w:t>
            </w:r>
          </w:p>
        </w:tc>
        <w:tc>
          <w:tcPr>
            <w:tcW w:w="6335" w:type="dxa"/>
            <w:vAlign w:val="center"/>
          </w:tcPr>
          <w:p w14:paraId="397C5FB2">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lang w:eastAsia="zh-CN"/>
              </w:rPr>
              <w:t>☑</w:t>
            </w:r>
            <w:r>
              <w:rPr>
                <w:rFonts w:hint="eastAsia" w:asciiTheme="minorEastAsia" w:hAnsiTheme="minorEastAsia" w:eastAsiaTheme="minorEastAsia"/>
                <w:b w:val="0"/>
                <w:color w:val="auto"/>
                <w:sz w:val="24"/>
                <w:highlight w:val="none"/>
              </w:rPr>
              <w:t xml:space="preserve">书面 </w:t>
            </w:r>
            <w:r>
              <w:rPr>
                <w:rFonts w:asciiTheme="minorEastAsia" w:hAnsiTheme="minorEastAsia" w:eastAsiaTheme="minorEastAsia"/>
                <w:b w:val="0"/>
                <w:color w:val="auto"/>
                <w:sz w:val="24"/>
                <w:highlight w:val="none"/>
              </w:rPr>
              <w:t xml:space="preserve">    </w:t>
            </w:r>
            <w:r>
              <w:rPr>
                <w:rFonts w:hint="eastAsia" w:asciiTheme="minorEastAsia" w:hAnsiTheme="minorEastAsia" w:eastAsiaTheme="minorEastAsia"/>
                <w:b w:val="0"/>
                <w:bCs w:val="0"/>
                <w:color w:val="auto"/>
                <w:sz w:val="24"/>
                <w:szCs w:val="24"/>
                <w:highlight w:val="none"/>
              </w:rPr>
              <w:sym w:font="Wingdings" w:char="00A8"/>
            </w:r>
            <w:r>
              <w:rPr>
                <w:rFonts w:hint="eastAsia" w:asciiTheme="minorEastAsia" w:hAnsiTheme="minorEastAsia" w:eastAsiaTheme="minorEastAsia"/>
                <w:b w:val="0"/>
                <w:color w:val="auto"/>
                <w:sz w:val="24"/>
                <w:highlight w:val="none"/>
              </w:rPr>
              <w:t>数据电文</w:t>
            </w:r>
          </w:p>
        </w:tc>
      </w:tr>
      <w:tr w14:paraId="31F3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20195A7D">
            <w:pPr>
              <w:pStyle w:val="47"/>
              <w:pBdr>
                <w:bottom w:val="none" w:color="auto" w:sz="0" w:space="0"/>
              </w:pBdr>
              <w:tabs>
                <w:tab w:val="clear" w:pos="4153"/>
                <w:tab w:val="clear" w:pos="8306"/>
              </w:tabs>
              <w:adjustRightInd/>
              <w:spacing w:line="240" w:lineRule="auto"/>
              <w:textAlignment w:val="auto"/>
              <w:rPr>
                <w:rFonts w:ascii="宋体" w:hAnsi="宋体" w:eastAsia="宋体" w:cstheme="minorBidi"/>
                <w:bCs/>
                <w:color w:val="auto"/>
                <w:kern w:val="2"/>
                <w:highlight w:val="none"/>
              </w:rPr>
            </w:pPr>
            <w:r>
              <w:rPr>
                <w:rFonts w:hint="eastAsia" w:ascii="宋体" w:hAnsi="宋体" w:eastAsia="宋体" w:cs="宋体"/>
                <w:bCs/>
                <w:color w:val="auto"/>
                <w:szCs w:val="24"/>
                <w:highlight w:val="none"/>
              </w:rPr>
              <w:t>22.1</w:t>
            </w:r>
          </w:p>
        </w:tc>
        <w:tc>
          <w:tcPr>
            <w:tcW w:w="2028" w:type="dxa"/>
            <w:vAlign w:val="center"/>
          </w:tcPr>
          <w:p w14:paraId="3F299A6B">
            <w:pPr>
              <w:pStyle w:val="46"/>
              <w:widowControl w:val="0"/>
              <w:spacing w:before="0" w:beforeAutospacing="0" w:after="0" w:afterAutospacing="0" w:line="360" w:lineRule="auto"/>
              <w:jc w:val="both"/>
              <w:rPr>
                <w:rFonts w:ascii="宋体" w:hAnsi="宋体" w:eastAsia="宋体" w:cstheme="minorBidi"/>
                <w:b w:val="0"/>
                <w:color w:val="auto"/>
                <w:sz w:val="24"/>
                <w:highlight w:val="none"/>
              </w:rPr>
            </w:pPr>
            <w:r>
              <w:rPr>
                <w:rFonts w:hint="eastAsia" w:ascii="宋体" w:hAnsi="宋体" w:eastAsia="宋体" w:cs="宋体"/>
                <w:b w:val="0"/>
                <w:color w:val="auto"/>
                <w:sz w:val="24"/>
                <w:szCs w:val="24"/>
                <w:highlight w:val="none"/>
              </w:rPr>
              <w:t>告知询价结果的形式</w:t>
            </w:r>
          </w:p>
        </w:tc>
        <w:tc>
          <w:tcPr>
            <w:tcW w:w="6335" w:type="dxa"/>
            <w:vAlign w:val="center"/>
          </w:tcPr>
          <w:p w14:paraId="6127B21A">
            <w:pPr>
              <w:pStyle w:val="46"/>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sym w:font="Wingdings" w:char="00A8"/>
            </w:r>
            <w:r>
              <w:rPr>
                <w:rFonts w:hint="eastAsia" w:ascii="宋体" w:hAnsi="宋体" w:eastAsia="宋体" w:cs="宋体"/>
                <w:b w:val="0"/>
                <w:color w:val="auto"/>
                <w:sz w:val="24"/>
                <w:szCs w:val="24"/>
                <w:highlight w:val="none"/>
              </w:rPr>
              <w:t>供应商自行登录电子</w:t>
            </w:r>
            <w:r>
              <w:rPr>
                <w:rFonts w:hint="eastAsia" w:ascii="宋体" w:hAnsi="宋体" w:eastAsia="宋体" w:cs="宋体"/>
                <w:b w:val="0"/>
                <w:bCs w:val="0"/>
                <w:color w:val="auto"/>
                <w:sz w:val="24"/>
                <w:szCs w:val="24"/>
                <w:highlight w:val="none"/>
              </w:rPr>
              <w:t>交易</w:t>
            </w:r>
            <w:r>
              <w:rPr>
                <w:rFonts w:hint="eastAsia" w:ascii="宋体" w:hAnsi="宋体" w:eastAsia="宋体" w:cs="宋体"/>
                <w:b w:val="0"/>
                <w:color w:val="auto"/>
                <w:sz w:val="24"/>
                <w:szCs w:val="24"/>
                <w:highlight w:val="none"/>
              </w:rPr>
              <w:t>系统查看</w:t>
            </w:r>
          </w:p>
          <w:p w14:paraId="1A41911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eastAsia="zh-CN"/>
              </w:rPr>
              <w:t>☑</w:t>
            </w:r>
            <w:r>
              <w:rPr>
                <w:rFonts w:hint="eastAsia" w:ascii="宋体" w:hAnsi="宋体" w:eastAsia="宋体"/>
                <w:b w:val="0"/>
                <w:color w:val="auto"/>
                <w:sz w:val="24"/>
                <w:highlight w:val="none"/>
              </w:rPr>
              <w:t>询价现场告知</w:t>
            </w:r>
          </w:p>
        </w:tc>
      </w:tr>
      <w:tr w14:paraId="615A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0B4110FA">
            <w:pPr>
              <w:pStyle w:val="47"/>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rPr>
              <w:t>3</w:t>
            </w:r>
            <w:r>
              <w:rPr>
                <w:rFonts w:asciiTheme="minorEastAsia" w:hAnsiTheme="minorEastAsia" w:eastAsiaTheme="minorEastAsia"/>
                <w:bCs/>
                <w:color w:val="auto"/>
                <w:kern w:val="2"/>
                <w:highlight w:val="none"/>
              </w:rPr>
              <w:t>.1</w:t>
            </w:r>
          </w:p>
        </w:tc>
        <w:tc>
          <w:tcPr>
            <w:tcW w:w="2028" w:type="dxa"/>
            <w:vAlign w:val="center"/>
          </w:tcPr>
          <w:p w14:paraId="3F2A4E70">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履约保证金</w:t>
            </w:r>
          </w:p>
        </w:tc>
        <w:tc>
          <w:tcPr>
            <w:tcW w:w="6335" w:type="dxa"/>
          </w:tcPr>
          <w:p w14:paraId="3CAEBFA9">
            <w:pPr>
              <w:spacing w:line="360" w:lineRule="auto"/>
              <w:rPr>
                <w:rFonts w:asciiTheme="minorEastAsia" w:hAnsiTheme="minorEastAsia" w:eastAsiaTheme="minorEastAsia"/>
                <w:color w:val="auto"/>
                <w:sz w:val="24"/>
                <w:highlight w:val="none"/>
              </w:rPr>
            </w:pPr>
            <w:r>
              <w:rPr>
                <w:rFonts w:hint="eastAsia" w:ascii="宋体" w:hAnsi="宋体" w:eastAsia="宋体"/>
                <w:bCs/>
                <w:color w:val="auto"/>
                <w:kern w:val="0"/>
                <w:sz w:val="24"/>
                <w:szCs w:val="28"/>
                <w:highlight w:val="none"/>
              </w:rPr>
              <w:t>☑免收</w:t>
            </w:r>
          </w:p>
        </w:tc>
      </w:tr>
      <w:tr w14:paraId="4BAA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2C623B23">
            <w:pPr>
              <w:pStyle w:val="47"/>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rPr>
              <w:t>4</w:t>
            </w:r>
            <w:r>
              <w:rPr>
                <w:rFonts w:asciiTheme="minorEastAsia" w:hAnsiTheme="minorEastAsia" w:eastAsiaTheme="minorEastAsia"/>
                <w:bCs/>
                <w:color w:val="auto"/>
                <w:kern w:val="2"/>
                <w:highlight w:val="none"/>
              </w:rPr>
              <w:t>.1</w:t>
            </w:r>
          </w:p>
        </w:tc>
        <w:tc>
          <w:tcPr>
            <w:tcW w:w="2028" w:type="dxa"/>
            <w:vAlign w:val="center"/>
          </w:tcPr>
          <w:p w14:paraId="2FFAAFF8">
            <w:pPr>
              <w:pStyle w:val="46"/>
              <w:widowControl w:val="0"/>
              <w:spacing w:before="0" w:beforeAutospacing="0" w:after="0" w:afterAutospacing="0" w:line="360" w:lineRule="auto"/>
              <w:jc w:val="both"/>
              <w:rPr>
                <w:rFonts w:hint="default" w:asciiTheme="minorEastAsia" w:hAnsiTheme="minorEastAsia" w:eastAsiaTheme="minorEastAsia"/>
                <w:b w:val="0"/>
                <w:color w:val="auto"/>
                <w:sz w:val="24"/>
                <w:highlight w:val="none"/>
                <w:lang w:val="en-US" w:eastAsia="zh-CN"/>
              </w:rPr>
            </w:pPr>
            <w:r>
              <w:rPr>
                <w:rFonts w:hint="eastAsia" w:asciiTheme="minorEastAsia" w:hAnsiTheme="minorEastAsia" w:eastAsiaTheme="minorEastAsia"/>
                <w:b w:val="0"/>
                <w:color w:val="auto"/>
                <w:sz w:val="24"/>
                <w:highlight w:val="none"/>
              </w:rPr>
              <w:t>代理费用</w:t>
            </w:r>
          </w:p>
        </w:tc>
        <w:tc>
          <w:tcPr>
            <w:tcW w:w="6335" w:type="dxa"/>
            <w:vAlign w:val="center"/>
          </w:tcPr>
          <w:p w14:paraId="7ECF8A0C">
            <w:pPr>
              <w:pStyle w:val="46"/>
              <w:widowControl w:val="0"/>
              <w:spacing w:before="0" w:beforeAutospacing="0" w:after="0" w:afterAutospacing="0" w:line="360" w:lineRule="auto"/>
              <w:jc w:val="both"/>
              <w:rPr>
                <w:rFonts w:hint="default" w:eastAsia="宋体" w:asciiTheme="minorEastAsia" w:hAnsiTheme="minorEastAsia"/>
                <w:b w:val="0"/>
                <w:color w:val="auto"/>
                <w:sz w:val="24"/>
                <w:highlight w:val="none"/>
                <w:lang w:val="en-US" w:eastAsia="zh-CN"/>
              </w:rPr>
            </w:pPr>
            <w:r>
              <w:rPr>
                <w:rFonts w:hint="eastAsia" w:ascii="宋体" w:hAnsi="宋体" w:eastAsia="宋体"/>
                <w:b w:val="0"/>
                <w:bCs w:val="0"/>
                <w:color w:val="auto"/>
                <w:kern w:val="0"/>
                <w:sz w:val="24"/>
                <w:szCs w:val="28"/>
                <w:highlight w:val="none"/>
                <w:lang w:val="en-US" w:eastAsia="zh-CN"/>
              </w:rPr>
              <w:t>代理费：</w:t>
            </w:r>
            <w:r>
              <w:rPr>
                <w:rFonts w:hint="eastAsia" w:ascii="宋体" w:hAnsi="宋体" w:eastAsia="宋体"/>
                <w:b w:val="0"/>
                <w:color w:val="auto"/>
                <w:sz w:val="24"/>
                <w:highlight w:val="none"/>
                <w:u w:val="none"/>
                <w:lang w:val="en-US" w:eastAsia="zh-CN"/>
              </w:rPr>
              <w:t>代理费2000</w:t>
            </w:r>
            <w:r>
              <w:rPr>
                <w:rFonts w:hint="eastAsia" w:ascii="宋体" w:hAnsi="宋体" w:eastAsia="宋体" w:cs="宋体"/>
                <w:b w:val="0"/>
                <w:bCs w:val="0"/>
                <w:color w:val="auto"/>
                <w:sz w:val="24"/>
                <w:szCs w:val="24"/>
                <w:highlight w:val="none"/>
                <w:u w:val="none"/>
                <w:lang w:val="en-US" w:eastAsia="zh-CN"/>
              </w:rPr>
              <w:t>元，</w:t>
            </w:r>
            <w:r>
              <w:rPr>
                <w:rFonts w:hint="eastAsia" w:ascii="宋体" w:hAnsi="宋体" w:eastAsia="宋体"/>
                <w:b w:val="0"/>
                <w:color w:val="auto"/>
                <w:sz w:val="24"/>
                <w:highlight w:val="none"/>
                <w:u w:val="none"/>
                <w:lang w:val="en-US" w:eastAsia="zh-CN"/>
              </w:rPr>
              <w:t>支付主体：成交供应商</w:t>
            </w:r>
            <w:r>
              <w:rPr>
                <w:rFonts w:hint="eastAsia" w:ascii="宋体" w:hAnsi="宋体" w:eastAsia="宋体" w:cs="宋体"/>
                <w:b w:val="0"/>
                <w:bCs w:val="0"/>
                <w:color w:val="auto"/>
                <w:sz w:val="24"/>
                <w:szCs w:val="24"/>
                <w:highlight w:val="none"/>
                <w:u w:val="none"/>
                <w:lang w:val="en-US" w:eastAsia="zh-CN"/>
              </w:rPr>
              <w:t>。</w:t>
            </w:r>
          </w:p>
        </w:tc>
      </w:tr>
      <w:tr w14:paraId="4767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4AFDE848">
            <w:pPr>
              <w:pStyle w:val="47"/>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27</w:t>
            </w:r>
            <w:r>
              <w:rPr>
                <w:rFonts w:asciiTheme="minorEastAsia" w:hAnsiTheme="minorEastAsia" w:eastAsiaTheme="minorEastAsia"/>
                <w:bCs/>
                <w:color w:val="auto"/>
                <w:kern w:val="2"/>
                <w:highlight w:val="none"/>
              </w:rPr>
              <w:t>.</w:t>
            </w:r>
            <w:r>
              <w:rPr>
                <w:rFonts w:hint="eastAsia" w:asciiTheme="minorEastAsia" w:hAnsiTheme="minorEastAsia" w:eastAsiaTheme="minorEastAsia"/>
                <w:bCs/>
                <w:color w:val="auto"/>
                <w:kern w:val="2"/>
                <w:highlight w:val="none"/>
              </w:rPr>
              <w:t>3</w:t>
            </w:r>
          </w:p>
        </w:tc>
        <w:tc>
          <w:tcPr>
            <w:tcW w:w="2028" w:type="dxa"/>
            <w:vAlign w:val="center"/>
          </w:tcPr>
          <w:p w14:paraId="1AE2CED3">
            <w:pPr>
              <w:pStyle w:val="46"/>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6335" w:type="dxa"/>
            <w:vAlign w:val="center"/>
          </w:tcPr>
          <w:p w14:paraId="7C4631D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cs="宋体"/>
                <w:b w:val="0"/>
                <w:color w:val="auto"/>
                <w:sz w:val="24"/>
                <w:szCs w:val="24"/>
                <w:highlight w:val="none"/>
              </w:rPr>
              <w:t>如投标人对招标文件有疑问，请于202</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年</w:t>
            </w:r>
            <w:r>
              <w:rPr>
                <w:rFonts w:hint="eastAsia" w:ascii="宋体" w:hAnsi="宋体" w:eastAsia="宋体" w:cs="宋体"/>
                <w:b w:val="0"/>
                <w:color w:val="auto"/>
                <w:sz w:val="24"/>
                <w:szCs w:val="24"/>
                <w:highlight w:val="none"/>
                <w:lang w:val="en-US" w:eastAsia="zh-CN"/>
              </w:rPr>
              <w:t>7</w:t>
            </w:r>
            <w:r>
              <w:rPr>
                <w:rFonts w:hint="eastAsia" w:ascii="宋体" w:hAnsi="宋体" w:eastAsia="宋体" w:cs="宋体"/>
                <w:b w:val="0"/>
                <w:color w:val="auto"/>
                <w:sz w:val="24"/>
                <w:szCs w:val="24"/>
                <w:highlight w:val="none"/>
              </w:rPr>
              <w:t>月</w:t>
            </w:r>
            <w:r>
              <w:rPr>
                <w:rFonts w:hint="eastAsia" w:ascii="宋体" w:hAnsi="宋体" w:eastAsia="宋体" w:cs="宋体"/>
                <w:b w:val="0"/>
                <w:color w:val="auto"/>
                <w:sz w:val="24"/>
                <w:szCs w:val="24"/>
                <w:highlight w:val="none"/>
                <w:lang w:val="en-US" w:eastAsia="zh-CN"/>
              </w:rPr>
              <w:t>29</w:t>
            </w: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 HYPERLINK "mailto:日12时前将疑问内容以电子邮件形式发送至czsctgczx@163.com（滁州市城投工程咨询管理有限公司邮箱），招标人将在2024年4月" </w:instrText>
            </w:r>
            <w:r>
              <w:rPr>
                <w:rFonts w:hint="eastAsia" w:ascii="宋体" w:hAnsi="宋体" w:eastAsia="宋体" w:cs="宋体"/>
                <w:b w:val="0"/>
                <w:color w:val="auto"/>
                <w:sz w:val="24"/>
                <w:szCs w:val="24"/>
                <w:highlight w:val="none"/>
              </w:rPr>
              <w:fldChar w:fldCharType="separate"/>
            </w:r>
            <w:r>
              <w:rPr>
                <w:rFonts w:hint="eastAsia" w:ascii="宋体" w:hAnsi="宋体" w:eastAsia="宋体" w:cs="宋体"/>
                <w:b w:val="0"/>
                <w:color w:val="auto"/>
                <w:sz w:val="24"/>
                <w:szCs w:val="24"/>
                <w:highlight w:val="none"/>
              </w:rPr>
              <w:t>日1</w:t>
            </w:r>
            <w:r>
              <w:rPr>
                <w:rFonts w:hint="eastAsia" w:ascii="宋体" w:hAnsi="宋体" w:eastAsia="宋体" w:cs="宋体"/>
                <w:b w:val="0"/>
                <w:color w:val="auto"/>
                <w:sz w:val="24"/>
                <w:szCs w:val="24"/>
                <w:highlight w:val="none"/>
                <w:lang w:val="en-US" w:eastAsia="zh-CN"/>
              </w:rPr>
              <w:t>7</w:t>
            </w:r>
            <w:r>
              <w:rPr>
                <w:rFonts w:hint="eastAsia" w:ascii="宋体" w:hAnsi="宋体" w:eastAsia="宋体" w:cs="宋体"/>
                <w:b w:val="0"/>
                <w:color w:val="auto"/>
                <w:sz w:val="24"/>
                <w:szCs w:val="24"/>
                <w:highlight w:val="none"/>
              </w:rPr>
              <w:t>时前</w:t>
            </w:r>
            <w:r>
              <w:rPr>
                <w:rFonts w:hint="eastAsia" w:ascii="宋体" w:hAnsi="宋体" w:eastAsia="宋体" w:cs="宋体"/>
                <w:b w:val="0"/>
                <w:color w:val="auto"/>
                <w:sz w:val="24"/>
                <w:szCs w:val="24"/>
                <w:highlight w:val="none"/>
                <w:lang w:val="en-US" w:eastAsia="zh-CN"/>
              </w:rPr>
              <w:t>通过电子邮件发送至296337331@qq.com</w:t>
            </w:r>
            <w:r>
              <w:rPr>
                <w:rFonts w:hint="eastAsia" w:ascii="宋体" w:hAnsi="宋体" w:eastAsia="宋体" w:cs="宋体"/>
                <w:b w:val="0"/>
                <w:color w:val="auto"/>
                <w:sz w:val="24"/>
                <w:szCs w:val="24"/>
                <w:highlight w:val="none"/>
              </w:rPr>
              <w:t>，</w:t>
            </w:r>
            <w:r>
              <w:rPr>
                <w:rFonts w:hint="eastAsia" w:ascii="宋体" w:hAnsi="宋体" w:eastAsia="宋体" w:cs="宋体"/>
                <w:b w:val="0"/>
                <w:color w:val="auto"/>
                <w:sz w:val="24"/>
                <w:szCs w:val="24"/>
                <w:highlight w:val="none"/>
                <w:lang w:val="en-US" w:eastAsia="zh-CN"/>
              </w:rPr>
              <w:t>采购人</w:t>
            </w:r>
            <w:r>
              <w:rPr>
                <w:rFonts w:hint="eastAsia" w:ascii="宋体" w:hAnsi="宋体" w:eastAsia="宋体" w:cs="宋体"/>
                <w:b w:val="0"/>
                <w:color w:val="auto"/>
                <w:sz w:val="24"/>
                <w:szCs w:val="24"/>
                <w:highlight w:val="none"/>
              </w:rPr>
              <w:t>将在202</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年</w:t>
            </w:r>
            <w:r>
              <w:rPr>
                <w:rFonts w:hint="eastAsia" w:ascii="宋体" w:hAnsi="宋体" w:eastAsia="宋体" w:cs="宋体"/>
                <w:b w:val="0"/>
                <w:color w:val="auto"/>
                <w:sz w:val="24"/>
                <w:szCs w:val="24"/>
                <w:highlight w:val="none"/>
                <w:lang w:val="en-US" w:eastAsia="zh-CN"/>
              </w:rPr>
              <w:t>7</w:t>
            </w:r>
            <w:r>
              <w:rPr>
                <w:rFonts w:hint="eastAsia" w:ascii="宋体" w:hAnsi="宋体" w:eastAsia="宋体" w:cs="宋体"/>
                <w:b w:val="0"/>
                <w:color w:val="auto"/>
                <w:sz w:val="24"/>
                <w:szCs w:val="24"/>
                <w:highlight w:val="none"/>
              </w:rPr>
              <w:t>月</w:t>
            </w:r>
            <w:r>
              <w:rPr>
                <w:rFonts w:hint="eastAsia" w:ascii="宋体" w:hAnsi="宋体" w:eastAsia="宋体" w:cs="宋体"/>
                <w:b w:val="0"/>
                <w:color w:val="auto"/>
                <w:sz w:val="24"/>
                <w:szCs w:val="24"/>
                <w:highlight w:val="none"/>
              </w:rPr>
              <w:fldChar w:fldCharType="end"/>
            </w:r>
            <w:r>
              <w:rPr>
                <w:rFonts w:hint="eastAsia" w:ascii="宋体" w:hAnsi="宋体" w:eastAsia="宋体" w:cs="宋体"/>
                <w:b w:val="0"/>
                <w:color w:val="auto"/>
                <w:sz w:val="24"/>
                <w:szCs w:val="24"/>
                <w:highlight w:val="none"/>
                <w:lang w:val="en-US" w:eastAsia="zh-CN"/>
              </w:rPr>
              <w:t>30</w:t>
            </w:r>
            <w:r>
              <w:rPr>
                <w:rFonts w:hint="eastAsia" w:ascii="宋体" w:hAnsi="宋体" w:eastAsia="宋体" w:cs="宋体"/>
                <w:b w:val="0"/>
                <w:color w:val="auto"/>
                <w:sz w:val="24"/>
                <w:szCs w:val="24"/>
                <w:highlight w:val="none"/>
              </w:rPr>
              <w:t>日1</w:t>
            </w:r>
            <w:r>
              <w:rPr>
                <w:rFonts w:hint="eastAsia" w:ascii="宋体" w:hAnsi="宋体" w:eastAsia="宋体" w:cs="宋体"/>
                <w:b w:val="0"/>
                <w:color w:val="auto"/>
                <w:sz w:val="24"/>
                <w:szCs w:val="24"/>
                <w:highlight w:val="none"/>
                <w:lang w:val="en-US" w:eastAsia="zh-CN"/>
              </w:rPr>
              <w:t>7</w:t>
            </w:r>
            <w:r>
              <w:rPr>
                <w:rFonts w:hint="eastAsia" w:ascii="宋体" w:hAnsi="宋体" w:eastAsia="宋体" w:cs="宋体"/>
                <w:b w:val="0"/>
                <w:color w:val="auto"/>
                <w:sz w:val="24"/>
                <w:szCs w:val="24"/>
                <w:highlight w:val="none"/>
              </w:rPr>
              <w:t>时后</w:t>
            </w:r>
            <w:r>
              <w:rPr>
                <w:rFonts w:hint="eastAsia" w:ascii="宋体" w:hAnsi="宋体" w:eastAsia="宋体" w:cs="宋体"/>
                <w:b w:val="0"/>
                <w:color w:val="auto"/>
                <w:sz w:val="24"/>
                <w:szCs w:val="24"/>
                <w:highlight w:val="none"/>
                <w:lang w:eastAsia="zh-CN"/>
              </w:rPr>
              <w:t>在</w:t>
            </w:r>
            <w:r>
              <w:rPr>
                <w:rFonts w:hint="eastAsia" w:ascii="宋体" w:hAnsi="宋体" w:eastAsia="宋体" w:cs="宋体"/>
                <w:b w:val="0"/>
                <w:color w:val="auto"/>
                <w:sz w:val="24"/>
                <w:szCs w:val="24"/>
                <w:highlight w:val="none"/>
                <w:lang w:val="en-US" w:eastAsia="zh-CN"/>
              </w:rPr>
              <w:t>滁州市机关事务管理处官网（https://sgc.chuzhou.gov.cn/index.html）网站发布</w:t>
            </w:r>
            <w:r>
              <w:rPr>
                <w:rFonts w:hint="eastAsia" w:ascii="宋体" w:hAnsi="宋体" w:eastAsia="宋体" w:cs="宋体"/>
                <w:b w:val="0"/>
                <w:color w:val="auto"/>
                <w:sz w:val="24"/>
                <w:szCs w:val="24"/>
                <w:highlight w:val="none"/>
              </w:rPr>
              <w:t>，请各位投标人注意查看有关澄清内容，如不及时查看造成后果由投标人自负。</w:t>
            </w:r>
          </w:p>
        </w:tc>
      </w:tr>
      <w:tr w14:paraId="6AD3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458" w:type="dxa"/>
            <w:gridSpan w:val="3"/>
            <w:vAlign w:val="center"/>
          </w:tcPr>
          <w:p w14:paraId="68BFCE1B">
            <w:pPr>
              <w:pStyle w:val="46"/>
              <w:widowControl w:val="0"/>
              <w:spacing w:before="0" w:beforeAutospacing="0" w:after="0" w:afterAutospacing="0" w:line="360" w:lineRule="auto"/>
              <w:jc w:val="center"/>
              <w:rPr>
                <w:rFonts w:ascii="宋体" w:hAnsi="宋体" w:eastAsia="宋体" w:cs="宋体"/>
                <w:b w:val="0"/>
                <w:color w:val="auto"/>
                <w:kern w:val="2"/>
                <w:sz w:val="24"/>
                <w:szCs w:val="24"/>
                <w:highlight w:val="none"/>
                <w:lang w:bidi="ar"/>
              </w:rPr>
            </w:pPr>
            <w:r>
              <w:rPr>
                <w:rFonts w:hint="eastAsia" w:ascii="宋体" w:hAnsi="宋体" w:eastAsia="宋体" w:cs="宋体"/>
                <w:b/>
                <w:bCs/>
                <w:color w:val="auto"/>
                <w:sz w:val="21"/>
                <w:szCs w:val="21"/>
                <w:highlight w:val="none"/>
              </w:rPr>
              <w:t>需要补充的其他内容</w:t>
            </w:r>
          </w:p>
        </w:tc>
      </w:tr>
      <w:tr w14:paraId="2F3B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34CDA1DE">
            <w:pPr>
              <w:pStyle w:val="47"/>
              <w:pBdr>
                <w:bottom w:val="none" w:color="auto" w:sz="0" w:space="0"/>
              </w:pBdr>
              <w:tabs>
                <w:tab w:val="clear" w:pos="4153"/>
                <w:tab w:val="clear" w:pos="8306"/>
              </w:tabs>
              <w:adjustRightInd/>
              <w:spacing w:line="240" w:lineRule="auto"/>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1</w:t>
            </w:r>
          </w:p>
        </w:tc>
        <w:tc>
          <w:tcPr>
            <w:tcW w:w="2028" w:type="dxa"/>
            <w:vAlign w:val="center"/>
          </w:tcPr>
          <w:p w14:paraId="2D536F18">
            <w:pPr>
              <w:keepNext w:val="0"/>
              <w:keepLines w:val="0"/>
              <w:pageBreakBefore w:val="0"/>
              <w:kinsoku/>
              <w:overflowPunct/>
              <w:topLinePunct w:val="0"/>
              <w:autoSpaceDE/>
              <w:autoSpaceDN/>
              <w:bidi w:val="0"/>
              <w:spacing w:line="440" w:lineRule="exact"/>
              <w:jc w:val="center"/>
              <w:textAlignment w:val="auto"/>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电子招标投标</w:t>
            </w:r>
          </w:p>
        </w:tc>
        <w:tc>
          <w:tcPr>
            <w:tcW w:w="6335" w:type="dxa"/>
            <w:vAlign w:val="center"/>
          </w:tcPr>
          <w:p w14:paraId="71651384">
            <w:pPr>
              <w:keepNext w:val="0"/>
              <w:keepLines w:val="0"/>
              <w:pageBreakBefore w:val="0"/>
              <w:kinsoku/>
              <w:overflowPunct/>
              <w:topLinePunct w:val="0"/>
              <w:autoSpaceDE/>
              <w:autoSpaceDN/>
              <w:bidi w:val="0"/>
              <w:spacing w:line="440" w:lineRule="exact"/>
              <w:jc w:val="left"/>
              <w:textAlignment w:val="auto"/>
              <w:rPr>
                <w:rFonts w:ascii="宋体" w:hAnsi="宋体" w:eastAsia="宋体" w:cs="宋体"/>
                <w:b w:val="0"/>
                <w:color w:val="auto"/>
                <w:kern w:val="2"/>
                <w:sz w:val="24"/>
                <w:szCs w:val="24"/>
                <w:highlight w:val="none"/>
                <w:lang w:bidi="ar"/>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eq \o\ac(</w:instrText>
            </w:r>
            <w:r>
              <w:rPr>
                <w:rFonts w:hint="eastAsia" w:ascii="宋体" w:hAnsi="宋体" w:eastAsia="宋体" w:cs="宋体"/>
                <w:color w:val="auto"/>
                <w:position w:val="-4"/>
                <w:sz w:val="24"/>
                <w:szCs w:val="24"/>
                <w:highlight w:val="none"/>
              </w:rPr>
              <w:instrText xml:space="preserve">□</w:instrText>
            </w:r>
            <w:r>
              <w:rPr>
                <w:rFonts w:hint="eastAsia" w:ascii="宋体" w:hAnsi="宋体" w:eastAsia="宋体" w:cs="宋体"/>
                <w:color w:val="auto"/>
                <w:position w:val="-4"/>
                <w:sz w:val="24"/>
                <w:szCs w:val="24"/>
                <w:highlight w:val="none"/>
                <w:lang w:eastAsia="zh-CN"/>
              </w:rPr>
              <w:instrText xml:space="preserve">,</w:instrText>
            </w:r>
            <w:r>
              <w:rPr>
                <w:rFonts w:hint="eastAsia" w:ascii="宋体" w:hAnsi="宋体" w:eastAsia="宋体" w:cs="宋体"/>
                <w:color w:val="auto"/>
                <w:position w:val="0"/>
                <w:sz w:val="24"/>
                <w:szCs w:val="24"/>
                <w:highlight w:val="none"/>
                <w:lang w:eastAsia="zh-CN"/>
              </w:rPr>
              <w:instrText xml:space="preserve">√</w:instrText>
            </w:r>
            <w:r>
              <w:rPr>
                <w:rFonts w:hint="eastAsia" w:ascii="宋体" w:hAnsi="宋体" w:eastAsia="宋体" w:cs="宋体"/>
                <w:color w:val="auto"/>
                <w:position w:val="0"/>
                <w:sz w:val="24"/>
                <w:szCs w:val="24"/>
                <w:highlight w:val="none"/>
              </w:rPr>
              <w:instrText xml:space="preserve">)</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 xml:space="preserve">否；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是，具体要求：按招标文件规定。</w:t>
            </w:r>
          </w:p>
        </w:tc>
      </w:tr>
      <w:tr w14:paraId="639A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69FF4375">
            <w:pPr>
              <w:pStyle w:val="47"/>
              <w:pBdr>
                <w:bottom w:val="none" w:color="auto" w:sz="0" w:space="0"/>
              </w:pBdr>
              <w:tabs>
                <w:tab w:val="clear" w:pos="4153"/>
                <w:tab w:val="clear" w:pos="8306"/>
              </w:tabs>
              <w:adjustRightInd/>
              <w:spacing w:line="240" w:lineRule="auto"/>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2</w:t>
            </w:r>
          </w:p>
        </w:tc>
        <w:tc>
          <w:tcPr>
            <w:tcW w:w="2028" w:type="dxa"/>
            <w:vAlign w:val="center"/>
          </w:tcPr>
          <w:p w14:paraId="27E12A6C">
            <w:pPr>
              <w:pStyle w:val="47"/>
              <w:pBdr>
                <w:bottom w:val="none" w:color="auto" w:sz="0" w:space="0"/>
              </w:pBdr>
              <w:tabs>
                <w:tab w:val="clear" w:pos="4153"/>
                <w:tab w:val="clear" w:pos="8306"/>
              </w:tabs>
              <w:adjustRightInd/>
              <w:spacing w:line="240" w:lineRule="auto"/>
              <w:textAlignment w:val="auto"/>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付款方式</w:t>
            </w:r>
          </w:p>
        </w:tc>
        <w:tc>
          <w:tcPr>
            <w:tcW w:w="6335" w:type="dxa"/>
            <w:vAlign w:val="center"/>
          </w:tcPr>
          <w:p w14:paraId="2048CBCA">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500" w:lineRule="exact"/>
              <w:jc w:val="left"/>
              <w:textAlignment w:val="auto"/>
              <w:rPr>
                <w:rFonts w:hint="default"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bCs w:val="0"/>
                <w:color w:val="auto"/>
                <w:kern w:val="0"/>
                <w:sz w:val="24"/>
                <w:szCs w:val="24"/>
                <w:highlight w:val="none"/>
                <w:lang w:val="en-US" w:eastAsia="zh-CN" w:bidi="ar-SA"/>
              </w:rPr>
              <w:t>所有货物供货、安装完成并经验收合格后，支付至已完成合格供货量价款的100%。</w:t>
            </w:r>
          </w:p>
        </w:tc>
      </w:tr>
      <w:tr w14:paraId="2503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95" w:type="dxa"/>
            <w:vAlign w:val="center"/>
          </w:tcPr>
          <w:p w14:paraId="63549DC2">
            <w:pPr>
              <w:pStyle w:val="47"/>
              <w:pBdr>
                <w:bottom w:val="none" w:color="auto" w:sz="0" w:space="0"/>
              </w:pBdr>
              <w:tabs>
                <w:tab w:val="clear" w:pos="4153"/>
                <w:tab w:val="clear" w:pos="8306"/>
              </w:tabs>
              <w:adjustRightInd/>
              <w:spacing w:line="240" w:lineRule="auto"/>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3</w:t>
            </w:r>
          </w:p>
        </w:tc>
        <w:tc>
          <w:tcPr>
            <w:tcW w:w="2028" w:type="dxa"/>
            <w:vAlign w:val="center"/>
          </w:tcPr>
          <w:p w14:paraId="514E500B">
            <w:pPr>
              <w:keepNext w:val="0"/>
              <w:keepLines w:val="0"/>
              <w:pageBreakBefore w:val="0"/>
              <w:kinsoku/>
              <w:overflowPunct/>
              <w:topLinePunct w:val="0"/>
              <w:autoSpaceDE/>
              <w:autoSpaceDN/>
              <w:bidi w:val="0"/>
              <w:spacing w:line="440" w:lineRule="exact"/>
              <w:jc w:val="center"/>
              <w:textAlignment w:val="auto"/>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签字或盖章要求</w:t>
            </w:r>
          </w:p>
        </w:tc>
        <w:tc>
          <w:tcPr>
            <w:tcW w:w="6335" w:type="dxa"/>
            <w:vAlign w:val="center"/>
          </w:tcPr>
          <w:p w14:paraId="26629F10">
            <w:pPr>
              <w:keepNext w:val="0"/>
              <w:keepLines w:val="0"/>
              <w:pageBreakBefore w:val="0"/>
              <w:kinsoku/>
              <w:overflowPunct/>
              <w:topLinePunct w:val="0"/>
              <w:autoSpaceDE/>
              <w:autoSpaceDN/>
              <w:bidi w:val="0"/>
              <w:spacing w:line="440" w:lineRule="exact"/>
              <w:jc w:val="left"/>
              <w:textAlignment w:val="auto"/>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响应文件须按格式文件要求签字或盖章。否则经评委会一致认定后，按照无效响应处理。</w:t>
            </w:r>
          </w:p>
        </w:tc>
      </w:tr>
    </w:tbl>
    <w:p w14:paraId="567D04FF">
      <w:pPr>
        <w:spacing w:line="360" w:lineRule="auto"/>
        <w:ind w:firstLine="437"/>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3" w:name="_Toc14682"/>
      <w:bookmarkStart w:id="24" w:name="_Toc29229"/>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供应商须知</w:t>
      </w:r>
      <w:r>
        <w:rPr>
          <w:rFonts w:hint="eastAsia" w:asciiTheme="minorEastAsia" w:hAnsiTheme="minorEastAsia" w:eastAsiaTheme="minorEastAsia"/>
          <w:b/>
          <w:color w:val="auto"/>
          <w:sz w:val="24"/>
          <w:highlight w:val="none"/>
        </w:rPr>
        <w:t>正文</w:t>
      </w:r>
      <w:bookmarkEnd w:id="23"/>
      <w:bookmarkEnd w:id="24"/>
    </w:p>
    <w:p w14:paraId="0CEFDA30">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w:t>
      </w:r>
      <w:r>
        <w:rPr>
          <w:rFonts w:hint="eastAsia" w:asciiTheme="minorEastAsia" w:hAnsiTheme="minorEastAsia" w:eastAsiaTheme="minorEastAsia"/>
          <w:b/>
          <w:color w:val="auto"/>
          <w:sz w:val="24"/>
          <w:highlight w:val="none"/>
          <w:lang w:eastAsia="zh-CN"/>
        </w:rPr>
        <w:t>代理机构</w:t>
      </w:r>
      <w:r>
        <w:rPr>
          <w:rFonts w:hint="eastAsia" w:asciiTheme="minorEastAsia" w:hAnsiTheme="minorEastAsia" w:eastAsiaTheme="minorEastAsia"/>
          <w:b/>
          <w:color w:val="auto"/>
          <w:sz w:val="24"/>
          <w:highlight w:val="none"/>
        </w:rPr>
        <w:t>及供应商</w:t>
      </w:r>
    </w:p>
    <w:p w14:paraId="6845FFCF">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.1采购人：</w:t>
      </w:r>
      <w:r>
        <w:rPr>
          <w:rFonts w:hint="eastAsia" w:asciiTheme="minorEastAsia" w:hAnsiTheme="minorEastAsia" w:eastAsiaTheme="minorEastAsia"/>
          <w:color w:val="auto"/>
          <w:sz w:val="24"/>
          <w:highlight w:val="none"/>
          <w:lang w:eastAsia="zh-CN"/>
        </w:rPr>
        <w:t>滁州市市直机关卫生所</w:t>
      </w:r>
      <w:r>
        <w:rPr>
          <w:rFonts w:asciiTheme="minorEastAsia" w:hAnsiTheme="minorEastAsia" w:eastAsiaTheme="minorEastAsia"/>
          <w:color w:val="auto"/>
          <w:sz w:val="24"/>
          <w:highlight w:val="none"/>
        </w:rPr>
        <w:t>。</w:t>
      </w:r>
    </w:p>
    <w:p w14:paraId="2DF7004D">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滁州市城投工程咨询管理有限公司</w:t>
      </w:r>
      <w:r>
        <w:rPr>
          <w:rFonts w:asciiTheme="minorEastAsia" w:hAnsiTheme="minorEastAsia" w:eastAsiaTheme="minorEastAsia"/>
          <w:color w:val="auto"/>
          <w:sz w:val="24"/>
          <w:highlight w:val="none"/>
        </w:rPr>
        <w:t>。</w:t>
      </w:r>
    </w:p>
    <w:p w14:paraId="066EA0A5">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.3政府采购监督管理部门：</w:t>
      </w:r>
      <w:r>
        <w:rPr>
          <w:rFonts w:hint="eastAsia" w:asciiTheme="minorEastAsia" w:hAnsiTheme="minorEastAsia" w:eastAsiaTheme="minorEastAsia"/>
          <w:color w:val="auto"/>
          <w:sz w:val="24"/>
          <w:highlight w:val="none"/>
          <w:lang w:eastAsia="zh-CN"/>
        </w:rPr>
        <w:t>滁州市市直机关卫生所</w:t>
      </w:r>
      <w:r>
        <w:rPr>
          <w:rFonts w:hint="eastAsia" w:asciiTheme="minorEastAsia" w:hAnsiTheme="minorEastAsia" w:eastAsiaTheme="minorEastAsia"/>
          <w:color w:val="auto"/>
          <w:sz w:val="24"/>
          <w:highlight w:val="none"/>
          <w:lang w:val="en-US" w:eastAsia="zh-CN"/>
        </w:rPr>
        <w:t>或上级单位的纪检或监察部门</w:t>
      </w:r>
      <w:r>
        <w:rPr>
          <w:rFonts w:hint="eastAsia" w:asciiTheme="minorEastAsia" w:hAnsiTheme="minorEastAsia" w:eastAsiaTheme="minorEastAsia"/>
          <w:color w:val="auto"/>
          <w:sz w:val="24"/>
          <w:highlight w:val="none"/>
        </w:rPr>
        <w:t>。</w:t>
      </w:r>
    </w:p>
    <w:p w14:paraId="28DAAF63">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.4供应商：是指</w:t>
      </w:r>
      <w:r>
        <w:rPr>
          <w:rFonts w:hint="eastAsia" w:asciiTheme="minorEastAsia" w:hAnsiTheme="minorEastAsia" w:eastAsiaTheme="minorEastAsia"/>
          <w:color w:val="auto"/>
          <w:sz w:val="24"/>
          <w:highlight w:val="none"/>
          <w:lang w:val="en-US" w:eastAsia="zh-CN"/>
        </w:rPr>
        <w:t>满足本项目参与条件的单位</w:t>
      </w:r>
      <w:r>
        <w:rPr>
          <w:rFonts w:hint="eastAsia" w:asciiTheme="minorEastAsia" w:hAnsiTheme="minorEastAsia" w:eastAsiaTheme="minorEastAsia"/>
          <w:color w:val="auto"/>
          <w:sz w:val="24"/>
          <w:highlight w:val="none"/>
        </w:rPr>
        <w:t>。</w:t>
      </w:r>
    </w:p>
    <w:p w14:paraId="621D29BD">
      <w:pPr>
        <w:spacing w:line="460" w:lineRule="exact"/>
        <w:ind w:firstLine="435"/>
        <w:rPr>
          <w:rFonts w:asciiTheme="minorEastAsia" w:hAnsiTheme="minorEastAsia" w:eastAsiaTheme="minorEastAsia"/>
          <w:color w:val="auto"/>
          <w:sz w:val="24"/>
          <w:highlight w:val="none"/>
        </w:rPr>
      </w:pPr>
      <w:bookmarkStart w:id="25" w:name="_Hlk60605411"/>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5</w:t>
      </w:r>
      <w:bookmarkEnd w:id="25"/>
      <w:r>
        <w:rPr>
          <w:rFonts w:hint="eastAsia" w:ascii="宋体" w:hAnsi="宋体" w:eastAsia="宋体"/>
          <w:bCs/>
          <w:color w:val="auto"/>
          <w:kern w:val="0"/>
          <w:sz w:val="24"/>
          <w:szCs w:val="28"/>
          <w:highlight w:val="none"/>
          <w:lang w:val="en-US" w:eastAsia="zh-CN"/>
        </w:rPr>
        <w:t>本项目不接受联合体</w:t>
      </w:r>
      <w:r>
        <w:rPr>
          <w:rFonts w:asciiTheme="minorEastAsia" w:hAnsiTheme="minorEastAsia" w:eastAsiaTheme="minorEastAsia"/>
          <w:color w:val="auto"/>
          <w:sz w:val="24"/>
          <w:highlight w:val="none"/>
        </w:rPr>
        <w:t>。</w:t>
      </w:r>
    </w:p>
    <w:p w14:paraId="3EDC2DEC">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资金落实情况</w:t>
      </w:r>
    </w:p>
    <w:p w14:paraId="4D3CADB3">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本项目的采购人已获得足以支付本次采购后所签订的合同项下的资金。</w:t>
      </w:r>
    </w:p>
    <w:p w14:paraId="69888622">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费用</w:t>
      </w:r>
    </w:p>
    <w:p w14:paraId="21DD6E4D">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不论询价的结果如何，供应商应承担所有与准备和参加询价有关的费用。</w:t>
      </w:r>
    </w:p>
    <w:p w14:paraId="5D8E4662">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6C72B4DE">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参照</w:t>
      </w:r>
      <w:r>
        <w:rPr>
          <w:rFonts w:hint="eastAsia" w:asciiTheme="minorEastAsia" w:hAnsiTheme="minorEastAsia" w:eastAsiaTheme="minorEastAsia"/>
          <w:color w:val="auto"/>
          <w:sz w:val="24"/>
          <w:highlight w:val="none"/>
        </w:rPr>
        <w:t>本项目本级和上级财政部门、政府采购监督管理部门的政府采购有关规定的约束，其权利受到上述法律法规的保护。</w:t>
      </w:r>
    </w:p>
    <w:p w14:paraId="16CF6A75">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eastAsia="zh-CN"/>
        </w:rPr>
        <w:t>询价采购文件</w:t>
      </w:r>
      <w:r>
        <w:rPr>
          <w:rFonts w:hint="eastAsia" w:asciiTheme="minorEastAsia" w:hAnsiTheme="minorEastAsia" w:eastAsiaTheme="minorEastAsia"/>
          <w:b/>
          <w:color w:val="auto"/>
          <w:sz w:val="24"/>
          <w:highlight w:val="none"/>
        </w:rPr>
        <w:t>构成</w:t>
      </w:r>
    </w:p>
    <w:p w14:paraId="0064706E">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5.1</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包括下列内容：</w:t>
      </w:r>
    </w:p>
    <w:p w14:paraId="0A4C7DC4">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询价邀请</w:t>
      </w:r>
    </w:p>
    <w:p w14:paraId="2B99CFD7">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供应商须知</w:t>
      </w:r>
    </w:p>
    <w:p w14:paraId="14145067">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119611A0">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w:t>
      </w:r>
      <w:r>
        <w:rPr>
          <w:rFonts w:hint="eastAsia" w:asciiTheme="minorEastAsia" w:hAnsiTheme="minorEastAsia" w:eastAsiaTheme="minorEastAsia"/>
          <w:color w:val="auto"/>
          <w:sz w:val="24"/>
          <w:highlight w:val="none"/>
        </w:rPr>
        <w:t>审方法</w:t>
      </w:r>
      <w:r>
        <w:rPr>
          <w:rFonts w:asciiTheme="minorEastAsia" w:hAnsiTheme="minorEastAsia" w:eastAsiaTheme="minorEastAsia"/>
          <w:color w:val="auto"/>
          <w:sz w:val="24"/>
          <w:highlight w:val="none"/>
        </w:rPr>
        <w:t>和标准</w:t>
      </w:r>
    </w:p>
    <w:p w14:paraId="1CAD8E33">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D133FE7">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响应文件格式</w:t>
      </w:r>
    </w:p>
    <w:p w14:paraId="00261F6A">
      <w:pPr>
        <w:spacing w:line="460" w:lineRule="exact"/>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10A11AC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本项目不组织</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w:t>
      </w:r>
    </w:p>
    <w:p w14:paraId="5FA48C3F">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不要求供应商提供样品。除仅凭书面方式不能准确描述采购需求，或者需要对样品进行主观判断以确认是否满足采购需求等特殊情况除外。</w:t>
      </w:r>
    </w:p>
    <w:p w14:paraId="1C6C81CB">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65195007">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供应商应认真阅读</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所有的事项、格式、条款和技术规范等。</w:t>
      </w:r>
    </w:p>
    <w:p w14:paraId="21A84B22">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eastAsia="zh-CN"/>
        </w:rPr>
        <w:t>询价采购文件</w:t>
      </w:r>
      <w:r>
        <w:rPr>
          <w:rFonts w:hint="eastAsia" w:asciiTheme="minorEastAsia" w:hAnsiTheme="minorEastAsia" w:eastAsiaTheme="minorEastAsia"/>
          <w:b/>
          <w:color w:val="auto"/>
          <w:sz w:val="24"/>
          <w:highlight w:val="none"/>
        </w:rPr>
        <w:t>的澄清与修改</w:t>
      </w:r>
    </w:p>
    <w:p w14:paraId="336769E3">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供应商如对</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内容有疑问，</w:t>
      </w:r>
      <w:r>
        <w:rPr>
          <w:rFonts w:hint="eastAsia" w:asciiTheme="minorEastAsia" w:hAnsiTheme="minorEastAsia" w:eastAsiaTheme="minorEastAsia"/>
          <w:color w:val="auto"/>
          <w:sz w:val="24"/>
          <w:highlight w:val="none"/>
        </w:rPr>
        <w:t>可</w:t>
      </w:r>
      <w:r>
        <w:rPr>
          <w:rFonts w:asciiTheme="minorEastAsia" w:hAnsiTheme="minorEastAsia" w:eastAsiaTheme="minorEastAsia"/>
          <w:color w:val="auto"/>
          <w:sz w:val="24"/>
          <w:highlight w:val="none"/>
        </w:rPr>
        <w:t>在</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截止时间前提交给代理机构。</w:t>
      </w:r>
    </w:p>
    <w:p w14:paraId="2BB37C27">
      <w:pPr>
        <w:keepNext w:val="0"/>
        <w:keepLines w:val="0"/>
        <w:pageBreakBefore w:val="0"/>
        <w:widowControl w:val="0"/>
        <w:kinsoku/>
        <w:wordWrap w:val="0"/>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2采购人可主动地或在答复供应商提出的询问时对</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进行澄清与修改。</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val="en-US" w:eastAsia="zh-CN"/>
        </w:rPr>
        <w:t>滁州市机关事务管理处官网（https://sgc.chuzhou.gov.cn/index.html）、滁州市城投工程咨询管理有限公司（https://www.czctgczx.com/）网站</w:t>
      </w:r>
      <w:r>
        <w:rPr>
          <w:rFonts w:hint="eastAsia" w:asciiTheme="minorEastAsia" w:hAnsiTheme="minorEastAsia" w:eastAsiaTheme="minorEastAsia"/>
          <w:color w:val="auto"/>
          <w:sz w:val="24"/>
          <w:highlight w:val="none"/>
        </w:rPr>
        <w: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组成部分，对供应商起约束作用</w:t>
      </w:r>
      <w:r>
        <w:rPr>
          <w:rFonts w:hint="eastAsia" w:asciiTheme="minorEastAsia" w:hAnsiTheme="minorEastAsia" w:eastAsiaTheme="minorEastAsia"/>
          <w:color w:val="auto"/>
          <w:sz w:val="24"/>
          <w:highlight w:val="none"/>
        </w:rPr>
        <w:t>。供应商应主动上网查询。</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不承担供应商未及时关注相关信息引发的相关责任。</w:t>
      </w:r>
    </w:p>
    <w:p w14:paraId="6AC2D94F">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6.3任何人或任何组织向供应商提供的任何书面或口头资料，未经</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在网上发布或书面通知，均作无效处理，不得作为</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的组成部分。</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对供应商由此而做出的推论、理解和结论概不负责。</w:t>
      </w:r>
    </w:p>
    <w:p w14:paraId="5BDB8C83">
      <w:pPr>
        <w:spacing w:line="460" w:lineRule="exact"/>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对于没有提出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w:t>
      </w:r>
      <w:r>
        <w:rPr>
          <w:rFonts w:hint="eastAsia" w:asciiTheme="minorEastAsia" w:hAnsiTheme="minorEastAsia" w:eastAsiaTheme="minorEastAsia"/>
          <w:color w:val="auto"/>
          <w:sz w:val="24"/>
          <w:highlight w:val="none"/>
        </w:rPr>
        <w:t>提交</w:t>
      </w:r>
      <w:r>
        <w:rPr>
          <w:rFonts w:asciiTheme="minorEastAsia" w:hAnsiTheme="minorEastAsia" w:eastAsiaTheme="minorEastAsia"/>
          <w:color w:val="auto"/>
          <w:sz w:val="24"/>
          <w:highlight w:val="none"/>
        </w:rPr>
        <w:t>了</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148FFEF">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响应范围及响应文件中标准和计量单位的使用</w:t>
      </w:r>
    </w:p>
    <w:p w14:paraId="34B1ED08">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提交</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的响应文件</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C498B1D">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.2供应商应当对所</w:t>
      </w:r>
      <w:r>
        <w:rPr>
          <w:rFonts w:hint="eastAsia" w:asciiTheme="minorEastAsia" w:hAnsiTheme="minorEastAsia" w:eastAsiaTheme="minorEastAsia"/>
          <w:color w:val="auto"/>
          <w:sz w:val="24"/>
          <w:highlight w:val="none"/>
        </w:rPr>
        <w:t>参与的</w:t>
      </w:r>
      <w:r>
        <w:rPr>
          <w:rFonts w:asciiTheme="minorEastAsia" w:hAnsiTheme="minorEastAsia" w:eastAsiaTheme="minorEastAsia"/>
          <w:color w:val="auto"/>
          <w:sz w:val="24"/>
          <w:highlight w:val="none"/>
        </w:rPr>
        <w:t>分包</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所参与包别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所参与包别的响应文件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C433CD5">
      <w:pPr>
        <w:spacing w:line="460" w:lineRule="exact"/>
        <w:ind w:firstLine="435"/>
        <w:rPr>
          <w:rFonts w:asciiTheme="minorEastAsia" w:hAnsiTheme="minorEastAsia" w:eastAsiaTheme="minorEastAsia"/>
          <w:color w:val="auto"/>
          <w:sz w:val="24"/>
          <w:highlight w:val="none"/>
        </w:rPr>
      </w:pPr>
      <w:bookmarkStart w:id="26"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中是否要求，</w:t>
      </w:r>
      <w:r>
        <w:rPr>
          <w:rFonts w:hint="eastAsia" w:asciiTheme="minorEastAsia" w:hAnsiTheme="minorEastAsia" w:eastAsiaTheme="minorEastAsia"/>
          <w:color w:val="auto"/>
          <w:sz w:val="24"/>
          <w:highlight w:val="none"/>
        </w:rPr>
        <w:t>供应商所提供的货物及伴随的服务和工程均应符合国家强制性标准。</w:t>
      </w:r>
    </w:p>
    <w:bookmarkEnd w:id="26"/>
    <w:p w14:paraId="49B8FA5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供应商与</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之间与</w:t>
      </w:r>
      <w:r>
        <w:rPr>
          <w:rFonts w:hint="eastAsia" w:asciiTheme="minorEastAsia" w:hAnsiTheme="minorEastAsia" w:eastAsiaTheme="minorEastAsia"/>
          <w:color w:val="auto"/>
          <w:sz w:val="24"/>
          <w:highlight w:val="none"/>
        </w:rPr>
        <w:t>询价</w:t>
      </w:r>
      <w:r>
        <w:rPr>
          <w:rFonts w:asciiTheme="minorEastAsia" w:hAnsiTheme="minorEastAsia" w:eastAsiaTheme="minorEastAsia"/>
          <w:color w:val="auto"/>
          <w:sz w:val="24"/>
          <w:highlight w:val="none"/>
        </w:rPr>
        <w:t>有关的所有往来通知、函件和响应文件均用中文表述。供应商随响应文件提供的证明文件和资料可以为其它语言，但必须附中文译文。翻译的中文资料与外文资料出现差异时，以中文为准。</w:t>
      </w:r>
    </w:p>
    <w:p w14:paraId="2CB82AEB">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中有特殊要求外，响应文件中所使用的计量单位，应采用中华人民共和国法定计量单位。</w:t>
      </w:r>
    </w:p>
    <w:p w14:paraId="534AB330">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4568013C">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.1供应商应完整地按</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提供的响应文件格式及要求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写响应文件，</w:t>
      </w:r>
      <w:r>
        <w:rPr>
          <w:rFonts w:hint="eastAsia" w:asciiTheme="minorEastAsia" w:hAnsiTheme="minorEastAsia" w:eastAsiaTheme="minorEastAsia"/>
          <w:color w:val="auto"/>
          <w:sz w:val="24"/>
          <w:highlight w:val="none"/>
        </w:rPr>
        <w:t>具体内容详见本项目响应文件格式的相关内容。</w:t>
      </w:r>
    </w:p>
    <w:p w14:paraId="2044D950">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2供应商应提交</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要求的证明文件，证明其响应内容符合</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7" w:name="_Hlk11703583"/>
      <w:r>
        <w:rPr>
          <w:rFonts w:asciiTheme="minorEastAsia" w:hAnsiTheme="minorEastAsia" w:eastAsiaTheme="minorEastAsia"/>
          <w:color w:val="auto"/>
          <w:sz w:val="24"/>
          <w:highlight w:val="none"/>
        </w:rPr>
        <w:t>。</w:t>
      </w:r>
    </w:p>
    <w:bookmarkEnd w:id="27"/>
    <w:p w14:paraId="4446446E">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为保证公平公正，除非另有规定或说明，供应商对同一项目</w:t>
      </w:r>
      <w:r>
        <w:rPr>
          <w:rFonts w:hint="eastAsia" w:asciiTheme="minorEastAsia" w:hAnsiTheme="minorEastAsia" w:eastAsiaTheme="minorEastAsia"/>
          <w:color w:val="auto"/>
          <w:sz w:val="24"/>
          <w:highlight w:val="none"/>
        </w:rPr>
        <w:t>提交响应文件</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备选响应</w:t>
      </w:r>
      <w:r>
        <w:rPr>
          <w:rFonts w:asciiTheme="minorEastAsia" w:hAnsiTheme="minorEastAsia" w:eastAsiaTheme="minorEastAsia"/>
          <w:color w:val="auto"/>
          <w:sz w:val="24"/>
          <w:highlight w:val="none"/>
        </w:rPr>
        <w:t>方案。</w:t>
      </w:r>
    </w:p>
    <w:p w14:paraId="52E480F3">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72B9D157">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.1供应商的报价应当包括满足本次</w:t>
      </w:r>
      <w:r>
        <w:rPr>
          <w:rFonts w:hint="eastAsia" w:asciiTheme="minorEastAsia" w:hAnsiTheme="minorEastAsia" w:eastAsiaTheme="minorEastAsia"/>
          <w:color w:val="auto"/>
          <w:sz w:val="24"/>
          <w:highlight w:val="none"/>
        </w:rPr>
        <w:t>询价</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bookmarkStart w:id="28" w:name="_Hlk23199390"/>
      <w:r>
        <w:rPr>
          <w:rFonts w:asciiTheme="minorEastAsia" w:hAnsiTheme="minorEastAsia" w:eastAsiaTheme="minorEastAsia"/>
          <w:color w:val="auto"/>
          <w:sz w:val="24"/>
          <w:highlight w:val="none"/>
        </w:rPr>
        <w:t>除</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中</w:t>
      </w:r>
      <w:r>
        <w:rPr>
          <w:rFonts w:hint="eastAsia" w:asciiTheme="minorEastAsia" w:hAnsiTheme="minorEastAsia" w:eastAsiaTheme="minorEastAsia"/>
          <w:color w:val="auto"/>
          <w:sz w:val="24"/>
          <w:highlight w:val="none"/>
        </w:rPr>
        <w:t>另有规定</w:t>
      </w:r>
      <w:r>
        <w:rPr>
          <w:rFonts w:asciiTheme="minorEastAsia" w:hAnsiTheme="minorEastAsia" w:eastAsiaTheme="minorEastAsia"/>
          <w:color w:val="auto"/>
          <w:sz w:val="24"/>
          <w:highlight w:val="none"/>
        </w:rPr>
        <w:t>外，</w:t>
      </w:r>
      <w:r>
        <w:rPr>
          <w:rFonts w:hint="eastAsia" w:asciiTheme="minorEastAsia" w:hAnsiTheme="minorEastAsia" w:eastAsiaTheme="minorEastAsia"/>
          <w:color w:val="auto"/>
          <w:sz w:val="24"/>
          <w:highlight w:val="none"/>
        </w:rPr>
        <w:t>供应商的报价均应以人民币报价，应遵守《中华人民共和国价格法》。</w:t>
      </w:r>
      <w:bookmarkEnd w:id="28"/>
    </w:p>
    <w:p w14:paraId="1989D45E">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9.2 </w:t>
      </w:r>
      <w:r>
        <w:rPr>
          <w:rFonts w:asciiTheme="minorEastAsia" w:hAnsiTheme="minorEastAsia" w:eastAsiaTheme="minorEastAsia"/>
          <w:color w:val="auto"/>
          <w:sz w:val="24"/>
          <w:highlight w:val="none"/>
        </w:rPr>
        <w:t>供应商应在报价表上标明</w:t>
      </w:r>
      <w:r>
        <w:rPr>
          <w:rFonts w:hint="eastAsia" w:asciiTheme="minorEastAsia" w:hAnsiTheme="minorEastAsia" w:eastAsiaTheme="minorEastAsia"/>
          <w:color w:val="auto"/>
          <w:sz w:val="24"/>
          <w:highlight w:val="none"/>
        </w:rPr>
        <w:t>提供的</w:t>
      </w:r>
      <w:r>
        <w:rPr>
          <w:rFonts w:asciiTheme="minorEastAsia" w:hAnsiTheme="minorEastAsia" w:eastAsiaTheme="minorEastAsia"/>
          <w:color w:val="auto"/>
          <w:sz w:val="24"/>
          <w:highlight w:val="none"/>
        </w:rPr>
        <w:t>货物及相关服务的单价（如适用）和总价。</w:t>
      </w:r>
      <w:r>
        <w:rPr>
          <w:rFonts w:hint="eastAsia" w:asciiTheme="minorEastAsia" w:hAnsiTheme="minorEastAsia" w:eastAsiaTheme="minorEastAsia"/>
          <w:color w:val="auto"/>
          <w:sz w:val="24"/>
          <w:highlight w:val="none"/>
        </w:rPr>
        <w:t>未标明的视同包含在报价中。</w:t>
      </w:r>
    </w:p>
    <w:p w14:paraId="21DD0FA8">
      <w:pPr>
        <w:spacing w:line="460" w:lineRule="exact"/>
        <w:ind w:firstLine="435"/>
        <w:rPr>
          <w:rFonts w:asciiTheme="minorEastAsia" w:hAnsiTheme="minorEastAsia" w:eastAsiaTheme="minorEastAsia"/>
          <w:color w:val="auto"/>
          <w:sz w:val="24"/>
          <w:highlight w:val="none"/>
        </w:rPr>
      </w:pPr>
      <w:bookmarkStart w:id="29" w:name="_Hlk23199512"/>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bookmarkEnd w:id="29"/>
    <w:p w14:paraId="0BBD203B">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123CA4E3">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询价有效期</w:t>
      </w:r>
    </w:p>
    <w:p w14:paraId="64BC84F8">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10.1询价有效期为从响应文件提交截止之日算起的日历天数，询价有效期详见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4E928A7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10.2在询价有效期内，供应商的响应文件保持有效，供应商不得要求撤销或修改其响应文件。询价有效期不满足要求的</w:t>
      </w:r>
      <w:r>
        <w:rPr>
          <w:rFonts w:hint="eastAsia" w:asciiTheme="minorEastAsia" w:hAnsiTheme="minorEastAsia" w:eastAsiaTheme="minorEastAsia"/>
          <w:b/>
          <w:bCs/>
          <w:color w:val="auto"/>
          <w:sz w:val="24"/>
          <w:highlight w:val="none"/>
        </w:rPr>
        <w:t>响应</w:t>
      </w:r>
      <w:r>
        <w:rPr>
          <w:rFonts w:hint="eastAsia" w:asciiTheme="minorEastAsia" w:hAnsiTheme="minorEastAsia" w:eastAsiaTheme="minorEastAsia"/>
          <w:b/>
          <w:color w:val="auto"/>
          <w:sz w:val="24"/>
          <w:highlight w:val="none"/>
        </w:rPr>
        <w:t>无效</w:t>
      </w:r>
      <w:r>
        <w:rPr>
          <w:rFonts w:hint="eastAsia" w:asciiTheme="minorEastAsia" w:hAnsiTheme="minorEastAsia" w:eastAsiaTheme="minorEastAsia"/>
          <w:color w:val="auto"/>
          <w:sz w:val="24"/>
          <w:highlight w:val="none"/>
        </w:rPr>
        <w:t>。</w:t>
      </w:r>
    </w:p>
    <w:p w14:paraId="79578C6F">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68CEF7A3">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w:t>
      </w:r>
      <w:r>
        <w:rPr>
          <w:rFonts w:hint="eastAsia" w:asciiTheme="minorEastAsia" w:hAnsiTheme="minorEastAsia" w:eastAsiaTheme="minorEastAsia"/>
          <w:b/>
          <w:color w:val="auto"/>
          <w:sz w:val="24"/>
          <w:highlight w:val="none"/>
          <w:lang w:val="en-US" w:eastAsia="zh-CN"/>
        </w:rPr>
        <w:t>编制、密封、</w:t>
      </w:r>
      <w:r>
        <w:rPr>
          <w:rFonts w:hint="eastAsia" w:asciiTheme="minorEastAsia" w:hAnsiTheme="minorEastAsia" w:eastAsiaTheme="minorEastAsia"/>
          <w:b/>
          <w:color w:val="auto"/>
          <w:sz w:val="24"/>
          <w:highlight w:val="none"/>
        </w:rPr>
        <w:t>提交、修改与撤回</w:t>
      </w:r>
    </w:p>
    <w:p w14:paraId="65D802DD">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 xml:space="preserve">11.1 </w:t>
      </w:r>
      <w:r>
        <w:rPr>
          <w:rFonts w:hint="eastAsia" w:asciiTheme="minorEastAsia" w:hAnsiTheme="minorEastAsia" w:eastAsiaTheme="minorEastAsia"/>
          <w:b w:val="0"/>
          <w:bCs/>
          <w:color w:val="auto"/>
          <w:sz w:val="24"/>
          <w:highlight w:val="none"/>
        </w:rPr>
        <w:t>响应</w:t>
      </w:r>
      <w:r>
        <w:rPr>
          <w:rFonts w:hint="eastAsia" w:asciiTheme="minorEastAsia" w:hAnsiTheme="minorEastAsia" w:eastAsiaTheme="minorEastAsia"/>
          <w:color w:val="auto"/>
          <w:sz w:val="24"/>
          <w:highlight w:val="none"/>
        </w:rPr>
        <w:t>文件的份数和编制</w:t>
      </w:r>
    </w:p>
    <w:p w14:paraId="4D497ADE">
      <w:pPr>
        <w:spacing w:line="460" w:lineRule="exact"/>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11.1.1</w:t>
      </w:r>
      <w:r>
        <w:rPr>
          <w:rFonts w:hint="eastAsia" w:asciiTheme="minorEastAsia" w:hAnsiTheme="minorEastAsia" w:eastAsiaTheme="minorEastAsia"/>
          <w:color w:val="auto"/>
          <w:sz w:val="24"/>
          <w:highlight w:val="none"/>
        </w:rPr>
        <w:t>响应文件一式</w:t>
      </w:r>
      <w:r>
        <w:rPr>
          <w:rFonts w:hint="eastAsia" w:asciiTheme="minorEastAsia" w:hAnsiTheme="minorEastAsia" w:eastAsiaTheme="minorEastAsia"/>
          <w:color w:val="auto"/>
          <w:sz w:val="24"/>
          <w:highlight w:val="none"/>
          <w:lang w:val="en-US" w:eastAsia="zh-CN"/>
        </w:rPr>
        <w:t>三</w:t>
      </w:r>
      <w:r>
        <w:rPr>
          <w:rFonts w:hint="eastAsia" w:asciiTheme="minorEastAsia" w:hAnsiTheme="minorEastAsia" w:eastAsiaTheme="minorEastAsia"/>
          <w:color w:val="auto"/>
          <w:sz w:val="24"/>
          <w:highlight w:val="none"/>
        </w:rPr>
        <w:t>份，正本一份，副本</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份</w:t>
      </w:r>
      <w:r>
        <w:rPr>
          <w:rFonts w:hint="eastAsia" w:asciiTheme="minorEastAsia" w:hAnsiTheme="minorEastAsia" w:eastAsiaTheme="minorEastAsia"/>
          <w:color w:val="auto"/>
          <w:sz w:val="24"/>
          <w:highlight w:val="none"/>
          <w:lang w:val="en-US" w:eastAsia="zh-CN"/>
        </w:rPr>
        <w:t>。</w:t>
      </w:r>
    </w:p>
    <w:p w14:paraId="095E1FFE">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 xml:space="preserve">11.1.2 </w:t>
      </w:r>
      <w:r>
        <w:rPr>
          <w:rFonts w:hint="eastAsia" w:asciiTheme="minorEastAsia" w:hAnsiTheme="minorEastAsia" w:eastAsiaTheme="minorEastAsia"/>
          <w:color w:val="auto"/>
          <w:sz w:val="24"/>
          <w:highlight w:val="none"/>
        </w:rPr>
        <w:t>响应文件的正本和副本均需打印或使用不褪色的蓝、黑墨水笔书写，字迹应清晰易于辩认，并应在响应文件封面的右上角清楚地注明“正本”或“副本”。正本和副本如有不一致之处，以正本为准。</w:t>
      </w:r>
    </w:p>
    <w:p w14:paraId="0A9DC844">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 xml:space="preserve">11.1.3 </w:t>
      </w:r>
      <w:r>
        <w:rPr>
          <w:rFonts w:hint="eastAsia" w:asciiTheme="minorEastAsia" w:hAnsiTheme="minorEastAsia" w:eastAsiaTheme="minorEastAsia"/>
          <w:color w:val="auto"/>
          <w:sz w:val="24"/>
          <w:highlight w:val="none"/>
        </w:rPr>
        <w:t>响应文件中的材料应当在格式文本要求的相应位置签字和盖章，否则，响应文件作无效投标处理。</w:t>
      </w:r>
    </w:p>
    <w:p w14:paraId="3C256D3F">
      <w:pPr>
        <w:spacing w:line="460" w:lineRule="exact"/>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 xml:space="preserve">11.2 </w:t>
      </w:r>
      <w:r>
        <w:rPr>
          <w:rFonts w:hint="eastAsia" w:asciiTheme="minorEastAsia" w:hAnsiTheme="minorEastAsia" w:eastAsiaTheme="minorEastAsia"/>
          <w:color w:val="auto"/>
          <w:sz w:val="24"/>
          <w:highlight w:val="none"/>
        </w:rPr>
        <w:t>响应文件的装订、密封和标记</w:t>
      </w:r>
    </w:p>
    <w:p w14:paraId="6157CBB6">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w:t>
      </w: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标文件的装订要求</w:t>
      </w:r>
    </w:p>
    <w:p w14:paraId="3DAD58FB">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w:t>
      </w:r>
      <w:r>
        <w:rPr>
          <w:rFonts w:hint="eastAsia" w:asciiTheme="minorEastAsia" w:hAnsiTheme="minorEastAsia" w:eastAsiaTheme="minorEastAsia"/>
          <w:color w:val="auto"/>
          <w:sz w:val="24"/>
          <w:highlight w:val="none"/>
        </w:rPr>
        <w:t>.1.1</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文件应当密封装订，按</w:t>
      </w:r>
      <w:r>
        <w:rPr>
          <w:rFonts w:hint="eastAsia" w:asciiTheme="minorEastAsia" w:hAnsiTheme="minorEastAsia" w:eastAsiaTheme="minorEastAsia"/>
          <w:color w:val="auto"/>
          <w:sz w:val="24"/>
          <w:highlight w:val="none"/>
          <w:lang w:val="en-US" w:eastAsia="zh-CN"/>
        </w:rPr>
        <w:t>采购</w:t>
      </w:r>
      <w:r>
        <w:rPr>
          <w:rFonts w:hint="eastAsia" w:asciiTheme="minorEastAsia" w:hAnsiTheme="minorEastAsia" w:eastAsiaTheme="minorEastAsia"/>
          <w:color w:val="auto"/>
          <w:sz w:val="24"/>
          <w:highlight w:val="none"/>
        </w:rPr>
        <w:t>文件规定的顺序装订在一起。</w:t>
      </w:r>
    </w:p>
    <w:p w14:paraId="26B0A748">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w:t>
      </w: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 xml:space="preserve"> 响应</w:t>
      </w:r>
      <w:r>
        <w:rPr>
          <w:rFonts w:hint="eastAsia" w:asciiTheme="minorEastAsia" w:hAnsiTheme="minorEastAsia" w:eastAsiaTheme="minorEastAsia"/>
          <w:color w:val="auto"/>
          <w:sz w:val="24"/>
          <w:highlight w:val="none"/>
        </w:rPr>
        <w:t>文件的密封</w:t>
      </w:r>
    </w:p>
    <w:p w14:paraId="2A6BCAA2">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w:t>
      </w:r>
      <w:r>
        <w:rPr>
          <w:rFonts w:hint="eastAsia" w:asciiTheme="minorEastAsia" w:hAnsiTheme="minorEastAsia" w:eastAsiaTheme="minorEastAsia"/>
          <w:color w:val="auto"/>
          <w:sz w:val="24"/>
          <w:highlight w:val="none"/>
        </w:rPr>
        <w:t>.2.1</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应当将</w:t>
      </w:r>
      <w:r>
        <w:rPr>
          <w:rFonts w:hint="eastAsia" w:asciiTheme="minorEastAsia" w:hAnsiTheme="minorEastAsia" w:eastAsiaTheme="minorEastAsia"/>
          <w:color w:val="auto"/>
          <w:sz w:val="24"/>
          <w:highlight w:val="none"/>
          <w:lang w:val="en-US" w:eastAsia="zh-CN"/>
        </w:rPr>
        <w:t>响应文件的正本、副本密封在一个投标文件袋内</w:t>
      </w:r>
      <w:r>
        <w:rPr>
          <w:rFonts w:hint="eastAsia" w:asciiTheme="minorEastAsia" w:hAnsiTheme="minorEastAsia" w:eastAsiaTheme="minorEastAsia"/>
          <w:color w:val="auto"/>
          <w:sz w:val="24"/>
          <w:highlight w:val="none"/>
        </w:rPr>
        <w:t>。</w:t>
      </w:r>
    </w:p>
    <w:p w14:paraId="304A5BD0">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w:t>
      </w:r>
      <w:r>
        <w:rPr>
          <w:rFonts w:hint="eastAsia" w:asciiTheme="minorEastAsia" w:hAnsiTheme="minorEastAsia" w:eastAsiaTheme="minorEastAsia"/>
          <w:color w:val="auto"/>
          <w:sz w:val="24"/>
          <w:highlight w:val="none"/>
        </w:rPr>
        <w:t xml:space="preserve">.3 </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文件密封袋的标记</w:t>
      </w:r>
    </w:p>
    <w:p w14:paraId="50F39FA1">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w:t>
      </w:r>
      <w:r>
        <w:rPr>
          <w:rFonts w:hint="eastAsia" w:asciiTheme="minorEastAsia" w:hAnsiTheme="minorEastAsia" w:eastAsiaTheme="minorEastAsia"/>
          <w:color w:val="auto"/>
          <w:sz w:val="24"/>
          <w:highlight w:val="none"/>
        </w:rPr>
        <w:t>.3.1在</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文件密封袋上应写明</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名称和地址、邮政编码。注明下列识别标志：</w:t>
      </w:r>
      <w:r>
        <w:rPr>
          <w:rFonts w:hint="eastAsia" w:asciiTheme="minorEastAsia" w:hAnsiTheme="minorEastAsia" w:eastAsiaTheme="minorEastAsia"/>
          <w:color w:val="auto"/>
          <w:sz w:val="24"/>
          <w:highlight w:val="none"/>
          <w:lang w:val="en-US" w:eastAsia="zh-CN"/>
        </w:rPr>
        <w:t>采购</w:t>
      </w:r>
      <w:r>
        <w:rPr>
          <w:rFonts w:hint="eastAsia" w:asciiTheme="minorEastAsia" w:hAnsiTheme="minorEastAsia" w:eastAsiaTheme="minorEastAsia"/>
          <w:color w:val="auto"/>
          <w:sz w:val="24"/>
          <w:highlight w:val="none"/>
        </w:rPr>
        <w:t>项目名称。</w:t>
      </w:r>
    </w:p>
    <w:p w14:paraId="0D968D67">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11.2.3.</w:t>
      </w: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所有</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文件的密封袋应加盖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印章；否则，该</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文件将被拒绝。</w:t>
      </w:r>
    </w:p>
    <w:p w14:paraId="6388AD1C">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11.3 响应</w:t>
      </w:r>
      <w:r>
        <w:rPr>
          <w:rFonts w:hint="eastAsia" w:asciiTheme="minorEastAsia" w:hAnsiTheme="minorEastAsia" w:eastAsiaTheme="minorEastAsia"/>
          <w:color w:val="auto"/>
          <w:sz w:val="24"/>
          <w:highlight w:val="none"/>
        </w:rPr>
        <w:t>文件的提交</w:t>
      </w:r>
    </w:p>
    <w:p w14:paraId="33FEF508">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11.3</w:t>
      </w:r>
      <w:r>
        <w:rPr>
          <w:rFonts w:hint="eastAsia" w:asciiTheme="minorEastAsia" w:hAnsiTheme="minorEastAsia" w:eastAsiaTheme="minorEastAsia"/>
          <w:color w:val="auto"/>
          <w:sz w:val="24"/>
          <w:highlight w:val="none"/>
        </w:rPr>
        <w:t xml:space="preserve">.1 </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文件提交的收件人、截止时间及地点</w:t>
      </w:r>
    </w:p>
    <w:p w14:paraId="621F6D77">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收件人：</w:t>
      </w:r>
      <w:r>
        <w:rPr>
          <w:rFonts w:hint="eastAsia" w:asciiTheme="minorEastAsia" w:hAnsiTheme="minorEastAsia" w:eastAsiaTheme="minorEastAsia"/>
          <w:color w:val="auto"/>
          <w:sz w:val="24"/>
          <w:highlight w:val="none"/>
          <w:lang w:val="en-US" w:eastAsia="zh-CN"/>
        </w:rPr>
        <w:t>滁州市城投工程咨询管理有限公司</w:t>
      </w:r>
      <w:r>
        <w:rPr>
          <w:rFonts w:hint="eastAsia" w:asciiTheme="minorEastAsia" w:hAnsiTheme="minorEastAsia" w:eastAsiaTheme="minorEastAsia"/>
          <w:color w:val="auto"/>
          <w:sz w:val="24"/>
          <w:highlight w:val="none"/>
        </w:rPr>
        <w:t xml:space="preserve"> </w:t>
      </w:r>
    </w:p>
    <w:p w14:paraId="6C286460">
      <w:pPr>
        <w:spacing w:line="460" w:lineRule="exact"/>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时  间：</w:t>
      </w:r>
      <w:r>
        <w:rPr>
          <w:rFonts w:hint="eastAsia" w:asciiTheme="minorEastAsia" w:hAnsiTheme="minorEastAsia" w:eastAsiaTheme="minorEastAsia"/>
          <w:color w:val="auto"/>
          <w:sz w:val="24"/>
          <w:highlight w:val="none"/>
          <w:u w:val="single"/>
          <w:lang w:val="en-US" w:eastAsia="zh-CN"/>
        </w:rPr>
        <w:t>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lang w:val="en-US" w:eastAsia="zh-CN"/>
        </w:rPr>
        <w:t xml:space="preserve"> </w:t>
      </w:r>
    </w:p>
    <w:p w14:paraId="0818238E">
      <w:pPr>
        <w:spacing w:line="46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地  点：</w:t>
      </w:r>
      <w:r>
        <w:rPr>
          <w:rFonts w:hint="eastAsia" w:asciiTheme="minorEastAsia" w:hAnsiTheme="minorEastAsia" w:eastAsiaTheme="minorEastAsia"/>
          <w:color w:val="auto"/>
          <w:sz w:val="24"/>
          <w:highlight w:val="none"/>
          <w:u w:val="single"/>
          <w:lang w:val="en-US" w:eastAsia="zh-CN"/>
        </w:rPr>
        <w:t>见</w:t>
      </w:r>
      <w:r>
        <w:rPr>
          <w:rFonts w:hint="eastAsia" w:asciiTheme="minorEastAsia" w:hAnsiTheme="minorEastAsia" w:eastAsiaTheme="minorEastAsia"/>
          <w:color w:val="auto"/>
          <w:sz w:val="24"/>
          <w:highlight w:val="none"/>
          <w:u w:val="single"/>
        </w:rPr>
        <w:t>供应商须知前附表</w:t>
      </w:r>
    </w:p>
    <w:p w14:paraId="1520CCD4">
      <w:pPr>
        <w:spacing w:line="460" w:lineRule="exact"/>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11.4 响应文件的修改与撤回</w:t>
      </w:r>
    </w:p>
    <w:p w14:paraId="6BDF21F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11.4.1</w:t>
      </w:r>
      <w:r>
        <w:rPr>
          <w:rFonts w:hint="eastAsia" w:asciiTheme="minorEastAsia" w:hAnsiTheme="minorEastAsia" w:eastAsiaTheme="minorEastAsia"/>
          <w:color w:val="auto"/>
          <w:sz w:val="24"/>
          <w:highlight w:val="none"/>
        </w:rPr>
        <w:t>供应商应当在提交截止时间前完成响应文件的提交，并可以补充、修改或者撤回响应文件。提交截止时间前未完成响应文件</w:t>
      </w:r>
      <w:r>
        <w:rPr>
          <w:rFonts w:hint="eastAsia" w:asciiTheme="minorEastAsia" w:hAnsiTheme="minorEastAsia" w:eastAsiaTheme="minorEastAsia"/>
          <w:color w:val="auto"/>
          <w:sz w:val="24"/>
          <w:highlight w:val="none"/>
          <w:lang w:val="en-US" w:eastAsia="zh-CN"/>
        </w:rPr>
        <w:t>提交</w:t>
      </w:r>
      <w:r>
        <w:rPr>
          <w:rFonts w:hint="eastAsia" w:asciiTheme="minorEastAsia" w:hAnsiTheme="minorEastAsia" w:eastAsiaTheme="minorEastAsia"/>
          <w:color w:val="auto"/>
          <w:sz w:val="24"/>
          <w:highlight w:val="none"/>
        </w:rPr>
        <w:t>的，视为撤回响应文件。提交截止时间后送达的响应文件，</w:t>
      </w:r>
      <w:r>
        <w:rPr>
          <w:rFonts w:hint="eastAsia" w:asciiTheme="minorEastAsia" w:hAnsiTheme="minorEastAsia" w:eastAsiaTheme="minorEastAsia"/>
          <w:color w:val="auto"/>
          <w:sz w:val="24"/>
          <w:highlight w:val="none"/>
          <w:lang w:val="en-US" w:eastAsia="zh-CN"/>
        </w:rPr>
        <w:t>采购人将</w:t>
      </w:r>
      <w:r>
        <w:rPr>
          <w:rFonts w:hint="eastAsia" w:asciiTheme="minorEastAsia" w:hAnsiTheme="minorEastAsia" w:eastAsiaTheme="minorEastAsia"/>
          <w:color w:val="auto"/>
          <w:sz w:val="24"/>
          <w:highlight w:val="none"/>
        </w:rPr>
        <w:t>拒收</w:t>
      </w:r>
      <w:r>
        <w:rPr>
          <w:rFonts w:asciiTheme="minorEastAsia" w:hAnsiTheme="minorEastAsia" w:eastAsiaTheme="minorEastAsia"/>
          <w:color w:val="auto"/>
          <w:sz w:val="24"/>
          <w:highlight w:val="none"/>
        </w:rPr>
        <w:t>。</w:t>
      </w:r>
    </w:p>
    <w:p w14:paraId="1F4B5555">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询价小组</w:t>
      </w:r>
    </w:p>
    <w:p w14:paraId="6F400DD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按照《中华人民共和国政府采购法》、《中华人民共和国政府采购法实施条例》及本项目本级和上级财政部门、政府采购监督管理部门的有关规定依法组建的询价小组，负责本项目评审工作。</w:t>
      </w:r>
    </w:p>
    <w:p w14:paraId="29D791D9">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响应文件的评审</w:t>
      </w:r>
    </w:p>
    <w:p w14:paraId="5FF1DF8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响应文件的评审</w:t>
      </w:r>
      <w:r>
        <w:rPr>
          <w:rFonts w:asciiTheme="minorEastAsia" w:hAnsiTheme="minorEastAsia" w:eastAsiaTheme="minorEastAsia"/>
          <w:color w:val="auto"/>
          <w:sz w:val="24"/>
          <w:highlight w:val="none"/>
        </w:rPr>
        <w:t>是指依据</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的规定，从响应文件的有效性和完整性对</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的响应程度进行审查，以确定是否对</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的实质性要求做出响应。</w:t>
      </w:r>
    </w:p>
    <w:p w14:paraId="14A61B02">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授权代表</w:t>
      </w:r>
      <w:r>
        <w:rPr>
          <w:rFonts w:asciiTheme="minorEastAsia" w:hAnsiTheme="minorEastAsia" w:eastAsiaTheme="minorEastAsia"/>
          <w:color w:val="auto"/>
          <w:sz w:val="24"/>
          <w:highlight w:val="none"/>
        </w:rPr>
        <w:t>认为采购人员及其相关人员有法律法规所列与其他供应商有利害关系的，可以向采购人或</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书面提出回避申请，并说明理由。</w:t>
      </w:r>
    </w:p>
    <w:p w14:paraId="0D50142B">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终止询价</w:t>
      </w:r>
    </w:p>
    <w:p w14:paraId="2532C247">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出现下列情形之一的，</w:t>
      </w:r>
      <w:r>
        <w:rPr>
          <w:rFonts w:asciiTheme="minorEastAsia" w:hAnsiTheme="minorEastAsia" w:eastAsiaTheme="minorEastAsia"/>
          <w:color w:val="auto"/>
          <w:sz w:val="24"/>
          <w:highlight w:val="none"/>
        </w:rPr>
        <w:t>采购人或者</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应当</w:t>
      </w:r>
      <w:bookmarkStart w:id="30" w:name="_Hlk22478676"/>
      <w:r>
        <w:rPr>
          <w:rFonts w:asciiTheme="minorEastAsia" w:hAnsiTheme="minorEastAsia" w:eastAsiaTheme="minorEastAsia"/>
          <w:color w:val="auto"/>
          <w:sz w:val="24"/>
          <w:highlight w:val="none"/>
        </w:rPr>
        <w:t>终止询价</w:t>
      </w:r>
      <w:bookmarkEnd w:id="30"/>
      <w:r>
        <w:rPr>
          <w:rFonts w:asciiTheme="minorEastAsia" w:hAnsiTheme="minorEastAsia" w:eastAsiaTheme="minorEastAsia"/>
          <w:color w:val="auto"/>
          <w:sz w:val="24"/>
          <w:highlight w:val="none"/>
        </w:rPr>
        <w:t>采购活动，发</w:t>
      </w:r>
      <w:r>
        <w:rPr>
          <w:rFonts w:hint="eastAsia" w:asciiTheme="minorEastAsia" w:hAnsiTheme="minorEastAsia" w:eastAsiaTheme="minorEastAsia"/>
          <w:color w:val="auto"/>
          <w:sz w:val="24"/>
          <w:highlight w:val="none"/>
        </w:rPr>
        <w:t>布项目终止公告并说明原因，</w:t>
      </w:r>
      <w:r>
        <w:rPr>
          <w:rFonts w:asciiTheme="minorEastAsia" w:hAnsiTheme="minorEastAsia" w:eastAsiaTheme="minorEastAsia"/>
          <w:color w:val="auto"/>
          <w:sz w:val="24"/>
          <w:highlight w:val="none"/>
        </w:rPr>
        <w:t>重新开展采购活动：</w:t>
      </w:r>
    </w:p>
    <w:p w14:paraId="4F35116B">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因情况变化，不再符合规定的询价采购方式适用情形的；</w:t>
      </w:r>
    </w:p>
    <w:p w14:paraId="689DE721">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出现影响采购公正的违法、违规行为的；</w:t>
      </w:r>
    </w:p>
    <w:p w14:paraId="7A6A1995">
      <w:pPr>
        <w:spacing w:line="460" w:lineRule="exact"/>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）在采购过程中符合竞争要求的供应商或者报价未超过采购预算的供应商不足3</w:t>
      </w:r>
      <w:r>
        <w:rPr>
          <w:rFonts w:hint="eastAsia" w:asciiTheme="minorEastAsia" w:hAnsiTheme="minorEastAsia" w:eastAsiaTheme="minorEastAsia"/>
          <w:color w:val="auto"/>
          <w:sz w:val="24"/>
          <w:highlight w:val="none"/>
        </w:rPr>
        <w:t>家的。</w:t>
      </w:r>
      <w:r>
        <w:rPr>
          <w:rFonts w:hint="eastAsia" w:asciiTheme="minorEastAsia" w:hAnsiTheme="minorEastAsia" w:eastAsiaTheme="minorEastAsia"/>
          <w:color w:val="auto"/>
          <w:sz w:val="24"/>
          <w:highlight w:val="none"/>
          <w:lang w:val="en-US" w:eastAsia="zh-CN"/>
        </w:rPr>
        <w:t>第一次采购失败原则上进行第二次公开询价。</w:t>
      </w:r>
    </w:p>
    <w:p w14:paraId="55327829">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D1C6B95">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3BD6B03B">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15.2询价小组要求供应商澄清、说明或者更正响应文件应当以书面形式（询标）作出。供应商的澄清、说明或者更正应当由法定代表人或其授权代表签字或者加盖公章。</w:t>
      </w:r>
    </w:p>
    <w:p w14:paraId="5967CEF6">
      <w:pPr>
        <w:spacing w:line="460" w:lineRule="exact"/>
        <w:ind w:firstLine="437"/>
        <w:outlineLvl w:val="2"/>
        <w:rPr>
          <w:rFonts w:asciiTheme="minorEastAsia" w:hAnsiTheme="minorEastAsia" w:eastAsiaTheme="minorEastAsia"/>
          <w:b/>
          <w:color w:val="auto"/>
          <w:sz w:val="24"/>
          <w:highlight w:val="none"/>
        </w:rPr>
      </w:pPr>
      <w:bookmarkStart w:id="31" w:name="_Hlk60605471"/>
      <w:r>
        <w:rPr>
          <w:rFonts w:hint="eastAsia" w:asciiTheme="minorEastAsia" w:hAnsiTheme="minorEastAsia" w:eastAsiaTheme="minorEastAsia"/>
          <w:b/>
          <w:color w:val="auto"/>
          <w:sz w:val="24"/>
          <w:highlight w:val="none"/>
        </w:rPr>
        <w:t>16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成交候选人的推荐原则及标准</w:t>
      </w:r>
    </w:p>
    <w:p w14:paraId="15E9A778">
      <w:pPr>
        <w:spacing w:line="360" w:lineRule="auto"/>
        <w:ind w:firstLine="435"/>
        <w:rPr>
          <w:rFonts w:asciiTheme="minorEastAsia" w:hAnsiTheme="minorEastAsia" w:eastAsiaTheme="minorEastAsia"/>
          <w:b/>
          <w:bCs/>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w:t>
      </w:r>
      <w:r>
        <w:rPr>
          <w:rFonts w:asciiTheme="minorEastAsia" w:hAnsiTheme="minorEastAsia" w:eastAsiaTheme="minorEastAsia"/>
          <w:b/>
          <w:bCs/>
          <w:color w:val="auto"/>
          <w:sz w:val="24"/>
          <w:highlight w:val="none"/>
        </w:rPr>
        <w:t>如一个分包内只有一种产品，不同供应商所投产品为同一品牌同一型号的，提供相同品牌相同型号产品的不同供应商，以其通过</w:t>
      </w:r>
      <w:r>
        <w:rPr>
          <w:rFonts w:hint="eastAsia" w:asciiTheme="minorEastAsia" w:hAnsiTheme="minorEastAsia" w:eastAsiaTheme="minorEastAsia"/>
          <w:b/>
          <w:bCs/>
          <w:color w:val="auto"/>
          <w:sz w:val="24"/>
          <w:highlight w:val="none"/>
        </w:rPr>
        <w:t>评</w:t>
      </w:r>
      <w:r>
        <w:rPr>
          <w:rFonts w:asciiTheme="minorEastAsia" w:hAnsiTheme="minorEastAsia" w:eastAsiaTheme="minorEastAsia"/>
          <w:b/>
          <w:bCs/>
          <w:color w:val="auto"/>
          <w:sz w:val="24"/>
          <w:highlight w:val="none"/>
        </w:rPr>
        <w:t>审且报价最低的供应商获得成交候选人推荐资格；报价相同的，则所投产品为节能产品、环境标志产品、不发达地区或少数民族地区产品者优先；报价相同且所投产品同为节能产品、环境标志产品、不发达地区或少数民族地区产品的，则由询价小组采取随机抽取方式确定。</w:t>
      </w:r>
    </w:p>
    <w:p w14:paraId="4ADAD4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载明核心产品，多家供应商提供的核心产品品牌型号相同的，按第</w:t>
      </w: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.2款规定处理。</w:t>
      </w:r>
    </w:p>
    <w:p w14:paraId="3FE07DF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除了算术修正和落实政府采购政策需进行的价格扣除外，不对供应商的报价进行任何调整。评审结果按修正和扣除后的报价由低到高顺序排列。修正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31"/>
    </w:p>
    <w:p w14:paraId="2CF14C53">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确定成交候选人和成交供应商</w:t>
      </w:r>
    </w:p>
    <w:p w14:paraId="4998363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询价小组应当从质量和服务均能满足询价</w:t>
      </w:r>
      <w:r>
        <w:rPr>
          <w:rFonts w:hint="eastAsia" w:asciiTheme="minorEastAsia" w:hAnsiTheme="minorEastAsia" w:eastAsiaTheme="minorEastAsia"/>
          <w:color w:val="auto"/>
          <w:sz w:val="24"/>
          <w:highlight w:val="none"/>
          <w:lang w:val="en-US" w:eastAsia="zh-CN"/>
        </w:rPr>
        <w:t>采购文件</w:t>
      </w:r>
      <w:r>
        <w:rPr>
          <w:rFonts w:hint="eastAsia" w:asciiTheme="minorEastAsia" w:hAnsiTheme="minorEastAsia" w:eastAsiaTheme="minorEastAsia"/>
          <w:color w:val="auto"/>
          <w:sz w:val="24"/>
          <w:highlight w:val="none"/>
        </w:rPr>
        <w:t>实质性响应要求的供应商中，按照报价由低到高的顺序提出</w:t>
      </w:r>
      <w:r>
        <w:rPr>
          <w:rFonts w:asciiTheme="minorEastAsia" w:hAnsiTheme="minorEastAsia" w:eastAsiaTheme="minorEastAsia"/>
          <w:color w:val="auto"/>
          <w:sz w:val="24"/>
          <w:highlight w:val="none"/>
        </w:rPr>
        <w:t>3名成交候选人</w:t>
      </w:r>
      <w:r>
        <w:rPr>
          <w:rFonts w:hint="eastAsia" w:asciiTheme="minorEastAsia" w:hAnsiTheme="minorEastAsia" w:eastAsiaTheme="minorEastAsia"/>
          <w:color w:val="auto"/>
          <w:sz w:val="24"/>
          <w:highlight w:val="none"/>
        </w:rPr>
        <w:t>。</w:t>
      </w:r>
    </w:p>
    <w:p w14:paraId="15B6CEB1">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17.2按</w:t>
      </w:r>
      <w:r>
        <w:rPr>
          <w:rFonts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中规定，经采购人或采购人授权的询价小组确定成交供应商。</w:t>
      </w:r>
    </w:p>
    <w:p w14:paraId="0DADBA88">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因重大变故采购任务取消时，采购人有权拒绝任何供应商成交，且对受影响的供应商不承担任何责任。</w:t>
      </w:r>
    </w:p>
    <w:p w14:paraId="130B4AAD">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编写评审报告</w:t>
      </w:r>
    </w:p>
    <w:p w14:paraId="0185EBB2">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3AA8621C">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.保密要求</w:t>
      </w:r>
    </w:p>
    <w:p w14:paraId="1CB084D6">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19</w:t>
      </w:r>
      <w:r>
        <w:rPr>
          <w:rFonts w:asciiTheme="minorEastAsia" w:hAnsiTheme="minorEastAsia" w:eastAsiaTheme="minorEastAsia"/>
          <w:color w:val="auto"/>
          <w:sz w:val="24"/>
          <w:highlight w:val="none"/>
        </w:rPr>
        <w:t>.1评审应在严格保密的情况下进行。</w:t>
      </w:r>
    </w:p>
    <w:p w14:paraId="53260A5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19</w:t>
      </w:r>
      <w:r>
        <w:rPr>
          <w:rFonts w:asciiTheme="minorEastAsia" w:hAnsiTheme="minorEastAsia" w:eastAsiaTheme="minorEastAsia"/>
          <w:color w:val="auto"/>
          <w:sz w:val="24"/>
          <w:highlight w:val="none"/>
        </w:rPr>
        <w:t>.2有关人员应当遵守评审工作纪律，不得泄露评审文件、评审情况和评审中获悉的国家秘密、商业秘密。</w:t>
      </w:r>
    </w:p>
    <w:p w14:paraId="290D26AB">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成交结果公告</w:t>
      </w:r>
    </w:p>
    <w:p w14:paraId="77156F2B">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规定由询价小组直接确定</w:t>
      </w:r>
      <w:r>
        <w:rPr>
          <w:rFonts w:hint="eastAsia" w:asciiTheme="minorEastAsia" w:hAnsiTheme="minorEastAsia" w:eastAsiaTheme="minorEastAsia"/>
          <w:color w:val="auto"/>
          <w:sz w:val="24"/>
          <w:highlight w:val="none"/>
        </w:rPr>
        <w:t>成交供应商外，</w:t>
      </w:r>
      <w:r>
        <w:rPr>
          <w:rFonts w:asciiTheme="minorEastAsia" w:hAnsiTheme="minorEastAsia" w:eastAsiaTheme="minorEastAsia"/>
          <w:color w:val="auto"/>
          <w:sz w:val="24"/>
          <w:highlight w:val="none"/>
        </w:rPr>
        <w:t>在评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结束后2个工作日内</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将评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报告送采购人。采购人应当自收到评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报告之日起５个工作日内，在评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报告确定的</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候选人名单中按顺序确定</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候选人并列的，由采购人或者采购人委托询价小组按照</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规定的方式确定</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询价采购文件</w:t>
      </w:r>
      <w:r>
        <w:rPr>
          <w:rFonts w:asciiTheme="minorEastAsia" w:hAnsiTheme="minorEastAsia" w:eastAsiaTheme="minorEastAsia"/>
          <w:color w:val="auto"/>
          <w:sz w:val="24"/>
          <w:highlight w:val="none"/>
        </w:rPr>
        <w:t>未规定的，采取随机抽取的方式确定。</w:t>
      </w:r>
    </w:p>
    <w:p w14:paraId="5EAC2160">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20</w:t>
      </w:r>
      <w:r>
        <w:rPr>
          <w:rFonts w:asciiTheme="minorEastAsia" w:hAnsiTheme="minorEastAsia" w:eastAsiaTheme="minorEastAsia"/>
          <w:color w:val="auto"/>
          <w:sz w:val="24"/>
          <w:highlight w:val="none"/>
        </w:rPr>
        <w:t>.2自</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确定之日起2个工作日内，代理机构</w:t>
      </w:r>
      <w:r>
        <w:rPr>
          <w:rFonts w:hint="eastAsia" w:asciiTheme="minorEastAsia" w:hAnsiTheme="minorEastAsia" w:eastAsiaTheme="minorEastAsia"/>
          <w:color w:val="auto"/>
          <w:sz w:val="24"/>
          <w:highlight w:val="none"/>
        </w:rPr>
        <w:t>将</w:t>
      </w:r>
      <w:r>
        <w:rPr>
          <w:rFonts w:hint="eastAsia" w:ascii="宋体" w:hAnsi="宋体" w:eastAsia="宋体"/>
          <w:color w:val="auto"/>
          <w:sz w:val="24"/>
          <w:szCs w:val="18"/>
          <w:highlight w:val="none"/>
        </w:rPr>
        <w:t>在</w:t>
      </w:r>
      <w:r>
        <w:rPr>
          <w:rFonts w:hint="eastAsia" w:ascii="宋体" w:hAnsi="宋体" w:eastAsia="宋体"/>
          <w:color w:val="auto"/>
          <w:sz w:val="24"/>
          <w:szCs w:val="18"/>
          <w:highlight w:val="none"/>
          <w:lang w:val="en-US" w:eastAsia="zh-CN"/>
        </w:rPr>
        <w:t>滁州市机关事务管理处官网（https://sgc.chuzhou.gov.cn/index.html）</w:t>
      </w:r>
      <w:r>
        <w:rPr>
          <w:rFonts w:asciiTheme="minorEastAsia" w:hAnsiTheme="minorEastAsia" w:eastAsiaTheme="minorEastAsia"/>
          <w:color w:val="auto"/>
          <w:sz w:val="24"/>
          <w:highlight w:val="none"/>
        </w:rPr>
        <w:t>发布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w:t>
      </w:r>
    </w:p>
    <w:p w14:paraId="25DBA702">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成交通知书</w:t>
      </w:r>
    </w:p>
    <w:p w14:paraId="4EF05B3D">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代理机构</w:t>
      </w:r>
      <w:r>
        <w:rPr>
          <w:rFonts w:asciiTheme="minorEastAsia" w:hAnsiTheme="minorEastAsia" w:eastAsiaTheme="minorEastAsia"/>
          <w:color w:val="auto"/>
          <w:sz w:val="24"/>
          <w:highlight w:val="none"/>
        </w:rPr>
        <w:t>发布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发出</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w:t>
      </w:r>
      <w:r>
        <w:rPr>
          <w:rFonts w:hint="eastAsia" w:asciiTheme="minorEastAsia" w:hAnsiTheme="minorEastAsia" w:eastAsiaTheme="minorEastAsia"/>
          <w:color w:val="auto"/>
          <w:sz w:val="24"/>
          <w:highlight w:val="none"/>
        </w:rPr>
        <w:t>中标通知书须加盖采购人、</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公章后，方可发出。</w:t>
      </w:r>
    </w:p>
    <w:p w14:paraId="68861818">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通知书对采购人和</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具有同等法律效力。</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通知书发出以后，采购人改变</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结果或者</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放弃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，应当承担相应的法律责任。</w:t>
      </w:r>
    </w:p>
    <w:p w14:paraId="58D73F54">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通知书是合同的组成部分。</w:t>
      </w:r>
    </w:p>
    <w:p w14:paraId="06457D64">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.告知</w:t>
      </w:r>
      <w:r>
        <w:rPr>
          <w:rFonts w:hint="eastAsia" w:asciiTheme="minorEastAsia" w:hAnsiTheme="minorEastAsia" w:eastAsiaTheme="minorEastAsia"/>
          <w:b/>
          <w:color w:val="auto"/>
          <w:sz w:val="24"/>
          <w:highlight w:val="none"/>
        </w:rPr>
        <w:t>询价</w:t>
      </w:r>
      <w:r>
        <w:rPr>
          <w:rFonts w:asciiTheme="minorEastAsia" w:hAnsiTheme="minorEastAsia" w:eastAsiaTheme="minorEastAsia"/>
          <w:b/>
          <w:color w:val="auto"/>
          <w:sz w:val="24"/>
          <w:highlight w:val="none"/>
        </w:rPr>
        <w:t>结果</w:t>
      </w:r>
    </w:p>
    <w:p w14:paraId="584B5B57">
      <w:pPr>
        <w:spacing w:line="46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22.1在公告成交结果的同时，</w:t>
      </w:r>
      <w:r>
        <w:rPr>
          <w:rFonts w:hint="eastAsia" w:ascii="宋体" w:hAnsi="宋体" w:eastAsia="宋体" w:cs="宋体"/>
          <w:color w:val="auto"/>
          <w:sz w:val="24"/>
          <w:szCs w:val="24"/>
          <w:highlight w:val="none"/>
          <w:lang w:eastAsia="zh-CN"/>
        </w:rPr>
        <w:t>代理机构</w:t>
      </w:r>
      <w:r>
        <w:rPr>
          <w:rFonts w:hint="eastAsia" w:ascii="宋体" w:hAnsi="宋体" w:eastAsia="宋体" w:cs="宋体"/>
          <w:color w:val="auto"/>
          <w:sz w:val="24"/>
          <w:szCs w:val="24"/>
          <w:highlight w:val="none"/>
        </w:rPr>
        <w:t>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0B9F1257">
      <w:pPr>
        <w:spacing w:line="460" w:lineRule="exact"/>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22.2代理机构对未成交的供应商不做未成交原因的解释</w:t>
      </w:r>
      <w:r>
        <w:rPr>
          <w:rFonts w:asciiTheme="minorEastAsia" w:hAnsiTheme="minorEastAsia" w:eastAsiaTheme="minorEastAsia"/>
          <w:color w:val="auto"/>
          <w:sz w:val="24"/>
          <w:highlight w:val="none"/>
        </w:rPr>
        <w:t>。</w:t>
      </w:r>
    </w:p>
    <w:p w14:paraId="2141FA6E">
      <w:pPr>
        <w:spacing w:line="460" w:lineRule="exact"/>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52BAECEE">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3.1成交供应商应按照</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规定缴纳履约保证金。</w:t>
      </w:r>
    </w:p>
    <w:p w14:paraId="58A0E9A3">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如果成交供应商没有按照上述履约保证金的规定执行，将视为放弃成交资格。在此情况下，采购人可</w:t>
      </w:r>
      <w:r>
        <w:rPr>
          <w:rFonts w:asciiTheme="minorEastAsia" w:hAnsiTheme="minorEastAsia" w:eastAsiaTheme="minorEastAsia"/>
          <w:color w:val="auto"/>
          <w:sz w:val="24"/>
          <w:highlight w:val="none"/>
        </w:rPr>
        <w:t>确定下一</w:t>
      </w:r>
      <w:r>
        <w:rPr>
          <w:rFonts w:hint="eastAsia" w:asciiTheme="minorEastAsia" w:hAnsiTheme="minorEastAsia" w:eastAsiaTheme="minorEastAsia"/>
          <w:color w:val="auto"/>
          <w:sz w:val="24"/>
          <w:highlight w:val="none"/>
        </w:rPr>
        <w:t>成交候选</w:t>
      </w:r>
      <w:r>
        <w:rPr>
          <w:rFonts w:asciiTheme="minorEastAsia" w:hAnsiTheme="minorEastAsia" w:eastAsiaTheme="minorEastAsia"/>
          <w:color w:val="auto"/>
          <w:sz w:val="24"/>
          <w:highlight w:val="none"/>
        </w:rPr>
        <w:t>人为</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，也可以重新开展采购活动。</w:t>
      </w:r>
    </w:p>
    <w:p w14:paraId="0A4881CD">
      <w:pPr>
        <w:spacing w:line="460" w:lineRule="exact"/>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5A082273">
      <w:pPr>
        <w:spacing w:line="460" w:lineRule="exact"/>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本项目代理费用的收取按</w:t>
      </w:r>
      <w:r>
        <w:rPr>
          <w:rFonts w:hint="eastAsia" w:asciiTheme="minorEastAsia" w:hAnsiTheme="minorEastAsia" w:eastAsiaTheme="minorEastAsia"/>
          <w:color w:val="auto"/>
          <w:sz w:val="24"/>
          <w:highlight w:val="none"/>
          <w:u w:val="single"/>
        </w:rPr>
        <w:t>供应商须知前附表的</w:t>
      </w:r>
      <w:r>
        <w:rPr>
          <w:rFonts w:hint="eastAsia" w:asciiTheme="minorEastAsia" w:hAnsiTheme="minorEastAsia" w:eastAsiaTheme="minorEastAsia"/>
          <w:color w:val="auto"/>
          <w:sz w:val="24"/>
          <w:highlight w:val="none"/>
        </w:rPr>
        <w:t>规定执行。</w:t>
      </w:r>
    </w:p>
    <w:p w14:paraId="4BEA86FA">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7F8E784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25.1</w:t>
      </w:r>
      <w:r>
        <w:rPr>
          <w:rFonts w:hint="eastAsia" w:ascii="宋体" w:hAnsi="宋体" w:eastAsia="宋体" w:cs="宋体"/>
          <w:color w:val="auto"/>
          <w:sz w:val="24"/>
          <w:szCs w:val="24"/>
          <w:highlight w:val="none"/>
        </w:rPr>
        <w:t>采购人与成交供应商应当</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lang w:val="en-US" w:eastAsia="zh-CN"/>
        </w:rPr>
        <w:t>成交通知书发出之日起7个工作日内</w:t>
      </w:r>
      <w:r>
        <w:rPr>
          <w:rFonts w:hint="eastAsia" w:ascii="宋体" w:hAnsi="宋体" w:eastAsia="宋体" w:cs="宋体"/>
          <w:color w:val="auto"/>
          <w:sz w:val="24"/>
          <w:szCs w:val="24"/>
          <w:highlight w:val="none"/>
        </w:rPr>
        <w:t>完成合同签订及合同公告。</w:t>
      </w:r>
    </w:p>
    <w:p w14:paraId="0000323B">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25.2</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、成交供应商的响应文件及其澄清文件等，均为签订合同的依据。</w:t>
      </w:r>
    </w:p>
    <w:p w14:paraId="5C42629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25.3成交供应商</w:t>
      </w:r>
      <w:r>
        <w:rPr>
          <w:rFonts w:asciiTheme="minorEastAsia" w:hAnsiTheme="minorEastAsia" w:eastAsiaTheme="minorEastAsia"/>
          <w:color w:val="auto"/>
          <w:sz w:val="24"/>
          <w:highlight w:val="none"/>
        </w:rPr>
        <w:t>拒绝与采购人签订合同的，采购人可以按照评审报告推荐的</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w:t>
      </w:r>
      <w:r>
        <w:rPr>
          <w:rFonts w:hint="eastAsia" w:asciiTheme="minorEastAsia" w:hAnsiTheme="minorEastAsia" w:eastAsiaTheme="minorEastAsia"/>
          <w:color w:val="auto"/>
          <w:sz w:val="24"/>
          <w:highlight w:val="none"/>
        </w:rPr>
        <w:t>名单</w:t>
      </w:r>
      <w:r>
        <w:rPr>
          <w:rFonts w:asciiTheme="minorEastAsia" w:hAnsiTheme="minorEastAsia" w:eastAsiaTheme="minorEastAsia"/>
          <w:color w:val="auto"/>
          <w:sz w:val="24"/>
          <w:highlight w:val="none"/>
        </w:rPr>
        <w:t>排序</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确定下一</w:t>
      </w:r>
      <w:r>
        <w:rPr>
          <w:rFonts w:hint="eastAsia" w:asciiTheme="minorEastAsia" w:hAnsiTheme="minorEastAsia" w:eastAsiaTheme="minorEastAsia"/>
          <w:color w:val="auto"/>
          <w:sz w:val="24"/>
          <w:highlight w:val="none"/>
        </w:rPr>
        <w:t>成交候选</w:t>
      </w:r>
      <w:r>
        <w:rPr>
          <w:rFonts w:asciiTheme="minorEastAsia" w:hAnsiTheme="minorEastAsia" w:eastAsiaTheme="minorEastAsia"/>
          <w:color w:val="auto"/>
          <w:sz w:val="24"/>
          <w:highlight w:val="none"/>
        </w:rPr>
        <w:t>人为</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，也可以重新开展政府采购活动。</w:t>
      </w:r>
    </w:p>
    <w:p w14:paraId="1BDA1F6A">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25.4当出现法规规定的成交无效或成交结果无效情形时，采购人可依法与排名下一位的成交候选人另行签订合同，或依法重新开展采购活动。</w:t>
      </w:r>
    </w:p>
    <w:p w14:paraId="38281179">
      <w:pPr>
        <w:spacing w:line="460" w:lineRule="exact"/>
        <w:ind w:firstLine="437"/>
        <w:outlineLvl w:val="2"/>
        <w:rPr>
          <w:rFonts w:asciiTheme="minorEastAsia" w:hAnsiTheme="minorEastAsia" w:eastAsiaTheme="minorEastAsia"/>
          <w:b/>
          <w:color w:val="auto"/>
          <w:sz w:val="24"/>
          <w:highlight w:val="none"/>
        </w:rPr>
      </w:pPr>
      <w:bookmarkStart w:id="32" w:name="_Toc2583661"/>
      <w:bookmarkStart w:id="33" w:name="_Toc518923100"/>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2"/>
      <w:bookmarkEnd w:id="33"/>
    </w:p>
    <w:p w14:paraId="540523AE">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26.1代理机构</w:t>
      </w:r>
      <w:r>
        <w:rPr>
          <w:rFonts w:asciiTheme="minorEastAsia" w:hAnsiTheme="minorEastAsia" w:eastAsiaTheme="minorEastAsia"/>
          <w:color w:val="auto"/>
          <w:sz w:val="24"/>
          <w:highlight w:val="none"/>
        </w:rPr>
        <w:t>工作人员</w:t>
      </w:r>
      <w:r>
        <w:rPr>
          <w:rFonts w:hint="eastAsia" w:asciiTheme="minorEastAsia" w:hAnsiTheme="minorEastAsia" w:eastAsiaTheme="minorEastAsia"/>
          <w:color w:val="auto"/>
          <w:sz w:val="24"/>
          <w:highlight w:val="none"/>
        </w:rPr>
        <w:t>不得以不正当手段获取政府采购代理业务，不得与采购人、供应商恶意串通。</w:t>
      </w:r>
    </w:p>
    <w:p w14:paraId="366E28A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代理机构工作人员不得接受采购人或者供应商组织的宴请、旅游、娱乐，不得收受礼品、现金、有价证券等，不得向采购人或者供应商报销应当由个人承担的费用。</w:t>
      </w:r>
    </w:p>
    <w:p w14:paraId="4D99DCD1">
      <w:pPr>
        <w:spacing w:line="460" w:lineRule="exact"/>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40E3AD9">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27.1供应商认为</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、采购过程和成交结果使自己的权益受到损害的，可以在知道或者应知其权益受到损害之日起七个工作日内，以书面形式向采购人或其委托的</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提出质疑。</w:t>
      </w:r>
    </w:p>
    <w:p w14:paraId="0B803E04">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27.2质疑供应商应按照财政部制定的《政府采购质疑函范本》格式（详见</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）和《政府采购质疑和投诉办法》的要求，在法定质疑期内以书面形式提出质疑，超出法定质疑期提交的质疑将被拒绝。针对同一采购程序环节的质疑应一次性提出。</w:t>
      </w:r>
    </w:p>
    <w:p w14:paraId="3E4C3B87">
      <w:pPr>
        <w:spacing w:line="46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27.3</w:t>
      </w:r>
      <w:r>
        <w:rPr>
          <w:rFonts w:hint="eastAsia" w:asciiTheme="minorEastAsia" w:hAnsiTheme="minorEastAsia" w:eastAsiaTheme="minorEastAsia"/>
          <w:color w:val="auto"/>
          <w:sz w:val="24"/>
          <w:highlight w:val="none"/>
          <w:lang w:eastAsia="zh-CN"/>
        </w:rPr>
        <w:t>代理机构</w:t>
      </w:r>
      <w:r>
        <w:rPr>
          <w:rFonts w:hint="eastAsia" w:asciiTheme="minorEastAsia" w:hAnsiTheme="minorEastAsia" w:eastAsiaTheme="minorEastAsia"/>
          <w:color w:val="auto"/>
          <w:sz w:val="24"/>
          <w:highlight w:val="none"/>
        </w:rPr>
        <w:t>质疑函接收部门、联系电话和通讯地址，见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67EF25AC">
      <w:pPr>
        <w:spacing w:line="460" w:lineRule="exact"/>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8</w:t>
      </w:r>
      <w:r>
        <w:rPr>
          <w:rFonts w:hint="eastAsia" w:asciiTheme="minorEastAsia" w:hAnsiTheme="minorEastAsia" w:eastAsiaTheme="minorEastAsia"/>
          <w:b/>
          <w:color w:val="auto"/>
          <w:sz w:val="24"/>
          <w:highlight w:val="none"/>
        </w:rPr>
        <w:t>.需要补充的其他内容</w:t>
      </w:r>
    </w:p>
    <w:p w14:paraId="64511E5B">
      <w:pPr>
        <w:spacing w:line="460" w:lineRule="exact"/>
        <w:ind w:firstLine="435"/>
        <w:rPr>
          <w:rFonts w:hint="eastAsia" w:asciiTheme="minorEastAsia" w:hAnsiTheme="minorEastAsia" w:eastAsiaTheme="minorEastAsia"/>
          <w:color w:val="auto"/>
          <w:sz w:val="24"/>
          <w:highlight w:val="none"/>
        </w:rPr>
        <w:sectPr>
          <w:headerReference r:id="rId5" w:type="default"/>
          <w:footerReference r:id="rId6" w:type="default"/>
          <w:pgSz w:w="11905" w:h="16838"/>
          <w:pgMar w:top="1417" w:right="1417" w:bottom="1417" w:left="1417" w:header="851" w:footer="992" w:gutter="0"/>
          <w:pgNumType w:fmt="decimal" w:start="1"/>
          <w:cols w:space="0" w:num="1"/>
          <w:rtlGutter w:val="0"/>
          <w:docGrid w:type="lines" w:linePitch="313" w:charSpace="0"/>
        </w:sect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74EDD8A5">
      <w:pPr>
        <w:spacing w:line="380" w:lineRule="exact"/>
        <w:jc w:val="center"/>
        <w:outlineLvl w:val="0"/>
        <w:rPr>
          <w:rFonts w:asciiTheme="minorEastAsia" w:hAnsiTheme="minorEastAsia" w:eastAsiaTheme="minorEastAsia"/>
          <w:b/>
          <w:color w:val="auto"/>
          <w:sz w:val="28"/>
          <w:highlight w:val="none"/>
        </w:rPr>
      </w:pPr>
      <w:bookmarkStart w:id="34" w:name="_Toc1471"/>
      <w:r>
        <w:rPr>
          <w:rFonts w:hint="eastAsia" w:asciiTheme="minorEastAsia" w:hAnsiTheme="minorEastAsia" w:eastAsiaTheme="minorEastAsia"/>
          <w:b/>
          <w:color w:val="auto"/>
          <w:sz w:val="28"/>
          <w:highlight w:val="none"/>
        </w:rPr>
        <w:t>第三章  采购需求</w:t>
      </w:r>
      <w:bookmarkEnd w:id="34"/>
    </w:p>
    <w:p w14:paraId="4C5E86D7">
      <w:pPr>
        <w:spacing w:line="380" w:lineRule="exact"/>
        <w:ind w:firstLine="437"/>
        <w:outlineLvl w:val="1"/>
        <w:rPr>
          <w:rFonts w:asciiTheme="minorEastAsia" w:hAnsiTheme="minorEastAsia" w:eastAsiaTheme="minorEastAsia"/>
          <w:b/>
          <w:bCs/>
          <w:color w:val="auto"/>
          <w:sz w:val="24"/>
          <w:szCs w:val="18"/>
          <w:highlight w:val="none"/>
        </w:rPr>
      </w:pPr>
      <w:bookmarkStart w:id="35" w:name="_Toc23627"/>
      <w:bookmarkStart w:id="36" w:name="_Toc23283"/>
      <w:r>
        <w:rPr>
          <w:rFonts w:hint="eastAsia" w:asciiTheme="minorEastAsia" w:hAnsiTheme="minorEastAsia" w:eastAsiaTheme="minorEastAsia"/>
          <w:b/>
          <w:color w:val="auto"/>
          <w:sz w:val="24"/>
          <w:szCs w:val="18"/>
          <w:highlight w:val="none"/>
        </w:rPr>
        <w:t>一、</w:t>
      </w:r>
      <w:bookmarkEnd w:id="35"/>
      <w:bookmarkEnd w:id="36"/>
      <w:bookmarkStart w:id="37" w:name="_Toc16847"/>
      <w:bookmarkStart w:id="38" w:name="_Toc30209"/>
      <w:r>
        <w:rPr>
          <w:rFonts w:hint="eastAsia" w:asciiTheme="minorEastAsia" w:hAnsiTheme="minorEastAsia" w:eastAsiaTheme="minorEastAsia"/>
          <w:b/>
          <w:bCs/>
          <w:color w:val="auto"/>
          <w:sz w:val="24"/>
          <w:szCs w:val="18"/>
          <w:highlight w:val="none"/>
        </w:rPr>
        <w:t>货物需求</w:t>
      </w:r>
      <w:bookmarkEnd w:id="37"/>
      <w:bookmarkEnd w:id="38"/>
    </w:p>
    <w:p w14:paraId="33DAD4FF">
      <w:pPr>
        <w:spacing w:line="70" w:lineRule="exact"/>
        <w:rPr>
          <w:color w:val="auto"/>
          <w:highlight w:val="none"/>
        </w:rPr>
      </w:pPr>
      <w:bookmarkStart w:id="39" w:name="_Toc16122"/>
      <w:bookmarkStart w:id="40" w:name="_Toc14176"/>
    </w:p>
    <w:tbl>
      <w:tblPr>
        <w:tblStyle w:val="70"/>
        <w:tblW w:w="14958" w:type="dxa"/>
        <w:tblInd w:w="-2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967"/>
        <w:gridCol w:w="10475"/>
        <w:gridCol w:w="770"/>
        <w:gridCol w:w="589"/>
        <w:gridCol w:w="936"/>
        <w:gridCol w:w="573"/>
      </w:tblGrid>
      <w:tr w14:paraId="7E9DE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48" w:type="dxa"/>
            <w:textDirection w:val="tbRlV"/>
            <w:vAlign w:val="center"/>
          </w:tcPr>
          <w:p w14:paraId="2FDE280F">
            <w:pPr>
              <w:keepNext w:val="0"/>
              <w:keepLines w:val="0"/>
              <w:pageBreakBefore w:val="0"/>
              <w:widowControl/>
              <w:kinsoku w:val="0"/>
              <w:wordWrap/>
              <w:overflowPunct/>
              <w:topLinePunct w:val="0"/>
              <w:autoSpaceDE w:val="0"/>
              <w:autoSpaceDN w:val="0"/>
              <w:bidi w:val="0"/>
              <w:adjustRightInd w:val="0"/>
              <w:snapToGrid w:val="0"/>
              <w:spacing w:line="360" w:lineRule="exact"/>
              <w:ind w:left="117"/>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3"/>
                <w:sz w:val="21"/>
                <w:szCs w:val="21"/>
                <w:highlight w:val="none"/>
              </w:rPr>
              <w:t>序号</w:t>
            </w:r>
          </w:p>
        </w:tc>
        <w:tc>
          <w:tcPr>
            <w:tcW w:w="967" w:type="dxa"/>
            <w:vAlign w:val="center"/>
          </w:tcPr>
          <w:p w14:paraId="54D04605">
            <w:pPr>
              <w:keepNext w:val="0"/>
              <w:keepLines w:val="0"/>
              <w:pageBreakBefore w:val="0"/>
              <w:widowControl/>
              <w:kinsoku w:val="0"/>
              <w:wordWrap/>
              <w:overflowPunct/>
              <w:topLinePunct w:val="0"/>
              <w:autoSpaceDE w:val="0"/>
              <w:autoSpaceDN w:val="0"/>
              <w:bidi w:val="0"/>
              <w:adjustRightInd w:val="0"/>
              <w:snapToGrid w:val="0"/>
              <w:spacing w:line="360" w:lineRule="exact"/>
              <w:ind w:right="134"/>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7"/>
                <w:sz w:val="21"/>
                <w:szCs w:val="21"/>
                <w:highlight w:val="none"/>
              </w:rPr>
              <w:t>货物名</w:t>
            </w:r>
            <w:r>
              <w:rPr>
                <w:rFonts w:ascii="宋体" w:hAnsi="宋体" w:eastAsia="宋体" w:cs="宋体"/>
                <w:b/>
                <w:bCs/>
                <w:color w:val="auto"/>
                <w:spacing w:val="-3"/>
                <w:sz w:val="21"/>
                <w:szCs w:val="21"/>
                <w:highlight w:val="none"/>
              </w:rPr>
              <w:t>称</w:t>
            </w:r>
          </w:p>
        </w:tc>
        <w:tc>
          <w:tcPr>
            <w:tcW w:w="10475" w:type="dxa"/>
            <w:vAlign w:val="center"/>
          </w:tcPr>
          <w:p w14:paraId="6AE833A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4"/>
                <w:sz w:val="21"/>
                <w:szCs w:val="21"/>
                <w:highlight w:val="none"/>
              </w:rPr>
              <w:t>技术参数及要求</w:t>
            </w:r>
          </w:p>
        </w:tc>
        <w:tc>
          <w:tcPr>
            <w:tcW w:w="770" w:type="dxa"/>
            <w:vAlign w:val="center"/>
          </w:tcPr>
          <w:p w14:paraId="38C5B0E6">
            <w:pPr>
              <w:keepNext w:val="0"/>
              <w:keepLines w:val="0"/>
              <w:pageBreakBefore w:val="0"/>
              <w:widowControl/>
              <w:kinsoku w:val="0"/>
              <w:wordWrap/>
              <w:overflowPunct/>
              <w:topLinePunct w:val="0"/>
              <w:autoSpaceDE w:val="0"/>
              <w:autoSpaceDN w:val="0"/>
              <w:bidi w:val="0"/>
              <w:adjustRightInd w:val="0"/>
              <w:snapToGrid w:val="0"/>
              <w:spacing w:line="360" w:lineRule="exact"/>
              <w:ind w:right="50"/>
              <w:jc w:val="center"/>
              <w:textAlignment w:val="baseline"/>
              <w:rPr>
                <w:rFonts w:ascii="宋体" w:hAnsi="宋体" w:eastAsia="宋体" w:cs="宋体"/>
                <w:b/>
                <w:bCs/>
                <w:color w:val="auto"/>
                <w:spacing w:val="-7"/>
                <w:sz w:val="21"/>
                <w:szCs w:val="21"/>
                <w:highlight w:val="none"/>
              </w:rPr>
            </w:pPr>
            <w:r>
              <w:rPr>
                <w:rFonts w:ascii="宋体" w:hAnsi="宋体" w:eastAsia="宋体" w:cs="宋体"/>
                <w:b/>
                <w:bCs/>
                <w:color w:val="auto"/>
                <w:spacing w:val="-7"/>
                <w:sz w:val="21"/>
                <w:szCs w:val="21"/>
                <w:highlight w:val="none"/>
              </w:rPr>
              <w:t>数量</w:t>
            </w:r>
          </w:p>
          <w:p w14:paraId="2CF8FE73">
            <w:pPr>
              <w:keepNext w:val="0"/>
              <w:keepLines w:val="0"/>
              <w:pageBreakBefore w:val="0"/>
              <w:widowControl/>
              <w:kinsoku w:val="0"/>
              <w:wordWrap/>
              <w:overflowPunct/>
              <w:topLinePunct w:val="0"/>
              <w:autoSpaceDE w:val="0"/>
              <w:autoSpaceDN w:val="0"/>
              <w:bidi w:val="0"/>
              <w:adjustRightInd w:val="0"/>
              <w:snapToGrid w:val="0"/>
              <w:spacing w:line="360" w:lineRule="exact"/>
              <w:ind w:right="50"/>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10"/>
                <w:sz w:val="21"/>
                <w:szCs w:val="21"/>
                <w:highlight w:val="none"/>
              </w:rPr>
              <w:t>（单位）</w:t>
            </w:r>
          </w:p>
        </w:tc>
        <w:tc>
          <w:tcPr>
            <w:tcW w:w="589" w:type="dxa"/>
            <w:vAlign w:val="center"/>
          </w:tcPr>
          <w:p w14:paraId="15777C77">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所属</w:t>
            </w:r>
            <w:r>
              <w:rPr>
                <w:rFonts w:ascii="宋体" w:hAnsi="宋体" w:eastAsia="宋体" w:cs="宋体"/>
                <w:b/>
                <w:bCs/>
                <w:color w:val="auto"/>
                <w:spacing w:val="-6"/>
                <w:sz w:val="21"/>
                <w:szCs w:val="21"/>
                <w:highlight w:val="none"/>
              </w:rPr>
              <w:t>行业</w:t>
            </w:r>
          </w:p>
        </w:tc>
        <w:tc>
          <w:tcPr>
            <w:tcW w:w="936" w:type="dxa"/>
            <w:vAlign w:val="center"/>
          </w:tcPr>
          <w:p w14:paraId="753F2B46">
            <w:pPr>
              <w:keepNext w:val="0"/>
              <w:keepLines w:val="0"/>
              <w:pageBreakBefore w:val="0"/>
              <w:widowControl/>
              <w:kinsoku w:val="0"/>
              <w:wordWrap/>
              <w:overflowPunct/>
              <w:topLinePunct w:val="0"/>
              <w:autoSpaceDE w:val="0"/>
              <w:autoSpaceDN w:val="0"/>
              <w:bidi w:val="0"/>
              <w:adjustRightInd w:val="0"/>
              <w:snapToGrid w:val="0"/>
              <w:spacing w:line="360" w:lineRule="exact"/>
              <w:ind w:right="120"/>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5"/>
                <w:sz w:val="21"/>
                <w:szCs w:val="21"/>
                <w:highlight w:val="none"/>
              </w:rPr>
              <w:t>是否为核</w:t>
            </w:r>
            <w:r>
              <w:rPr>
                <w:rFonts w:ascii="宋体" w:hAnsi="宋体" w:eastAsia="宋体" w:cs="宋体"/>
                <w:b/>
                <w:bCs/>
                <w:color w:val="auto"/>
                <w:spacing w:val="-7"/>
                <w:sz w:val="21"/>
                <w:szCs w:val="21"/>
                <w:highlight w:val="none"/>
              </w:rPr>
              <w:t>心产品</w:t>
            </w:r>
          </w:p>
        </w:tc>
        <w:tc>
          <w:tcPr>
            <w:tcW w:w="573" w:type="dxa"/>
            <w:textDirection w:val="tbRlV"/>
            <w:vAlign w:val="center"/>
          </w:tcPr>
          <w:p w14:paraId="2DD5461C">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宋体" w:cs="宋体"/>
                <w:color w:val="auto"/>
                <w:sz w:val="21"/>
                <w:szCs w:val="21"/>
                <w:highlight w:val="none"/>
              </w:rPr>
            </w:pPr>
            <w:r>
              <w:rPr>
                <w:rFonts w:ascii="宋体" w:hAnsi="宋体" w:eastAsia="宋体" w:cs="宋体"/>
                <w:b/>
                <w:bCs/>
                <w:color w:val="auto"/>
                <w:spacing w:val="-3"/>
                <w:sz w:val="21"/>
                <w:szCs w:val="21"/>
                <w:highlight w:val="none"/>
              </w:rPr>
              <w:t>备注</w:t>
            </w:r>
          </w:p>
        </w:tc>
      </w:tr>
      <w:tr w14:paraId="2AED6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8" w:type="dxa"/>
            <w:vAlign w:val="center"/>
          </w:tcPr>
          <w:p w14:paraId="53D035A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67" w:type="dxa"/>
            <w:vAlign w:val="center"/>
          </w:tcPr>
          <w:p w14:paraId="6158E8B2">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7"/>
                <w:sz w:val="21"/>
                <w:szCs w:val="21"/>
                <w:highlight w:val="none"/>
              </w:rPr>
              <w:t>半自动体外除颤器</w:t>
            </w:r>
            <w:r>
              <w:rPr>
                <w:rFonts w:hint="eastAsia" w:ascii="宋体" w:hAnsi="宋体" w:eastAsia="宋体" w:cs="宋体"/>
                <w:b w:val="0"/>
                <w:bCs w:val="0"/>
                <w:color w:val="auto"/>
                <w:spacing w:val="-7"/>
                <w:sz w:val="21"/>
                <w:szCs w:val="21"/>
                <w:highlight w:val="none"/>
                <w:lang w:eastAsia="zh-CN"/>
              </w:rPr>
              <w:t>（</w:t>
            </w:r>
            <w:r>
              <w:rPr>
                <w:rFonts w:hint="eastAsia" w:ascii="宋体" w:hAnsi="宋体" w:eastAsia="宋体" w:cs="宋体"/>
                <w:b w:val="0"/>
                <w:bCs w:val="0"/>
                <w:color w:val="auto"/>
                <w:spacing w:val="-7"/>
                <w:sz w:val="21"/>
                <w:szCs w:val="21"/>
                <w:highlight w:val="none"/>
              </w:rPr>
              <w:t>AED</w:t>
            </w:r>
            <w:r>
              <w:rPr>
                <w:rFonts w:hint="eastAsia" w:ascii="宋体" w:hAnsi="宋体" w:eastAsia="宋体" w:cs="宋体"/>
                <w:b w:val="0"/>
                <w:bCs w:val="0"/>
                <w:color w:val="auto"/>
                <w:spacing w:val="-7"/>
                <w:sz w:val="21"/>
                <w:szCs w:val="21"/>
                <w:highlight w:val="none"/>
                <w:lang w:eastAsia="zh-CN"/>
              </w:rPr>
              <w:t>）</w:t>
            </w:r>
          </w:p>
        </w:tc>
        <w:tc>
          <w:tcPr>
            <w:tcW w:w="10475" w:type="dxa"/>
            <w:vAlign w:val="top"/>
          </w:tcPr>
          <w:p w14:paraId="582670A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left="134" w:leftChars="0" w:right="104" w:rightChars="0"/>
              <w:textAlignment w:val="baseline"/>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5"/>
                <w:sz w:val="21"/>
                <w:szCs w:val="21"/>
                <w:highlight w:val="none"/>
                <w:lang w:val="en-US" w:eastAsia="zh-CN"/>
              </w:rPr>
              <w:t>1.</w:t>
            </w:r>
            <w:r>
              <w:rPr>
                <w:rFonts w:hint="eastAsia" w:ascii="宋体" w:hAnsi="宋体" w:eastAsia="宋体" w:cs="宋体"/>
                <w:b w:val="0"/>
                <w:bCs w:val="0"/>
                <w:color w:val="auto"/>
                <w:spacing w:val="-5"/>
                <w:sz w:val="21"/>
                <w:szCs w:val="21"/>
                <w:highlight w:val="none"/>
              </w:rPr>
              <w:t>设备名称：设备注册名称为“半自动体外除颤器”。标注使用对象为“可以在急</w:t>
            </w:r>
            <w:r>
              <w:rPr>
                <w:rFonts w:hint="eastAsia" w:ascii="宋体" w:hAnsi="宋体" w:eastAsia="宋体" w:cs="宋体"/>
                <w:b w:val="0"/>
                <w:bCs w:val="0"/>
                <w:color w:val="auto"/>
                <w:spacing w:val="-1"/>
                <w:sz w:val="21"/>
                <w:szCs w:val="21"/>
                <w:highlight w:val="none"/>
              </w:rPr>
              <w:t>救中心调度人员指导下使用”。</w:t>
            </w:r>
          </w:p>
          <w:p w14:paraId="73E561A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left="134" w:leftChars="0" w:right="104" w:rightChars="0"/>
              <w:textAlignment w:val="baseline"/>
              <w:rPr>
                <w:rFonts w:hint="eastAsia" w:ascii="宋体" w:hAnsi="宋体" w:eastAsia="宋体" w:cs="宋体"/>
                <w:b w:val="0"/>
                <w:bCs w:val="0"/>
                <w:color w:val="auto"/>
                <w:spacing w:val="-1"/>
                <w:sz w:val="21"/>
                <w:szCs w:val="21"/>
                <w:highlight w:val="none"/>
              </w:rPr>
            </w:pPr>
            <w:r>
              <w:rPr>
                <w:rFonts w:hint="eastAsia" w:ascii="宋体" w:hAnsi="宋体" w:eastAsia="宋体" w:cs="宋体"/>
                <w:b w:val="0"/>
                <w:bCs w:val="0"/>
                <w:color w:val="auto"/>
                <w:spacing w:val="-1"/>
                <w:sz w:val="21"/>
                <w:szCs w:val="21"/>
                <w:highlight w:val="none"/>
              </w:rPr>
              <w:t>2.整机重量≤3.5kg。</w:t>
            </w:r>
          </w:p>
          <w:p w14:paraId="01869B90">
            <w:pPr>
              <w:keepNext w:val="0"/>
              <w:keepLines w:val="0"/>
              <w:pageBreakBefore w:val="0"/>
              <w:widowControl/>
              <w:kinsoku w:val="0"/>
              <w:wordWrap/>
              <w:overflowPunct/>
              <w:topLinePunct w:val="0"/>
              <w:autoSpaceDE w:val="0"/>
              <w:autoSpaceDN w:val="0"/>
              <w:bidi w:val="0"/>
              <w:adjustRightInd w:val="0"/>
              <w:snapToGrid w:val="0"/>
              <w:spacing w:line="360" w:lineRule="exact"/>
              <w:ind w:left="117"/>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bCs/>
                <w:color w:val="auto"/>
                <w:spacing w:val="-3"/>
                <w:sz w:val="21"/>
                <w:szCs w:val="21"/>
                <w:highlight w:val="none"/>
              </w:rPr>
              <w:t>★</w:t>
            </w:r>
            <w:r>
              <w:rPr>
                <w:rFonts w:hint="eastAsia" w:ascii="宋体" w:hAnsi="宋体" w:eastAsia="宋体" w:cs="宋体"/>
                <w:b w:val="0"/>
                <w:bCs w:val="0"/>
                <w:color w:val="auto"/>
                <w:spacing w:val="-7"/>
                <w:sz w:val="21"/>
                <w:szCs w:val="21"/>
                <w:highlight w:val="none"/>
              </w:rPr>
              <w:t>3.</w:t>
            </w:r>
            <w:r>
              <w:rPr>
                <w:rFonts w:hint="eastAsia" w:ascii="宋体" w:hAnsi="宋体" w:eastAsia="宋体" w:cs="宋体"/>
                <w:b w:val="0"/>
                <w:bCs w:val="0"/>
                <w:color w:val="auto"/>
                <w:spacing w:val="-8"/>
                <w:sz w:val="21"/>
                <w:szCs w:val="21"/>
                <w:highlight w:val="none"/>
              </w:rPr>
              <w:t>可在主机自带屏幕上查看设备开机</w:t>
            </w:r>
            <w:r>
              <w:rPr>
                <w:rFonts w:hint="eastAsia" w:ascii="宋体" w:hAnsi="宋体" w:eastAsia="宋体" w:cs="宋体"/>
                <w:b w:val="0"/>
                <w:bCs w:val="0"/>
                <w:color w:val="auto"/>
                <w:spacing w:val="-4"/>
                <w:sz w:val="21"/>
                <w:szCs w:val="21"/>
                <w:highlight w:val="none"/>
              </w:rPr>
              <w:t>后运行时间、电击次数等。</w:t>
            </w:r>
          </w:p>
          <w:p w14:paraId="4B06FFDC">
            <w:pPr>
              <w:keepNext w:val="0"/>
              <w:keepLines w:val="0"/>
              <w:pageBreakBefore w:val="0"/>
              <w:widowControl/>
              <w:kinsoku w:val="0"/>
              <w:wordWrap/>
              <w:overflowPunct/>
              <w:topLinePunct w:val="0"/>
              <w:autoSpaceDE w:val="0"/>
              <w:autoSpaceDN w:val="0"/>
              <w:bidi w:val="0"/>
              <w:adjustRightInd w:val="0"/>
              <w:snapToGrid w:val="0"/>
              <w:spacing w:line="360" w:lineRule="exact"/>
              <w:ind w:left="112"/>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3"/>
                <w:sz w:val="21"/>
                <w:szCs w:val="21"/>
                <w:highlight w:val="none"/>
              </w:rPr>
              <w:t>4.设备主机自带把手，方便携带。</w:t>
            </w:r>
          </w:p>
          <w:p w14:paraId="3FCCC750">
            <w:pPr>
              <w:keepNext w:val="0"/>
              <w:keepLines w:val="0"/>
              <w:pageBreakBefore w:val="0"/>
              <w:widowControl/>
              <w:kinsoku w:val="0"/>
              <w:wordWrap/>
              <w:overflowPunct/>
              <w:topLinePunct w:val="0"/>
              <w:autoSpaceDE w:val="0"/>
              <w:autoSpaceDN w:val="0"/>
              <w:bidi w:val="0"/>
              <w:adjustRightInd w:val="0"/>
              <w:snapToGrid w:val="0"/>
              <w:spacing w:line="360" w:lineRule="exact"/>
              <w:ind w:left="119"/>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pacing w:val="-4"/>
                <w:sz w:val="21"/>
                <w:szCs w:val="21"/>
                <w:highlight w:val="none"/>
              </w:rPr>
              <w:t>5.设备具备自检功能。</w:t>
            </w:r>
          </w:p>
          <w:p w14:paraId="74F01F63">
            <w:pPr>
              <w:keepNext w:val="0"/>
              <w:keepLines w:val="0"/>
              <w:pageBreakBefore w:val="0"/>
              <w:widowControl/>
              <w:kinsoku w:val="0"/>
              <w:wordWrap/>
              <w:overflowPunct/>
              <w:topLinePunct w:val="0"/>
              <w:autoSpaceDE w:val="0"/>
              <w:autoSpaceDN w:val="0"/>
              <w:bidi w:val="0"/>
              <w:adjustRightInd w:val="0"/>
              <w:snapToGrid w:val="0"/>
              <w:spacing w:line="360" w:lineRule="exact"/>
              <w:ind w:left="118"/>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bCs/>
                <w:color w:val="auto"/>
                <w:spacing w:val="-3"/>
                <w:sz w:val="21"/>
                <w:szCs w:val="21"/>
                <w:highlight w:val="none"/>
              </w:rPr>
              <w:t>★</w:t>
            </w:r>
            <w:r>
              <w:rPr>
                <w:rFonts w:hint="eastAsia" w:ascii="宋体" w:hAnsi="宋体" w:eastAsia="宋体" w:cs="宋体"/>
                <w:b w:val="0"/>
                <w:bCs w:val="0"/>
                <w:color w:val="auto"/>
                <w:spacing w:val="-3"/>
                <w:sz w:val="21"/>
                <w:szCs w:val="21"/>
                <w:highlight w:val="none"/>
              </w:rPr>
              <w:t>6.成人最大输出能量≥200J。</w:t>
            </w:r>
          </w:p>
          <w:p w14:paraId="1A76902E">
            <w:pPr>
              <w:keepNext w:val="0"/>
              <w:keepLines w:val="0"/>
              <w:pageBreakBefore w:val="0"/>
              <w:widowControl/>
              <w:kinsoku w:val="0"/>
              <w:wordWrap/>
              <w:overflowPunct/>
              <w:topLinePunct w:val="0"/>
              <w:autoSpaceDE w:val="0"/>
              <w:autoSpaceDN w:val="0"/>
              <w:bidi w:val="0"/>
              <w:adjustRightInd w:val="0"/>
              <w:snapToGrid w:val="0"/>
              <w:spacing w:line="360" w:lineRule="exact"/>
              <w:ind w:left="112" w:right="106" w:firstLine="5"/>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bCs/>
                <w:color w:val="auto"/>
                <w:spacing w:val="-3"/>
                <w:sz w:val="21"/>
                <w:szCs w:val="21"/>
                <w:highlight w:val="none"/>
              </w:rPr>
              <w:t>★</w:t>
            </w:r>
            <w:r>
              <w:rPr>
                <w:rFonts w:hint="eastAsia" w:ascii="宋体" w:hAnsi="宋体" w:eastAsia="宋体" w:cs="宋体"/>
                <w:b w:val="0"/>
                <w:bCs w:val="0"/>
                <w:color w:val="auto"/>
                <w:spacing w:val="-7"/>
                <w:sz w:val="21"/>
                <w:szCs w:val="21"/>
                <w:highlight w:val="none"/>
              </w:rPr>
              <w:t>7.为避免误操作，设备主机操作面板上</w:t>
            </w:r>
            <w:r>
              <w:rPr>
                <w:rFonts w:hint="eastAsia" w:ascii="宋体" w:hAnsi="宋体" w:eastAsia="宋体" w:cs="宋体"/>
                <w:b w:val="0"/>
                <w:bCs w:val="0"/>
                <w:color w:val="auto"/>
                <w:spacing w:val="-5"/>
                <w:sz w:val="21"/>
                <w:szCs w:val="21"/>
                <w:highlight w:val="none"/>
              </w:rPr>
              <w:t>可观察到的实体按键数量≤3</w:t>
            </w:r>
            <w:r>
              <w:rPr>
                <w:rFonts w:hint="eastAsia" w:ascii="宋体" w:hAnsi="宋体" w:eastAsia="宋体" w:cs="宋体"/>
                <w:b w:val="0"/>
                <w:bCs w:val="0"/>
                <w:color w:val="auto"/>
                <w:spacing w:val="-46"/>
                <w:sz w:val="21"/>
                <w:szCs w:val="21"/>
                <w:highlight w:val="none"/>
              </w:rPr>
              <w:t xml:space="preserve"> </w:t>
            </w:r>
            <w:r>
              <w:rPr>
                <w:rFonts w:hint="eastAsia" w:ascii="宋体" w:hAnsi="宋体" w:eastAsia="宋体" w:cs="宋体"/>
                <w:b w:val="0"/>
                <w:bCs w:val="0"/>
                <w:color w:val="auto"/>
                <w:spacing w:val="-5"/>
                <w:sz w:val="21"/>
                <w:szCs w:val="21"/>
                <w:highlight w:val="none"/>
              </w:rPr>
              <w:t>个</w:t>
            </w:r>
            <w:r>
              <w:rPr>
                <w:rFonts w:hint="eastAsia" w:ascii="宋体" w:hAnsi="宋体" w:eastAsia="宋体" w:cs="宋体"/>
                <w:b w:val="0"/>
                <w:bCs w:val="0"/>
                <w:color w:val="auto"/>
                <w:spacing w:val="-5"/>
                <w:sz w:val="21"/>
                <w:szCs w:val="21"/>
                <w:highlight w:val="none"/>
                <w:lang w:eastAsia="zh-CN"/>
              </w:rPr>
              <w:t>。</w:t>
            </w:r>
            <w:r>
              <w:rPr>
                <w:rFonts w:hint="eastAsia" w:ascii="宋体" w:hAnsi="宋体" w:eastAsia="宋体" w:cs="宋体"/>
                <w:b w:val="0"/>
                <w:bCs w:val="0"/>
                <w:color w:val="auto"/>
                <w:spacing w:val="-5"/>
                <w:sz w:val="21"/>
                <w:szCs w:val="21"/>
                <w:highlight w:val="none"/>
              </w:rPr>
              <w:t>（含开</w:t>
            </w:r>
            <w:r>
              <w:rPr>
                <w:rFonts w:hint="eastAsia" w:ascii="宋体" w:hAnsi="宋体" w:eastAsia="宋体" w:cs="宋体"/>
                <w:b w:val="0"/>
                <w:bCs w:val="0"/>
                <w:color w:val="auto"/>
                <w:spacing w:val="-3"/>
                <w:sz w:val="21"/>
                <w:szCs w:val="21"/>
                <w:highlight w:val="none"/>
              </w:rPr>
              <w:t>机按钮和开盖按钮等，</w:t>
            </w:r>
            <w:r>
              <w:rPr>
                <w:rFonts w:hint="eastAsia" w:ascii="宋体" w:hAnsi="宋体" w:eastAsia="宋体" w:cs="宋体"/>
                <w:b w:val="0"/>
                <w:bCs w:val="0"/>
                <w:color w:val="auto"/>
                <w:spacing w:val="-9"/>
                <w:sz w:val="21"/>
                <w:szCs w:val="21"/>
                <w:highlight w:val="none"/>
                <w:lang w:val="en-US" w:eastAsia="zh-CN"/>
              </w:rPr>
              <w:t>响应文件中</w:t>
            </w:r>
            <w:r>
              <w:rPr>
                <w:rFonts w:hint="eastAsia" w:ascii="宋体" w:hAnsi="宋体" w:eastAsia="宋体" w:cs="宋体"/>
                <w:b w:val="0"/>
                <w:bCs w:val="0"/>
                <w:color w:val="auto"/>
                <w:spacing w:val="-3"/>
                <w:sz w:val="21"/>
                <w:szCs w:val="21"/>
                <w:highlight w:val="none"/>
              </w:rPr>
              <w:t>提供实物图片证</w:t>
            </w:r>
            <w:r>
              <w:rPr>
                <w:rFonts w:hint="eastAsia" w:ascii="宋体" w:hAnsi="宋体" w:eastAsia="宋体" w:cs="宋体"/>
                <w:b w:val="0"/>
                <w:bCs w:val="0"/>
                <w:color w:val="auto"/>
                <w:spacing w:val="-10"/>
                <w:sz w:val="21"/>
                <w:szCs w:val="21"/>
                <w:highlight w:val="none"/>
              </w:rPr>
              <w:t>明）</w:t>
            </w:r>
          </w:p>
          <w:p w14:paraId="7A67B3E1">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bCs/>
                <w:color w:val="auto"/>
                <w:spacing w:val="-3"/>
                <w:sz w:val="21"/>
                <w:szCs w:val="21"/>
                <w:highlight w:val="none"/>
              </w:rPr>
              <w:t>★</w:t>
            </w:r>
            <w:r>
              <w:rPr>
                <w:rFonts w:hint="eastAsia" w:ascii="宋体" w:hAnsi="宋体" w:eastAsia="宋体" w:cs="宋体"/>
                <w:b w:val="0"/>
                <w:bCs w:val="0"/>
                <w:color w:val="auto"/>
                <w:spacing w:val="-16"/>
                <w:sz w:val="21"/>
                <w:szCs w:val="21"/>
                <w:highlight w:val="none"/>
              </w:rPr>
              <w:t>8.设备主机自带机盖（不包括便携包</w:t>
            </w:r>
            <w:r>
              <w:rPr>
                <w:rFonts w:hint="eastAsia" w:ascii="宋体" w:hAnsi="宋体" w:eastAsia="宋体" w:cs="宋体"/>
                <w:b w:val="0"/>
                <w:bCs w:val="0"/>
                <w:color w:val="auto"/>
                <w:spacing w:val="-24"/>
                <w:sz w:val="21"/>
                <w:szCs w:val="21"/>
                <w:highlight w:val="none"/>
              </w:rPr>
              <w:t>），</w:t>
            </w:r>
            <w:r>
              <w:rPr>
                <w:rFonts w:hint="eastAsia" w:ascii="宋体" w:hAnsi="宋体" w:eastAsia="宋体" w:cs="宋体"/>
                <w:b w:val="0"/>
                <w:bCs w:val="0"/>
                <w:color w:val="auto"/>
                <w:spacing w:val="-8"/>
                <w:sz w:val="21"/>
                <w:szCs w:val="21"/>
                <w:highlight w:val="none"/>
              </w:rPr>
              <w:t>电极片可存储在机盖内。且避免电极片裸</w:t>
            </w:r>
            <w:r>
              <w:rPr>
                <w:rFonts w:hint="eastAsia" w:ascii="宋体" w:hAnsi="宋体" w:eastAsia="宋体" w:cs="宋体"/>
                <w:b w:val="0"/>
                <w:bCs w:val="0"/>
                <w:color w:val="auto"/>
                <w:spacing w:val="-9"/>
                <w:sz w:val="21"/>
                <w:szCs w:val="21"/>
                <w:highlight w:val="none"/>
              </w:rPr>
              <w:t>露在外，提高防尘防水性能。（</w:t>
            </w:r>
            <w:r>
              <w:rPr>
                <w:rFonts w:hint="eastAsia" w:ascii="宋体" w:hAnsi="宋体" w:eastAsia="宋体" w:cs="宋体"/>
                <w:b w:val="0"/>
                <w:bCs w:val="0"/>
                <w:color w:val="auto"/>
                <w:spacing w:val="-9"/>
                <w:sz w:val="21"/>
                <w:szCs w:val="21"/>
                <w:highlight w:val="none"/>
                <w:lang w:val="en-US" w:eastAsia="zh-CN"/>
              </w:rPr>
              <w:t>响应文件中</w:t>
            </w:r>
            <w:r>
              <w:rPr>
                <w:rFonts w:hint="eastAsia" w:ascii="宋体" w:hAnsi="宋体" w:eastAsia="宋体" w:cs="宋体"/>
                <w:b w:val="0"/>
                <w:bCs w:val="0"/>
                <w:color w:val="auto"/>
                <w:spacing w:val="-9"/>
                <w:sz w:val="21"/>
                <w:szCs w:val="21"/>
                <w:highlight w:val="none"/>
              </w:rPr>
              <w:t>提供实物图片证明）</w:t>
            </w:r>
          </w:p>
          <w:p w14:paraId="2C42D176">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bCs/>
                <w:color w:val="auto"/>
                <w:spacing w:val="-3"/>
                <w:sz w:val="21"/>
                <w:szCs w:val="21"/>
                <w:highlight w:val="none"/>
              </w:rPr>
              <w:t>★</w:t>
            </w:r>
            <w:r>
              <w:rPr>
                <w:rFonts w:hint="eastAsia" w:ascii="宋体" w:hAnsi="宋体" w:eastAsia="宋体" w:cs="宋体"/>
                <w:b w:val="0"/>
                <w:bCs w:val="0"/>
                <w:color w:val="auto"/>
                <w:spacing w:val="-9"/>
                <w:sz w:val="21"/>
                <w:szCs w:val="21"/>
                <w:highlight w:val="none"/>
              </w:rPr>
              <w:t>9.AED 主机电池盖板不含螺丝固定，便于电池维护保养。（</w:t>
            </w:r>
            <w:r>
              <w:rPr>
                <w:rFonts w:hint="eastAsia" w:ascii="宋体" w:hAnsi="宋体" w:eastAsia="宋体" w:cs="宋体"/>
                <w:b w:val="0"/>
                <w:bCs w:val="0"/>
                <w:color w:val="auto"/>
                <w:spacing w:val="-9"/>
                <w:sz w:val="21"/>
                <w:szCs w:val="21"/>
                <w:highlight w:val="none"/>
                <w:lang w:val="en-US" w:eastAsia="zh-CN"/>
              </w:rPr>
              <w:t>响应文件中</w:t>
            </w:r>
            <w:r>
              <w:rPr>
                <w:rFonts w:hint="eastAsia" w:ascii="宋体" w:hAnsi="宋体" w:eastAsia="宋体" w:cs="宋体"/>
                <w:b w:val="0"/>
                <w:bCs w:val="0"/>
                <w:color w:val="auto"/>
                <w:spacing w:val="-9"/>
                <w:sz w:val="21"/>
                <w:szCs w:val="21"/>
                <w:highlight w:val="none"/>
              </w:rPr>
              <w:t>提供实物图片证明）</w:t>
            </w:r>
          </w:p>
          <w:p w14:paraId="625B4469">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w:t>
            </w:r>
            <w:r>
              <w:rPr>
                <w:rFonts w:hint="eastAsia" w:ascii="宋体" w:hAnsi="宋体" w:eastAsia="宋体" w:cs="宋体"/>
                <w:b w:val="0"/>
                <w:bCs w:val="0"/>
                <w:color w:val="auto"/>
                <w:spacing w:val="-9"/>
                <w:sz w:val="21"/>
                <w:szCs w:val="21"/>
                <w:highlight w:val="none"/>
                <w:lang w:val="en-US" w:eastAsia="zh-CN"/>
              </w:rPr>
              <w:t>0</w:t>
            </w:r>
            <w:r>
              <w:rPr>
                <w:rFonts w:hint="eastAsia" w:ascii="宋体" w:hAnsi="宋体" w:eastAsia="宋体" w:cs="宋体"/>
                <w:b w:val="0"/>
                <w:bCs w:val="0"/>
                <w:color w:val="auto"/>
                <w:spacing w:val="-9"/>
                <w:sz w:val="21"/>
                <w:szCs w:val="21"/>
                <w:highlight w:val="none"/>
              </w:rPr>
              <w:t>.设备在成人或者儿童模式下除颤过程中，首次电击没有消除室颤时，第二次或第三次电击分别会自动提供更高级别能量，第三次以后电击维持最高能量。</w:t>
            </w:r>
          </w:p>
          <w:p w14:paraId="085F8CB1">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w:t>
            </w:r>
            <w:r>
              <w:rPr>
                <w:rFonts w:hint="eastAsia" w:ascii="宋体" w:hAnsi="宋体" w:eastAsia="宋体" w:cs="宋体"/>
                <w:b w:val="0"/>
                <w:bCs w:val="0"/>
                <w:color w:val="auto"/>
                <w:spacing w:val="-9"/>
                <w:sz w:val="21"/>
                <w:szCs w:val="21"/>
                <w:highlight w:val="none"/>
                <w:lang w:val="en-US" w:eastAsia="zh-CN"/>
              </w:rPr>
              <w:t>1</w:t>
            </w:r>
            <w:r>
              <w:rPr>
                <w:rFonts w:hint="eastAsia" w:ascii="宋体" w:hAnsi="宋体" w:eastAsia="宋体" w:cs="宋体"/>
                <w:b w:val="0"/>
                <w:bCs w:val="0"/>
                <w:color w:val="auto"/>
                <w:spacing w:val="-9"/>
                <w:sz w:val="21"/>
                <w:szCs w:val="21"/>
                <w:highlight w:val="none"/>
              </w:rPr>
              <w:t>.电池寿命：电池≥</w:t>
            </w:r>
            <w:r>
              <w:rPr>
                <w:rFonts w:hint="eastAsia" w:ascii="宋体" w:hAnsi="宋体" w:eastAsia="宋体" w:cs="宋体"/>
                <w:b w:val="0"/>
                <w:bCs w:val="0"/>
                <w:color w:val="auto"/>
                <w:spacing w:val="-9"/>
                <w:sz w:val="21"/>
                <w:szCs w:val="21"/>
                <w:highlight w:val="none"/>
                <w:lang w:val="en-US" w:eastAsia="zh-CN"/>
              </w:rPr>
              <w:t>5</w:t>
            </w:r>
            <w:r>
              <w:rPr>
                <w:rFonts w:hint="eastAsia" w:ascii="宋体" w:hAnsi="宋体" w:eastAsia="宋体" w:cs="宋体"/>
                <w:b w:val="0"/>
                <w:bCs w:val="0"/>
                <w:color w:val="auto"/>
                <w:spacing w:val="-9"/>
                <w:sz w:val="21"/>
                <w:szCs w:val="21"/>
                <w:highlight w:val="none"/>
              </w:rPr>
              <w:t>年。</w:t>
            </w:r>
          </w:p>
          <w:p w14:paraId="13AF4ED9">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w:t>
            </w:r>
            <w:r>
              <w:rPr>
                <w:rFonts w:hint="eastAsia" w:ascii="宋体" w:hAnsi="宋体" w:eastAsia="宋体" w:cs="宋体"/>
                <w:b w:val="0"/>
                <w:bCs w:val="0"/>
                <w:color w:val="auto"/>
                <w:spacing w:val="-9"/>
                <w:sz w:val="21"/>
                <w:szCs w:val="21"/>
                <w:highlight w:val="none"/>
                <w:lang w:val="en-US" w:eastAsia="zh-CN"/>
              </w:rPr>
              <w:t>2</w:t>
            </w:r>
            <w:r>
              <w:rPr>
                <w:rFonts w:hint="eastAsia" w:ascii="宋体" w:hAnsi="宋体" w:eastAsia="宋体" w:cs="宋体"/>
                <w:b w:val="0"/>
                <w:bCs w:val="0"/>
                <w:color w:val="auto"/>
                <w:spacing w:val="-9"/>
                <w:sz w:val="21"/>
                <w:szCs w:val="21"/>
                <w:highlight w:val="none"/>
              </w:rPr>
              <w:t>.电极片寿命：单副电极片从生产到有效期结束≥</w:t>
            </w:r>
            <w:r>
              <w:rPr>
                <w:rFonts w:hint="eastAsia" w:ascii="宋体" w:hAnsi="宋体" w:eastAsia="宋体" w:cs="宋体"/>
                <w:b w:val="0"/>
                <w:bCs w:val="0"/>
                <w:color w:val="auto"/>
                <w:spacing w:val="-9"/>
                <w:sz w:val="21"/>
                <w:szCs w:val="21"/>
                <w:highlight w:val="none"/>
                <w:lang w:val="en-US" w:eastAsia="zh-CN"/>
              </w:rPr>
              <w:t>5年</w:t>
            </w:r>
            <w:r>
              <w:rPr>
                <w:rFonts w:hint="eastAsia" w:ascii="宋体" w:hAnsi="宋体" w:eastAsia="宋体" w:cs="宋体"/>
                <w:b w:val="0"/>
                <w:bCs w:val="0"/>
                <w:color w:val="auto"/>
                <w:spacing w:val="-9"/>
                <w:sz w:val="21"/>
                <w:szCs w:val="21"/>
                <w:highlight w:val="none"/>
              </w:rPr>
              <w:t>。</w:t>
            </w:r>
          </w:p>
          <w:p w14:paraId="7EB04D08">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w:t>
            </w:r>
            <w:r>
              <w:rPr>
                <w:rFonts w:hint="eastAsia" w:ascii="宋体" w:hAnsi="宋体" w:eastAsia="宋体" w:cs="宋体"/>
                <w:b w:val="0"/>
                <w:bCs w:val="0"/>
                <w:color w:val="auto"/>
                <w:spacing w:val="-9"/>
                <w:sz w:val="21"/>
                <w:szCs w:val="21"/>
                <w:highlight w:val="none"/>
                <w:lang w:val="en-US" w:eastAsia="zh-CN"/>
              </w:rPr>
              <w:t>3</w:t>
            </w:r>
            <w:r>
              <w:rPr>
                <w:rFonts w:hint="eastAsia" w:ascii="宋体" w:hAnsi="宋体" w:eastAsia="宋体" w:cs="宋体"/>
                <w:b w:val="0"/>
                <w:bCs w:val="0"/>
                <w:color w:val="auto"/>
                <w:spacing w:val="-9"/>
                <w:sz w:val="21"/>
                <w:szCs w:val="21"/>
                <w:highlight w:val="none"/>
              </w:rPr>
              <w:t>.所投型号电池电量可支持200J除颤治疗次数≥150次。</w:t>
            </w:r>
          </w:p>
          <w:p w14:paraId="7D6DF1E2">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w:t>
            </w:r>
            <w:r>
              <w:rPr>
                <w:rFonts w:hint="eastAsia" w:ascii="宋体" w:hAnsi="宋体" w:eastAsia="宋体" w:cs="宋体"/>
                <w:b w:val="0"/>
                <w:bCs w:val="0"/>
                <w:color w:val="auto"/>
                <w:spacing w:val="-9"/>
                <w:sz w:val="21"/>
                <w:szCs w:val="21"/>
                <w:highlight w:val="none"/>
                <w:lang w:val="en-US" w:eastAsia="zh-CN"/>
              </w:rPr>
              <w:t>4</w:t>
            </w:r>
            <w:r>
              <w:rPr>
                <w:rFonts w:hint="eastAsia" w:ascii="宋体" w:hAnsi="宋体" w:eastAsia="宋体" w:cs="宋体"/>
                <w:b w:val="0"/>
                <w:bCs w:val="0"/>
                <w:color w:val="auto"/>
                <w:spacing w:val="-9"/>
                <w:sz w:val="21"/>
                <w:szCs w:val="21"/>
                <w:highlight w:val="none"/>
              </w:rPr>
              <w:t>.AED设备需要配套带柜，且带有安装声、光报警装置，当设备存放箱柜门被打开后，现场需持续进行声、光报警，直至柜门关闭后停止。</w:t>
            </w:r>
          </w:p>
          <w:p w14:paraId="69D37D6E">
            <w:pPr>
              <w:keepNext w:val="0"/>
              <w:keepLines w:val="0"/>
              <w:pageBreakBefore w:val="0"/>
              <w:widowControl/>
              <w:kinsoku w:val="0"/>
              <w:wordWrap/>
              <w:overflowPunct/>
              <w:topLinePunct w:val="0"/>
              <w:autoSpaceDE w:val="0"/>
              <w:autoSpaceDN w:val="0"/>
              <w:bidi w:val="0"/>
              <w:adjustRightInd w:val="0"/>
              <w:snapToGrid w:val="0"/>
              <w:spacing w:line="360" w:lineRule="exact"/>
              <w:ind w:left="120" w:right="25" w:hanging="2"/>
              <w:textAlignment w:val="baseline"/>
              <w:rPr>
                <w:rFonts w:hint="eastAsia" w:ascii="宋体" w:hAnsi="宋体" w:eastAsia="宋体" w:cs="宋体"/>
                <w:b w:val="0"/>
                <w:bCs w:val="0"/>
                <w:color w:val="auto"/>
                <w:spacing w:val="-9"/>
                <w:sz w:val="21"/>
                <w:szCs w:val="21"/>
                <w:highlight w:val="none"/>
              </w:rPr>
            </w:pPr>
            <w:r>
              <w:rPr>
                <w:rFonts w:hint="eastAsia" w:ascii="宋体" w:hAnsi="宋体" w:eastAsia="宋体" w:cs="宋体"/>
                <w:b w:val="0"/>
                <w:bCs w:val="0"/>
                <w:color w:val="auto"/>
                <w:spacing w:val="-9"/>
                <w:sz w:val="21"/>
                <w:szCs w:val="21"/>
                <w:highlight w:val="none"/>
              </w:rPr>
              <w:t>1</w:t>
            </w:r>
            <w:r>
              <w:rPr>
                <w:rFonts w:hint="eastAsia" w:ascii="宋体" w:hAnsi="宋体" w:eastAsia="宋体" w:cs="宋体"/>
                <w:b w:val="0"/>
                <w:bCs w:val="0"/>
                <w:color w:val="auto"/>
                <w:spacing w:val="-9"/>
                <w:sz w:val="21"/>
                <w:szCs w:val="21"/>
                <w:highlight w:val="none"/>
                <w:lang w:val="en-US" w:eastAsia="zh-CN"/>
              </w:rPr>
              <w:t>5</w:t>
            </w:r>
            <w:r>
              <w:rPr>
                <w:rFonts w:hint="eastAsia" w:ascii="宋体" w:hAnsi="宋体" w:eastAsia="宋体" w:cs="宋体"/>
                <w:b w:val="0"/>
                <w:bCs w:val="0"/>
                <w:color w:val="auto"/>
                <w:spacing w:val="-9"/>
                <w:sz w:val="21"/>
                <w:szCs w:val="21"/>
                <w:highlight w:val="none"/>
              </w:rPr>
              <w:t>.设备内部可储存≥5小时 ECG。</w:t>
            </w:r>
          </w:p>
          <w:p w14:paraId="14174B77">
            <w:pPr>
              <w:keepNext w:val="0"/>
              <w:keepLines w:val="0"/>
              <w:pageBreakBefore w:val="0"/>
              <w:wordWrap/>
              <w:overflowPunct/>
              <w:topLinePunct w:val="0"/>
              <w:bidi w:val="0"/>
              <w:spacing w:line="360" w:lineRule="exact"/>
              <w:ind w:left="118"/>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w:t>
            </w:r>
            <w:r>
              <w:rPr>
                <w:rFonts w:hint="eastAsia" w:ascii="宋体" w:hAnsi="宋体" w:eastAsia="宋体" w:cs="宋体"/>
                <w:b/>
                <w:bCs/>
                <w:color w:val="auto"/>
                <w:spacing w:val="-3"/>
                <w:sz w:val="21"/>
                <w:szCs w:val="21"/>
                <w:highlight w:val="none"/>
                <w:lang w:val="en-US" w:eastAsia="zh-CN"/>
              </w:rPr>
              <w:t>6</w:t>
            </w:r>
            <w:r>
              <w:rPr>
                <w:rFonts w:hint="eastAsia" w:ascii="宋体" w:hAnsi="宋体" w:eastAsia="宋体" w:cs="宋体"/>
                <w:b/>
                <w:bCs/>
                <w:color w:val="auto"/>
                <w:spacing w:val="-3"/>
                <w:sz w:val="21"/>
                <w:szCs w:val="21"/>
                <w:highlight w:val="none"/>
              </w:rPr>
              <w:t>.除颤能量精度：≤±15%。</w:t>
            </w:r>
          </w:p>
          <w:p w14:paraId="5D12613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exact"/>
              <w:ind w:left="118" w:leftChars="0" w:right="25" w:rightChars="0"/>
              <w:textAlignment w:val="baseline"/>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5"/>
                <w:sz w:val="21"/>
                <w:szCs w:val="21"/>
                <w:highlight w:val="none"/>
                <w:lang w:val="en-US" w:eastAsia="zh-CN"/>
              </w:rPr>
              <w:t>17.</w:t>
            </w:r>
            <w:r>
              <w:rPr>
                <w:rFonts w:hint="eastAsia" w:ascii="宋体" w:hAnsi="宋体" w:eastAsia="宋体" w:cs="宋体"/>
                <w:color w:val="auto"/>
                <w:spacing w:val="-5"/>
                <w:sz w:val="21"/>
                <w:szCs w:val="21"/>
                <w:highlight w:val="none"/>
              </w:rPr>
              <w:t>使用全新电池，设备从开始AED分析</w:t>
            </w:r>
            <w:r>
              <w:rPr>
                <w:rFonts w:hint="eastAsia" w:ascii="宋体" w:hAnsi="宋体" w:eastAsia="宋体" w:cs="宋体"/>
                <w:color w:val="auto"/>
                <w:spacing w:val="-2"/>
                <w:sz w:val="21"/>
                <w:szCs w:val="21"/>
                <w:highlight w:val="none"/>
              </w:rPr>
              <w:t>到放电准备就绪时间≤15s。</w:t>
            </w:r>
          </w:p>
        </w:tc>
        <w:tc>
          <w:tcPr>
            <w:tcW w:w="770" w:type="dxa"/>
            <w:vAlign w:val="center"/>
          </w:tcPr>
          <w:p w14:paraId="57737B4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val="en-US" w:eastAsia="zh-CN"/>
              </w:rPr>
              <w:t>6</w:t>
            </w:r>
            <w:r>
              <w:rPr>
                <w:rFonts w:hint="eastAsia" w:ascii="宋体" w:hAnsi="宋体" w:eastAsia="宋体" w:cs="宋体"/>
                <w:color w:val="auto"/>
                <w:spacing w:val="-8"/>
                <w:sz w:val="21"/>
                <w:szCs w:val="21"/>
                <w:highlight w:val="none"/>
              </w:rPr>
              <w:t>台</w:t>
            </w:r>
          </w:p>
        </w:tc>
        <w:tc>
          <w:tcPr>
            <w:tcW w:w="589" w:type="dxa"/>
            <w:vAlign w:val="center"/>
          </w:tcPr>
          <w:p w14:paraId="19624D3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工业</w:t>
            </w:r>
          </w:p>
        </w:tc>
        <w:tc>
          <w:tcPr>
            <w:tcW w:w="936" w:type="dxa"/>
            <w:vAlign w:val="center"/>
          </w:tcPr>
          <w:p w14:paraId="4E8DE855">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p>
        </w:tc>
        <w:tc>
          <w:tcPr>
            <w:tcW w:w="573" w:type="dxa"/>
            <w:vAlign w:val="center"/>
          </w:tcPr>
          <w:p w14:paraId="5E3269E3">
            <w:pPr>
              <w:pStyle w:val="7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color w:val="auto"/>
                <w:sz w:val="21"/>
                <w:szCs w:val="21"/>
                <w:highlight w:val="none"/>
              </w:rPr>
            </w:pPr>
          </w:p>
        </w:tc>
      </w:tr>
    </w:tbl>
    <w:p w14:paraId="6F1FE7C7">
      <w:pPr>
        <w:pStyle w:val="13"/>
        <w:keepNext w:val="0"/>
        <w:keepLines w:val="0"/>
        <w:pageBreakBefore w:val="0"/>
        <w:widowControl w:val="0"/>
        <w:kinsoku/>
        <w:wordWrap/>
        <w:overflowPunct/>
        <w:topLinePunct w:val="0"/>
        <w:autoSpaceDE/>
        <w:autoSpaceDN/>
        <w:bidi w:val="0"/>
        <w:adjustRightInd/>
        <w:snapToGrid/>
        <w:spacing w:after="0" w:line="480" w:lineRule="exact"/>
        <w:ind w:right="0"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注：1.</w:t>
      </w:r>
      <w:r>
        <w:rPr>
          <w:rFonts w:hint="eastAsia" w:ascii="宋体" w:hAnsi="宋体" w:eastAsia="宋体" w:cs="宋体"/>
          <w:color w:val="auto"/>
          <w:spacing w:val="1"/>
          <w:sz w:val="21"/>
          <w:szCs w:val="21"/>
          <w:highlight w:val="none"/>
        </w:rPr>
        <w:t>为保障货物正常使用，投标供应商须承诺中标后提供针对本</w:t>
      </w:r>
      <w:r>
        <w:rPr>
          <w:rFonts w:hint="eastAsia" w:ascii="宋体" w:hAnsi="宋体" w:eastAsia="宋体" w:cs="宋体"/>
          <w:color w:val="auto"/>
          <w:spacing w:val="-4"/>
          <w:sz w:val="21"/>
          <w:szCs w:val="21"/>
          <w:highlight w:val="none"/>
        </w:rPr>
        <w:t>项目的售后服务符合设备出厂的服务标准及国家相关规定，投标供应商对售后服务、产品质量与履约保障负全部法律</w:t>
      </w:r>
      <w:r>
        <w:rPr>
          <w:rFonts w:hint="eastAsia" w:ascii="宋体" w:hAnsi="宋体" w:eastAsia="宋体" w:cs="宋体"/>
          <w:color w:val="auto"/>
          <w:spacing w:val="-5"/>
          <w:sz w:val="21"/>
          <w:szCs w:val="21"/>
          <w:highlight w:val="none"/>
        </w:rPr>
        <w:t>与合同责任。</w:t>
      </w:r>
      <w:r>
        <w:rPr>
          <w:rFonts w:hint="eastAsia" w:ascii="宋体" w:hAnsi="宋体" w:eastAsia="宋体" w:cs="宋体"/>
          <w:b/>
          <w:bCs/>
          <w:color w:val="auto"/>
          <w:spacing w:val="-5"/>
          <w:sz w:val="21"/>
          <w:szCs w:val="21"/>
          <w:highlight w:val="none"/>
        </w:rPr>
        <w:t>（本承</w:t>
      </w:r>
      <w:r>
        <w:rPr>
          <w:rFonts w:hint="eastAsia" w:ascii="宋体" w:hAnsi="宋体" w:eastAsia="宋体" w:cs="宋体"/>
          <w:b/>
          <w:bCs/>
          <w:color w:val="auto"/>
          <w:spacing w:val="-3"/>
          <w:sz w:val="21"/>
          <w:szCs w:val="21"/>
          <w:highlight w:val="none"/>
        </w:rPr>
        <w:t>诺函格式自拟，加盖投标供应商公章并上传至响应文件中）</w:t>
      </w:r>
    </w:p>
    <w:p w14:paraId="54E88BCC">
      <w:pPr>
        <w:pStyle w:val="13"/>
        <w:keepNext w:val="0"/>
        <w:keepLines w:val="0"/>
        <w:pageBreakBefore w:val="0"/>
        <w:widowControl w:val="0"/>
        <w:kinsoku/>
        <w:wordWrap/>
        <w:overflowPunct/>
        <w:topLinePunct w:val="0"/>
        <w:autoSpaceDE/>
        <w:autoSpaceDN/>
        <w:bidi w:val="0"/>
        <w:adjustRightInd/>
        <w:snapToGrid/>
        <w:spacing w:after="0" w:line="480" w:lineRule="exact"/>
        <w:ind w:right="0" w:firstLine="424" w:firstLineChars="200"/>
        <w:textAlignment w:val="auto"/>
        <w:outlineLvl w:val="1"/>
        <w:rPr>
          <w:rFonts w:hint="eastAsia" w:ascii="宋体" w:hAnsi="宋体" w:eastAsia="宋体" w:cs="宋体"/>
          <w:color w:val="auto"/>
          <w:sz w:val="21"/>
          <w:szCs w:val="21"/>
          <w:highlight w:val="none"/>
        </w:rPr>
      </w:pPr>
      <w:r>
        <w:rPr>
          <w:rFonts w:hint="eastAsia" w:cs="宋体"/>
          <w:color w:val="auto"/>
          <w:spacing w:val="1"/>
          <w:sz w:val="21"/>
          <w:szCs w:val="21"/>
          <w:highlight w:val="none"/>
          <w:lang w:val="en-US" w:eastAsia="zh-CN"/>
        </w:rPr>
        <w:t>2</w:t>
      </w:r>
      <w:r>
        <w:rPr>
          <w:rFonts w:hint="eastAsia" w:ascii="宋体" w:hAnsi="宋体" w:eastAsia="宋体" w:cs="宋体"/>
          <w:color w:val="auto"/>
          <w:spacing w:val="1"/>
          <w:sz w:val="21"/>
          <w:szCs w:val="21"/>
          <w:highlight w:val="none"/>
          <w:lang w:val="en-US" w:eastAsia="zh-CN"/>
        </w:rPr>
        <w:t>.</w:t>
      </w:r>
      <w:r>
        <w:rPr>
          <w:rFonts w:hint="eastAsia" w:ascii="宋体" w:hAnsi="宋体" w:eastAsia="宋体" w:cs="宋体"/>
          <w:color w:val="auto"/>
          <w:spacing w:val="1"/>
          <w:sz w:val="21"/>
          <w:szCs w:val="21"/>
          <w:highlight w:val="none"/>
        </w:rPr>
        <w:t>为贯彻“生命至上、健康第一”理念，最大限度预防和减少</w:t>
      </w:r>
      <w:r>
        <w:rPr>
          <w:rFonts w:hint="eastAsia" w:ascii="宋体" w:hAnsi="宋体" w:eastAsia="宋体" w:cs="宋体"/>
          <w:color w:val="auto"/>
          <w:spacing w:val="-4"/>
          <w:sz w:val="21"/>
          <w:szCs w:val="21"/>
          <w:highlight w:val="none"/>
        </w:rPr>
        <w:t>意外事故，全力保障身体健康和生命安全。供应商须全部满足响</w:t>
      </w:r>
      <w:r>
        <w:rPr>
          <w:rFonts w:hint="eastAsia" w:ascii="宋体" w:hAnsi="宋体" w:eastAsia="宋体" w:cs="宋体"/>
          <w:color w:val="auto"/>
          <w:spacing w:val="-1"/>
          <w:sz w:val="21"/>
          <w:szCs w:val="21"/>
          <w:highlight w:val="none"/>
        </w:rPr>
        <w:t>应参数要求，否则投标无效。</w:t>
      </w:r>
    </w:p>
    <w:p w14:paraId="7262E219">
      <w:pPr>
        <w:keepNext w:val="0"/>
        <w:keepLines w:val="0"/>
        <w:pageBreakBefore w:val="0"/>
        <w:widowControl w:val="0"/>
        <w:kinsoku/>
        <w:wordWrap/>
        <w:overflowPunct/>
        <w:topLinePunct w:val="0"/>
        <w:autoSpaceDE/>
        <w:autoSpaceDN/>
        <w:bidi w:val="0"/>
        <w:adjustRightInd/>
        <w:snapToGrid/>
        <w:spacing w:line="480" w:lineRule="exact"/>
        <w:ind w:right="0" w:firstLine="414" w:firstLineChars="200"/>
        <w:textAlignment w:val="auto"/>
        <w:rPr>
          <w:rFonts w:hint="eastAsia" w:ascii="宋体" w:hAnsi="宋体" w:eastAsia="宋体" w:cs="宋体"/>
          <w:b/>
          <w:bCs/>
          <w:color w:val="auto"/>
          <w:spacing w:val="-1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3.</w:t>
      </w:r>
      <w:r>
        <w:rPr>
          <w:rFonts w:hint="eastAsia" w:ascii="宋体" w:hAnsi="宋体" w:eastAsia="宋体" w:cs="宋体"/>
          <w:b/>
          <w:bCs/>
          <w:color w:val="auto"/>
          <w:spacing w:val="-2"/>
          <w:sz w:val="21"/>
          <w:szCs w:val="21"/>
          <w:highlight w:val="none"/>
        </w:rPr>
        <w:t>标注“★”的主要技术参数满足询价文件要求且投标供应商</w:t>
      </w:r>
      <w:r>
        <w:rPr>
          <w:rFonts w:hint="eastAsia" w:ascii="宋体" w:hAnsi="宋体" w:eastAsia="宋体" w:cs="宋体"/>
          <w:b/>
          <w:bCs/>
          <w:color w:val="auto"/>
          <w:spacing w:val="-7"/>
          <w:sz w:val="21"/>
          <w:szCs w:val="21"/>
          <w:highlight w:val="none"/>
        </w:rPr>
        <w:t>的响应文件中须提供相关技术证明文件予以证明，否则投</w:t>
      </w:r>
      <w:r>
        <w:rPr>
          <w:rFonts w:hint="eastAsia" w:ascii="宋体" w:hAnsi="宋体" w:eastAsia="宋体" w:cs="宋体"/>
          <w:b/>
          <w:bCs/>
          <w:color w:val="auto"/>
          <w:spacing w:val="-8"/>
          <w:sz w:val="21"/>
          <w:szCs w:val="21"/>
          <w:highlight w:val="none"/>
        </w:rPr>
        <w:t>标无效。相</w:t>
      </w:r>
      <w:r>
        <w:rPr>
          <w:rFonts w:hint="eastAsia" w:ascii="宋体" w:hAnsi="宋体" w:eastAsia="宋体" w:cs="宋体"/>
          <w:b/>
          <w:bCs/>
          <w:color w:val="auto"/>
          <w:spacing w:val="-12"/>
          <w:sz w:val="21"/>
          <w:szCs w:val="21"/>
          <w:highlight w:val="none"/>
        </w:rPr>
        <w:t>关技术证明文件包括:产品说明书、医疗器械注册证、注</w:t>
      </w:r>
      <w:r>
        <w:rPr>
          <w:rFonts w:hint="eastAsia" w:ascii="宋体" w:hAnsi="宋体" w:eastAsia="宋体" w:cs="宋体"/>
          <w:b/>
          <w:bCs/>
          <w:color w:val="auto"/>
          <w:spacing w:val="-13"/>
          <w:sz w:val="21"/>
          <w:szCs w:val="21"/>
          <w:highlight w:val="none"/>
        </w:rPr>
        <w:t>册检测报告、</w:t>
      </w:r>
      <w:r>
        <w:rPr>
          <w:rFonts w:hint="eastAsia" w:ascii="宋体" w:hAnsi="宋体" w:eastAsia="宋体" w:cs="宋体"/>
          <w:b/>
          <w:bCs/>
          <w:color w:val="auto"/>
          <w:spacing w:val="-4"/>
          <w:sz w:val="21"/>
          <w:szCs w:val="21"/>
          <w:highlight w:val="none"/>
        </w:rPr>
        <w:t>产品彩页，实物图片，提供其中之一即可。</w:t>
      </w:r>
    </w:p>
    <w:p w14:paraId="65719685">
      <w:pPr>
        <w:pStyle w:val="13"/>
        <w:keepNext w:val="0"/>
        <w:keepLines w:val="0"/>
        <w:pageBreakBefore w:val="0"/>
        <w:widowControl w:val="0"/>
        <w:kinsoku/>
        <w:wordWrap/>
        <w:overflowPunct/>
        <w:topLinePunct w:val="0"/>
        <w:autoSpaceDE/>
        <w:autoSpaceDN/>
        <w:bidi w:val="0"/>
        <w:adjustRightInd/>
        <w:snapToGrid/>
        <w:spacing w:after="0" w:line="480" w:lineRule="exact"/>
        <w:textAlignment w:val="auto"/>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12"/>
          <w:sz w:val="21"/>
          <w:szCs w:val="21"/>
          <w:highlight w:val="none"/>
          <w:lang w:val="en-US" w:eastAsia="zh-CN"/>
        </w:rPr>
        <w:t>二、</w:t>
      </w:r>
      <w:r>
        <w:rPr>
          <w:rFonts w:hint="eastAsia" w:ascii="宋体" w:hAnsi="宋体" w:eastAsia="宋体" w:cs="宋体"/>
          <w:b/>
          <w:bCs/>
          <w:color w:val="auto"/>
          <w:spacing w:val="-12"/>
          <w:sz w:val="21"/>
          <w:szCs w:val="21"/>
          <w:highlight w:val="none"/>
        </w:rPr>
        <w:t>报价要求</w:t>
      </w:r>
    </w:p>
    <w:p w14:paraId="3CA1B569">
      <w:pPr>
        <w:pStyle w:val="13"/>
        <w:keepNext w:val="0"/>
        <w:keepLines w:val="0"/>
        <w:pageBreakBefore w:val="0"/>
        <w:widowControl w:val="0"/>
        <w:kinsoku/>
        <w:wordWrap/>
        <w:overflowPunct/>
        <w:topLinePunct w:val="0"/>
        <w:autoSpaceDE/>
        <w:autoSpaceDN/>
        <w:bidi w:val="0"/>
        <w:adjustRightInd/>
        <w:snapToGrid/>
        <w:spacing w:after="0" w:line="480" w:lineRule="exact"/>
        <w:ind w:right="0" w:firstLine="404"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lang w:val="en-US" w:eastAsia="zh-CN"/>
        </w:rPr>
        <w:t>供应商的响应报价应为所投项目的最终报价，包含质保期内保障货物正常使用的全周期费用，</w:t>
      </w:r>
      <w:r>
        <w:rPr>
          <w:rFonts w:hint="eastAsia" w:ascii="宋体" w:hAnsi="宋体" w:eastAsia="宋体" w:cs="宋体"/>
          <w:color w:val="auto"/>
          <w:spacing w:val="-4"/>
          <w:sz w:val="21"/>
          <w:szCs w:val="21"/>
          <w:highlight w:val="none"/>
        </w:rPr>
        <w:t>但不限于货物（含税费）及配套设备所</w:t>
      </w:r>
      <w:r>
        <w:rPr>
          <w:rFonts w:hint="eastAsia" w:ascii="宋体" w:hAnsi="宋体" w:eastAsia="宋体" w:cs="宋体"/>
          <w:color w:val="auto"/>
          <w:spacing w:val="-4"/>
          <w:sz w:val="21"/>
          <w:szCs w:val="21"/>
          <w:highlight w:val="none"/>
          <w:lang w:eastAsia="zh-CN"/>
        </w:rPr>
        <w:t>涉及</w:t>
      </w:r>
      <w:r>
        <w:rPr>
          <w:rFonts w:hint="eastAsia" w:ascii="宋体" w:hAnsi="宋体" w:eastAsia="宋体" w:cs="宋体"/>
          <w:color w:val="auto"/>
          <w:spacing w:val="-4"/>
          <w:sz w:val="21"/>
          <w:szCs w:val="21"/>
          <w:highlight w:val="none"/>
        </w:rPr>
        <w:t>的运输、搬运、安装材料配件及安装损耗、调试、质保期内的售后服务保障等所有费用，采购人不再</w:t>
      </w:r>
      <w:r>
        <w:rPr>
          <w:rFonts w:hint="eastAsia" w:ascii="宋体" w:hAnsi="宋体" w:eastAsia="宋体" w:cs="宋体"/>
          <w:color w:val="auto"/>
          <w:spacing w:val="-2"/>
          <w:sz w:val="21"/>
          <w:szCs w:val="21"/>
          <w:highlight w:val="none"/>
        </w:rPr>
        <w:t>另外支付其他费用。</w:t>
      </w:r>
    </w:p>
    <w:p w14:paraId="34B0DA74">
      <w:pPr>
        <w:pStyle w:val="13"/>
        <w:keepNext w:val="0"/>
        <w:keepLines w:val="0"/>
        <w:pageBreakBefore w:val="0"/>
        <w:widowControl w:val="0"/>
        <w:kinsoku/>
        <w:wordWrap/>
        <w:overflowPunct/>
        <w:topLinePunct w:val="0"/>
        <w:autoSpaceDE/>
        <w:autoSpaceDN/>
        <w:bidi w:val="0"/>
        <w:adjustRightInd/>
        <w:snapToGrid/>
        <w:spacing w:after="0" w:line="480" w:lineRule="exact"/>
        <w:textAlignment w:val="auto"/>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lang w:val="en-US" w:eastAsia="zh-CN"/>
        </w:rPr>
        <w:t>三、</w:t>
      </w:r>
      <w:r>
        <w:rPr>
          <w:rFonts w:hint="eastAsia" w:ascii="宋体" w:hAnsi="宋体" w:eastAsia="宋体" w:cs="宋体"/>
          <w:b/>
          <w:bCs/>
          <w:color w:val="auto"/>
          <w:spacing w:val="-6"/>
          <w:sz w:val="21"/>
          <w:szCs w:val="21"/>
          <w:highlight w:val="none"/>
        </w:rPr>
        <w:t>其他要求</w:t>
      </w:r>
    </w:p>
    <w:bookmarkEnd w:id="39"/>
    <w:bookmarkEnd w:id="40"/>
    <w:p w14:paraId="11C1D3DA">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（一）货物的生产、安装、维修、检验、验收等按照以下原则执行：有国家标准的执行国家标准；无国家标准的执行行业标准；无行业标准的执行地方标准；无地方标准的执行企业标准。</w:t>
      </w:r>
    </w:p>
    <w:p w14:paraId="2CA90F56">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（二）如果在技术参数或配置中标明了品牌或产地，则仅供参考，并非指定，但投标人提供的货物必须满足主要技术参数及配置要求，投标人可以选用替代的方案，但这种替代整体上要优于或相当于</w:t>
      </w:r>
      <w:r>
        <w:rPr>
          <w:rFonts w:hint="eastAsia" w:ascii="宋体" w:hAnsi="宋体" w:eastAsia="宋体" w:cs="宋体"/>
          <w:color w:val="auto"/>
          <w:spacing w:val="-4"/>
          <w:sz w:val="21"/>
          <w:szCs w:val="21"/>
          <w:highlight w:val="none"/>
          <w:lang w:val="en-US" w:eastAsia="zh-CN"/>
        </w:rPr>
        <w:t>询价采购文件</w:t>
      </w:r>
      <w:r>
        <w:rPr>
          <w:rFonts w:hint="eastAsia" w:ascii="宋体" w:hAnsi="宋体" w:eastAsia="宋体" w:cs="宋体"/>
          <w:color w:val="auto"/>
          <w:spacing w:val="-4"/>
          <w:sz w:val="21"/>
          <w:szCs w:val="21"/>
          <w:highlight w:val="none"/>
          <w:lang w:val="en-US"/>
        </w:rPr>
        <w:t>的相关要求。</w:t>
      </w:r>
    </w:p>
    <w:p w14:paraId="66535BC0">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三）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厂家出具的合格证书供货时提供。)</w:t>
      </w:r>
    </w:p>
    <w:p w14:paraId="4F166886">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（四）技术支持</w:t>
      </w:r>
    </w:p>
    <w:p w14:paraId="77F3ABA3">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6" w:firstLineChars="200"/>
        <w:textAlignment w:val="auto"/>
        <w:outlineLvl w:val="1"/>
        <w:rPr>
          <w:rFonts w:hint="eastAsia" w:ascii="宋体" w:hAnsi="宋体" w:eastAsia="宋体" w:cs="宋体"/>
          <w:b/>
          <w:bCs/>
          <w:color w:val="auto"/>
          <w:spacing w:val="-4"/>
          <w:sz w:val="21"/>
          <w:szCs w:val="21"/>
          <w:highlight w:val="none"/>
          <w:lang w:val="en-US" w:eastAsia="zh-CN"/>
        </w:rPr>
      </w:pPr>
      <w:r>
        <w:rPr>
          <w:rFonts w:hint="eastAsia" w:ascii="宋体" w:hAnsi="宋体" w:eastAsia="宋体" w:cs="宋体"/>
          <w:b/>
          <w:bCs/>
          <w:color w:val="auto"/>
          <w:spacing w:val="-4"/>
          <w:sz w:val="21"/>
          <w:szCs w:val="21"/>
          <w:highlight w:val="none"/>
          <w:lang w:val="en-US" w:eastAsia="zh-CN"/>
        </w:rPr>
        <w:t>1.成交供应商应向采购人提供全方位、及时而有效的技术支持和服务，在免费质保期内，成交供应商每年至少提供1次集中培训服务。</w:t>
      </w:r>
    </w:p>
    <w:p w14:paraId="6F40A6EB">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2.成交供应商负责供货、安装、调试。</w:t>
      </w:r>
    </w:p>
    <w:p w14:paraId="40F44FC7">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3.成交供应商负责将货物的全部有关技术文件（外文应提供中文翻译资料，下同）、资料、测试、验收报告等汇集成册交付采购人，涉及进口的产品或部件配件软件等须提供中国海关进口货物报关单、完税证明及商检证明等材料。</w:t>
      </w:r>
    </w:p>
    <w:p w14:paraId="41A385FD">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（五）质保及售后服务：</w:t>
      </w:r>
    </w:p>
    <w:p w14:paraId="3A58CDE8">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6" w:firstLineChars="200"/>
        <w:textAlignment w:val="auto"/>
        <w:outlineLvl w:val="1"/>
        <w:rPr>
          <w:rFonts w:hint="eastAsia" w:ascii="宋体" w:hAnsi="宋体" w:eastAsia="宋体" w:cs="宋体"/>
          <w:color w:val="auto"/>
          <w:spacing w:val="-4"/>
          <w:sz w:val="21"/>
          <w:szCs w:val="21"/>
          <w:highlight w:val="none"/>
          <w:lang w:val="en-US" w:eastAsia="zh-CN"/>
        </w:rPr>
      </w:pPr>
      <w:r>
        <w:rPr>
          <w:rFonts w:hint="eastAsia" w:ascii="宋体" w:hAnsi="宋体" w:eastAsia="宋体" w:cs="宋体"/>
          <w:b/>
          <w:bCs/>
          <w:color w:val="auto"/>
          <w:spacing w:val="-4"/>
          <w:sz w:val="21"/>
          <w:szCs w:val="21"/>
          <w:highlight w:val="none"/>
          <w:lang w:val="en-US" w:eastAsia="zh-CN"/>
        </w:rPr>
        <w:t>1.免费质保期为验收合格之日起不少于5年。</w:t>
      </w:r>
      <w:r>
        <w:rPr>
          <w:rFonts w:hint="eastAsia" w:ascii="宋体" w:hAnsi="宋体" w:eastAsia="宋体" w:cs="宋体"/>
          <w:color w:val="auto"/>
          <w:spacing w:val="-4"/>
          <w:sz w:val="21"/>
          <w:szCs w:val="21"/>
          <w:highlight w:val="none"/>
          <w:lang w:val="en-US" w:eastAsia="zh-CN"/>
        </w:rPr>
        <w:t xml:space="preserve">在免费质保服务期限内，成交供应商应在合同货物出现故障和缺陷时，接到采购人通知后2小时内予以答复，如采购人有要求或必要时，成交供应商应在接到采购人通知后24小时内进行维修，属于人为损坏的由采购人负责。 </w:t>
      </w:r>
    </w:p>
    <w:p w14:paraId="163C7D72">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6" w:firstLineChars="200"/>
        <w:textAlignment w:val="auto"/>
        <w:outlineLvl w:val="1"/>
        <w:rPr>
          <w:rFonts w:hint="eastAsia" w:ascii="宋体" w:hAnsi="宋体" w:eastAsia="宋体" w:cs="宋体"/>
          <w:b/>
          <w:bCs/>
          <w:color w:val="auto"/>
          <w:spacing w:val="-4"/>
          <w:sz w:val="21"/>
          <w:szCs w:val="21"/>
          <w:highlight w:val="none"/>
          <w:lang w:val="en-US" w:eastAsia="zh-CN"/>
        </w:rPr>
      </w:pPr>
      <w:r>
        <w:rPr>
          <w:rFonts w:hint="eastAsia" w:ascii="宋体" w:hAnsi="宋体" w:eastAsia="宋体" w:cs="宋体"/>
          <w:b/>
          <w:bCs/>
          <w:color w:val="auto"/>
          <w:spacing w:val="-4"/>
          <w:sz w:val="21"/>
          <w:szCs w:val="21"/>
          <w:highlight w:val="none"/>
          <w:lang w:val="en-US" w:eastAsia="zh-CN"/>
        </w:rPr>
        <w:t>2.免费质保期内，成交供应商每年须至少提供1次的上门巡检服务(两次相连巡检不得超过一年)，每半年提供一次设备校准服务，巡检过程中须根据设备使用情况，免费更换常用配件。无正当理由，成交供应商不得拒绝上门巡检服务及备品备件更换。</w:t>
      </w:r>
    </w:p>
    <w:p w14:paraId="0B662614">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eastAsia="zh-CN"/>
        </w:rPr>
        <w:t>3.成交供应商不履行免费质保期约定的，采购人有权依法依规追究成交供应商法律责任，由此产生的责任与后果均由成交供应商承担</w:t>
      </w:r>
      <w:r>
        <w:rPr>
          <w:rFonts w:hint="eastAsia" w:ascii="宋体" w:hAnsi="宋体" w:eastAsia="宋体" w:cs="宋体"/>
          <w:color w:val="auto"/>
          <w:spacing w:val="-4"/>
          <w:sz w:val="21"/>
          <w:szCs w:val="21"/>
          <w:highlight w:val="none"/>
          <w:lang w:val="en-US"/>
        </w:rPr>
        <w:t>。</w:t>
      </w:r>
    </w:p>
    <w:p w14:paraId="27323BE9">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（六）验收：</w:t>
      </w:r>
    </w:p>
    <w:p w14:paraId="24AAE7B7">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pPr>
      <w:r>
        <w:rPr>
          <w:rFonts w:hint="eastAsia" w:ascii="宋体" w:hAnsi="宋体" w:eastAsia="宋体" w:cs="宋体"/>
          <w:color w:val="auto"/>
          <w:spacing w:val="-4"/>
          <w:sz w:val="21"/>
          <w:szCs w:val="21"/>
          <w:highlight w:val="none"/>
          <w:lang w:val="en-US"/>
        </w:rPr>
        <w:t>1.采购人和相关部门按照国家规定标准验收，没有国家标准的按行业标准验收，无行业标准的按地方或企业标准验收，成交供应商予以配合。涉及安全、消防、环保等其他需要由质检或行业主管部门验收的项目，采购人须约请相关部门和专家参加项目验收。</w:t>
      </w:r>
    </w:p>
    <w:p w14:paraId="5D964E62">
      <w:pPr>
        <w:pStyle w:val="13"/>
        <w:keepNext w:val="0"/>
        <w:keepLines w:val="0"/>
        <w:pageBreakBefore w:val="0"/>
        <w:widowControl w:val="0"/>
        <w:kinsoku/>
        <w:wordWrap/>
        <w:overflowPunct/>
        <w:topLinePunct w:val="0"/>
        <w:autoSpaceDE/>
        <w:autoSpaceDN/>
        <w:bidi w:val="0"/>
        <w:adjustRightInd/>
        <w:snapToGrid/>
        <w:spacing w:after="0" w:line="440" w:lineRule="exact"/>
        <w:ind w:right="0" w:firstLine="404" w:firstLineChars="200"/>
        <w:textAlignment w:val="auto"/>
        <w:outlineLvl w:val="1"/>
        <w:rPr>
          <w:rFonts w:hint="eastAsia" w:ascii="宋体" w:hAnsi="宋体" w:eastAsia="宋体" w:cs="宋体"/>
          <w:color w:val="auto"/>
          <w:spacing w:val="-4"/>
          <w:sz w:val="21"/>
          <w:szCs w:val="21"/>
          <w:highlight w:val="none"/>
          <w:lang w:val="en-US"/>
        </w:rPr>
        <w:sectPr>
          <w:pgSz w:w="16838" w:h="11905" w:orient="landscape"/>
          <w:pgMar w:top="1417" w:right="1417" w:bottom="1417" w:left="1417" w:header="851" w:footer="992" w:gutter="0"/>
          <w:pgNumType w:fmt="decimal"/>
          <w:cols w:space="0" w:num="1"/>
          <w:rtlGutter w:val="0"/>
          <w:docGrid w:type="lines" w:linePitch="313" w:charSpace="0"/>
        </w:sectPr>
      </w:pPr>
      <w:r>
        <w:rPr>
          <w:rFonts w:hint="eastAsia" w:ascii="宋体" w:hAnsi="宋体" w:eastAsia="宋体" w:cs="宋体"/>
          <w:color w:val="auto"/>
          <w:spacing w:val="-4"/>
          <w:sz w:val="21"/>
          <w:szCs w:val="21"/>
          <w:highlight w:val="none"/>
          <w:lang w:val="en-US"/>
        </w:rPr>
        <w:t>2.货物在验收时，成交供应商应提供发票、制造厂家出具的产品合格证书、装箱清单等,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成交供应商提供的必要文件。</w:t>
      </w:r>
    </w:p>
    <w:p w14:paraId="1C32F0D3">
      <w:pPr>
        <w:spacing w:line="360" w:lineRule="auto"/>
        <w:jc w:val="center"/>
        <w:rPr>
          <w:rFonts w:asciiTheme="minorEastAsia" w:hAnsiTheme="minorEastAsia" w:eastAsiaTheme="minorEastAsia"/>
          <w:b/>
          <w:color w:val="auto"/>
          <w:sz w:val="28"/>
          <w:highlight w:val="none"/>
        </w:rPr>
      </w:pPr>
      <w:bookmarkStart w:id="41" w:name="_Toc15765"/>
      <w:r>
        <w:rPr>
          <w:rFonts w:hint="eastAsia" w:asciiTheme="minorEastAsia" w:hAnsiTheme="minorEastAsia" w:eastAsiaTheme="minorEastAsia"/>
          <w:b/>
          <w:color w:val="auto"/>
          <w:sz w:val="28"/>
          <w:highlight w:val="none"/>
        </w:rPr>
        <w:t>第四章  评审方法和标准</w:t>
      </w:r>
      <w:bookmarkEnd w:id="41"/>
    </w:p>
    <w:p w14:paraId="317B153B">
      <w:pPr>
        <w:spacing w:line="360" w:lineRule="auto"/>
        <w:ind w:firstLine="437"/>
        <w:outlineLvl w:val="1"/>
        <w:rPr>
          <w:rFonts w:asciiTheme="minorEastAsia" w:hAnsiTheme="minorEastAsia" w:eastAsiaTheme="minorEastAsia"/>
          <w:b/>
          <w:color w:val="auto"/>
          <w:sz w:val="24"/>
          <w:highlight w:val="none"/>
        </w:rPr>
      </w:pPr>
      <w:bookmarkStart w:id="42" w:name="_Toc11117"/>
      <w:bookmarkStart w:id="43" w:name="_Toc1221"/>
      <w:r>
        <w:rPr>
          <w:rFonts w:hint="eastAsia" w:asciiTheme="minorEastAsia" w:hAnsiTheme="minorEastAsia" w:eastAsiaTheme="minorEastAsia"/>
          <w:b/>
          <w:color w:val="auto"/>
          <w:sz w:val="24"/>
          <w:highlight w:val="none"/>
        </w:rPr>
        <w:t>一、总则</w:t>
      </w:r>
      <w:bookmarkEnd w:id="42"/>
      <w:bookmarkEnd w:id="43"/>
    </w:p>
    <w:p w14:paraId="3E61AE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第二章 供应商须知的相关要求</w:t>
      </w:r>
      <w:r>
        <w:rPr>
          <w:rFonts w:asciiTheme="minorEastAsia" w:hAnsiTheme="minorEastAsia" w:eastAsiaTheme="minorEastAsia"/>
          <w:color w:val="auto"/>
          <w:sz w:val="24"/>
          <w:highlight w:val="none"/>
        </w:rPr>
        <w:t>及本章的规定评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w:t>
      </w:r>
    </w:p>
    <w:p w14:paraId="0FC871AF">
      <w:pPr>
        <w:spacing w:line="360" w:lineRule="auto"/>
        <w:ind w:firstLine="437"/>
        <w:outlineLvl w:val="1"/>
        <w:rPr>
          <w:rFonts w:asciiTheme="minorEastAsia" w:hAnsiTheme="minorEastAsia" w:eastAsiaTheme="minorEastAsia"/>
          <w:b/>
          <w:color w:val="auto"/>
          <w:sz w:val="24"/>
          <w:highlight w:val="none"/>
        </w:rPr>
      </w:pPr>
      <w:bookmarkStart w:id="44" w:name="_Toc20555"/>
      <w:bookmarkStart w:id="45" w:name="_Toc21906"/>
      <w:r>
        <w:rPr>
          <w:rFonts w:hint="eastAsia" w:asciiTheme="minorEastAsia" w:hAnsiTheme="minorEastAsia" w:eastAsiaTheme="minorEastAsia"/>
          <w:b/>
          <w:color w:val="auto"/>
          <w:sz w:val="24"/>
          <w:highlight w:val="none"/>
        </w:rPr>
        <w:t>二、评审方法</w:t>
      </w:r>
      <w:bookmarkEnd w:id="44"/>
      <w:bookmarkEnd w:id="45"/>
    </w:p>
    <w:p w14:paraId="49789029">
      <w:pPr>
        <w:spacing w:line="360" w:lineRule="auto"/>
        <w:ind w:firstLine="435"/>
        <w:rPr>
          <w:rFonts w:asciiTheme="minorEastAsia" w:hAnsiTheme="minorEastAsia" w:eastAsiaTheme="minorEastAsia"/>
          <w:color w:val="auto"/>
          <w:sz w:val="24"/>
          <w:highlight w:val="none"/>
        </w:rPr>
      </w:pPr>
      <w:bookmarkStart w:id="46" w:name="_Hlk23204339"/>
      <w:r>
        <w:rPr>
          <w:rFonts w:hint="eastAsia" w:asciiTheme="minorEastAsia" w:hAnsiTheme="minorEastAsia" w:eastAsiaTheme="minorEastAsia"/>
          <w:color w:val="auto"/>
          <w:sz w:val="24"/>
          <w:highlight w:val="none"/>
        </w:rPr>
        <w:t>询价小组对通过供应商的响应文件进行评审，以确定其是否满足</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的实质性要求。评审表如下：</w:t>
      </w:r>
    </w:p>
    <w:tbl>
      <w:tblPr>
        <w:tblStyle w:val="27"/>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477"/>
        <w:gridCol w:w="4363"/>
        <w:gridCol w:w="3112"/>
      </w:tblGrid>
      <w:tr w14:paraId="3775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63" w:type="dxa"/>
            <w:gridSpan w:val="4"/>
            <w:vAlign w:val="center"/>
          </w:tcPr>
          <w:p w14:paraId="055588CD">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bookmarkStart w:id="47" w:name="_Hlk60605773"/>
            <w:r>
              <w:rPr>
                <w:rFonts w:hint="eastAsia" w:asciiTheme="minorEastAsia" w:hAnsiTheme="minorEastAsia" w:eastAsiaTheme="minorEastAsia"/>
                <w:b/>
                <w:color w:val="auto"/>
                <w:sz w:val="24"/>
                <w:szCs w:val="22"/>
                <w:highlight w:val="none"/>
              </w:rPr>
              <w:t>评审表</w:t>
            </w:r>
          </w:p>
        </w:tc>
      </w:tr>
      <w:tr w14:paraId="0BDD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3E9AD061">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序号</w:t>
            </w:r>
          </w:p>
        </w:tc>
        <w:tc>
          <w:tcPr>
            <w:tcW w:w="1477" w:type="dxa"/>
            <w:vAlign w:val="center"/>
          </w:tcPr>
          <w:p w14:paraId="27FA624A">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snapToGrid w:val="0"/>
              <w:spacing w:line="460" w:lineRule="exact"/>
              <w:ind w:right="-10"/>
              <w:textAlignment w:val="auto"/>
              <w:rPr>
                <w:rFonts w:asciiTheme="minorEastAsia" w:hAnsiTheme="minorEastAsia" w:eastAsiaTheme="minorEastAsia"/>
                <w:b/>
                <w:bCs/>
                <w:color w:val="auto"/>
                <w:kern w:val="2"/>
                <w:szCs w:val="24"/>
                <w:highlight w:val="none"/>
              </w:rPr>
            </w:pPr>
            <w:r>
              <w:rPr>
                <w:rFonts w:hint="eastAsia" w:asciiTheme="minorEastAsia" w:hAnsiTheme="minorEastAsia" w:eastAsiaTheme="minorEastAsia"/>
                <w:b/>
                <w:bCs/>
                <w:color w:val="auto"/>
                <w:kern w:val="2"/>
                <w:szCs w:val="24"/>
                <w:highlight w:val="none"/>
              </w:rPr>
              <w:t>审查指标</w:t>
            </w:r>
          </w:p>
        </w:tc>
        <w:tc>
          <w:tcPr>
            <w:tcW w:w="4363" w:type="dxa"/>
            <w:vAlign w:val="center"/>
          </w:tcPr>
          <w:p w14:paraId="2D202E3A">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审查标准</w:t>
            </w:r>
          </w:p>
        </w:tc>
        <w:tc>
          <w:tcPr>
            <w:tcW w:w="3112" w:type="dxa"/>
            <w:vAlign w:val="center"/>
          </w:tcPr>
          <w:p w14:paraId="3B05DC57">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格式要求</w:t>
            </w:r>
          </w:p>
        </w:tc>
      </w:tr>
      <w:tr w14:paraId="1658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11" w:type="dxa"/>
            <w:vAlign w:val="center"/>
          </w:tcPr>
          <w:p w14:paraId="3DB196E5">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1</w:t>
            </w:r>
          </w:p>
        </w:tc>
        <w:tc>
          <w:tcPr>
            <w:tcW w:w="1477" w:type="dxa"/>
            <w:vAlign w:val="center"/>
          </w:tcPr>
          <w:p w14:paraId="71369E7E">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363" w:type="dxa"/>
            <w:vAlign w:val="center"/>
          </w:tcPr>
          <w:p w14:paraId="37F3ADD7">
            <w:pPr>
              <w:keepNext w:val="0"/>
              <w:keepLines w:val="0"/>
              <w:pageBreakBefore w:val="0"/>
              <w:widowControl w:val="0"/>
              <w:kinsoku/>
              <w:overflowPunct/>
              <w:topLinePunct w:val="0"/>
              <w:autoSpaceDE/>
              <w:autoSpaceDN/>
              <w:bidi w:val="0"/>
              <w:spacing w:line="460" w:lineRule="exact"/>
              <w:ind w:right="-1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249FBEDC">
            <w:pPr>
              <w:keepNext w:val="0"/>
              <w:keepLines w:val="0"/>
              <w:pageBreakBefore w:val="0"/>
              <w:widowControl w:val="0"/>
              <w:kinsoku/>
              <w:overflowPunct/>
              <w:topLinePunct w:val="0"/>
              <w:autoSpaceDE/>
              <w:autoSpaceDN/>
              <w:bidi w:val="0"/>
              <w:spacing w:line="460" w:lineRule="exact"/>
              <w:ind w:right="-10"/>
              <w:jc w:val="left"/>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rPr>
              <w:t>（2）供应商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tc>
        <w:tc>
          <w:tcPr>
            <w:tcW w:w="3112" w:type="dxa"/>
            <w:vAlign w:val="center"/>
          </w:tcPr>
          <w:p w14:paraId="7F4A586E">
            <w:pPr>
              <w:keepNext w:val="0"/>
              <w:keepLines w:val="0"/>
              <w:pageBreakBefore w:val="0"/>
              <w:widowControl w:val="0"/>
              <w:kinsoku/>
              <w:overflowPunct/>
              <w:topLinePunct w:val="0"/>
              <w:autoSpaceDE/>
              <w:autoSpaceDN/>
              <w:bidi w:val="0"/>
              <w:spacing w:line="460" w:lineRule="exact"/>
              <w:jc w:val="left"/>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r w14:paraId="45FE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46220F51">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2</w:t>
            </w:r>
          </w:p>
        </w:tc>
        <w:tc>
          <w:tcPr>
            <w:tcW w:w="1477" w:type="dxa"/>
            <w:vAlign w:val="center"/>
          </w:tcPr>
          <w:p w14:paraId="71BCA372">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宋体" w:hAnsi="宋体" w:eastAsia="宋体"/>
                <w:color w:val="auto"/>
                <w:sz w:val="24"/>
                <w:szCs w:val="18"/>
                <w:highlight w:val="none"/>
              </w:rPr>
              <w:t>供应商资格声明书</w:t>
            </w:r>
          </w:p>
        </w:tc>
        <w:tc>
          <w:tcPr>
            <w:tcW w:w="4363" w:type="dxa"/>
            <w:vAlign w:val="center"/>
          </w:tcPr>
          <w:p w14:paraId="3F7D835E">
            <w:pPr>
              <w:keepNext w:val="0"/>
              <w:keepLines w:val="0"/>
              <w:pageBreakBefore w:val="0"/>
              <w:widowControl w:val="0"/>
              <w:kinsoku/>
              <w:wordWrap w:val="0"/>
              <w:overflowPunct/>
              <w:topLinePunct w:val="0"/>
              <w:autoSpaceDE/>
              <w:autoSpaceDN/>
              <w:bidi w:val="0"/>
              <w:spacing w:line="460" w:lineRule="exact"/>
              <w:ind w:right="-11"/>
              <w:jc w:val="left"/>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eastAsia="zh-CN"/>
              </w:rPr>
              <w:t>询价采购文件</w:t>
            </w:r>
            <w:r>
              <w:rPr>
                <w:rFonts w:ascii="宋体" w:hAnsi="宋体" w:eastAsia="宋体" w:cs="宋体"/>
                <w:color w:val="auto"/>
                <w:sz w:val="24"/>
                <w:szCs w:val="24"/>
                <w:highlight w:val="none"/>
              </w:rPr>
              <w:t>要求的《</w:t>
            </w:r>
            <w:r>
              <w:rPr>
                <w:rFonts w:hint="eastAsia" w:ascii="宋体" w:hAnsi="宋体" w:eastAsia="宋体" w:cs="宋体"/>
                <w:color w:val="auto"/>
                <w:sz w:val="24"/>
                <w:szCs w:val="24"/>
                <w:highlight w:val="none"/>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rPr>
              <w:t>。</w:t>
            </w:r>
          </w:p>
        </w:tc>
        <w:tc>
          <w:tcPr>
            <w:tcW w:w="3112" w:type="dxa"/>
            <w:vAlign w:val="center"/>
          </w:tcPr>
          <w:p w14:paraId="19A7C820">
            <w:pPr>
              <w:keepNext w:val="0"/>
              <w:keepLines w:val="0"/>
              <w:pageBreakBefore w:val="0"/>
              <w:widowControl w:val="0"/>
              <w:kinsoku/>
              <w:overflowPunct/>
              <w:topLinePunct w:val="0"/>
              <w:autoSpaceDE/>
              <w:autoSpaceDN/>
              <w:bidi w:val="0"/>
              <w:spacing w:line="460" w:lineRule="exact"/>
              <w:jc w:val="left"/>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详见第六章响应文件格式。</w:t>
            </w:r>
          </w:p>
        </w:tc>
      </w:tr>
      <w:tr w14:paraId="3EA1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75D8CF3C">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hint="eastAsia" w:asciiTheme="minorEastAsia" w:hAnsiTheme="minorEastAsia" w:eastAsiaTheme="minorEastAsia"/>
                <w:color w:val="auto"/>
                <w:sz w:val="24"/>
                <w:highlight w:val="none"/>
                <w:lang w:eastAsia="zh-CN"/>
              </w:rPr>
            </w:pPr>
            <w:r>
              <w:rPr>
                <w:rFonts w:hint="eastAsia" w:asciiTheme="majorEastAsia" w:hAnsiTheme="majorEastAsia" w:eastAsiaTheme="majorEastAsia"/>
                <w:color w:val="auto"/>
                <w:sz w:val="24"/>
                <w:highlight w:val="none"/>
                <w:lang w:val="en-US" w:eastAsia="zh-CN"/>
              </w:rPr>
              <w:t>3</w:t>
            </w:r>
          </w:p>
        </w:tc>
        <w:tc>
          <w:tcPr>
            <w:tcW w:w="1477" w:type="dxa"/>
            <w:vAlign w:val="center"/>
          </w:tcPr>
          <w:p w14:paraId="6B04573A">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响应函</w:t>
            </w:r>
          </w:p>
        </w:tc>
        <w:tc>
          <w:tcPr>
            <w:tcW w:w="4363" w:type="dxa"/>
            <w:vAlign w:val="center"/>
          </w:tcPr>
          <w:p w14:paraId="7851D377">
            <w:pPr>
              <w:keepNext w:val="0"/>
              <w:keepLines w:val="0"/>
              <w:pageBreakBefore w:val="0"/>
              <w:widowControl w:val="0"/>
              <w:kinsoku/>
              <w:overflowPunct/>
              <w:topLinePunct w:val="0"/>
              <w:autoSpaceDE/>
              <w:autoSpaceDN/>
              <w:bidi w:val="0"/>
              <w:spacing w:line="460" w:lineRule="exact"/>
              <w:ind w:right="-10"/>
              <w:jc w:val="left"/>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eastAsia="zh-CN"/>
              </w:rPr>
              <w:t>询价采购文件</w:t>
            </w:r>
            <w:r>
              <w:rPr>
                <w:rFonts w:hint="eastAsia" w:asciiTheme="minorEastAsia" w:hAnsiTheme="minorEastAsia" w:eastAsiaTheme="minorEastAsia"/>
                <w:color w:val="auto"/>
                <w:sz w:val="24"/>
                <w:szCs w:val="28"/>
                <w:highlight w:val="none"/>
              </w:rPr>
              <w:t>规定并加盖供应商</w:t>
            </w:r>
            <w:r>
              <w:rPr>
                <w:rFonts w:hint="eastAsia" w:asciiTheme="minorEastAsia" w:hAnsiTheme="minorEastAsia" w:eastAsiaTheme="minorEastAsia"/>
                <w:color w:val="auto"/>
                <w:sz w:val="24"/>
                <w:szCs w:val="28"/>
                <w:highlight w:val="none"/>
                <w:lang w:val="en-US" w:eastAsia="zh-CN"/>
              </w:rPr>
              <w:t>公</w:t>
            </w:r>
            <w:r>
              <w:rPr>
                <w:rFonts w:hint="eastAsia" w:asciiTheme="minorEastAsia" w:hAnsiTheme="minorEastAsia" w:eastAsiaTheme="minorEastAsia"/>
                <w:color w:val="auto"/>
                <w:sz w:val="24"/>
                <w:szCs w:val="28"/>
                <w:highlight w:val="none"/>
              </w:rPr>
              <w:t>章</w:t>
            </w:r>
          </w:p>
        </w:tc>
        <w:tc>
          <w:tcPr>
            <w:tcW w:w="3112" w:type="dxa"/>
            <w:vAlign w:val="center"/>
          </w:tcPr>
          <w:p w14:paraId="2404C927">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详见第六章响应文件格式。</w:t>
            </w:r>
          </w:p>
        </w:tc>
      </w:tr>
      <w:tr w14:paraId="5685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046AD8EB">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hint="eastAsia" w:asciiTheme="minorEastAsia" w:hAnsiTheme="minorEastAsia" w:eastAsiaTheme="minorEastAsia"/>
                <w:color w:val="auto"/>
                <w:sz w:val="24"/>
                <w:highlight w:val="none"/>
                <w:lang w:eastAsia="zh-CN"/>
              </w:rPr>
            </w:pPr>
            <w:r>
              <w:rPr>
                <w:rFonts w:hint="eastAsia" w:ascii="宋体" w:hAnsi="宋体" w:eastAsia="宋体"/>
                <w:color w:val="auto"/>
                <w:sz w:val="24"/>
                <w:highlight w:val="none"/>
                <w:lang w:val="en-US" w:eastAsia="zh-CN"/>
              </w:rPr>
              <w:t>4</w:t>
            </w:r>
          </w:p>
        </w:tc>
        <w:tc>
          <w:tcPr>
            <w:tcW w:w="1477" w:type="dxa"/>
            <w:vAlign w:val="center"/>
          </w:tcPr>
          <w:p w14:paraId="1E8CDF8E">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4363" w:type="dxa"/>
            <w:vAlign w:val="center"/>
          </w:tcPr>
          <w:p w14:paraId="1FB2676E">
            <w:pPr>
              <w:keepNext w:val="0"/>
              <w:keepLines w:val="0"/>
              <w:pageBreakBefore w:val="0"/>
              <w:widowControl w:val="0"/>
              <w:kinsoku/>
              <w:overflowPunct/>
              <w:topLinePunct w:val="0"/>
              <w:autoSpaceDE/>
              <w:autoSpaceDN/>
              <w:bidi w:val="0"/>
              <w:spacing w:line="460" w:lineRule="exact"/>
              <w:ind w:right="-10"/>
              <w:jc w:val="left"/>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eastAsia="zh-CN"/>
              </w:rPr>
              <w:t>询价采购文件</w:t>
            </w:r>
            <w:r>
              <w:rPr>
                <w:rFonts w:hint="eastAsia" w:asciiTheme="minorEastAsia" w:hAnsiTheme="minorEastAsia" w:eastAsiaTheme="minorEastAsia"/>
                <w:color w:val="auto"/>
                <w:sz w:val="24"/>
                <w:szCs w:val="28"/>
                <w:highlight w:val="none"/>
              </w:rPr>
              <w:t>规定并加盖供应商</w:t>
            </w:r>
            <w:r>
              <w:rPr>
                <w:rFonts w:hint="eastAsia" w:asciiTheme="minorEastAsia" w:hAnsiTheme="minorEastAsia" w:eastAsiaTheme="minorEastAsia"/>
                <w:color w:val="auto"/>
                <w:sz w:val="24"/>
                <w:szCs w:val="28"/>
                <w:highlight w:val="none"/>
                <w:lang w:val="en-US" w:eastAsia="zh-CN"/>
              </w:rPr>
              <w:t>公</w:t>
            </w:r>
            <w:r>
              <w:rPr>
                <w:rFonts w:hint="eastAsia" w:asciiTheme="minorEastAsia" w:hAnsiTheme="minorEastAsia" w:eastAsiaTheme="minorEastAsia"/>
                <w:color w:val="auto"/>
                <w:sz w:val="24"/>
                <w:szCs w:val="28"/>
                <w:highlight w:val="none"/>
              </w:rPr>
              <w:t>章</w:t>
            </w:r>
          </w:p>
        </w:tc>
        <w:tc>
          <w:tcPr>
            <w:tcW w:w="3112" w:type="dxa"/>
            <w:vAlign w:val="center"/>
          </w:tcPr>
          <w:p w14:paraId="293A50C4">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法定代表人参加询价的无需此件，提供身份证明即可。</w:t>
            </w:r>
            <w:r>
              <w:rPr>
                <w:rFonts w:hint="eastAsia" w:ascii="宋体" w:hAnsi="宋体" w:eastAsia="宋体"/>
                <w:color w:val="auto"/>
                <w:sz w:val="24"/>
                <w:highlight w:val="none"/>
              </w:rPr>
              <w:t>详见第六章响应文件格式。</w:t>
            </w:r>
          </w:p>
        </w:tc>
      </w:tr>
      <w:tr w14:paraId="2880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6698DCB6">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hint="eastAsia" w:asciiTheme="minorEastAsia" w:hAnsiTheme="minorEastAsia" w:eastAsiaTheme="minorEastAsia"/>
                <w:color w:val="auto"/>
                <w:sz w:val="24"/>
                <w:highlight w:val="none"/>
                <w:lang w:eastAsia="zh-CN"/>
              </w:rPr>
            </w:pPr>
            <w:r>
              <w:rPr>
                <w:rFonts w:hint="eastAsia" w:ascii="宋体" w:hAnsi="宋体" w:eastAsia="宋体"/>
                <w:color w:val="auto"/>
                <w:sz w:val="24"/>
                <w:highlight w:val="none"/>
                <w:lang w:val="en-US" w:eastAsia="zh-CN"/>
              </w:rPr>
              <w:t>5</w:t>
            </w:r>
          </w:p>
        </w:tc>
        <w:tc>
          <w:tcPr>
            <w:tcW w:w="1477" w:type="dxa"/>
            <w:vAlign w:val="center"/>
          </w:tcPr>
          <w:p w14:paraId="4D0BBEFC">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报价</w:t>
            </w:r>
          </w:p>
        </w:tc>
        <w:tc>
          <w:tcPr>
            <w:tcW w:w="4363" w:type="dxa"/>
            <w:vAlign w:val="center"/>
          </w:tcPr>
          <w:p w14:paraId="62E9AC6C">
            <w:pPr>
              <w:keepNext w:val="0"/>
              <w:keepLines w:val="0"/>
              <w:pageBreakBefore w:val="0"/>
              <w:widowControl w:val="0"/>
              <w:kinsoku/>
              <w:overflowPunct/>
              <w:topLinePunct w:val="0"/>
              <w:autoSpaceDE/>
              <w:autoSpaceDN/>
              <w:bidi w:val="0"/>
              <w:spacing w:line="460" w:lineRule="exact"/>
              <w:ind w:right="-10"/>
              <w:jc w:val="left"/>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供应商须知正文第9条要求</w:t>
            </w:r>
          </w:p>
        </w:tc>
        <w:tc>
          <w:tcPr>
            <w:tcW w:w="3112" w:type="dxa"/>
            <w:vAlign w:val="center"/>
          </w:tcPr>
          <w:p w14:paraId="29FDFB6B">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详见第六章响应文件格式。</w:t>
            </w:r>
          </w:p>
        </w:tc>
      </w:tr>
      <w:tr w14:paraId="038B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1B6550D7">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hint="eastAsia" w:asciiTheme="minorEastAsia" w:hAnsiTheme="minorEastAsia" w:eastAsiaTheme="minorEastAsia"/>
                <w:color w:val="auto"/>
                <w:sz w:val="24"/>
                <w:highlight w:val="none"/>
                <w:lang w:eastAsia="zh-CN"/>
              </w:rPr>
            </w:pPr>
            <w:r>
              <w:rPr>
                <w:rFonts w:hint="eastAsia" w:ascii="宋体" w:hAnsi="宋体" w:eastAsia="宋体"/>
                <w:color w:val="auto"/>
                <w:sz w:val="24"/>
                <w:highlight w:val="none"/>
                <w:lang w:val="en-US" w:eastAsia="zh-CN"/>
              </w:rPr>
              <w:t>6</w:t>
            </w:r>
          </w:p>
        </w:tc>
        <w:tc>
          <w:tcPr>
            <w:tcW w:w="1477" w:type="dxa"/>
            <w:vAlign w:val="center"/>
          </w:tcPr>
          <w:p w14:paraId="65510686">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4363" w:type="dxa"/>
            <w:vAlign w:val="center"/>
          </w:tcPr>
          <w:p w14:paraId="2C40699E">
            <w:pPr>
              <w:keepNext w:val="0"/>
              <w:keepLines w:val="0"/>
              <w:pageBreakBefore w:val="0"/>
              <w:widowControl w:val="0"/>
              <w:kinsoku/>
              <w:wordWrap w:val="0"/>
              <w:overflowPunct/>
              <w:topLinePunct w:val="0"/>
              <w:autoSpaceDE/>
              <w:autoSpaceDN/>
              <w:bidi w:val="0"/>
              <w:spacing w:line="460" w:lineRule="exact"/>
              <w:ind w:right="-11"/>
              <w:jc w:val="left"/>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szCs w:val="28"/>
                <w:highlight w:val="none"/>
              </w:rPr>
              <w:t>采购需求中对付款方式、供货及安装期限、供货及安装地点、免费质保期等实质性要求</w:t>
            </w:r>
          </w:p>
        </w:tc>
        <w:tc>
          <w:tcPr>
            <w:tcW w:w="3112" w:type="dxa"/>
            <w:vAlign w:val="center"/>
          </w:tcPr>
          <w:p w14:paraId="6A256E1F">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详见第六章响应文件格式。</w:t>
            </w:r>
          </w:p>
        </w:tc>
      </w:tr>
      <w:tr w14:paraId="4CE0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BCB4051">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hint="eastAsia" w:asciiTheme="minorEastAsia" w:hAnsiTheme="minorEastAsia" w:eastAsiaTheme="minorEastAsia"/>
                <w:color w:val="auto"/>
                <w:sz w:val="24"/>
                <w:highlight w:val="none"/>
                <w:lang w:eastAsia="zh-CN"/>
              </w:rPr>
            </w:pPr>
            <w:r>
              <w:rPr>
                <w:rFonts w:hint="eastAsia" w:ascii="宋体" w:hAnsi="宋体" w:eastAsia="宋体"/>
                <w:color w:val="auto"/>
                <w:sz w:val="24"/>
                <w:highlight w:val="none"/>
                <w:lang w:val="en-US" w:eastAsia="zh-CN"/>
              </w:rPr>
              <w:t>7</w:t>
            </w:r>
          </w:p>
        </w:tc>
        <w:tc>
          <w:tcPr>
            <w:tcW w:w="1477" w:type="dxa"/>
            <w:vAlign w:val="center"/>
          </w:tcPr>
          <w:p w14:paraId="16C4C3D1">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4363" w:type="dxa"/>
            <w:vAlign w:val="center"/>
          </w:tcPr>
          <w:p w14:paraId="0075BC24">
            <w:pPr>
              <w:keepNext w:val="0"/>
              <w:keepLines w:val="0"/>
              <w:pageBreakBefore w:val="0"/>
              <w:widowControl w:val="0"/>
              <w:kinsoku/>
              <w:wordWrap w:val="0"/>
              <w:overflowPunct/>
              <w:topLinePunct w:val="0"/>
              <w:autoSpaceDE/>
              <w:autoSpaceDN/>
              <w:bidi w:val="0"/>
              <w:spacing w:line="460" w:lineRule="exact"/>
              <w:ind w:right="-11"/>
              <w:jc w:val="left"/>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szCs w:val="28"/>
                <w:highlight w:val="none"/>
              </w:rPr>
              <w:t>采购需求中货物技术参数等实质性要求</w:t>
            </w:r>
          </w:p>
        </w:tc>
        <w:tc>
          <w:tcPr>
            <w:tcW w:w="3112" w:type="dxa"/>
            <w:vAlign w:val="center"/>
          </w:tcPr>
          <w:p w14:paraId="4B2C9685">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详见第六章响应文件格式。</w:t>
            </w:r>
          </w:p>
        </w:tc>
      </w:tr>
      <w:tr w14:paraId="5650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vAlign w:val="center"/>
          </w:tcPr>
          <w:p w14:paraId="2DBB1FE0">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hint="eastAsia" w:asciiTheme="minorEastAsia" w:hAnsiTheme="minorEastAsia" w:eastAsiaTheme="minorEastAsia"/>
                <w:color w:val="auto"/>
                <w:sz w:val="24"/>
                <w:highlight w:val="none"/>
                <w:lang w:eastAsia="zh-CN"/>
              </w:rPr>
            </w:pPr>
            <w:r>
              <w:rPr>
                <w:rFonts w:hint="eastAsia" w:ascii="宋体" w:hAnsi="宋体" w:eastAsia="宋体"/>
                <w:color w:val="auto"/>
                <w:sz w:val="24"/>
                <w:highlight w:val="none"/>
                <w:lang w:val="en-US" w:eastAsia="zh-CN"/>
              </w:rPr>
              <w:t>8</w:t>
            </w:r>
          </w:p>
        </w:tc>
        <w:tc>
          <w:tcPr>
            <w:tcW w:w="1477" w:type="dxa"/>
            <w:vAlign w:val="center"/>
          </w:tcPr>
          <w:p w14:paraId="28039D85">
            <w:pPr>
              <w:keepNext w:val="0"/>
              <w:keepLines w:val="0"/>
              <w:pageBreakBefore w:val="0"/>
              <w:widowControl w:val="0"/>
              <w:kinsoku/>
              <w:overflowPunct/>
              <w:topLinePunct w:val="0"/>
              <w:autoSpaceDE/>
              <w:autoSpaceDN/>
              <w:bidi w:val="0"/>
              <w:spacing w:line="460" w:lineRule="exact"/>
              <w:ind w:right="-10"/>
              <w:jc w:val="center"/>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4363" w:type="dxa"/>
            <w:vAlign w:val="center"/>
          </w:tcPr>
          <w:p w14:paraId="3B905A3E">
            <w:pPr>
              <w:keepNext w:val="0"/>
              <w:keepLines w:val="0"/>
              <w:pageBreakBefore w:val="0"/>
              <w:widowControl w:val="0"/>
              <w:kinsoku/>
              <w:overflowPunct/>
              <w:topLinePunct w:val="0"/>
              <w:autoSpaceDE/>
              <w:autoSpaceDN/>
              <w:bidi w:val="0"/>
              <w:spacing w:line="460" w:lineRule="exact"/>
              <w:ind w:right="-10"/>
              <w:jc w:val="left"/>
              <w:textAlignment w:val="auto"/>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eastAsia="zh-CN"/>
              </w:rPr>
              <w:t>询价采购文件</w:t>
            </w:r>
            <w:r>
              <w:rPr>
                <w:rFonts w:hint="eastAsia" w:asciiTheme="minorEastAsia" w:hAnsiTheme="minorEastAsia" w:eastAsiaTheme="minorEastAsia"/>
                <w:color w:val="auto"/>
                <w:sz w:val="24"/>
                <w:szCs w:val="28"/>
                <w:highlight w:val="none"/>
              </w:rPr>
              <w:t>列明的其他实质性要求</w:t>
            </w:r>
          </w:p>
        </w:tc>
        <w:tc>
          <w:tcPr>
            <w:tcW w:w="3112" w:type="dxa"/>
            <w:vAlign w:val="center"/>
          </w:tcPr>
          <w:p w14:paraId="1396220B">
            <w:pPr>
              <w:keepNext w:val="0"/>
              <w:keepLines w:val="0"/>
              <w:pageBreakBefore w:val="0"/>
              <w:widowControl w:val="0"/>
              <w:kinsoku/>
              <w:overflowPunct/>
              <w:topLinePunct w:val="0"/>
              <w:autoSpaceDE/>
              <w:autoSpaceDN/>
              <w:bidi w:val="0"/>
              <w:adjustRightInd w:val="0"/>
              <w:snapToGrid w:val="0"/>
              <w:spacing w:line="460" w:lineRule="exact"/>
              <w:ind w:right="-10"/>
              <w:jc w:val="center"/>
              <w:textAlignment w:val="auto"/>
              <w:rPr>
                <w:rFonts w:asciiTheme="minorEastAsia" w:hAnsiTheme="minorEastAsia" w:eastAsiaTheme="minorEastAsia"/>
                <w:color w:val="auto"/>
                <w:sz w:val="24"/>
                <w:highlight w:val="none"/>
              </w:rPr>
            </w:pPr>
          </w:p>
        </w:tc>
      </w:tr>
      <w:bookmarkEnd w:id="47"/>
    </w:tbl>
    <w:p w14:paraId="21CD6BDE">
      <w:pPr>
        <w:spacing w:line="360" w:lineRule="auto"/>
        <w:ind w:firstLine="435"/>
        <w:rPr>
          <w:rFonts w:asciiTheme="minorEastAsia" w:hAnsiTheme="minorEastAsia" w:eastAsiaTheme="minorEastAsia"/>
          <w:color w:val="auto"/>
          <w:sz w:val="24"/>
          <w:highlight w:val="none"/>
        </w:rPr>
      </w:pPr>
      <w:bookmarkStart w:id="48" w:name="_Hlk16461707"/>
      <w:r>
        <w:rPr>
          <w:rFonts w:hint="eastAsia" w:asciiTheme="minorEastAsia" w:hAnsiTheme="minorEastAsia" w:eastAsiaTheme="minorEastAsia"/>
          <w:b/>
          <w:bCs/>
          <w:color w:val="auto"/>
          <w:sz w:val="24"/>
          <w:highlight w:val="none"/>
        </w:rPr>
        <w:t>评审指标通过标准：</w:t>
      </w:r>
      <w:r>
        <w:rPr>
          <w:rFonts w:hint="eastAsia" w:asciiTheme="minorEastAsia" w:hAnsiTheme="minorEastAsia" w:eastAsiaTheme="minorEastAsia"/>
          <w:color w:val="auto"/>
          <w:sz w:val="24"/>
          <w:highlight w:val="none"/>
        </w:rPr>
        <w:t>供应商必须通过评审表中的全部评审指标。</w:t>
      </w:r>
    </w:p>
    <w:bookmarkEnd w:id="46"/>
    <w:bookmarkEnd w:id="48"/>
    <w:p w14:paraId="5B2FBCE6">
      <w:pPr>
        <w:spacing w:line="360" w:lineRule="auto"/>
        <w:ind w:firstLine="437"/>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三.无效响应条款</w:t>
      </w:r>
    </w:p>
    <w:p w14:paraId="000854AE">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3.1响应文件有下列情形之一的,其响应文件拒收：</w:t>
      </w:r>
    </w:p>
    <w:p w14:paraId="153E5657">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(1)未在响应文件递交截止时间前递交有效响应文件的。</w:t>
      </w:r>
    </w:p>
    <w:p w14:paraId="6708A973">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3.2供应商有下列情形之一的,资格审查后其作无效响应处理：</w:t>
      </w:r>
    </w:p>
    <w:p w14:paraId="0D286BC6">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（1）供应商为本项目提供采购代理服务的；</w:t>
      </w:r>
    </w:p>
    <w:p w14:paraId="63E8356B">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（2）供应商与在本项目代理机构存在相互任职或工作的；</w:t>
      </w:r>
    </w:p>
    <w:p w14:paraId="38E28559">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6CBBBD99">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）责令停产停业的；</w:t>
      </w:r>
    </w:p>
    <w:p w14:paraId="0B20CBB4">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）暂停或者取消参与政府采购项目资格的；</w:t>
      </w:r>
    </w:p>
    <w:p w14:paraId="43B9913B">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）单位负责人为同一人或者存在直接控股、管理关系的不同单位的；</w:t>
      </w:r>
    </w:p>
    <w:p w14:paraId="43B154A1">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）供应商基本资格条件和特定资格条件中有一项及以上不符合要求的；</w:t>
      </w:r>
    </w:p>
    <w:p w14:paraId="2B9A5254">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）其它情形，经询价小组提出按无效响应处理；</w:t>
      </w:r>
    </w:p>
    <w:p w14:paraId="0BBBF650">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）供应商单方面出现其他供应商材料的；</w:t>
      </w:r>
    </w:p>
    <w:p w14:paraId="7E65CD67">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规定的其它无效情形。</w:t>
      </w:r>
    </w:p>
    <w:p w14:paraId="76C1ADE3">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供应商有下列情形之一的,符合性审查后其按无效响应处理：</w:t>
      </w:r>
    </w:p>
    <w:p w14:paraId="07E67AF9">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w:t>
      </w:r>
      <w:r>
        <w:rPr>
          <w:rFonts w:hint="eastAsia" w:asciiTheme="minorEastAsia" w:hAnsiTheme="minorEastAsia" w:eastAsiaTheme="minorEastAsia"/>
          <w:color w:val="auto"/>
          <w:sz w:val="24"/>
          <w:highlight w:val="none"/>
          <w:lang w:val="en-US" w:eastAsia="zh-CN"/>
        </w:rPr>
        <w:t>盖章</w:t>
      </w:r>
      <w:r>
        <w:rPr>
          <w:rFonts w:hint="eastAsia" w:asciiTheme="minorEastAsia" w:hAnsiTheme="minorEastAsia" w:eastAsiaTheme="minorEastAsia"/>
          <w:color w:val="auto"/>
          <w:sz w:val="24"/>
          <w:highlight w:val="none"/>
        </w:rPr>
        <w:t>不全，经询价小组一致认定对响应内容有实质性影响；</w:t>
      </w:r>
    </w:p>
    <w:p w14:paraId="109E18C2">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w:t>
      </w:r>
    </w:p>
    <w:p w14:paraId="4479B5A4">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（3）同一供应商提交两个或以上不同的响应文件或者报价，但</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规定提交备选方案的除外；</w:t>
      </w:r>
    </w:p>
    <w:p w14:paraId="07A20C9C">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（4）响应文件没有对</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的实质性要求和条件作出响应；</w:t>
      </w:r>
    </w:p>
    <w:p w14:paraId="0C0AE4CD">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（5）报价超出规定的最高限价或公布的采购预算的或供应商的报价各项单价高于</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给定的单价最高限价；</w:t>
      </w:r>
    </w:p>
    <w:p w14:paraId="0B1FA025">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（6）不按询价小组要求澄清、说明或补正的，或者询价小组根据</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的规定对</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的计算错误进行修正后，供应商不接受修正的报价的。</w:t>
      </w:r>
    </w:p>
    <w:p w14:paraId="49FE48B8">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（7）其它情形，经询价小组提出按无效响应处理的；</w:t>
      </w:r>
    </w:p>
    <w:p w14:paraId="57581532">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（8）响应文件含有采购人不能接受的附加条件的；</w:t>
      </w:r>
    </w:p>
    <w:p w14:paraId="2E5131E5">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规定的其它无效响应情形。</w:t>
      </w:r>
    </w:p>
    <w:p w14:paraId="6714F510">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 供应商有下列情形之一的, 详细评审后其按无效响应处理：</w:t>
      </w:r>
    </w:p>
    <w:p w14:paraId="697DEFB4">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（1）产品不符合必须强制执行的国家标准的；</w:t>
      </w:r>
    </w:p>
    <w:p w14:paraId="6B86C3E3">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（2）供应商有串通、弄虚作假、行贿等违法行为；</w:t>
      </w:r>
    </w:p>
    <w:p w14:paraId="71519632">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（3）响应文件含有违反国家法律、法规的内容，或附有采购人不能接受的条件的；</w:t>
      </w:r>
    </w:p>
    <w:p w14:paraId="49546B88">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（4）报价明显低于其他供应商，且不能证明报价合理性的响应无效；</w:t>
      </w:r>
    </w:p>
    <w:p w14:paraId="40194AA9">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（5）拒不确认询价小组评审修正的响应无效；</w:t>
      </w:r>
    </w:p>
    <w:p w14:paraId="54687C48">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（6）其它情形，经询价小组提出按无效响应处理；</w:t>
      </w:r>
    </w:p>
    <w:p w14:paraId="3189ACF5">
      <w:pPr>
        <w:keepNext w:val="0"/>
        <w:keepLines w:val="0"/>
        <w:pageBreakBefore w:val="0"/>
        <w:widowControl w:val="0"/>
        <w:kinsoku/>
        <w:wordWrap/>
        <w:overflowPunct/>
        <w:topLinePunct w:val="0"/>
        <w:autoSpaceDE/>
        <w:autoSpaceDN/>
        <w:bidi w:val="0"/>
        <w:adjustRightInd/>
        <w:snapToGrid/>
        <w:spacing w:line="44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规定的其它无效响应情形。</w:t>
      </w:r>
    </w:p>
    <w:p w14:paraId="5AAE7D25">
      <w:pPr>
        <w:widowControl/>
        <w:jc w:val="left"/>
        <w:rPr>
          <w:rFonts w:asciiTheme="minorEastAsia" w:hAnsiTheme="minorEastAsia" w:eastAsiaTheme="minorEastAsia"/>
          <w:bCs/>
          <w:color w:val="auto"/>
          <w:sz w:val="24"/>
          <w:highlight w:val="none"/>
        </w:rPr>
      </w:pPr>
    </w:p>
    <w:p w14:paraId="158CA6C1">
      <w:pPr>
        <w:rPr>
          <w:rFonts w:ascii="宋体" w:hAnsi="宋体" w:eastAsia="宋体" w:cs="宋体"/>
          <w:b/>
          <w:color w:val="auto"/>
          <w:sz w:val="28"/>
          <w:highlight w:val="none"/>
        </w:rPr>
      </w:pPr>
      <w:bookmarkStart w:id="49" w:name="_Toc26650379"/>
      <w:bookmarkStart w:id="50" w:name="_Toc5156"/>
      <w:r>
        <w:rPr>
          <w:rFonts w:hint="eastAsia" w:ascii="宋体" w:hAnsi="宋体" w:eastAsia="宋体" w:cs="宋体"/>
          <w:b/>
          <w:color w:val="auto"/>
          <w:sz w:val="28"/>
          <w:highlight w:val="none"/>
        </w:rPr>
        <w:br w:type="page"/>
      </w:r>
    </w:p>
    <w:p w14:paraId="1F4356B0">
      <w:pPr>
        <w:spacing w:line="360" w:lineRule="auto"/>
        <w:jc w:val="center"/>
        <w:outlineLvl w:val="0"/>
        <w:rPr>
          <w:rFonts w:ascii="宋体" w:hAnsi="宋体" w:eastAsia="宋体" w:cs="宋体"/>
          <w:b/>
          <w:color w:val="auto"/>
          <w:sz w:val="28"/>
          <w:highlight w:val="none"/>
        </w:rPr>
      </w:pPr>
      <w:r>
        <w:rPr>
          <w:rFonts w:hint="eastAsia" w:ascii="宋体" w:hAnsi="宋体" w:eastAsia="宋体" w:cs="宋体"/>
          <w:b/>
          <w:color w:val="auto"/>
          <w:sz w:val="28"/>
          <w:highlight w:val="none"/>
        </w:rPr>
        <w:t>第五章  政府采购合同</w:t>
      </w:r>
      <w:bookmarkEnd w:id="49"/>
      <w:bookmarkEnd w:id="50"/>
    </w:p>
    <w:p w14:paraId="46C023D8">
      <w:pPr>
        <w:snapToGrid w:val="0"/>
        <w:spacing w:line="400" w:lineRule="exact"/>
        <w:jc w:val="center"/>
        <w:rPr>
          <w:rFonts w:ascii="宋体" w:hAnsi="宋体" w:eastAsia="宋体" w:cs="宋体"/>
          <w:b/>
          <w:color w:val="auto"/>
          <w:sz w:val="48"/>
          <w:szCs w:val="48"/>
          <w:highlight w:val="none"/>
        </w:rPr>
      </w:pPr>
      <w:r>
        <w:rPr>
          <w:rFonts w:hint="eastAsia" w:ascii="宋体" w:hAnsi="宋体" w:eastAsia="宋体" w:cs="宋体"/>
          <w:bCs/>
          <w:color w:val="auto"/>
          <w:szCs w:val="21"/>
          <w:highlight w:val="none"/>
        </w:rPr>
        <w:t>（此合同格式仅作为参考）</w:t>
      </w:r>
    </w:p>
    <w:p w14:paraId="17EAAB5F">
      <w:pPr>
        <w:spacing w:line="460" w:lineRule="exact"/>
        <w:ind w:left="360"/>
        <w:jc w:val="center"/>
        <w:outlineLvl w:val="1"/>
        <w:rPr>
          <w:rFonts w:ascii="宋体" w:hAnsi="宋体" w:eastAsia="宋体" w:cs="宋体"/>
          <w:b/>
          <w:color w:val="auto"/>
          <w:sz w:val="30"/>
          <w:szCs w:val="30"/>
          <w:highlight w:val="none"/>
        </w:rPr>
      </w:pPr>
      <w:bookmarkStart w:id="51" w:name="_Toc29013"/>
      <w:r>
        <w:rPr>
          <w:rFonts w:hint="eastAsia" w:ascii="宋体" w:hAnsi="宋体" w:eastAsia="宋体" w:cs="宋体"/>
          <w:b/>
          <w:color w:val="auto"/>
          <w:sz w:val="30"/>
          <w:szCs w:val="30"/>
          <w:highlight w:val="none"/>
        </w:rPr>
        <w:t>一、合同协议书（格式）</w:t>
      </w:r>
    </w:p>
    <w:p w14:paraId="1FFF8B95">
      <w:pPr>
        <w:spacing w:line="460" w:lineRule="exact"/>
        <w:jc w:val="center"/>
        <w:rPr>
          <w:rFonts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合同名称   </w:t>
      </w:r>
      <w:r>
        <w:rPr>
          <w:rFonts w:hint="eastAsia" w:ascii="宋体" w:hAnsi="宋体" w:eastAsia="宋体" w:cs="宋体"/>
          <w:color w:val="auto"/>
          <w:sz w:val="28"/>
          <w:szCs w:val="28"/>
          <w:highlight w:val="none"/>
        </w:rPr>
        <w:t xml:space="preserve">          编号</w:t>
      </w:r>
    </w:p>
    <w:p w14:paraId="762DF614">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    方：                                   卖    方：</w:t>
      </w:r>
    </w:p>
    <w:p w14:paraId="1311A959">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                                   电    话：</w:t>
      </w:r>
    </w:p>
    <w:p w14:paraId="06474127">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住    所：                                   住    所：                       </w:t>
      </w:r>
    </w:p>
    <w:p w14:paraId="4D8B7BDE">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（买方）</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中所需</w:t>
      </w:r>
      <w:r>
        <w:rPr>
          <w:rFonts w:hint="eastAsia" w:ascii="宋体" w:hAnsi="宋体" w:eastAsia="宋体" w:cs="宋体"/>
          <w:color w:val="auto"/>
          <w:sz w:val="24"/>
          <w:szCs w:val="24"/>
          <w:highlight w:val="none"/>
          <w:u w:val="single"/>
        </w:rPr>
        <w:t>（产品名称）</w:t>
      </w:r>
      <w:r>
        <w:rPr>
          <w:rFonts w:hint="eastAsia" w:ascii="宋体" w:hAnsi="宋体" w:eastAsia="宋体" w:cs="宋体"/>
          <w:color w:val="auto"/>
          <w:sz w:val="24"/>
          <w:szCs w:val="24"/>
          <w:highlight w:val="none"/>
        </w:rPr>
        <w:t xml:space="preserve"> 经公开询价，确定</w:t>
      </w:r>
      <w:r>
        <w:rPr>
          <w:rFonts w:hint="eastAsia" w:ascii="宋体" w:hAnsi="宋体" w:eastAsia="宋体" w:cs="宋体"/>
          <w:color w:val="auto"/>
          <w:sz w:val="24"/>
          <w:szCs w:val="24"/>
          <w:highlight w:val="none"/>
          <w:u w:val="single"/>
        </w:rPr>
        <w:t>（卖方）</w:t>
      </w:r>
      <w:r>
        <w:rPr>
          <w:rFonts w:hint="eastAsia" w:ascii="宋体" w:hAnsi="宋体" w:eastAsia="宋体" w:cs="宋体"/>
          <w:color w:val="auto"/>
          <w:sz w:val="24"/>
          <w:szCs w:val="24"/>
          <w:highlight w:val="none"/>
        </w:rPr>
        <w:t>为成交人。按照《中华人民共和国民法典》的规定，买卖双方同意按照下述的条款和条件，签署本合同。</w:t>
      </w:r>
    </w:p>
    <w:p w14:paraId="0B5D40CD">
      <w:pPr>
        <w:spacing w:line="46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1、本合同文件</w:t>
      </w:r>
    </w:p>
    <w:p w14:paraId="7CBCAF27">
      <w:pPr>
        <w:spacing w:line="46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下列每一文件均应作为合同的组成部分进行阅读和解释：</w:t>
      </w:r>
    </w:p>
    <w:p w14:paraId="2CF83951">
      <w:pPr>
        <w:spacing w:line="46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询价采购文件</w:t>
      </w:r>
      <w:r>
        <w:rPr>
          <w:rFonts w:hint="eastAsia" w:ascii="宋体" w:hAnsi="宋体" w:eastAsia="宋体" w:cs="宋体"/>
          <w:bCs/>
          <w:color w:val="auto"/>
          <w:sz w:val="24"/>
          <w:szCs w:val="24"/>
          <w:highlight w:val="none"/>
        </w:rPr>
        <w:t>（2）响应文件（3）成交通知书</w:t>
      </w:r>
    </w:p>
    <w:p w14:paraId="08BF0A08">
      <w:pPr>
        <w:spacing w:line="46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（4）经双方确认进入合同的其它文件、补充条款或说明</w:t>
      </w:r>
    </w:p>
    <w:p w14:paraId="6A475F01">
      <w:pPr>
        <w:spacing w:line="46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2、货物的名称、规格型号、数量和价格（若产品过多则见附表，如有附表则必须加盖公章）</w:t>
      </w:r>
    </w:p>
    <w:p w14:paraId="5524FA34">
      <w:pPr>
        <w:spacing w:line="400" w:lineRule="exact"/>
        <w:jc w:val="righ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单位：元</w:t>
      </w:r>
    </w:p>
    <w:tbl>
      <w:tblPr>
        <w:tblStyle w:val="27"/>
        <w:tblW w:w="9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046"/>
        <w:gridCol w:w="1224"/>
        <w:gridCol w:w="981"/>
        <w:gridCol w:w="1026"/>
        <w:gridCol w:w="1017"/>
        <w:gridCol w:w="1693"/>
      </w:tblGrid>
      <w:tr w14:paraId="12AA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jc w:val="center"/>
        </w:trPr>
        <w:tc>
          <w:tcPr>
            <w:tcW w:w="1668" w:type="dxa"/>
          </w:tcPr>
          <w:p w14:paraId="1B2D70AA">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产品名称</w:t>
            </w:r>
          </w:p>
        </w:tc>
        <w:tc>
          <w:tcPr>
            <w:tcW w:w="2046" w:type="dxa"/>
          </w:tcPr>
          <w:p w14:paraId="1530D086">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1224" w:type="dxa"/>
          </w:tcPr>
          <w:p w14:paraId="6854B95A">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981" w:type="dxa"/>
          </w:tcPr>
          <w:p w14:paraId="6AA6EEC5">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026" w:type="dxa"/>
          </w:tcPr>
          <w:p w14:paraId="497F0FAB">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单价</w:t>
            </w:r>
          </w:p>
        </w:tc>
        <w:tc>
          <w:tcPr>
            <w:tcW w:w="1017" w:type="dxa"/>
          </w:tcPr>
          <w:p w14:paraId="7DF390D3">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小计</w:t>
            </w:r>
          </w:p>
        </w:tc>
        <w:tc>
          <w:tcPr>
            <w:tcW w:w="1693" w:type="dxa"/>
          </w:tcPr>
          <w:p w14:paraId="56C14596">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生产厂商</w:t>
            </w:r>
          </w:p>
        </w:tc>
      </w:tr>
      <w:tr w14:paraId="30B0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68" w:type="dxa"/>
          </w:tcPr>
          <w:p w14:paraId="7A11F83C">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c>
          <w:tcPr>
            <w:tcW w:w="2046" w:type="dxa"/>
          </w:tcPr>
          <w:p w14:paraId="6ECAC06B">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c>
          <w:tcPr>
            <w:tcW w:w="1224" w:type="dxa"/>
          </w:tcPr>
          <w:p w14:paraId="701B2946">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c>
          <w:tcPr>
            <w:tcW w:w="981" w:type="dxa"/>
          </w:tcPr>
          <w:p w14:paraId="18219BAA">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c>
          <w:tcPr>
            <w:tcW w:w="1026" w:type="dxa"/>
          </w:tcPr>
          <w:p w14:paraId="0D8D1667">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c>
          <w:tcPr>
            <w:tcW w:w="1017" w:type="dxa"/>
          </w:tcPr>
          <w:p w14:paraId="43C6CB44">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c>
          <w:tcPr>
            <w:tcW w:w="1693" w:type="dxa"/>
          </w:tcPr>
          <w:p w14:paraId="2AA51265">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r>
      <w:tr w14:paraId="7F9D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68" w:type="dxa"/>
          </w:tcPr>
          <w:p w14:paraId="1B12664B">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2046" w:type="dxa"/>
          </w:tcPr>
          <w:p w14:paraId="6435A3D5">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224" w:type="dxa"/>
          </w:tcPr>
          <w:p w14:paraId="5BF04E61">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981" w:type="dxa"/>
          </w:tcPr>
          <w:p w14:paraId="4ED491A4">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026" w:type="dxa"/>
          </w:tcPr>
          <w:p w14:paraId="12C34185">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017" w:type="dxa"/>
          </w:tcPr>
          <w:p w14:paraId="731D7051">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693" w:type="dxa"/>
          </w:tcPr>
          <w:p w14:paraId="7C8E5B51">
            <w:pPr>
              <w:spacing w:before="156" w:beforeLines="50" w:beforeAutospacing="1" w:after="93" w:afterLines="30" w:afterAutospacing="1" w:line="400" w:lineRule="exact"/>
              <w:rPr>
                <w:rFonts w:ascii="宋体" w:hAnsi="宋体" w:eastAsia="宋体" w:cs="宋体"/>
                <w:color w:val="auto"/>
                <w:sz w:val="24"/>
                <w:szCs w:val="24"/>
                <w:highlight w:val="none"/>
              </w:rPr>
            </w:pPr>
          </w:p>
        </w:tc>
      </w:tr>
      <w:tr w14:paraId="5368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668" w:type="dxa"/>
          </w:tcPr>
          <w:p w14:paraId="639B5E16">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2046" w:type="dxa"/>
          </w:tcPr>
          <w:p w14:paraId="6C962E7F">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224" w:type="dxa"/>
          </w:tcPr>
          <w:p w14:paraId="7E293A73">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981" w:type="dxa"/>
          </w:tcPr>
          <w:p w14:paraId="3B79BB16">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026" w:type="dxa"/>
          </w:tcPr>
          <w:p w14:paraId="784455C3">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017" w:type="dxa"/>
          </w:tcPr>
          <w:p w14:paraId="763BF8C3">
            <w:pPr>
              <w:spacing w:before="156" w:beforeLines="50" w:beforeAutospacing="1" w:after="93" w:afterLines="30" w:afterAutospacing="1" w:line="400" w:lineRule="exact"/>
              <w:rPr>
                <w:rFonts w:ascii="宋体" w:hAnsi="宋体" w:eastAsia="宋体" w:cs="宋体"/>
                <w:color w:val="auto"/>
                <w:sz w:val="24"/>
                <w:szCs w:val="24"/>
                <w:highlight w:val="none"/>
              </w:rPr>
            </w:pPr>
          </w:p>
        </w:tc>
        <w:tc>
          <w:tcPr>
            <w:tcW w:w="1693" w:type="dxa"/>
          </w:tcPr>
          <w:p w14:paraId="472C7A4E">
            <w:pPr>
              <w:spacing w:before="156" w:beforeLines="50" w:beforeAutospacing="1" w:after="93" w:afterLines="30" w:afterAutospacing="1" w:line="400" w:lineRule="exact"/>
              <w:rPr>
                <w:rFonts w:ascii="宋体" w:hAnsi="宋体" w:eastAsia="宋体" w:cs="宋体"/>
                <w:color w:val="auto"/>
                <w:sz w:val="24"/>
                <w:szCs w:val="24"/>
                <w:highlight w:val="none"/>
              </w:rPr>
            </w:pPr>
          </w:p>
        </w:tc>
      </w:tr>
      <w:tr w14:paraId="4630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jc w:val="center"/>
        </w:trPr>
        <w:tc>
          <w:tcPr>
            <w:tcW w:w="6945" w:type="dxa"/>
            <w:gridSpan w:val="5"/>
          </w:tcPr>
          <w:p w14:paraId="1CDDF296">
            <w:pPr>
              <w:spacing w:before="156" w:beforeLines="50" w:beforeAutospacing="1" w:after="93" w:afterLines="30" w:afterAutospacing="1"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合计</w:t>
            </w:r>
          </w:p>
        </w:tc>
        <w:tc>
          <w:tcPr>
            <w:tcW w:w="2710" w:type="dxa"/>
            <w:gridSpan w:val="2"/>
          </w:tcPr>
          <w:p w14:paraId="0B074B87">
            <w:pPr>
              <w:spacing w:before="156" w:beforeLines="50" w:beforeAutospacing="1" w:after="93" w:afterLines="30" w:afterAutospacing="1" w:line="400" w:lineRule="exact"/>
              <w:jc w:val="center"/>
              <w:rPr>
                <w:rFonts w:ascii="宋体" w:hAnsi="宋体" w:eastAsia="宋体" w:cs="宋体"/>
                <w:color w:val="auto"/>
                <w:sz w:val="24"/>
                <w:szCs w:val="24"/>
                <w:highlight w:val="none"/>
              </w:rPr>
            </w:pPr>
          </w:p>
        </w:tc>
      </w:tr>
      <w:tr w14:paraId="0A7C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655" w:type="dxa"/>
            <w:gridSpan w:val="7"/>
            <w:vAlign w:val="center"/>
          </w:tcPr>
          <w:p w14:paraId="41DC0535">
            <w:pPr>
              <w:widowControl/>
              <w:spacing w:before="156" w:beforeLines="50" w:beforeAutospacing="1" w:after="93" w:afterLines="30" w:afterAutospacing="1"/>
              <w:jc w:val="both"/>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合同总金额（大写）：</w:t>
            </w:r>
          </w:p>
        </w:tc>
      </w:tr>
    </w:tbl>
    <w:p w14:paraId="42DEA0F2">
      <w:pPr>
        <w:spacing w:line="46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3、合同总价：</w:t>
      </w:r>
    </w:p>
    <w:p w14:paraId="7C7028FE">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合同总价为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w:t>
      </w:r>
    </w:p>
    <w:p w14:paraId="411D0BC6">
      <w:pPr>
        <w:autoSpaceDN w:val="0"/>
        <w:spacing w:line="460" w:lineRule="exact"/>
        <w:ind w:firstLine="480" w:firstLineChars="200"/>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4.付款方式：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A335826">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5.合同供货（服务）期限及地点和方式：</w:t>
      </w:r>
    </w:p>
    <w:p w14:paraId="39BAE2A2">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卖方应于合同签字生效后开始计算的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日内将货物送到买方指定的地点，由买方进行验收。</w:t>
      </w:r>
    </w:p>
    <w:p w14:paraId="4C8F20B4">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货物运输至买方指定地点到货物验收合格前，卖方负责对货物承担安保义务。</w:t>
      </w:r>
    </w:p>
    <w:p w14:paraId="1107673D">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6.验收要求：（1）</w:t>
      </w:r>
      <w:r>
        <w:rPr>
          <w:rFonts w:hint="eastAsia" w:ascii="宋体" w:hAnsi="宋体" w:eastAsia="宋体" w:cs="宋体"/>
          <w:color w:val="auto"/>
          <w:sz w:val="24"/>
          <w:szCs w:val="24"/>
          <w:highlight w:val="none"/>
          <w:lang w:eastAsia="zh-CN"/>
        </w:rPr>
        <w:t>买方</w:t>
      </w:r>
      <w:r>
        <w:rPr>
          <w:rFonts w:hint="eastAsia" w:ascii="宋体" w:hAnsi="宋体" w:eastAsia="宋体" w:cs="宋体"/>
          <w:color w:val="auto"/>
          <w:sz w:val="24"/>
          <w:szCs w:val="24"/>
          <w:highlight w:val="none"/>
        </w:rPr>
        <w:t>依据</w:t>
      </w:r>
      <w:r>
        <w:rPr>
          <w:rFonts w:hint="eastAsia" w:ascii="宋体" w:hAnsi="宋体" w:eastAsia="宋体" w:cs="宋体"/>
          <w:color w:val="auto"/>
          <w:sz w:val="24"/>
          <w:szCs w:val="24"/>
          <w:highlight w:val="none"/>
          <w:lang w:eastAsia="zh-CN"/>
        </w:rPr>
        <w:t>询价采购文件</w:t>
      </w:r>
      <w:r>
        <w:rPr>
          <w:rFonts w:hint="eastAsia" w:ascii="宋体" w:hAnsi="宋体" w:eastAsia="宋体" w:cs="宋体"/>
          <w:color w:val="auto"/>
          <w:sz w:val="24"/>
          <w:szCs w:val="24"/>
          <w:highlight w:val="none"/>
        </w:rPr>
        <w:t>中的采购需求及技术参数要求、</w:t>
      </w:r>
      <w:r>
        <w:rPr>
          <w:rFonts w:hint="eastAsia" w:ascii="宋体" w:hAnsi="宋体" w:eastAsia="宋体" w:cs="宋体"/>
          <w:color w:val="auto"/>
          <w:sz w:val="24"/>
          <w:szCs w:val="24"/>
          <w:highlight w:val="none"/>
          <w:lang w:eastAsia="zh-CN"/>
        </w:rPr>
        <w:t>卖方</w:t>
      </w:r>
      <w:r>
        <w:rPr>
          <w:rFonts w:hint="eastAsia" w:ascii="宋体" w:hAnsi="宋体" w:eastAsia="宋体" w:cs="宋体"/>
          <w:color w:val="auto"/>
          <w:sz w:val="24"/>
          <w:szCs w:val="24"/>
          <w:highlight w:val="none"/>
        </w:rPr>
        <w:t>的投标文件及国家有关质量标准进行验收。</w:t>
      </w:r>
    </w:p>
    <w:p w14:paraId="793E8929">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卖方</w:t>
      </w:r>
      <w:r>
        <w:rPr>
          <w:rFonts w:hint="eastAsia" w:ascii="宋体" w:hAnsi="宋体" w:eastAsia="宋体" w:cs="宋体"/>
          <w:color w:val="auto"/>
          <w:sz w:val="24"/>
          <w:szCs w:val="24"/>
          <w:highlight w:val="none"/>
        </w:rPr>
        <w:t>交货前应对产品或服务作出全面检查和对验收文件进行整理，并列出清单，作为</w:t>
      </w:r>
      <w:r>
        <w:rPr>
          <w:rFonts w:hint="eastAsia" w:ascii="宋体" w:hAnsi="宋体" w:eastAsia="宋体" w:cs="宋体"/>
          <w:color w:val="auto"/>
          <w:sz w:val="24"/>
          <w:szCs w:val="24"/>
          <w:highlight w:val="none"/>
          <w:lang w:eastAsia="zh-CN"/>
        </w:rPr>
        <w:t>买方</w:t>
      </w:r>
      <w:r>
        <w:rPr>
          <w:rFonts w:hint="eastAsia" w:ascii="宋体" w:hAnsi="宋体" w:eastAsia="宋体" w:cs="宋体"/>
          <w:color w:val="auto"/>
          <w:sz w:val="24"/>
          <w:szCs w:val="24"/>
          <w:highlight w:val="none"/>
        </w:rPr>
        <w:t>验收和使用的技术条件依据，检验的结果应随服务一起提交</w:t>
      </w:r>
      <w:r>
        <w:rPr>
          <w:rFonts w:hint="eastAsia" w:ascii="宋体" w:hAnsi="宋体" w:eastAsia="宋体" w:cs="宋体"/>
          <w:color w:val="auto"/>
          <w:sz w:val="24"/>
          <w:szCs w:val="24"/>
          <w:highlight w:val="none"/>
          <w:lang w:eastAsia="zh-CN"/>
        </w:rPr>
        <w:t>买方</w:t>
      </w:r>
      <w:r>
        <w:rPr>
          <w:rFonts w:hint="eastAsia" w:ascii="宋体" w:hAnsi="宋体" w:eastAsia="宋体" w:cs="宋体"/>
          <w:color w:val="auto"/>
          <w:sz w:val="24"/>
          <w:szCs w:val="24"/>
          <w:highlight w:val="none"/>
        </w:rPr>
        <w:t>。</w:t>
      </w:r>
    </w:p>
    <w:p w14:paraId="7643D9C6">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（3）验收时</w:t>
      </w:r>
      <w:r>
        <w:rPr>
          <w:rFonts w:hint="eastAsia" w:ascii="宋体" w:hAnsi="宋体" w:eastAsia="宋体" w:cs="宋体"/>
          <w:color w:val="auto"/>
          <w:sz w:val="24"/>
          <w:szCs w:val="24"/>
          <w:highlight w:val="none"/>
          <w:lang w:eastAsia="zh-CN"/>
        </w:rPr>
        <w:t>卖方</w:t>
      </w:r>
      <w:r>
        <w:rPr>
          <w:rFonts w:hint="eastAsia" w:ascii="宋体" w:hAnsi="宋体" w:eastAsia="宋体" w:cs="宋体"/>
          <w:color w:val="auto"/>
          <w:sz w:val="24"/>
          <w:szCs w:val="24"/>
          <w:highlight w:val="none"/>
        </w:rPr>
        <w:t>必须在现场，验收完毕后作出验收结果报告。</w:t>
      </w:r>
    </w:p>
    <w:p w14:paraId="3EBF688D">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7.售后服务</w:t>
      </w:r>
    </w:p>
    <w:p w14:paraId="0571B6BD">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（1）免费质保期为验收合格之日起不少于5年。在免费质保服务期限内，</w:t>
      </w:r>
      <w:r>
        <w:rPr>
          <w:rFonts w:hint="eastAsia" w:cs="@仿宋_GB2312" w:asciiTheme="minorEastAsia" w:hAnsiTheme="minorEastAsia" w:eastAsiaTheme="minorEastAsia"/>
          <w:color w:val="auto"/>
          <w:sz w:val="24"/>
          <w:szCs w:val="20"/>
          <w:highlight w:val="none"/>
          <w:lang w:val="en-US" w:eastAsia="zh-CN"/>
        </w:rPr>
        <w:t xml:space="preserve">成交供应商应在合同货物出现故障和缺陷时，接到采购人通知后2小时内予以答复，如采购人有要求或必要时，成交供应商应在接到采购人通知后24小时内进行维修，属于人为损坏的由采购人负责。 </w:t>
      </w:r>
    </w:p>
    <w:p w14:paraId="69D2ADEF">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（2）免费质保期内，卖方每年须至少提供1次的上门巡检服务(两次相连巡检不得超过一年)和设备校准服务，</w:t>
      </w:r>
      <w:r>
        <w:rPr>
          <w:rFonts w:hint="eastAsia" w:cs="@仿宋_GB2312" w:asciiTheme="minorEastAsia" w:hAnsiTheme="minorEastAsia" w:eastAsiaTheme="minorEastAsia"/>
          <w:color w:val="auto"/>
          <w:sz w:val="24"/>
          <w:szCs w:val="20"/>
          <w:highlight w:val="none"/>
          <w:lang w:val="en-US" w:eastAsia="zh-CN"/>
        </w:rPr>
        <w:t xml:space="preserve">巡检过程中须根据设备使用情况，免费更换常用配件。无正当理由，卖方不得拒绝上门巡检服务及备品备件更换。 </w:t>
      </w:r>
    </w:p>
    <w:p w14:paraId="639B61BB">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（3）卖方应向采购人提供全方位、及时而有效的技术支持和服务，在免费质保期内，卖方每年至少提供1次集中培训服务。</w:t>
      </w:r>
    </w:p>
    <w:p w14:paraId="4B6FFDAF">
      <w:pPr>
        <w:pStyle w:val="13"/>
        <w:spacing w:after="0" w:line="500" w:lineRule="exact"/>
        <w:ind w:firstLine="480" w:firstLineChars="200"/>
        <w:jc w:val="left"/>
        <w:rPr>
          <w:rFonts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eastAsia="zh-CN"/>
        </w:rPr>
        <w:t>（4）卖方不履行免费质保期约定的，买方有权依法依规追究卖方法律责任，由此产生的责任与后果均由卖方承担</w:t>
      </w:r>
      <w:r>
        <w:rPr>
          <w:rFonts w:hint="eastAsia" w:cs="@仿宋_GB2312" w:asciiTheme="minorEastAsia" w:hAnsiTheme="minorEastAsia" w:eastAsiaTheme="minorEastAsia"/>
          <w:color w:val="auto"/>
          <w:sz w:val="24"/>
          <w:szCs w:val="20"/>
          <w:highlight w:val="none"/>
          <w:lang w:val="en-US"/>
        </w:rPr>
        <w:t>。</w:t>
      </w:r>
    </w:p>
    <w:p w14:paraId="744D83DD">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8.违约责任及解决争议方法：详见合同条款。</w:t>
      </w:r>
    </w:p>
    <w:p w14:paraId="2F22B738">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9.合同的生效</w:t>
      </w:r>
    </w:p>
    <w:p w14:paraId="0A8DFC0F">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合同经双方授权代表签署，买卖双方加盖印章之后生效。</w:t>
      </w:r>
    </w:p>
    <w:p w14:paraId="36528DDC">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     份，双方各执     份。</w:t>
      </w:r>
    </w:p>
    <w:p w14:paraId="6E7A8DFC">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  方：                          卖  方：</w:t>
      </w:r>
    </w:p>
    <w:p w14:paraId="1C377C8A">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  称：（盖章）                  名  称：（盖章）</w:t>
      </w:r>
    </w:p>
    <w:p w14:paraId="25BDF8CA">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法定代表人（或委托代理人）：      法定代表人（或委托代理人）：</w:t>
      </w:r>
    </w:p>
    <w:p w14:paraId="3E3FDC15">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6D76C3A0">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                        地    址：</w:t>
      </w:r>
    </w:p>
    <w:p w14:paraId="0AB82008">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                        邮政编码：</w:t>
      </w:r>
    </w:p>
    <w:p w14:paraId="405D1B01">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                        电    话：</w:t>
      </w:r>
    </w:p>
    <w:p w14:paraId="47C561E2">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开户银行：</w:t>
      </w:r>
    </w:p>
    <w:p w14:paraId="786DBF1E">
      <w:pPr>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帐    号：                        帐    号：</w:t>
      </w:r>
    </w:p>
    <w:p w14:paraId="2C152853">
      <w:pPr>
        <w:spacing w:line="400" w:lineRule="exact"/>
        <w:ind w:firstLine="480" w:firstLineChars="200"/>
        <w:outlineLvl w:val="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                        签订时间：</w:t>
      </w:r>
    </w:p>
    <w:p w14:paraId="2511DF38">
      <w:pPr>
        <w:spacing w:line="400" w:lineRule="exact"/>
        <w:ind w:left="360"/>
        <w:jc w:val="center"/>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bookmarkStart w:id="52" w:name="_Toc58430331"/>
      <w:r>
        <w:rPr>
          <w:rFonts w:hint="eastAsia" w:ascii="宋体" w:hAnsi="宋体" w:eastAsia="宋体" w:cs="宋体"/>
          <w:b/>
          <w:color w:val="auto"/>
          <w:sz w:val="24"/>
          <w:szCs w:val="24"/>
          <w:highlight w:val="none"/>
        </w:rPr>
        <w:t>二、合同条款</w:t>
      </w:r>
      <w:bookmarkEnd w:id="52"/>
    </w:p>
    <w:p w14:paraId="3A4ADE5C">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一.合同文件</w:t>
      </w:r>
    </w:p>
    <w:p w14:paraId="655B0AEA">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1.合同文件适用法律</w:t>
      </w:r>
    </w:p>
    <w:p w14:paraId="32C2904F">
      <w:pPr>
        <w:spacing w:line="500" w:lineRule="exact"/>
        <w:ind w:firstLine="720" w:firstLineChars="3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适用于合同文件的法律是中华人民共和国现行法律、法规及采购人所在地的地方性法规。</w:t>
      </w:r>
    </w:p>
    <w:p w14:paraId="56EF395F">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2.合同文件组成和解释顺序</w:t>
      </w:r>
    </w:p>
    <w:p w14:paraId="6CAE51F4">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(1)合同文件的组成和解释顺序如下：</w:t>
      </w:r>
    </w:p>
    <w:p w14:paraId="6603503A">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&lt;1&gt;合同的主要条款；</w:t>
      </w:r>
    </w:p>
    <w:p w14:paraId="092678C6">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&lt;2&gt;合同的一般性条款；</w:t>
      </w:r>
    </w:p>
    <w:p w14:paraId="0CE65FBA">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&lt;3&gt;洽商、变更等明确双方权利义务的纪要、协议；</w:t>
      </w:r>
    </w:p>
    <w:p w14:paraId="2D2DC0CE">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&lt;4&gt;中标通知书、投标文件和</w:t>
      </w:r>
      <w:r>
        <w:rPr>
          <w:rFonts w:hint="eastAsia" w:ascii="宋体" w:hAnsi="宋体" w:eastAsia="宋体" w:cs="宋体"/>
          <w:color w:val="auto"/>
          <w:sz w:val="24"/>
          <w:szCs w:val="24"/>
          <w:highlight w:val="none"/>
          <w:lang w:eastAsia="zh-CN"/>
        </w:rPr>
        <w:t>询价采购文件</w:t>
      </w:r>
      <w:r>
        <w:rPr>
          <w:rFonts w:hint="eastAsia" w:ascii="宋体" w:hAnsi="宋体" w:eastAsia="宋体" w:cs="宋体"/>
          <w:color w:val="auto"/>
          <w:sz w:val="24"/>
          <w:szCs w:val="24"/>
          <w:highlight w:val="none"/>
        </w:rPr>
        <w:t>；</w:t>
      </w:r>
    </w:p>
    <w:p w14:paraId="2B1FC27E">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&lt;5&gt;有关图纸、标准、规范和其它有关技术资料、技术要求。</w:t>
      </w:r>
    </w:p>
    <w:p w14:paraId="6018B662">
      <w:pPr>
        <w:spacing w:line="500" w:lineRule="exact"/>
        <w:ind w:firstLine="600" w:firstLineChars="2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&lt;6&gt;合同的主要条款的效力优于合同的一般性条款的效力。</w:t>
      </w:r>
    </w:p>
    <w:p w14:paraId="5883DB68">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3.合同文件使用文字</w:t>
      </w:r>
    </w:p>
    <w:p w14:paraId="43A9A9C4">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(1)合同文件使用中文书写、解释和说明。</w:t>
      </w:r>
    </w:p>
    <w:p w14:paraId="5F274468">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 xml:space="preserve">(2)合同文件使用技术性条款约定的为国家标准和规范；国家没有相应标准、规范时，可使用行业标准、规范。非标货物应按约定的技术性条款的标准和规范。 </w:t>
      </w:r>
    </w:p>
    <w:p w14:paraId="0369D4B2">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二.标的物的一般条款</w:t>
      </w:r>
    </w:p>
    <w:p w14:paraId="49357FEF">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4.完整物权</w:t>
      </w:r>
    </w:p>
    <w:p w14:paraId="26C10991">
      <w:pPr>
        <w:tabs>
          <w:tab w:val="left" w:pos="660"/>
        </w:tabs>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对于出卖的标的物，卖方应当拥有完整物权，并且卖方负有保证第三人不得向买方主张任何权利（包括知识产权）的义务。</w:t>
      </w:r>
    </w:p>
    <w:p w14:paraId="1FA9B5C2">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5.质量保证</w:t>
      </w:r>
    </w:p>
    <w:p w14:paraId="68A2346E">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24E3651C">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51E02025">
      <w:pPr>
        <w:pStyle w:val="11"/>
        <w:tabs>
          <w:tab w:val="left" w:pos="900"/>
        </w:tabs>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50A29E84">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6.包装</w:t>
      </w:r>
    </w:p>
    <w:p w14:paraId="3AE432E1">
      <w:pPr>
        <w:pStyle w:val="11"/>
        <w:tabs>
          <w:tab w:val="left" w:pos="900"/>
        </w:tabs>
        <w:spacing w:line="500" w:lineRule="exact"/>
        <w:ind w:firstLine="540" w:firstLineChars="225"/>
        <w:rPr>
          <w:rFonts w:hAnsi="宋体" w:cs="宋体"/>
          <w:color w:val="auto"/>
          <w:szCs w:val="24"/>
          <w:highlight w:val="none"/>
          <w:u w:color="000000"/>
        </w:rPr>
      </w:pPr>
      <w:r>
        <w:rPr>
          <w:rFonts w:hint="eastAsia" w:hAnsi="宋体" w:cs="宋体"/>
          <w:color w:val="auto"/>
          <w:szCs w:val="24"/>
          <w:highlight w:val="none"/>
          <w:u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56A960C8">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7.伴随服务</w:t>
      </w:r>
    </w:p>
    <w:p w14:paraId="70B84767">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(1)卖方除应履行按期按量交付合格标的物的义务之外，还应提供下列服务：</w:t>
      </w:r>
    </w:p>
    <w:p w14:paraId="15D54733">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&lt;1&gt;标的物的现场安装或指导安装、启动、调试、监督（如果必须安装、调试的话）；</w:t>
      </w:r>
    </w:p>
    <w:p w14:paraId="6DCAE880">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&lt;2&gt;提供标的物组装和一般维修所必须的工具；</w:t>
      </w:r>
    </w:p>
    <w:p w14:paraId="583CA558">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&lt;3&gt;在合同规定的期限内对所提供标的物实行运行监督、维修服务的前提条件是该服务并不能免除卖方在质量保证期内所承担的义务；</w:t>
      </w:r>
    </w:p>
    <w:p w14:paraId="4178EF63">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&lt;4&gt;对买方技术人员的技术指导或培训。</w:t>
      </w:r>
    </w:p>
    <w:p w14:paraId="07870ECC">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(2)除合同另有规定之外，伴随服务的费用均已含在合同价款中，买方不再另行进行支付。</w:t>
      </w:r>
    </w:p>
    <w:p w14:paraId="55A05CF1">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三.标的物的交付、检验和验收</w:t>
      </w:r>
    </w:p>
    <w:p w14:paraId="65A7D5D3">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8.标的物的交付</w:t>
      </w:r>
    </w:p>
    <w:p w14:paraId="0AB08E39">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(1)标的物的所有权自标的物交付时转移。</w:t>
      </w:r>
    </w:p>
    <w:p w14:paraId="27CDAC95">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(2)卖方应当按照约定的期限和约定的地点交付符合</w:t>
      </w:r>
      <w:r>
        <w:rPr>
          <w:rFonts w:hint="eastAsia" w:hAnsi="宋体" w:cs="宋体"/>
          <w:color w:val="auto"/>
          <w:szCs w:val="24"/>
          <w:highlight w:val="none"/>
          <w:u w:color="000000"/>
          <w:lang w:eastAsia="zh-CN"/>
        </w:rPr>
        <w:t>询价采购文件</w:t>
      </w:r>
      <w:r>
        <w:rPr>
          <w:rFonts w:hint="eastAsia" w:hAnsi="宋体" w:cs="宋体"/>
          <w:color w:val="auto"/>
          <w:szCs w:val="24"/>
          <w:highlight w:val="none"/>
          <w:u w:color="000000"/>
        </w:rPr>
        <w:t>要求的标的物。</w:t>
      </w:r>
    </w:p>
    <w:p w14:paraId="42617C72">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(3)卖方应当按照约定或者交易习惯向采购人交付提取标的物单证以外的有关单证和资料。</w:t>
      </w:r>
    </w:p>
    <w:p w14:paraId="30292CC3">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9.检验和验收</w:t>
      </w:r>
    </w:p>
    <w:p w14:paraId="2495630A">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76093B0E">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(2)买方根据合同规定的内容和验收标准进行验收，经检验无误后出具验收合格证明，该证明作为最终付款所需文件的组成部分。</w:t>
      </w:r>
    </w:p>
    <w:p w14:paraId="2750756E">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(3)验收期限自标的物交付之日起5个工作日内。特殊情况需延长的，双方应在合同条款中约定。</w:t>
      </w:r>
    </w:p>
    <w:p w14:paraId="7143B06D">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四.对标的物提出异议的时间和办法</w:t>
      </w:r>
    </w:p>
    <w:p w14:paraId="5282F404">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10.对标的物提出异议的时间和办法 </w:t>
      </w:r>
    </w:p>
    <w:p w14:paraId="7B6CBA07">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(1)买方在验收过程中，应当于双方约定的检验期间内将标的物的数量或质量不符合约定的情形及处理方式以书面形式通知卖方。</w:t>
      </w:r>
    </w:p>
    <w:p w14:paraId="6D710765">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(2)如买方在验收期满后既不出具验收合格证明又未提出书面异议的视为卖方所交标的物符合合同规定。</w:t>
      </w:r>
    </w:p>
    <w:p w14:paraId="45654D25">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(3)卖方应在收到买方书面异议后七天内负责处理问题，否则将视为默认买方提出的异议和处理意见。</w:t>
      </w:r>
    </w:p>
    <w:p w14:paraId="14D58980">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五.合同价款和支付</w:t>
      </w:r>
    </w:p>
    <w:p w14:paraId="75476BB5">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11.合同价款和支付</w:t>
      </w:r>
    </w:p>
    <w:p w14:paraId="5C75CC2B">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(1)本合同的结算货币为人民币，单位元。</w:t>
      </w:r>
    </w:p>
    <w:p w14:paraId="6932576D">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(2)卖方应按照双方签订的合同规定交货并在合同主要条款规定的期限内持下列单据结算货款：</w:t>
      </w:r>
    </w:p>
    <w:p w14:paraId="676F2A02">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&lt;1&gt;合格的销售发票；</w:t>
      </w:r>
    </w:p>
    <w:p w14:paraId="39A9801A">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&lt;2&gt;买方盖章签收后的送货回单和验收合格证明。</w:t>
      </w:r>
    </w:p>
    <w:p w14:paraId="13F54BDF">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(3)买方应按合同主要条款规定的期限和方式付款。</w:t>
      </w:r>
    </w:p>
    <w:p w14:paraId="02390782">
      <w:pPr>
        <w:pStyle w:val="11"/>
        <w:tabs>
          <w:tab w:val="left" w:pos="540"/>
        </w:tabs>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(4)根据现行税法对买方征收的与本合同有关的一切税费均由买方承担；根据现行税法对卖方征收的与本合同有关的一切税费均由卖方承担。</w:t>
      </w:r>
    </w:p>
    <w:p w14:paraId="11EEF92C">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六.违约责任</w:t>
      </w:r>
    </w:p>
    <w:p w14:paraId="79E3A212">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12.违约责任</w:t>
      </w:r>
    </w:p>
    <w:p w14:paraId="490B1C67">
      <w:pPr>
        <w:pStyle w:val="11"/>
        <w:spacing w:line="500" w:lineRule="exact"/>
        <w:ind w:firstLine="540" w:firstLineChars="225"/>
        <w:rPr>
          <w:rFonts w:hAnsi="宋体" w:cs="宋体"/>
          <w:color w:val="auto"/>
          <w:szCs w:val="24"/>
          <w:highlight w:val="none"/>
          <w:u w:color="000000"/>
        </w:rPr>
      </w:pPr>
      <w:r>
        <w:rPr>
          <w:rFonts w:hint="eastAsia" w:hAnsi="宋体" w:cs="宋体"/>
          <w:color w:val="auto"/>
          <w:szCs w:val="24"/>
          <w:highlight w:val="none"/>
          <w:u w:color="000000"/>
        </w:rPr>
        <w:t>合同一方不履行合同义务或者履行合同义务不符合约定的，应当承担继续履行、采取补救措施或者赔偿损失等违约责任。</w:t>
      </w:r>
    </w:p>
    <w:p w14:paraId="2736B037">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13.买方违约责任</w:t>
      </w:r>
    </w:p>
    <w:p w14:paraId="19592D38">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(1)在合同生效后，非产品质量问题，买方要求退货的，应向卖方偿付合同总价款的5%，作为违约金，违约金不足以补偿损失的，卖方有权要求</w:t>
      </w:r>
      <w:r>
        <w:rPr>
          <w:rFonts w:hint="eastAsia" w:hAnsi="宋体" w:cs="宋体"/>
          <w:color w:val="auto"/>
          <w:szCs w:val="24"/>
          <w:highlight w:val="none"/>
          <w:u w:color="000000"/>
          <w:lang w:eastAsia="zh-CN"/>
        </w:rPr>
        <w:t>买方</w:t>
      </w:r>
      <w:r>
        <w:rPr>
          <w:rFonts w:hint="eastAsia" w:hAnsi="宋体" w:cs="宋体"/>
          <w:color w:val="auto"/>
          <w:szCs w:val="24"/>
          <w:highlight w:val="none"/>
          <w:u w:color="000000"/>
        </w:rPr>
        <w:t>补足。</w:t>
      </w:r>
    </w:p>
    <w:p w14:paraId="28650949">
      <w:pPr>
        <w:pStyle w:val="11"/>
        <w:overflowPunct w:val="0"/>
        <w:spacing w:line="500" w:lineRule="exact"/>
        <w:ind w:right="-334" w:rightChars="-159" w:firstLine="600" w:firstLineChars="250"/>
        <w:rPr>
          <w:rFonts w:hAnsi="宋体" w:cs="宋体"/>
          <w:color w:val="auto"/>
          <w:szCs w:val="24"/>
          <w:highlight w:val="none"/>
          <w:u w:color="000000"/>
        </w:rPr>
      </w:pPr>
      <w:r>
        <w:rPr>
          <w:rFonts w:hint="eastAsia" w:hAnsi="宋体" w:cs="宋体"/>
          <w:color w:val="auto"/>
          <w:szCs w:val="24"/>
          <w:highlight w:val="none"/>
          <w:u w:color="000000"/>
        </w:rPr>
        <w:t>(2)买方逾期付款的应按照逾期付款金额的每天万分之四支付逾期付款违约金。</w:t>
      </w:r>
    </w:p>
    <w:p w14:paraId="64B8E4B8">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(3)买方违反合同规定，拒绝接收卖方交付的符合</w:t>
      </w:r>
      <w:r>
        <w:rPr>
          <w:rFonts w:hint="eastAsia" w:hAnsi="宋体" w:cs="宋体"/>
          <w:color w:val="auto"/>
          <w:szCs w:val="24"/>
          <w:highlight w:val="none"/>
          <w:u w:color="000000"/>
          <w:lang w:eastAsia="zh-CN"/>
        </w:rPr>
        <w:t>询价采购文件</w:t>
      </w:r>
      <w:r>
        <w:rPr>
          <w:rFonts w:hint="eastAsia" w:hAnsi="宋体" w:cs="宋体"/>
          <w:color w:val="auto"/>
          <w:szCs w:val="24"/>
          <w:highlight w:val="none"/>
          <w:u w:color="000000"/>
        </w:rPr>
        <w:t>要求的合格标的物，应当承担卖方由此造成的损失。</w:t>
      </w:r>
    </w:p>
    <w:p w14:paraId="7797B609">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14.卖方违约责任</w:t>
      </w:r>
    </w:p>
    <w:p w14:paraId="5B1E1F8F">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(1)卖方不能交货（逾期超过五天视为不能交货），或交货不合格从而影响买方按期正常使用的，应向买方偿付合同总价款5%的违约金，违约金不足以补偿损失的，买方有权要求卖方补足。</w:t>
      </w:r>
    </w:p>
    <w:p w14:paraId="26871E54">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42C3A1E0">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（3）卖方逾期提供售后服务的，每逾期一天应按货款的每天万分之四支付违约金，同时承担买方因此遭致的损失费用。</w:t>
      </w:r>
    </w:p>
    <w:p w14:paraId="53235FDC">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15.不可抗力</w:t>
      </w:r>
    </w:p>
    <w:p w14:paraId="04DF817F">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(1)因水灾、火灾、地震、战争等不可抗力不能履行合同的，根据不可抗力的影响，部分或者全部免除责任。但合同一方迟延履行后发生不可抗力的，不能免除责任。</w:t>
      </w:r>
    </w:p>
    <w:p w14:paraId="5C3CB5D8">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(2)合同一方因不可抗力不能履行合同的，应当及时通知对方，以减轻可能给对方造成的损失，并应当在合理期限内提供证明。</w:t>
      </w:r>
    </w:p>
    <w:p w14:paraId="694F15C7">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七.索赔</w:t>
      </w:r>
    </w:p>
    <w:p w14:paraId="29A470B0">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16.索赔</w:t>
      </w:r>
    </w:p>
    <w:p w14:paraId="6B4EABD3">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(1)买方有权根据当地产品质量检验机构或其它有权威部门出具的检验证书向卖方提出索赔。</w:t>
      </w:r>
    </w:p>
    <w:p w14:paraId="3307980C">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(2)在本合同规定的检验期和质量保证期内，如果卖方对买方提出的索赔或差异有责任，则卖方应按买方同意的下列一种或多种方式解决索赔事宜：</w:t>
      </w:r>
    </w:p>
    <w:p w14:paraId="08ADE610">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6B65CF31">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&lt;2&gt;根据标的物的低劣程度、损坏程度以及</w:t>
      </w:r>
      <w:r>
        <w:rPr>
          <w:rFonts w:hint="eastAsia" w:hAnsi="宋体" w:cs="宋体"/>
          <w:color w:val="auto"/>
          <w:szCs w:val="24"/>
          <w:highlight w:val="none"/>
          <w:u w:color="000000"/>
          <w:lang w:eastAsia="zh-CN"/>
        </w:rPr>
        <w:t>买方</w:t>
      </w:r>
      <w:r>
        <w:rPr>
          <w:rFonts w:hint="eastAsia" w:hAnsi="宋体" w:cs="宋体"/>
          <w:color w:val="auto"/>
          <w:szCs w:val="24"/>
          <w:highlight w:val="none"/>
          <w:u w:color="000000"/>
        </w:rPr>
        <w:t>遭受损失的数额，经双方协商确定降低标的物的价格；</w:t>
      </w:r>
    </w:p>
    <w:p w14:paraId="4B8059D5">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6AAAA304">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40267602">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(4)买方提出索赔的书面材料应报当地政府采购管理部门备案。卖方同意的索赔方案应报当地政府采购管理部门审核。</w:t>
      </w:r>
    </w:p>
    <w:p w14:paraId="0639E0D4">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八.履约保证金</w:t>
      </w:r>
    </w:p>
    <w:p w14:paraId="2F4A8311">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17.履约保证金</w:t>
      </w:r>
    </w:p>
    <w:p w14:paraId="539AFF33">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(1)卖方应在本合同签订时，按</w:t>
      </w:r>
      <w:r>
        <w:rPr>
          <w:rFonts w:hint="eastAsia" w:hAnsi="宋体" w:cs="宋体"/>
          <w:color w:val="auto"/>
          <w:szCs w:val="24"/>
          <w:highlight w:val="none"/>
          <w:u w:color="000000"/>
          <w:lang w:eastAsia="zh-CN"/>
        </w:rPr>
        <w:t>询价采购文件</w:t>
      </w:r>
      <w:r>
        <w:rPr>
          <w:rFonts w:hint="eastAsia" w:hAnsi="宋体" w:cs="宋体"/>
          <w:color w:val="auto"/>
          <w:szCs w:val="24"/>
          <w:highlight w:val="none"/>
          <w:u w:color="000000"/>
        </w:rPr>
        <w:t>的约定提供相应的履约保证金，保证金的有效期应不低于合同有效期。</w:t>
      </w:r>
    </w:p>
    <w:p w14:paraId="2136AB9C">
      <w:pPr>
        <w:pStyle w:val="11"/>
        <w:overflowPunct w:val="0"/>
        <w:spacing w:line="500" w:lineRule="exact"/>
        <w:ind w:right="-334" w:rightChars="-159" w:firstLine="600" w:firstLineChars="250"/>
        <w:rPr>
          <w:rFonts w:hAnsi="宋体" w:cs="宋体"/>
          <w:color w:val="auto"/>
          <w:szCs w:val="24"/>
          <w:highlight w:val="none"/>
          <w:u w:color="000000"/>
        </w:rPr>
      </w:pPr>
      <w:r>
        <w:rPr>
          <w:rFonts w:hint="eastAsia" w:hAnsi="宋体" w:cs="宋体"/>
          <w:color w:val="auto"/>
          <w:szCs w:val="24"/>
          <w:highlight w:val="none"/>
          <w:u w:color="000000"/>
        </w:rPr>
        <w:t>(2)如果卖方未能履行合同规定的任何义务，买方有权从履约保证金中取得补偿。</w:t>
      </w:r>
    </w:p>
    <w:p w14:paraId="02C3957A">
      <w:pPr>
        <w:pStyle w:val="11"/>
        <w:overflowPunct w:val="0"/>
        <w:spacing w:line="500" w:lineRule="exact"/>
        <w:ind w:right="-334" w:rightChars="-159" w:firstLine="0"/>
        <w:rPr>
          <w:rFonts w:hAnsi="宋体" w:cs="宋体"/>
          <w:b/>
          <w:color w:val="auto"/>
          <w:kern w:val="2"/>
          <w:szCs w:val="24"/>
          <w:highlight w:val="none"/>
        </w:rPr>
      </w:pPr>
      <w:r>
        <w:rPr>
          <w:rFonts w:hint="eastAsia" w:hAnsi="宋体" w:cs="宋体"/>
          <w:b/>
          <w:color w:val="auto"/>
          <w:kern w:val="2"/>
          <w:szCs w:val="24"/>
          <w:highlight w:val="none"/>
        </w:rPr>
        <w:t>九.合同的解除和转让</w:t>
      </w:r>
    </w:p>
    <w:p w14:paraId="79CAA25D">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18.合同的解除</w:t>
      </w:r>
    </w:p>
    <w:p w14:paraId="26D9D271">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(1)买方和卖方协商一致，可以解除合同。</w:t>
      </w:r>
    </w:p>
    <w:p w14:paraId="672E159E">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(2)有下列情形之一，合同一方可以解除合同：</w:t>
      </w:r>
    </w:p>
    <w:p w14:paraId="46503902">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&lt;1&gt;因不可抗力致使不能实现合同目的，未受不可抗力影响的一方有权解除合同；</w:t>
      </w:r>
    </w:p>
    <w:p w14:paraId="3DBA26BE">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&lt;2&gt;因合同一方违约导致合同不能履行，另一方有权解除合同。</w:t>
      </w:r>
    </w:p>
    <w:p w14:paraId="75C3D8C3">
      <w:pPr>
        <w:pStyle w:val="11"/>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(3)有权解除合同的一方，应当在违约事实或不可抗力发生之后三十天内书面通知对方以主张解除合同，合同在书面通知到达对方时解除。</w:t>
      </w:r>
    </w:p>
    <w:p w14:paraId="276F74B0">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19.合同的转让</w:t>
      </w:r>
    </w:p>
    <w:p w14:paraId="30934DEA">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合同的部分和全部都不得转让。</w:t>
      </w:r>
    </w:p>
    <w:p w14:paraId="7B51BAB3">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十.合同的生效</w:t>
      </w:r>
    </w:p>
    <w:p w14:paraId="3C8B4C2F">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20.合同的生效</w:t>
      </w:r>
    </w:p>
    <w:p w14:paraId="27700EBD">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本合同在双方签字盖章后生效。</w:t>
      </w:r>
    </w:p>
    <w:p w14:paraId="70C31D28">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十一.争议解决</w:t>
      </w:r>
    </w:p>
    <w:p w14:paraId="63000FBD">
      <w:pPr>
        <w:spacing w:line="50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21.争议解决</w:t>
      </w:r>
    </w:p>
    <w:p w14:paraId="473FDA3B">
      <w:pPr>
        <w:pStyle w:val="11"/>
        <w:overflowPunct w:val="0"/>
        <w:spacing w:line="500" w:lineRule="exact"/>
        <w:rPr>
          <w:rFonts w:hAnsi="宋体" w:cs="宋体"/>
          <w:color w:val="auto"/>
          <w:szCs w:val="24"/>
          <w:highlight w:val="none"/>
          <w:u w:color="000000"/>
        </w:rPr>
      </w:pPr>
      <w:r>
        <w:rPr>
          <w:rFonts w:hint="eastAsia" w:hAnsi="宋体" w:cs="宋体"/>
          <w:color w:val="auto"/>
          <w:szCs w:val="24"/>
          <w:highlight w:val="none"/>
          <w:u w:color="000000"/>
        </w:rPr>
        <w:t xml:space="preserve"> 买卖双方因合同发生争议，进行调解，协商不成，可选择：（2）</w:t>
      </w:r>
    </w:p>
    <w:p w14:paraId="286CA2C6">
      <w:pPr>
        <w:pStyle w:val="11"/>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(1)双方同时</w:t>
      </w:r>
      <w:r>
        <w:rPr>
          <w:rFonts w:hint="eastAsia" w:hAnsi="宋体" w:cs="宋体"/>
          <w:color w:val="auto"/>
          <w:szCs w:val="24"/>
          <w:highlight w:val="none"/>
        </w:rPr>
        <w:t>将争议提交滁州仲裁委员会</w:t>
      </w:r>
      <w:r>
        <w:rPr>
          <w:rFonts w:hint="eastAsia" w:hAnsi="宋体" w:cs="宋体"/>
          <w:color w:val="auto"/>
          <w:szCs w:val="24"/>
          <w:highlight w:val="none"/>
          <w:u w:color="000000"/>
        </w:rPr>
        <w:t>进行仲裁；</w:t>
      </w:r>
    </w:p>
    <w:p w14:paraId="51DECDB6">
      <w:pPr>
        <w:pStyle w:val="11"/>
        <w:tabs>
          <w:tab w:val="left" w:pos="900"/>
        </w:tabs>
        <w:overflowPunct w:val="0"/>
        <w:spacing w:line="500" w:lineRule="exact"/>
        <w:ind w:firstLine="600" w:firstLineChars="250"/>
        <w:rPr>
          <w:rFonts w:hAnsi="宋体" w:cs="宋体"/>
          <w:color w:val="auto"/>
          <w:szCs w:val="24"/>
          <w:highlight w:val="none"/>
          <w:u w:color="000000"/>
        </w:rPr>
      </w:pPr>
      <w:r>
        <w:rPr>
          <w:rFonts w:hint="eastAsia" w:hAnsi="宋体" w:cs="宋体"/>
          <w:color w:val="auto"/>
          <w:szCs w:val="24"/>
          <w:highlight w:val="none"/>
          <w:u w:color="000000"/>
        </w:rPr>
        <w:t>(2)向买方所在地人民法院提起诉讼。</w:t>
      </w:r>
    </w:p>
    <w:p w14:paraId="196FA8AB">
      <w:pPr>
        <w:spacing w:line="500" w:lineRule="exact"/>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十二.附则</w:t>
      </w:r>
    </w:p>
    <w:p w14:paraId="0F5D3A97">
      <w:pPr>
        <w:spacing w:line="50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22.合同份数。</w:t>
      </w:r>
    </w:p>
    <w:p w14:paraId="6A108AF9">
      <w:pPr>
        <w:spacing w:line="5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本合同一式陆份，买卖双方各执叁份。</w:t>
      </w:r>
    </w:p>
    <w:p w14:paraId="0BCAA69D">
      <w:pPr>
        <w:spacing w:line="500" w:lineRule="exact"/>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23.未尽事宜</w:t>
      </w:r>
    </w:p>
    <w:p w14:paraId="6B7DA6F0">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本合同未尽事宜应按《中华人民共和国政府采购法》、《中华人民共和国民法典》、《中华人民共和国产品质量法》之规定解释。</w:t>
      </w:r>
    </w:p>
    <w:p w14:paraId="044F065F">
      <w:pPr>
        <w:spacing w:line="500" w:lineRule="exact"/>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64984A66">
      <w:pPr>
        <w:spacing w:line="360" w:lineRule="auto"/>
        <w:jc w:val="center"/>
        <w:outlineLvl w:val="0"/>
        <w:rPr>
          <w:rFonts w:asciiTheme="minorEastAsia" w:hAnsiTheme="minorEastAsia" w:eastAsiaTheme="minorEastAsia"/>
          <w:b/>
          <w:color w:val="auto"/>
          <w:sz w:val="44"/>
          <w:szCs w:val="44"/>
          <w:highlight w:val="none"/>
        </w:rPr>
      </w:pPr>
      <w:r>
        <w:rPr>
          <w:rFonts w:hint="eastAsia" w:asciiTheme="minorEastAsia" w:hAnsiTheme="minorEastAsia" w:eastAsiaTheme="minorEastAsia"/>
          <w:b/>
          <w:color w:val="auto"/>
          <w:sz w:val="44"/>
          <w:szCs w:val="44"/>
          <w:highlight w:val="none"/>
        </w:rPr>
        <w:t>第六章  响应文件格式</w:t>
      </w:r>
      <w:bookmarkEnd w:id="51"/>
    </w:p>
    <w:p w14:paraId="19F19714">
      <w:pPr>
        <w:spacing w:line="900" w:lineRule="exact"/>
        <w:jc w:val="center"/>
        <w:rPr>
          <w:rFonts w:asciiTheme="minorEastAsia" w:hAnsiTheme="minorEastAsia" w:eastAsiaTheme="minorEastAsia"/>
          <w:b/>
          <w:color w:val="auto"/>
          <w:sz w:val="72"/>
          <w:highlight w:val="none"/>
        </w:rPr>
      </w:pPr>
    </w:p>
    <w:p w14:paraId="0B7CD8B2">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2905B52">
      <w:pPr>
        <w:spacing w:line="900" w:lineRule="exact"/>
        <w:jc w:val="center"/>
        <w:rPr>
          <w:rFonts w:asciiTheme="minorEastAsia" w:hAnsiTheme="minorEastAsia" w:eastAsiaTheme="minorEastAsia"/>
          <w:b/>
          <w:color w:val="auto"/>
          <w:sz w:val="72"/>
          <w:highlight w:val="none"/>
        </w:rPr>
      </w:pPr>
    </w:p>
    <w:p w14:paraId="70CE6788">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407F1D91">
      <w:pPr>
        <w:spacing w:line="900" w:lineRule="exact"/>
        <w:jc w:val="center"/>
        <w:rPr>
          <w:rFonts w:asciiTheme="minorEastAsia" w:hAnsiTheme="minorEastAsia" w:eastAsiaTheme="minorEastAsia"/>
          <w:b/>
          <w:color w:val="auto"/>
          <w:sz w:val="72"/>
          <w:highlight w:val="none"/>
        </w:rPr>
      </w:pPr>
    </w:p>
    <w:p w14:paraId="59B2B77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683AA207">
      <w:pPr>
        <w:spacing w:line="900" w:lineRule="exact"/>
        <w:jc w:val="center"/>
        <w:rPr>
          <w:rFonts w:asciiTheme="minorEastAsia" w:hAnsiTheme="minorEastAsia" w:eastAsiaTheme="minorEastAsia"/>
          <w:b/>
          <w:color w:val="auto"/>
          <w:sz w:val="72"/>
          <w:highlight w:val="none"/>
        </w:rPr>
      </w:pPr>
    </w:p>
    <w:p w14:paraId="2476F67C">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27F66D8A">
      <w:pPr>
        <w:spacing w:after="156" w:afterLines="50"/>
        <w:jc w:val="center"/>
        <w:rPr>
          <w:rFonts w:asciiTheme="minorEastAsia" w:hAnsiTheme="minorEastAsia" w:eastAsiaTheme="minorEastAsia"/>
          <w:b/>
          <w:color w:val="auto"/>
          <w:sz w:val="72"/>
          <w:highlight w:val="none"/>
        </w:rPr>
      </w:pPr>
    </w:p>
    <w:p w14:paraId="7754844C">
      <w:pPr>
        <w:spacing w:after="156" w:afterLines="50" w:line="500" w:lineRule="exact"/>
        <w:jc w:val="center"/>
        <w:rPr>
          <w:rFonts w:asciiTheme="minorEastAsia" w:hAnsiTheme="minorEastAsia" w:eastAsiaTheme="minorEastAsia"/>
          <w:b/>
          <w:color w:val="auto"/>
          <w:sz w:val="28"/>
          <w:szCs w:val="28"/>
          <w:highlight w:val="none"/>
        </w:rPr>
      </w:pPr>
    </w:p>
    <w:p w14:paraId="7F72AD75">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6B7666DC">
      <w:pPr>
        <w:spacing w:after="156" w:afterLines="50" w:line="500" w:lineRule="exact"/>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 应 商：</w:t>
      </w:r>
      <w:r>
        <w:rPr>
          <w:rFonts w:hint="eastAsia" w:asciiTheme="minorEastAsia" w:hAnsiTheme="minorEastAsia" w:eastAsiaTheme="minorEastAsia"/>
          <w:b/>
          <w:color w:val="auto"/>
          <w:sz w:val="32"/>
          <w:highlight w:val="none"/>
          <w:u w:val="single"/>
        </w:rPr>
        <w:t xml:space="preserve">                  </w:t>
      </w:r>
    </w:p>
    <w:p w14:paraId="32CD1192">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3" w:name="_Toc215"/>
      <w:bookmarkStart w:id="54" w:name="_Toc1353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3"/>
      <w:bookmarkEnd w:id="54"/>
    </w:p>
    <w:p w14:paraId="4C6E1C1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5686F44F">
      <w:pPr>
        <w:spacing w:line="360" w:lineRule="auto"/>
        <w:jc w:val="center"/>
        <w:outlineLvl w:val="1"/>
        <w:rPr>
          <w:rFonts w:asciiTheme="minorEastAsia" w:hAnsiTheme="minorEastAsia" w:eastAsiaTheme="minorEastAsia"/>
          <w:b/>
          <w:color w:val="auto"/>
          <w:sz w:val="24"/>
          <w:highlight w:val="none"/>
        </w:rPr>
      </w:pPr>
      <w:bookmarkStart w:id="55" w:name="_Toc14197"/>
      <w:bookmarkStart w:id="56" w:name="_Toc11521"/>
      <w:bookmarkStart w:id="57" w:name="_Hlk23205287"/>
      <w:r>
        <w:rPr>
          <w:rFonts w:hint="eastAsia" w:asciiTheme="minorEastAsia" w:hAnsiTheme="minorEastAsia" w:eastAsiaTheme="minorEastAsia"/>
          <w:b/>
          <w:color w:val="auto"/>
          <w:sz w:val="24"/>
          <w:highlight w:val="none"/>
        </w:rPr>
        <w:t>一、报价表</w:t>
      </w:r>
      <w:bookmarkEnd w:id="55"/>
      <w:bookmarkEnd w:id="56"/>
    </w:p>
    <w:tbl>
      <w:tblPr>
        <w:tblStyle w:val="27"/>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438"/>
        <w:gridCol w:w="1436"/>
        <w:gridCol w:w="1436"/>
        <w:gridCol w:w="732"/>
        <w:gridCol w:w="747"/>
        <w:gridCol w:w="1022"/>
        <w:gridCol w:w="1024"/>
        <w:gridCol w:w="736"/>
      </w:tblGrid>
      <w:tr w14:paraId="0546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16" w:type="dxa"/>
            <w:vAlign w:val="center"/>
          </w:tcPr>
          <w:p w14:paraId="5C595AF1">
            <w:pPr>
              <w:pStyle w:val="46"/>
              <w:widowControl w:val="0"/>
              <w:spacing w:before="0" w:beforeAutospacing="0" w:after="0" w:afterAutospacing="0"/>
              <w:rPr>
                <w:rFonts w:asciiTheme="minorEastAsia" w:hAnsiTheme="minorEastAsia" w:eastAsiaTheme="minorEastAsia"/>
                <w:bCs w:val="0"/>
                <w:color w:val="auto"/>
                <w:kern w:val="2"/>
                <w:sz w:val="24"/>
                <w:szCs w:val="24"/>
                <w:highlight w:val="none"/>
              </w:rPr>
            </w:pPr>
            <w:r>
              <w:rPr>
                <w:rFonts w:hint="eastAsia" w:asciiTheme="minorEastAsia" w:hAnsiTheme="minorEastAsia" w:eastAsiaTheme="minorEastAsia"/>
                <w:bCs w:val="0"/>
                <w:color w:val="auto"/>
                <w:kern w:val="2"/>
                <w:sz w:val="24"/>
                <w:szCs w:val="24"/>
                <w:highlight w:val="none"/>
              </w:rPr>
              <w:t>序号</w:t>
            </w:r>
          </w:p>
        </w:tc>
        <w:tc>
          <w:tcPr>
            <w:tcW w:w="1438" w:type="dxa"/>
            <w:vAlign w:val="center"/>
          </w:tcPr>
          <w:p w14:paraId="53FEC558">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货物名称</w:t>
            </w:r>
          </w:p>
        </w:tc>
        <w:tc>
          <w:tcPr>
            <w:tcW w:w="1436" w:type="dxa"/>
            <w:vAlign w:val="center"/>
          </w:tcPr>
          <w:p w14:paraId="59707B90">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品牌、型号</w:t>
            </w:r>
          </w:p>
        </w:tc>
        <w:tc>
          <w:tcPr>
            <w:tcW w:w="1436" w:type="dxa"/>
            <w:vAlign w:val="center"/>
          </w:tcPr>
          <w:p w14:paraId="114BCEA3">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原产地及</w:t>
            </w:r>
          </w:p>
          <w:p w14:paraId="07B30BEC">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生产厂商</w:t>
            </w:r>
          </w:p>
        </w:tc>
        <w:tc>
          <w:tcPr>
            <w:tcW w:w="732" w:type="dxa"/>
            <w:vAlign w:val="center"/>
          </w:tcPr>
          <w:p w14:paraId="29B6F2ED">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单位</w:t>
            </w:r>
          </w:p>
        </w:tc>
        <w:tc>
          <w:tcPr>
            <w:tcW w:w="747" w:type="dxa"/>
            <w:vAlign w:val="center"/>
          </w:tcPr>
          <w:p w14:paraId="6884D23C">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数量</w:t>
            </w:r>
          </w:p>
        </w:tc>
        <w:tc>
          <w:tcPr>
            <w:tcW w:w="1022" w:type="dxa"/>
            <w:vAlign w:val="center"/>
          </w:tcPr>
          <w:p w14:paraId="2BBD4F1A">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单价</w:t>
            </w:r>
          </w:p>
          <w:p w14:paraId="18E98F28">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（元）</w:t>
            </w:r>
          </w:p>
        </w:tc>
        <w:tc>
          <w:tcPr>
            <w:tcW w:w="1024" w:type="dxa"/>
            <w:vAlign w:val="center"/>
          </w:tcPr>
          <w:p w14:paraId="6836F5C9">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小计</w:t>
            </w:r>
          </w:p>
          <w:p w14:paraId="42D06D88">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（元）</w:t>
            </w:r>
          </w:p>
        </w:tc>
        <w:tc>
          <w:tcPr>
            <w:tcW w:w="736" w:type="dxa"/>
            <w:vAlign w:val="center"/>
          </w:tcPr>
          <w:p w14:paraId="0F4C50C8">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备注</w:t>
            </w:r>
          </w:p>
        </w:tc>
      </w:tr>
      <w:tr w14:paraId="6D5E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043F4C66">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730E37FF">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048FD66E">
            <w:pPr>
              <w:rPr>
                <w:rFonts w:asciiTheme="minorEastAsia" w:hAnsiTheme="minorEastAsia" w:eastAsiaTheme="minorEastAsia"/>
                <w:color w:val="auto"/>
                <w:sz w:val="24"/>
                <w:szCs w:val="24"/>
                <w:highlight w:val="none"/>
              </w:rPr>
            </w:pPr>
          </w:p>
        </w:tc>
        <w:tc>
          <w:tcPr>
            <w:tcW w:w="1436" w:type="dxa"/>
          </w:tcPr>
          <w:p w14:paraId="0E6B0DE8">
            <w:pPr>
              <w:rPr>
                <w:rFonts w:asciiTheme="minorEastAsia" w:hAnsiTheme="minorEastAsia" w:eastAsiaTheme="minorEastAsia"/>
                <w:color w:val="auto"/>
                <w:sz w:val="24"/>
                <w:szCs w:val="24"/>
                <w:highlight w:val="none"/>
              </w:rPr>
            </w:pPr>
          </w:p>
        </w:tc>
        <w:tc>
          <w:tcPr>
            <w:tcW w:w="732" w:type="dxa"/>
            <w:vAlign w:val="center"/>
          </w:tcPr>
          <w:p w14:paraId="4E0C354B">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00EC073F">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6A921362">
            <w:pPr>
              <w:rPr>
                <w:rFonts w:asciiTheme="minorEastAsia" w:hAnsiTheme="minorEastAsia" w:eastAsiaTheme="minorEastAsia"/>
                <w:color w:val="auto"/>
                <w:sz w:val="24"/>
                <w:szCs w:val="24"/>
                <w:highlight w:val="none"/>
              </w:rPr>
            </w:pPr>
          </w:p>
        </w:tc>
        <w:tc>
          <w:tcPr>
            <w:tcW w:w="1024" w:type="dxa"/>
          </w:tcPr>
          <w:p w14:paraId="70441113">
            <w:pPr>
              <w:rPr>
                <w:rFonts w:asciiTheme="minorEastAsia" w:hAnsiTheme="minorEastAsia" w:eastAsiaTheme="minorEastAsia"/>
                <w:color w:val="auto"/>
                <w:sz w:val="24"/>
                <w:szCs w:val="24"/>
                <w:highlight w:val="none"/>
              </w:rPr>
            </w:pPr>
          </w:p>
        </w:tc>
        <w:tc>
          <w:tcPr>
            <w:tcW w:w="736" w:type="dxa"/>
          </w:tcPr>
          <w:p w14:paraId="283E03EE">
            <w:pPr>
              <w:rPr>
                <w:rFonts w:asciiTheme="minorEastAsia" w:hAnsiTheme="minorEastAsia" w:eastAsiaTheme="minorEastAsia"/>
                <w:color w:val="auto"/>
                <w:sz w:val="24"/>
                <w:szCs w:val="24"/>
                <w:highlight w:val="none"/>
              </w:rPr>
            </w:pPr>
          </w:p>
        </w:tc>
      </w:tr>
      <w:tr w14:paraId="5392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47E1A651">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6FD47A9D">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7A9473B5">
            <w:pPr>
              <w:rPr>
                <w:rFonts w:asciiTheme="minorEastAsia" w:hAnsiTheme="minorEastAsia" w:eastAsiaTheme="minorEastAsia"/>
                <w:color w:val="auto"/>
                <w:sz w:val="24"/>
                <w:szCs w:val="24"/>
                <w:highlight w:val="none"/>
              </w:rPr>
            </w:pPr>
          </w:p>
        </w:tc>
        <w:tc>
          <w:tcPr>
            <w:tcW w:w="1436" w:type="dxa"/>
          </w:tcPr>
          <w:p w14:paraId="75D9B048">
            <w:pPr>
              <w:rPr>
                <w:rFonts w:asciiTheme="minorEastAsia" w:hAnsiTheme="minorEastAsia" w:eastAsiaTheme="minorEastAsia"/>
                <w:color w:val="auto"/>
                <w:sz w:val="24"/>
                <w:szCs w:val="24"/>
                <w:highlight w:val="none"/>
              </w:rPr>
            </w:pPr>
          </w:p>
        </w:tc>
        <w:tc>
          <w:tcPr>
            <w:tcW w:w="732" w:type="dxa"/>
            <w:vAlign w:val="center"/>
          </w:tcPr>
          <w:p w14:paraId="5090A1C4">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7F19DB67">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4F0E5CD9">
            <w:pPr>
              <w:rPr>
                <w:rFonts w:asciiTheme="minorEastAsia" w:hAnsiTheme="minorEastAsia" w:eastAsiaTheme="minorEastAsia"/>
                <w:color w:val="auto"/>
                <w:sz w:val="24"/>
                <w:szCs w:val="24"/>
                <w:highlight w:val="none"/>
              </w:rPr>
            </w:pPr>
          </w:p>
        </w:tc>
        <w:tc>
          <w:tcPr>
            <w:tcW w:w="1024" w:type="dxa"/>
          </w:tcPr>
          <w:p w14:paraId="360B436A">
            <w:pPr>
              <w:rPr>
                <w:rFonts w:asciiTheme="minorEastAsia" w:hAnsiTheme="minorEastAsia" w:eastAsiaTheme="minorEastAsia"/>
                <w:color w:val="auto"/>
                <w:sz w:val="24"/>
                <w:szCs w:val="24"/>
                <w:highlight w:val="none"/>
              </w:rPr>
            </w:pPr>
          </w:p>
        </w:tc>
        <w:tc>
          <w:tcPr>
            <w:tcW w:w="736" w:type="dxa"/>
          </w:tcPr>
          <w:p w14:paraId="196A5CDF">
            <w:pPr>
              <w:rPr>
                <w:rFonts w:asciiTheme="minorEastAsia" w:hAnsiTheme="minorEastAsia" w:eastAsiaTheme="minorEastAsia"/>
                <w:color w:val="auto"/>
                <w:sz w:val="24"/>
                <w:szCs w:val="24"/>
                <w:highlight w:val="none"/>
              </w:rPr>
            </w:pPr>
          </w:p>
        </w:tc>
      </w:tr>
      <w:tr w14:paraId="4391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4AF9ED1D">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5557FF51">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6C607638">
            <w:pPr>
              <w:rPr>
                <w:rFonts w:asciiTheme="minorEastAsia" w:hAnsiTheme="minorEastAsia" w:eastAsiaTheme="minorEastAsia"/>
                <w:color w:val="auto"/>
                <w:sz w:val="24"/>
                <w:szCs w:val="24"/>
                <w:highlight w:val="none"/>
              </w:rPr>
            </w:pPr>
          </w:p>
        </w:tc>
        <w:tc>
          <w:tcPr>
            <w:tcW w:w="1436" w:type="dxa"/>
          </w:tcPr>
          <w:p w14:paraId="0F128F01">
            <w:pPr>
              <w:rPr>
                <w:rFonts w:asciiTheme="minorEastAsia" w:hAnsiTheme="minorEastAsia" w:eastAsiaTheme="minorEastAsia"/>
                <w:color w:val="auto"/>
                <w:sz w:val="24"/>
                <w:szCs w:val="24"/>
                <w:highlight w:val="none"/>
              </w:rPr>
            </w:pPr>
          </w:p>
        </w:tc>
        <w:tc>
          <w:tcPr>
            <w:tcW w:w="732" w:type="dxa"/>
            <w:vAlign w:val="center"/>
          </w:tcPr>
          <w:p w14:paraId="79347AD9">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3BAC1641">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5ED85B01">
            <w:pPr>
              <w:rPr>
                <w:rFonts w:asciiTheme="minorEastAsia" w:hAnsiTheme="minorEastAsia" w:eastAsiaTheme="minorEastAsia"/>
                <w:color w:val="auto"/>
                <w:sz w:val="24"/>
                <w:szCs w:val="24"/>
                <w:highlight w:val="none"/>
              </w:rPr>
            </w:pPr>
          </w:p>
        </w:tc>
        <w:tc>
          <w:tcPr>
            <w:tcW w:w="1024" w:type="dxa"/>
          </w:tcPr>
          <w:p w14:paraId="2296F674">
            <w:pPr>
              <w:rPr>
                <w:rFonts w:asciiTheme="minorEastAsia" w:hAnsiTheme="minorEastAsia" w:eastAsiaTheme="minorEastAsia"/>
                <w:color w:val="auto"/>
                <w:sz w:val="24"/>
                <w:szCs w:val="24"/>
                <w:highlight w:val="none"/>
              </w:rPr>
            </w:pPr>
          </w:p>
        </w:tc>
        <w:tc>
          <w:tcPr>
            <w:tcW w:w="736" w:type="dxa"/>
          </w:tcPr>
          <w:p w14:paraId="762411F4">
            <w:pPr>
              <w:rPr>
                <w:rFonts w:asciiTheme="minorEastAsia" w:hAnsiTheme="minorEastAsia" w:eastAsiaTheme="minorEastAsia"/>
                <w:color w:val="auto"/>
                <w:sz w:val="24"/>
                <w:szCs w:val="24"/>
                <w:highlight w:val="none"/>
              </w:rPr>
            </w:pPr>
          </w:p>
        </w:tc>
      </w:tr>
      <w:tr w14:paraId="24B3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5F4BE99B">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62429EA5">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03DD5086">
            <w:pPr>
              <w:rPr>
                <w:rFonts w:asciiTheme="minorEastAsia" w:hAnsiTheme="minorEastAsia" w:eastAsiaTheme="minorEastAsia"/>
                <w:color w:val="auto"/>
                <w:sz w:val="24"/>
                <w:szCs w:val="24"/>
                <w:highlight w:val="none"/>
              </w:rPr>
            </w:pPr>
          </w:p>
        </w:tc>
        <w:tc>
          <w:tcPr>
            <w:tcW w:w="1436" w:type="dxa"/>
          </w:tcPr>
          <w:p w14:paraId="2E94F0DF">
            <w:pPr>
              <w:rPr>
                <w:rFonts w:asciiTheme="minorEastAsia" w:hAnsiTheme="minorEastAsia" w:eastAsiaTheme="minorEastAsia"/>
                <w:color w:val="auto"/>
                <w:sz w:val="24"/>
                <w:szCs w:val="24"/>
                <w:highlight w:val="none"/>
              </w:rPr>
            </w:pPr>
          </w:p>
        </w:tc>
        <w:tc>
          <w:tcPr>
            <w:tcW w:w="732" w:type="dxa"/>
            <w:vAlign w:val="center"/>
          </w:tcPr>
          <w:p w14:paraId="11C3D396">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58DA9E6C">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6B24C35F">
            <w:pPr>
              <w:rPr>
                <w:rFonts w:asciiTheme="minorEastAsia" w:hAnsiTheme="minorEastAsia" w:eastAsiaTheme="minorEastAsia"/>
                <w:color w:val="auto"/>
                <w:sz w:val="24"/>
                <w:szCs w:val="24"/>
                <w:highlight w:val="none"/>
              </w:rPr>
            </w:pPr>
          </w:p>
        </w:tc>
        <w:tc>
          <w:tcPr>
            <w:tcW w:w="1024" w:type="dxa"/>
          </w:tcPr>
          <w:p w14:paraId="6491A7F9">
            <w:pPr>
              <w:rPr>
                <w:rFonts w:asciiTheme="minorEastAsia" w:hAnsiTheme="minorEastAsia" w:eastAsiaTheme="minorEastAsia"/>
                <w:color w:val="auto"/>
                <w:sz w:val="24"/>
                <w:szCs w:val="24"/>
                <w:highlight w:val="none"/>
              </w:rPr>
            </w:pPr>
          </w:p>
        </w:tc>
        <w:tc>
          <w:tcPr>
            <w:tcW w:w="736" w:type="dxa"/>
          </w:tcPr>
          <w:p w14:paraId="1613DA18">
            <w:pPr>
              <w:rPr>
                <w:rFonts w:asciiTheme="minorEastAsia" w:hAnsiTheme="minorEastAsia" w:eastAsiaTheme="minorEastAsia"/>
                <w:color w:val="auto"/>
                <w:sz w:val="24"/>
                <w:szCs w:val="24"/>
                <w:highlight w:val="none"/>
              </w:rPr>
            </w:pPr>
          </w:p>
        </w:tc>
      </w:tr>
      <w:tr w14:paraId="47FA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02E3D87F">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06DBEE91">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3DD02B12">
            <w:pPr>
              <w:rPr>
                <w:rFonts w:asciiTheme="minorEastAsia" w:hAnsiTheme="minorEastAsia" w:eastAsiaTheme="minorEastAsia"/>
                <w:color w:val="auto"/>
                <w:sz w:val="24"/>
                <w:szCs w:val="24"/>
                <w:highlight w:val="none"/>
              </w:rPr>
            </w:pPr>
          </w:p>
        </w:tc>
        <w:tc>
          <w:tcPr>
            <w:tcW w:w="1436" w:type="dxa"/>
          </w:tcPr>
          <w:p w14:paraId="4C856430">
            <w:pPr>
              <w:rPr>
                <w:rFonts w:asciiTheme="minorEastAsia" w:hAnsiTheme="minorEastAsia" w:eastAsiaTheme="minorEastAsia"/>
                <w:color w:val="auto"/>
                <w:sz w:val="24"/>
                <w:szCs w:val="24"/>
                <w:highlight w:val="none"/>
              </w:rPr>
            </w:pPr>
          </w:p>
        </w:tc>
        <w:tc>
          <w:tcPr>
            <w:tcW w:w="732" w:type="dxa"/>
            <w:vAlign w:val="center"/>
          </w:tcPr>
          <w:p w14:paraId="2B524626">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549E2BB0">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7248E01A">
            <w:pPr>
              <w:rPr>
                <w:rFonts w:asciiTheme="minorEastAsia" w:hAnsiTheme="minorEastAsia" w:eastAsiaTheme="minorEastAsia"/>
                <w:color w:val="auto"/>
                <w:sz w:val="24"/>
                <w:szCs w:val="24"/>
                <w:highlight w:val="none"/>
              </w:rPr>
            </w:pPr>
          </w:p>
        </w:tc>
        <w:tc>
          <w:tcPr>
            <w:tcW w:w="1024" w:type="dxa"/>
          </w:tcPr>
          <w:p w14:paraId="65A04A21">
            <w:pPr>
              <w:rPr>
                <w:rFonts w:asciiTheme="minorEastAsia" w:hAnsiTheme="minorEastAsia" w:eastAsiaTheme="minorEastAsia"/>
                <w:color w:val="auto"/>
                <w:sz w:val="24"/>
                <w:szCs w:val="24"/>
                <w:highlight w:val="none"/>
              </w:rPr>
            </w:pPr>
          </w:p>
        </w:tc>
        <w:tc>
          <w:tcPr>
            <w:tcW w:w="736" w:type="dxa"/>
          </w:tcPr>
          <w:p w14:paraId="02A6623F">
            <w:pPr>
              <w:rPr>
                <w:rFonts w:asciiTheme="minorEastAsia" w:hAnsiTheme="minorEastAsia" w:eastAsiaTheme="minorEastAsia"/>
                <w:color w:val="auto"/>
                <w:sz w:val="24"/>
                <w:szCs w:val="24"/>
                <w:highlight w:val="none"/>
              </w:rPr>
            </w:pPr>
          </w:p>
        </w:tc>
      </w:tr>
      <w:tr w14:paraId="4B40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1AC819B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1C6B46A9">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20EB5C9B">
            <w:pPr>
              <w:rPr>
                <w:rFonts w:asciiTheme="minorEastAsia" w:hAnsiTheme="minorEastAsia" w:eastAsiaTheme="minorEastAsia"/>
                <w:color w:val="auto"/>
                <w:sz w:val="24"/>
                <w:szCs w:val="24"/>
                <w:highlight w:val="none"/>
              </w:rPr>
            </w:pPr>
          </w:p>
        </w:tc>
        <w:tc>
          <w:tcPr>
            <w:tcW w:w="1436" w:type="dxa"/>
          </w:tcPr>
          <w:p w14:paraId="55728D96">
            <w:pPr>
              <w:rPr>
                <w:rFonts w:asciiTheme="minorEastAsia" w:hAnsiTheme="minorEastAsia" w:eastAsiaTheme="minorEastAsia"/>
                <w:color w:val="auto"/>
                <w:sz w:val="24"/>
                <w:szCs w:val="24"/>
                <w:highlight w:val="none"/>
              </w:rPr>
            </w:pPr>
          </w:p>
        </w:tc>
        <w:tc>
          <w:tcPr>
            <w:tcW w:w="732" w:type="dxa"/>
            <w:vAlign w:val="center"/>
          </w:tcPr>
          <w:p w14:paraId="0BCB30D3">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0910B45E">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2084B440">
            <w:pPr>
              <w:rPr>
                <w:rFonts w:asciiTheme="minorEastAsia" w:hAnsiTheme="minorEastAsia" w:eastAsiaTheme="minorEastAsia"/>
                <w:color w:val="auto"/>
                <w:sz w:val="24"/>
                <w:szCs w:val="24"/>
                <w:highlight w:val="none"/>
              </w:rPr>
            </w:pPr>
          </w:p>
        </w:tc>
        <w:tc>
          <w:tcPr>
            <w:tcW w:w="1024" w:type="dxa"/>
          </w:tcPr>
          <w:p w14:paraId="327BEA74">
            <w:pPr>
              <w:rPr>
                <w:rFonts w:asciiTheme="minorEastAsia" w:hAnsiTheme="minorEastAsia" w:eastAsiaTheme="minorEastAsia"/>
                <w:color w:val="auto"/>
                <w:sz w:val="24"/>
                <w:szCs w:val="24"/>
                <w:highlight w:val="none"/>
              </w:rPr>
            </w:pPr>
          </w:p>
        </w:tc>
        <w:tc>
          <w:tcPr>
            <w:tcW w:w="736" w:type="dxa"/>
          </w:tcPr>
          <w:p w14:paraId="6C2D1605">
            <w:pPr>
              <w:rPr>
                <w:rFonts w:asciiTheme="minorEastAsia" w:hAnsiTheme="minorEastAsia" w:eastAsiaTheme="minorEastAsia"/>
                <w:color w:val="auto"/>
                <w:sz w:val="24"/>
                <w:szCs w:val="24"/>
                <w:highlight w:val="none"/>
              </w:rPr>
            </w:pPr>
          </w:p>
        </w:tc>
      </w:tr>
      <w:tr w14:paraId="41F0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04A524F7">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320156D0">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519138A4">
            <w:pPr>
              <w:rPr>
                <w:rFonts w:asciiTheme="minorEastAsia" w:hAnsiTheme="minorEastAsia" w:eastAsiaTheme="minorEastAsia"/>
                <w:color w:val="auto"/>
                <w:sz w:val="24"/>
                <w:szCs w:val="24"/>
                <w:highlight w:val="none"/>
              </w:rPr>
            </w:pPr>
          </w:p>
        </w:tc>
        <w:tc>
          <w:tcPr>
            <w:tcW w:w="1436" w:type="dxa"/>
          </w:tcPr>
          <w:p w14:paraId="21F85F8D">
            <w:pPr>
              <w:rPr>
                <w:rFonts w:asciiTheme="minorEastAsia" w:hAnsiTheme="minorEastAsia" w:eastAsiaTheme="minorEastAsia"/>
                <w:color w:val="auto"/>
                <w:sz w:val="24"/>
                <w:szCs w:val="24"/>
                <w:highlight w:val="none"/>
              </w:rPr>
            </w:pPr>
          </w:p>
        </w:tc>
        <w:tc>
          <w:tcPr>
            <w:tcW w:w="732" w:type="dxa"/>
            <w:vAlign w:val="center"/>
          </w:tcPr>
          <w:p w14:paraId="742FA2C6">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72C2F59E">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15FD9E43">
            <w:pPr>
              <w:rPr>
                <w:rFonts w:asciiTheme="minorEastAsia" w:hAnsiTheme="minorEastAsia" w:eastAsiaTheme="minorEastAsia"/>
                <w:color w:val="auto"/>
                <w:sz w:val="24"/>
                <w:szCs w:val="24"/>
                <w:highlight w:val="none"/>
              </w:rPr>
            </w:pPr>
          </w:p>
        </w:tc>
        <w:tc>
          <w:tcPr>
            <w:tcW w:w="1024" w:type="dxa"/>
          </w:tcPr>
          <w:p w14:paraId="7D4B1DA9">
            <w:pPr>
              <w:rPr>
                <w:rFonts w:asciiTheme="minorEastAsia" w:hAnsiTheme="minorEastAsia" w:eastAsiaTheme="minorEastAsia"/>
                <w:color w:val="auto"/>
                <w:sz w:val="24"/>
                <w:szCs w:val="24"/>
                <w:highlight w:val="none"/>
              </w:rPr>
            </w:pPr>
          </w:p>
        </w:tc>
        <w:tc>
          <w:tcPr>
            <w:tcW w:w="736" w:type="dxa"/>
          </w:tcPr>
          <w:p w14:paraId="0427254A">
            <w:pPr>
              <w:rPr>
                <w:rFonts w:asciiTheme="minorEastAsia" w:hAnsiTheme="minorEastAsia" w:eastAsiaTheme="minorEastAsia"/>
                <w:color w:val="auto"/>
                <w:sz w:val="24"/>
                <w:szCs w:val="24"/>
                <w:highlight w:val="none"/>
              </w:rPr>
            </w:pPr>
          </w:p>
        </w:tc>
      </w:tr>
      <w:tr w14:paraId="7127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623C6456">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39315FAF">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542DD650">
            <w:pPr>
              <w:rPr>
                <w:rFonts w:asciiTheme="minorEastAsia" w:hAnsiTheme="minorEastAsia" w:eastAsiaTheme="minorEastAsia"/>
                <w:color w:val="auto"/>
                <w:sz w:val="24"/>
                <w:szCs w:val="24"/>
                <w:highlight w:val="none"/>
              </w:rPr>
            </w:pPr>
          </w:p>
        </w:tc>
        <w:tc>
          <w:tcPr>
            <w:tcW w:w="1436" w:type="dxa"/>
          </w:tcPr>
          <w:p w14:paraId="7BEB4EF0">
            <w:pPr>
              <w:rPr>
                <w:rFonts w:asciiTheme="minorEastAsia" w:hAnsiTheme="minorEastAsia" w:eastAsiaTheme="minorEastAsia"/>
                <w:color w:val="auto"/>
                <w:sz w:val="24"/>
                <w:szCs w:val="24"/>
                <w:highlight w:val="none"/>
              </w:rPr>
            </w:pPr>
          </w:p>
        </w:tc>
        <w:tc>
          <w:tcPr>
            <w:tcW w:w="732" w:type="dxa"/>
            <w:vAlign w:val="center"/>
          </w:tcPr>
          <w:p w14:paraId="03A6AD7A">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3619FE2B">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4E5C5E96">
            <w:pPr>
              <w:rPr>
                <w:rFonts w:asciiTheme="minorEastAsia" w:hAnsiTheme="minorEastAsia" w:eastAsiaTheme="minorEastAsia"/>
                <w:color w:val="auto"/>
                <w:sz w:val="24"/>
                <w:szCs w:val="24"/>
                <w:highlight w:val="none"/>
              </w:rPr>
            </w:pPr>
          </w:p>
        </w:tc>
        <w:tc>
          <w:tcPr>
            <w:tcW w:w="1024" w:type="dxa"/>
          </w:tcPr>
          <w:p w14:paraId="59FF8859">
            <w:pPr>
              <w:rPr>
                <w:rFonts w:asciiTheme="minorEastAsia" w:hAnsiTheme="minorEastAsia" w:eastAsiaTheme="minorEastAsia"/>
                <w:color w:val="auto"/>
                <w:sz w:val="24"/>
                <w:szCs w:val="24"/>
                <w:highlight w:val="none"/>
              </w:rPr>
            </w:pPr>
          </w:p>
        </w:tc>
        <w:tc>
          <w:tcPr>
            <w:tcW w:w="736" w:type="dxa"/>
          </w:tcPr>
          <w:p w14:paraId="6AA83E64">
            <w:pPr>
              <w:rPr>
                <w:rFonts w:asciiTheme="minorEastAsia" w:hAnsiTheme="minorEastAsia" w:eastAsiaTheme="minorEastAsia"/>
                <w:color w:val="auto"/>
                <w:sz w:val="24"/>
                <w:szCs w:val="24"/>
                <w:highlight w:val="none"/>
              </w:rPr>
            </w:pPr>
          </w:p>
        </w:tc>
      </w:tr>
      <w:tr w14:paraId="0808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7DA0A5C2">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5068BD62">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05F1E827">
            <w:pPr>
              <w:rPr>
                <w:rFonts w:asciiTheme="minorEastAsia" w:hAnsiTheme="minorEastAsia" w:eastAsiaTheme="minorEastAsia"/>
                <w:color w:val="auto"/>
                <w:sz w:val="24"/>
                <w:szCs w:val="24"/>
                <w:highlight w:val="none"/>
              </w:rPr>
            </w:pPr>
          </w:p>
        </w:tc>
        <w:tc>
          <w:tcPr>
            <w:tcW w:w="1436" w:type="dxa"/>
          </w:tcPr>
          <w:p w14:paraId="4627E266">
            <w:pPr>
              <w:rPr>
                <w:rFonts w:asciiTheme="minorEastAsia" w:hAnsiTheme="minorEastAsia" w:eastAsiaTheme="minorEastAsia"/>
                <w:color w:val="auto"/>
                <w:sz w:val="24"/>
                <w:szCs w:val="24"/>
                <w:highlight w:val="none"/>
              </w:rPr>
            </w:pPr>
          </w:p>
        </w:tc>
        <w:tc>
          <w:tcPr>
            <w:tcW w:w="732" w:type="dxa"/>
            <w:vAlign w:val="center"/>
          </w:tcPr>
          <w:p w14:paraId="6C5006AB">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08A772BF">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4A7A4119">
            <w:pPr>
              <w:rPr>
                <w:rFonts w:asciiTheme="minorEastAsia" w:hAnsiTheme="minorEastAsia" w:eastAsiaTheme="minorEastAsia"/>
                <w:color w:val="auto"/>
                <w:sz w:val="24"/>
                <w:szCs w:val="24"/>
                <w:highlight w:val="none"/>
              </w:rPr>
            </w:pPr>
          </w:p>
        </w:tc>
        <w:tc>
          <w:tcPr>
            <w:tcW w:w="1024" w:type="dxa"/>
          </w:tcPr>
          <w:p w14:paraId="14A8CE31">
            <w:pPr>
              <w:rPr>
                <w:rFonts w:asciiTheme="minorEastAsia" w:hAnsiTheme="minorEastAsia" w:eastAsiaTheme="minorEastAsia"/>
                <w:color w:val="auto"/>
                <w:sz w:val="24"/>
                <w:szCs w:val="24"/>
                <w:highlight w:val="none"/>
              </w:rPr>
            </w:pPr>
          </w:p>
        </w:tc>
        <w:tc>
          <w:tcPr>
            <w:tcW w:w="736" w:type="dxa"/>
          </w:tcPr>
          <w:p w14:paraId="0F97EF81">
            <w:pPr>
              <w:rPr>
                <w:rFonts w:asciiTheme="minorEastAsia" w:hAnsiTheme="minorEastAsia" w:eastAsiaTheme="minorEastAsia"/>
                <w:color w:val="auto"/>
                <w:sz w:val="24"/>
                <w:szCs w:val="24"/>
                <w:highlight w:val="none"/>
              </w:rPr>
            </w:pPr>
          </w:p>
        </w:tc>
      </w:tr>
      <w:tr w14:paraId="7AD0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52D7B45E">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53F3EB1F">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1AB3A4D9">
            <w:pPr>
              <w:rPr>
                <w:rFonts w:asciiTheme="minorEastAsia" w:hAnsiTheme="minorEastAsia" w:eastAsiaTheme="minorEastAsia"/>
                <w:color w:val="auto"/>
                <w:sz w:val="24"/>
                <w:szCs w:val="24"/>
                <w:highlight w:val="none"/>
              </w:rPr>
            </w:pPr>
          </w:p>
        </w:tc>
        <w:tc>
          <w:tcPr>
            <w:tcW w:w="1436" w:type="dxa"/>
          </w:tcPr>
          <w:p w14:paraId="12CF0861">
            <w:pPr>
              <w:rPr>
                <w:rFonts w:asciiTheme="minorEastAsia" w:hAnsiTheme="minorEastAsia" w:eastAsiaTheme="minorEastAsia"/>
                <w:color w:val="auto"/>
                <w:sz w:val="24"/>
                <w:szCs w:val="24"/>
                <w:highlight w:val="none"/>
              </w:rPr>
            </w:pPr>
          </w:p>
        </w:tc>
        <w:tc>
          <w:tcPr>
            <w:tcW w:w="732" w:type="dxa"/>
            <w:vAlign w:val="center"/>
          </w:tcPr>
          <w:p w14:paraId="2448F10A">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1D6D7F3C">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28F63678">
            <w:pPr>
              <w:rPr>
                <w:rFonts w:asciiTheme="minorEastAsia" w:hAnsiTheme="minorEastAsia" w:eastAsiaTheme="minorEastAsia"/>
                <w:color w:val="auto"/>
                <w:sz w:val="24"/>
                <w:szCs w:val="24"/>
                <w:highlight w:val="none"/>
              </w:rPr>
            </w:pPr>
          </w:p>
        </w:tc>
        <w:tc>
          <w:tcPr>
            <w:tcW w:w="1024" w:type="dxa"/>
          </w:tcPr>
          <w:p w14:paraId="037F49DC">
            <w:pPr>
              <w:rPr>
                <w:rFonts w:asciiTheme="minorEastAsia" w:hAnsiTheme="minorEastAsia" w:eastAsiaTheme="minorEastAsia"/>
                <w:color w:val="auto"/>
                <w:sz w:val="24"/>
                <w:szCs w:val="24"/>
                <w:highlight w:val="none"/>
              </w:rPr>
            </w:pPr>
          </w:p>
        </w:tc>
        <w:tc>
          <w:tcPr>
            <w:tcW w:w="736" w:type="dxa"/>
          </w:tcPr>
          <w:p w14:paraId="4DC3C8D0">
            <w:pPr>
              <w:rPr>
                <w:rFonts w:asciiTheme="minorEastAsia" w:hAnsiTheme="minorEastAsia" w:eastAsiaTheme="minorEastAsia"/>
                <w:color w:val="auto"/>
                <w:sz w:val="24"/>
                <w:szCs w:val="24"/>
                <w:highlight w:val="none"/>
              </w:rPr>
            </w:pPr>
          </w:p>
        </w:tc>
      </w:tr>
      <w:tr w14:paraId="5799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2D8AF30A">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74110CF9">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03390581">
            <w:pPr>
              <w:rPr>
                <w:rFonts w:asciiTheme="minorEastAsia" w:hAnsiTheme="minorEastAsia" w:eastAsiaTheme="minorEastAsia"/>
                <w:color w:val="auto"/>
                <w:sz w:val="24"/>
                <w:szCs w:val="24"/>
                <w:highlight w:val="none"/>
              </w:rPr>
            </w:pPr>
          </w:p>
        </w:tc>
        <w:tc>
          <w:tcPr>
            <w:tcW w:w="1436" w:type="dxa"/>
          </w:tcPr>
          <w:p w14:paraId="0D55812A">
            <w:pPr>
              <w:rPr>
                <w:rFonts w:asciiTheme="minorEastAsia" w:hAnsiTheme="minorEastAsia" w:eastAsiaTheme="minorEastAsia"/>
                <w:color w:val="auto"/>
                <w:sz w:val="24"/>
                <w:szCs w:val="24"/>
                <w:highlight w:val="none"/>
              </w:rPr>
            </w:pPr>
          </w:p>
        </w:tc>
        <w:tc>
          <w:tcPr>
            <w:tcW w:w="732" w:type="dxa"/>
            <w:vAlign w:val="center"/>
          </w:tcPr>
          <w:p w14:paraId="7245F8AA">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15C07381">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06A2DE2E">
            <w:pPr>
              <w:rPr>
                <w:rFonts w:asciiTheme="minorEastAsia" w:hAnsiTheme="minorEastAsia" w:eastAsiaTheme="minorEastAsia"/>
                <w:color w:val="auto"/>
                <w:sz w:val="24"/>
                <w:szCs w:val="24"/>
                <w:highlight w:val="none"/>
              </w:rPr>
            </w:pPr>
          </w:p>
        </w:tc>
        <w:tc>
          <w:tcPr>
            <w:tcW w:w="1024" w:type="dxa"/>
          </w:tcPr>
          <w:p w14:paraId="366C98C8">
            <w:pPr>
              <w:rPr>
                <w:rFonts w:asciiTheme="minorEastAsia" w:hAnsiTheme="minorEastAsia" w:eastAsiaTheme="minorEastAsia"/>
                <w:color w:val="auto"/>
                <w:sz w:val="24"/>
                <w:szCs w:val="24"/>
                <w:highlight w:val="none"/>
              </w:rPr>
            </w:pPr>
          </w:p>
        </w:tc>
        <w:tc>
          <w:tcPr>
            <w:tcW w:w="736" w:type="dxa"/>
          </w:tcPr>
          <w:p w14:paraId="6A349A9E">
            <w:pPr>
              <w:rPr>
                <w:rFonts w:asciiTheme="minorEastAsia" w:hAnsiTheme="minorEastAsia" w:eastAsiaTheme="minorEastAsia"/>
                <w:color w:val="auto"/>
                <w:sz w:val="24"/>
                <w:szCs w:val="24"/>
                <w:highlight w:val="none"/>
              </w:rPr>
            </w:pPr>
          </w:p>
        </w:tc>
      </w:tr>
      <w:tr w14:paraId="69C6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504EC5D1">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17154DDF">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2F5F10C5">
            <w:pPr>
              <w:rPr>
                <w:rFonts w:asciiTheme="minorEastAsia" w:hAnsiTheme="minorEastAsia" w:eastAsiaTheme="minorEastAsia"/>
                <w:color w:val="auto"/>
                <w:sz w:val="24"/>
                <w:szCs w:val="24"/>
                <w:highlight w:val="none"/>
              </w:rPr>
            </w:pPr>
          </w:p>
        </w:tc>
        <w:tc>
          <w:tcPr>
            <w:tcW w:w="1436" w:type="dxa"/>
          </w:tcPr>
          <w:p w14:paraId="40BA9599">
            <w:pPr>
              <w:rPr>
                <w:rFonts w:asciiTheme="minorEastAsia" w:hAnsiTheme="minorEastAsia" w:eastAsiaTheme="minorEastAsia"/>
                <w:color w:val="auto"/>
                <w:sz w:val="24"/>
                <w:szCs w:val="24"/>
                <w:highlight w:val="none"/>
              </w:rPr>
            </w:pPr>
          </w:p>
        </w:tc>
        <w:tc>
          <w:tcPr>
            <w:tcW w:w="732" w:type="dxa"/>
            <w:vAlign w:val="center"/>
          </w:tcPr>
          <w:p w14:paraId="717EC4F4">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056A8F14">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6302A7D8">
            <w:pPr>
              <w:rPr>
                <w:rFonts w:asciiTheme="minorEastAsia" w:hAnsiTheme="minorEastAsia" w:eastAsiaTheme="minorEastAsia"/>
                <w:color w:val="auto"/>
                <w:sz w:val="24"/>
                <w:szCs w:val="24"/>
                <w:highlight w:val="none"/>
              </w:rPr>
            </w:pPr>
          </w:p>
        </w:tc>
        <w:tc>
          <w:tcPr>
            <w:tcW w:w="1024" w:type="dxa"/>
          </w:tcPr>
          <w:p w14:paraId="052B292B">
            <w:pPr>
              <w:rPr>
                <w:rFonts w:asciiTheme="minorEastAsia" w:hAnsiTheme="minorEastAsia" w:eastAsiaTheme="minorEastAsia"/>
                <w:color w:val="auto"/>
                <w:sz w:val="24"/>
                <w:szCs w:val="24"/>
                <w:highlight w:val="none"/>
              </w:rPr>
            </w:pPr>
          </w:p>
        </w:tc>
        <w:tc>
          <w:tcPr>
            <w:tcW w:w="736" w:type="dxa"/>
          </w:tcPr>
          <w:p w14:paraId="4BF52240">
            <w:pPr>
              <w:rPr>
                <w:rFonts w:asciiTheme="minorEastAsia" w:hAnsiTheme="minorEastAsia" w:eastAsiaTheme="minorEastAsia"/>
                <w:color w:val="auto"/>
                <w:sz w:val="24"/>
                <w:szCs w:val="24"/>
                <w:highlight w:val="none"/>
              </w:rPr>
            </w:pPr>
          </w:p>
        </w:tc>
      </w:tr>
      <w:tr w14:paraId="5AD3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02542932">
            <w:pPr>
              <w:keepNext w:val="0"/>
              <w:keepLines w:val="0"/>
              <w:widowControl/>
              <w:suppressLineNumbers w:val="0"/>
              <w:jc w:val="center"/>
              <w:textAlignment w:val="center"/>
              <w:rPr>
                <w:rFonts w:hint="eastAsia" w:ascii="宋体" w:hAnsi="宋体" w:eastAsia="宋体" w:cs="宋体"/>
                <w:color w:val="auto"/>
                <w:sz w:val="21"/>
                <w:szCs w:val="21"/>
                <w:highlight w:val="none"/>
                <w:lang w:val="en-US" w:eastAsia="zh-CN"/>
              </w:rPr>
            </w:pPr>
          </w:p>
        </w:tc>
        <w:tc>
          <w:tcPr>
            <w:tcW w:w="1438" w:type="dxa"/>
            <w:vAlign w:val="center"/>
          </w:tcPr>
          <w:p w14:paraId="5B1E46C2">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436" w:type="dxa"/>
          </w:tcPr>
          <w:p w14:paraId="12E5AEFE">
            <w:pPr>
              <w:rPr>
                <w:rFonts w:asciiTheme="minorEastAsia" w:hAnsiTheme="minorEastAsia" w:eastAsiaTheme="minorEastAsia"/>
                <w:color w:val="auto"/>
                <w:sz w:val="24"/>
                <w:szCs w:val="24"/>
                <w:highlight w:val="none"/>
              </w:rPr>
            </w:pPr>
          </w:p>
        </w:tc>
        <w:tc>
          <w:tcPr>
            <w:tcW w:w="1436" w:type="dxa"/>
          </w:tcPr>
          <w:p w14:paraId="1A5C1375">
            <w:pPr>
              <w:rPr>
                <w:rFonts w:asciiTheme="minorEastAsia" w:hAnsiTheme="minorEastAsia" w:eastAsiaTheme="minorEastAsia"/>
                <w:color w:val="auto"/>
                <w:sz w:val="24"/>
                <w:szCs w:val="24"/>
                <w:highlight w:val="none"/>
              </w:rPr>
            </w:pPr>
          </w:p>
        </w:tc>
        <w:tc>
          <w:tcPr>
            <w:tcW w:w="732" w:type="dxa"/>
            <w:vAlign w:val="center"/>
          </w:tcPr>
          <w:p w14:paraId="1DEA0DB9">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1F0C3FB1">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177B6199">
            <w:pPr>
              <w:rPr>
                <w:rFonts w:asciiTheme="minorEastAsia" w:hAnsiTheme="minorEastAsia" w:eastAsiaTheme="minorEastAsia"/>
                <w:color w:val="auto"/>
                <w:sz w:val="24"/>
                <w:szCs w:val="24"/>
                <w:highlight w:val="none"/>
              </w:rPr>
            </w:pPr>
          </w:p>
        </w:tc>
        <w:tc>
          <w:tcPr>
            <w:tcW w:w="1024" w:type="dxa"/>
          </w:tcPr>
          <w:p w14:paraId="6DE4C2B5">
            <w:pPr>
              <w:rPr>
                <w:rFonts w:asciiTheme="minorEastAsia" w:hAnsiTheme="minorEastAsia" w:eastAsiaTheme="minorEastAsia"/>
                <w:color w:val="auto"/>
                <w:sz w:val="24"/>
                <w:szCs w:val="24"/>
                <w:highlight w:val="none"/>
              </w:rPr>
            </w:pPr>
          </w:p>
        </w:tc>
        <w:tc>
          <w:tcPr>
            <w:tcW w:w="736" w:type="dxa"/>
          </w:tcPr>
          <w:p w14:paraId="3DF8B264">
            <w:pPr>
              <w:rPr>
                <w:rFonts w:asciiTheme="minorEastAsia" w:hAnsiTheme="minorEastAsia" w:eastAsiaTheme="minorEastAsia"/>
                <w:color w:val="auto"/>
                <w:sz w:val="24"/>
                <w:szCs w:val="24"/>
                <w:highlight w:val="none"/>
              </w:rPr>
            </w:pPr>
          </w:p>
        </w:tc>
      </w:tr>
      <w:tr w14:paraId="45B7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16" w:type="dxa"/>
            <w:vAlign w:val="center"/>
          </w:tcPr>
          <w:p w14:paraId="5A0509E5">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1438" w:type="dxa"/>
            <w:vAlign w:val="center"/>
          </w:tcPr>
          <w:p w14:paraId="6280C992">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p>
        </w:tc>
        <w:tc>
          <w:tcPr>
            <w:tcW w:w="1436" w:type="dxa"/>
          </w:tcPr>
          <w:p w14:paraId="1B2920AA">
            <w:pPr>
              <w:rPr>
                <w:rFonts w:asciiTheme="minorEastAsia" w:hAnsiTheme="minorEastAsia" w:eastAsiaTheme="minorEastAsia"/>
                <w:color w:val="auto"/>
                <w:sz w:val="24"/>
                <w:szCs w:val="24"/>
                <w:highlight w:val="none"/>
              </w:rPr>
            </w:pPr>
          </w:p>
        </w:tc>
        <w:tc>
          <w:tcPr>
            <w:tcW w:w="1436" w:type="dxa"/>
          </w:tcPr>
          <w:p w14:paraId="0D1F8B19">
            <w:pPr>
              <w:rPr>
                <w:rFonts w:asciiTheme="minorEastAsia" w:hAnsiTheme="minorEastAsia" w:eastAsiaTheme="minorEastAsia"/>
                <w:color w:val="auto"/>
                <w:sz w:val="24"/>
                <w:szCs w:val="24"/>
                <w:highlight w:val="none"/>
              </w:rPr>
            </w:pPr>
          </w:p>
        </w:tc>
        <w:tc>
          <w:tcPr>
            <w:tcW w:w="732" w:type="dxa"/>
            <w:vAlign w:val="center"/>
          </w:tcPr>
          <w:p w14:paraId="56A74251">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47" w:type="dxa"/>
            <w:vAlign w:val="center"/>
          </w:tcPr>
          <w:p w14:paraId="69E495BC">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1022" w:type="dxa"/>
          </w:tcPr>
          <w:p w14:paraId="0C3C1469">
            <w:pPr>
              <w:rPr>
                <w:rFonts w:asciiTheme="minorEastAsia" w:hAnsiTheme="minorEastAsia" w:eastAsiaTheme="minorEastAsia"/>
                <w:color w:val="auto"/>
                <w:sz w:val="24"/>
                <w:szCs w:val="24"/>
                <w:highlight w:val="none"/>
              </w:rPr>
            </w:pPr>
          </w:p>
        </w:tc>
        <w:tc>
          <w:tcPr>
            <w:tcW w:w="1024" w:type="dxa"/>
          </w:tcPr>
          <w:p w14:paraId="5F628ABB">
            <w:pPr>
              <w:rPr>
                <w:rFonts w:asciiTheme="minorEastAsia" w:hAnsiTheme="minorEastAsia" w:eastAsiaTheme="minorEastAsia"/>
                <w:color w:val="auto"/>
                <w:sz w:val="24"/>
                <w:szCs w:val="24"/>
                <w:highlight w:val="none"/>
              </w:rPr>
            </w:pPr>
          </w:p>
        </w:tc>
        <w:tc>
          <w:tcPr>
            <w:tcW w:w="736" w:type="dxa"/>
          </w:tcPr>
          <w:p w14:paraId="1CE10498">
            <w:pPr>
              <w:rPr>
                <w:rFonts w:asciiTheme="minorEastAsia" w:hAnsiTheme="minorEastAsia" w:eastAsiaTheme="minorEastAsia"/>
                <w:color w:val="auto"/>
                <w:sz w:val="24"/>
                <w:szCs w:val="24"/>
                <w:highlight w:val="none"/>
              </w:rPr>
            </w:pPr>
          </w:p>
        </w:tc>
      </w:tr>
      <w:tr w14:paraId="70E3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505" w:type="dxa"/>
            <w:gridSpan w:val="6"/>
            <w:vAlign w:val="center"/>
          </w:tcPr>
          <w:p w14:paraId="147B4768">
            <w:pPr>
              <w:jc w:val="center"/>
              <w:rPr>
                <w:rFonts w:asciiTheme="minorEastAsia" w:hAnsiTheme="minorEastAsia" w:eastAsiaTheme="minorEastAsia"/>
                <w:b/>
                <w:bCs/>
                <w:color w:val="auto"/>
                <w:sz w:val="24"/>
                <w:szCs w:val="24"/>
                <w:highlight w:val="none"/>
              </w:rPr>
            </w:pPr>
            <w:r>
              <w:rPr>
                <w:rFonts w:hint="eastAsia" w:asciiTheme="minorEastAsia" w:hAnsiTheme="minorEastAsia" w:eastAsiaTheme="minorEastAsia"/>
                <w:b/>
                <w:bCs/>
                <w:color w:val="auto"/>
                <w:sz w:val="24"/>
                <w:szCs w:val="24"/>
                <w:highlight w:val="none"/>
              </w:rPr>
              <w:t>合计（元）</w:t>
            </w:r>
          </w:p>
        </w:tc>
        <w:tc>
          <w:tcPr>
            <w:tcW w:w="2046" w:type="dxa"/>
            <w:gridSpan w:val="2"/>
          </w:tcPr>
          <w:p w14:paraId="372302C2">
            <w:pPr>
              <w:rPr>
                <w:rFonts w:asciiTheme="minorEastAsia" w:hAnsiTheme="minorEastAsia" w:eastAsiaTheme="minorEastAsia"/>
                <w:color w:val="auto"/>
                <w:sz w:val="24"/>
                <w:szCs w:val="24"/>
                <w:highlight w:val="none"/>
              </w:rPr>
            </w:pPr>
          </w:p>
        </w:tc>
        <w:tc>
          <w:tcPr>
            <w:tcW w:w="736" w:type="dxa"/>
          </w:tcPr>
          <w:p w14:paraId="03E2FCBA">
            <w:pPr>
              <w:rPr>
                <w:rFonts w:asciiTheme="minorEastAsia" w:hAnsiTheme="minorEastAsia" w:eastAsiaTheme="minorEastAsia"/>
                <w:color w:val="auto"/>
                <w:sz w:val="24"/>
                <w:szCs w:val="24"/>
                <w:highlight w:val="none"/>
              </w:rPr>
            </w:pPr>
          </w:p>
        </w:tc>
      </w:tr>
    </w:tbl>
    <w:p w14:paraId="495053ED">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w:t>
      </w:r>
      <w:r>
        <w:rPr>
          <w:rFonts w:hint="eastAsia" w:ascii="宋体" w:hAnsi="宋体" w:eastAsia="宋体"/>
          <w:color w:val="auto"/>
          <w:sz w:val="24"/>
          <w:szCs w:val="24"/>
          <w:highlight w:val="none"/>
          <w:lang w:val="en-US" w:eastAsia="zh-CN"/>
        </w:rPr>
        <w:t>盖</w:t>
      </w:r>
      <w:r>
        <w:rPr>
          <w:rFonts w:hint="eastAsia" w:ascii="宋体" w:hAnsi="宋体" w:eastAsia="宋体"/>
          <w:color w:val="auto"/>
          <w:sz w:val="24"/>
          <w:szCs w:val="24"/>
          <w:highlight w:val="none"/>
        </w:rPr>
        <w:t>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7D29F03">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p>
    <w:p w14:paraId="0B66CE7C">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w:t>
      </w:r>
    </w:p>
    <w:p w14:paraId="1C301E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供应商承担全部责任。</w:t>
      </w:r>
    </w:p>
    <w:p w14:paraId="4E062D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2.表中须明确列出所投产品的货物名称、品牌、型号、原产地及生产厂商，否则可能导致</w:t>
      </w:r>
      <w:r>
        <w:rPr>
          <w:rFonts w:hint="eastAsia" w:asciiTheme="minorEastAsia" w:hAnsiTheme="minorEastAsia" w:eastAsiaTheme="minorEastAsia"/>
          <w:b/>
          <w:bCs/>
          <w:color w:val="auto"/>
          <w:sz w:val="24"/>
          <w:highlight w:val="none"/>
        </w:rPr>
        <w:t>响应无效</w:t>
      </w:r>
      <w:r>
        <w:rPr>
          <w:rFonts w:hint="eastAsia" w:asciiTheme="minorEastAsia" w:hAnsiTheme="minorEastAsia" w:eastAsiaTheme="minorEastAsia"/>
          <w:color w:val="auto"/>
          <w:sz w:val="24"/>
          <w:highlight w:val="none"/>
        </w:rPr>
        <w:t>。</w:t>
      </w:r>
    </w:p>
    <w:p w14:paraId="03F422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.任何有选择或有条件的报价，或者表中某一包别填写多个报价，均为无效报价。</w:t>
      </w:r>
    </w:p>
    <w:p w14:paraId="2B26B94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B92A4BF">
      <w:pPr>
        <w:spacing w:line="360" w:lineRule="auto"/>
        <w:jc w:val="center"/>
        <w:outlineLvl w:val="1"/>
        <w:rPr>
          <w:rFonts w:asciiTheme="minorEastAsia" w:hAnsiTheme="minorEastAsia" w:eastAsiaTheme="minorEastAsia"/>
          <w:b/>
          <w:color w:val="auto"/>
          <w:sz w:val="24"/>
          <w:highlight w:val="none"/>
        </w:rPr>
      </w:pPr>
      <w:bookmarkStart w:id="58" w:name="_Toc17882"/>
      <w:bookmarkStart w:id="59" w:name="_Toc26924"/>
      <w:r>
        <w:rPr>
          <w:rFonts w:hint="eastAsia" w:asciiTheme="minorEastAsia" w:hAnsiTheme="minorEastAsia" w:eastAsiaTheme="minorEastAsia"/>
          <w:b/>
          <w:color w:val="auto"/>
          <w:sz w:val="24"/>
          <w:highlight w:val="none"/>
        </w:rPr>
        <w:t>二、响应函</w:t>
      </w:r>
      <w:bookmarkEnd w:id="58"/>
      <w:bookmarkEnd w:id="59"/>
    </w:p>
    <w:p w14:paraId="3E6B80CF">
      <w:pPr>
        <w:pStyle w:val="16"/>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致：</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采购人</w:t>
      </w:r>
    </w:p>
    <w:p w14:paraId="060A7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根据贵方的询价公告和询价邀请，我方兹宣布同意如下：</w:t>
      </w:r>
    </w:p>
    <w:p w14:paraId="1CFB7F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1.我方根据</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的规定，严格履行合同的责任和义务,并保证于买方要求的日期内完成，并通过买方验收。</w:t>
      </w:r>
    </w:p>
    <w:p w14:paraId="6347FF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，包括</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的澄清或修改（如有），参考资料及有关附件，我方正式认可并遵守本次</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，并对</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各项条款、规定及要求均无异议。</w:t>
      </w:r>
    </w:p>
    <w:p w14:paraId="3DC996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规定的响应文件提交截止日期起遵循本</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，并在</w:t>
      </w:r>
      <w:r>
        <w:rPr>
          <w:rFonts w:hint="eastAsia" w:asciiTheme="minorEastAsia" w:hAnsiTheme="minorEastAsia" w:eastAsiaTheme="minorEastAsia"/>
          <w:color w:val="auto"/>
          <w:sz w:val="24"/>
          <w:highlight w:val="none"/>
          <w:lang w:eastAsia="zh-CN"/>
        </w:rPr>
        <w:t>询价采购文件</w:t>
      </w:r>
      <w:r>
        <w:rPr>
          <w:rFonts w:hint="eastAsia" w:asciiTheme="minorEastAsia" w:hAnsiTheme="minorEastAsia" w:eastAsiaTheme="minorEastAsia"/>
          <w:color w:val="auto"/>
          <w:sz w:val="24"/>
          <w:highlight w:val="none"/>
        </w:rPr>
        <w:t>规定的询价有效期之前均具有约束力。</w:t>
      </w:r>
    </w:p>
    <w:p w14:paraId="1D2938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响应文件所提供的一切资料均真实无误、及时、有效，企业运营正常。由于我方提供资料不实而造成的责任和后果由我方承担。我方同意按照贵方提出的要求，提供与响应文件有关的任何证据、数据或资料。</w:t>
      </w:r>
    </w:p>
    <w:p w14:paraId="4779E451">
      <w:pPr>
        <w:spacing w:line="360" w:lineRule="auto"/>
        <w:ind w:firstLine="435"/>
        <w:rPr>
          <w:rFonts w:asciiTheme="minorEastAsia" w:hAnsiTheme="minorEastAsia" w:eastAsiaTheme="minorEastAsia"/>
          <w:color w:val="auto"/>
          <w:sz w:val="24"/>
          <w:highlight w:val="none"/>
        </w:rPr>
      </w:pPr>
    </w:p>
    <w:p w14:paraId="3E6592A3">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w:t>
      </w:r>
      <w:r>
        <w:rPr>
          <w:rFonts w:hint="eastAsia" w:ascii="宋体" w:hAnsi="宋体" w:eastAsia="宋体"/>
          <w:color w:val="auto"/>
          <w:sz w:val="24"/>
          <w:szCs w:val="24"/>
          <w:highlight w:val="none"/>
          <w:lang w:val="en-US" w:eastAsia="zh-CN"/>
        </w:rPr>
        <w:t>盖</w:t>
      </w:r>
      <w:r>
        <w:rPr>
          <w:rFonts w:hint="eastAsia" w:ascii="宋体" w:hAnsi="宋体" w:eastAsia="宋体"/>
          <w:color w:val="auto"/>
          <w:sz w:val="24"/>
          <w:szCs w:val="24"/>
          <w:highlight w:val="none"/>
        </w:rPr>
        <w:t>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16CDD48D">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p>
    <w:p w14:paraId="61C253D3">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4C1F845">
      <w:pPr>
        <w:spacing w:line="360" w:lineRule="auto"/>
        <w:jc w:val="center"/>
        <w:outlineLvl w:val="1"/>
        <w:rPr>
          <w:rFonts w:asciiTheme="minorEastAsia" w:hAnsiTheme="minorEastAsia" w:eastAsiaTheme="minorEastAsia"/>
          <w:b/>
          <w:color w:val="auto"/>
          <w:sz w:val="24"/>
          <w:highlight w:val="none"/>
        </w:rPr>
      </w:pPr>
      <w:bookmarkStart w:id="60" w:name="_Toc963"/>
      <w:bookmarkStart w:id="61" w:name="_Toc27880"/>
      <w:r>
        <w:rPr>
          <w:rFonts w:hint="eastAsia" w:asciiTheme="minorEastAsia" w:hAnsiTheme="minorEastAsia" w:eastAsiaTheme="minorEastAsia"/>
          <w:b/>
          <w:color w:val="auto"/>
          <w:sz w:val="24"/>
          <w:highlight w:val="none"/>
        </w:rPr>
        <w:t>三．供应商资格声明书</w:t>
      </w:r>
      <w:bookmarkEnd w:id="60"/>
      <w:r>
        <w:rPr>
          <w:rFonts w:hint="eastAsia" w:asciiTheme="minorEastAsia" w:hAnsiTheme="minorEastAsia" w:eastAsiaTheme="minorEastAsia"/>
          <w:b/>
          <w:color w:val="auto"/>
          <w:sz w:val="24"/>
          <w:highlight w:val="none"/>
        </w:rPr>
        <w:t xml:space="preserve"> </w:t>
      </w:r>
    </w:p>
    <w:p w14:paraId="187610CF">
      <w:pPr>
        <w:pStyle w:val="16"/>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采购人</w:t>
      </w:r>
    </w:p>
    <w:p w14:paraId="4160C8E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在参与本次项目询价中，我单位承诺：</w:t>
      </w:r>
    </w:p>
    <w:p w14:paraId="4607AB34">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62A576E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12E68FC1">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53F1B590">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B40862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4DC95C5">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3095"/>
        <w:gridCol w:w="3500"/>
      </w:tblGrid>
      <w:tr w14:paraId="4DBA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47A5E639">
            <w:pPr>
              <w:widowControl/>
              <w:spacing w:before="156" w:beforeLines="50" w:after="156" w:afterLines="5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3095" w:type="dxa"/>
            <w:vAlign w:val="center"/>
          </w:tcPr>
          <w:p w14:paraId="5136BC78">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3500" w:type="dxa"/>
            <w:vAlign w:val="center"/>
          </w:tcPr>
          <w:p w14:paraId="3BE3747A">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7A0B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2F1A43E1">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3095" w:type="dxa"/>
            <w:vAlign w:val="center"/>
          </w:tcPr>
          <w:p w14:paraId="321A3D22">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p>
        </w:tc>
        <w:tc>
          <w:tcPr>
            <w:tcW w:w="3500" w:type="dxa"/>
            <w:vAlign w:val="center"/>
          </w:tcPr>
          <w:p w14:paraId="3C892637">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p>
        </w:tc>
      </w:tr>
      <w:tr w14:paraId="1C40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0DC5D099">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3095" w:type="dxa"/>
            <w:vAlign w:val="center"/>
          </w:tcPr>
          <w:p w14:paraId="795AAD89">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p>
        </w:tc>
        <w:tc>
          <w:tcPr>
            <w:tcW w:w="3500" w:type="dxa"/>
            <w:vAlign w:val="center"/>
          </w:tcPr>
          <w:p w14:paraId="5C8B4481">
            <w:pPr>
              <w:pStyle w:val="13"/>
              <w:spacing w:before="156" w:beforeLines="50" w:after="156" w:afterLines="50"/>
              <w:jc w:val="center"/>
              <w:rPr>
                <w:rFonts w:asciiTheme="minorEastAsia" w:hAnsiTheme="minorEastAsia" w:eastAsiaTheme="minorEastAsia" w:cstheme="minorEastAsia"/>
                <w:color w:val="auto"/>
                <w:kern w:val="0"/>
                <w:sz w:val="24"/>
                <w:highlight w:val="none"/>
                <w:lang w:val="en-US" w:bidi="ar"/>
              </w:rPr>
            </w:pPr>
          </w:p>
        </w:tc>
      </w:tr>
    </w:tbl>
    <w:p w14:paraId="77711B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010864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供应商</w:t>
      </w:r>
      <w:r>
        <w:rPr>
          <w:rFonts w:hint="eastAsia" w:ascii="宋体" w:hAnsi="宋体" w:eastAsia="宋体"/>
          <w:color w:val="auto"/>
          <w:sz w:val="24"/>
          <w:highlight w:val="none"/>
          <w:lang w:val="en-US" w:eastAsia="zh-CN"/>
        </w:rPr>
        <w:t>盖</w:t>
      </w:r>
      <w:r>
        <w:rPr>
          <w:rFonts w:hint="eastAsia" w:ascii="宋体" w:hAnsi="宋体" w:eastAsia="宋体"/>
          <w:color w:val="auto"/>
          <w:sz w:val="24"/>
          <w:highlight w:val="none"/>
        </w:rPr>
        <w:t>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9A060C4">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AE4F5EF">
      <w:pPr>
        <w:pStyle w:val="13"/>
        <w:rPr>
          <w:rFonts w:asciiTheme="minorEastAsia" w:hAnsiTheme="minorEastAsia" w:eastAsiaTheme="minorEastAsia" w:cstheme="minorEastAsia"/>
          <w:color w:val="auto"/>
          <w:kern w:val="0"/>
          <w:sz w:val="24"/>
          <w:highlight w:val="none"/>
          <w:lang w:val="en-US" w:bidi="ar"/>
        </w:rPr>
      </w:pPr>
    </w:p>
    <w:p w14:paraId="248652E9">
      <w:pPr>
        <w:pStyle w:val="13"/>
        <w:rPr>
          <w:rFonts w:asciiTheme="minorEastAsia" w:hAnsiTheme="minorEastAsia" w:eastAsiaTheme="minorEastAsia" w:cstheme="minorEastAsia"/>
          <w:color w:val="auto"/>
          <w:kern w:val="0"/>
          <w:sz w:val="24"/>
          <w:highlight w:val="none"/>
          <w:lang w:val="en-US" w:bidi="ar"/>
        </w:rPr>
      </w:pPr>
    </w:p>
    <w:p w14:paraId="4823E6E3">
      <w:pPr>
        <w:pStyle w:val="13"/>
        <w:rPr>
          <w:rFonts w:asciiTheme="minorEastAsia" w:hAnsiTheme="minorEastAsia" w:eastAsiaTheme="minorEastAsia" w:cstheme="minorEastAsia"/>
          <w:color w:val="auto"/>
          <w:kern w:val="0"/>
          <w:sz w:val="24"/>
          <w:highlight w:val="none"/>
          <w:lang w:val="en-US" w:bidi="ar"/>
        </w:rPr>
      </w:pPr>
    </w:p>
    <w:p w14:paraId="57458D0A">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16758836">
      <w:pPr>
        <w:spacing w:line="360" w:lineRule="auto"/>
        <w:jc w:val="center"/>
        <w:outlineLvl w:val="1"/>
        <w:rPr>
          <w:rFonts w:asciiTheme="minorEastAsia" w:hAnsiTheme="minorEastAsia" w:eastAsiaTheme="minorEastAsia"/>
          <w:b/>
          <w:color w:val="auto"/>
          <w:sz w:val="24"/>
          <w:highlight w:val="none"/>
        </w:rPr>
      </w:pPr>
      <w:bookmarkStart w:id="62" w:name="_Toc21371"/>
      <w:r>
        <w:rPr>
          <w:rFonts w:hint="eastAsia" w:asciiTheme="minorEastAsia" w:hAnsiTheme="minorEastAsia" w:eastAsiaTheme="minorEastAsia"/>
          <w:b/>
          <w:color w:val="auto"/>
          <w:sz w:val="24"/>
          <w:highlight w:val="none"/>
        </w:rPr>
        <w:t>四、授权书</w:t>
      </w:r>
      <w:bookmarkEnd w:id="61"/>
      <w:bookmarkEnd w:id="62"/>
    </w:p>
    <w:p w14:paraId="5B636718">
      <w:pPr>
        <w:pStyle w:val="15"/>
        <w:snapToGrid w:val="0"/>
        <w:spacing w:line="360" w:lineRule="auto"/>
        <w:ind w:firstLine="480" w:firstLineChars="200"/>
        <w:jc w:val="left"/>
        <w:rPr>
          <w:rFonts w:asciiTheme="minorEastAsia" w:hAnsiTheme="minorEastAsia"/>
          <w:color w:val="auto"/>
          <w:sz w:val="24"/>
          <w:szCs w:val="28"/>
          <w:highlight w:val="none"/>
        </w:rPr>
      </w:pPr>
    </w:p>
    <w:p w14:paraId="481459FE">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asciiTheme="minorEastAsia" w:hAnsiTheme="minorEastAsia" w:eastAsiaTheme="minorEastAsia"/>
          <w:color w:val="auto"/>
          <w:sz w:val="24"/>
          <w:szCs w:val="28"/>
          <w:highlight w:val="none"/>
        </w:rPr>
        <w:t>书声明：</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（供应商名称）授权</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（供应商授权代表姓名）代表我方参加本项目</w:t>
      </w:r>
      <w:r>
        <w:rPr>
          <w:rFonts w:hint="eastAsia" w:asciiTheme="minorEastAsia" w:hAnsiTheme="minorEastAsia" w:eastAsiaTheme="minorEastAsia"/>
          <w:bCs/>
          <w:color w:val="auto"/>
          <w:sz w:val="24"/>
          <w:szCs w:val="28"/>
          <w:highlight w:val="none"/>
        </w:rPr>
        <w:t>采购活动</w:t>
      </w:r>
      <w:r>
        <w:rPr>
          <w:rFonts w:hint="eastAsia" w:asciiTheme="minorEastAsia" w:hAnsiTheme="minorEastAsia" w:eastAsiaTheme="minorEastAsia"/>
          <w:color w:val="auto"/>
          <w:sz w:val="24"/>
          <w:szCs w:val="28"/>
          <w:highlight w:val="none"/>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14:paraId="54309DF5">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本授权书自出具之日起生效。</w:t>
      </w:r>
    </w:p>
    <w:p w14:paraId="1C3AFB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授权</w:t>
      </w:r>
      <w:r>
        <w:rPr>
          <w:rFonts w:hint="eastAsia" w:asciiTheme="minorEastAsia" w:hAnsiTheme="minorEastAsia" w:eastAsiaTheme="minorEastAsia"/>
          <w:color w:val="auto"/>
          <w:sz w:val="24"/>
          <w:highlight w:val="none"/>
        </w:rPr>
        <w:t>代表身份证明扫描件：</w:t>
      </w:r>
    </w:p>
    <w:p w14:paraId="64574D6C">
      <w:pPr>
        <w:spacing w:line="360" w:lineRule="auto"/>
        <w:ind w:firstLine="435"/>
        <w:rPr>
          <w:rFonts w:asciiTheme="minorEastAsia" w:hAnsiTheme="minorEastAsia" w:eastAsiaTheme="minorEastAsia"/>
          <w:color w:val="auto"/>
          <w:sz w:val="24"/>
          <w:highlight w:val="none"/>
        </w:rPr>
      </w:pPr>
    </w:p>
    <w:p w14:paraId="114228CE">
      <w:pPr>
        <w:spacing w:line="360" w:lineRule="auto"/>
        <w:ind w:firstLine="435"/>
        <w:rPr>
          <w:rFonts w:asciiTheme="minorEastAsia" w:hAnsiTheme="minorEastAsia" w:eastAsiaTheme="minorEastAsia"/>
          <w:color w:val="auto"/>
          <w:sz w:val="24"/>
          <w:highlight w:val="none"/>
        </w:rPr>
      </w:pPr>
    </w:p>
    <w:p w14:paraId="1E34F43F">
      <w:pPr>
        <w:spacing w:line="360" w:lineRule="auto"/>
        <w:ind w:firstLine="435"/>
        <w:rPr>
          <w:rFonts w:asciiTheme="minorEastAsia" w:hAnsiTheme="minorEastAsia" w:eastAsiaTheme="minorEastAsia"/>
          <w:color w:val="auto"/>
          <w:sz w:val="24"/>
          <w:highlight w:val="none"/>
        </w:rPr>
      </w:pPr>
    </w:p>
    <w:p w14:paraId="1F29268E">
      <w:pPr>
        <w:spacing w:line="360" w:lineRule="auto"/>
        <w:ind w:firstLine="435"/>
        <w:rPr>
          <w:rFonts w:asciiTheme="minorEastAsia" w:hAnsiTheme="minorEastAsia" w:eastAsiaTheme="minorEastAsia"/>
          <w:color w:val="auto"/>
          <w:sz w:val="24"/>
          <w:highlight w:val="none"/>
        </w:rPr>
      </w:pPr>
    </w:p>
    <w:p w14:paraId="484662F4">
      <w:pPr>
        <w:spacing w:line="360" w:lineRule="auto"/>
        <w:ind w:firstLine="435"/>
        <w:rPr>
          <w:rFonts w:asciiTheme="minorEastAsia" w:hAnsiTheme="minorEastAsia" w:eastAsiaTheme="minorEastAsia"/>
          <w:color w:val="auto"/>
          <w:sz w:val="24"/>
          <w:highlight w:val="none"/>
        </w:rPr>
      </w:pPr>
    </w:p>
    <w:p w14:paraId="703C498C">
      <w:pPr>
        <w:spacing w:line="360" w:lineRule="auto"/>
        <w:ind w:firstLine="435"/>
        <w:rPr>
          <w:rFonts w:asciiTheme="minorEastAsia" w:hAnsiTheme="minorEastAsia" w:eastAsiaTheme="minorEastAsia"/>
          <w:color w:val="auto"/>
          <w:sz w:val="24"/>
          <w:highlight w:val="none"/>
        </w:rPr>
      </w:pPr>
    </w:p>
    <w:p w14:paraId="6D6754C1">
      <w:pPr>
        <w:spacing w:line="360" w:lineRule="auto"/>
        <w:ind w:firstLine="435"/>
        <w:rPr>
          <w:rFonts w:asciiTheme="minorEastAsia" w:hAnsiTheme="minorEastAsia" w:eastAsiaTheme="minorEastAsia"/>
          <w:color w:val="auto"/>
          <w:sz w:val="24"/>
          <w:highlight w:val="none"/>
        </w:rPr>
      </w:pPr>
    </w:p>
    <w:p w14:paraId="5413A75D">
      <w:pPr>
        <w:spacing w:line="360" w:lineRule="auto"/>
        <w:ind w:firstLine="435"/>
        <w:rPr>
          <w:rFonts w:asciiTheme="minorEastAsia" w:hAnsiTheme="minorEastAsia" w:eastAsiaTheme="minorEastAsia"/>
          <w:color w:val="auto"/>
          <w:sz w:val="24"/>
          <w:highlight w:val="none"/>
        </w:rPr>
      </w:pPr>
    </w:p>
    <w:p w14:paraId="023F9841">
      <w:pPr>
        <w:spacing w:line="360" w:lineRule="auto"/>
        <w:rPr>
          <w:rFonts w:asciiTheme="minorEastAsia" w:hAnsiTheme="minorEastAsia" w:eastAsiaTheme="minorEastAsia"/>
          <w:color w:val="auto"/>
          <w:sz w:val="24"/>
          <w:highlight w:val="none"/>
        </w:rPr>
      </w:pPr>
    </w:p>
    <w:p w14:paraId="6B7A783A">
      <w:pPr>
        <w:spacing w:line="360" w:lineRule="auto"/>
        <w:ind w:firstLine="435"/>
        <w:rPr>
          <w:rFonts w:asciiTheme="minorEastAsia" w:hAnsiTheme="minorEastAsia" w:eastAsiaTheme="minorEastAsia"/>
          <w:color w:val="auto"/>
          <w:sz w:val="24"/>
          <w:szCs w:val="28"/>
          <w:highlight w:val="none"/>
          <w:u w:val="single"/>
          <w:lang w:val="zh-CN"/>
        </w:rPr>
      </w:pPr>
      <w:r>
        <w:rPr>
          <w:rFonts w:hint="eastAsia" w:asciiTheme="minorEastAsia" w:hAnsiTheme="minorEastAsia" w:eastAsiaTheme="minorEastAsia"/>
          <w:color w:val="auto"/>
          <w:sz w:val="24"/>
          <w:szCs w:val="28"/>
          <w:highlight w:val="none"/>
        </w:rPr>
        <w:t>授权代表联系方式：</w:t>
      </w:r>
      <w:r>
        <w:rPr>
          <w:rFonts w:hint="eastAsia" w:asciiTheme="minorEastAsia" w:hAnsiTheme="minorEastAsia" w:eastAsiaTheme="minorEastAsia"/>
          <w:color w:val="auto"/>
          <w:sz w:val="24"/>
          <w:szCs w:val="28"/>
          <w:highlight w:val="none"/>
          <w:u w:val="single"/>
        </w:rPr>
        <w:t xml:space="preserve">          （请填写手机号码）</w:t>
      </w:r>
    </w:p>
    <w:p w14:paraId="4232315B">
      <w:pPr>
        <w:spacing w:line="360" w:lineRule="auto"/>
        <w:ind w:firstLine="435"/>
        <w:rPr>
          <w:rFonts w:asciiTheme="minorEastAsia" w:hAnsiTheme="minorEastAsia" w:eastAsiaTheme="minorEastAsia"/>
          <w:color w:val="auto"/>
          <w:sz w:val="24"/>
          <w:szCs w:val="28"/>
          <w:highlight w:val="none"/>
          <w:lang w:val="zh-CN"/>
        </w:rPr>
      </w:pPr>
    </w:p>
    <w:p w14:paraId="27752656">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Theme="minorEastAsia" w:hAnsiTheme="minorEastAsia" w:eastAsiaTheme="minorEastAsia"/>
          <w:color w:val="auto"/>
          <w:sz w:val="24"/>
          <w:szCs w:val="28"/>
          <w:highlight w:val="none"/>
        </w:rPr>
        <w:t>声明。</w:t>
      </w:r>
    </w:p>
    <w:p w14:paraId="351DCB13">
      <w:pPr>
        <w:spacing w:line="360" w:lineRule="auto"/>
        <w:rPr>
          <w:rFonts w:asciiTheme="minorEastAsia" w:hAnsiTheme="minorEastAsia" w:eastAsiaTheme="minorEastAsia"/>
          <w:color w:val="auto"/>
          <w:sz w:val="24"/>
          <w:szCs w:val="28"/>
          <w:highlight w:val="none"/>
        </w:rPr>
      </w:pPr>
    </w:p>
    <w:p w14:paraId="7FC6DD99">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w:t>
      </w:r>
      <w:r>
        <w:rPr>
          <w:rFonts w:hint="eastAsia" w:ascii="宋体" w:hAnsi="宋体" w:eastAsia="宋体"/>
          <w:color w:val="auto"/>
          <w:sz w:val="24"/>
          <w:szCs w:val="24"/>
          <w:highlight w:val="none"/>
          <w:lang w:val="en-US" w:eastAsia="zh-CN"/>
        </w:rPr>
        <w:t>盖</w:t>
      </w:r>
      <w:r>
        <w:rPr>
          <w:rFonts w:hint="eastAsia" w:ascii="宋体" w:hAnsi="宋体" w:eastAsia="宋体"/>
          <w:color w:val="auto"/>
          <w:sz w:val="24"/>
          <w:szCs w:val="24"/>
          <w:highlight w:val="none"/>
        </w:rPr>
        <w:t>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1E34D463">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日      期：</w:t>
      </w:r>
      <w:r>
        <w:rPr>
          <w:rFonts w:hint="eastAsia" w:ascii="宋体" w:hAnsi="宋体" w:eastAsia="宋体"/>
          <w:color w:val="auto"/>
          <w:sz w:val="24"/>
          <w:szCs w:val="24"/>
          <w:highlight w:val="none"/>
          <w:u w:val="single"/>
        </w:rPr>
        <w:t xml:space="preserve">             </w:t>
      </w:r>
    </w:p>
    <w:p w14:paraId="2A87833E">
      <w:pPr>
        <w:spacing w:line="360" w:lineRule="auto"/>
        <w:ind w:firstLine="435"/>
        <w:rPr>
          <w:rFonts w:asciiTheme="minorEastAsia" w:hAnsiTheme="minorEastAsia" w:eastAsiaTheme="minorEastAsia"/>
          <w:color w:val="auto"/>
          <w:sz w:val="24"/>
          <w:highlight w:val="none"/>
        </w:rPr>
      </w:pPr>
    </w:p>
    <w:p w14:paraId="036F5D93">
      <w:pPr>
        <w:spacing w:line="360" w:lineRule="auto"/>
        <w:ind w:firstLine="435"/>
        <w:rPr>
          <w:rFonts w:asciiTheme="minorEastAsia" w:hAnsiTheme="minorEastAsia" w:eastAsiaTheme="minorEastAsia"/>
          <w:color w:val="auto"/>
          <w:sz w:val="24"/>
          <w:highlight w:val="none"/>
        </w:rPr>
      </w:pPr>
    </w:p>
    <w:p w14:paraId="556C4126">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06111D5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1.本项目只允许有唯一的供应商授权代表，提供身份证明扫描件；</w:t>
      </w:r>
    </w:p>
    <w:p w14:paraId="4123FB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2.法定代表人参加询价的无需提供授权书，提供身份证明扫描件。</w:t>
      </w:r>
    </w:p>
    <w:p w14:paraId="61C7C87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BEECF10">
      <w:pPr>
        <w:spacing w:line="360" w:lineRule="auto"/>
        <w:jc w:val="center"/>
        <w:outlineLvl w:val="1"/>
        <w:rPr>
          <w:rFonts w:asciiTheme="minorEastAsia" w:hAnsiTheme="minorEastAsia" w:eastAsiaTheme="minorEastAsia"/>
          <w:b/>
          <w:color w:val="auto"/>
          <w:sz w:val="24"/>
          <w:highlight w:val="none"/>
        </w:rPr>
      </w:pPr>
      <w:bookmarkStart w:id="63" w:name="_Toc14799"/>
      <w:bookmarkStart w:id="64" w:name="_Toc24321"/>
      <w:r>
        <w:rPr>
          <w:rFonts w:hint="eastAsia" w:asciiTheme="minorEastAsia" w:hAnsiTheme="minorEastAsia" w:eastAsiaTheme="minorEastAsia"/>
          <w:b/>
          <w:color w:val="auto"/>
          <w:sz w:val="24"/>
          <w:highlight w:val="none"/>
        </w:rPr>
        <w:t>五、响应表</w:t>
      </w:r>
      <w:bookmarkEnd w:id="63"/>
      <w:bookmarkEnd w:id="64"/>
    </w:p>
    <w:p w14:paraId="4D5F608C">
      <w:pPr>
        <w:spacing w:line="360" w:lineRule="auto"/>
        <w:ind w:firstLine="435"/>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5.1</w:t>
      </w:r>
      <w:r>
        <w:rPr>
          <w:rFonts w:hint="eastAsia" w:asciiTheme="minorEastAsia" w:hAnsiTheme="minorEastAsia" w:eastAsiaTheme="minorEastAsia"/>
          <w:b/>
          <w:color w:val="auto"/>
          <w:sz w:val="24"/>
          <w:highlight w:val="none"/>
        </w:rPr>
        <w:t>商务响应表</w:t>
      </w:r>
    </w:p>
    <w:tbl>
      <w:tblPr>
        <w:tblStyle w:val="27"/>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088"/>
        <w:gridCol w:w="2721"/>
        <w:gridCol w:w="2807"/>
        <w:gridCol w:w="882"/>
      </w:tblGrid>
      <w:tr w14:paraId="696B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89" w:type="dxa"/>
            <w:vAlign w:val="center"/>
          </w:tcPr>
          <w:p w14:paraId="0CE95F30">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2088" w:type="dxa"/>
            <w:vAlign w:val="center"/>
          </w:tcPr>
          <w:p w14:paraId="1D6E3258">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721" w:type="dxa"/>
            <w:vAlign w:val="center"/>
          </w:tcPr>
          <w:p w14:paraId="0E01C407">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询价</w:t>
            </w:r>
            <w:r>
              <w:rPr>
                <w:rFonts w:hint="eastAsia" w:cs="Wingdings" w:asciiTheme="minorEastAsia" w:hAnsiTheme="minorEastAsia"/>
                <w:b/>
                <w:color w:val="auto"/>
                <w:sz w:val="24"/>
                <w:highlight w:val="none"/>
                <w:lang w:val="en-US" w:eastAsia="zh-CN"/>
              </w:rPr>
              <w:t>采购文件</w:t>
            </w:r>
            <w:r>
              <w:rPr>
                <w:rFonts w:hint="eastAsia" w:cs="Wingdings" w:asciiTheme="minorEastAsia" w:hAnsiTheme="minorEastAsia"/>
                <w:b/>
                <w:color w:val="auto"/>
                <w:sz w:val="24"/>
                <w:highlight w:val="none"/>
              </w:rPr>
              <w:t>要求</w:t>
            </w:r>
          </w:p>
        </w:tc>
        <w:tc>
          <w:tcPr>
            <w:tcW w:w="2807" w:type="dxa"/>
            <w:vAlign w:val="center"/>
          </w:tcPr>
          <w:p w14:paraId="7398B161">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882" w:type="dxa"/>
            <w:vAlign w:val="center"/>
          </w:tcPr>
          <w:p w14:paraId="5B9C0D5A">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E18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9" w:type="dxa"/>
            <w:vAlign w:val="center"/>
          </w:tcPr>
          <w:p w14:paraId="620AA89C">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2088" w:type="dxa"/>
            <w:vAlign w:val="center"/>
          </w:tcPr>
          <w:p w14:paraId="0203FD1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付款方式</w:t>
            </w:r>
          </w:p>
        </w:tc>
        <w:tc>
          <w:tcPr>
            <w:tcW w:w="2721" w:type="dxa"/>
            <w:vAlign w:val="center"/>
          </w:tcPr>
          <w:p w14:paraId="34600E63">
            <w:pPr>
              <w:jc w:val="center"/>
              <w:rPr>
                <w:rFonts w:asciiTheme="minorEastAsia" w:hAnsiTheme="minorEastAsia" w:eastAsiaTheme="minorEastAsia"/>
                <w:color w:val="auto"/>
                <w:sz w:val="24"/>
                <w:highlight w:val="none"/>
              </w:rPr>
            </w:pPr>
          </w:p>
        </w:tc>
        <w:tc>
          <w:tcPr>
            <w:tcW w:w="2807" w:type="dxa"/>
            <w:vAlign w:val="center"/>
          </w:tcPr>
          <w:p w14:paraId="102E2FA4">
            <w:pPr>
              <w:jc w:val="center"/>
              <w:rPr>
                <w:rFonts w:asciiTheme="minorEastAsia" w:hAnsiTheme="minorEastAsia" w:eastAsiaTheme="minorEastAsia"/>
                <w:color w:val="auto"/>
                <w:sz w:val="24"/>
                <w:highlight w:val="none"/>
              </w:rPr>
            </w:pPr>
          </w:p>
        </w:tc>
        <w:tc>
          <w:tcPr>
            <w:tcW w:w="882" w:type="dxa"/>
            <w:vAlign w:val="center"/>
          </w:tcPr>
          <w:p w14:paraId="619AFF9F">
            <w:pPr>
              <w:jc w:val="center"/>
              <w:rPr>
                <w:rFonts w:asciiTheme="minorEastAsia" w:hAnsiTheme="minorEastAsia" w:eastAsiaTheme="minorEastAsia"/>
                <w:color w:val="auto"/>
                <w:sz w:val="24"/>
                <w:highlight w:val="none"/>
              </w:rPr>
            </w:pPr>
          </w:p>
        </w:tc>
      </w:tr>
      <w:tr w14:paraId="75D4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9" w:type="dxa"/>
            <w:vAlign w:val="center"/>
          </w:tcPr>
          <w:p w14:paraId="4442AB2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088" w:type="dxa"/>
            <w:vAlign w:val="center"/>
          </w:tcPr>
          <w:p w14:paraId="78A47C5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供货及安装地点</w:t>
            </w:r>
          </w:p>
        </w:tc>
        <w:tc>
          <w:tcPr>
            <w:tcW w:w="2721" w:type="dxa"/>
            <w:vAlign w:val="center"/>
          </w:tcPr>
          <w:p w14:paraId="10C025AA">
            <w:pPr>
              <w:jc w:val="center"/>
              <w:rPr>
                <w:rFonts w:asciiTheme="minorEastAsia" w:hAnsiTheme="minorEastAsia" w:eastAsiaTheme="minorEastAsia"/>
                <w:color w:val="auto"/>
                <w:sz w:val="24"/>
                <w:highlight w:val="none"/>
              </w:rPr>
            </w:pPr>
          </w:p>
        </w:tc>
        <w:tc>
          <w:tcPr>
            <w:tcW w:w="2807" w:type="dxa"/>
            <w:vAlign w:val="center"/>
          </w:tcPr>
          <w:p w14:paraId="3F2221DB">
            <w:pPr>
              <w:jc w:val="center"/>
              <w:rPr>
                <w:rFonts w:asciiTheme="minorEastAsia" w:hAnsiTheme="minorEastAsia" w:eastAsiaTheme="minorEastAsia"/>
                <w:color w:val="auto"/>
                <w:sz w:val="24"/>
                <w:highlight w:val="none"/>
              </w:rPr>
            </w:pPr>
          </w:p>
        </w:tc>
        <w:tc>
          <w:tcPr>
            <w:tcW w:w="882" w:type="dxa"/>
            <w:vAlign w:val="center"/>
          </w:tcPr>
          <w:p w14:paraId="722C3577">
            <w:pPr>
              <w:jc w:val="center"/>
              <w:rPr>
                <w:rFonts w:asciiTheme="minorEastAsia" w:hAnsiTheme="minorEastAsia" w:eastAsiaTheme="minorEastAsia"/>
                <w:color w:val="auto"/>
                <w:sz w:val="24"/>
                <w:highlight w:val="none"/>
              </w:rPr>
            </w:pPr>
          </w:p>
        </w:tc>
      </w:tr>
      <w:tr w14:paraId="57AA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9" w:type="dxa"/>
            <w:vAlign w:val="center"/>
          </w:tcPr>
          <w:p w14:paraId="2B4BB8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088" w:type="dxa"/>
            <w:vAlign w:val="center"/>
          </w:tcPr>
          <w:p w14:paraId="4D162C6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供货及安装期限</w:t>
            </w:r>
          </w:p>
        </w:tc>
        <w:tc>
          <w:tcPr>
            <w:tcW w:w="2721" w:type="dxa"/>
            <w:vAlign w:val="center"/>
          </w:tcPr>
          <w:p w14:paraId="2D1DB9BA">
            <w:pPr>
              <w:jc w:val="center"/>
              <w:rPr>
                <w:rFonts w:asciiTheme="minorEastAsia" w:hAnsiTheme="minorEastAsia" w:eastAsiaTheme="minorEastAsia"/>
                <w:color w:val="auto"/>
                <w:sz w:val="24"/>
                <w:highlight w:val="none"/>
              </w:rPr>
            </w:pPr>
          </w:p>
        </w:tc>
        <w:tc>
          <w:tcPr>
            <w:tcW w:w="2807" w:type="dxa"/>
            <w:vAlign w:val="center"/>
          </w:tcPr>
          <w:p w14:paraId="0F3A7BD2">
            <w:pPr>
              <w:pStyle w:val="54"/>
              <w:jc w:val="center"/>
              <w:rPr>
                <w:rFonts w:asciiTheme="minorEastAsia" w:hAnsiTheme="minorEastAsia" w:eastAsiaTheme="minorEastAsia"/>
                <w:color w:val="auto"/>
                <w:highlight w:val="none"/>
              </w:rPr>
            </w:pPr>
          </w:p>
        </w:tc>
        <w:tc>
          <w:tcPr>
            <w:tcW w:w="882" w:type="dxa"/>
            <w:vAlign w:val="center"/>
          </w:tcPr>
          <w:p w14:paraId="1558A716">
            <w:pPr>
              <w:jc w:val="center"/>
              <w:rPr>
                <w:rFonts w:asciiTheme="minorEastAsia" w:hAnsiTheme="minorEastAsia" w:eastAsiaTheme="minorEastAsia"/>
                <w:color w:val="auto"/>
                <w:sz w:val="24"/>
                <w:highlight w:val="none"/>
              </w:rPr>
            </w:pPr>
          </w:p>
        </w:tc>
      </w:tr>
      <w:tr w14:paraId="472F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9" w:type="dxa"/>
            <w:vAlign w:val="center"/>
          </w:tcPr>
          <w:p w14:paraId="56BB097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2088" w:type="dxa"/>
            <w:vAlign w:val="center"/>
          </w:tcPr>
          <w:p w14:paraId="49987EC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免费质保期</w:t>
            </w:r>
          </w:p>
        </w:tc>
        <w:tc>
          <w:tcPr>
            <w:tcW w:w="2721" w:type="dxa"/>
            <w:vAlign w:val="center"/>
          </w:tcPr>
          <w:p w14:paraId="509ED453">
            <w:pPr>
              <w:jc w:val="center"/>
              <w:rPr>
                <w:rFonts w:asciiTheme="minorEastAsia" w:hAnsiTheme="minorEastAsia" w:eastAsiaTheme="minorEastAsia"/>
                <w:color w:val="auto"/>
                <w:sz w:val="24"/>
                <w:highlight w:val="none"/>
              </w:rPr>
            </w:pPr>
          </w:p>
        </w:tc>
        <w:tc>
          <w:tcPr>
            <w:tcW w:w="2807" w:type="dxa"/>
            <w:vAlign w:val="center"/>
          </w:tcPr>
          <w:p w14:paraId="1A1425B3">
            <w:pPr>
              <w:jc w:val="center"/>
              <w:rPr>
                <w:rFonts w:asciiTheme="minorEastAsia" w:hAnsiTheme="minorEastAsia" w:eastAsiaTheme="minorEastAsia"/>
                <w:color w:val="auto"/>
                <w:sz w:val="24"/>
                <w:highlight w:val="none"/>
              </w:rPr>
            </w:pPr>
          </w:p>
        </w:tc>
        <w:tc>
          <w:tcPr>
            <w:tcW w:w="882" w:type="dxa"/>
            <w:vAlign w:val="center"/>
          </w:tcPr>
          <w:p w14:paraId="2B70229E">
            <w:pPr>
              <w:jc w:val="center"/>
              <w:rPr>
                <w:rFonts w:asciiTheme="minorEastAsia" w:hAnsiTheme="minorEastAsia" w:eastAsiaTheme="minorEastAsia"/>
                <w:color w:val="auto"/>
                <w:sz w:val="24"/>
                <w:highlight w:val="none"/>
              </w:rPr>
            </w:pPr>
          </w:p>
        </w:tc>
      </w:tr>
      <w:tr w14:paraId="7548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9" w:type="dxa"/>
            <w:vAlign w:val="center"/>
          </w:tcPr>
          <w:p w14:paraId="11A91BB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088" w:type="dxa"/>
            <w:vAlign w:val="center"/>
          </w:tcPr>
          <w:p w14:paraId="6B3886DE">
            <w:pPr>
              <w:jc w:val="center"/>
              <w:rPr>
                <w:rFonts w:asciiTheme="minorEastAsia" w:hAnsiTheme="minorEastAsia" w:eastAsiaTheme="minorEastAsia"/>
                <w:color w:val="auto"/>
                <w:sz w:val="24"/>
                <w:highlight w:val="none"/>
              </w:rPr>
            </w:pPr>
          </w:p>
        </w:tc>
        <w:tc>
          <w:tcPr>
            <w:tcW w:w="2721" w:type="dxa"/>
            <w:vAlign w:val="center"/>
          </w:tcPr>
          <w:p w14:paraId="2DE4E113">
            <w:pPr>
              <w:jc w:val="center"/>
              <w:rPr>
                <w:rFonts w:asciiTheme="minorEastAsia" w:hAnsiTheme="minorEastAsia" w:eastAsiaTheme="minorEastAsia"/>
                <w:color w:val="auto"/>
                <w:sz w:val="24"/>
                <w:highlight w:val="none"/>
              </w:rPr>
            </w:pPr>
          </w:p>
        </w:tc>
        <w:tc>
          <w:tcPr>
            <w:tcW w:w="2807" w:type="dxa"/>
            <w:vAlign w:val="center"/>
          </w:tcPr>
          <w:p w14:paraId="232406AF">
            <w:pPr>
              <w:jc w:val="center"/>
              <w:rPr>
                <w:rFonts w:asciiTheme="minorEastAsia" w:hAnsiTheme="minorEastAsia" w:eastAsiaTheme="minorEastAsia"/>
                <w:color w:val="auto"/>
                <w:sz w:val="24"/>
                <w:highlight w:val="none"/>
              </w:rPr>
            </w:pPr>
          </w:p>
        </w:tc>
        <w:tc>
          <w:tcPr>
            <w:tcW w:w="882" w:type="dxa"/>
            <w:vAlign w:val="center"/>
          </w:tcPr>
          <w:p w14:paraId="27E28C0C">
            <w:pPr>
              <w:jc w:val="center"/>
              <w:rPr>
                <w:rFonts w:asciiTheme="minorEastAsia" w:hAnsiTheme="minorEastAsia" w:eastAsiaTheme="minorEastAsia"/>
                <w:color w:val="auto"/>
                <w:sz w:val="24"/>
                <w:highlight w:val="none"/>
              </w:rPr>
            </w:pPr>
          </w:p>
        </w:tc>
      </w:tr>
    </w:tbl>
    <w:p w14:paraId="6F0C1D30">
      <w:pPr>
        <w:spacing w:line="360" w:lineRule="auto"/>
        <w:ind w:firstLine="435"/>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5.2</w:t>
      </w:r>
      <w:r>
        <w:rPr>
          <w:rFonts w:hint="eastAsia" w:asciiTheme="minorEastAsia" w:hAnsiTheme="minorEastAsia" w:eastAsiaTheme="minorEastAsia"/>
          <w:b/>
          <w:color w:val="auto"/>
          <w:sz w:val="24"/>
          <w:highlight w:val="none"/>
        </w:rPr>
        <w:t>技术响应表</w:t>
      </w:r>
    </w:p>
    <w:tbl>
      <w:tblPr>
        <w:tblStyle w:val="27"/>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84"/>
        <w:gridCol w:w="2737"/>
        <w:gridCol w:w="2705"/>
        <w:gridCol w:w="933"/>
      </w:tblGrid>
      <w:tr w14:paraId="7E74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828" w:type="dxa"/>
            <w:vAlign w:val="center"/>
          </w:tcPr>
          <w:p w14:paraId="104FA675">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2084" w:type="dxa"/>
            <w:vAlign w:val="center"/>
          </w:tcPr>
          <w:p w14:paraId="6A924E96">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737" w:type="dxa"/>
            <w:vAlign w:val="center"/>
          </w:tcPr>
          <w:p w14:paraId="44817C7C">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询价</w:t>
            </w:r>
            <w:r>
              <w:rPr>
                <w:rFonts w:hint="eastAsia" w:cs="Wingdings" w:asciiTheme="minorEastAsia" w:hAnsiTheme="minorEastAsia"/>
                <w:b/>
                <w:color w:val="auto"/>
                <w:sz w:val="24"/>
                <w:highlight w:val="none"/>
                <w:lang w:val="en-US" w:eastAsia="zh-CN"/>
              </w:rPr>
              <w:t>采购文件</w:t>
            </w:r>
            <w:r>
              <w:rPr>
                <w:rFonts w:hint="eastAsia" w:cs="Wingdings" w:asciiTheme="minorEastAsia" w:hAnsiTheme="minorEastAsia"/>
                <w:b/>
                <w:color w:val="auto"/>
                <w:sz w:val="24"/>
                <w:highlight w:val="none"/>
              </w:rPr>
              <w:t>规定的技术参数要求</w:t>
            </w:r>
          </w:p>
        </w:tc>
        <w:tc>
          <w:tcPr>
            <w:tcW w:w="2705" w:type="dxa"/>
            <w:vAlign w:val="center"/>
          </w:tcPr>
          <w:p w14:paraId="124174B4">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933" w:type="dxa"/>
            <w:vAlign w:val="center"/>
          </w:tcPr>
          <w:p w14:paraId="0FF07556">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D3D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28" w:type="dxa"/>
            <w:vAlign w:val="center"/>
          </w:tcPr>
          <w:p w14:paraId="361A168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084" w:type="dxa"/>
            <w:vAlign w:val="center"/>
          </w:tcPr>
          <w:p w14:paraId="67871D77">
            <w:pPr>
              <w:jc w:val="center"/>
              <w:rPr>
                <w:rFonts w:asciiTheme="minorEastAsia" w:hAnsiTheme="minorEastAsia" w:eastAsiaTheme="minorEastAsia"/>
                <w:color w:val="auto"/>
                <w:sz w:val="24"/>
                <w:highlight w:val="none"/>
              </w:rPr>
            </w:pPr>
          </w:p>
        </w:tc>
        <w:tc>
          <w:tcPr>
            <w:tcW w:w="2737" w:type="dxa"/>
            <w:vAlign w:val="center"/>
          </w:tcPr>
          <w:p w14:paraId="14C3540A">
            <w:pPr>
              <w:jc w:val="center"/>
              <w:rPr>
                <w:rFonts w:asciiTheme="minorEastAsia" w:hAnsiTheme="minorEastAsia" w:eastAsiaTheme="minorEastAsia"/>
                <w:color w:val="auto"/>
                <w:sz w:val="24"/>
                <w:highlight w:val="none"/>
              </w:rPr>
            </w:pPr>
          </w:p>
        </w:tc>
        <w:tc>
          <w:tcPr>
            <w:tcW w:w="2705" w:type="dxa"/>
            <w:vAlign w:val="center"/>
          </w:tcPr>
          <w:p w14:paraId="7D6D32B6">
            <w:pPr>
              <w:jc w:val="center"/>
              <w:rPr>
                <w:rFonts w:asciiTheme="minorEastAsia" w:hAnsiTheme="minorEastAsia" w:eastAsiaTheme="minorEastAsia"/>
                <w:color w:val="auto"/>
                <w:sz w:val="24"/>
                <w:highlight w:val="none"/>
              </w:rPr>
            </w:pPr>
          </w:p>
        </w:tc>
        <w:tc>
          <w:tcPr>
            <w:tcW w:w="933" w:type="dxa"/>
            <w:vAlign w:val="center"/>
          </w:tcPr>
          <w:p w14:paraId="72C1CAF3">
            <w:pPr>
              <w:jc w:val="center"/>
              <w:rPr>
                <w:rFonts w:asciiTheme="minorEastAsia" w:hAnsiTheme="minorEastAsia" w:eastAsiaTheme="minorEastAsia"/>
                <w:color w:val="auto"/>
                <w:sz w:val="24"/>
                <w:highlight w:val="none"/>
              </w:rPr>
            </w:pPr>
          </w:p>
        </w:tc>
      </w:tr>
      <w:tr w14:paraId="4CCC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28" w:type="dxa"/>
            <w:vAlign w:val="center"/>
          </w:tcPr>
          <w:p w14:paraId="5924EEE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084" w:type="dxa"/>
            <w:vAlign w:val="center"/>
          </w:tcPr>
          <w:p w14:paraId="0FF1324D">
            <w:pPr>
              <w:jc w:val="center"/>
              <w:rPr>
                <w:rFonts w:asciiTheme="minorEastAsia" w:hAnsiTheme="minorEastAsia" w:eastAsiaTheme="minorEastAsia"/>
                <w:color w:val="auto"/>
                <w:sz w:val="24"/>
                <w:highlight w:val="none"/>
              </w:rPr>
            </w:pPr>
          </w:p>
        </w:tc>
        <w:tc>
          <w:tcPr>
            <w:tcW w:w="2737" w:type="dxa"/>
            <w:vAlign w:val="center"/>
          </w:tcPr>
          <w:p w14:paraId="5AFF55AA">
            <w:pPr>
              <w:jc w:val="center"/>
              <w:rPr>
                <w:rFonts w:asciiTheme="minorEastAsia" w:hAnsiTheme="minorEastAsia" w:eastAsiaTheme="minorEastAsia"/>
                <w:color w:val="auto"/>
                <w:sz w:val="24"/>
                <w:highlight w:val="none"/>
              </w:rPr>
            </w:pPr>
          </w:p>
        </w:tc>
        <w:tc>
          <w:tcPr>
            <w:tcW w:w="2705" w:type="dxa"/>
            <w:vAlign w:val="center"/>
          </w:tcPr>
          <w:p w14:paraId="5452CA60">
            <w:pPr>
              <w:jc w:val="center"/>
              <w:rPr>
                <w:rFonts w:asciiTheme="minorEastAsia" w:hAnsiTheme="minorEastAsia" w:eastAsiaTheme="minorEastAsia"/>
                <w:color w:val="auto"/>
                <w:sz w:val="24"/>
                <w:highlight w:val="none"/>
              </w:rPr>
            </w:pPr>
          </w:p>
        </w:tc>
        <w:tc>
          <w:tcPr>
            <w:tcW w:w="933" w:type="dxa"/>
            <w:vAlign w:val="center"/>
          </w:tcPr>
          <w:p w14:paraId="3E173486">
            <w:pPr>
              <w:jc w:val="center"/>
              <w:rPr>
                <w:rFonts w:asciiTheme="minorEastAsia" w:hAnsiTheme="minorEastAsia" w:eastAsiaTheme="minorEastAsia"/>
                <w:color w:val="auto"/>
                <w:sz w:val="24"/>
                <w:highlight w:val="none"/>
              </w:rPr>
            </w:pPr>
          </w:p>
        </w:tc>
      </w:tr>
      <w:tr w14:paraId="7E95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28" w:type="dxa"/>
            <w:vAlign w:val="center"/>
          </w:tcPr>
          <w:p w14:paraId="207D4D7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084" w:type="dxa"/>
            <w:vAlign w:val="center"/>
          </w:tcPr>
          <w:p w14:paraId="591B0AF1">
            <w:pPr>
              <w:jc w:val="center"/>
              <w:rPr>
                <w:rFonts w:asciiTheme="minorEastAsia" w:hAnsiTheme="minorEastAsia" w:eastAsiaTheme="minorEastAsia"/>
                <w:color w:val="auto"/>
                <w:sz w:val="24"/>
                <w:highlight w:val="none"/>
              </w:rPr>
            </w:pPr>
          </w:p>
        </w:tc>
        <w:tc>
          <w:tcPr>
            <w:tcW w:w="2737" w:type="dxa"/>
            <w:vAlign w:val="center"/>
          </w:tcPr>
          <w:p w14:paraId="53CE9B7A">
            <w:pPr>
              <w:jc w:val="center"/>
              <w:rPr>
                <w:rFonts w:asciiTheme="minorEastAsia" w:hAnsiTheme="minorEastAsia" w:eastAsiaTheme="minorEastAsia"/>
                <w:color w:val="auto"/>
                <w:sz w:val="24"/>
                <w:highlight w:val="none"/>
              </w:rPr>
            </w:pPr>
          </w:p>
        </w:tc>
        <w:tc>
          <w:tcPr>
            <w:tcW w:w="2705" w:type="dxa"/>
            <w:vAlign w:val="center"/>
          </w:tcPr>
          <w:p w14:paraId="1B60A1FF">
            <w:pPr>
              <w:pStyle w:val="54"/>
              <w:jc w:val="center"/>
              <w:rPr>
                <w:rFonts w:asciiTheme="minorEastAsia" w:hAnsiTheme="minorEastAsia" w:eastAsiaTheme="minorEastAsia"/>
                <w:color w:val="auto"/>
                <w:highlight w:val="none"/>
              </w:rPr>
            </w:pPr>
          </w:p>
        </w:tc>
        <w:tc>
          <w:tcPr>
            <w:tcW w:w="933" w:type="dxa"/>
            <w:vAlign w:val="center"/>
          </w:tcPr>
          <w:p w14:paraId="7D5E1857">
            <w:pPr>
              <w:jc w:val="center"/>
              <w:rPr>
                <w:rFonts w:asciiTheme="minorEastAsia" w:hAnsiTheme="minorEastAsia" w:eastAsiaTheme="minorEastAsia"/>
                <w:color w:val="auto"/>
                <w:sz w:val="24"/>
                <w:highlight w:val="none"/>
              </w:rPr>
            </w:pPr>
          </w:p>
        </w:tc>
      </w:tr>
      <w:tr w14:paraId="016F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28" w:type="dxa"/>
            <w:vAlign w:val="center"/>
          </w:tcPr>
          <w:p w14:paraId="4D38C2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2084" w:type="dxa"/>
            <w:vAlign w:val="center"/>
          </w:tcPr>
          <w:p w14:paraId="7540ECF0">
            <w:pPr>
              <w:jc w:val="center"/>
              <w:rPr>
                <w:rFonts w:asciiTheme="minorEastAsia" w:hAnsiTheme="minorEastAsia" w:eastAsiaTheme="minorEastAsia"/>
                <w:color w:val="auto"/>
                <w:sz w:val="24"/>
                <w:highlight w:val="none"/>
              </w:rPr>
            </w:pPr>
          </w:p>
        </w:tc>
        <w:tc>
          <w:tcPr>
            <w:tcW w:w="2737" w:type="dxa"/>
            <w:vAlign w:val="center"/>
          </w:tcPr>
          <w:p w14:paraId="08CE28F1">
            <w:pPr>
              <w:jc w:val="center"/>
              <w:rPr>
                <w:rFonts w:asciiTheme="minorEastAsia" w:hAnsiTheme="minorEastAsia" w:eastAsiaTheme="minorEastAsia"/>
                <w:color w:val="auto"/>
                <w:sz w:val="24"/>
                <w:highlight w:val="none"/>
              </w:rPr>
            </w:pPr>
          </w:p>
        </w:tc>
        <w:tc>
          <w:tcPr>
            <w:tcW w:w="2705" w:type="dxa"/>
            <w:vAlign w:val="center"/>
          </w:tcPr>
          <w:p w14:paraId="01B84572">
            <w:pPr>
              <w:pStyle w:val="54"/>
              <w:jc w:val="center"/>
              <w:rPr>
                <w:rFonts w:asciiTheme="minorEastAsia" w:hAnsiTheme="minorEastAsia" w:eastAsiaTheme="minorEastAsia"/>
                <w:color w:val="auto"/>
                <w:highlight w:val="none"/>
              </w:rPr>
            </w:pPr>
          </w:p>
        </w:tc>
        <w:tc>
          <w:tcPr>
            <w:tcW w:w="933" w:type="dxa"/>
            <w:vAlign w:val="center"/>
          </w:tcPr>
          <w:p w14:paraId="18EECD65">
            <w:pPr>
              <w:jc w:val="center"/>
              <w:rPr>
                <w:rFonts w:asciiTheme="minorEastAsia" w:hAnsiTheme="minorEastAsia" w:eastAsiaTheme="minorEastAsia"/>
                <w:color w:val="auto"/>
                <w:sz w:val="24"/>
                <w:highlight w:val="none"/>
              </w:rPr>
            </w:pPr>
          </w:p>
        </w:tc>
      </w:tr>
      <w:tr w14:paraId="1273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28" w:type="dxa"/>
            <w:vAlign w:val="center"/>
          </w:tcPr>
          <w:p w14:paraId="335CE8C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084" w:type="dxa"/>
            <w:vAlign w:val="center"/>
          </w:tcPr>
          <w:p w14:paraId="4949CD7B">
            <w:pPr>
              <w:jc w:val="center"/>
              <w:rPr>
                <w:rFonts w:asciiTheme="minorEastAsia" w:hAnsiTheme="minorEastAsia" w:eastAsiaTheme="minorEastAsia"/>
                <w:color w:val="auto"/>
                <w:sz w:val="24"/>
                <w:highlight w:val="none"/>
              </w:rPr>
            </w:pPr>
          </w:p>
        </w:tc>
        <w:tc>
          <w:tcPr>
            <w:tcW w:w="2737" w:type="dxa"/>
            <w:vAlign w:val="center"/>
          </w:tcPr>
          <w:p w14:paraId="230528DA">
            <w:pPr>
              <w:jc w:val="center"/>
              <w:rPr>
                <w:rFonts w:asciiTheme="minorEastAsia" w:hAnsiTheme="minorEastAsia" w:eastAsiaTheme="minorEastAsia"/>
                <w:color w:val="auto"/>
                <w:sz w:val="24"/>
                <w:highlight w:val="none"/>
              </w:rPr>
            </w:pPr>
          </w:p>
        </w:tc>
        <w:tc>
          <w:tcPr>
            <w:tcW w:w="2705" w:type="dxa"/>
            <w:vAlign w:val="center"/>
          </w:tcPr>
          <w:p w14:paraId="49785548">
            <w:pPr>
              <w:jc w:val="center"/>
              <w:rPr>
                <w:rFonts w:asciiTheme="minorEastAsia" w:hAnsiTheme="minorEastAsia" w:eastAsiaTheme="minorEastAsia"/>
                <w:color w:val="auto"/>
                <w:sz w:val="24"/>
                <w:highlight w:val="none"/>
              </w:rPr>
            </w:pPr>
          </w:p>
        </w:tc>
        <w:tc>
          <w:tcPr>
            <w:tcW w:w="933" w:type="dxa"/>
            <w:vAlign w:val="center"/>
          </w:tcPr>
          <w:p w14:paraId="1824A452">
            <w:pPr>
              <w:jc w:val="center"/>
              <w:rPr>
                <w:rFonts w:asciiTheme="minorEastAsia" w:hAnsiTheme="minorEastAsia" w:eastAsiaTheme="minorEastAsia"/>
                <w:color w:val="auto"/>
                <w:sz w:val="24"/>
                <w:highlight w:val="none"/>
              </w:rPr>
            </w:pPr>
          </w:p>
        </w:tc>
      </w:tr>
    </w:tbl>
    <w:p w14:paraId="704B4199">
      <w:pPr>
        <w:spacing w:line="440" w:lineRule="exact"/>
        <w:ind w:firstLine="4800" w:firstLineChars="2000"/>
        <w:rPr>
          <w:rFonts w:hint="eastAsia" w:ascii="宋体" w:hAnsi="宋体" w:eastAsia="宋体"/>
          <w:color w:val="auto"/>
          <w:sz w:val="24"/>
          <w:szCs w:val="24"/>
          <w:highlight w:val="none"/>
        </w:rPr>
      </w:pPr>
    </w:p>
    <w:p w14:paraId="3E010EA3">
      <w:pPr>
        <w:spacing w:line="440" w:lineRule="exact"/>
        <w:ind w:firstLine="4800" w:firstLineChars="2000"/>
        <w:rPr>
          <w:rFonts w:hint="eastAsia" w:ascii="宋体" w:hAnsi="宋体" w:eastAsia="宋体"/>
          <w:color w:val="auto"/>
          <w:sz w:val="24"/>
          <w:szCs w:val="24"/>
          <w:highlight w:val="none"/>
        </w:rPr>
      </w:pPr>
    </w:p>
    <w:p w14:paraId="04F992E0">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w:t>
      </w:r>
      <w:r>
        <w:rPr>
          <w:rFonts w:hint="eastAsia" w:ascii="宋体" w:hAnsi="宋体" w:eastAsia="宋体"/>
          <w:color w:val="auto"/>
          <w:sz w:val="24"/>
          <w:szCs w:val="24"/>
          <w:highlight w:val="none"/>
          <w:lang w:val="en-US" w:eastAsia="zh-CN"/>
        </w:rPr>
        <w:t>盖章</w:t>
      </w:r>
      <w:r>
        <w:rPr>
          <w:rFonts w:hint="eastAsia" w:ascii="宋体" w:hAnsi="宋体" w:eastAsia="宋体"/>
          <w:color w:val="auto"/>
          <w:sz w:val="24"/>
          <w:szCs w:val="24"/>
          <w:highlight w:val="none"/>
        </w:rPr>
        <w:t>：</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12EB8A1C">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5DF3881E">
      <w:pPr>
        <w:pStyle w:val="16"/>
        <w:spacing w:line="360" w:lineRule="auto"/>
        <w:rPr>
          <w:rFonts w:asciiTheme="minorEastAsia" w:hAnsiTheme="minorEastAsia" w:eastAsiaTheme="minorEastAsia"/>
          <w:b w:val="0"/>
          <w:color w:val="auto"/>
          <w:sz w:val="24"/>
          <w:highlight w:val="none"/>
        </w:rPr>
      </w:pPr>
    </w:p>
    <w:p w14:paraId="6FA2ECC3">
      <w:pPr>
        <w:pStyle w:val="16"/>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4BA30CE9">
      <w:pPr>
        <w:spacing w:line="360" w:lineRule="auto"/>
        <w:jc w:val="center"/>
        <w:outlineLvl w:val="1"/>
        <w:rPr>
          <w:rFonts w:asciiTheme="minorEastAsia" w:hAnsiTheme="minorEastAsia" w:eastAsiaTheme="minorEastAsia"/>
          <w:b/>
          <w:color w:val="auto"/>
          <w:sz w:val="24"/>
          <w:highlight w:val="none"/>
        </w:rPr>
      </w:pPr>
      <w:bookmarkStart w:id="65" w:name="_Toc10896"/>
      <w:bookmarkStart w:id="66" w:name="_Toc5390"/>
      <w:r>
        <w:rPr>
          <w:rFonts w:hint="eastAsia" w:asciiTheme="minorEastAsia" w:hAnsiTheme="minorEastAsia" w:eastAsiaTheme="minorEastAsia"/>
          <w:b/>
          <w:color w:val="auto"/>
          <w:sz w:val="24"/>
          <w:highlight w:val="none"/>
        </w:rPr>
        <w:t>六、</w:t>
      </w:r>
      <w:bookmarkEnd w:id="65"/>
      <w:bookmarkEnd w:id="66"/>
      <w:r>
        <w:rPr>
          <w:rFonts w:hint="eastAsia" w:asciiTheme="minorEastAsia" w:hAnsiTheme="minorEastAsia" w:eastAsiaTheme="minorEastAsia"/>
          <w:b/>
          <w:color w:val="auto"/>
          <w:sz w:val="24"/>
          <w:highlight w:val="none"/>
        </w:rPr>
        <w:t>诚信响应承诺书</w:t>
      </w:r>
    </w:p>
    <w:p w14:paraId="2F332E71">
      <w:pPr>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本人以企业法定代表人的身份郑重承诺：</w:t>
      </w:r>
    </w:p>
    <w:p w14:paraId="199D9D4A">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一、将遵循公开、公正和诚实信用的原则自愿参加</w:t>
      </w:r>
      <w:r>
        <w:rPr>
          <w:rFonts w:hint="eastAsia" w:ascii="宋体" w:hAnsi="宋体" w:eastAsia="宋体" w:cs="宋体"/>
          <w:color w:val="auto"/>
          <w:sz w:val="24"/>
          <w:szCs w:val="24"/>
          <w:highlight w:val="none"/>
          <w:u w:val="single"/>
        </w:rPr>
        <w:t xml:space="preserve">       （项目名称） 项目</w:t>
      </w:r>
      <w:r>
        <w:rPr>
          <w:rFonts w:hint="eastAsia" w:ascii="宋体" w:hAnsi="宋体" w:eastAsia="宋体" w:cs="宋体"/>
          <w:color w:val="auto"/>
          <w:sz w:val="24"/>
          <w:szCs w:val="24"/>
          <w:highlight w:val="none"/>
        </w:rPr>
        <w:t>的谈判，所提供的一切材料都是真实、有效、合法的；</w:t>
      </w:r>
    </w:p>
    <w:p w14:paraId="67BE3D9C">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2931A1E">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三、不出借、转让资质证书，不让他人挂靠，不以他人名义或者以其他方式弄虚作假，骗取成交；</w:t>
      </w:r>
    </w:p>
    <w:p w14:paraId="0ED10B90">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四、不与其他供应商相互串通响应报价，不排挤其他供应商的公平竞争、损害采购人的合法权益；</w:t>
      </w:r>
    </w:p>
    <w:p w14:paraId="6075C905">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五、不与采购人、</w:t>
      </w:r>
      <w:r>
        <w:rPr>
          <w:rFonts w:hint="eastAsia" w:ascii="宋体" w:hAnsi="宋体" w:eastAsia="宋体" w:cs="宋体"/>
          <w:color w:val="auto"/>
          <w:sz w:val="24"/>
          <w:szCs w:val="24"/>
          <w:highlight w:val="none"/>
          <w:lang w:eastAsia="zh-CN"/>
        </w:rPr>
        <w:t>代理机构</w:t>
      </w:r>
      <w:r>
        <w:rPr>
          <w:rFonts w:hint="eastAsia" w:ascii="宋体" w:hAnsi="宋体" w:eastAsia="宋体" w:cs="宋体"/>
          <w:color w:val="auto"/>
          <w:sz w:val="24"/>
          <w:szCs w:val="24"/>
          <w:highlight w:val="none"/>
        </w:rPr>
        <w:t>或其他供应商串通响应，损害国家利益、社会公共利益或者他人的合法权益；</w:t>
      </w:r>
    </w:p>
    <w:p w14:paraId="418396BB">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Theme="minorEastAsia" w:hAnsiTheme="minorEastAsia" w:eastAsiaTheme="minorEastAsia" w:cstheme="minorEastAsia"/>
          <w:color w:val="auto"/>
          <w:kern w:val="0"/>
          <w:sz w:val="24"/>
          <w:szCs w:val="24"/>
          <w:highlight w:val="none"/>
          <w:u w:val="single"/>
          <w:lang w:bidi="ar"/>
        </w:rPr>
        <w:t xml:space="preserve">       （企业名称）或       （企业名称）</w:t>
      </w:r>
      <w:r>
        <w:rPr>
          <w:rFonts w:hint="eastAsia" w:asciiTheme="minorEastAsia" w:hAnsiTheme="minorEastAsia" w:eastAsiaTheme="minorEastAsia" w:cstheme="minorEastAsia"/>
          <w:color w:val="auto"/>
          <w:kern w:val="0"/>
          <w:sz w:val="24"/>
          <w:szCs w:val="24"/>
          <w:highlight w:val="none"/>
          <w:lang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69C27740">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七、严格遵守谈判现场纪律，服从监管人员管理；</w:t>
      </w:r>
    </w:p>
    <w:p w14:paraId="1542D5C9">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八、保证成交后不转包，若有分包征得采购人同意；</w:t>
      </w:r>
    </w:p>
    <w:p w14:paraId="30ED0BCC">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九、保证成交之后，按照响应文件要求提供相关后续服务；</w:t>
      </w:r>
    </w:p>
    <w:p w14:paraId="755E8FEA">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十、保证企业及所属相关人员在本次响应中无行贿等犯罪行为；</w:t>
      </w:r>
    </w:p>
    <w:p w14:paraId="25DA82B2">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14EAE24A">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752F6358">
      <w:pPr>
        <w:spacing w:line="560" w:lineRule="exact"/>
        <w:ind w:firstLine="480" w:firstLineChars="200"/>
        <w:jc w:val="left"/>
        <w:rPr>
          <w:rFonts w:ascii="宋体" w:hAnsi="宋体" w:eastAsia="宋体" w:cs="宋体"/>
          <w:color w:val="auto"/>
          <w:sz w:val="24"/>
          <w:szCs w:val="24"/>
          <w:highlight w:val="none"/>
        </w:rPr>
      </w:pPr>
    </w:p>
    <w:p w14:paraId="43FFF757">
      <w:pPr>
        <w:spacing w:line="520" w:lineRule="exact"/>
        <w:jc w:val="left"/>
        <w:rPr>
          <w:rFonts w:ascii="宋体" w:hAnsi="宋体" w:eastAsia="宋体" w:cs="宋体"/>
          <w:color w:val="auto"/>
          <w:sz w:val="24"/>
          <w:szCs w:val="24"/>
          <w:highlight w:val="none"/>
        </w:rPr>
      </w:pPr>
    </w:p>
    <w:p w14:paraId="745D194F">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基本账户：</w:t>
      </w:r>
    </w:p>
    <w:p w14:paraId="7EDE1FD2">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盖章</w:t>
      </w: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lang w:val="en-US" w:eastAsia="zh-CN"/>
        </w:rPr>
        <w:t>签字或盖章</w:t>
      </w:r>
      <w:r>
        <w:rPr>
          <w:rFonts w:hint="eastAsia" w:ascii="宋体" w:hAnsi="宋体" w:eastAsia="宋体" w:cs="宋体"/>
          <w:color w:val="auto"/>
          <w:sz w:val="24"/>
          <w:szCs w:val="24"/>
          <w:highlight w:val="none"/>
        </w:rPr>
        <w:t>）：</w:t>
      </w:r>
    </w:p>
    <w:p w14:paraId="053ECE9C">
      <w:pPr>
        <w:spacing w:line="600" w:lineRule="exact"/>
        <w:ind w:firstLine="4095" w:firstLineChars="1950"/>
        <w:rPr>
          <w:rFonts w:ascii="宋体" w:hAnsi="宋体"/>
          <w:color w:val="auto"/>
          <w:szCs w:val="21"/>
          <w:highlight w:val="none"/>
        </w:rPr>
      </w:pPr>
    </w:p>
    <w:p w14:paraId="2F7A870C">
      <w:pPr>
        <w:spacing w:line="600" w:lineRule="exact"/>
        <w:ind w:firstLine="480" w:firstLineChars="200"/>
        <w:jc w:val="righ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28F7D4AC">
      <w:pPr>
        <w:spacing w:line="360" w:lineRule="auto"/>
        <w:ind w:right="480" w:firstLine="4680" w:firstLineChars="1950"/>
        <w:rPr>
          <w:rFonts w:asciiTheme="minorEastAsia" w:hAnsiTheme="minorEastAsia" w:eastAsiaTheme="minorEastAsia"/>
          <w:color w:val="auto"/>
          <w:sz w:val="24"/>
          <w:highlight w:val="none"/>
        </w:rPr>
      </w:pPr>
    </w:p>
    <w:p w14:paraId="14B12EAD">
      <w:pP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1651A0E9">
      <w:pPr>
        <w:spacing w:line="360" w:lineRule="auto"/>
        <w:jc w:val="center"/>
        <w:outlineLvl w:val="1"/>
        <w:rPr>
          <w:rFonts w:asciiTheme="minorEastAsia" w:hAnsiTheme="minorEastAsia" w:eastAsiaTheme="minorEastAsia"/>
          <w:b/>
          <w:color w:val="auto"/>
          <w:sz w:val="24"/>
          <w:highlight w:val="none"/>
        </w:rPr>
      </w:pPr>
      <w:bookmarkStart w:id="67" w:name="_Toc1350"/>
      <w:bookmarkStart w:id="68" w:name="_Toc23417"/>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67"/>
      <w:bookmarkEnd w:id="68"/>
    </w:p>
    <w:p w14:paraId="1C84831C">
      <w:pPr>
        <w:spacing w:line="360" w:lineRule="auto"/>
        <w:rPr>
          <w:rFonts w:asciiTheme="minorEastAsia" w:hAnsiTheme="minorEastAsia" w:eastAsiaTheme="minorEastAsia"/>
          <w:b/>
          <w:bCs/>
          <w:color w:val="auto"/>
          <w:sz w:val="24"/>
          <w:highlight w:val="none"/>
        </w:rPr>
      </w:pPr>
    </w:p>
    <w:p w14:paraId="0F691FE3">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val="en-US" w:eastAsia="zh-CN"/>
        </w:rPr>
        <w:t xml:space="preserve">                     </w:t>
      </w:r>
      <w:r>
        <w:rPr>
          <w:rFonts w:hint="eastAsia" w:asciiTheme="minorEastAsia" w:hAnsiTheme="minorEastAsia" w:eastAsiaTheme="minorEastAsia"/>
          <w:b/>
          <w:bCs/>
          <w:color w:val="auto"/>
          <w:sz w:val="24"/>
          <w:highlight w:val="none"/>
        </w:rPr>
        <w:t>采购人</w:t>
      </w:r>
    </w:p>
    <w:p w14:paraId="63839CD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w:t>
      </w:r>
      <w:r>
        <w:rPr>
          <w:rFonts w:hint="eastAsia" w:asciiTheme="minorEastAsia" w:hAnsiTheme="minorEastAsia" w:eastAsiaTheme="minorEastAsia"/>
          <w:bCs/>
          <w:color w:val="auto"/>
          <w:sz w:val="24"/>
          <w:highlight w:val="none"/>
          <w:lang w:eastAsia="zh-CN"/>
        </w:rPr>
        <w:t>询价采购文件</w:t>
      </w:r>
      <w:r>
        <w:rPr>
          <w:rFonts w:hint="eastAsia" w:asciiTheme="minorEastAsia" w:hAnsiTheme="minorEastAsia" w:eastAsiaTheme="minorEastAsia"/>
          <w:bCs/>
          <w:color w:val="auto"/>
          <w:sz w:val="24"/>
          <w:highlight w:val="none"/>
        </w:rPr>
        <w:t>中关于合同签订及履约的相关规定，不出现以下情形：</w:t>
      </w:r>
    </w:p>
    <w:p w14:paraId="207E11A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（1）成交后无正当理由拒不与采购人签订政府采购合同；</w:t>
      </w:r>
    </w:p>
    <w:p w14:paraId="01DBA95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w:t>
      </w:r>
      <w:r>
        <w:rPr>
          <w:rFonts w:hint="eastAsia" w:asciiTheme="minorEastAsia" w:hAnsiTheme="minorEastAsia" w:eastAsiaTheme="minorEastAsia"/>
          <w:bCs/>
          <w:color w:val="auto"/>
          <w:sz w:val="24"/>
          <w:highlight w:val="none"/>
          <w:lang w:eastAsia="zh-CN"/>
        </w:rPr>
        <w:t>询价采购文件</w:t>
      </w:r>
      <w:r>
        <w:rPr>
          <w:rFonts w:hint="eastAsia" w:asciiTheme="minorEastAsia" w:hAnsiTheme="minorEastAsia" w:eastAsiaTheme="minorEastAsia"/>
          <w:bCs/>
          <w:color w:val="auto"/>
          <w:sz w:val="24"/>
          <w:highlight w:val="none"/>
        </w:rPr>
        <w:t>确定的事项签订政府采购合同；</w:t>
      </w:r>
    </w:p>
    <w:p w14:paraId="01AFE32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6AA0B6E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0C7521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1AA363D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0183509">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lang w:bidi="ar"/>
        </w:rPr>
        <w:t>本承诺声明：</w:t>
      </w:r>
      <w:r>
        <w:rPr>
          <w:rFonts w:hint="eastAsia" w:ascii="宋体" w:hAnsi="宋体" w:eastAsia="宋体"/>
          <w:bCs/>
          <w:color w:val="auto"/>
          <w:sz w:val="24"/>
          <w:szCs w:val="24"/>
          <w:highlight w:val="none"/>
          <w:u w:val="single"/>
          <w:lang w:bidi="ar"/>
        </w:rPr>
        <w:t xml:space="preserve">                   （供应商名称）</w:t>
      </w:r>
      <w:r>
        <w:rPr>
          <w:rFonts w:hint="eastAsia" w:ascii="宋体" w:hAnsi="宋体" w:eastAsia="宋体"/>
          <w:bCs/>
          <w:color w:val="auto"/>
          <w:sz w:val="24"/>
          <w:szCs w:val="24"/>
          <w:highlight w:val="none"/>
          <w:lang w:bidi="ar"/>
        </w:rPr>
        <w:t>对本</w:t>
      </w:r>
      <w:r>
        <w:rPr>
          <w:rFonts w:hint="eastAsia" w:ascii="宋体" w:hAnsi="宋体" w:eastAsia="宋体"/>
          <w:bCs/>
          <w:color w:val="auto"/>
          <w:sz w:val="24"/>
          <w:szCs w:val="24"/>
          <w:highlight w:val="none"/>
          <w:lang w:eastAsia="zh-CN" w:bidi="ar"/>
        </w:rPr>
        <w:t>询价采购文件</w:t>
      </w:r>
      <w:r>
        <w:rPr>
          <w:rFonts w:hint="eastAsia" w:ascii="宋体" w:hAnsi="宋体" w:eastAsia="宋体"/>
          <w:bCs/>
          <w:color w:val="auto"/>
          <w:sz w:val="24"/>
          <w:szCs w:val="24"/>
          <w:highlight w:val="none"/>
          <w:lang w:bidi="ar"/>
        </w:rPr>
        <w:t>的相关要求完全响应。若有幸成交将严格按照以上承诺进行供货和服务。</w:t>
      </w:r>
    </w:p>
    <w:p w14:paraId="30DF5857">
      <w:pPr>
        <w:spacing w:line="360" w:lineRule="auto"/>
        <w:rPr>
          <w:rFonts w:asciiTheme="minorEastAsia" w:hAnsiTheme="minorEastAsia" w:eastAsiaTheme="minorEastAsia"/>
          <w:bCs/>
          <w:color w:val="auto"/>
          <w:sz w:val="24"/>
          <w:highlight w:val="none"/>
        </w:rPr>
      </w:pPr>
    </w:p>
    <w:p w14:paraId="5E28C5EB">
      <w:pPr>
        <w:spacing w:line="360" w:lineRule="auto"/>
        <w:rPr>
          <w:rFonts w:asciiTheme="minorEastAsia" w:hAnsiTheme="minorEastAsia" w:eastAsiaTheme="minorEastAsia"/>
          <w:bCs/>
          <w:color w:val="auto"/>
          <w:sz w:val="24"/>
          <w:highlight w:val="none"/>
        </w:rPr>
      </w:pPr>
    </w:p>
    <w:p w14:paraId="79201EE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w:t>
      </w:r>
      <w:r>
        <w:rPr>
          <w:rFonts w:hint="eastAsia" w:asciiTheme="minorEastAsia" w:hAnsiTheme="minorEastAsia" w:eastAsiaTheme="minorEastAsia"/>
          <w:bCs/>
          <w:color w:val="auto"/>
          <w:sz w:val="24"/>
          <w:highlight w:val="none"/>
          <w:lang w:val="en-US" w:eastAsia="zh-CN"/>
        </w:rPr>
        <w:t>盖章</w:t>
      </w: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6B43F457">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18E3C8C">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304C1979">
      <w:pPr>
        <w:widowControl/>
        <w:jc w:val="left"/>
        <w:rPr>
          <w:rFonts w:asciiTheme="minorEastAsia" w:hAnsiTheme="minorEastAsia" w:eastAsiaTheme="minorEastAsia"/>
          <w:color w:val="auto"/>
          <w:sz w:val="24"/>
          <w:highlight w:val="none"/>
        </w:rPr>
      </w:pPr>
    </w:p>
    <w:p w14:paraId="76C445FA">
      <w:pPr>
        <w:spacing w:line="360" w:lineRule="auto"/>
        <w:jc w:val="center"/>
        <w:outlineLvl w:val="1"/>
        <w:rPr>
          <w:rFonts w:asciiTheme="minorEastAsia" w:hAnsiTheme="minorEastAsia" w:eastAsiaTheme="minorEastAsia"/>
          <w:b/>
          <w:color w:val="auto"/>
          <w:sz w:val="24"/>
          <w:highlight w:val="none"/>
        </w:rPr>
      </w:pPr>
      <w:bookmarkStart w:id="69" w:name="_Toc19513"/>
      <w:bookmarkStart w:id="70" w:name="_Toc12602"/>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69"/>
      <w:bookmarkEnd w:id="70"/>
    </w:p>
    <w:p w14:paraId="624F18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提供符合询价邀请、采购需求及评审方法规定的相关证明文件。</w:t>
      </w:r>
    </w:p>
    <w:p w14:paraId="2B912BE1">
      <w:pPr>
        <w:spacing w:line="360" w:lineRule="auto"/>
        <w:ind w:firstLine="480" w:firstLineChars="200"/>
        <w:rPr>
          <w:rFonts w:asciiTheme="minorEastAsia" w:hAnsiTheme="minorEastAsia" w:eastAsiaTheme="minorEastAsia"/>
          <w:color w:val="auto"/>
          <w:sz w:val="24"/>
          <w:highlight w:val="none"/>
        </w:rPr>
      </w:pPr>
    </w:p>
    <w:p w14:paraId="1E0BA86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F2F3FFC">
      <w:pPr>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供应商在响应文件制作时可在此栏内上传</w:t>
      </w:r>
      <w:r>
        <w:rPr>
          <w:rFonts w:hint="eastAsia" w:asciiTheme="minorEastAsia" w:hAnsiTheme="minorEastAsia" w:eastAsiaTheme="minorEastAsia"/>
          <w:b/>
          <w:bCs/>
          <w:color w:val="auto"/>
          <w:sz w:val="24"/>
          <w:highlight w:val="none"/>
          <w:lang w:eastAsia="zh-CN"/>
        </w:rPr>
        <w:t>询价采购文件</w:t>
      </w:r>
      <w:r>
        <w:rPr>
          <w:rFonts w:asciiTheme="minorEastAsia" w:hAnsiTheme="minorEastAsia" w:eastAsiaTheme="minorEastAsia"/>
          <w:b/>
          <w:bCs/>
          <w:color w:val="auto"/>
          <w:sz w:val="24"/>
          <w:highlight w:val="none"/>
        </w:rPr>
        <w:t>要求上传的证明资料</w:t>
      </w:r>
      <w:r>
        <w:rPr>
          <w:rFonts w:hint="eastAsia" w:asciiTheme="minorEastAsia" w:hAnsiTheme="minorEastAsia" w:eastAsiaTheme="minorEastAsia"/>
          <w:b/>
          <w:bCs/>
          <w:color w:val="auto"/>
          <w:sz w:val="24"/>
          <w:highlight w:val="none"/>
        </w:rPr>
        <w:t>，如营业执照、证书</w:t>
      </w:r>
      <w:r>
        <w:rPr>
          <w:rFonts w:asciiTheme="minorEastAsia" w:hAnsiTheme="minorEastAsia" w:eastAsiaTheme="minorEastAsia"/>
          <w:b/>
          <w:bCs/>
          <w:color w:val="auto"/>
          <w:sz w:val="24"/>
          <w:highlight w:val="none"/>
        </w:rPr>
        <w:t>等，应将上述证明材料制作成扫描件上传。</w:t>
      </w:r>
    </w:p>
    <w:bookmarkEnd w:id="57"/>
    <w:p w14:paraId="6D9302FF">
      <w:pPr>
        <w:widowControl/>
        <w:jc w:val="left"/>
        <w:rPr>
          <w:rFonts w:ascii="宋体" w:hAnsi="宋体" w:eastAsia="宋体" w:cs="宋体"/>
          <w:b/>
          <w:bCs/>
          <w:color w:val="auto"/>
          <w:kern w:val="0"/>
          <w:sz w:val="24"/>
          <w:szCs w:val="24"/>
          <w:highlight w:val="none"/>
          <w:lang w:bidi="ar"/>
        </w:rPr>
      </w:pPr>
      <w:bookmarkStart w:id="71" w:name="_Toc60608832"/>
      <w:bookmarkStart w:id="72" w:name="_Toc1141"/>
      <w:bookmarkStart w:id="73" w:name="_Toc11711"/>
      <w:r>
        <w:rPr>
          <w:rFonts w:hint="eastAsia" w:ascii="宋体" w:hAnsi="宋体" w:eastAsia="宋体" w:cs="宋体"/>
          <w:b/>
          <w:bCs/>
          <w:color w:val="auto"/>
          <w:kern w:val="0"/>
          <w:sz w:val="24"/>
          <w:szCs w:val="24"/>
          <w:highlight w:val="none"/>
          <w:lang w:bidi="ar"/>
        </w:rPr>
        <w:br w:type="page"/>
      </w:r>
    </w:p>
    <w:p w14:paraId="45203EF3">
      <w:pPr>
        <w:spacing w:line="360" w:lineRule="auto"/>
        <w:jc w:val="center"/>
        <w:outlineLvl w:val="0"/>
        <w:rPr>
          <w:rFonts w:ascii="宋体" w:hAnsi="宋体" w:eastAsia="宋体"/>
          <w:b/>
          <w:bCs/>
          <w:color w:val="auto"/>
          <w:sz w:val="28"/>
          <w:highlight w:val="none"/>
        </w:rPr>
      </w:pPr>
      <w:r>
        <w:rPr>
          <w:rFonts w:hint="eastAsia" w:asciiTheme="minorEastAsia" w:hAnsiTheme="minorEastAsia" w:eastAsiaTheme="minorEastAsia"/>
          <w:b/>
          <w:color w:val="auto"/>
          <w:sz w:val="28"/>
          <w:highlight w:val="none"/>
        </w:rPr>
        <w:t>第七章</w:t>
      </w:r>
      <w:r>
        <w:rPr>
          <w:rFonts w:hint="eastAsia"/>
          <w:b/>
          <w:bCs/>
          <w:color w:val="auto"/>
          <w:sz w:val="28"/>
          <w:highlight w:val="none"/>
        </w:rPr>
        <w:t xml:space="preserve">  </w:t>
      </w:r>
      <w:bookmarkEnd w:id="71"/>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2"/>
      <w:bookmarkEnd w:id="73"/>
    </w:p>
    <w:p w14:paraId="28F3F883">
      <w:pPr>
        <w:spacing w:line="360" w:lineRule="auto"/>
        <w:jc w:val="center"/>
        <w:outlineLvl w:val="1"/>
        <w:rPr>
          <w:rFonts w:ascii="仿宋" w:hAnsi="仿宋" w:eastAsia="仿宋" w:cs="仿宋"/>
          <w:b/>
          <w:bCs/>
          <w:color w:val="auto"/>
          <w:sz w:val="32"/>
          <w:szCs w:val="44"/>
          <w:highlight w:val="none"/>
        </w:rPr>
      </w:pPr>
      <w:bookmarkStart w:id="74" w:name="_Toc10045"/>
      <w:bookmarkStart w:id="75" w:name="_Toc29389"/>
      <w:r>
        <w:rPr>
          <w:rFonts w:hint="eastAsia" w:ascii="仿宋" w:hAnsi="仿宋" w:eastAsia="仿宋" w:cs="仿宋"/>
          <w:b/>
          <w:bCs/>
          <w:color w:val="auto"/>
          <w:sz w:val="32"/>
          <w:szCs w:val="44"/>
          <w:highlight w:val="none"/>
        </w:rPr>
        <w:t>询问函范本</w:t>
      </w:r>
      <w:bookmarkEnd w:id="74"/>
      <w:bookmarkEnd w:id="75"/>
    </w:p>
    <w:p w14:paraId="6B87AF7E">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w:t>
      </w:r>
      <w:r>
        <w:rPr>
          <w:rFonts w:hint="eastAsia" w:cs="仿宋" w:asciiTheme="minorEastAsia" w:hAnsiTheme="minorEastAsia" w:eastAsiaTheme="minorEastAsia"/>
          <w:i/>
          <w:iCs/>
          <w:color w:val="auto"/>
          <w:sz w:val="24"/>
          <w:szCs w:val="24"/>
          <w:highlight w:val="none"/>
          <w:lang w:eastAsia="zh-CN"/>
        </w:rPr>
        <w:t>询价采购文件</w:t>
      </w:r>
      <w:r>
        <w:rPr>
          <w:rFonts w:hint="eastAsia" w:cs="仿宋" w:asciiTheme="minorEastAsia" w:hAnsiTheme="minorEastAsia" w:eastAsiaTheme="minorEastAsia"/>
          <w:i/>
          <w:iCs/>
          <w:color w:val="auto"/>
          <w:sz w:val="24"/>
          <w:szCs w:val="24"/>
          <w:highlight w:val="none"/>
        </w:rPr>
        <w:t>或采购程序的询问或疑问，请按询问函范本或电子交易系统中网上询问格式附件进行提交）</w:t>
      </w:r>
    </w:p>
    <w:p w14:paraId="571C1315">
      <w:pPr>
        <w:adjustRightInd w:val="0"/>
        <w:snapToGrid w:val="0"/>
        <w:spacing w:line="360" w:lineRule="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致：采购人</w:t>
      </w:r>
    </w:p>
    <w:p w14:paraId="372BD55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 xml:space="preserve"> (项目名称、编号)的采购活动，现有以下内容(或条款)存在疑问(或无法理解)，特提出询问。</w:t>
      </w:r>
    </w:p>
    <w:p w14:paraId="0E60462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6" w:name="_Toc29678"/>
      <w:bookmarkStart w:id="77" w:name="_Toc23472"/>
      <w:r>
        <w:rPr>
          <w:rFonts w:hint="eastAsia" w:cs="仿宋" w:asciiTheme="minorEastAsia" w:hAnsiTheme="minorEastAsia" w:eastAsiaTheme="minorEastAsia"/>
          <w:color w:val="auto"/>
          <w:sz w:val="24"/>
          <w:szCs w:val="24"/>
          <w:highlight w:val="none"/>
        </w:rPr>
        <w:t>一、(事项一)</w:t>
      </w:r>
      <w:bookmarkEnd w:id="76"/>
      <w:bookmarkEnd w:id="77"/>
    </w:p>
    <w:p w14:paraId="19E993C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BC112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5BD5C6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DBAEBE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8" w:name="_Toc20836"/>
      <w:bookmarkStart w:id="79" w:name="_Toc22463"/>
      <w:r>
        <w:rPr>
          <w:rFonts w:hint="eastAsia" w:cs="仿宋" w:asciiTheme="minorEastAsia" w:hAnsiTheme="minorEastAsia" w:eastAsiaTheme="minorEastAsia"/>
          <w:color w:val="auto"/>
          <w:sz w:val="24"/>
          <w:szCs w:val="24"/>
          <w:highlight w:val="none"/>
        </w:rPr>
        <w:t>二、(事项二)</w:t>
      </w:r>
      <w:bookmarkEnd w:id="78"/>
      <w:bookmarkEnd w:id="79"/>
    </w:p>
    <w:p w14:paraId="3C1166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A2DA3C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7319539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BA10185">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D0A5E79">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AE7869A">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43E9BACB">
      <w:pPr>
        <w:jc w:val="center"/>
        <w:outlineLvl w:val="1"/>
        <w:rPr>
          <w:rFonts w:cs="仿宋" w:asciiTheme="minorEastAsia" w:hAnsiTheme="minorEastAsia" w:eastAsiaTheme="minorEastAsia"/>
          <w:b/>
          <w:bCs/>
          <w:color w:val="auto"/>
          <w:sz w:val="32"/>
          <w:szCs w:val="44"/>
          <w:highlight w:val="none"/>
        </w:rPr>
      </w:pPr>
      <w:bookmarkStart w:id="80" w:name="_Toc31458"/>
      <w:bookmarkStart w:id="81" w:name="_Toc15057"/>
      <w:r>
        <w:rPr>
          <w:rFonts w:hint="eastAsia" w:cs="仿宋" w:asciiTheme="minorEastAsia" w:hAnsiTheme="minorEastAsia" w:eastAsiaTheme="minorEastAsia"/>
          <w:b/>
          <w:bCs/>
          <w:color w:val="auto"/>
          <w:sz w:val="32"/>
          <w:szCs w:val="44"/>
          <w:highlight w:val="none"/>
        </w:rPr>
        <w:t>质疑函范本</w:t>
      </w:r>
      <w:bookmarkEnd w:id="80"/>
      <w:bookmarkEnd w:id="81"/>
    </w:p>
    <w:p w14:paraId="5752BBC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82" w:name="_Toc22823"/>
      <w:bookmarkStart w:id="83" w:name="_Toc21471"/>
      <w:r>
        <w:rPr>
          <w:rFonts w:hint="eastAsia" w:cs="仿宋" w:asciiTheme="minorEastAsia" w:hAnsiTheme="minorEastAsia" w:eastAsiaTheme="minorEastAsia"/>
          <w:b/>
          <w:bCs/>
          <w:color w:val="auto"/>
          <w:sz w:val="24"/>
          <w:szCs w:val="24"/>
          <w:highlight w:val="none"/>
        </w:rPr>
        <w:t>一、质疑供应商基本信息</w:t>
      </w:r>
      <w:bookmarkEnd w:id="82"/>
      <w:bookmarkEnd w:id="83"/>
    </w:p>
    <w:p w14:paraId="2E5FF4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BC2A48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91D963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2E1F5F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2519181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A41F24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2835A98">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84" w:name="_Toc3326"/>
      <w:bookmarkStart w:id="85" w:name="_Toc10721"/>
      <w:r>
        <w:rPr>
          <w:rFonts w:hint="eastAsia" w:cs="仿宋" w:asciiTheme="minorEastAsia" w:hAnsiTheme="minorEastAsia" w:eastAsiaTheme="minorEastAsia"/>
          <w:b/>
          <w:bCs/>
          <w:color w:val="auto"/>
          <w:sz w:val="24"/>
          <w:szCs w:val="24"/>
          <w:highlight w:val="none"/>
        </w:rPr>
        <w:t>二、质疑项目基本情况</w:t>
      </w:r>
      <w:bookmarkEnd w:id="84"/>
      <w:bookmarkEnd w:id="85"/>
    </w:p>
    <w:p w14:paraId="247EB72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E6C661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4F3FE6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173DAEF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A78A89A">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86" w:name="_Toc8391"/>
      <w:bookmarkStart w:id="87" w:name="_Toc21619"/>
      <w:r>
        <w:rPr>
          <w:rFonts w:hint="eastAsia" w:cs="仿宋" w:asciiTheme="minorEastAsia" w:hAnsiTheme="minorEastAsia" w:eastAsiaTheme="minorEastAsia"/>
          <w:b/>
          <w:bCs/>
          <w:color w:val="auto"/>
          <w:sz w:val="24"/>
          <w:szCs w:val="24"/>
          <w:highlight w:val="none"/>
        </w:rPr>
        <w:t>三、质疑事项具体内容</w:t>
      </w:r>
      <w:bookmarkEnd w:id="86"/>
      <w:bookmarkEnd w:id="87"/>
    </w:p>
    <w:p w14:paraId="4D2853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C64B09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D7C2BE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9EF36B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55914F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B4AF75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7EBF3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DEA0A19">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88" w:name="_Toc10324"/>
      <w:bookmarkStart w:id="89" w:name="_Toc31747"/>
      <w:r>
        <w:rPr>
          <w:rFonts w:hint="eastAsia" w:cs="仿宋" w:asciiTheme="minorEastAsia" w:hAnsiTheme="minorEastAsia" w:eastAsiaTheme="minorEastAsia"/>
          <w:b/>
          <w:bCs/>
          <w:color w:val="auto"/>
          <w:sz w:val="24"/>
          <w:szCs w:val="24"/>
          <w:highlight w:val="none"/>
        </w:rPr>
        <w:t>四、与质疑事项相关的质疑请求</w:t>
      </w:r>
      <w:bookmarkEnd w:id="88"/>
      <w:bookmarkEnd w:id="89"/>
    </w:p>
    <w:p w14:paraId="791075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8469C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150065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BFA2DE8">
      <w:pPr>
        <w:widowControl/>
        <w:jc w:val="left"/>
        <w:rPr>
          <w:rFonts w:cs="仿宋" w:asciiTheme="minorEastAsia" w:hAnsiTheme="minorEastAsia" w:eastAsiaTheme="minorEastAsia"/>
          <w:color w:val="auto"/>
          <w:sz w:val="32"/>
          <w:szCs w:val="32"/>
          <w:highlight w:val="none"/>
        </w:rPr>
      </w:pPr>
      <w:r>
        <w:rPr>
          <w:rFonts w:cs="仿宋" w:asciiTheme="minorEastAsia" w:hAnsiTheme="minorEastAsia" w:eastAsiaTheme="minorEastAsia"/>
          <w:color w:val="auto"/>
          <w:sz w:val="32"/>
          <w:szCs w:val="32"/>
          <w:highlight w:val="none"/>
        </w:rPr>
        <w:br w:type="page"/>
      </w:r>
    </w:p>
    <w:p w14:paraId="65260D09">
      <w:pPr>
        <w:outlineLvl w:val="0"/>
        <w:rPr>
          <w:rFonts w:asciiTheme="minorEastAsia" w:hAnsiTheme="minorEastAsia" w:eastAsiaTheme="minorEastAsia"/>
          <w:b/>
          <w:color w:val="auto"/>
          <w:sz w:val="28"/>
          <w:szCs w:val="32"/>
          <w:highlight w:val="none"/>
        </w:rPr>
      </w:pPr>
      <w:bookmarkStart w:id="90" w:name="_Toc29795"/>
      <w:bookmarkStart w:id="91" w:name="_Toc27249"/>
      <w:r>
        <w:rPr>
          <w:rFonts w:hint="eastAsia" w:asciiTheme="minorEastAsia" w:hAnsiTheme="minorEastAsia" w:eastAsiaTheme="minorEastAsia"/>
          <w:b/>
          <w:color w:val="auto"/>
          <w:sz w:val="28"/>
          <w:szCs w:val="32"/>
          <w:highlight w:val="none"/>
        </w:rPr>
        <w:t>质疑函制作说明：</w:t>
      </w:r>
      <w:bookmarkEnd w:id="90"/>
      <w:bookmarkEnd w:id="91"/>
    </w:p>
    <w:p w14:paraId="4EBFBD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DF2A0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E8CA0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8ABF0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49DBF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663B2281">
      <w:pPr>
        <w:spacing w:line="360" w:lineRule="auto"/>
        <w:ind w:firstLine="435"/>
        <w:rPr>
          <w:color w:val="auto"/>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5" w:h="16838"/>
      <w:pgMar w:top="1417" w:right="1417" w:bottom="1417" w:left="1417" w:header="851" w:footer="992" w:gutter="0"/>
      <w:pgNumType w:fmt="decimal"/>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0000000000000000000"/>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6EC8">
    <w:pPr>
      <w:pStyle w:val="19"/>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79018">
    <w:pPr>
      <w:pStyle w:val="19"/>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0" name="文本框 3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60510">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PPmg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XDz5oNAIAAGUEAAAOAAAAAAAAAAEAIAAAAB8BAABkcnMvZTJvRG9jLnhtbFBL&#10;BQYAAAAABgAGAFkBAADFBQAAAAA=&#10;">
              <v:fill on="f" focussize="0,0"/>
              <v:stroke on="f" weight="0.5pt"/>
              <v:imagedata o:title=""/>
              <o:lock v:ext="edit" aspectratio="f"/>
              <v:textbox inset="0mm,0mm,0mm,0mm" style="mso-fit-shape-to-text:t;">
                <w:txbxContent>
                  <w:p w14:paraId="79160510">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1CB25">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6875A">
    <w:pPr>
      <w:pStyle w:val="2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276BA1"/>
    <w:rsid w:val="0000043F"/>
    <w:rsid w:val="000016BE"/>
    <w:rsid w:val="000020D0"/>
    <w:rsid w:val="00002178"/>
    <w:rsid w:val="00003B1C"/>
    <w:rsid w:val="000049DA"/>
    <w:rsid w:val="000056B7"/>
    <w:rsid w:val="000131F7"/>
    <w:rsid w:val="0001462A"/>
    <w:rsid w:val="00016B6C"/>
    <w:rsid w:val="00020B57"/>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6581E"/>
    <w:rsid w:val="00070E0E"/>
    <w:rsid w:val="00073C57"/>
    <w:rsid w:val="00076DB7"/>
    <w:rsid w:val="00080FEB"/>
    <w:rsid w:val="000871CC"/>
    <w:rsid w:val="00094D41"/>
    <w:rsid w:val="00097CB9"/>
    <w:rsid w:val="000A6693"/>
    <w:rsid w:val="000A6B73"/>
    <w:rsid w:val="000A7D94"/>
    <w:rsid w:val="000B1511"/>
    <w:rsid w:val="000B474F"/>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32A16"/>
    <w:rsid w:val="00136D80"/>
    <w:rsid w:val="00137C7C"/>
    <w:rsid w:val="00140687"/>
    <w:rsid w:val="00144D72"/>
    <w:rsid w:val="00146421"/>
    <w:rsid w:val="001479CF"/>
    <w:rsid w:val="00155F64"/>
    <w:rsid w:val="00157856"/>
    <w:rsid w:val="00160198"/>
    <w:rsid w:val="00160729"/>
    <w:rsid w:val="00163163"/>
    <w:rsid w:val="00166ED8"/>
    <w:rsid w:val="001714C9"/>
    <w:rsid w:val="001770B6"/>
    <w:rsid w:val="00180C48"/>
    <w:rsid w:val="0018119B"/>
    <w:rsid w:val="001844AB"/>
    <w:rsid w:val="00187282"/>
    <w:rsid w:val="00191C9B"/>
    <w:rsid w:val="001944B8"/>
    <w:rsid w:val="00196DA3"/>
    <w:rsid w:val="00197A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45841"/>
    <w:rsid w:val="00260B94"/>
    <w:rsid w:val="00264F2E"/>
    <w:rsid w:val="00271245"/>
    <w:rsid w:val="00274A9E"/>
    <w:rsid w:val="00276292"/>
    <w:rsid w:val="00276BA1"/>
    <w:rsid w:val="00277094"/>
    <w:rsid w:val="00277264"/>
    <w:rsid w:val="00286D62"/>
    <w:rsid w:val="00287EF5"/>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300733"/>
    <w:rsid w:val="00310070"/>
    <w:rsid w:val="003110EC"/>
    <w:rsid w:val="00312317"/>
    <w:rsid w:val="00315CFF"/>
    <w:rsid w:val="00327C92"/>
    <w:rsid w:val="00333292"/>
    <w:rsid w:val="003344E7"/>
    <w:rsid w:val="0033580B"/>
    <w:rsid w:val="003365E7"/>
    <w:rsid w:val="003378D5"/>
    <w:rsid w:val="003405C8"/>
    <w:rsid w:val="003473D7"/>
    <w:rsid w:val="00351AC8"/>
    <w:rsid w:val="00353075"/>
    <w:rsid w:val="00354A38"/>
    <w:rsid w:val="00356E10"/>
    <w:rsid w:val="00360BB3"/>
    <w:rsid w:val="00362A66"/>
    <w:rsid w:val="00363E02"/>
    <w:rsid w:val="00364500"/>
    <w:rsid w:val="00373A96"/>
    <w:rsid w:val="003826C2"/>
    <w:rsid w:val="00383728"/>
    <w:rsid w:val="0038382B"/>
    <w:rsid w:val="00391586"/>
    <w:rsid w:val="00394128"/>
    <w:rsid w:val="003947A4"/>
    <w:rsid w:val="00395235"/>
    <w:rsid w:val="0039561A"/>
    <w:rsid w:val="00397C7D"/>
    <w:rsid w:val="003A004F"/>
    <w:rsid w:val="003A4323"/>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16E6"/>
    <w:rsid w:val="004427B7"/>
    <w:rsid w:val="0044349F"/>
    <w:rsid w:val="00445F1F"/>
    <w:rsid w:val="00451F60"/>
    <w:rsid w:val="00452BB2"/>
    <w:rsid w:val="0045656D"/>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08A8"/>
    <w:rsid w:val="00524168"/>
    <w:rsid w:val="00524A11"/>
    <w:rsid w:val="00527768"/>
    <w:rsid w:val="005310A0"/>
    <w:rsid w:val="005327FB"/>
    <w:rsid w:val="00533FCA"/>
    <w:rsid w:val="00546D49"/>
    <w:rsid w:val="005521FF"/>
    <w:rsid w:val="005522FC"/>
    <w:rsid w:val="005535FD"/>
    <w:rsid w:val="00555596"/>
    <w:rsid w:val="005616B5"/>
    <w:rsid w:val="00561C68"/>
    <w:rsid w:val="005716D3"/>
    <w:rsid w:val="00574E6F"/>
    <w:rsid w:val="00581E19"/>
    <w:rsid w:val="00582882"/>
    <w:rsid w:val="0059004B"/>
    <w:rsid w:val="00590CA2"/>
    <w:rsid w:val="00591629"/>
    <w:rsid w:val="00597B15"/>
    <w:rsid w:val="005A044C"/>
    <w:rsid w:val="005B06FD"/>
    <w:rsid w:val="005B5C95"/>
    <w:rsid w:val="005B7713"/>
    <w:rsid w:val="005D0200"/>
    <w:rsid w:val="005D0D6E"/>
    <w:rsid w:val="005D2A35"/>
    <w:rsid w:val="005D44EF"/>
    <w:rsid w:val="005D4814"/>
    <w:rsid w:val="005D5112"/>
    <w:rsid w:val="005E39CC"/>
    <w:rsid w:val="005F2CD1"/>
    <w:rsid w:val="005F3914"/>
    <w:rsid w:val="005F3B5A"/>
    <w:rsid w:val="005F6AB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14E"/>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66E9"/>
    <w:rsid w:val="006C74A9"/>
    <w:rsid w:val="006D07DE"/>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0D7F"/>
    <w:rsid w:val="007414E0"/>
    <w:rsid w:val="00745C94"/>
    <w:rsid w:val="00755D75"/>
    <w:rsid w:val="00756245"/>
    <w:rsid w:val="00760A01"/>
    <w:rsid w:val="00761662"/>
    <w:rsid w:val="00762106"/>
    <w:rsid w:val="00764043"/>
    <w:rsid w:val="00766B9C"/>
    <w:rsid w:val="007757CF"/>
    <w:rsid w:val="007772F4"/>
    <w:rsid w:val="0078128F"/>
    <w:rsid w:val="0078683C"/>
    <w:rsid w:val="00790EDB"/>
    <w:rsid w:val="00791538"/>
    <w:rsid w:val="0079326E"/>
    <w:rsid w:val="00796292"/>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295A"/>
    <w:rsid w:val="007E3921"/>
    <w:rsid w:val="00801028"/>
    <w:rsid w:val="00803793"/>
    <w:rsid w:val="00807493"/>
    <w:rsid w:val="008149FD"/>
    <w:rsid w:val="00817A01"/>
    <w:rsid w:val="00825E35"/>
    <w:rsid w:val="00825E64"/>
    <w:rsid w:val="00826194"/>
    <w:rsid w:val="008334F8"/>
    <w:rsid w:val="008341AA"/>
    <w:rsid w:val="00845490"/>
    <w:rsid w:val="00847E67"/>
    <w:rsid w:val="00847ED2"/>
    <w:rsid w:val="00854042"/>
    <w:rsid w:val="00863FDD"/>
    <w:rsid w:val="00871F99"/>
    <w:rsid w:val="00876461"/>
    <w:rsid w:val="00876659"/>
    <w:rsid w:val="0087734C"/>
    <w:rsid w:val="00882141"/>
    <w:rsid w:val="008826D0"/>
    <w:rsid w:val="008922A8"/>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4993"/>
    <w:rsid w:val="008F76E8"/>
    <w:rsid w:val="008F7CD0"/>
    <w:rsid w:val="009078A1"/>
    <w:rsid w:val="00911E9C"/>
    <w:rsid w:val="00917405"/>
    <w:rsid w:val="00920F7C"/>
    <w:rsid w:val="00934CAE"/>
    <w:rsid w:val="0094257D"/>
    <w:rsid w:val="009435AB"/>
    <w:rsid w:val="0095467C"/>
    <w:rsid w:val="00954A61"/>
    <w:rsid w:val="00955C6F"/>
    <w:rsid w:val="00966C7B"/>
    <w:rsid w:val="009701DC"/>
    <w:rsid w:val="009715D8"/>
    <w:rsid w:val="00972D10"/>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74F6"/>
    <w:rsid w:val="009E0512"/>
    <w:rsid w:val="009E3A0A"/>
    <w:rsid w:val="009F174D"/>
    <w:rsid w:val="009F3E91"/>
    <w:rsid w:val="00A05068"/>
    <w:rsid w:val="00A13861"/>
    <w:rsid w:val="00A1499B"/>
    <w:rsid w:val="00A1537A"/>
    <w:rsid w:val="00A27403"/>
    <w:rsid w:val="00A314C2"/>
    <w:rsid w:val="00A572DB"/>
    <w:rsid w:val="00A6163A"/>
    <w:rsid w:val="00A63009"/>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AF2B21"/>
    <w:rsid w:val="00B00983"/>
    <w:rsid w:val="00B0267C"/>
    <w:rsid w:val="00B039E3"/>
    <w:rsid w:val="00B22838"/>
    <w:rsid w:val="00B33E95"/>
    <w:rsid w:val="00B351F2"/>
    <w:rsid w:val="00B3720B"/>
    <w:rsid w:val="00B37358"/>
    <w:rsid w:val="00B43954"/>
    <w:rsid w:val="00B43A6D"/>
    <w:rsid w:val="00B4730C"/>
    <w:rsid w:val="00B541BC"/>
    <w:rsid w:val="00B54808"/>
    <w:rsid w:val="00B5558A"/>
    <w:rsid w:val="00B56513"/>
    <w:rsid w:val="00B56B2E"/>
    <w:rsid w:val="00B64376"/>
    <w:rsid w:val="00B70494"/>
    <w:rsid w:val="00B7401F"/>
    <w:rsid w:val="00B740A4"/>
    <w:rsid w:val="00B74FA1"/>
    <w:rsid w:val="00B76345"/>
    <w:rsid w:val="00B806C3"/>
    <w:rsid w:val="00B84FCA"/>
    <w:rsid w:val="00B9089F"/>
    <w:rsid w:val="00B91AEE"/>
    <w:rsid w:val="00B93F8C"/>
    <w:rsid w:val="00B95F5A"/>
    <w:rsid w:val="00B96EAD"/>
    <w:rsid w:val="00BA1CA7"/>
    <w:rsid w:val="00BA79F5"/>
    <w:rsid w:val="00BB1F0D"/>
    <w:rsid w:val="00BB3AB6"/>
    <w:rsid w:val="00BB766D"/>
    <w:rsid w:val="00BC007B"/>
    <w:rsid w:val="00BC26BA"/>
    <w:rsid w:val="00BC35F8"/>
    <w:rsid w:val="00BD65C6"/>
    <w:rsid w:val="00BE481D"/>
    <w:rsid w:val="00BF06B9"/>
    <w:rsid w:val="00BF3696"/>
    <w:rsid w:val="00BF376F"/>
    <w:rsid w:val="00BF46A6"/>
    <w:rsid w:val="00C002C8"/>
    <w:rsid w:val="00C007CF"/>
    <w:rsid w:val="00C0634C"/>
    <w:rsid w:val="00C06545"/>
    <w:rsid w:val="00C06BA4"/>
    <w:rsid w:val="00C1161C"/>
    <w:rsid w:val="00C172D1"/>
    <w:rsid w:val="00C220FC"/>
    <w:rsid w:val="00C24DFA"/>
    <w:rsid w:val="00C4214A"/>
    <w:rsid w:val="00C46399"/>
    <w:rsid w:val="00C46A36"/>
    <w:rsid w:val="00C47037"/>
    <w:rsid w:val="00C474A2"/>
    <w:rsid w:val="00C53625"/>
    <w:rsid w:val="00C602C1"/>
    <w:rsid w:val="00C60EC3"/>
    <w:rsid w:val="00C61AFE"/>
    <w:rsid w:val="00C62248"/>
    <w:rsid w:val="00C63FC0"/>
    <w:rsid w:val="00C66392"/>
    <w:rsid w:val="00C6647F"/>
    <w:rsid w:val="00C74C5E"/>
    <w:rsid w:val="00C81F28"/>
    <w:rsid w:val="00C827A2"/>
    <w:rsid w:val="00C82B69"/>
    <w:rsid w:val="00C83483"/>
    <w:rsid w:val="00C853A3"/>
    <w:rsid w:val="00C86146"/>
    <w:rsid w:val="00C8698F"/>
    <w:rsid w:val="00C91B28"/>
    <w:rsid w:val="00C91F3A"/>
    <w:rsid w:val="00C922DE"/>
    <w:rsid w:val="00CA165D"/>
    <w:rsid w:val="00CA6293"/>
    <w:rsid w:val="00CA66F0"/>
    <w:rsid w:val="00CB5797"/>
    <w:rsid w:val="00CC1202"/>
    <w:rsid w:val="00CC7D56"/>
    <w:rsid w:val="00CD09E1"/>
    <w:rsid w:val="00CD6202"/>
    <w:rsid w:val="00CE1E40"/>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879D1"/>
    <w:rsid w:val="00D93F76"/>
    <w:rsid w:val="00D96126"/>
    <w:rsid w:val="00DB1FFF"/>
    <w:rsid w:val="00DB4B1C"/>
    <w:rsid w:val="00DB5085"/>
    <w:rsid w:val="00DC1062"/>
    <w:rsid w:val="00DC132C"/>
    <w:rsid w:val="00DC4543"/>
    <w:rsid w:val="00DD1224"/>
    <w:rsid w:val="00DD2560"/>
    <w:rsid w:val="00DD43F0"/>
    <w:rsid w:val="00DD44DE"/>
    <w:rsid w:val="00DE09AB"/>
    <w:rsid w:val="00DE2B2D"/>
    <w:rsid w:val="00DE4A3F"/>
    <w:rsid w:val="00DE6121"/>
    <w:rsid w:val="00DF4367"/>
    <w:rsid w:val="00E0574A"/>
    <w:rsid w:val="00E07412"/>
    <w:rsid w:val="00E11F17"/>
    <w:rsid w:val="00E1243D"/>
    <w:rsid w:val="00E12742"/>
    <w:rsid w:val="00E13A25"/>
    <w:rsid w:val="00E146D4"/>
    <w:rsid w:val="00E20976"/>
    <w:rsid w:val="00E22B44"/>
    <w:rsid w:val="00E30ACD"/>
    <w:rsid w:val="00E32735"/>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A0A36"/>
    <w:rsid w:val="00EA49C5"/>
    <w:rsid w:val="00EA5107"/>
    <w:rsid w:val="00EA5D8A"/>
    <w:rsid w:val="00EA5F3B"/>
    <w:rsid w:val="00EB0C34"/>
    <w:rsid w:val="00EB5027"/>
    <w:rsid w:val="00EC1836"/>
    <w:rsid w:val="00EC3990"/>
    <w:rsid w:val="00EC484B"/>
    <w:rsid w:val="00EC5793"/>
    <w:rsid w:val="00EC65B0"/>
    <w:rsid w:val="00ED15FA"/>
    <w:rsid w:val="00ED45E5"/>
    <w:rsid w:val="00EE275B"/>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573B"/>
    <w:rsid w:val="00FA64B1"/>
    <w:rsid w:val="00FA70F3"/>
    <w:rsid w:val="00FA71CD"/>
    <w:rsid w:val="00FB0453"/>
    <w:rsid w:val="00FB0C07"/>
    <w:rsid w:val="00FB298D"/>
    <w:rsid w:val="00FC1439"/>
    <w:rsid w:val="00FC724B"/>
    <w:rsid w:val="00FC7910"/>
    <w:rsid w:val="00FF0DA7"/>
    <w:rsid w:val="00FF1022"/>
    <w:rsid w:val="00FF44E0"/>
    <w:rsid w:val="00FF624C"/>
    <w:rsid w:val="00FF6C72"/>
    <w:rsid w:val="00FF783A"/>
    <w:rsid w:val="01621FDB"/>
    <w:rsid w:val="01B03BEA"/>
    <w:rsid w:val="027833F5"/>
    <w:rsid w:val="02BF6C59"/>
    <w:rsid w:val="03AB6427"/>
    <w:rsid w:val="048802D5"/>
    <w:rsid w:val="04B765A2"/>
    <w:rsid w:val="05717C88"/>
    <w:rsid w:val="059321F1"/>
    <w:rsid w:val="05AF72A0"/>
    <w:rsid w:val="05B42F17"/>
    <w:rsid w:val="05DE203B"/>
    <w:rsid w:val="05EE32AE"/>
    <w:rsid w:val="05F11A75"/>
    <w:rsid w:val="061E4FDD"/>
    <w:rsid w:val="06287461"/>
    <w:rsid w:val="08414ECC"/>
    <w:rsid w:val="0866535E"/>
    <w:rsid w:val="086A1DB6"/>
    <w:rsid w:val="0954653B"/>
    <w:rsid w:val="09734E97"/>
    <w:rsid w:val="0A0236B4"/>
    <w:rsid w:val="0A5C407D"/>
    <w:rsid w:val="0ADC290F"/>
    <w:rsid w:val="0B3655F3"/>
    <w:rsid w:val="0B510EC7"/>
    <w:rsid w:val="0C0E0A28"/>
    <w:rsid w:val="0C5C2F82"/>
    <w:rsid w:val="0CC86361"/>
    <w:rsid w:val="0D262A20"/>
    <w:rsid w:val="0F8347BD"/>
    <w:rsid w:val="0FC30BF6"/>
    <w:rsid w:val="0FE9248E"/>
    <w:rsid w:val="101C5764"/>
    <w:rsid w:val="10E8616A"/>
    <w:rsid w:val="119E52F8"/>
    <w:rsid w:val="11CD084A"/>
    <w:rsid w:val="11F052D6"/>
    <w:rsid w:val="125E1788"/>
    <w:rsid w:val="126D4B79"/>
    <w:rsid w:val="136D26F3"/>
    <w:rsid w:val="145C4675"/>
    <w:rsid w:val="1475265D"/>
    <w:rsid w:val="14CA2036"/>
    <w:rsid w:val="14D2451C"/>
    <w:rsid w:val="150C08C6"/>
    <w:rsid w:val="157B6A2B"/>
    <w:rsid w:val="159F03B6"/>
    <w:rsid w:val="15D65C30"/>
    <w:rsid w:val="16C60CFC"/>
    <w:rsid w:val="16CF07A1"/>
    <w:rsid w:val="17E91507"/>
    <w:rsid w:val="18031DFC"/>
    <w:rsid w:val="180F1FC9"/>
    <w:rsid w:val="18633FE4"/>
    <w:rsid w:val="19A32436"/>
    <w:rsid w:val="1A7B316A"/>
    <w:rsid w:val="1AA720D8"/>
    <w:rsid w:val="1BD44E29"/>
    <w:rsid w:val="1CD93E41"/>
    <w:rsid w:val="1D864D41"/>
    <w:rsid w:val="1DDA6DF1"/>
    <w:rsid w:val="1E8A0F92"/>
    <w:rsid w:val="1F04109E"/>
    <w:rsid w:val="1F244811"/>
    <w:rsid w:val="1F9711FA"/>
    <w:rsid w:val="20126D60"/>
    <w:rsid w:val="207053C9"/>
    <w:rsid w:val="21030661"/>
    <w:rsid w:val="211654D1"/>
    <w:rsid w:val="214D4F9D"/>
    <w:rsid w:val="218D5DCC"/>
    <w:rsid w:val="21A00E17"/>
    <w:rsid w:val="21F7445F"/>
    <w:rsid w:val="21F7620D"/>
    <w:rsid w:val="226326A4"/>
    <w:rsid w:val="22763AFE"/>
    <w:rsid w:val="23286581"/>
    <w:rsid w:val="23576714"/>
    <w:rsid w:val="23663C2F"/>
    <w:rsid w:val="242A2846"/>
    <w:rsid w:val="245943B5"/>
    <w:rsid w:val="247C1540"/>
    <w:rsid w:val="25754019"/>
    <w:rsid w:val="25F018F1"/>
    <w:rsid w:val="264528BD"/>
    <w:rsid w:val="26C66526"/>
    <w:rsid w:val="278B4F71"/>
    <w:rsid w:val="28251390"/>
    <w:rsid w:val="28CE2356"/>
    <w:rsid w:val="290A2CCA"/>
    <w:rsid w:val="295A2A3F"/>
    <w:rsid w:val="29F63606"/>
    <w:rsid w:val="2A1B7069"/>
    <w:rsid w:val="2A2A21AD"/>
    <w:rsid w:val="2AAD7DB1"/>
    <w:rsid w:val="2C7C57CA"/>
    <w:rsid w:val="2E141EF5"/>
    <w:rsid w:val="2E1A575D"/>
    <w:rsid w:val="2E36227F"/>
    <w:rsid w:val="2E8E4CE9"/>
    <w:rsid w:val="2EA339A5"/>
    <w:rsid w:val="2F3C3432"/>
    <w:rsid w:val="3038636F"/>
    <w:rsid w:val="30A754DF"/>
    <w:rsid w:val="322B48DA"/>
    <w:rsid w:val="337E5DD0"/>
    <w:rsid w:val="33D161E8"/>
    <w:rsid w:val="34B2511B"/>
    <w:rsid w:val="352C2916"/>
    <w:rsid w:val="371847E2"/>
    <w:rsid w:val="37BF2AC2"/>
    <w:rsid w:val="38675A43"/>
    <w:rsid w:val="39185E60"/>
    <w:rsid w:val="3B214C05"/>
    <w:rsid w:val="3B6732A7"/>
    <w:rsid w:val="3B796242"/>
    <w:rsid w:val="3CEF068E"/>
    <w:rsid w:val="3D6E29D8"/>
    <w:rsid w:val="3DAC0EE9"/>
    <w:rsid w:val="3E314816"/>
    <w:rsid w:val="3E55633E"/>
    <w:rsid w:val="3E691DE9"/>
    <w:rsid w:val="3E9512FD"/>
    <w:rsid w:val="3EBE2135"/>
    <w:rsid w:val="3F42428E"/>
    <w:rsid w:val="3F823162"/>
    <w:rsid w:val="3FB84DD6"/>
    <w:rsid w:val="402F520E"/>
    <w:rsid w:val="41250249"/>
    <w:rsid w:val="41377F7D"/>
    <w:rsid w:val="413A09E6"/>
    <w:rsid w:val="41471C8C"/>
    <w:rsid w:val="41676AB4"/>
    <w:rsid w:val="41782759"/>
    <w:rsid w:val="420A0426"/>
    <w:rsid w:val="436037BB"/>
    <w:rsid w:val="44046D3B"/>
    <w:rsid w:val="446E6B6D"/>
    <w:rsid w:val="44F24093"/>
    <w:rsid w:val="45D715E1"/>
    <w:rsid w:val="45F45FF3"/>
    <w:rsid w:val="465F740E"/>
    <w:rsid w:val="4A3825B9"/>
    <w:rsid w:val="4A3F618E"/>
    <w:rsid w:val="4A6D07B9"/>
    <w:rsid w:val="4B497F7A"/>
    <w:rsid w:val="4BB75CCC"/>
    <w:rsid w:val="4BD9233D"/>
    <w:rsid w:val="4BE12910"/>
    <w:rsid w:val="4CDC7AA1"/>
    <w:rsid w:val="4F2E78B5"/>
    <w:rsid w:val="51233DD7"/>
    <w:rsid w:val="52377F97"/>
    <w:rsid w:val="53110BF4"/>
    <w:rsid w:val="53CE4739"/>
    <w:rsid w:val="543C1CC1"/>
    <w:rsid w:val="54866DF9"/>
    <w:rsid w:val="549D01C5"/>
    <w:rsid w:val="5607799E"/>
    <w:rsid w:val="5696684F"/>
    <w:rsid w:val="58F509F1"/>
    <w:rsid w:val="59C4319E"/>
    <w:rsid w:val="59E4582B"/>
    <w:rsid w:val="59FC4F8A"/>
    <w:rsid w:val="5A4D7877"/>
    <w:rsid w:val="5A6804AB"/>
    <w:rsid w:val="5C372975"/>
    <w:rsid w:val="5C740423"/>
    <w:rsid w:val="5C7F166A"/>
    <w:rsid w:val="5E554AD3"/>
    <w:rsid w:val="5E5B12F6"/>
    <w:rsid w:val="5E934044"/>
    <w:rsid w:val="5F42525F"/>
    <w:rsid w:val="5FBF7663"/>
    <w:rsid w:val="5FDF6AB4"/>
    <w:rsid w:val="604D40FC"/>
    <w:rsid w:val="60D70DF6"/>
    <w:rsid w:val="622D7DE6"/>
    <w:rsid w:val="625E3163"/>
    <w:rsid w:val="62791362"/>
    <w:rsid w:val="629D2560"/>
    <w:rsid w:val="644E6FB5"/>
    <w:rsid w:val="644F31D5"/>
    <w:rsid w:val="64EC6D10"/>
    <w:rsid w:val="6623097E"/>
    <w:rsid w:val="67126006"/>
    <w:rsid w:val="674A241E"/>
    <w:rsid w:val="67BB0B3F"/>
    <w:rsid w:val="682F07AA"/>
    <w:rsid w:val="68751207"/>
    <w:rsid w:val="68807C64"/>
    <w:rsid w:val="688C69CF"/>
    <w:rsid w:val="68CD5DAB"/>
    <w:rsid w:val="68E777C5"/>
    <w:rsid w:val="6983273E"/>
    <w:rsid w:val="69C21C42"/>
    <w:rsid w:val="6A503CD9"/>
    <w:rsid w:val="6A570167"/>
    <w:rsid w:val="6AC61574"/>
    <w:rsid w:val="6AE9786E"/>
    <w:rsid w:val="6B3E7572"/>
    <w:rsid w:val="6BE2044C"/>
    <w:rsid w:val="6D743DF0"/>
    <w:rsid w:val="6EDB6611"/>
    <w:rsid w:val="6FBC2114"/>
    <w:rsid w:val="705F607C"/>
    <w:rsid w:val="70902932"/>
    <w:rsid w:val="70F56BEF"/>
    <w:rsid w:val="71946328"/>
    <w:rsid w:val="71BF33D8"/>
    <w:rsid w:val="71DC79A6"/>
    <w:rsid w:val="735D4003"/>
    <w:rsid w:val="73D56FFD"/>
    <w:rsid w:val="73FA265E"/>
    <w:rsid w:val="740C0C71"/>
    <w:rsid w:val="74714F78"/>
    <w:rsid w:val="748C2191"/>
    <w:rsid w:val="74D745B8"/>
    <w:rsid w:val="74F764D9"/>
    <w:rsid w:val="75C537CD"/>
    <w:rsid w:val="766377D4"/>
    <w:rsid w:val="76DE7671"/>
    <w:rsid w:val="76E73479"/>
    <w:rsid w:val="771D30BE"/>
    <w:rsid w:val="77FD363B"/>
    <w:rsid w:val="784E1FE2"/>
    <w:rsid w:val="78803D6C"/>
    <w:rsid w:val="7B0809BE"/>
    <w:rsid w:val="7C25495A"/>
    <w:rsid w:val="7CCC5441"/>
    <w:rsid w:val="7DB52BB3"/>
    <w:rsid w:val="7DDC0B9A"/>
    <w:rsid w:val="7E490EF5"/>
    <w:rsid w:val="7E6E4733"/>
    <w:rsid w:val="7EAB4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62"/>
    <w:qFormat/>
    <w:uiPriority w:val="9"/>
    <w:pPr>
      <w:keepNext/>
      <w:keepLines/>
      <w:spacing w:before="340" w:after="330" w:line="578" w:lineRule="auto"/>
      <w:outlineLvl w:val="0"/>
    </w:pPr>
    <w:rPr>
      <w:b/>
      <w:bCs/>
      <w:kern w:val="44"/>
      <w:sz w:val="44"/>
      <w:szCs w:val="44"/>
    </w:rPr>
  </w:style>
  <w:style w:type="paragraph" w:styleId="7">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64"/>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69"/>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200" w:firstLineChars="200"/>
    </w:pPr>
    <w:rPr>
      <w:rFonts w:ascii="宋体"/>
    </w:rPr>
  </w:style>
  <w:style w:type="paragraph" w:styleId="3">
    <w:name w:val="Body Text Indent"/>
    <w:basedOn w:val="1"/>
    <w:next w:val="4"/>
    <w:qFormat/>
    <w:uiPriority w:val="0"/>
    <w:pPr>
      <w:spacing w:after="120"/>
      <w:ind w:left="420" w:leftChars="200"/>
    </w:pPr>
  </w:style>
  <w:style w:type="paragraph" w:styleId="4">
    <w:name w:val="envelope return"/>
    <w:basedOn w:val="1"/>
    <w:next w:val="5"/>
    <w:qFormat/>
    <w:uiPriority w:val="0"/>
    <w:pPr>
      <w:snapToGrid w:val="0"/>
    </w:pPr>
    <w:rPr>
      <w:rFonts w:ascii="Arial" w:hAnsi="Arial"/>
    </w:rPr>
  </w:style>
  <w:style w:type="paragraph" w:styleId="5">
    <w:name w:val="Title"/>
    <w:basedOn w:val="1"/>
    <w:next w:val="1"/>
    <w:qFormat/>
    <w:uiPriority w:val="0"/>
    <w:pPr>
      <w:widowControl w:val="0"/>
      <w:spacing w:before="120" w:line="240" w:lineRule="auto"/>
      <w:jc w:val="left"/>
      <w:textAlignment w:val="auto"/>
      <w:outlineLvl w:val="0"/>
    </w:pPr>
    <w:rPr>
      <w:rFonts w:ascii="Calibri Light" w:hAnsi="Calibri Light" w:eastAsia="微软雅黑"/>
      <w:b/>
      <w:bCs/>
      <w:color w:val="auto"/>
      <w:sz w:val="28"/>
      <w:szCs w:val="32"/>
      <w:u w:val="none" w:color="auto"/>
    </w:rPr>
  </w:style>
  <w:style w:type="paragraph" w:styleId="10">
    <w:name w:val="toc 7"/>
    <w:basedOn w:val="1"/>
    <w:next w:val="1"/>
    <w:unhideWhenUsed/>
    <w:qFormat/>
    <w:uiPriority w:val="39"/>
    <w:pPr>
      <w:ind w:left="1260"/>
      <w:jc w:val="left"/>
    </w:pPr>
    <w:rPr>
      <w:sz w:val="18"/>
      <w:szCs w:val="18"/>
    </w:rPr>
  </w:style>
  <w:style w:type="paragraph" w:styleId="11">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12">
    <w:name w:val="annotation text"/>
    <w:basedOn w:val="1"/>
    <w:link w:val="61"/>
    <w:qFormat/>
    <w:uiPriority w:val="0"/>
    <w:pPr>
      <w:jc w:val="left"/>
    </w:pPr>
    <w:rPr>
      <w:rFonts w:ascii="Arial" w:hAnsi="Arial" w:eastAsia="黑体" w:cs="Arial"/>
    </w:rPr>
  </w:style>
  <w:style w:type="paragraph" w:styleId="13">
    <w:name w:val="Body Text"/>
    <w:basedOn w:val="1"/>
    <w:qFormat/>
    <w:uiPriority w:val="0"/>
    <w:pPr>
      <w:spacing w:after="120"/>
    </w:pPr>
    <w:rPr>
      <w:rFonts w:ascii="@微软简标宋" w:hAnsi="@微软简标宋" w:eastAsia="@微软简标宋" w:cs="@微软简标宋"/>
      <w:szCs w:val="24"/>
      <w:lang w:val="zh-CN"/>
    </w:rPr>
  </w:style>
  <w:style w:type="paragraph" w:styleId="14">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0"/>
    <w:qFormat/>
    <w:uiPriority w:val="99"/>
    <w:rPr>
      <w:rFonts w:ascii="宋体" w:hAnsi="Courier New" w:eastAsiaTheme="minorEastAsia" w:cstheme="minorBidi"/>
      <w:szCs w:val="22"/>
    </w:rPr>
  </w:style>
  <w:style w:type="paragraph" w:styleId="16">
    <w:name w:val="Date"/>
    <w:basedOn w:val="1"/>
    <w:next w:val="1"/>
    <w:link w:val="57"/>
    <w:qFormat/>
    <w:uiPriority w:val="0"/>
    <w:rPr>
      <w:rFonts w:ascii="Arial" w:hAnsi="Arial" w:eastAsia="宋体" w:cs="Arial"/>
      <w:b/>
      <w:sz w:val="28"/>
    </w:rPr>
  </w:style>
  <w:style w:type="paragraph" w:styleId="17">
    <w:name w:val="Body Text Indent 2"/>
    <w:basedOn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8">
    <w:name w:val="Balloon Text"/>
    <w:basedOn w:val="1"/>
    <w:link w:val="44"/>
    <w:semiHidden/>
    <w:unhideWhenUsed/>
    <w:qFormat/>
    <w:uiPriority w:val="99"/>
    <w:rPr>
      <w:sz w:val="18"/>
      <w:szCs w:val="18"/>
    </w:rPr>
  </w:style>
  <w:style w:type="paragraph" w:styleId="19">
    <w:name w:val="footer"/>
    <w:basedOn w:val="1"/>
    <w:link w:val="4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2">
    <w:name w:val="List"/>
    <w:basedOn w:val="1"/>
    <w:next w:val="1"/>
    <w:qFormat/>
    <w:uiPriority w:val="0"/>
    <w:pPr>
      <w:ind w:left="420" w:hanging="420"/>
    </w:pPr>
    <w:rPr>
      <w:rFonts w:ascii="Arial" w:hAnsi="Arial" w:eastAsia="楷体_GB2312"/>
      <w:sz w:val="28"/>
    </w:rPr>
  </w:style>
  <w:style w:type="paragraph" w:styleId="23">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4">
    <w:name w:val="Normal (Web)"/>
    <w:basedOn w:val="1"/>
    <w:qFormat/>
    <w:uiPriority w:val="0"/>
    <w:pPr>
      <w:spacing w:before="100" w:beforeAutospacing="1" w:after="100" w:afterAutospacing="1"/>
      <w:jc w:val="left"/>
    </w:pPr>
    <w:rPr>
      <w:rFonts w:cs="Times New Roman"/>
      <w:kern w:val="0"/>
      <w:sz w:val="24"/>
    </w:rPr>
  </w:style>
  <w:style w:type="paragraph" w:styleId="25">
    <w:name w:val="index 1"/>
    <w:basedOn w:val="1"/>
    <w:next w:val="1"/>
    <w:qFormat/>
    <w:uiPriority w:val="0"/>
    <w:pPr>
      <w:jc w:val="center"/>
    </w:pPr>
    <w:rPr>
      <w:rFonts w:ascii="Arial" w:hAnsi="Arial" w:eastAsia="Arial" w:cs="Arial"/>
      <w:b/>
      <w:bCs/>
      <w:sz w:val="28"/>
    </w:rPr>
  </w:style>
  <w:style w:type="paragraph" w:styleId="26">
    <w:name w:val="Body Text First Indent"/>
    <w:basedOn w:val="13"/>
    <w:unhideWhenUsed/>
    <w:qFormat/>
    <w:uiPriority w:val="99"/>
    <w:pPr>
      <w:ind w:firstLine="420" w:firstLineChars="100"/>
    </w:pPr>
  </w:style>
  <w:style w:type="table" w:styleId="28">
    <w:name w:val="Table Grid"/>
    <w:basedOn w:val="2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2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style>
  <w:style w:type="character" w:styleId="36">
    <w:name w:val="HTML Variable"/>
    <w:basedOn w:val="29"/>
    <w:semiHidden/>
    <w:unhideWhenUsed/>
    <w:qFormat/>
    <w:uiPriority w:val="99"/>
  </w:style>
  <w:style w:type="character" w:styleId="37">
    <w:name w:val="Hyperlink"/>
    <w:basedOn w:val="29"/>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HTML Cite"/>
    <w:basedOn w:val="29"/>
    <w:semiHidden/>
    <w:unhideWhenUsed/>
    <w:qFormat/>
    <w:uiPriority w:val="99"/>
  </w:style>
  <w:style w:type="character" w:styleId="40">
    <w:name w:val="HTML Keyboard"/>
    <w:basedOn w:val="29"/>
    <w:semiHidden/>
    <w:unhideWhenUsed/>
    <w:qFormat/>
    <w:uiPriority w:val="99"/>
    <w:rPr>
      <w:rFonts w:hint="default" w:ascii="monospace" w:hAnsi="monospace" w:eastAsia="monospace" w:cs="monospace"/>
      <w:color w:val="D6D6D6"/>
      <w:sz w:val="20"/>
    </w:rPr>
  </w:style>
  <w:style w:type="character" w:styleId="41">
    <w:name w:val="HTML Sample"/>
    <w:basedOn w:val="29"/>
    <w:semiHidden/>
    <w:unhideWhenUsed/>
    <w:qFormat/>
    <w:uiPriority w:val="99"/>
    <w:rPr>
      <w:rFonts w:ascii="monospace" w:hAnsi="monospace" w:eastAsia="monospace" w:cs="monospace"/>
    </w:rPr>
  </w:style>
  <w:style w:type="paragraph" w:customStyle="1" w:styleId="4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3">
    <w:name w:val="正文文字 8"/>
    <w:basedOn w:val="1"/>
    <w:next w:val="1"/>
    <w:qFormat/>
    <w:uiPriority w:val="0"/>
    <w:pPr>
      <w:ind w:left="240"/>
    </w:pPr>
    <w:rPr>
      <w:sz w:val="16"/>
    </w:rPr>
  </w:style>
  <w:style w:type="character" w:customStyle="1" w:styleId="44">
    <w:name w:val="批注框文本 Char"/>
    <w:basedOn w:val="29"/>
    <w:link w:val="18"/>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20"/>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29"/>
    <w:link w:val="20"/>
    <w:qFormat/>
    <w:uiPriority w:val="0"/>
    <w:rPr>
      <w:rFonts w:ascii="@仿宋_GB2312" w:hAnsi="@仿宋_GB2312" w:eastAsia="@仿宋_GB2312" w:cs="@仿宋_GB2312"/>
      <w:sz w:val="18"/>
      <w:szCs w:val="18"/>
    </w:rPr>
  </w:style>
  <w:style w:type="character" w:customStyle="1" w:styleId="49">
    <w:name w:val="页脚 Char"/>
    <w:basedOn w:val="29"/>
    <w:link w:val="19"/>
    <w:qFormat/>
    <w:uiPriority w:val="99"/>
    <w:rPr>
      <w:rFonts w:ascii="@仿宋_GB2312" w:hAnsi="@仿宋_GB2312" w:eastAsia="@仿宋_GB2312" w:cs="@仿宋_GB2312"/>
      <w:sz w:val="18"/>
      <w:szCs w:val="18"/>
    </w:rPr>
  </w:style>
  <w:style w:type="character" w:customStyle="1" w:styleId="50">
    <w:name w:val="纯文本 Char"/>
    <w:link w:val="15"/>
    <w:qFormat/>
    <w:uiPriority w:val="0"/>
    <w:rPr>
      <w:rFonts w:ascii="宋体" w:hAnsi="Courier New"/>
    </w:rPr>
  </w:style>
  <w:style w:type="character" w:customStyle="1" w:styleId="51">
    <w:name w:val="纯文本 字符1"/>
    <w:basedOn w:val="29"/>
    <w:semiHidden/>
    <w:qFormat/>
    <w:uiPriority w:val="99"/>
    <w:rPr>
      <w:rFonts w:hAnsi="Courier New" w:cs="Courier New" w:asciiTheme="minorEastAsia"/>
      <w:szCs w:val="20"/>
    </w:rPr>
  </w:style>
  <w:style w:type="character" w:customStyle="1" w:styleId="52">
    <w:name w:val="未处理的提及1"/>
    <w:basedOn w:val="29"/>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9"/>
    <w:semiHidden/>
    <w:qFormat/>
    <w:uiPriority w:val="99"/>
    <w:rPr>
      <w:rFonts w:ascii="@仿宋_GB2312" w:hAnsi="@仿宋_GB2312" w:eastAsia="@仿宋_GB2312" w:cs="@仿宋_GB2312"/>
      <w:szCs w:val="20"/>
    </w:rPr>
  </w:style>
  <w:style w:type="character" w:customStyle="1" w:styleId="57">
    <w:name w:val="日期 Char"/>
    <w:link w:val="16"/>
    <w:qFormat/>
    <w:uiPriority w:val="0"/>
    <w:rPr>
      <w:rFonts w:ascii="Arial" w:hAnsi="Arial" w:eastAsia="宋体" w:cs="Arial"/>
      <w:b/>
      <w:sz w:val="28"/>
      <w:szCs w:val="20"/>
    </w:rPr>
  </w:style>
  <w:style w:type="character" w:customStyle="1" w:styleId="58">
    <w:name w:val="纯文本 Char1"/>
    <w:link w:val="59"/>
    <w:qFormat/>
    <w:locked/>
    <w:uiPriority w:val="0"/>
    <w:rPr>
      <w:rFonts w:ascii="Arial" w:hAnsi="Arial" w:eastAsia="Arial"/>
      <w:kern w:val="2"/>
      <w:sz w:val="21"/>
      <w:lang w:val="en-US" w:eastAsia="zh-CN" w:bidi="ar-SA"/>
    </w:rPr>
  </w:style>
  <w:style w:type="paragraph" w:customStyle="1" w:styleId="59">
    <w:name w:val="纯文本1"/>
    <w:basedOn w:val="1"/>
    <w:link w:val="58"/>
    <w:qFormat/>
    <w:uiPriority w:val="0"/>
    <w:rPr>
      <w:rFonts w:ascii="Arial" w:hAnsi="Arial" w:eastAsia="Arial" w:cstheme="minorBidi"/>
      <w:szCs w:val="22"/>
    </w:rPr>
  </w:style>
  <w:style w:type="character" w:customStyle="1" w:styleId="60">
    <w:name w:val="批注文字 Char"/>
    <w:basedOn w:val="29"/>
    <w:semiHidden/>
    <w:qFormat/>
    <w:uiPriority w:val="99"/>
    <w:rPr>
      <w:rFonts w:ascii="@仿宋_GB2312" w:hAnsi="@仿宋_GB2312" w:eastAsia="@仿宋_GB2312" w:cs="@仿宋_GB2312"/>
      <w:szCs w:val="20"/>
    </w:rPr>
  </w:style>
  <w:style w:type="character" w:customStyle="1" w:styleId="61">
    <w:name w:val="批注文字 Char1"/>
    <w:link w:val="12"/>
    <w:qFormat/>
    <w:uiPriority w:val="0"/>
    <w:rPr>
      <w:rFonts w:ascii="Arial" w:hAnsi="Arial" w:eastAsia="黑体" w:cs="Arial"/>
      <w:szCs w:val="20"/>
    </w:rPr>
  </w:style>
  <w:style w:type="character" w:customStyle="1" w:styleId="62">
    <w:name w:val="标题 1 Char"/>
    <w:basedOn w:val="29"/>
    <w:link w:val="6"/>
    <w:qFormat/>
    <w:uiPriority w:val="9"/>
    <w:rPr>
      <w:rFonts w:ascii="@仿宋_GB2312" w:hAnsi="@仿宋_GB2312" w:eastAsia="@仿宋_GB2312" w:cs="@仿宋_GB2312"/>
      <w:b/>
      <w:bCs/>
      <w:kern w:val="44"/>
      <w:sz w:val="44"/>
      <w:szCs w:val="44"/>
    </w:rPr>
  </w:style>
  <w:style w:type="paragraph" w:customStyle="1" w:styleId="63">
    <w:name w:val="TOC 标题1"/>
    <w:basedOn w:val="6"/>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4">
    <w:name w:val="标题 3 Char"/>
    <w:basedOn w:val="29"/>
    <w:link w:val="8"/>
    <w:semiHidden/>
    <w:qFormat/>
    <w:uiPriority w:val="9"/>
    <w:rPr>
      <w:rFonts w:ascii="@仿宋_GB2312" w:hAnsi="@仿宋_GB2312" w:eastAsia="@仿宋_GB2312" w:cs="@仿宋_GB2312"/>
      <w:b/>
      <w:bCs/>
      <w:sz w:val="32"/>
      <w:szCs w:val="32"/>
    </w:rPr>
  </w:style>
  <w:style w:type="character" w:customStyle="1" w:styleId="65">
    <w:name w:val="fontstyle01"/>
    <w:basedOn w:val="29"/>
    <w:qFormat/>
    <w:uiPriority w:val="0"/>
    <w:rPr>
      <w:rFonts w:hint="eastAsia" w:ascii="宋体" w:hAnsi="宋体" w:eastAsia="宋体"/>
      <w:color w:val="000000"/>
      <w:sz w:val="22"/>
      <w:szCs w:val="22"/>
    </w:rPr>
  </w:style>
  <w:style w:type="character" w:customStyle="1" w:styleId="66">
    <w:name w:val="fontstyle21"/>
    <w:basedOn w:val="29"/>
    <w:qFormat/>
    <w:uiPriority w:val="0"/>
    <w:rPr>
      <w:rFonts w:hint="default" w:ascii="TimesNewRomanPSMT" w:hAnsi="TimesNewRomanPSMT"/>
      <w:color w:val="000000"/>
      <w:sz w:val="22"/>
      <w:szCs w:val="22"/>
    </w:rPr>
  </w:style>
  <w:style w:type="character" w:customStyle="1" w:styleId="67">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8">
    <w:name w:val="标题 4 字符"/>
    <w:basedOn w:val="29"/>
    <w:semiHidden/>
    <w:qFormat/>
    <w:uiPriority w:val="9"/>
    <w:rPr>
      <w:rFonts w:asciiTheme="majorHAnsi" w:hAnsiTheme="majorHAnsi" w:eastAsiaTheme="majorEastAsia" w:cstheme="majorBidi"/>
      <w:b/>
      <w:bCs/>
      <w:sz w:val="28"/>
      <w:szCs w:val="28"/>
    </w:rPr>
  </w:style>
  <w:style w:type="character" w:customStyle="1" w:styleId="69">
    <w:name w:val="标题 4 Char"/>
    <w:link w:val="9"/>
    <w:qFormat/>
    <w:uiPriority w:val="0"/>
    <w:rPr>
      <w:rFonts w:ascii="@仿宋_GB2312" w:hAnsi="@仿宋_GB2312" w:eastAsia="@仿宋_GB2312" w:cs="@仿宋_GB2312"/>
      <w:b/>
      <w:bCs/>
      <w:sz w:val="28"/>
      <w:szCs w:val="28"/>
    </w:rPr>
  </w:style>
  <w:style w:type="table" w:customStyle="1" w:styleId="70">
    <w:name w:val="Table Normal"/>
    <w:semiHidden/>
    <w:unhideWhenUsed/>
    <w:qFormat/>
    <w:uiPriority w:val="0"/>
    <w:tblPr>
      <w:tblCellMar>
        <w:top w:w="0" w:type="dxa"/>
        <w:left w:w="0" w:type="dxa"/>
        <w:bottom w:w="0" w:type="dxa"/>
        <w:right w:w="0" w:type="dxa"/>
      </w:tblCellMar>
    </w:tblPr>
  </w:style>
  <w:style w:type="paragraph" w:customStyle="1" w:styleId="71">
    <w:name w:val="Table Text"/>
    <w:basedOn w:val="1"/>
    <w:semiHidden/>
    <w:qFormat/>
    <w:uiPriority w:val="0"/>
    <w:rPr>
      <w:rFonts w:ascii="Arial" w:hAnsi="Arial" w:eastAsia="Arial" w:cs="Arial"/>
      <w:szCs w:val="21"/>
      <w:lang w:eastAsia="en-US"/>
    </w:rPr>
  </w:style>
  <w:style w:type="paragraph" w:customStyle="1" w:styleId="7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3">
    <w:name w:val="列出段落1"/>
    <w:basedOn w:val="1"/>
    <w:qFormat/>
    <w:uiPriority w:val="0"/>
    <w:pPr>
      <w:ind w:firstLine="420" w:firstLineChars="200"/>
    </w:pPr>
    <w:rPr>
      <w:szCs w:val="21"/>
    </w:rPr>
  </w:style>
  <w:style w:type="character" w:customStyle="1" w:styleId="74">
    <w:name w:val="hover"/>
    <w:basedOn w:val="29"/>
    <w:qFormat/>
    <w:uiPriority w:val="0"/>
    <w:rPr>
      <w:color w:val="2590EB"/>
      <w:shd w:val="clear" w:color="auto" w:fill="E9F4FD"/>
    </w:rPr>
  </w:style>
  <w:style w:type="character" w:customStyle="1" w:styleId="75">
    <w:name w:val="hover1"/>
    <w:basedOn w:val="29"/>
    <w:qFormat/>
    <w:uiPriority w:val="0"/>
    <w:rPr>
      <w:color w:val="2590EB"/>
    </w:rPr>
  </w:style>
  <w:style w:type="character" w:customStyle="1" w:styleId="76">
    <w:name w:val="hover2"/>
    <w:basedOn w:val="29"/>
    <w:qFormat/>
    <w:uiPriority w:val="0"/>
    <w:rPr>
      <w:color w:val="2590EB"/>
    </w:rPr>
  </w:style>
  <w:style w:type="character" w:customStyle="1" w:styleId="77">
    <w:name w:val="hover3"/>
    <w:basedOn w:val="29"/>
    <w:qFormat/>
    <w:uiPriority w:val="0"/>
  </w:style>
  <w:style w:type="character" w:customStyle="1" w:styleId="78">
    <w:name w:val="hover4"/>
    <w:basedOn w:val="29"/>
    <w:qFormat/>
    <w:uiPriority w:val="0"/>
    <w:rPr>
      <w:color w:val="2590EB"/>
      <w:shd w:val="clear" w:color="auto" w:fill="E9F4FD"/>
    </w:rPr>
  </w:style>
  <w:style w:type="character" w:customStyle="1" w:styleId="79">
    <w:name w:val="layui-this"/>
    <w:basedOn w:val="29"/>
    <w:qFormat/>
    <w:uiPriority w:val="0"/>
    <w:rPr>
      <w:bdr w:val="single" w:color="EEEEEE" w:sz="6" w:space="0"/>
      <w:shd w:val="clear" w:fill="FFFFFF"/>
    </w:rPr>
  </w:style>
  <w:style w:type="character" w:customStyle="1" w:styleId="80">
    <w:name w:val="first-child"/>
    <w:basedOn w:val="29"/>
    <w:qFormat/>
    <w:uiPriority w:val="0"/>
  </w:style>
  <w:style w:type="character" w:customStyle="1" w:styleId="81">
    <w:name w:val="font41"/>
    <w:basedOn w:val="29"/>
    <w:qFormat/>
    <w:uiPriority w:val="0"/>
    <w:rPr>
      <w:rFonts w:hint="eastAsia" w:ascii="宋体" w:hAnsi="宋体" w:eastAsia="宋体" w:cs="宋体"/>
      <w:color w:val="000000"/>
      <w:sz w:val="20"/>
      <w:szCs w:val="20"/>
      <w:u w:val="none"/>
    </w:rPr>
  </w:style>
  <w:style w:type="character" w:customStyle="1" w:styleId="82">
    <w:name w:val="font71"/>
    <w:basedOn w:val="29"/>
    <w:qFormat/>
    <w:uiPriority w:val="0"/>
    <w:rPr>
      <w:rFonts w:ascii="MS Sans Serif" w:hAnsi="MS Sans Serif" w:eastAsia="MS Sans Serif" w:cs="MS Sans Serif"/>
      <w:color w:val="000000"/>
      <w:sz w:val="20"/>
      <w:szCs w:val="20"/>
      <w:u w:val="none"/>
    </w:rPr>
  </w:style>
  <w:style w:type="character" w:customStyle="1" w:styleId="83">
    <w:name w:val="time"/>
    <w:basedOn w:val="29"/>
    <w:qFormat/>
    <w:uiPriority w:val="0"/>
  </w:style>
  <w:style w:type="character" w:customStyle="1" w:styleId="84">
    <w:name w:val="status"/>
    <w:basedOn w:val="29"/>
    <w:qFormat/>
    <w:uiPriority w:val="0"/>
    <w:rPr>
      <w:color w:val="0776DD"/>
    </w:rPr>
  </w:style>
  <w:style w:type="character" w:customStyle="1" w:styleId="85">
    <w:name w:val="font81"/>
    <w:basedOn w:val="29"/>
    <w:qFormat/>
    <w:uiPriority w:val="0"/>
    <w:rPr>
      <w:rFonts w:hint="eastAsia" w:ascii="宋体" w:hAnsi="宋体" w:eastAsia="宋体" w:cs="宋体"/>
      <w:b/>
      <w:bCs/>
      <w:color w:val="000000"/>
      <w:sz w:val="20"/>
      <w:szCs w:val="20"/>
      <w:u w:val="none"/>
    </w:rPr>
  </w:style>
  <w:style w:type="character" w:customStyle="1" w:styleId="86">
    <w:name w:val="font91"/>
    <w:basedOn w:val="29"/>
    <w:qFormat/>
    <w:uiPriority w:val="0"/>
    <w:rPr>
      <w:rFonts w:ascii="Calibri" w:hAnsi="Calibri" w:cs="Calibri"/>
      <w:color w:val="000000"/>
      <w:sz w:val="20"/>
      <w:szCs w:val="20"/>
      <w:u w:val="none"/>
    </w:rPr>
  </w:style>
  <w:style w:type="character" w:customStyle="1" w:styleId="87">
    <w:name w:val="font31"/>
    <w:basedOn w:val="29"/>
    <w:qFormat/>
    <w:uiPriority w:val="0"/>
    <w:rPr>
      <w:rFonts w:hint="eastAsia" w:ascii="宋体" w:hAnsi="宋体" w:eastAsia="宋体" w:cs="宋体"/>
      <w:color w:val="000000"/>
      <w:sz w:val="20"/>
      <w:szCs w:val="20"/>
      <w:u w:val="none"/>
    </w:rPr>
  </w:style>
  <w:style w:type="character" w:customStyle="1" w:styleId="88">
    <w:name w:val="font101"/>
    <w:basedOn w:val="29"/>
    <w:qFormat/>
    <w:uiPriority w:val="0"/>
    <w:rPr>
      <w:rFonts w:ascii="MS Sans Serif" w:hAnsi="MS Sans Serif" w:eastAsia="MS Sans Serif" w:cs="MS Sans Serif"/>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202E19-8E66-40F2-B87B-00A45F8FBF0F}">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41</Pages>
  <Words>6028</Words>
  <Characters>6652</Characters>
  <Lines>267</Lines>
  <Paragraphs>75</Paragraphs>
  <TotalTime>3</TotalTime>
  <ScaleCrop>false</ScaleCrop>
  <LinksUpToDate>false</LinksUpToDate>
  <CharactersWithSpaces>7186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2025-05-21T00:14:00Z</dcterms:created>
  <dc:creator>Anakin</dc:creator>
  <cp:lastModifiedBy>代理</cp:lastModifiedBy>
  <cp:lastPrinted>2026-06-10T05:43:00Z</cp:lastPrinted>
  <dcterms:modified xsi:type="dcterms:W3CDTF">2026-07-28T07:55:27Z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40BD385A7E92479CAE8990EC26FFAD2C_13</vt:lpwstr>
  </property>
  <property fmtid="{D5CDD505-2E9C-101B-9397-08002B2CF9AE}" pid="4" name="KSOTemplateDocerSaveRecord">
    <vt:lpwstr>eyJoZGlkIjoiOTc5MDNjMmIyODczM2YwMGZkZTNjYWY1NjIxZTY5YjciLCJ1c2VySWQiOiI1MDM3MjkwOTMifQ==</vt:lpwstr>
  </property>
</Properties>
</file>