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bookmarkStart w:id="235" w:name="_GoBack"/>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b/>
          <w:color w:val="auto"/>
          <w:spacing w:val="20"/>
          <w:kern w:val="0"/>
          <w:sz w:val="32"/>
          <w:szCs w:val="32"/>
          <w:highlight w:val="none"/>
          <w:u w:val="single"/>
          <w:lang w:val="en-US" w:eastAsia="zh-CN"/>
        </w:rPr>
        <w:t>南谯经开区2026-2029年度绿化管养项目（二次）</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cznqcg202610-006</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b/>
          <w:color w:val="auto"/>
          <w:spacing w:val="20"/>
          <w:kern w:val="0"/>
          <w:sz w:val="32"/>
          <w:szCs w:val="32"/>
          <w:highlight w:val="none"/>
          <w:u w:val="single"/>
          <w:lang w:val="en-US" w:eastAsia="zh-CN"/>
        </w:rPr>
        <w:t>安徽滁州南谯经济开发区管理委员会</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cs="宋体"/>
          <w:b/>
          <w:color w:val="auto"/>
          <w:kern w:val="0"/>
          <w:sz w:val="32"/>
          <w:szCs w:val="32"/>
          <w:highlight w:val="none"/>
          <w:u w:val="single"/>
          <w:lang w:eastAsia="zh-CN"/>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AF8DC4A">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b/>
          <w:color w:val="auto"/>
          <w:sz w:val="36"/>
          <w:highlight w:val="none"/>
          <w:u w:val="single"/>
          <w:lang w:val="en-US" w:eastAsia="zh-CN"/>
        </w:rPr>
        <w:t>10</w:t>
      </w:r>
      <w:r>
        <w:rPr>
          <w:rFonts w:hint="eastAsia" w:ascii="宋体" w:hAnsi="宋体" w:eastAsia="宋体"/>
          <w:b/>
          <w:color w:val="auto"/>
          <w:sz w:val="36"/>
          <w:highlight w:val="none"/>
        </w:rPr>
        <w:t>月</w:t>
      </w:r>
    </w:p>
    <w:p w14:paraId="746B5A30">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66ED081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51A3126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7CC8792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E36FB0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FBD068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A28EF6A">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4F33CB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w:t>
      </w:r>
      <w:r>
        <w:rPr>
          <w:rFonts w:hint="eastAsia"/>
          <w:color w:val="auto"/>
          <w:highlight w:val="none"/>
          <w:lang w:val="en-US" w:eastAsia="zh-CN"/>
        </w:rPr>
        <w:t>6</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rFonts w:hint="eastAsia"/>
          <w:color w:val="auto"/>
          <w:highlight w:val="none"/>
          <w:lang w:val="en-US" w:eastAsia="zh-CN"/>
        </w:rPr>
        <w:t>3</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1</w:t>
      </w:r>
    </w:p>
    <w:p w14:paraId="66B74C3F">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675A88DC">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rFonts w:hint="eastAsia"/>
          <w:color w:val="auto"/>
          <w:highlight w:val="none"/>
          <w:lang w:val="en-US" w:eastAsia="zh-CN"/>
        </w:rPr>
        <w:t>5</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7F099B56">
      <w:pPr>
        <w:pStyle w:val="20"/>
        <w:pageBreakBefore w:val="0"/>
        <w:widowControl w:val="0"/>
        <w:tabs>
          <w:tab w:val="right" w:leader="dot" w:pos="8306"/>
        </w:tabs>
        <w:kinsoku/>
        <w:wordWrap w:val="0"/>
        <w:topLinePunct w:val="0"/>
        <w:bidi w:val="0"/>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6</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7</w:t>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u w:val="single"/>
          <w:lang w:val="en-US" w:eastAsia="zh-CN"/>
        </w:rPr>
        <w:t>南谯经开区2026-2029年度绿化管养项目</w:t>
      </w:r>
      <w:r>
        <w:rPr>
          <w:rFonts w:hint="eastAsia" w:ascii="宋体" w:hAnsi="宋体" w:cs="宋体"/>
          <w:color w:val="auto"/>
          <w:sz w:val="28"/>
          <w:szCs w:val="28"/>
          <w:highlight w:val="none"/>
          <w:u w:val="single"/>
          <w:lang w:val="en-US" w:eastAsia="zh-CN"/>
        </w:rPr>
        <w:t>（二次）</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12</w:t>
      </w:r>
      <w:r>
        <w:rPr>
          <w:rFonts w:hint="eastAsia" w:ascii="宋体" w:hAnsi="宋体" w:eastAsia="宋体" w:cs="宋体"/>
          <w:color w:val="auto"/>
          <w:sz w:val="28"/>
          <w:szCs w:val="28"/>
          <w:highlight w:val="none"/>
          <w:u w:val="single"/>
          <w:lang w:val="en-US" w:eastAsia="zh-CN"/>
        </w:rPr>
        <w:t>日</w:t>
      </w:r>
      <w:r>
        <w:rPr>
          <w:rFonts w:hint="eastAsia" w:ascii="宋体" w:hAnsi="宋体" w:eastAsia="宋体" w:cs="宋体"/>
          <w:color w:val="auto"/>
          <w:sz w:val="28"/>
          <w:szCs w:val="28"/>
          <w:highlight w:val="none"/>
          <w:u w:val="single"/>
          <w:lang w:val="en-US" w:eastAsia="zh-CN"/>
        </w:rPr>
        <w:t>08点</w:t>
      </w:r>
      <w:r>
        <w:rPr>
          <w:rFonts w:hint="eastAsia" w:ascii="宋体" w:hAnsi="宋体" w:cs="宋体"/>
          <w:color w:val="auto"/>
          <w:sz w:val="28"/>
          <w:szCs w:val="28"/>
          <w:highlight w:val="none"/>
          <w:u w:val="single"/>
          <w:lang w:val="en-US" w:eastAsia="zh-CN"/>
        </w:rPr>
        <w:t>5</w:t>
      </w:r>
      <w:r>
        <w:rPr>
          <w:rFonts w:hint="eastAsia" w:ascii="宋体" w:hAnsi="宋体" w:eastAsia="宋体" w:cs="宋体"/>
          <w:color w:val="auto"/>
          <w:sz w:val="28"/>
          <w:szCs w:val="28"/>
          <w:highlight w:val="none"/>
          <w:u w:val="single"/>
          <w:lang w:val="en-US" w:eastAsia="zh-CN"/>
        </w:rPr>
        <w:t>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35393622"/>
      <w:bookmarkEnd w:id="4"/>
      <w:bookmarkStart w:id="5" w:name="_Toc28359003"/>
      <w:bookmarkEnd w:id="5"/>
      <w:bookmarkStart w:id="6" w:name="_Toc58430306"/>
      <w:bookmarkEnd w:id="6"/>
      <w:bookmarkStart w:id="7" w:name="_Toc35393791"/>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cznqcg202610-006</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cs="宋体"/>
          <w:color w:val="auto"/>
          <w:sz w:val="28"/>
          <w:szCs w:val="28"/>
          <w:highlight w:val="none"/>
          <w:lang w:val="en-US" w:eastAsia="zh-CN"/>
        </w:rPr>
        <w:t>南谯经开区2026-2029年度绿化管养项目（二次）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w:t>
      </w:r>
      <w:r>
        <w:rPr>
          <w:rFonts w:hint="eastAsia" w:ascii="宋体" w:hAnsi="宋体" w:cs="宋体"/>
          <w:color w:val="auto"/>
          <w:sz w:val="28"/>
          <w:szCs w:val="28"/>
          <w:highlight w:val="none"/>
          <w:lang w:val="en-US" w:eastAsia="zh-CN"/>
        </w:rPr>
        <w:t>238</w:t>
      </w:r>
      <w:r>
        <w:rPr>
          <w:rFonts w:hint="eastAsia" w:ascii="宋体" w:hAnsi="宋体" w:eastAsia="宋体" w:cs="宋体"/>
          <w:color w:val="auto"/>
          <w:sz w:val="28"/>
          <w:szCs w:val="28"/>
          <w:highlight w:val="none"/>
          <w:lang w:val="en-US" w:eastAsia="zh-CN"/>
        </w:rPr>
        <w:t>0000元/年</w:t>
      </w:r>
    </w:p>
    <w:p w14:paraId="7A2200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最高限价：本项目投标总报价最高限价为</w:t>
      </w:r>
      <w:r>
        <w:rPr>
          <w:rFonts w:hint="eastAsia" w:ascii="宋体" w:hAnsi="宋体" w:cs="宋体"/>
          <w:color w:val="auto"/>
          <w:sz w:val="28"/>
          <w:szCs w:val="28"/>
          <w:highlight w:val="none"/>
          <w:lang w:val="en-US" w:eastAsia="zh-CN"/>
        </w:rPr>
        <w:t>238</w:t>
      </w:r>
      <w:r>
        <w:rPr>
          <w:rFonts w:hint="eastAsia" w:ascii="宋体" w:hAnsi="宋体" w:eastAsia="宋体" w:cs="宋体"/>
          <w:color w:val="auto"/>
          <w:sz w:val="28"/>
          <w:szCs w:val="28"/>
          <w:highlight w:val="none"/>
          <w:lang w:val="en-US" w:eastAsia="zh-CN"/>
        </w:rPr>
        <w:t>0000元/年</w:t>
      </w:r>
      <w:r>
        <w:rPr>
          <w:rFonts w:hint="eastAsia" w:ascii="宋体" w:hAnsi="宋体" w:eastAsia="宋体" w:cs="宋体"/>
          <w:color w:val="auto"/>
          <w:sz w:val="28"/>
          <w:szCs w:val="28"/>
          <w:highlight w:val="none"/>
          <w:lang w:val="en-US" w:eastAsia="zh-CN"/>
        </w:rPr>
        <w:t>，绿地综合单价</w:t>
      </w:r>
      <w:r>
        <w:rPr>
          <w:rFonts w:hint="eastAsia" w:ascii="宋体" w:hAnsi="宋体" w:cs="宋体"/>
          <w:color w:val="auto"/>
          <w:sz w:val="28"/>
          <w:szCs w:val="28"/>
          <w:highlight w:val="none"/>
          <w:lang w:val="en-US" w:eastAsia="zh-CN"/>
        </w:rPr>
        <w:t>1.8</w:t>
      </w:r>
      <w:r>
        <w:rPr>
          <w:rFonts w:hint="eastAsia" w:ascii="宋体" w:hAnsi="宋体" w:eastAsia="宋体" w:cs="宋体"/>
          <w:color w:val="auto"/>
          <w:sz w:val="28"/>
          <w:szCs w:val="28"/>
          <w:highlight w:val="none"/>
          <w:lang w:val="en-US" w:eastAsia="zh-CN"/>
        </w:rPr>
        <w:t>元</w:t>
      </w:r>
      <w:r>
        <w:rPr>
          <w:rFonts w:hint="eastAsia" w:ascii="宋体" w:hAnsi="宋体" w:eastAsia="宋体" w:cs="宋体"/>
          <w:color w:val="auto"/>
          <w:sz w:val="28"/>
          <w:szCs w:val="28"/>
          <w:highlight w:val="none"/>
          <w:lang w:val="en-US" w:eastAsia="zh-CN"/>
        </w:rPr>
        <w:t>/㎡/年，单独道路行道树综合单价最高限价为</w:t>
      </w:r>
      <w:r>
        <w:rPr>
          <w:rFonts w:hint="eastAsia" w:ascii="宋体" w:hAnsi="宋体" w:cs="宋体"/>
          <w:color w:val="auto"/>
          <w:sz w:val="28"/>
          <w:szCs w:val="28"/>
          <w:highlight w:val="none"/>
          <w:lang w:val="en-US" w:eastAsia="zh-CN"/>
        </w:rPr>
        <w:t>23.5</w:t>
      </w:r>
      <w:r>
        <w:rPr>
          <w:rFonts w:hint="eastAsia" w:ascii="宋体" w:hAnsi="宋体" w:eastAsia="宋体" w:cs="宋体"/>
          <w:color w:val="auto"/>
          <w:sz w:val="28"/>
          <w:szCs w:val="28"/>
          <w:highlight w:val="none"/>
          <w:lang w:val="en-US" w:eastAsia="zh-CN"/>
        </w:rPr>
        <w:t>元/年/株，投标报价不得高于最高限价，否则，按无效标处理。</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采购需求：绿化管养，详见采购需求。</w:t>
      </w:r>
    </w:p>
    <w:p w14:paraId="2875E9A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合同履行期限：服务期三年，合同一年一签。</w:t>
      </w:r>
    </w:p>
    <w:p w14:paraId="3901A1E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本项目接受联合体投标，联合体（牵头方和成员方）总数不得超过2家</w:t>
      </w:r>
      <w:r>
        <w:rPr>
          <w:rFonts w:hint="eastAsia" w:ascii="宋体" w:hAnsi="宋体" w:eastAsia="宋体" w:cs="宋体"/>
          <w:color w:val="auto"/>
          <w:sz w:val="28"/>
          <w:szCs w:val="28"/>
          <w:highlight w:val="none"/>
        </w:rPr>
        <w:t>。</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792"/>
      <w:bookmarkEnd w:id="9"/>
      <w:bookmarkStart w:id="10" w:name="_Toc35393623"/>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r>
        <w:rPr>
          <w:rFonts w:hint="eastAsia" w:ascii="宋体" w:hAnsi="宋体" w:cs="宋体"/>
          <w:color w:val="auto"/>
          <w:sz w:val="28"/>
          <w:szCs w:val="28"/>
          <w:highlight w:val="none"/>
          <w:lang w:val="en-US" w:eastAsia="zh-CN"/>
        </w:rPr>
        <w:t>；</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non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35393624"/>
      <w:bookmarkEnd w:id="12"/>
      <w:bookmarkStart w:id="13" w:name="_Toc35393793"/>
      <w:bookmarkEnd w:id="13"/>
      <w:bookmarkStart w:id="14" w:name="_Toc28359082"/>
      <w:bookmarkEnd w:id="14"/>
      <w:bookmarkStart w:id="15" w:name="_Toc28359005"/>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cs="宋体"/>
          <w:color w:val="auto"/>
          <w:sz w:val="28"/>
          <w:szCs w:val="28"/>
          <w:highlight w:val="none"/>
          <w:u w:val="single"/>
          <w:lang w:val="en-US" w:eastAsia="zh-CN"/>
        </w:rPr>
        <w:t>22</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12</w:t>
      </w:r>
      <w:r>
        <w:rPr>
          <w:rFonts w:hint="eastAsia" w:ascii="宋体" w:hAnsi="宋体" w:eastAsia="宋体" w:cs="宋体"/>
          <w:color w:val="auto"/>
          <w:sz w:val="28"/>
          <w:szCs w:val="28"/>
          <w:highlight w:val="none"/>
          <w:u w:val="single"/>
          <w:lang w:val="en-US" w:eastAsia="zh-CN"/>
        </w:rPr>
        <w:t>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cs="宋体"/>
          <w:color w:val="auto"/>
          <w:sz w:val="28"/>
          <w:szCs w:val="28"/>
          <w:highlight w:val="none"/>
          <w:u w:val="single"/>
          <w:lang w:val="en-US" w:eastAsia="zh-CN"/>
        </w:rPr>
        <w:t>11</w:t>
      </w:r>
      <w:r>
        <w:rPr>
          <w:rFonts w:hint="eastAsia" w:ascii="宋体" w:hAnsi="宋体" w:eastAsia="宋体" w:cs="宋体"/>
          <w:color w:val="auto"/>
          <w:sz w:val="28"/>
          <w:szCs w:val="28"/>
          <w:highlight w:val="none"/>
          <w:u w:val="single"/>
          <w:lang w:val="en-US" w:eastAsia="zh-CN"/>
        </w:rPr>
        <w:t>月</w:t>
      </w:r>
      <w:r>
        <w:rPr>
          <w:rFonts w:hint="eastAsia" w:ascii="宋体" w:hAnsi="宋体" w:cs="宋体"/>
          <w:color w:val="auto"/>
          <w:sz w:val="28"/>
          <w:szCs w:val="28"/>
          <w:highlight w:val="none"/>
          <w:u w:val="single"/>
          <w:lang w:val="en-US" w:eastAsia="zh-CN"/>
        </w:rPr>
        <w:t>12</w:t>
      </w:r>
      <w:r>
        <w:rPr>
          <w:rFonts w:hint="eastAsia" w:ascii="宋体" w:hAnsi="宋体" w:eastAsia="宋体" w:cs="宋体"/>
          <w:color w:val="auto"/>
          <w:sz w:val="28"/>
          <w:szCs w:val="28"/>
          <w:highlight w:val="none"/>
          <w:u w:val="single"/>
          <w:lang w:val="en-US" w:eastAsia="zh-CN"/>
        </w:rPr>
        <w:t>日</w:t>
      </w:r>
      <w:r>
        <w:rPr>
          <w:rFonts w:hint="eastAsia" w:ascii="宋体" w:hAnsi="宋体" w:eastAsia="宋体" w:cs="宋体"/>
          <w:color w:val="auto"/>
          <w:sz w:val="28"/>
          <w:szCs w:val="28"/>
          <w:highlight w:val="none"/>
          <w:u w:val="single"/>
          <w:lang w:val="en-US" w:eastAsia="zh-CN"/>
        </w:rPr>
        <w:t>08</w:t>
      </w:r>
      <w:r>
        <w:rPr>
          <w:rFonts w:hint="eastAsia" w:ascii="宋体" w:hAnsi="宋体" w:eastAsia="宋体" w:cs="宋体"/>
          <w:color w:val="auto"/>
          <w:sz w:val="28"/>
          <w:szCs w:val="28"/>
          <w:highlight w:val="none"/>
          <w:u w:val="single"/>
        </w:rPr>
        <w:t>点</w:t>
      </w:r>
      <w:r>
        <w:rPr>
          <w:rFonts w:hint="eastAsia" w:ascii="宋体" w:hAnsi="宋体" w:cs="宋体"/>
          <w:color w:val="auto"/>
          <w:sz w:val="28"/>
          <w:szCs w:val="28"/>
          <w:highlight w:val="none"/>
          <w:u w:val="single"/>
          <w:lang w:val="en-US" w:eastAsia="zh-CN"/>
        </w:rPr>
        <w:t>5</w:t>
      </w:r>
      <w:r>
        <w:rPr>
          <w:rFonts w:hint="eastAsia" w:ascii="宋体" w:hAnsi="宋体" w:eastAsia="宋体" w:cs="宋体"/>
          <w:color w:val="auto"/>
          <w:sz w:val="28"/>
          <w:szCs w:val="28"/>
          <w:highlight w:val="none"/>
          <w:u w:val="single"/>
          <w:lang w:val="en-US" w:eastAsia="zh-CN"/>
        </w:rPr>
        <w:t>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58430309"/>
      <w:bookmarkEnd w:id="17"/>
      <w:bookmarkStart w:id="18" w:name="_Toc35393625"/>
      <w:bookmarkEnd w:id="18"/>
      <w:bookmarkStart w:id="19" w:name="_Toc28359007"/>
      <w:bookmarkEnd w:id="19"/>
      <w:bookmarkStart w:id="20" w:name="_Toc35393794"/>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795"/>
      <w:bookmarkStart w:id="24" w:name="_Toc35393626"/>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4C6735D5">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7265"/>
      <w:bookmarkStart w:id="26" w:name="_Toc3854"/>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cs="宋体"/>
          <w:color w:val="auto"/>
          <w:sz w:val="28"/>
          <w:szCs w:val="28"/>
          <w:highlight w:val="none"/>
          <w:u w:val="single"/>
          <w:lang w:eastAsia="zh-CN"/>
        </w:rPr>
        <w:t>安徽滁州南谯经济开发区管理委员会</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滁州高教科创城B座110信访接待室</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cs="宋体"/>
          <w:strike w:val="0"/>
          <w:dstrike w:val="0"/>
          <w:color w:val="auto"/>
          <w:sz w:val="28"/>
          <w:szCs w:val="28"/>
          <w:highlight w:val="none"/>
          <w:u w:val="single"/>
          <w:lang w:val="en-US" w:eastAsia="zh-CN"/>
        </w:rPr>
        <w:t>薛主任</w:t>
      </w:r>
    </w:p>
    <w:p w14:paraId="781DE41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0550-3910039</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cs="宋体"/>
          <w:color w:val="auto"/>
          <w:sz w:val="28"/>
          <w:szCs w:val="28"/>
          <w:highlight w:val="none"/>
          <w:u w:val="single"/>
          <w:lang w:eastAsia="zh-CN"/>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滁州市南谯区财政局</w:t>
      </w:r>
      <w:r>
        <w:rPr>
          <w:rFonts w:hint="eastAsia" w:ascii="宋体" w:hAnsi="宋体" w:eastAsia="宋体" w:cs="宋体"/>
          <w:color w:val="auto"/>
          <w:sz w:val="28"/>
          <w:szCs w:val="28"/>
          <w:highlight w:val="none"/>
          <w:lang w:val="en-US" w:eastAsia="zh-CN"/>
        </w:rPr>
        <w:t xml:space="preserve"> </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val="en-US" w:eastAsia="zh-CN"/>
        </w:rPr>
        <w:t>滁州市南谯区政务新区</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val="en-US" w:eastAsia="zh-CN"/>
        </w:rPr>
        <w:t>0550-3919183</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1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97"/>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65"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58"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65"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58"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65"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58"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b w:val="0"/>
                <w:color w:val="auto"/>
                <w:sz w:val="24"/>
                <w:highlight w:val="none"/>
                <w:u w:val="single"/>
                <w:lang w:val="en-US" w:eastAsia="zh-CN"/>
              </w:rPr>
              <w:t>29</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65"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58" w:type="pct"/>
            <w:vAlign w:val="center"/>
          </w:tcPr>
          <w:p w14:paraId="6D33CB9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w:t>
            </w:r>
            <w:r>
              <w:rPr>
                <w:rFonts w:hint="eastAsia" w:ascii="宋体" w:hAnsi="宋体"/>
                <w:b w:val="0"/>
                <w:color w:val="auto"/>
                <w:sz w:val="24"/>
                <w:highlight w:val="none"/>
                <w:lang w:val="en-US" w:eastAsia="zh-CN"/>
              </w:rPr>
              <w:t xml:space="preserve">      </w:t>
            </w:r>
            <w:r>
              <w:rPr>
                <w:rFonts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p w14:paraId="0E03C3B1">
            <w:pPr>
              <w:pStyle w:val="46"/>
              <w:pageBreakBefore w:val="0"/>
              <w:widowControl w:val="0"/>
              <w:kinsoku/>
              <w:wordWrap w:val="0"/>
              <w:topLinePunct w:val="0"/>
              <w:bidi w:val="0"/>
              <w:spacing w:before="0" w:beforeAutospacing="0" w:after="0" w:afterAutospacing="0"/>
              <w:jc w:val="both"/>
              <w:rPr>
                <w:rFonts w:hint="eastAsia" w:ascii="宋体" w:hAnsi="宋体" w:eastAsia="宋体"/>
                <w:b w:val="0"/>
                <w:color w:val="auto"/>
                <w:sz w:val="24"/>
                <w:highlight w:val="none"/>
                <w:u w:val="single"/>
                <w:lang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lang w:val="en-US" w:eastAsia="zh-CN"/>
              </w:rPr>
              <w:t>/</w:t>
            </w:r>
            <w:r>
              <w:rPr>
                <w:rFonts w:hint="eastAsia" w:ascii="宋体" w:hAnsi="宋体"/>
                <w:b w:val="0"/>
                <w:bCs w:val="0"/>
                <w:color w:val="auto"/>
                <w:sz w:val="24"/>
                <w:szCs w:val="18"/>
                <w:highlight w:val="none"/>
                <w:u w:val="none"/>
                <w:lang w:val="en-US" w:eastAsia="zh-CN"/>
              </w:rPr>
              <w:t>；</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76"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65"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58"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65"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58"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65"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58"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65"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58"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65"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58"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65" w:type="pct"/>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258" w:type="pct"/>
            <w:vAlign w:val="center"/>
          </w:tcPr>
          <w:p w14:paraId="5392FBB2">
            <w:pPr>
              <w:pStyle w:val="46"/>
              <w:keepNext w:val="0"/>
              <w:keepLines w:val="0"/>
              <w:widowControl w:val="0"/>
              <w:suppressLineNumbers w:val="0"/>
              <w:spacing w:before="0" w:beforeAutospacing="0" w:after="0" w:afterAutospacing="0" w:line="500" w:lineRule="exact"/>
              <w:ind w:left="0" w:right="0"/>
              <w:jc w:val="both"/>
              <w:rPr>
                <w:rFonts w:hint="default" w:ascii="宋体" w:hAnsi="宋体" w:eastAsia="宋体"/>
                <w:b w:val="0"/>
                <w:color w:val="auto"/>
                <w:sz w:val="24"/>
                <w:highlight w:val="none"/>
              </w:rPr>
            </w:pPr>
            <w:r>
              <w:rPr>
                <w:rFonts w:hint="eastAsia" w:ascii="宋体" w:hAnsi="宋体" w:eastAsia="宋体"/>
                <w:b w:val="0"/>
                <w:color w:val="auto"/>
                <w:sz w:val="24"/>
                <w:highlight w:val="none"/>
              </w:rPr>
              <w:t>（1）</w:t>
            </w:r>
            <w:r>
              <w:rPr>
                <w:rFonts w:hint="default"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rPr>
              <w:t>对小型和微型企业的价格给予10%的扣除后参与评审；</w:t>
            </w:r>
          </w:p>
          <w:p w14:paraId="13D3E01D">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103676F">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342446D9">
            <w:pPr>
              <w:pStyle w:val="46"/>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Cs/>
                <w:color w:val="auto"/>
                <w:sz w:val="24"/>
                <w:highlight w:val="none"/>
                <w:u w:val="single"/>
                <w:lang w:val="en-US" w:eastAsia="zh-CN"/>
              </w:rPr>
              <w:t>4%</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5B2B0792">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rPr>
              <w:t>。</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1165" w:type="pct"/>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3258" w:type="pct"/>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65"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58"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65"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58"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65"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58"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65"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58"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b w:val="0"/>
                <w:bCs w:val="0"/>
                <w:color w:val="auto"/>
                <w:sz w:val="24"/>
                <w:szCs w:val="24"/>
                <w:highlight w:val="none"/>
                <w:lang w:val="en-US" w:eastAsia="zh-CN"/>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65"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58"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76"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65"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58"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76"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65"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58"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65"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58" w:type="pct"/>
            <w:vAlign w:val="center"/>
          </w:tcPr>
          <w:p w14:paraId="50DF78D5">
            <w:pPr>
              <w:spacing w:before="39" w:line="360" w:lineRule="auto"/>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FE"/>
            </w:r>
            <w:r>
              <w:rPr>
                <w:rFonts w:hint="eastAsia" w:ascii="宋体" w:hAnsi="宋体" w:cs="宋体"/>
                <w:color w:val="auto"/>
                <w:spacing w:val="14"/>
                <w:sz w:val="24"/>
                <w:szCs w:val="24"/>
                <w:highlight w:val="none"/>
                <w:lang w:val="en-US" w:eastAsia="zh-CN"/>
              </w:rPr>
              <w:t>中标</w:t>
            </w:r>
            <w:r>
              <w:rPr>
                <w:rFonts w:hint="eastAsia" w:ascii="宋体" w:hAnsi="宋体" w:eastAsia="宋体" w:cs="宋体"/>
                <w:color w:val="auto"/>
                <w:spacing w:val="14"/>
                <w:sz w:val="24"/>
                <w:szCs w:val="24"/>
                <w:highlight w:val="none"/>
              </w:rPr>
              <w:t>供应商</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eastAsia="zh-CN"/>
              </w:rPr>
              <w:t>银行转账</w:t>
            </w:r>
            <w:r>
              <w:rPr>
                <w:rFonts w:hint="eastAsia" w:ascii="宋体" w:hAnsi="宋体" w:eastAsia="宋体" w:cs="宋体"/>
                <w:color w:val="auto"/>
                <w:sz w:val="24"/>
                <w:szCs w:val="24"/>
                <w:highlight w:val="none"/>
                <w:u w:val="single"/>
              </w:rPr>
              <w:t>。</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cs="宋体"/>
                <w:b w:val="0"/>
                <w:bCs w:val="0"/>
                <w:color w:val="auto"/>
                <w:kern w:val="2"/>
                <w:sz w:val="24"/>
                <w:szCs w:val="24"/>
                <w:highlight w:val="none"/>
                <w:u w:val="single"/>
                <w:lang w:val="en-US" w:eastAsia="zh-CN"/>
              </w:rPr>
              <w:t>10860</w:t>
            </w:r>
            <w:r>
              <w:rPr>
                <w:rFonts w:hint="eastAsia" w:ascii="宋体" w:hAnsi="宋体" w:eastAsia="宋体" w:cs="宋体"/>
                <w:b w:val="0"/>
                <w:bCs w:val="0"/>
                <w:color w:val="auto"/>
                <w:kern w:val="2"/>
                <w:sz w:val="24"/>
                <w:szCs w:val="24"/>
                <w:highlight w:val="none"/>
                <w:u w:val="single"/>
              </w:rPr>
              <w:t>元。</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65"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58"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cs="宋体"/>
                <w:color w:val="auto"/>
                <w:sz w:val="24"/>
                <w:highlight w:val="none"/>
                <w:u w:val="single"/>
                <w:lang w:eastAsia="zh-CN"/>
              </w:rPr>
              <w:t>；</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cs="宋体"/>
                <w:color w:val="auto"/>
                <w:sz w:val="24"/>
                <w:highlight w:val="none"/>
                <w:u w:val="single"/>
                <w:lang w:val="en-US" w:eastAsia="zh-CN"/>
              </w:rPr>
              <w:t>安徽滁州南谯经济开发区管理委员会</w:t>
            </w:r>
            <w:r>
              <w:rPr>
                <w:rFonts w:hint="eastAsia" w:ascii="宋体" w:hAnsi="宋体" w:eastAsia="宋体" w:cs="宋体"/>
                <w:color w:val="auto"/>
                <w:sz w:val="24"/>
                <w:highlight w:val="none"/>
                <w:u w:val="single"/>
                <w:lang w:eastAsia="zh-CN"/>
              </w:rPr>
              <w:t>、</w:t>
            </w:r>
            <w:r>
              <w:rPr>
                <w:rFonts w:hint="eastAsia" w:ascii="宋体" w:hAnsi="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0550-3910039</w:t>
            </w:r>
            <w:r>
              <w:rPr>
                <w:rFonts w:hint="eastAsia" w:ascii="宋体" w:hAnsi="宋体" w:eastAsia="宋体" w:cs="宋体"/>
                <w:color w:val="auto"/>
                <w:sz w:val="24"/>
                <w:highlight w:val="none"/>
                <w:u w:val="single"/>
                <w:lang w:eastAsia="zh-CN"/>
              </w:rPr>
              <w:t>、0550-351959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lang w:eastAsia="zh-CN"/>
              </w:rPr>
              <w:t>滁州高教科创城B座110信访接待室、滁州市龙蟠</w:t>
            </w:r>
            <w:r>
              <w:rPr>
                <w:rFonts w:hint="eastAsia" w:ascii="宋体" w:hAnsi="宋体" w:eastAsia="宋体" w:cs="宋体"/>
                <w:b/>
                <w:bCs w:val="0"/>
                <w:color w:val="auto"/>
                <w:sz w:val="24"/>
                <w:highlight w:val="none"/>
                <w:u w:val="single"/>
              </w:rPr>
              <w:t>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6"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65"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58" w:type="pct"/>
            <w:vAlign w:val="center"/>
          </w:tcPr>
          <w:p w14:paraId="399DCF97">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pageBreakBefore w:val="0"/>
              <w:widowControl w:val="0"/>
              <w:numPr>
                <w:ilvl w:val="0"/>
                <w:numId w:val="0"/>
              </w:numPr>
              <w:kinsoku/>
              <w:wordWrap w:val="0"/>
              <w:topLinePunct w:val="0"/>
              <w:bidi w:val="0"/>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cs="宋体"/>
                <w:b w:val="0"/>
                <w:color w:val="auto"/>
                <w:kern w:val="2"/>
                <w:sz w:val="24"/>
                <w:szCs w:val="24"/>
                <w:highlight w:val="none"/>
                <w:lang w:val="en-US" w:eastAsia="zh-CN"/>
              </w:rPr>
              <w:t>南谯区</w:t>
            </w:r>
          </w:p>
          <w:p w14:paraId="7D1447EF">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金融机构名称：滁州皖东农村商业银行城中支行</w:t>
            </w:r>
          </w:p>
          <w:p w14:paraId="61A6F97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地址：滁州经济技术开发区清流西路248 号</w:t>
            </w:r>
          </w:p>
          <w:p w14:paraId="4AD980B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联系人及电话：杨行长13855011150 刘经理18019805345</w:t>
            </w:r>
          </w:p>
          <w:p w14:paraId="6FBD9112">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3E49DE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468553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招标文件第六章投标文件格式、附件1“关于联合惩戒失信行为加强信用查询管理的通知”等章节中“招标人”、“供应商”，等同于“采购人”、“投标人”。</w:t>
            </w:r>
          </w:p>
          <w:p w14:paraId="2C1A88D1">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2A2F2642">
            <w:pPr>
              <w:pStyle w:val="46"/>
              <w:pageBreakBefore w:val="0"/>
              <w:widowControl w:val="0"/>
              <w:kinsoku/>
              <w:wordWrap w:val="0"/>
              <w:topLinePunct w:val="0"/>
              <w:bidi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40" w:name="_Toc21798"/>
      <w:bookmarkStart w:id="41" w:name="_Toc4148"/>
      <w:bookmarkStart w:id="42" w:name="_Hlk23621890"/>
      <w:r>
        <w:rPr>
          <w:rFonts w:hint="eastAsia" w:ascii="宋体" w:hAnsi="宋体" w:eastAsia="宋体" w:cs="宋体"/>
          <w:b/>
          <w:color w:val="auto"/>
          <w:sz w:val="28"/>
          <w:szCs w:val="28"/>
          <w:highlight w:val="none"/>
          <w:lang w:val="en-US" w:eastAsia="zh-CN"/>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2D710DC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bCs w:val="0"/>
                <w:color w:val="auto"/>
                <w:sz w:val="24"/>
                <w:highlight w:val="none"/>
                <w:lang w:val="en-US" w:eastAsia="zh-CN"/>
              </w:rPr>
            </w:pPr>
            <w:r>
              <w:rPr>
                <w:rFonts w:hint="eastAsia"/>
                <w:bCs/>
                <w:color w:val="auto"/>
                <w:sz w:val="24"/>
                <w:szCs w:val="24"/>
                <w:highlight w:val="none"/>
                <w:lang w:val="en-US" w:eastAsia="zh-CN" w:bidi="ar"/>
              </w:rPr>
              <w:t>自合同签订生效之日起，相应区域管理主体按季度考核，按季度付款，每季度结束后支付该区域内上季度已养护面积养</w:t>
            </w:r>
            <w:r>
              <w:rPr>
                <w:rFonts w:hint="eastAsia" w:eastAsia="宋体" w:cs="宋体"/>
                <w:bCs/>
                <w:color w:val="auto"/>
                <w:sz w:val="24"/>
                <w:szCs w:val="24"/>
                <w:highlight w:val="none"/>
                <w:lang w:val="en-US" w:eastAsia="zh-CN" w:bidi="ar"/>
              </w:rPr>
              <w:t>护经费的90%，合同养护期满一年后对第一年的养护情况进行验收，验收合格后，支付第一年度剩余养护费用。第二、第三年同第一年。考核标准按相应管理主体要求执行</w:t>
            </w:r>
            <w:r>
              <w:rPr>
                <w:rFonts w:hint="eastAsia" w:cs="宋体"/>
                <w:bCs/>
                <w:color w:val="auto"/>
                <w:sz w:val="24"/>
                <w:szCs w:val="24"/>
                <w:highlight w:val="none"/>
                <w:lang w:val="en-US" w:eastAsia="zh-CN" w:bidi="ar"/>
              </w:rPr>
              <w:t>。</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b w:val="0"/>
                <w:color w:val="auto"/>
                <w:sz w:val="24"/>
                <w:szCs w:val="24"/>
                <w:highlight w:val="none"/>
                <w:lang w:val="en-US" w:eastAsia="zh-CN"/>
              </w:rPr>
            </w:pPr>
            <w:r>
              <w:rPr>
                <w:rFonts w:hint="eastAsia" w:ascii="宋体" w:hAnsi="宋体" w:cs="宋体"/>
                <w:b/>
                <w:bCs w:val="0"/>
                <w:color w:val="auto"/>
                <w:kern w:val="0"/>
                <w:sz w:val="24"/>
                <w:szCs w:val="28"/>
                <w:highlight w:val="none"/>
                <w:lang w:val="en-US" w:eastAsia="zh-CN" w:bidi="ar-SA"/>
              </w:rPr>
              <w:t>服务期三年，合同一年一签。</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标的名称：</w:t>
            </w:r>
            <w:r>
              <w:rPr>
                <w:rFonts w:hint="eastAsia" w:ascii="宋体" w:hAnsi="宋体" w:cs="宋体"/>
                <w:b w:val="0"/>
                <w:bCs/>
                <w:color w:val="auto"/>
                <w:kern w:val="0"/>
                <w:sz w:val="24"/>
                <w:szCs w:val="28"/>
                <w:highlight w:val="none"/>
                <w:lang w:val="en-US" w:eastAsia="zh-CN" w:bidi="ar-SA"/>
              </w:rPr>
              <w:t>南谯经开区2026-2029年度绿化管养项目</w:t>
            </w:r>
            <w:r>
              <w:rPr>
                <w:rFonts w:hint="eastAsia" w:ascii="宋体" w:hAnsi="宋体" w:cs="宋体"/>
                <w:b w:val="0"/>
                <w:bCs/>
                <w:color w:val="auto"/>
                <w:kern w:val="0"/>
                <w:sz w:val="24"/>
                <w:szCs w:val="28"/>
                <w:highlight w:val="none"/>
                <w:lang w:val="en-US" w:eastAsia="zh-CN" w:bidi="ar-SA"/>
              </w:rPr>
              <w:t>（二次）</w:t>
            </w:r>
          </w:p>
          <w:p w14:paraId="6888C786">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asciiTheme="minorEastAsia" w:hAnsiTheme="minorEastAsia" w:eastAsiaTheme="minorEastAsia"/>
                <w:color w:val="auto"/>
                <w:sz w:val="24"/>
                <w:highlight w:val="none"/>
              </w:rPr>
            </w:pPr>
            <w:r>
              <w:rPr>
                <w:rFonts w:hint="eastAsia" w:ascii="宋体" w:hAnsi="宋体" w:eastAsia="宋体" w:cs="宋体"/>
                <w:b w:val="0"/>
                <w:bCs/>
                <w:color w:val="auto"/>
                <w:kern w:val="0"/>
                <w:sz w:val="24"/>
                <w:szCs w:val="28"/>
                <w:highlight w:val="none"/>
                <w:lang w:val="en-US" w:eastAsia="zh-CN" w:bidi="ar-SA"/>
              </w:rPr>
              <w:t>所属行业：其他未列明行业</w:t>
            </w:r>
          </w:p>
        </w:tc>
      </w:tr>
      <w:bookmarkEnd w:id="42"/>
    </w:tbl>
    <w:p w14:paraId="11FE9349">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bookmarkStart w:id="43" w:name="_Toc8753"/>
      <w:r>
        <w:rPr>
          <w:rFonts w:hint="eastAsia" w:ascii="宋体" w:hAnsi="宋体" w:eastAsia="宋体" w:cs="宋体"/>
          <w:b/>
          <w:color w:val="auto"/>
          <w:sz w:val="28"/>
          <w:szCs w:val="28"/>
          <w:highlight w:val="none"/>
          <w:lang w:val="en-US" w:eastAsia="zh-CN"/>
        </w:rPr>
        <w:t>二、</w:t>
      </w:r>
      <w:bookmarkEnd w:id="43"/>
      <w:r>
        <w:rPr>
          <w:rFonts w:hint="eastAsia" w:ascii="宋体" w:hAnsi="宋体" w:eastAsia="宋体" w:cs="宋体"/>
          <w:b/>
          <w:color w:val="auto"/>
          <w:sz w:val="28"/>
          <w:szCs w:val="28"/>
          <w:highlight w:val="none"/>
          <w:lang w:val="en-US" w:eastAsia="zh-CN"/>
        </w:rPr>
        <w:t>项目概况</w:t>
      </w:r>
    </w:p>
    <w:p w14:paraId="18BBCB50">
      <w:pPr>
        <w:autoSpaceDE w:val="0"/>
        <w:spacing w:line="480" w:lineRule="exact"/>
        <w:ind w:firstLine="480" w:firstLineChars="200"/>
        <w:rPr>
          <w:rFonts w:hint="eastAsia" w:ascii="宋体" w:hAnsi="宋体" w:cs="宋体"/>
          <w:color w:val="auto"/>
          <w:sz w:val="24"/>
          <w:highlight w:val="none"/>
          <w:lang w:bidi="ar"/>
        </w:rPr>
      </w:pPr>
      <w:r>
        <w:rPr>
          <w:rFonts w:hint="eastAsia" w:ascii="宋体" w:hAnsi="宋体" w:cs="宋体"/>
          <w:b w:val="0"/>
          <w:bCs w:val="0"/>
          <w:color w:val="auto"/>
          <w:kern w:val="0"/>
          <w:sz w:val="24"/>
          <w:szCs w:val="24"/>
          <w:highlight w:val="none"/>
          <w:lang w:val="en-US" w:eastAsia="zh-CN" w:bidi="ar"/>
        </w:rPr>
        <w:t>本项目属服务保障重点区域，中标人</w:t>
      </w:r>
      <w:r>
        <w:rPr>
          <w:rFonts w:hint="default" w:ascii="宋体" w:hAnsi="宋体" w:cs="宋体"/>
          <w:b w:val="0"/>
          <w:bCs w:val="0"/>
          <w:color w:val="auto"/>
          <w:kern w:val="0"/>
          <w:sz w:val="24"/>
          <w:szCs w:val="24"/>
          <w:highlight w:val="none"/>
          <w:lang w:val="en-US" w:eastAsia="zh-CN" w:bidi="ar"/>
        </w:rPr>
        <w:t>须</w:t>
      </w:r>
      <w:r>
        <w:rPr>
          <w:rFonts w:hint="eastAsia" w:ascii="宋体" w:hAnsi="宋体" w:cs="宋体"/>
          <w:b w:val="0"/>
          <w:bCs w:val="0"/>
          <w:color w:val="auto"/>
          <w:kern w:val="0"/>
          <w:sz w:val="24"/>
          <w:szCs w:val="24"/>
          <w:highlight w:val="none"/>
          <w:lang w:val="en-US" w:eastAsia="zh-CN" w:bidi="ar"/>
        </w:rPr>
        <w:t>配备专业的管理团队</w:t>
      </w:r>
      <w:r>
        <w:rPr>
          <w:rFonts w:hint="default" w:ascii="宋体" w:hAnsi="宋体" w:cs="宋体"/>
          <w:b w:val="0"/>
          <w:bCs w:val="0"/>
          <w:color w:val="auto"/>
          <w:kern w:val="0"/>
          <w:sz w:val="24"/>
          <w:szCs w:val="24"/>
          <w:highlight w:val="none"/>
          <w:lang w:val="en-US" w:eastAsia="zh-CN" w:bidi="ar"/>
        </w:rPr>
        <w:t>投入本项目，满足本项目高强度、高标准的绿化管养</w:t>
      </w:r>
      <w:r>
        <w:rPr>
          <w:rFonts w:hint="eastAsia" w:ascii="宋体" w:hAnsi="宋体" w:cs="宋体"/>
          <w:b w:val="0"/>
          <w:bCs w:val="0"/>
          <w:color w:val="auto"/>
          <w:kern w:val="0"/>
          <w:sz w:val="24"/>
          <w:szCs w:val="24"/>
          <w:highlight w:val="none"/>
          <w:lang w:val="en-US" w:eastAsia="zh-CN" w:bidi="ar"/>
        </w:rPr>
        <w:t>、公园</w:t>
      </w:r>
      <w:r>
        <w:rPr>
          <w:rFonts w:hint="default" w:ascii="宋体" w:hAnsi="宋体" w:cs="宋体"/>
          <w:b w:val="0"/>
          <w:bCs w:val="0"/>
          <w:color w:val="auto"/>
          <w:kern w:val="0"/>
          <w:sz w:val="24"/>
          <w:szCs w:val="24"/>
          <w:highlight w:val="none"/>
          <w:lang w:val="en-US" w:eastAsia="zh-CN" w:bidi="ar"/>
        </w:rPr>
        <w:t>管理需要。管理人员具备</w:t>
      </w:r>
      <w:r>
        <w:rPr>
          <w:rFonts w:hint="eastAsia" w:ascii="宋体" w:hAnsi="宋体" w:cs="宋体"/>
          <w:b w:val="0"/>
          <w:bCs w:val="0"/>
          <w:color w:val="auto"/>
          <w:kern w:val="0"/>
          <w:sz w:val="24"/>
          <w:szCs w:val="24"/>
          <w:highlight w:val="none"/>
          <w:lang w:val="en-US" w:eastAsia="zh-CN" w:bidi="ar"/>
        </w:rPr>
        <w:t>相关专业资格和管理经验</w:t>
      </w:r>
      <w:r>
        <w:rPr>
          <w:rFonts w:hint="default" w:ascii="宋体" w:hAnsi="宋体" w:cs="宋体"/>
          <w:b w:val="0"/>
          <w:bCs w:val="0"/>
          <w:color w:val="auto"/>
          <w:kern w:val="0"/>
          <w:sz w:val="24"/>
          <w:szCs w:val="24"/>
          <w:highlight w:val="none"/>
          <w:lang w:val="en-US" w:eastAsia="zh-CN" w:bidi="ar"/>
        </w:rPr>
        <w:t>，</w:t>
      </w:r>
      <w:r>
        <w:rPr>
          <w:rFonts w:hint="eastAsia" w:ascii="宋体" w:hAnsi="宋体" w:cs="宋体"/>
          <w:b w:val="0"/>
          <w:bCs w:val="0"/>
          <w:color w:val="auto"/>
          <w:kern w:val="0"/>
          <w:sz w:val="24"/>
          <w:szCs w:val="24"/>
          <w:highlight w:val="none"/>
          <w:lang w:val="en-US" w:eastAsia="zh-CN" w:bidi="ar"/>
        </w:rPr>
        <w:t>能够</w:t>
      </w:r>
      <w:r>
        <w:rPr>
          <w:rFonts w:hint="default" w:ascii="宋体" w:hAnsi="宋体" w:cs="宋体"/>
          <w:b w:val="0"/>
          <w:bCs w:val="0"/>
          <w:color w:val="auto"/>
          <w:kern w:val="0"/>
          <w:sz w:val="24"/>
          <w:szCs w:val="24"/>
          <w:highlight w:val="none"/>
          <w:lang w:val="en-US" w:eastAsia="zh-CN" w:bidi="ar"/>
        </w:rPr>
        <w:t>把控管护、修剪、病虫害防治等各项养护技术要点，及时解决现场各类绿化技术问题，常态化开展养护质量核查，建立现场安全管控机制，常态化开展安全巡查、隐患排查、作业安全教育，落实各类突发事件应急处置工作，防范作业安全风险，保障项目全过程安全生产</w:t>
      </w:r>
      <w:r>
        <w:rPr>
          <w:rFonts w:hint="eastAsia" w:ascii="宋体" w:hAnsi="宋体" w:cs="宋体"/>
          <w:b w:val="0"/>
          <w:bCs w:val="0"/>
          <w:color w:val="auto"/>
          <w:kern w:val="0"/>
          <w:sz w:val="24"/>
          <w:szCs w:val="24"/>
          <w:highlight w:val="none"/>
          <w:lang w:val="en-US" w:eastAsia="zh-CN" w:bidi="ar"/>
        </w:rPr>
        <w:t>，</w:t>
      </w:r>
      <w:r>
        <w:rPr>
          <w:rFonts w:hint="default" w:ascii="宋体" w:hAnsi="宋体" w:cs="宋体"/>
          <w:b w:val="0"/>
          <w:bCs w:val="0"/>
          <w:color w:val="auto"/>
          <w:kern w:val="0"/>
          <w:sz w:val="24"/>
          <w:szCs w:val="24"/>
          <w:highlight w:val="none"/>
          <w:lang w:val="en-US" w:eastAsia="zh-CN" w:bidi="ar"/>
        </w:rPr>
        <w:t>保障</w:t>
      </w:r>
      <w:r>
        <w:rPr>
          <w:rFonts w:hint="eastAsia" w:ascii="宋体" w:hAnsi="宋体" w:cs="宋体"/>
          <w:b w:val="0"/>
          <w:bCs w:val="0"/>
          <w:color w:val="auto"/>
          <w:kern w:val="0"/>
          <w:sz w:val="24"/>
          <w:szCs w:val="24"/>
          <w:highlight w:val="none"/>
          <w:lang w:val="en-US" w:eastAsia="zh-CN" w:bidi="ar"/>
        </w:rPr>
        <w:t>城市</w:t>
      </w:r>
      <w:r>
        <w:rPr>
          <w:rFonts w:hint="default" w:ascii="宋体" w:hAnsi="宋体" w:cs="宋体"/>
          <w:b w:val="0"/>
          <w:bCs w:val="0"/>
          <w:color w:val="auto"/>
          <w:kern w:val="0"/>
          <w:sz w:val="24"/>
          <w:szCs w:val="24"/>
          <w:highlight w:val="none"/>
          <w:lang w:val="en-US" w:eastAsia="zh-CN" w:bidi="ar"/>
        </w:rPr>
        <w:t>景观效果持续</w:t>
      </w:r>
      <w:r>
        <w:rPr>
          <w:rFonts w:hint="eastAsia" w:ascii="宋体" w:hAnsi="宋体" w:cs="宋体"/>
          <w:b w:val="0"/>
          <w:bCs w:val="0"/>
          <w:color w:val="auto"/>
          <w:kern w:val="0"/>
          <w:sz w:val="24"/>
          <w:szCs w:val="24"/>
          <w:highlight w:val="none"/>
          <w:lang w:val="en-US" w:eastAsia="zh-CN" w:bidi="ar"/>
        </w:rPr>
        <w:t>且服务</w:t>
      </w:r>
      <w:r>
        <w:rPr>
          <w:rFonts w:hint="default" w:ascii="宋体" w:hAnsi="宋体" w:cs="宋体"/>
          <w:b w:val="0"/>
          <w:bCs w:val="0"/>
          <w:color w:val="auto"/>
          <w:kern w:val="0"/>
          <w:sz w:val="24"/>
          <w:szCs w:val="24"/>
          <w:highlight w:val="none"/>
          <w:lang w:val="en-US" w:eastAsia="zh-CN" w:bidi="ar"/>
        </w:rPr>
        <w:t>稳定达标</w:t>
      </w:r>
      <w:r>
        <w:rPr>
          <w:rFonts w:hint="eastAsia" w:ascii="宋体" w:hAnsi="宋体" w:cs="宋体"/>
          <w:b w:val="0"/>
          <w:bCs w:val="0"/>
          <w:color w:val="auto"/>
          <w:kern w:val="0"/>
          <w:sz w:val="24"/>
          <w:szCs w:val="24"/>
          <w:highlight w:val="none"/>
          <w:lang w:val="en-US" w:eastAsia="zh-CN" w:bidi="ar"/>
        </w:rPr>
        <w:t>。</w:t>
      </w:r>
    </w:p>
    <w:p w14:paraId="4A94DB06">
      <w:pPr>
        <w:autoSpaceDE w:val="0"/>
        <w:spacing w:line="480" w:lineRule="exact"/>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养护范围涵盖</w:t>
      </w:r>
      <w:r>
        <w:rPr>
          <w:rFonts w:hint="eastAsia" w:ascii="宋体" w:hAnsi="宋体" w:cs="宋体"/>
          <w:color w:val="auto"/>
          <w:sz w:val="24"/>
          <w:highlight w:val="none"/>
          <w:lang w:val="en-US" w:eastAsia="zh-CN" w:bidi="ar"/>
        </w:rPr>
        <w:t>两部分：</w:t>
      </w:r>
      <w:r>
        <w:rPr>
          <w:rFonts w:hint="eastAsia" w:ascii="宋体" w:hAnsi="宋体" w:cs="宋体"/>
          <w:color w:val="auto"/>
          <w:sz w:val="24"/>
          <w:highlight w:val="none"/>
          <w:lang w:val="en-US" w:eastAsia="zh-CN" w:bidi="ar"/>
        </w:rPr>
        <w:t>一是</w:t>
      </w:r>
      <w:r>
        <w:rPr>
          <w:rFonts w:hint="eastAsia" w:ascii="宋体" w:hAnsi="宋体" w:cs="宋体"/>
          <w:color w:val="auto"/>
          <w:sz w:val="24"/>
          <w:highlight w:val="none"/>
          <w:lang w:bidi="ar"/>
        </w:rPr>
        <w:t>南谯经开区</w:t>
      </w:r>
      <w:r>
        <w:rPr>
          <w:rFonts w:hint="eastAsia" w:ascii="宋体" w:hAnsi="宋体" w:cs="宋体"/>
          <w:color w:val="auto"/>
          <w:sz w:val="24"/>
          <w:highlight w:val="none"/>
          <w:lang w:eastAsia="zh-CN" w:bidi="ar"/>
        </w:rPr>
        <w:t>乌衣园区、</w:t>
      </w:r>
      <w:r>
        <w:rPr>
          <w:rFonts w:hint="eastAsia" w:ascii="宋体" w:hAnsi="宋体" w:cs="宋体"/>
          <w:color w:val="auto"/>
          <w:sz w:val="24"/>
          <w:highlight w:val="none"/>
          <w:lang w:bidi="ar"/>
        </w:rPr>
        <w:t>拓展区及</w:t>
      </w:r>
      <w:r>
        <w:rPr>
          <w:rFonts w:hint="eastAsia" w:ascii="宋体" w:hAnsi="宋体" w:cs="宋体"/>
          <w:color w:val="auto"/>
          <w:sz w:val="24"/>
          <w:highlight w:val="none"/>
          <w:lang w:eastAsia="zh-CN" w:bidi="ar"/>
        </w:rPr>
        <w:t>洪武路以南、文华路以北、黄圩路以西、红花湖路以东</w:t>
      </w:r>
      <w:r>
        <w:rPr>
          <w:rFonts w:hint="eastAsia" w:ascii="宋体" w:hAnsi="宋体" w:cs="宋体"/>
          <w:color w:val="auto"/>
          <w:sz w:val="24"/>
          <w:highlight w:val="none"/>
          <w:lang w:bidi="ar"/>
        </w:rPr>
        <w:t>区域</w:t>
      </w:r>
      <w:r>
        <w:rPr>
          <w:rFonts w:hint="eastAsia" w:ascii="宋体" w:hAnsi="宋体" w:cs="宋体"/>
          <w:color w:val="auto"/>
          <w:sz w:val="24"/>
          <w:highlight w:val="none"/>
          <w:lang w:eastAsia="zh-CN" w:bidi="ar"/>
        </w:rPr>
        <w:t>，汇智湾公园、洪武路与皇庆湖东南侧泄洪渠坡；</w:t>
      </w:r>
      <w:r>
        <w:rPr>
          <w:rFonts w:hint="eastAsia" w:ascii="宋体" w:hAnsi="宋体" w:cs="宋体"/>
          <w:color w:val="auto"/>
          <w:sz w:val="24"/>
          <w:highlight w:val="none"/>
          <w:lang w:val="en-US" w:eastAsia="zh-CN" w:bidi="ar"/>
        </w:rPr>
        <w:t>二是</w:t>
      </w:r>
      <w:r>
        <w:rPr>
          <w:rFonts w:hint="eastAsia" w:ascii="宋体" w:hAnsi="宋体" w:eastAsia="宋体" w:cs="宋体"/>
          <w:b/>
          <w:bCs/>
          <w:color w:val="auto"/>
          <w:sz w:val="24"/>
          <w:highlight w:val="none"/>
          <w:lang w:val="en-US" w:eastAsia="zh-CN" w:bidi="ar"/>
        </w:rPr>
        <w:t>汪郢支河（汇智湾）水域面积约17万平方米；洪武路与黄庆湖路东南侧泄洪渠水域面积约5万平方米，共计约</w:t>
      </w:r>
      <w:r>
        <w:rPr>
          <w:rFonts w:hint="eastAsia" w:ascii="宋体" w:hAnsi="宋体" w:cs="宋体"/>
          <w:b/>
          <w:bCs/>
          <w:color w:val="auto"/>
          <w:sz w:val="24"/>
          <w:highlight w:val="none"/>
          <w:lang w:val="en-US" w:eastAsia="zh-CN" w:bidi="ar"/>
        </w:rPr>
        <w:t>22</w:t>
      </w:r>
      <w:r>
        <w:rPr>
          <w:rFonts w:hint="eastAsia" w:ascii="宋体" w:hAnsi="宋体" w:eastAsia="宋体" w:cs="宋体"/>
          <w:b/>
          <w:bCs/>
          <w:color w:val="auto"/>
          <w:sz w:val="24"/>
          <w:highlight w:val="none"/>
          <w:lang w:val="en-US" w:eastAsia="zh-CN" w:bidi="ar"/>
        </w:rPr>
        <w:t>万平方米</w:t>
      </w:r>
      <w:r>
        <w:rPr>
          <w:rFonts w:hint="eastAsia" w:ascii="宋体" w:hAnsi="宋体" w:cs="宋体"/>
          <w:b/>
          <w:bCs/>
          <w:color w:val="auto"/>
          <w:sz w:val="24"/>
          <w:highlight w:val="none"/>
          <w:lang w:val="en-US" w:eastAsia="zh-CN" w:bidi="ar"/>
        </w:rPr>
        <w:t>（水域部分的服务费已经纳入绿地养护中综合考虑，采购人不再单独计算费用）</w:t>
      </w:r>
      <w:r>
        <w:rPr>
          <w:rFonts w:hint="eastAsia" w:ascii="宋体" w:hAnsi="宋体" w:cs="宋体"/>
          <w:color w:val="auto"/>
          <w:sz w:val="24"/>
          <w:highlight w:val="none"/>
          <w:lang w:eastAsia="zh-CN" w:bidi="ar"/>
        </w:rPr>
        <w:t>。</w:t>
      </w:r>
    </w:p>
    <w:p w14:paraId="7F2AA7A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总</w:t>
      </w:r>
      <w:r>
        <w:rPr>
          <w:rFonts w:hint="eastAsia" w:ascii="宋体" w:hAnsi="宋体" w:cs="宋体"/>
          <w:color w:val="auto"/>
          <w:sz w:val="24"/>
          <w:highlight w:val="none"/>
          <w:lang w:bidi="ar"/>
        </w:rPr>
        <w:t>绿化养护总面积：</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1182631</w:t>
      </w:r>
      <w:r>
        <w:rPr>
          <w:rFonts w:hint="eastAsia" w:ascii="宋体" w:hAnsi="宋体" w:cs="宋体"/>
          <w:color w:val="auto"/>
          <w:sz w:val="24"/>
          <w:highlight w:val="none"/>
          <w:lang w:bidi="ar"/>
        </w:rPr>
        <w:t>平方米</w:t>
      </w:r>
      <w:r>
        <w:rPr>
          <w:rFonts w:hint="eastAsia" w:ascii="宋体" w:hAnsi="宋体" w:cs="宋体"/>
          <w:color w:val="auto"/>
          <w:sz w:val="24"/>
          <w:highlight w:val="none"/>
          <w:lang w:eastAsia="zh-CN" w:bidi="ar"/>
        </w:rPr>
        <w:t>（</w:t>
      </w:r>
      <w:r>
        <w:rPr>
          <w:rFonts w:hint="eastAsia" w:ascii="宋体" w:hAnsi="宋体" w:cs="宋体"/>
          <w:color w:val="auto"/>
          <w:sz w:val="24"/>
          <w:highlight w:val="none"/>
          <w:lang w:bidi="ar"/>
        </w:rPr>
        <w:t>南谯经开区</w:t>
      </w:r>
      <w:r>
        <w:rPr>
          <w:rFonts w:hint="eastAsia" w:ascii="宋体" w:hAnsi="宋体" w:cs="宋体"/>
          <w:color w:val="auto"/>
          <w:sz w:val="24"/>
          <w:highlight w:val="none"/>
          <w:lang w:eastAsia="zh-CN" w:bidi="ar"/>
        </w:rPr>
        <w:t>乌衣园区、</w:t>
      </w:r>
      <w:r>
        <w:rPr>
          <w:rFonts w:hint="eastAsia" w:ascii="宋体" w:hAnsi="宋体" w:cs="宋体"/>
          <w:color w:val="auto"/>
          <w:sz w:val="24"/>
          <w:highlight w:val="none"/>
          <w:lang w:bidi="ar"/>
        </w:rPr>
        <w:t>拓展区</w:t>
      </w:r>
      <w:r>
        <w:rPr>
          <w:rFonts w:hint="eastAsia" w:ascii="宋体" w:hAnsi="宋体" w:cs="宋体"/>
          <w:color w:val="auto"/>
          <w:sz w:val="24"/>
          <w:highlight w:val="none"/>
          <w:lang w:eastAsia="zh-CN" w:bidi="ar"/>
        </w:rPr>
        <w:t>、文华路等区域约</w:t>
      </w:r>
      <w:r>
        <w:rPr>
          <w:rFonts w:hint="eastAsia" w:ascii="宋体" w:hAnsi="宋体" w:cs="宋体"/>
          <w:color w:val="auto"/>
          <w:sz w:val="24"/>
          <w:highlight w:val="none"/>
          <w:lang w:val="en-US" w:eastAsia="zh-CN" w:bidi="ar"/>
        </w:rPr>
        <w:t>521858平方米，高教城区域</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200773平方米，</w:t>
      </w:r>
      <w:r>
        <w:rPr>
          <w:rFonts w:hint="eastAsia" w:ascii="宋体" w:hAnsi="宋体" w:cs="宋体"/>
          <w:color w:val="auto"/>
          <w:sz w:val="24"/>
          <w:highlight w:val="none"/>
          <w:lang w:eastAsia="zh-CN" w:bidi="ar"/>
        </w:rPr>
        <w:t>汇智湾公园</w:t>
      </w:r>
      <w:r>
        <w:rPr>
          <w:rFonts w:hint="eastAsia" w:ascii="宋体" w:hAnsi="宋体" w:cs="宋体"/>
          <w:color w:val="auto"/>
          <w:sz w:val="24"/>
          <w:highlight w:val="none"/>
          <w:lang w:val="en-US" w:eastAsia="zh-CN" w:bidi="ar"/>
        </w:rPr>
        <w:t>36万平方米</w:t>
      </w:r>
      <w:r>
        <w:rPr>
          <w:rFonts w:hint="eastAsia" w:ascii="宋体" w:hAnsi="宋体" w:cs="宋体"/>
          <w:color w:val="auto"/>
          <w:sz w:val="24"/>
          <w:highlight w:val="none"/>
          <w:lang w:eastAsia="zh-CN" w:bidi="ar"/>
        </w:rPr>
        <w:t>、洪武路与皇庆湖东南侧泄洪渠坡</w:t>
      </w:r>
      <w:r>
        <w:rPr>
          <w:rFonts w:hint="eastAsia" w:ascii="宋体" w:hAnsi="宋体" w:cs="宋体"/>
          <w:color w:val="auto"/>
          <w:sz w:val="24"/>
          <w:highlight w:val="none"/>
          <w:lang w:val="en-US" w:eastAsia="zh-CN" w:bidi="ar"/>
        </w:rPr>
        <w:t>10万平方米</w:t>
      </w:r>
      <w:r>
        <w:rPr>
          <w:rFonts w:hint="eastAsia" w:ascii="宋体" w:hAnsi="宋体" w:cs="宋体"/>
          <w:color w:val="auto"/>
          <w:sz w:val="24"/>
          <w:highlight w:val="none"/>
          <w:lang w:eastAsia="zh-CN" w:bidi="ar"/>
        </w:rPr>
        <w:t>）</w:t>
      </w:r>
    </w:p>
    <w:p w14:paraId="2CC4F914">
      <w:pPr>
        <w:autoSpaceDE w:val="0"/>
        <w:spacing w:line="480" w:lineRule="exact"/>
        <w:ind w:firstLine="480" w:firstLineChars="200"/>
        <w:rPr>
          <w:rFonts w:hint="default" w:ascii="宋体" w:hAnsi="宋体" w:eastAsia="宋体" w:cs="宋体"/>
          <w:color w:val="auto"/>
          <w:sz w:val="24"/>
          <w:highlight w:val="none"/>
          <w:lang w:val="en-US" w:eastAsia="zh-CN" w:bidi="ar"/>
        </w:rPr>
      </w:pPr>
      <w:r>
        <w:rPr>
          <w:rFonts w:hint="eastAsia" w:ascii="宋体" w:hAnsi="宋体" w:cs="宋体"/>
          <w:color w:val="auto"/>
          <w:sz w:val="24"/>
          <w:highlight w:val="none"/>
          <w:lang w:bidi="ar"/>
        </w:rPr>
        <w:t>单独道路行道树总数：</w:t>
      </w:r>
      <w:r>
        <w:rPr>
          <w:rFonts w:hint="eastAsia" w:ascii="宋体" w:hAnsi="宋体" w:cs="宋体"/>
          <w:color w:val="auto"/>
          <w:sz w:val="24"/>
          <w:highlight w:val="none"/>
          <w:lang w:val="en-US" w:eastAsia="zh-CN" w:bidi="ar"/>
        </w:rPr>
        <w:t>10624株（</w:t>
      </w:r>
      <w:r>
        <w:rPr>
          <w:rFonts w:hint="eastAsia" w:ascii="宋体" w:hAnsi="宋体" w:cs="宋体"/>
          <w:color w:val="auto"/>
          <w:sz w:val="24"/>
          <w:highlight w:val="none"/>
          <w:lang w:eastAsia="zh-CN" w:bidi="ar"/>
        </w:rPr>
        <w:t>南谯经开区</w:t>
      </w:r>
      <w:r>
        <w:rPr>
          <w:rFonts w:hint="eastAsia" w:ascii="宋体" w:hAnsi="宋体" w:cs="宋体"/>
          <w:color w:val="auto"/>
          <w:sz w:val="24"/>
          <w:highlight w:val="none"/>
          <w:lang w:bidi="ar"/>
        </w:rPr>
        <w:t>5591株</w:t>
      </w:r>
      <w:r>
        <w:rPr>
          <w:rFonts w:hint="eastAsia" w:ascii="宋体" w:hAnsi="宋体" w:cs="宋体"/>
          <w:color w:val="auto"/>
          <w:sz w:val="24"/>
          <w:highlight w:val="none"/>
          <w:lang w:eastAsia="zh-CN" w:bidi="ar"/>
        </w:rPr>
        <w:t>，高教城</w:t>
      </w:r>
      <w:r>
        <w:rPr>
          <w:rFonts w:hint="eastAsia" w:ascii="宋体" w:hAnsi="宋体" w:cs="宋体"/>
          <w:color w:val="auto"/>
          <w:sz w:val="24"/>
          <w:highlight w:val="none"/>
          <w:lang w:val="en-US" w:eastAsia="zh-CN" w:bidi="ar"/>
        </w:rPr>
        <w:t>5033</w:t>
      </w:r>
      <w:r>
        <w:rPr>
          <w:rFonts w:hint="eastAsia" w:ascii="宋体" w:hAnsi="宋体" w:cs="宋体"/>
          <w:color w:val="auto"/>
          <w:sz w:val="24"/>
          <w:highlight w:val="none"/>
          <w:lang w:bidi="ar"/>
        </w:rPr>
        <w:t>株</w:t>
      </w:r>
      <w:r>
        <w:rPr>
          <w:rFonts w:hint="eastAsia" w:ascii="宋体" w:hAnsi="宋体" w:cs="宋体"/>
          <w:color w:val="auto"/>
          <w:sz w:val="24"/>
          <w:highlight w:val="none"/>
          <w:lang w:val="en-US" w:eastAsia="zh-CN" w:bidi="ar"/>
        </w:rPr>
        <w:t>）</w:t>
      </w:r>
    </w:p>
    <w:p w14:paraId="5E96B88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highlight w:val="none"/>
          <w:lang w:val="en-US" w:eastAsia="zh-CN" w:bidi="ar"/>
        </w:rPr>
      </w:pPr>
      <w:r>
        <w:rPr>
          <w:rFonts w:hint="eastAsia" w:ascii="宋体" w:hAnsi="宋体" w:cs="宋体"/>
          <w:color w:val="auto"/>
          <w:sz w:val="24"/>
          <w:highlight w:val="none"/>
          <w:lang w:bidi="ar"/>
        </w:rPr>
        <w:t>其中，绿化养护总面积</w:t>
      </w:r>
      <w:r>
        <w:rPr>
          <w:rFonts w:hint="eastAsia" w:ascii="宋体" w:hAnsi="宋体" w:cs="宋体"/>
          <w:color w:val="auto"/>
          <w:sz w:val="24"/>
          <w:highlight w:val="none"/>
          <w:lang w:val="en-US" w:eastAsia="zh-CN" w:bidi="ar"/>
        </w:rPr>
        <w:t>722631</w:t>
      </w:r>
      <w:r>
        <w:rPr>
          <w:rFonts w:hint="eastAsia" w:ascii="宋体" w:hAnsi="宋体" w:cs="宋体"/>
          <w:color w:val="auto"/>
          <w:sz w:val="24"/>
          <w:highlight w:val="none"/>
          <w:lang w:bidi="ar"/>
        </w:rPr>
        <w:t>平方米中补种面积</w:t>
      </w:r>
      <w:r>
        <w:rPr>
          <w:rFonts w:hint="eastAsia" w:ascii="宋体" w:hAnsi="宋体" w:cs="宋体"/>
          <w:color w:val="auto"/>
          <w:sz w:val="24"/>
          <w:highlight w:val="none"/>
          <w:lang w:eastAsia="zh-CN" w:bidi="ar"/>
        </w:rPr>
        <w:t>约</w:t>
      </w:r>
      <w:r>
        <w:rPr>
          <w:rFonts w:hint="eastAsia" w:ascii="宋体" w:hAnsi="宋体" w:cs="宋体"/>
          <w:color w:val="auto"/>
          <w:sz w:val="24"/>
          <w:highlight w:val="none"/>
          <w:lang w:val="en-US" w:eastAsia="zh-CN" w:bidi="ar"/>
        </w:rPr>
        <w:t>30000</w:t>
      </w:r>
      <w:r>
        <w:rPr>
          <w:rFonts w:hint="eastAsia" w:ascii="宋体" w:hAnsi="宋体" w:cs="宋体"/>
          <w:color w:val="auto"/>
          <w:sz w:val="24"/>
          <w:highlight w:val="none"/>
          <w:lang w:bidi="ar"/>
        </w:rPr>
        <w:t>平方米。补种面积属于绿化总面积的一部分，非额外增加面积，</w:t>
      </w:r>
      <w:r>
        <w:rPr>
          <w:rFonts w:hint="eastAsia" w:ascii="宋体" w:hAnsi="宋体" w:cs="宋体"/>
          <w:color w:val="auto"/>
          <w:sz w:val="24"/>
          <w:highlight w:val="none"/>
          <w:lang w:eastAsia="zh-CN" w:bidi="ar"/>
        </w:rPr>
        <w:t>补种需参照周边种植物进行补种，</w:t>
      </w:r>
      <w:r>
        <w:rPr>
          <w:rFonts w:hint="eastAsia" w:ascii="宋体" w:hAnsi="宋体" w:cs="宋体"/>
          <w:color w:val="auto"/>
          <w:sz w:val="24"/>
          <w:highlight w:val="none"/>
          <w:lang w:bidi="ar"/>
        </w:rPr>
        <w:t>养护方案中应对该部分苗木的存活率给予重点保障。</w:t>
      </w:r>
      <w:r>
        <w:rPr>
          <w:rFonts w:hint="eastAsia" w:ascii="宋体" w:hAnsi="宋体" w:cs="宋体"/>
          <w:b/>
          <w:bCs/>
          <w:color w:val="auto"/>
          <w:sz w:val="24"/>
          <w:highlight w:val="none"/>
          <w:lang w:val="en-US" w:eastAsia="zh-CN" w:bidi="ar"/>
        </w:rPr>
        <w:t>上述数量均为暂定数量，具体以实际发生为准</w:t>
      </w:r>
      <w:r>
        <w:rPr>
          <w:rFonts w:hint="eastAsia" w:ascii="宋体" w:hAnsi="宋体" w:eastAsia="宋体" w:cs="宋体"/>
          <w:b/>
          <w:bCs/>
          <w:color w:val="auto"/>
          <w:sz w:val="21"/>
          <w:szCs w:val="21"/>
          <w:highlight w:val="none"/>
          <w:lang w:val="en-US" w:eastAsia="zh-CN"/>
        </w:rPr>
        <w:t>。</w:t>
      </w:r>
    </w:p>
    <w:p w14:paraId="62BD520E">
      <w:pPr>
        <w:autoSpaceDE w:val="0"/>
        <w:spacing w:line="480" w:lineRule="exact"/>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 xml:space="preserve">附表1：                    </w:t>
      </w:r>
      <w:r>
        <w:rPr>
          <w:rFonts w:hint="eastAsia" w:ascii="宋体" w:hAnsi="宋体" w:cs="宋体"/>
          <w:color w:val="auto"/>
          <w:sz w:val="24"/>
          <w:highlight w:val="none"/>
          <w:lang w:val="en-US" w:eastAsia="zh-CN" w:bidi="ar"/>
        </w:rPr>
        <w:t>《</w:t>
      </w:r>
      <w:r>
        <w:rPr>
          <w:rFonts w:hint="eastAsia" w:ascii="宋体" w:hAnsi="宋体" w:eastAsia="宋体" w:cs="宋体"/>
          <w:color w:val="auto"/>
          <w:sz w:val="24"/>
          <w:highlight w:val="none"/>
          <w:lang w:val="en-US" w:eastAsia="zh-CN" w:bidi="ar"/>
        </w:rPr>
        <w:t xml:space="preserve"> 明细表</w:t>
      </w:r>
      <w:r>
        <w:rPr>
          <w:rFonts w:hint="eastAsia" w:ascii="宋体" w:hAnsi="宋体" w:cs="宋体"/>
          <w:color w:val="auto"/>
          <w:sz w:val="24"/>
          <w:highlight w:val="none"/>
          <w:lang w:val="en-US" w:eastAsia="zh-CN" w:bidi="ar"/>
        </w:rPr>
        <w:t xml:space="preserve"> 》</w:t>
      </w:r>
    </w:p>
    <w:tbl>
      <w:tblPr>
        <w:tblStyle w:val="28"/>
        <w:tblpPr w:leftFromText="180" w:rightFromText="180" w:vertAnchor="text" w:horzAnchor="page" w:tblpX="1226" w:tblpY="491"/>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3357"/>
        <w:gridCol w:w="2038"/>
        <w:gridCol w:w="1895"/>
        <w:gridCol w:w="1532"/>
      </w:tblGrid>
      <w:tr w14:paraId="775D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4" w:hRule="atLeast"/>
        </w:trPr>
        <w:tc>
          <w:tcPr>
            <w:tcW w:w="534" w:type="dxa"/>
            <w:shd w:val="clear" w:color="auto" w:fill="auto"/>
            <w:vAlign w:val="center"/>
          </w:tcPr>
          <w:p w14:paraId="56D7D29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357" w:type="dxa"/>
            <w:shd w:val="clear" w:color="auto" w:fill="auto"/>
            <w:vAlign w:val="center"/>
          </w:tcPr>
          <w:p w14:paraId="4DB4420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道路名称</w:t>
            </w:r>
          </w:p>
        </w:tc>
        <w:tc>
          <w:tcPr>
            <w:tcW w:w="2038" w:type="dxa"/>
            <w:shd w:val="clear" w:color="auto" w:fill="auto"/>
            <w:vAlign w:val="center"/>
          </w:tcPr>
          <w:p w14:paraId="59CBF184">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cs="宋体"/>
                <w:b/>
                <w:bCs/>
                <w:i w:val="0"/>
                <w:iCs w:val="0"/>
                <w:color w:val="auto"/>
                <w:sz w:val="21"/>
                <w:szCs w:val="21"/>
                <w:highlight w:val="none"/>
                <w:u w:val="none"/>
                <w:lang w:val="en-US" w:eastAsia="zh-CN"/>
              </w:rPr>
              <w:t>机非隔离带绿化面积（㎡）</w:t>
            </w:r>
          </w:p>
        </w:tc>
        <w:tc>
          <w:tcPr>
            <w:tcW w:w="1895" w:type="dxa"/>
            <w:shd w:val="clear" w:color="auto" w:fill="auto"/>
            <w:vAlign w:val="center"/>
          </w:tcPr>
          <w:p w14:paraId="502F7B3F">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cs="宋体"/>
                <w:b/>
                <w:bCs/>
                <w:i w:val="0"/>
                <w:iCs w:val="0"/>
                <w:color w:val="auto"/>
                <w:sz w:val="21"/>
                <w:szCs w:val="21"/>
                <w:highlight w:val="none"/>
                <w:u w:val="none"/>
                <w:lang w:val="en-US" w:eastAsia="zh-CN"/>
              </w:rPr>
              <w:t>人行道路绿化面积（㎡）</w:t>
            </w:r>
          </w:p>
        </w:tc>
        <w:tc>
          <w:tcPr>
            <w:tcW w:w="1532" w:type="dxa"/>
            <w:shd w:val="clear" w:color="auto" w:fill="auto"/>
            <w:noWrap/>
            <w:vAlign w:val="center"/>
          </w:tcPr>
          <w:p w14:paraId="4536C7A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行道树（株）</w:t>
            </w:r>
          </w:p>
        </w:tc>
      </w:tr>
      <w:tr w14:paraId="1E68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1B5AE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w:t>
            </w:r>
          </w:p>
        </w:tc>
        <w:tc>
          <w:tcPr>
            <w:tcW w:w="3357" w:type="dxa"/>
            <w:shd w:val="clear" w:color="auto" w:fill="auto"/>
            <w:vAlign w:val="center"/>
          </w:tcPr>
          <w:p w14:paraId="5719812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康泰路（洪武路-文瑞路）</w:t>
            </w:r>
          </w:p>
        </w:tc>
        <w:tc>
          <w:tcPr>
            <w:tcW w:w="2038" w:type="dxa"/>
            <w:shd w:val="clear" w:color="auto" w:fill="auto"/>
            <w:vAlign w:val="center"/>
          </w:tcPr>
          <w:p w14:paraId="78345F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11742</w:t>
            </w:r>
          </w:p>
        </w:tc>
        <w:tc>
          <w:tcPr>
            <w:tcW w:w="1895" w:type="dxa"/>
            <w:shd w:val="clear" w:color="auto" w:fill="auto"/>
            <w:noWrap/>
            <w:vAlign w:val="center"/>
          </w:tcPr>
          <w:p w14:paraId="5D0149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3146033D">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471</w:t>
            </w:r>
          </w:p>
        </w:tc>
      </w:tr>
      <w:tr w14:paraId="66E3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17A69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w:t>
            </w:r>
          </w:p>
        </w:tc>
        <w:tc>
          <w:tcPr>
            <w:tcW w:w="3357" w:type="dxa"/>
            <w:shd w:val="clear" w:color="auto" w:fill="auto"/>
            <w:vAlign w:val="center"/>
          </w:tcPr>
          <w:p w14:paraId="16B57C2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康庄路（洪武路-文华路）</w:t>
            </w:r>
          </w:p>
        </w:tc>
        <w:tc>
          <w:tcPr>
            <w:tcW w:w="2038" w:type="dxa"/>
            <w:shd w:val="clear" w:color="auto" w:fill="auto"/>
            <w:vAlign w:val="center"/>
          </w:tcPr>
          <w:p w14:paraId="4578CA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15745</w:t>
            </w:r>
          </w:p>
        </w:tc>
        <w:tc>
          <w:tcPr>
            <w:tcW w:w="1895" w:type="dxa"/>
            <w:shd w:val="clear" w:color="auto" w:fill="auto"/>
            <w:noWrap/>
            <w:vAlign w:val="center"/>
          </w:tcPr>
          <w:p w14:paraId="6B02FF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181DE4E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620</w:t>
            </w:r>
          </w:p>
        </w:tc>
      </w:tr>
      <w:tr w14:paraId="361F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F60BC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w:t>
            </w:r>
          </w:p>
        </w:tc>
        <w:tc>
          <w:tcPr>
            <w:tcW w:w="3357" w:type="dxa"/>
            <w:shd w:val="clear" w:color="auto" w:fill="auto"/>
            <w:vAlign w:val="center"/>
          </w:tcPr>
          <w:p w14:paraId="5C3031F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永兴路（</w:t>
            </w:r>
            <w:r>
              <w:rPr>
                <w:rFonts w:hint="eastAsia"/>
                <w:color w:val="auto"/>
                <w:kern w:val="0"/>
                <w:sz w:val="24"/>
                <w:szCs w:val="24"/>
                <w:highlight w:val="none"/>
                <w:lang w:val="en-US" w:eastAsia="zh-CN"/>
              </w:rPr>
              <w:t>安徽科技工程大学</w:t>
            </w:r>
            <w:r>
              <w:rPr>
                <w:rFonts w:hint="eastAsia"/>
                <w:color w:val="auto"/>
                <w:kern w:val="0"/>
                <w:sz w:val="24"/>
                <w:szCs w:val="24"/>
                <w:highlight w:val="none"/>
                <w:lang w:eastAsia="zh-CN"/>
              </w:rPr>
              <w:t>-文华路）</w:t>
            </w:r>
          </w:p>
        </w:tc>
        <w:tc>
          <w:tcPr>
            <w:tcW w:w="2038" w:type="dxa"/>
            <w:shd w:val="clear" w:color="auto" w:fill="auto"/>
            <w:vAlign w:val="center"/>
          </w:tcPr>
          <w:p w14:paraId="62C229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10158</w:t>
            </w:r>
          </w:p>
        </w:tc>
        <w:tc>
          <w:tcPr>
            <w:tcW w:w="1895" w:type="dxa"/>
            <w:shd w:val="clear" w:color="auto" w:fill="auto"/>
            <w:noWrap/>
            <w:vAlign w:val="center"/>
          </w:tcPr>
          <w:p w14:paraId="59A0B4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31880</w:t>
            </w:r>
          </w:p>
        </w:tc>
        <w:tc>
          <w:tcPr>
            <w:tcW w:w="1532" w:type="dxa"/>
            <w:shd w:val="clear" w:color="auto" w:fill="auto"/>
            <w:vAlign w:val="center"/>
          </w:tcPr>
          <w:p w14:paraId="2F98BE40">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431</w:t>
            </w:r>
          </w:p>
        </w:tc>
      </w:tr>
      <w:tr w14:paraId="092F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34" w:type="dxa"/>
            <w:shd w:val="clear" w:color="auto" w:fill="auto"/>
            <w:noWrap/>
            <w:vAlign w:val="center"/>
          </w:tcPr>
          <w:p w14:paraId="3F0084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w:t>
            </w:r>
          </w:p>
        </w:tc>
        <w:tc>
          <w:tcPr>
            <w:tcW w:w="3357" w:type="dxa"/>
            <w:shd w:val="clear" w:color="auto" w:fill="auto"/>
            <w:vAlign w:val="center"/>
          </w:tcPr>
          <w:p w14:paraId="61AE933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树仁路（</w:t>
            </w:r>
            <w:r>
              <w:rPr>
                <w:rFonts w:hint="eastAsia"/>
                <w:color w:val="auto"/>
                <w:kern w:val="0"/>
                <w:sz w:val="24"/>
                <w:szCs w:val="24"/>
                <w:highlight w:val="none"/>
                <w:lang w:val="en-US" w:eastAsia="zh-CN"/>
              </w:rPr>
              <w:t>文慧路</w:t>
            </w:r>
            <w:r>
              <w:rPr>
                <w:rFonts w:hint="eastAsia"/>
                <w:color w:val="auto"/>
                <w:kern w:val="0"/>
                <w:sz w:val="24"/>
                <w:szCs w:val="24"/>
                <w:highlight w:val="none"/>
                <w:lang w:eastAsia="zh-CN"/>
              </w:rPr>
              <w:t>-文慧路）</w:t>
            </w:r>
          </w:p>
        </w:tc>
        <w:tc>
          <w:tcPr>
            <w:tcW w:w="2038" w:type="dxa"/>
            <w:shd w:val="clear" w:color="auto" w:fill="auto"/>
            <w:vAlign w:val="center"/>
          </w:tcPr>
          <w:p w14:paraId="5E1139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7620E5F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17419</w:t>
            </w:r>
          </w:p>
        </w:tc>
        <w:tc>
          <w:tcPr>
            <w:tcW w:w="1532" w:type="dxa"/>
            <w:shd w:val="clear" w:color="auto" w:fill="auto"/>
            <w:vAlign w:val="center"/>
          </w:tcPr>
          <w:p w14:paraId="4970867C">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162</w:t>
            </w:r>
          </w:p>
        </w:tc>
      </w:tr>
      <w:tr w14:paraId="6AFA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E727D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5</w:t>
            </w:r>
          </w:p>
        </w:tc>
        <w:tc>
          <w:tcPr>
            <w:tcW w:w="3357" w:type="dxa"/>
            <w:shd w:val="clear" w:color="auto" w:fill="auto"/>
            <w:vAlign w:val="center"/>
          </w:tcPr>
          <w:p w14:paraId="3B781E0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立言路（洪武路-树仁路）</w:t>
            </w:r>
          </w:p>
        </w:tc>
        <w:tc>
          <w:tcPr>
            <w:tcW w:w="2038" w:type="dxa"/>
            <w:shd w:val="clear" w:color="auto" w:fill="auto"/>
            <w:vAlign w:val="center"/>
          </w:tcPr>
          <w:p w14:paraId="786E473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10563</w:t>
            </w:r>
          </w:p>
        </w:tc>
        <w:tc>
          <w:tcPr>
            <w:tcW w:w="1895" w:type="dxa"/>
            <w:shd w:val="clear" w:color="auto" w:fill="auto"/>
            <w:noWrap/>
            <w:vAlign w:val="center"/>
          </w:tcPr>
          <w:p w14:paraId="1D2A00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532" w:type="dxa"/>
            <w:shd w:val="clear" w:color="auto" w:fill="auto"/>
            <w:vAlign w:val="center"/>
          </w:tcPr>
          <w:p w14:paraId="605B398E">
            <w:pPr>
              <w:jc w:val="center"/>
              <w:rPr>
                <w:rFonts w:hint="eastAsia" w:ascii="宋体" w:hAnsi="宋体" w:eastAsia="宋体" w:cs="宋体"/>
                <w:i w:val="0"/>
                <w:iCs w:val="0"/>
                <w:color w:val="auto"/>
                <w:sz w:val="24"/>
                <w:szCs w:val="24"/>
                <w:highlight w:val="none"/>
                <w:u w:val="none"/>
              </w:rPr>
            </w:pPr>
          </w:p>
        </w:tc>
      </w:tr>
      <w:tr w14:paraId="2F4A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EEF75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w:t>
            </w:r>
          </w:p>
        </w:tc>
        <w:tc>
          <w:tcPr>
            <w:tcW w:w="3357" w:type="dxa"/>
            <w:shd w:val="clear" w:color="auto" w:fill="auto"/>
            <w:vAlign w:val="center"/>
          </w:tcPr>
          <w:p w14:paraId="7EAD07F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黄圩路（文慧路-文</w:t>
            </w:r>
            <w:r>
              <w:rPr>
                <w:rFonts w:hint="eastAsia"/>
                <w:color w:val="auto"/>
                <w:kern w:val="0"/>
                <w:sz w:val="24"/>
                <w:szCs w:val="24"/>
                <w:highlight w:val="none"/>
                <w:lang w:val="en-US" w:eastAsia="zh-CN"/>
              </w:rPr>
              <w:t>华</w:t>
            </w:r>
            <w:r>
              <w:rPr>
                <w:rFonts w:hint="eastAsia"/>
                <w:color w:val="auto"/>
                <w:kern w:val="0"/>
                <w:sz w:val="24"/>
                <w:szCs w:val="24"/>
                <w:highlight w:val="none"/>
                <w:lang w:eastAsia="zh-CN"/>
              </w:rPr>
              <w:t>路）</w:t>
            </w:r>
          </w:p>
        </w:tc>
        <w:tc>
          <w:tcPr>
            <w:tcW w:w="2038" w:type="dxa"/>
            <w:shd w:val="clear" w:color="auto" w:fill="auto"/>
            <w:vAlign w:val="center"/>
          </w:tcPr>
          <w:p w14:paraId="7AA1C4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7777</w:t>
            </w:r>
          </w:p>
        </w:tc>
        <w:tc>
          <w:tcPr>
            <w:tcW w:w="1895" w:type="dxa"/>
            <w:shd w:val="clear" w:color="auto" w:fill="auto"/>
            <w:noWrap/>
            <w:vAlign w:val="center"/>
          </w:tcPr>
          <w:p w14:paraId="180D9C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13000</w:t>
            </w:r>
          </w:p>
        </w:tc>
        <w:tc>
          <w:tcPr>
            <w:tcW w:w="1532" w:type="dxa"/>
            <w:shd w:val="clear" w:color="auto" w:fill="auto"/>
            <w:vAlign w:val="center"/>
          </w:tcPr>
          <w:p w14:paraId="60D4181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181</w:t>
            </w:r>
          </w:p>
        </w:tc>
      </w:tr>
      <w:tr w14:paraId="0C3A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2E7236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w:t>
            </w:r>
          </w:p>
        </w:tc>
        <w:tc>
          <w:tcPr>
            <w:tcW w:w="3357" w:type="dxa"/>
            <w:shd w:val="clear" w:color="auto" w:fill="auto"/>
            <w:vAlign w:val="center"/>
          </w:tcPr>
          <w:p w14:paraId="5F3DB76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南工路（文慧路-断头路）</w:t>
            </w:r>
          </w:p>
        </w:tc>
        <w:tc>
          <w:tcPr>
            <w:tcW w:w="2038" w:type="dxa"/>
            <w:shd w:val="clear" w:color="auto" w:fill="auto"/>
            <w:vAlign w:val="center"/>
          </w:tcPr>
          <w:p w14:paraId="2C4F3D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48114C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4000</w:t>
            </w:r>
          </w:p>
        </w:tc>
        <w:tc>
          <w:tcPr>
            <w:tcW w:w="1532" w:type="dxa"/>
            <w:shd w:val="clear" w:color="auto" w:fill="auto"/>
            <w:vAlign w:val="center"/>
          </w:tcPr>
          <w:p w14:paraId="1ECD9FC6">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69</w:t>
            </w:r>
          </w:p>
        </w:tc>
      </w:tr>
      <w:tr w14:paraId="2A2A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65D896B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w:t>
            </w:r>
          </w:p>
        </w:tc>
        <w:tc>
          <w:tcPr>
            <w:tcW w:w="3357" w:type="dxa"/>
            <w:shd w:val="clear" w:color="auto" w:fill="auto"/>
            <w:vAlign w:val="center"/>
          </w:tcPr>
          <w:p w14:paraId="03D9EC5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浦园路（文慧路-断头路）</w:t>
            </w:r>
          </w:p>
        </w:tc>
        <w:tc>
          <w:tcPr>
            <w:tcW w:w="2038" w:type="dxa"/>
            <w:shd w:val="clear" w:color="auto" w:fill="auto"/>
            <w:vAlign w:val="center"/>
          </w:tcPr>
          <w:p w14:paraId="37646E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1895" w:type="dxa"/>
            <w:shd w:val="clear" w:color="auto" w:fill="auto"/>
            <w:noWrap/>
            <w:vAlign w:val="center"/>
          </w:tcPr>
          <w:p w14:paraId="02801DF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w:t>
            </w:r>
          </w:p>
        </w:tc>
        <w:tc>
          <w:tcPr>
            <w:tcW w:w="1532" w:type="dxa"/>
            <w:shd w:val="clear" w:color="auto" w:fill="auto"/>
            <w:vAlign w:val="center"/>
          </w:tcPr>
          <w:p w14:paraId="66EA0CCF">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126</w:t>
            </w:r>
          </w:p>
        </w:tc>
      </w:tr>
      <w:tr w14:paraId="5D5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30E03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9</w:t>
            </w:r>
          </w:p>
        </w:tc>
        <w:tc>
          <w:tcPr>
            <w:tcW w:w="3357" w:type="dxa"/>
            <w:shd w:val="clear" w:color="auto" w:fill="auto"/>
            <w:vAlign w:val="center"/>
          </w:tcPr>
          <w:p w14:paraId="3C7F878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明德路（康泰路-永兴路）</w:t>
            </w:r>
          </w:p>
        </w:tc>
        <w:tc>
          <w:tcPr>
            <w:tcW w:w="2038" w:type="dxa"/>
            <w:shd w:val="clear" w:color="auto" w:fill="auto"/>
            <w:vAlign w:val="center"/>
          </w:tcPr>
          <w:p w14:paraId="328880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9340</w:t>
            </w:r>
          </w:p>
        </w:tc>
        <w:tc>
          <w:tcPr>
            <w:tcW w:w="1895" w:type="dxa"/>
            <w:shd w:val="clear" w:color="auto" w:fill="auto"/>
            <w:noWrap/>
            <w:vAlign w:val="center"/>
          </w:tcPr>
          <w:p w14:paraId="59EF54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18050</w:t>
            </w:r>
          </w:p>
        </w:tc>
        <w:tc>
          <w:tcPr>
            <w:tcW w:w="1532" w:type="dxa"/>
            <w:shd w:val="clear" w:color="auto" w:fill="auto"/>
            <w:vAlign w:val="center"/>
          </w:tcPr>
          <w:p w14:paraId="1209E8DB">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721</w:t>
            </w:r>
          </w:p>
        </w:tc>
      </w:tr>
      <w:tr w14:paraId="0F94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430C7D62">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10</w:t>
            </w:r>
          </w:p>
        </w:tc>
        <w:tc>
          <w:tcPr>
            <w:tcW w:w="3357" w:type="dxa"/>
            <w:shd w:val="clear" w:color="auto" w:fill="auto"/>
            <w:vAlign w:val="center"/>
          </w:tcPr>
          <w:p w14:paraId="1ED71569">
            <w:pPr>
              <w:keepNext w:val="0"/>
              <w:keepLines w:val="0"/>
              <w:widowControl/>
              <w:suppressLineNumbers w:val="0"/>
              <w:jc w:val="left"/>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文慧路（黄圩路-浦园路、</w:t>
            </w:r>
            <w:r>
              <w:rPr>
                <w:rFonts w:hint="eastAsia"/>
                <w:color w:val="auto"/>
                <w:kern w:val="0"/>
                <w:sz w:val="24"/>
                <w:szCs w:val="24"/>
                <w:highlight w:val="none"/>
                <w:lang w:val="en-US" w:eastAsia="zh-CN"/>
              </w:rPr>
              <w:t>永兴路-树仁路</w:t>
            </w:r>
            <w:r>
              <w:rPr>
                <w:rFonts w:hint="eastAsia"/>
                <w:color w:val="auto"/>
                <w:kern w:val="0"/>
                <w:sz w:val="24"/>
                <w:szCs w:val="24"/>
                <w:highlight w:val="none"/>
                <w:lang w:eastAsia="zh-CN"/>
              </w:rPr>
              <w:t>）</w:t>
            </w:r>
          </w:p>
        </w:tc>
        <w:tc>
          <w:tcPr>
            <w:tcW w:w="2038" w:type="dxa"/>
            <w:shd w:val="clear" w:color="auto" w:fill="auto"/>
            <w:vAlign w:val="center"/>
          </w:tcPr>
          <w:p w14:paraId="6119FE4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12633</w:t>
            </w:r>
          </w:p>
        </w:tc>
        <w:tc>
          <w:tcPr>
            <w:tcW w:w="1895" w:type="dxa"/>
            <w:shd w:val="clear" w:color="auto" w:fill="auto"/>
            <w:noWrap/>
            <w:vAlign w:val="center"/>
          </w:tcPr>
          <w:p w14:paraId="22F6C66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25618</w:t>
            </w:r>
          </w:p>
        </w:tc>
        <w:tc>
          <w:tcPr>
            <w:tcW w:w="1532" w:type="dxa"/>
            <w:shd w:val="clear" w:color="auto" w:fill="auto"/>
            <w:vAlign w:val="center"/>
          </w:tcPr>
          <w:p w14:paraId="00B2596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210</w:t>
            </w:r>
          </w:p>
        </w:tc>
      </w:tr>
      <w:tr w14:paraId="29FD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C795669">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w:t>
            </w:r>
          </w:p>
        </w:tc>
        <w:tc>
          <w:tcPr>
            <w:tcW w:w="3357" w:type="dxa"/>
            <w:shd w:val="clear" w:color="auto" w:fill="auto"/>
            <w:vAlign w:val="center"/>
          </w:tcPr>
          <w:p w14:paraId="5953A01D">
            <w:pPr>
              <w:keepNext w:val="0"/>
              <w:keepLines w:val="0"/>
              <w:widowControl/>
              <w:suppressLineNumbers w:val="0"/>
              <w:jc w:val="left"/>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文瑞路（永兴路-浦园路）</w:t>
            </w:r>
          </w:p>
        </w:tc>
        <w:tc>
          <w:tcPr>
            <w:tcW w:w="2038" w:type="dxa"/>
            <w:shd w:val="clear" w:color="auto" w:fill="auto"/>
            <w:vAlign w:val="center"/>
          </w:tcPr>
          <w:p w14:paraId="6064B71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9000</w:t>
            </w:r>
          </w:p>
        </w:tc>
        <w:tc>
          <w:tcPr>
            <w:tcW w:w="1895" w:type="dxa"/>
            <w:shd w:val="clear" w:color="auto" w:fill="auto"/>
            <w:noWrap/>
            <w:vAlign w:val="center"/>
          </w:tcPr>
          <w:p w14:paraId="20C3E7F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1848</w:t>
            </w:r>
          </w:p>
        </w:tc>
        <w:tc>
          <w:tcPr>
            <w:tcW w:w="1532" w:type="dxa"/>
            <w:shd w:val="clear" w:color="auto" w:fill="auto"/>
            <w:vAlign w:val="center"/>
          </w:tcPr>
          <w:p w14:paraId="1EB3808B">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433</w:t>
            </w:r>
          </w:p>
        </w:tc>
      </w:tr>
      <w:tr w14:paraId="5017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4" w:hRule="atLeast"/>
        </w:trPr>
        <w:tc>
          <w:tcPr>
            <w:tcW w:w="534" w:type="dxa"/>
            <w:shd w:val="clear" w:color="auto" w:fill="auto"/>
            <w:noWrap/>
            <w:vAlign w:val="center"/>
          </w:tcPr>
          <w:p w14:paraId="272733A5">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w:t>
            </w:r>
          </w:p>
        </w:tc>
        <w:tc>
          <w:tcPr>
            <w:tcW w:w="3357" w:type="dxa"/>
            <w:shd w:val="clear" w:color="auto" w:fill="auto"/>
            <w:vAlign w:val="center"/>
          </w:tcPr>
          <w:p w14:paraId="1204058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color w:val="auto"/>
                <w:kern w:val="0"/>
                <w:sz w:val="24"/>
                <w:szCs w:val="24"/>
                <w:highlight w:val="none"/>
                <w:lang w:eastAsia="zh-CN"/>
              </w:rPr>
              <w:t>如意路（洪湖路-文瑞路）</w:t>
            </w:r>
          </w:p>
        </w:tc>
        <w:tc>
          <w:tcPr>
            <w:tcW w:w="2038" w:type="dxa"/>
            <w:shd w:val="clear" w:color="auto" w:fill="auto"/>
            <w:vAlign w:val="center"/>
          </w:tcPr>
          <w:p w14:paraId="3736BB2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4BA069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9FFEF97">
            <w:pPr>
              <w:jc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428</w:t>
            </w:r>
          </w:p>
        </w:tc>
      </w:tr>
      <w:tr w14:paraId="0CA9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1230FD0">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14</w:t>
            </w:r>
          </w:p>
        </w:tc>
        <w:tc>
          <w:tcPr>
            <w:tcW w:w="3357" w:type="dxa"/>
            <w:shd w:val="clear" w:color="auto" w:fill="auto"/>
            <w:vAlign w:val="center"/>
          </w:tcPr>
          <w:p w14:paraId="5A4B0498">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汇智路（洪武路-文瑞路）</w:t>
            </w:r>
          </w:p>
        </w:tc>
        <w:tc>
          <w:tcPr>
            <w:tcW w:w="2038" w:type="dxa"/>
            <w:shd w:val="clear" w:color="auto" w:fill="auto"/>
            <w:vAlign w:val="center"/>
          </w:tcPr>
          <w:p w14:paraId="2B8D33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436686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322863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624</w:t>
            </w:r>
          </w:p>
        </w:tc>
      </w:tr>
      <w:tr w14:paraId="64C9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1675B46">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w:t>
            </w:r>
          </w:p>
        </w:tc>
        <w:tc>
          <w:tcPr>
            <w:tcW w:w="3357" w:type="dxa"/>
            <w:shd w:val="clear" w:color="auto" w:fill="auto"/>
            <w:vAlign w:val="center"/>
          </w:tcPr>
          <w:p w14:paraId="4C1E2C03">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永昌路（文慧路-文瑞路）</w:t>
            </w:r>
          </w:p>
        </w:tc>
        <w:tc>
          <w:tcPr>
            <w:tcW w:w="2038" w:type="dxa"/>
            <w:shd w:val="clear" w:color="auto" w:fill="auto"/>
            <w:vAlign w:val="center"/>
          </w:tcPr>
          <w:p w14:paraId="1B5E69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3B97986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4460596">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79</w:t>
            </w:r>
          </w:p>
        </w:tc>
      </w:tr>
      <w:tr w14:paraId="0EA0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7059911">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w:t>
            </w:r>
          </w:p>
        </w:tc>
        <w:tc>
          <w:tcPr>
            <w:tcW w:w="3357" w:type="dxa"/>
            <w:shd w:val="clear" w:color="auto" w:fill="auto"/>
            <w:vAlign w:val="center"/>
          </w:tcPr>
          <w:p w14:paraId="3B35BABA">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祺祥路（文慧路-文瑞路）</w:t>
            </w:r>
          </w:p>
        </w:tc>
        <w:tc>
          <w:tcPr>
            <w:tcW w:w="2038" w:type="dxa"/>
            <w:shd w:val="clear" w:color="auto" w:fill="auto"/>
            <w:vAlign w:val="center"/>
          </w:tcPr>
          <w:p w14:paraId="7DA076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15EFAF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9925153">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142</w:t>
            </w:r>
          </w:p>
        </w:tc>
      </w:tr>
      <w:tr w14:paraId="158F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58CFD80">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17</w:t>
            </w:r>
          </w:p>
        </w:tc>
        <w:tc>
          <w:tcPr>
            <w:tcW w:w="3357" w:type="dxa"/>
            <w:shd w:val="clear" w:color="auto" w:fill="auto"/>
            <w:vAlign w:val="center"/>
          </w:tcPr>
          <w:p w14:paraId="5C482131">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恒昌路（文慧路-文瑞路）</w:t>
            </w:r>
          </w:p>
        </w:tc>
        <w:tc>
          <w:tcPr>
            <w:tcW w:w="2038" w:type="dxa"/>
            <w:shd w:val="clear" w:color="auto" w:fill="auto"/>
            <w:vAlign w:val="center"/>
          </w:tcPr>
          <w:p w14:paraId="659441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1B4D97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04F0FE1">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161</w:t>
            </w:r>
          </w:p>
        </w:tc>
      </w:tr>
      <w:tr w14:paraId="67AE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3230807B">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w:t>
            </w:r>
          </w:p>
        </w:tc>
        <w:tc>
          <w:tcPr>
            <w:tcW w:w="3357" w:type="dxa"/>
            <w:shd w:val="clear" w:color="auto" w:fill="auto"/>
            <w:vAlign w:val="center"/>
          </w:tcPr>
          <w:p w14:paraId="6120868B">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厚德路（康泰路-康庄路）</w:t>
            </w:r>
          </w:p>
        </w:tc>
        <w:tc>
          <w:tcPr>
            <w:tcW w:w="2038" w:type="dxa"/>
            <w:shd w:val="clear" w:color="auto" w:fill="auto"/>
            <w:vAlign w:val="center"/>
          </w:tcPr>
          <w:p w14:paraId="20AF85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307EDC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C307571">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45</w:t>
            </w:r>
          </w:p>
        </w:tc>
      </w:tr>
      <w:tr w14:paraId="184E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4387162F">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19</w:t>
            </w:r>
          </w:p>
        </w:tc>
        <w:tc>
          <w:tcPr>
            <w:tcW w:w="3357" w:type="dxa"/>
            <w:shd w:val="clear" w:color="auto" w:fill="auto"/>
            <w:vAlign w:val="center"/>
          </w:tcPr>
          <w:p w14:paraId="24389729">
            <w:pPr>
              <w:keepNext w:val="0"/>
              <w:keepLines w:val="0"/>
              <w:widowControl/>
              <w:suppressLineNumbers w:val="0"/>
              <w:jc w:val="center"/>
              <w:textAlignment w:val="center"/>
              <w:rPr>
                <w:rFonts w:hint="eastAsia"/>
                <w:color w:val="auto"/>
                <w:kern w:val="0"/>
                <w:sz w:val="24"/>
                <w:szCs w:val="24"/>
                <w:highlight w:val="none"/>
                <w:lang w:eastAsia="zh-CN"/>
              </w:rPr>
            </w:pPr>
            <w:r>
              <w:rPr>
                <w:rFonts w:hint="eastAsia"/>
                <w:color w:val="auto"/>
                <w:kern w:val="0"/>
                <w:sz w:val="24"/>
                <w:szCs w:val="24"/>
                <w:highlight w:val="none"/>
                <w:lang w:eastAsia="zh-CN"/>
              </w:rPr>
              <w:t>文智路（永兴路-祺祥路）</w:t>
            </w:r>
          </w:p>
        </w:tc>
        <w:tc>
          <w:tcPr>
            <w:tcW w:w="2038" w:type="dxa"/>
            <w:shd w:val="clear" w:color="auto" w:fill="auto"/>
            <w:vAlign w:val="center"/>
          </w:tcPr>
          <w:p w14:paraId="7D4FD6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895" w:type="dxa"/>
            <w:shd w:val="clear" w:color="auto" w:fill="auto"/>
            <w:noWrap/>
            <w:vAlign w:val="center"/>
          </w:tcPr>
          <w:p w14:paraId="7C7E8C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BE42670">
            <w:pPr>
              <w:jc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130</w:t>
            </w:r>
          </w:p>
        </w:tc>
      </w:tr>
      <w:tr w14:paraId="7BA7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63CEE4D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20</w:t>
            </w:r>
          </w:p>
        </w:tc>
        <w:tc>
          <w:tcPr>
            <w:tcW w:w="3357" w:type="dxa"/>
            <w:shd w:val="clear" w:color="auto" w:fill="auto"/>
            <w:vAlign w:val="center"/>
          </w:tcPr>
          <w:p w14:paraId="1211BC03">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大同路(袁庄路-黄圩路)</w:t>
            </w:r>
          </w:p>
        </w:tc>
        <w:tc>
          <w:tcPr>
            <w:tcW w:w="2038" w:type="dxa"/>
            <w:shd w:val="clear" w:color="auto" w:fill="auto"/>
            <w:vAlign w:val="center"/>
          </w:tcPr>
          <w:p w14:paraId="6797109D">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18404.88</w:t>
            </w:r>
          </w:p>
        </w:tc>
        <w:tc>
          <w:tcPr>
            <w:tcW w:w="1895" w:type="dxa"/>
            <w:shd w:val="clear" w:color="auto" w:fill="auto"/>
            <w:noWrap/>
            <w:vAlign w:val="center"/>
          </w:tcPr>
          <w:p w14:paraId="283B27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7278B44">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35 </w:t>
            </w:r>
          </w:p>
        </w:tc>
      </w:tr>
      <w:tr w14:paraId="279E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5563F2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w:t>
            </w:r>
          </w:p>
        </w:tc>
        <w:tc>
          <w:tcPr>
            <w:tcW w:w="3357" w:type="dxa"/>
            <w:shd w:val="clear" w:color="auto" w:fill="auto"/>
            <w:vAlign w:val="center"/>
          </w:tcPr>
          <w:p w14:paraId="3D7ED814">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兴业路(袁庄路-芦庄路)</w:t>
            </w:r>
          </w:p>
        </w:tc>
        <w:tc>
          <w:tcPr>
            <w:tcW w:w="2038" w:type="dxa"/>
            <w:shd w:val="clear" w:color="auto" w:fill="auto"/>
            <w:vAlign w:val="center"/>
          </w:tcPr>
          <w:p w14:paraId="0A0F4B4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24516.12</w:t>
            </w:r>
          </w:p>
        </w:tc>
        <w:tc>
          <w:tcPr>
            <w:tcW w:w="1895" w:type="dxa"/>
            <w:shd w:val="clear" w:color="auto" w:fill="auto"/>
            <w:noWrap/>
            <w:vAlign w:val="center"/>
          </w:tcPr>
          <w:p w14:paraId="54756A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2E7FF82">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265 </w:t>
            </w:r>
          </w:p>
        </w:tc>
      </w:tr>
      <w:tr w14:paraId="658A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7EC587D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22</w:t>
            </w:r>
          </w:p>
        </w:tc>
        <w:tc>
          <w:tcPr>
            <w:tcW w:w="3357" w:type="dxa"/>
            <w:shd w:val="clear" w:color="auto" w:fill="auto"/>
            <w:vAlign w:val="center"/>
          </w:tcPr>
          <w:p w14:paraId="235C09D2">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双迎路(柯湖路-安宁路)</w:t>
            </w:r>
          </w:p>
        </w:tc>
        <w:tc>
          <w:tcPr>
            <w:tcW w:w="2038" w:type="dxa"/>
            <w:shd w:val="clear" w:color="auto" w:fill="auto"/>
            <w:vAlign w:val="center"/>
          </w:tcPr>
          <w:p w14:paraId="6FD2B864">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121938.31</w:t>
            </w:r>
          </w:p>
        </w:tc>
        <w:tc>
          <w:tcPr>
            <w:tcW w:w="1895" w:type="dxa"/>
            <w:shd w:val="clear" w:color="auto" w:fill="auto"/>
            <w:noWrap/>
            <w:vAlign w:val="center"/>
          </w:tcPr>
          <w:p w14:paraId="79A598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524D8B6">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859 </w:t>
            </w:r>
          </w:p>
        </w:tc>
      </w:tr>
      <w:tr w14:paraId="6642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08A72181">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23</w:t>
            </w:r>
          </w:p>
        </w:tc>
        <w:tc>
          <w:tcPr>
            <w:tcW w:w="3357" w:type="dxa"/>
            <w:shd w:val="clear" w:color="auto" w:fill="auto"/>
            <w:vAlign w:val="center"/>
          </w:tcPr>
          <w:p w14:paraId="0990A87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兴隆路(柯湖路-吴港路)</w:t>
            </w:r>
          </w:p>
        </w:tc>
        <w:tc>
          <w:tcPr>
            <w:tcW w:w="2038" w:type="dxa"/>
            <w:shd w:val="clear" w:color="auto" w:fill="auto"/>
            <w:vAlign w:val="center"/>
          </w:tcPr>
          <w:p w14:paraId="30F39833">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34061.27</w:t>
            </w:r>
          </w:p>
        </w:tc>
        <w:tc>
          <w:tcPr>
            <w:tcW w:w="1895" w:type="dxa"/>
            <w:shd w:val="clear" w:color="auto" w:fill="auto"/>
            <w:noWrap/>
            <w:vAlign w:val="center"/>
          </w:tcPr>
          <w:p w14:paraId="74DE67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24877D0B">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762 </w:t>
            </w:r>
          </w:p>
        </w:tc>
      </w:tr>
      <w:tr w14:paraId="4229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5C1A2BB2">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w:t>
            </w:r>
          </w:p>
        </w:tc>
        <w:tc>
          <w:tcPr>
            <w:tcW w:w="3357" w:type="dxa"/>
            <w:shd w:val="clear" w:color="auto" w:fill="auto"/>
            <w:vAlign w:val="center"/>
          </w:tcPr>
          <w:p w14:paraId="3815D33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柯湖路(双迎路-滁宁快速通道)</w:t>
            </w:r>
          </w:p>
        </w:tc>
        <w:tc>
          <w:tcPr>
            <w:tcW w:w="2038" w:type="dxa"/>
            <w:shd w:val="clear" w:color="auto" w:fill="auto"/>
            <w:vAlign w:val="center"/>
          </w:tcPr>
          <w:p w14:paraId="4445E828">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6189.2</w:t>
            </w:r>
          </w:p>
        </w:tc>
        <w:tc>
          <w:tcPr>
            <w:tcW w:w="1895" w:type="dxa"/>
            <w:shd w:val="clear" w:color="auto" w:fill="auto"/>
            <w:noWrap/>
            <w:vAlign w:val="center"/>
          </w:tcPr>
          <w:p w14:paraId="5B4609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0B88A6B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177 </w:t>
            </w:r>
          </w:p>
        </w:tc>
      </w:tr>
      <w:tr w14:paraId="1749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F49F713">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25</w:t>
            </w:r>
          </w:p>
        </w:tc>
        <w:tc>
          <w:tcPr>
            <w:tcW w:w="3357" w:type="dxa"/>
            <w:shd w:val="clear" w:color="auto" w:fill="auto"/>
            <w:vAlign w:val="center"/>
          </w:tcPr>
          <w:p w14:paraId="4017AE1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袁庄路(大同路-滁宁快速通道)</w:t>
            </w:r>
          </w:p>
        </w:tc>
        <w:tc>
          <w:tcPr>
            <w:tcW w:w="2038" w:type="dxa"/>
            <w:shd w:val="clear" w:color="auto" w:fill="auto"/>
            <w:vAlign w:val="center"/>
          </w:tcPr>
          <w:p w14:paraId="4AE589C6">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17987.75</w:t>
            </w:r>
          </w:p>
        </w:tc>
        <w:tc>
          <w:tcPr>
            <w:tcW w:w="1895" w:type="dxa"/>
            <w:shd w:val="clear" w:color="auto" w:fill="auto"/>
            <w:noWrap/>
            <w:vAlign w:val="center"/>
          </w:tcPr>
          <w:p w14:paraId="316844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099E2F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131 </w:t>
            </w:r>
          </w:p>
        </w:tc>
      </w:tr>
      <w:tr w14:paraId="37A1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47396749">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26</w:t>
            </w:r>
          </w:p>
        </w:tc>
        <w:tc>
          <w:tcPr>
            <w:tcW w:w="3357" w:type="dxa"/>
            <w:shd w:val="clear" w:color="auto" w:fill="auto"/>
            <w:vAlign w:val="center"/>
          </w:tcPr>
          <w:p w14:paraId="31BC63B0">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双庙路(大同路-滁宁快速通道)</w:t>
            </w:r>
          </w:p>
        </w:tc>
        <w:tc>
          <w:tcPr>
            <w:tcW w:w="2038" w:type="dxa"/>
            <w:shd w:val="clear" w:color="auto" w:fill="auto"/>
            <w:vAlign w:val="center"/>
          </w:tcPr>
          <w:p w14:paraId="443B826A">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24670.81</w:t>
            </w:r>
          </w:p>
        </w:tc>
        <w:tc>
          <w:tcPr>
            <w:tcW w:w="1895" w:type="dxa"/>
            <w:shd w:val="clear" w:color="auto" w:fill="auto"/>
            <w:noWrap/>
            <w:vAlign w:val="center"/>
          </w:tcPr>
          <w:p w14:paraId="5F4DC6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5475422">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243 </w:t>
            </w:r>
          </w:p>
        </w:tc>
      </w:tr>
      <w:tr w14:paraId="0390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FC058F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27</w:t>
            </w:r>
          </w:p>
        </w:tc>
        <w:tc>
          <w:tcPr>
            <w:tcW w:w="3357" w:type="dxa"/>
            <w:shd w:val="clear" w:color="auto" w:fill="auto"/>
            <w:vAlign w:val="center"/>
          </w:tcPr>
          <w:p w14:paraId="743865CB">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黄圩路(安宁路-滁宁快速通道)</w:t>
            </w:r>
          </w:p>
        </w:tc>
        <w:tc>
          <w:tcPr>
            <w:tcW w:w="2038" w:type="dxa"/>
            <w:shd w:val="clear" w:color="auto" w:fill="auto"/>
            <w:vAlign w:val="center"/>
          </w:tcPr>
          <w:p w14:paraId="25AE5921">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42043.19</w:t>
            </w:r>
          </w:p>
        </w:tc>
        <w:tc>
          <w:tcPr>
            <w:tcW w:w="1895" w:type="dxa"/>
            <w:shd w:val="clear" w:color="auto" w:fill="auto"/>
            <w:noWrap/>
            <w:vAlign w:val="center"/>
          </w:tcPr>
          <w:p w14:paraId="5D9223F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63470EC">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555 </w:t>
            </w:r>
          </w:p>
        </w:tc>
      </w:tr>
      <w:tr w14:paraId="3EF6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6B0112FF">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28</w:t>
            </w:r>
          </w:p>
        </w:tc>
        <w:tc>
          <w:tcPr>
            <w:tcW w:w="3357" w:type="dxa"/>
            <w:shd w:val="clear" w:color="auto" w:fill="auto"/>
            <w:vAlign w:val="center"/>
          </w:tcPr>
          <w:p w14:paraId="39347F00">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红山路(安宁路-兴隆路)</w:t>
            </w:r>
          </w:p>
        </w:tc>
        <w:tc>
          <w:tcPr>
            <w:tcW w:w="2038" w:type="dxa"/>
            <w:shd w:val="clear" w:color="auto" w:fill="auto"/>
            <w:vAlign w:val="center"/>
          </w:tcPr>
          <w:p w14:paraId="117E851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13404.97</w:t>
            </w:r>
          </w:p>
        </w:tc>
        <w:tc>
          <w:tcPr>
            <w:tcW w:w="1895" w:type="dxa"/>
            <w:shd w:val="clear" w:color="auto" w:fill="auto"/>
            <w:noWrap/>
            <w:vAlign w:val="center"/>
          </w:tcPr>
          <w:p w14:paraId="200971A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4659657">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267 </w:t>
            </w:r>
          </w:p>
        </w:tc>
      </w:tr>
      <w:tr w14:paraId="5C08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6BF53DE">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29</w:t>
            </w:r>
          </w:p>
        </w:tc>
        <w:tc>
          <w:tcPr>
            <w:tcW w:w="3357" w:type="dxa"/>
            <w:shd w:val="clear" w:color="auto" w:fill="auto"/>
            <w:vAlign w:val="center"/>
          </w:tcPr>
          <w:p w14:paraId="2616C96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芦庄路(安宁路-滁宁快速通道)</w:t>
            </w:r>
          </w:p>
        </w:tc>
        <w:tc>
          <w:tcPr>
            <w:tcW w:w="2038" w:type="dxa"/>
            <w:shd w:val="clear" w:color="auto" w:fill="auto"/>
            <w:vAlign w:val="center"/>
          </w:tcPr>
          <w:p w14:paraId="7576AF4B">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15792</w:t>
            </w:r>
          </w:p>
        </w:tc>
        <w:tc>
          <w:tcPr>
            <w:tcW w:w="1895" w:type="dxa"/>
            <w:shd w:val="clear" w:color="auto" w:fill="auto"/>
            <w:noWrap/>
            <w:vAlign w:val="center"/>
          </w:tcPr>
          <w:p w14:paraId="355534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624307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276 </w:t>
            </w:r>
          </w:p>
        </w:tc>
      </w:tr>
      <w:tr w14:paraId="7255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2FBC6B9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30</w:t>
            </w:r>
          </w:p>
        </w:tc>
        <w:tc>
          <w:tcPr>
            <w:tcW w:w="3357" w:type="dxa"/>
            <w:shd w:val="clear" w:color="auto" w:fill="auto"/>
            <w:vAlign w:val="center"/>
          </w:tcPr>
          <w:p w14:paraId="4E25284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吕赵路(安宁路-兴隆路)</w:t>
            </w:r>
          </w:p>
        </w:tc>
        <w:tc>
          <w:tcPr>
            <w:tcW w:w="2038" w:type="dxa"/>
            <w:shd w:val="clear" w:color="auto" w:fill="auto"/>
            <w:vAlign w:val="center"/>
          </w:tcPr>
          <w:p w14:paraId="66B553B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11107.84</w:t>
            </w:r>
          </w:p>
        </w:tc>
        <w:tc>
          <w:tcPr>
            <w:tcW w:w="1895" w:type="dxa"/>
            <w:shd w:val="clear" w:color="auto" w:fill="auto"/>
            <w:noWrap/>
            <w:vAlign w:val="center"/>
          </w:tcPr>
          <w:p w14:paraId="16126C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39D3111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0 </w:t>
            </w:r>
          </w:p>
        </w:tc>
      </w:tr>
      <w:tr w14:paraId="775C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55A1D8C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31</w:t>
            </w:r>
          </w:p>
        </w:tc>
        <w:tc>
          <w:tcPr>
            <w:tcW w:w="3357" w:type="dxa"/>
            <w:shd w:val="clear" w:color="auto" w:fill="auto"/>
            <w:vAlign w:val="center"/>
          </w:tcPr>
          <w:p w14:paraId="2F6AF1A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吴港路(兴隆路-滁宁快速通道)</w:t>
            </w:r>
          </w:p>
        </w:tc>
        <w:tc>
          <w:tcPr>
            <w:tcW w:w="2038" w:type="dxa"/>
            <w:shd w:val="clear" w:color="auto" w:fill="auto"/>
            <w:vAlign w:val="center"/>
          </w:tcPr>
          <w:p w14:paraId="545B9C1C">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3207.96</w:t>
            </w:r>
          </w:p>
        </w:tc>
        <w:tc>
          <w:tcPr>
            <w:tcW w:w="1895" w:type="dxa"/>
            <w:shd w:val="clear" w:color="auto" w:fill="auto"/>
            <w:noWrap/>
            <w:vAlign w:val="center"/>
          </w:tcPr>
          <w:p w14:paraId="73ECEF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834CBD9">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24 </w:t>
            </w:r>
          </w:p>
        </w:tc>
      </w:tr>
      <w:tr w14:paraId="5687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49074EA6">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32</w:t>
            </w:r>
          </w:p>
        </w:tc>
        <w:tc>
          <w:tcPr>
            <w:tcW w:w="3357" w:type="dxa"/>
            <w:shd w:val="clear" w:color="auto" w:fill="auto"/>
            <w:vAlign w:val="center"/>
          </w:tcPr>
          <w:p w14:paraId="200B551F">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管委会内部</w:t>
            </w:r>
          </w:p>
        </w:tc>
        <w:tc>
          <w:tcPr>
            <w:tcW w:w="2038" w:type="dxa"/>
            <w:shd w:val="clear" w:color="auto" w:fill="auto"/>
            <w:vAlign w:val="center"/>
          </w:tcPr>
          <w:p w14:paraId="18C0A9B3">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8029.16</w:t>
            </w:r>
          </w:p>
        </w:tc>
        <w:tc>
          <w:tcPr>
            <w:tcW w:w="1895" w:type="dxa"/>
            <w:shd w:val="clear" w:color="auto" w:fill="auto"/>
            <w:noWrap/>
            <w:vAlign w:val="center"/>
          </w:tcPr>
          <w:p w14:paraId="2BB43F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F7461DF">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0 </w:t>
            </w:r>
          </w:p>
        </w:tc>
      </w:tr>
      <w:tr w14:paraId="1C8A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8983A72">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33</w:t>
            </w:r>
          </w:p>
        </w:tc>
        <w:tc>
          <w:tcPr>
            <w:tcW w:w="3357" w:type="dxa"/>
            <w:shd w:val="clear" w:color="auto" w:fill="auto"/>
            <w:vAlign w:val="center"/>
          </w:tcPr>
          <w:p w14:paraId="56D32544">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红花湖路(滁阳路-洪武路)</w:t>
            </w:r>
          </w:p>
        </w:tc>
        <w:tc>
          <w:tcPr>
            <w:tcW w:w="2038" w:type="dxa"/>
            <w:shd w:val="clear" w:color="auto" w:fill="auto"/>
            <w:vAlign w:val="center"/>
          </w:tcPr>
          <w:p w14:paraId="557F6342">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29017.98</w:t>
            </w:r>
          </w:p>
        </w:tc>
        <w:tc>
          <w:tcPr>
            <w:tcW w:w="1895" w:type="dxa"/>
            <w:shd w:val="clear" w:color="auto" w:fill="auto"/>
            <w:noWrap/>
            <w:vAlign w:val="center"/>
          </w:tcPr>
          <w:p w14:paraId="3E0771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14C86266">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425 </w:t>
            </w:r>
          </w:p>
        </w:tc>
      </w:tr>
      <w:tr w14:paraId="5C73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55D416B8">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34</w:t>
            </w:r>
          </w:p>
        </w:tc>
        <w:tc>
          <w:tcPr>
            <w:tcW w:w="3357" w:type="dxa"/>
            <w:shd w:val="clear" w:color="auto" w:fill="auto"/>
            <w:vAlign w:val="center"/>
          </w:tcPr>
          <w:p w14:paraId="2998D9C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二郎湖路(滁阳路-洪武路)</w:t>
            </w:r>
          </w:p>
        </w:tc>
        <w:tc>
          <w:tcPr>
            <w:tcW w:w="2038" w:type="dxa"/>
            <w:shd w:val="clear" w:color="auto" w:fill="auto"/>
            <w:vAlign w:val="center"/>
          </w:tcPr>
          <w:p w14:paraId="65D41EDA">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22712.27</w:t>
            </w:r>
          </w:p>
        </w:tc>
        <w:tc>
          <w:tcPr>
            <w:tcW w:w="1895" w:type="dxa"/>
            <w:shd w:val="clear" w:color="auto" w:fill="auto"/>
            <w:noWrap/>
            <w:vAlign w:val="center"/>
          </w:tcPr>
          <w:p w14:paraId="1CE58C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5326FACE">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342 </w:t>
            </w:r>
          </w:p>
        </w:tc>
      </w:tr>
      <w:tr w14:paraId="0204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EB6E2BF">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35</w:t>
            </w:r>
          </w:p>
        </w:tc>
        <w:tc>
          <w:tcPr>
            <w:tcW w:w="3357" w:type="dxa"/>
            <w:shd w:val="clear" w:color="auto" w:fill="auto"/>
            <w:vAlign w:val="center"/>
          </w:tcPr>
          <w:p w14:paraId="30121A38">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红琊山路(红花湖路-皇庆湖路)</w:t>
            </w:r>
          </w:p>
        </w:tc>
        <w:tc>
          <w:tcPr>
            <w:tcW w:w="2038" w:type="dxa"/>
            <w:shd w:val="clear" w:color="auto" w:fill="auto"/>
            <w:vAlign w:val="center"/>
          </w:tcPr>
          <w:p w14:paraId="6DC79BB5">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2868.47</w:t>
            </w:r>
          </w:p>
        </w:tc>
        <w:tc>
          <w:tcPr>
            <w:tcW w:w="1895" w:type="dxa"/>
            <w:shd w:val="clear" w:color="auto" w:fill="auto"/>
            <w:noWrap/>
            <w:vAlign w:val="center"/>
          </w:tcPr>
          <w:p w14:paraId="1C8ECB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8C2AFA0">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330 </w:t>
            </w:r>
          </w:p>
        </w:tc>
      </w:tr>
      <w:tr w14:paraId="03B5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71F7522D">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36</w:t>
            </w:r>
          </w:p>
        </w:tc>
        <w:tc>
          <w:tcPr>
            <w:tcW w:w="3357" w:type="dxa"/>
            <w:shd w:val="clear" w:color="auto" w:fill="auto"/>
            <w:vAlign w:val="center"/>
          </w:tcPr>
          <w:p w14:paraId="24D2EAD5">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五尖山路(洪武路-皇庆湖路)</w:t>
            </w:r>
          </w:p>
        </w:tc>
        <w:tc>
          <w:tcPr>
            <w:tcW w:w="2038" w:type="dxa"/>
            <w:shd w:val="clear" w:color="auto" w:fill="auto"/>
            <w:vAlign w:val="center"/>
          </w:tcPr>
          <w:p w14:paraId="3403B1D4">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47336.81</w:t>
            </w:r>
          </w:p>
        </w:tc>
        <w:tc>
          <w:tcPr>
            <w:tcW w:w="1895" w:type="dxa"/>
            <w:shd w:val="clear" w:color="auto" w:fill="auto"/>
            <w:noWrap/>
            <w:vAlign w:val="center"/>
          </w:tcPr>
          <w:p w14:paraId="5EF08E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0268C43">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739 </w:t>
            </w:r>
          </w:p>
        </w:tc>
      </w:tr>
      <w:tr w14:paraId="280E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9A724C5">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37</w:t>
            </w:r>
          </w:p>
        </w:tc>
        <w:tc>
          <w:tcPr>
            <w:tcW w:w="3357" w:type="dxa"/>
            <w:shd w:val="clear" w:color="auto" w:fill="auto"/>
            <w:vAlign w:val="center"/>
          </w:tcPr>
          <w:p w14:paraId="2B71A42A">
            <w:pPr>
              <w:keepNext w:val="0"/>
              <w:keepLines w:val="0"/>
              <w:widowControl/>
              <w:suppressLineNumbers w:val="0"/>
              <w:jc w:val="center"/>
              <w:textAlignment w:val="center"/>
              <w:rPr>
                <w:rFonts w:hint="eastAsia" w:eastAsia="宋体" w:cs="宋体"/>
                <w:color w:val="auto"/>
                <w:kern w:val="0"/>
                <w:sz w:val="24"/>
                <w:szCs w:val="24"/>
                <w:highlight w:val="none"/>
                <w:lang w:eastAsia="zh-CN"/>
              </w:rPr>
            </w:pPr>
            <w:r>
              <w:rPr>
                <w:rFonts w:hint="default" w:eastAsia="宋体" w:cs="宋体"/>
                <w:color w:val="auto"/>
                <w:kern w:val="0"/>
                <w:sz w:val="24"/>
                <w:szCs w:val="24"/>
                <w:highlight w:val="none"/>
                <w:lang w:val="en-US" w:eastAsia="zh-CN"/>
              </w:rPr>
              <w:t>元山路(红花湖路-二郎湖路)</w:t>
            </w:r>
          </w:p>
        </w:tc>
        <w:tc>
          <w:tcPr>
            <w:tcW w:w="2038" w:type="dxa"/>
            <w:shd w:val="clear" w:color="auto" w:fill="auto"/>
            <w:vAlign w:val="center"/>
          </w:tcPr>
          <w:p w14:paraId="2EA37D18">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4646.16</w:t>
            </w:r>
          </w:p>
        </w:tc>
        <w:tc>
          <w:tcPr>
            <w:tcW w:w="1895" w:type="dxa"/>
            <w:shd w:val="clear" w:color="auto" w:fill="auto"/>
            <w:noWrap/>
            <w:vAlign w:val="center"/>
          </w:tcPr>
          <w:p w14:paraId="129290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525F2D5A">
            <w:pPr>
              <w:keepNext w:val="0"/>
              <w:keepLines w:val="0"/>
              <w:widowControl/>
              <w:suppressLineNumbers w:val="0"/>
              <w:jc w:val="center"/>
              <w:textAlignment w:val="center"/>
              <w:rPr>
                <w:rFonts w:hint="eastAsia" w:ascii="宋体" w:hAnsi="宋体" w:cs="宋体"/>
                <w:i w:val="0"/>
                <w:iCs w:val="0"/>
                <w:color w:val="auto"/>
                <w:sz w:val="24"/>
                <w:szCs w:val="24"/>
                <w:highlight w:val="none"/>
                <w:u w:val="none"/>
                <w:lang w:val="en-US" w:eastAsia="zh-CN"/>
              </w:rPr>
            </w:pPr>
            <w:r>
              <w:rPr>
                <w:rFonts w:ascii="宋体" w:hAnsi="宋体" w:eastAsia="宋体" w:cs="宋体"/>
                <w:i w:val="0"/>
                <w:iCs w:val="0"/>
                <w:color w:val="auto"/>
                <w:kern w:val="0"/>
                <w:sz w:val="24"/>
                <w:szCs w:val="24"/>
                <w:highlight w:val="none"/>
                <w:u w:val="none"/>
                <w:lang w:val="en-US" w:eastAsia="zh-CN" w:bidi="ar"/>
              </w:rPr>
              <w:t xml:space="preserve">161 </w:t>
            </w:r>
          </w:p>
        </w:tc>
      </w:tr>
      <w:tr w14:paraId="3B90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27B5BB1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38</w:t>
            </w:r>
          </w:p>
        </w:tc>
        <w:tc>
          <w:tcPr>
            <w:tcW w:w="3357" w:type="dxa"/>
            <w:shd w:val="clear" w:color="auto" w:fill="auto"/>
            <w:vAlign w:val="center"/>
          </w:tcPr>
          <w:p w14:paraId="0AA477F6">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皇庆湖路（五尖山路-晶隆半导体东门）</w:t>
            </w:r>
          </w:p>
        </w:tc>
        <w:tc>
          <w:tcPr>
            <w:tcW w:w="2038" w:type="dxa"/>
            <w:shd w:val="clear" w:color="auto" w:fill="auto"/>
            <w:vAlign w:val="center"/>
          </w:tcPr>
          <w:p w14:paraId="71E3E947">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15265.53</w:t>
            </w:r>
          </w:p>
        </w:tc>
        <w:tc>
          <w:tcPr>
            <w:tcW w:w="1895" w:type="dxa"/>
            <w:shd w:val="clear" w:color="auto" w:fill="auto"/>
            <w:noWrap/>
            <w:vAlign w:val="center"/>
          </w:tcPr>
          <w:p w14:paraId="6F84C0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F730FD6">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6219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34BBC556">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39</w:t>
            </w:r>
          </w:p>
        </w:tc>
        <w:tc>
          <w:tcPr>
            <w:tcW w:w="3357" w:type="dxa"/>
            <w:shd w:val="clear" w:color="auto" w:fill="auto"/>
            <w:vAlign w:val="center"/>
          </w:tcPr>
          <w:p w14:paraId="1A4C957B">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文华路（科创路-黄圩路）</w:t>
            </w:r>
          </w:p>
        </w:tc>
        <w:tc>
          <w:tcPr>
            <w:tcW w:w="2038" w:type="dxa"/>
            <w:shd w:val="clear" w:color="auto" w:fill="auto"/>
            <w:vAlign w:val="center"/>
          </w:tcPr>
          <w:p w14:paraId="5F83C114">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38299.78</w:t>
            </w:r>
          </w:p>
        </w:tc>
        <w:tc>
          <w:tcPr>
            <w:tcW w:w="1895" w:type="dxa"/>
            <w:shd w:val="clear" w:color="auto" w:fill="auto"/>
            <w:noWrap/>
            <w:vAlign w:val="center"/>
          </w:tcPr>
          <w:p w14:paraId="7F795E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722FE89E">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116D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534" w:type="dxa"/>
            <w:shd w:val="clear" w:color="auto" w:fill="auto"/>
            <w:noWrap/>
            <w:vAlign w:val="center"/>
          </w:tcPr>
          <w:p w14:paraId="15F066E1">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40</w:t>
            </w:r>
          </w:p>
        </w:tc>
        <w:tc>
          <w:tcPr>
            <w:tcW w:w="3357" w:type="dxa"/>
            <w:shd w:val="clear" w:color="auto" w:fill="auto"/>
            <w:vAlign w:val="center"/>
          </w:tcPr>
          <w:p w14:paraId="063BD0A0">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永兴路（文瑞路-文华路）</w:t>
            </w:r>
          </w:p>
        </w:tc>
        <w:tc>
          <w:tcPr>
            <w:tcW w:w="2038" w:type="dxa"/>
            <w:shd w:val="clear" w:color="auto" w:fill="auto"/>
            <w:vAlign w:val="center"/>
          </w:tcPr>
          <w:p w14:paraId="1C8719C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18168.38</w:t>
            </w:r>
          </w:p>
        </w:tc>
        <w:tc>
          <w:tcPr>
            <w:tcW w:w="1895" w:type="dxa"/>
            <w:shd w:val="clear" w:color="auto" w:fill="auto"/>
            <w:noWrap/>
            <w:vAlign w:val="center"/>
          </w:tcPr>
          <w:p w14:paraId="38E712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66B818E4">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r w14:paraId="041C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0" w:hRule="atLeast"/>
        </w:trPr>
        <w:tc>
          <w:tcPr>
            <w:tcW w:w="534" w:type="dxa"/>
            <w:shd w:val="clear" w:color="auto" w:fill="auto"/>
            <w:noWrap/>
            <w:vAlign w:val="center"/>
          </w:tcPr>
          <w:p w14:paraId="776A53AB">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41</w:t>
            </w:r>
          </w:p>
        </w:tc>
        <w:tc>
          <w:tcPr>
            <w:tcW w:w="3357" w:type="dxa"/>
            <w:shd w:val="clear" w:color="auto" w:fill="auto"/>
            <w:vAlign w:val="center"/>
          </w:tcPr>
          <w:p w14:paraId="1DF94648">
            <w:pPr>
              <w:keepNext w:val="0"/>
              <w:keepLines w:val="0"/>
              <w:widowControl/>
              <w:suppressLineNumbers w:val="0"/>
              <w:jc w:val="center"/>
              <w:textAlignment w:val="center"/>
              <w:rPr>
                <w:rFonts w:hint="default"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晶隆半导体北侧</w:t>
            </w:r>
          </w:p>
        </w:tc>
        <w:tc>
          <w:tcPr>
            <w:tcW w:w="2038" w:type="dxa"/>
            <w:shd w:val="clear" w:color="auto" w:fill="auto"/>
            <w:vAlign w:val="center"/>
          </w:tcPr>
          <w:p w14:paraId="438D5BAA">
            <w:pPr>
              <w:keepNext w:val="0"/>
              <w:keepLines w:val="0"/>
              <w:widowControl/>
              <w:suppressLineNumbers w:val="0"/>
              <w:jc w:val="center"/>
              <w:textAlignment w:val="center"/>
              <w:rPr>
                <w:rFonts w:hint="default" w:ascii="宋体" w:hAnsi="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2189.57</w:t>
            </w:r>
          </w:p>
        </w:tc>
        <w:tc>
          <w:tcPr>
            <w:tcW w:w="1895" w:type="dxa"/>
            <w:shd w:val="clear" w:color="auto" w:fill="auto"/>
            <w:noWrap/>
            <w:vAlign w:val="center"/>
          </w:tcPr>
          <w:p w14:paraId="305105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1532" w:type="dxa"/>
            <w:shd w:val="clear" w:color="auto" w:fill="auto"/>
            <w:vAlign w:val="center"/>
          </w:tcPr>
          <w:p w14:paraId="4F963C62">
            <w:pPr>
              <w:keepNext w:val="0"/>
              <w:keepLines w:val="0"/>
              <w:widowControl/>
              <w:suppressLineNumbers w:val="0"/>
              <w:jc w:val="center"/>
              <w:textAlignment w:val="center"/>
              <w:rPr>
                <w:rFonts w:ascii="宋体" w:hAnsi="宋体" w:eastAsia="宋体" w:cs="宋体"/>
                <w:i w:val="0"/>
                <w:iCs w:val="0"/>
                <w:color w:val="auto"/>
                <w:kern w:val="0"/>
                <w:sz w:val="24"/>
                <w:szCs w:val="24"/>
                <w:highlight w:val="none"/>
                <w:u w:val="none"/>
                <w:lang w:val="en-US" w:eastAsia="zh-CN" w:bidi="ar"/>
              </w:rPr>
            </w:pPr>
          </w:p>
        </w:tc>
      </w:tr>
    </w:tbl>
    <w:p w14:paraId="4C5B43DA">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t>汪郢支河（汇智湾）水域面积约17万平方米；洪武路与黄庆湖路东南侧泄洪渠水域面积约5万平方米，共计约</w:t>
      </w:r>
      <w:r>
        <w:rPr>
          <w:rFonts w:hint="eastAsia" w:ascii="宋体" w:hAnsi="宋体" w:cs="宋体"/>
          <w:b/>
          <w:bCs/>
          <w:color w:val="auto"/>
          <w:sz w:val="24"/>
          <w:highlight w:val="none"/>
          <w:lang w:val="en-US" w:eastAsia="zh-CN" w:bidi="ar"/>
        </w:rPr>
        <w:t>22</w:t>
      </w:r>
      <w:r>
        <w:rPr>
          <w:rFonts w:hint="eastAsia" w:ascii="宋体" w:hAnsi="宋体" w:eastAsia="宋体" w:cs="宋体"/>
          <w:b/>
          <w:bCs/>
          <w:color w:val="auto"/>
          <w:sz w:val="24"/>
          <w:highlight w:val="none"/>
          <w:lang w:val="en-US" w:eastAsia="zh-CN" w:bidi="ar"/>
        </w:rPr>
        <w:t>万平方米。</w:t>
      </w:r>
      <w:r>
        <w:rPr>
          <w:rFonts w:hint="eastAsia" w:ascii="宋体" w:hAnsi="宋体" w:cs="宋体"/>
          <w:b/>
          <w:bCs/>
          <w:color w:val="auto"/>
          <w:sz w:val="24"/>
          <w:highlight w:val="none"/>
          <w:lang w:val="en-US" w:eastAsia="zh-CN" w:bidi="ar"/>
        </w:rPr>
        <w:t>汇智湾公园管理，约36万平方米，</w:t>
      </w:r>
      <w:r>
        <w:rPr>
          <w:rFonts w:hint="eastAsia" w:ascii="宋体" w:hAnsi="宋体" w:eastAsia="宋体" w:cs="宋体"/>
          <w:b/>
          <w:bCs/>
          <w:color w:val="auto"/>
          <w:sz w:val="24"/>
          <w:highlight w:val="none"/>
          <w:lang w:val="en-US" w:eastAsia="zh-CN" w:bidi="ar"/>
        </w:rPr>
        <w:t>包括公园内的绿化养护、安保秩序、保洁服务（包含水面）、各种公共设施设备的维护和公园内的消防、防溺水（设施设备自理）、除雪等安全综合性服务。公园内水、电费用由</w:t>
      </w:r>
      <w:r>
        <w:rPr>
          <w:rFonts w:hint="eastAsia" w:ascii="宋体" w:hAnsi="宋体" w:cs="宋体"/>
          <w:b/>
          <w:bCs/>
          <w:color w:val="auto"/>
          <w:sz w:val="24"/>
          <w:highlight w:val="none"/>
          <w:lang w:val="en-US" w:eastAsia="zh-CN" w:bidi="ar"/>
        </w:rPr>
        <w:t>中标人</w:t>
      </w:r>
      <w:r>
        <w:rPr>
          <w:rFonts w:hint="eastAsia" w:ascii="宋体" w:hAnsi="宋体" w:eastAsia="宋体" w:cs="宋体"/>
          <w:b/>
          <w:bCs/>
          <w:color w:val="auto"/>
          <w:sz w:val="24"/>
          <w:highlight w:val="none"/>
          <w:lang w:val="en-US" w:eastAsia="zh-CN" w:bidi="ar"/>
        </w:rPr>
        <w:t>各承担500元/月，超出部分由</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承担，涉及到维修的须经过</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书面同意后方可维修，维修费用由</w:t>
      </w:r>
      <w:r>
        <w:rPr>
          <w:rFonts w:hint="eastAsia" w:ascii="宋体" w:hAnsi="宋体" w:cs="宋体"/>
          <w:b/>
          <w:bCs/>
          <w:color w:val="auto"/>
          <w:sz w:val="24"/>
          <w:highlight w:val="none"/>
          <w:lang w:val="en-US" w:eastAsia="zh-CN" w:bidi="ar"/>
        </w:rPr>
        <w:t>中标人</w:t>
      </w:r>
      <w:r>
        <w:rPr>
          <w:rFonts w:hint="eastAsia" w:ascii="宋体" w:hAnsi="宋体" w:eastAsia="宋体" w:cs="宋体"/>
          <w:b/>
          <w:bCs/>
          <w:color w:val="auto"/>
          <w:sz w:val="24"/>
          <w:highlight w:val="none"/>
          <w:lang w:val="en-US" w:eastAsia="zh-CN" w:bidi="ar"/>
        </w:rPr>
        <w:t>承担1万元/年，超出部分由</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二次招标维修。</w:t>
      </w:r>
    </w:p>
    <w:p w14:paraId="71DBE572">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drawing>
          <wp:anchor distT="0" distB="0" distL="114300" distR="114300" simplePos="0" relativeHeight="251659264" behindDoc="0" locked="0" layoutInCell="1" allowOverlap="1">
            <wp:simplePos x="0" y="0"/>
            <wp:positionH relativeFrom="column">
              <wp:posOffset>571500</wp:posOffset>
            </wp:positionH>
            <wp:positionV relativeFrom="paragraph">
              <wp:posOffset>239395</wp:posOffset>
            </wp:positionV>
            <wp:extent cx="4359275" cy="2757170"/>
            <wp:effectExtent l="0" t="0" r="12700" b="3175"/>
            <wp:wrapNone/>
            <wp:docPr id="2" name="图片 2" descr="98e64ee5-ad7e-4f24-9155-f516ad5c3f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8e64ee5-ad7e-4f24-9155-f516ad5c3fec"/>
                    <pic:cNvPicPr>
                      <a:picLocks noChangeAspect="1"/>
                    </pic:cNvPicPr>
                  </pic:nvPicPr>
                  <pic:blipFill>
                    <a:blip r:embed="rId8"/>
                    <a:stretch>
                      <a:fillRect/>
                    </a:stretch>
                  </pic:blipFill>
                  <pic:spPr>
                    <a:xfrm>
                      <a:off x="1246505" y="1064260"/>
                      <a:ext cx="4359275" cy="2757170"/>
                    </a:xfrm>
                    <a:prstGeom prst="rect">
                      <a:avLst/>
                    </a:prstGeom>
                  </pic:spPr>
                </pic:pic>
              </a:graphicData>
            </a:graphic>
          </wp:anchor>
        </w:drawing>
      </w:r>
    </w:p>
    <w:p w14:paraId="2B86532F">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宋体" w:cs="宋体"/>
          <w:b/>
          <w:bCs/>
          <w:color w:val="auto"/>
          <w:sz w:val="24"/>
          <w:highlight w:val="none"/>
          <w:lang w:val="en-US" w:eastAsia="zh-CN" w:bidi="ar"/>
        </w:rPr>
      </w:pPr>
    </w:p>
    <w:p w14:paraId="2A65C4B6">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宋体" w:cs="宋体"/>
          <w:b/>
          <w:bCs/>
          <w:color w:val="auto"/>
          <w:sz w:val="24"/>
          <w:highlight w:val="none"/>
          <w:lang w:val="en-US" w:eastAsia="zh-CN" w:bidi="ar"/>
        </w:rPr>
      </w:pPr>
    </w:p>
    <w:p w14:paraId="123676E5">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宋体" w:cs="宋体"/>
          <w:b/>
          <w:bCs/>
          <w:color w:val="auto"/>
          <w:sz w:val="24"/>
          <w:highlight w:val="none"/>
          <w:lang w:val="en-US" w:eastAsia="zh-CN" w:bidi="ar"/>
        </w:rPr>
      </w:pPr>
    </w:p>
    <w:p w14:paraId="54F34C6E">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宋体" w:cs="宋体"/>
          <w:b/>
          <w:bCs/>
          <w:color w:val="auto"/>
          <w:sz w:val="24"/>
          <w:highlight w:val="none"/>
          <w:lang w:val="en-US" w:eastAsia="zh-CN" w:bidi="ar"/>
        </w:rPr>
      </w:pPr>
    </w:p>
    <w:p w14:paraId="3815FCCD">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default" w:ascii="宋体" w:hAnsi="宋体" w:eastAsia="宋体" w:cs="宋体"/>
          <w:b/>
          <w:bCs/>
          <w:color w:val="auto"/>
          <w:sz w:val="24"/>
          <w:highlight w:val="none"/>
          <w:lang w:val="en-US" w:eastAsia="zh-CN" w:bidi="ar"/>
        </w:rPr>
      </w:pPr>
    </w:p>
    <w:p w14:paraId="0DFFE2D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p>
    <w:p w14:paraId="38F774D3">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p>
    <w:p w14:paraId="0492F8A1">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三、服务内容及要求</w:t>
      </w:r>
    </w:p>
    <w:p w14:paraId="2DE63D4B">
      <w:pPr>
        <w:autoSpaceDE w:val="0"/>
        <w:spacing w:line="480" w:lineRule="exact"/>
        <w:ind w:firstLine="480" w:firstLineChars="200"/>
        <w:rPr>
          <w:rFonts w:hint="eastAsia" w:ascii="宋体" w:hAnsi="宋体" w:eastAsia="宋体" w:cs="宋体"/>
          <w:color w:val="auto"/>
          <w:sz w:val="24"/>
          <w:highlight w:val="none"/>
          <w:lang w:eastAsia="zh-CN" w:bidi="ar"/>
        </w:rPr>
      </w:pPr>
      <w:bookmarkStart w:id="44" w:name="_Toc30824"/>
      <w:r>
        <w:rPr>
          <w:rFonts w:hint="eastAsia" w:ascii="宋体" w:hAnsi="宋体" w:cs="宋体"/>
          <w:color w:val="auto"/>
          <w:sz w:val="24"/>
          <w:highlight w:val="none"/>
          <w:lang w:eastAsia="zh-CN" w:bidi="ar"/>
        </w:rPr>
        <w:t>（</w:t>
      </w:r>
      <w:r>
        <w:rPr>
          <w:rFonts w:hint="eastAsia" w:ascii="宋体" w:hAnsi="宋体" w:cs="宋体"/>
          <w:color w:val="auto"/>
          <w:sz w:val="24"/>
          <w:highlight w:val="none"/>
          <w:lang w:val="en-US" w:eastAsia="zh-CN" w:bidi="ar"/>
        </w:rPr>
        <w:t>一</w:t>
      </w:r>
      <w:r>
        <w:rPr>
          <w:rFonts w:hint="eastAsia" w:ascii="宋体" w:hAnsi="宋体" w:cs="宋体"/>
          <w:color w:val="auto"/>
          <w:sz w:val="24"/>
          <w:highlight w:val="none"/>
          <w:lang w:eastAsia="zh-CN" w:bidi="ar"/>
        </w:rPr>
        <w:t>）</w:t>
      </w:r>
      <w:r>
        <w:rPr>
          <w:rFonts w:hint="eastAsia" w:ascii="宋体" w:hAnsi="宋体" w:eastAsia="宋体" w:cs="宋体"/>
          <w:color w:val="auto"/>
          <w:sz w:val="24"/>
          <w:highlight w:val="none"/>
          <w:lang w:eastAsia="zh-CN" w:bidi="ar"/>
        </w:rPr>
        <w:t>中标人须对上述养护范围内的全部绿化及设施提供以下养护服务，养护标准须满足采购需求及国家相关规范要求：</w:t>
      </w:r>
    </w:p>
    <w:p w14:paraId="0498256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w:t>
      </w:r>
      <w:r>
        <w:rPr>
          <w:rFonts w:hint="eastAsia" w:ascii="宋体" w:hAnsi="宋体" w:eastAsia="宋体" w:cs="宋体"/>
          <w:color w:val="auto"/>
          <w:sz w:val="24"/>
          <w:highlight w:val="none"/>
          <w:lang w:eastAsia="zh-CN" w:bidi="ar"/>
        </w:rPr>
        <w:t>绿地保洁。养护区域内须每日进行清扫保洁，做到绿地内无垃圾、无杂物、无枯枝落叶堆积。绿化养护产生的垃圾须日产日清，禁止在绿地内焚烧或掩埋垃圾。非绿化养护产生的垃圾由环卫保洁人员清理，不属于中标人职责范围。</w:t>
      </w:r>
    </w:p>
    <w:p w14:paraId="4D3C3A9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eastAsia="zh-CN" w:bidi="ar"/>
        </w:rPr>
        <w:t>杂草清除。绿地内杂草须及时清除，做到基本无杂草，草坪纯度不低于百分之九十五。</w:t>
      </w:r>
    </w:p>
    <w:p w14:paraId="0752FC9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3.</w:t>
      </w:r>
      <w:r>
        <w:rPr>
          <w:rFonts w:hint="eastAsia" w:ascii="宋体" w:hAnsi="宋体" w:eastAsia="宋体" w:cs="宋体"/>
          <w:color w:val="auto"/>
          <w:sz w:val="24"/>
          <w:highlight w:val="none"/>
          <w:lang w:eastAsia="zh-CN" w:bidi="ar"/>
        </w:rPr>
        <w:t>修剪整形。乔木、灌木、绿篱、草坪须按季节和植物生长规律进行修剪，保持景观效果。行道树须及时修剪下垂枝、枯枝以及遮挡交通视线和路灯照明的枝条，修剪须符合相关技术规范要求。</w:t>
      </w:r>
    </w:p>
    <w:p w14:paraId="2CD8DF1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4.</w:t>
      </w:r>
      <w:r>
        <w:rPr>
          <w:rFonts w:hint="eastAsia" w:ascii="宋体" w:hAnsi="宋体" w:eastAsia="宋体" w:cs="宋体"/>
          <w:color w:val="auto"/>
          <w:sz w:val="24"/>
          <w:highlight w:val="none"/>
          <w:lang w:eastAsia="zh-CN" w:bidi="ar"/>
        </w:rPr>
        <w:t>病虫害防治。贯彻“预防为主，综合防治”的方针，根据苗木品种和季节特点制定年度病虫害防治计划，做到对症下药、及时防治。采用化学防治时须选用高效低毒药剂，并注意用药安全和环境保护，确保苗木无大面积病虫害危害。</w:t>
      </w:r>
    </w:p>
    <w:p w14:paraId="772C3D4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5.</w:t>
      </w:r>
      <w:r>
        <w:rPr>
          <w:rFonts w:hint="eastAsia" w:ascii="宋体" w:hAnsi="宋体" w:eastAsia="宋体" w:cs="宋体"/>
          <w:color w:val="auto"/>
          <w:sz w:val="24"/>
          <w:highlight w:val="none"/>
          <w:lang w:eastAsia="zh-CN" w:bidi="ar"/>
        </w:rPr>
        <w:t>浇水施肥。根据天气、土壤和苗木生长情况，合理安排浇水和施肥。夏季干旱季节须及时补水，冬季须根据气温合理安排冬灌。施肥须根据不同苗木品种和生长阶段，选择合适的肥料品种和施用量，确保苗木正常生长。</w:t>
      </w:r>
    </w:p>
    <w:p w14:paraId="34543FD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6.</w:t>
      </w:r>
      <w:r>
        <w:rPr>
          <w:rFonts w:hint="eastAsia" w:ascii="宋体" w:hAnsi="宋体" w:eastAsia="宋体" w:cs="宋体"/>
          <w:color w:val="auto"/>
          <w:sz w:val="24"/>
          <w:highlight w:val="none"/>
          <w:lang w:eastAsia="zh-CN" w:bidi="ar"/>
        </w:rPr>
        <w:t>防寒保暖。冬季对易受冻害苗木采取涂白、包扎、培土、搭设风障等防寒措施。涂白工作须在每年十一月底前完成，涂白高度一致、均匀美观。</w:t>
      </w:r>
    </w:p>
    <w:p w14:paraId="39D8D80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7.</w:t>
      </w:r>
      <w:r>
        <w:rPr>
          <w:rFonts w:hint="eastAsia" w:ascii="宋体" w:hAnsi="宋体" w:eastAsia="宋体" w:cs="宋体"/>
          <w:color w:val="auto"/>
          <w:sz w:val="24"/>
          <w:highlight w:val="none"/>
          <w:lang w:eastAsia="zh-CN" w:bidi="ar"/>
        </w:rPr>
        <w:t>补植补种。根据现有状况，对无苗木区域进行补种；因养护不当等原因造成苗木死亡的，须在适宜季节及时补植。补植苗木的品种、规格原则上须与原苗木保持一致，补植后须落实管护措施确保成活，相关费用由中标人承担。</w:t>
      </w:r>
    </w:p>
    <w:p w14:paraId="3795A29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8.</w:t>
      </w:r>
      <w:r>
        <w:rPr>
          <w:rFonts w:hint="eastAsia" w:ascii="宋体" w:hAnsi="宋体" w:eastAsia="宋体" w:cs="宋体"/>
          <w:color w:val="auto"/>
          <w:sz w:val="24"/>
          <w:highlight w:val="none"/>
          <w:lang w:eastAsia="zh-CN" w:bidi="ar"/>
        </w:rPr>
        <w:t>应急抢险。建立应急抢险机制，组建应急抢险队伍，配备必要的抢险设备。抢险联系电话须保持二十四小时畅通，遇险情须在三十分钟内到达现场处置。遇台风、暴雨、暴雪等灾害性天气须及时启动应急预案，组织绿化巡查，消除安全隐患，保证道路畅通和公共安全。市民投诉、市长热线、媒体曝光及数字城管案件须及时响应并按要求处置。</w:t>
      </w:r>
    </w:p>
    <w:p w14:paraId="52CD096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9.</w:t>
      </w:r>
      <w:r>
        <w:rPr>
          <w:rFonts w:hint="eastAsia" w:ascii="宋体" w:hAnsi="宋体" w:eastAsia="宋体" w:cs="宋体"/>
          <w:color w:val="auto"/>
          <w:sz w:val="24"/>
          <w:highlight w:val="none"/>
          <w:lang w:eastAsia="zh-CN" w:bidi="ar"/>
        </w:rPr>
        <w:t>台账管理。建立完善的养护管理台账，如实记录日常养护作业内容、人员出勤、病虫害防治用药、肥料施用、补植补种、应急抢险等情况，定期向招标人报送。养护资料须分类归档，做到可查询、可追溯。</w:t>
      </w:r>
    </w:p>
    <w:p w14:paraId="5BDADB6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10.</w:t>
      </w:r>
      <w:r>
        <w:rPr>
          <w:rFonts w:hint="eastAsia" w:ascii="宋体" w:hAnsi="宋体" w:eastAsia="宋体" w:cs="宋体"/>
          <w:color w:val="auto"/>
          <w:sz w:val="24"/>
          <w:highlight w:val="none"/>
          <w:lang w:eastAsia="zh-CN" w:bidi="ar"/>
        </w:rPr>
        <w:t>沟渠护坡养护。对红花湖路至洪武路段沟渠硬化护坡，须定期清理护坡杂草，保持护坡整洁，确保排水畅通，及时修复护坡设施的轻微损坏。</w:t>
      </w:r>
    </w:p>
    <w:p w14:paraId="5B0B937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11.</w:t>
      </w:r>
      <w:r>
        <w:rPr>
          <w:rFonts w:hint="eastAsia" w:ascii="宋体" w:hAnsi="宋体" w:eastAsia="宋体" w:cs="宋体"/>
          <w:color w:val="auto"/>
          <w:sz w:val="24"/>
          <w:highlight w:val="none"/>
          <w:lang w:eastAsia="zh-CN" w:bidi="ar"/>
        </w:rPr>
        <w:t>设施维护。对养护区域内的灌溉系统、绿化设施等定期检查维护，发现损坏须及时修复，确保设施完好可用。涉及安全设施的，须设置明显的警示标志。</w:t>
      </w:r>
    </w:p>
    <w:p w14:paraId="09343ECB">
      <w:pPr>
        <w:autoSpaceDE w:val="0"/>
        <w:spacing w:line="480" w:lineRule="exact"/>
        <w:ind w:firstLine="480" w:firstLineChars="200"/>
        <w:rPr>
          <w:rFonts w:hint="default"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12.</w:t>
      </w:r>
      <w:r>
        <w:rPr>
          <w:rFonts w:hint="eastAsia" w:ascii="宋体" w:hAnsi="宋体" w:eastAsia="宋体" w:cs="宋体"/>
          <w:color w:val="auto"/>
          <w:sz w:val="24"/>
          <w:highlight w:val="none"/>
          <w:lang w:eastAsia="zh-CN" w:bidi="ar"/>
        </w:rPr>
        <w:t>绿化移植服务。</w:t>
      </w:r>
      <w:r>
        <w:rPr>
          <w:rFonts w:hint="default" w:ascii="宋体" w:hAnsi="宋体" w:eastAsia="宋体" w:cs="宋体"/>
          <w:color w:val="auto"/>
          <w:sz w:val="24"/>
          <w:highlight w:val="none"/>
          <w:lang w:eastAsia="zh-CN" w:bidi="ar"/>
        </w:rPr>
        <w:t>因园区规划调整、基础设施建设或其他招标人要求的需要，中标人须按招标人指令对指定区域内的绿化（含乔木、灌木、草坪等）进行移植。移植工作包括：起挖、包扎、吊装、运输、栽植、养护及场地清理等全部环节。移植后的苗木须落实管护措施，确保成活率不低于90%。移植相关的一切费用（含人工费、机械费、材料费、运输费、养护费、伤亡补植费等）已全部包含在投标综合单价中，招标人不再就移植事项另行支付任何费用。具体移植数量和规格以招标人书面通知为准。</w:t>
      </w:r>
    </w:p>
    <w:p w14:paraId="0CEBD714">
      <w:pPr>
        <w:autoSpaceDE w:val="0"/>
        <w:spacing w:line="480" w:lineRule="exact"/>
        <w:ind w:firstLine="480" w:firstLineChars="200"/>
        <w:rPr>
          <w:rFonts w:hint="default" w:ascii="宋体" w:hAnsi="宋体" w:eastAsia="宋体" w:cs="宋体"/>
          <w:color w:val="auto"/>
          <w:sz w:val="24"/>
          <w:highlight w:val="none"/>
          <w:lang w:eastAsia="zh-CN" w:bidi="ar"/>
        </w:rPr>
      </w:pPr>
      <w:r>
        <w:rPr>
          <w:rFonts w:hint="eastAsia" w:ascii="宋体" w:hAnsi="宋体" w:eastAsia="宋体" w:cs="宋体"/>
          <w:color w:val="auto"/>
          <w:sz w:val="24"/>
          <w:highlight w:val="none"/>
          <w:lang w:val="en-US" w:eastAsia="zh-CN" w:bidi="ar"/>
        </w:rPr>
        <w:t>13.新建、改建、</w:t>
      </w:r>
      <w:r>
        <w:rPr>
          <w:rFonts w:hint="eastAsia" w:ascii="宋体" w:hAnsi="宋体" w:cs="宋体"/>
          <w:color w:val="auto"/>
          <w:sz w:val="24"/>
          <w:highlight w:val="none"/>
          <w:lang w:val="en-US" w:eastAsia="zh-CN" w:bidi="ar"/>
        </w:rPr>
        <w:t>原养护期到期</w:t>
      </w:r>
      <w:r>
        <w:rPr>
          <w:rFonts w:hint="eastAsia" w:ascii="宋体" w:hAnsi="宋体" w:eastAsia="宋体" w:cs="宋体"/>
          <w:color w:val="auto"/>
          <w:sz w:val="24"/>
          <w:highlight w:val="none"/>
          <w:lang w:val="en-US" w:eastAsia="zh-CN" w:bidi="ar"/>
        </w:rPr>
        <w:t>移交等情况发生可能发生增加超出</w:t>
      </w:r>
      <w:r>
        <w:rPr>
          <w:rFonts w:hint="eastAsia" w:ascii="宋体" w:hAnsi="宋体" w:cs="宋体"/>
          <w:color w:val="auto"/>
          <w:sz w:val="24"/>
          <w:highlight w:val="none"/>
          <w:lang w:val="en-US" w:eastAsia="zh-CN" w:bidi="ar"/>
        </w:rPr>
        <w:t>明细表范围以外的内容</w:t>
      </w:r>
      <w:r>
        <w:rPr>
          <w:rFonts w:hint="eastAsia" w:ascii="宋体" w:hAnsi="宋体" w:eastAsia="宋体" w:cs="宋体"/>
          <w:color w:val="auto"/>
          <w:sz w:val="24"/>
          <w:highlight w:val="none"/>
          <w:lang w:val="en-US" w:eastAsia="zh-CN" w:bidi="ar"/>
        </w:rPr>
        <w:t>，</w:t>
      </w:r>
      <w:r>
        <w:rPr>
          <w:rFonts w:hint="eastAsia" w:ascii="宋体" w:hAnsi="宋体" w:cs="宋体"/>
          <w:color w:val="auto"/>
          <w:sz w:val="24"/>
          <w:highlight w:val="none"/>
          <w:lang w:val="en-US" w:eastAsia="zh-CN" w:bidi="ar"/>
        </w:rPr>
        <w:t>招标人和中标人可</w:t>
      </w:r>
      <w:r>
        <w:rPr>
          <w:rFonts w:hint="eastAsia" w:ascii="宋体" w:hAnsi="宋体" w:eastAsia="宋体" w:cs="宋体"/>
          <w:color w:val="auto"/>
          <w:sz w:val="24"/>
          <w:highlight w:val="none"/>
          <w:lang w:val="en-US" w:eastAsia="zh-CN" w:bidi="ar"/>
        </w:rPr>
        <w:t>另行签订补充协议</w:t>
      </w:r>
      <w:r>
        <w:rPr>
          <w:rFonts w:hint="default" w:ascii="宋体" w:hAnsi="宋体" w:eastAsia="宋体" w:cs="宋体"/>
          <w:color w:val="auto"/>
          <w:sz w:val="24"/>
          <w:highlight w:val="none"/>
          <w:lang w:eastAsia="zh-CN" w:bidi="ar"/>
        </w:rPr>
        <w:t>。</w:t>
      </w:r>
    </w:p>
    <w:p w14:paraId="04E5E130">
      <w:pPr>
        <w:autoSpaceDE w:val="0"/>
        <w:spacing w:line="480" w:lineRule="exact"/>
        <w:ind w:firstLine="482" w:firstLineChars="200"/>
        <w:rPr>
          <w:rFonts w:hint="default" w:ascii="宋体" w:hAnsi="宋体" w:eastAsia="宋体" w:cs="宋体"/>
          <w:b/>
          <w:bCs/>
          <w:color w:val="auto"/>
          <w:sz w:val="24"/>
          <w:highlight w:val="none"/>
          <w:lang w:val="en-US" w:eastAsia="zh-CN" w:bidi="ar"/>
        </w:rPr>
      </w:pPr>
      <w:r>
        <w:rPr>
          <w:rFonts w:hint="eastAsia" w:ascii="宋体" w:hAnsi="宋体" w:cs="宋体"/>
          <w:b/>
          <w:bCs/>
          <w:color w:val="auto"/>
          <w:sz w:val="24"/>
          <w:highlight w:val="none"/>
          <w:lang w:val="en-US" w:eastAsia="zh-CN" w:bidi="ar"/>
        </w:rPr>
        <w:t>（二）</w:t>
      </w:r>
      <w:r>
        <w:rPr>
          <w:rFonts w:hint="eastAsia" w:ascii="宋体" w:hAnsi="宋体" w:eastAsia="宋体" w:cs="宋体"/>
          <w:b/>
          <w:bCs/>
          <w:color w:val="auto"/>
          <w:sz w:val="24"/>
          <w:highlight w:val="none"/>
          <w:lang w:val="en-US" w:eastAsia="zh-CN" w:bidi="ar"/>
        </w:rPr>
        <w:t>汪郢支河（汇智湾）水域面积约17万平方米；洪武路与黄庆湖路东南侧泄洪渠水域面积约5万平方米，共计约</w:t>
      </w:r>
      <w:r>
        <w:rPr>
          <w:rFonts w:hint="eastAsia" w:ascii="宋体" w:hAnsi="宋体" w:cs="宋体"/>
          <w:b/>
          <w:bCs/>
          <w:color w:val="auto"/>
          <w:sz w:val="24"/>
          <w:highlight w:val="none"/>
          <w:lang w:val="en-US" w:eastAsia="zh-CN" w:bidi="ar"/>
        </w:rPr>
        <w:t>22</w:t>
      </w:r>
      <w:r>
        <w:rPr>
          <w:rFonts w:hint="eastAsia" w:ascii="宋体" w:hAnsi="宋体" w:eastAsia="宋体" w:cs="宋体"/>
          <w:b/>
          <w:bCs/>
          <w:color w:val="auto"/>
          <w:sz w:val="24"/>
          <w:highlight w:val="none"/>
          <w:lang w:val="en-US" w:eastAsia="zh-CN" w:bidi="ar"/>
        </w:rPr>
        <w:t>万平方米。</w:t>
      </w:r>
      <w:r>
        <w:rPr>
          <w:rFonts w:hint="eastAsia" w:ascii="宋体" w:hAnsi="宋体" w:cs="宋体"/>
          <w:b/>
          <w:bCs/>
          <w:color w:val="auto"/>
          <w:sz w:val="24"/>
          <w:highlight w:val="none"/>
          <w:lang w:val="en-US" w:eastAsia="zh-CN" w:bidi="ar"/>
        </w:rPr>
        <w:t>汇智湾公园管理，约36万平方米，</w:t>
      </w:r>
      <w:r>
        <w:rPr>
          <w:rFonts w:hint="eastAsia" w:ascii="宋体" w:hAnsi="宋体" w:eastAsia="宋体" w:cs="宋体"/>
          <w:b/>
          <w:bCs/>
          <w:color w:val="auto"/>
          <w:sz w:val="24"/>
          <w:highlight w:val="none"/>
          <w:lang w:val="en-US" w:eastAsia="zh-CN" w:bidi="ar"/>
        </w:rPr>
        <w:t>包括公园内的绿化养护、安保秩序、保洁服务（包含水面）、各种公共设施设备的维护和公园内的消防、防溺水（设施设备自理）、除雪等安全综合性服务。公园内水、电费用由</w:t>
      </w:r>
      <w:r>
        <w:rPr>
          <w:rFonts w:hint="eastAsia" w:ascii="宋体" w:hAnsi="宋体" w:cs="宋体"/>
          <w:b/>
          <w:bCs/>
          <w:color w:val="auto"/>
          <w:sz w:val="24"/>
          <w:highlight w:val="none"/>
          <w:lang w:val="en-US" w:eastAsia="zh-CN" w:bidi="ar"/>
        </w:rPr>
        <w:t>中标人</w:t>
      </w:r>
      <w:r>
        <w:rPr>
          <w:rFonts w:hint="eastAsia" w:ascii="宋体" w:hAnsi="宋体" w:eastAsia="宋体" w:cs="宋体"/>
          <w:b/>
          <w:bCs/>
          <w:color w:val="auto"/>
          <w:sz w:val="24"/>
          <w:highlight w:val="none"/>
          <w:lang w:val="en-US" w:eastAsia="zh-CN" w:bidi="ar"/>
        </w:rPr>
        <w:t>各承担500元/月，超出部分由</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承担，涉及到维修的须经过</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书面同意后方可维修，维修费用由</w:t>
      </w:r>
      <w:r>
        <w:rPr>
          <w:rFonts w:hint="eastAsia" w:ascii="宋体" w:hAnsi="宋体" w:cs="宋体"/>
          <w:b/>
          <w:bCs/>
          <w:color w:val="auto"/>
          <w:sz w:val="24"/>
          <w:highlight w:val="none"/>
          <w:lang w:val="en-US" w:eastAsia="zh-CN" w:bidi="ar"/>
        </w:rPr>
        <w:t>中标人</w:t>
      </w:r>
      <w:r>
        <w:rPr>
          <w:rFonts w:hint="eastAsia" w:ascii="宋体" w:hAnsi="宋体" w:eastAsia="宋体" w:cs="宋体"/>
          <w:b/>
          <w:bCs/>
          <w:color w:val="auto"/>
          <w:sz w:val="24"/>
          <w:highlight w:val="none"/>
          <w:lang w:val="en-US" w:eastAsia="zh-CN" w:bidi="ar"/>
        </w:rPr>
        <w:t>承担1万元/年，超出部分由</w:t>
      </w:r>
      <w:r>
        <w:rPr>
          <w:rFonts w:hint="eastAsia" w:ascii="宋体" w:hAnsi="宋体" w:cs="宋体"/>
          <w:b/>
          <w:bCs/>
          <w:color w:val="auto"/>
          <w:sz w:val="24"/>
          <w:highlight w:val="none"/>
          <w:lang w:val="en-US" w:eastAsia="zh-CN" w:bidi="ar"/>
        </w:rPr>
        <w:t>采购人</w:t>
      </w:r>
      <w:r>
        <w:rPr>
          <w:rFonts w:hint="eastAsia" w:ascii="宋体" w:hAnsi="宋体" w:eastAsia="宋体" w:cs="宋体"/>
          <w:b/>
          <w:bCs/>
          <w:color w:val="auto"/>
          <w:sz w:val="24"/>
          <w:highlight w:val="none"/>
          <w:lang w:val="en-US" w:eastAsia="zh-CN" w:bidi="ar"/>
        </w:rPr>
        <w:t>二次招标维修</w:t>
      </w:r>
      <w:r>
        <w:rPr>
          <w:rFonts w:hint="eastAsia" w:ascii="宋体" w:hAnsi="宋体" w:cs="宋体"/>
          <w:b/>
          <w:bCs/>
          <w:color w:val="auto"/>
          <w:sz w:val="24"/>
          <w:highlight w:val="none"/>
          <w:lang w:val="en-US" w:eastAsia="zh-CN" w:bidi="ar"/>
        </w:rPr>
        <w:t>。</w:t>
      </w:r>
    </w:p>
    <w:p w14:paraId="0E69C1EC">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1.</w:t>
      </w:r>
      <w:r>
        <w:rPr>
          <w:rFonts w:hint="eastAsia" w:ascii="宋体" w:hAnsi="宋体" w:eastAsia="宋体" w:cs="宋体"/>
          <w:b/>
          <w:bCs/>
          <w:color w:val="auto"/>
          <w:sz w:val="24"/>
          <w:highlight w:val="none"/>
          <w:lang w:eastAsia="zh-CN" w:bidi="ar"/>
        </w:rPr>
        <w:t>基本服务</w:t>
      </w:r>
    </w:p>
    <w:p w14:paraId="1B7FF67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w:t>
      </w:r>
      <w:r>
        <w:rPr>
          <w:rFonts w:hint="eastAsia" w:ascii="宋体" w:hAnsi="宋体" w:eastAsia="宋体" w:cs="宋体"/>
          <w:color w:val="auto"/>
          <w:sz w:val="24"/>
          <w:highlight w:val="none"/>
          <w:lang w:eastAsia="zh-CN" w:bidi="ar"/>
        </w:rPr>
        <w:t>1 提供设施设备维护保养工作，确保公共设施设备的正常运行。</w:t>
      </w:r>
    </w:p>
    <w:p w14:paraId="7A7EDAC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1.2</w:t>
      </w:r>
      <w:r>
        <w:rPr>
          <w:rFonts w:hint="eastAsia" w:ascii="宋体" w:hAnsi="宋体" w:eastAsia="宋体" w:cs="宋体"/>
          <w:color w:val="auto"/>
          <w:sz w:val="24"/>
          <w:highlight w:val="none"/>
          <w:lang w:eastAsia="zh-CN" w:bidi="ar"/>
        </w:rPr>
        <w:t>提供全天候的公共秩序维护服务和安全防范服务。</w:t>
      </w:r>
    </w:p>
    <w:p w14:paraId="5911246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1.3</w:t>
      </w:r>
      <w:r>
        <w:rPr>
          <w:rFonts w:hint="eastAsia" w:ascii="宋体" w:hAnsi="宋体" w:eastAsia="宋体" w:cs="宋体"/>
          <w:color w:val="auto"/>
          <w:sz w:val="24"/>
          <w:highlight w:val="none"/>
          <w:lang w:eastAsia="zh-CN" w:bidi="ar"/>
        </w:rPr>
        <w:t>提供规范的环境保洁服务，为客户提供整洁、卫生、安全、美观的环境。</w:t>
      </w:r>
    </w:p>
    <w:p w14:paraId="374D99A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1.4</w:t>
      </w:r>
      <w:r>
        <w:rPr>
          <w:rFonts w:hint="eastAsia" w:ascii="宋体" w:hAnsi="宋体" w:eastAsia="宋体" w:cs="宋体"/>
          <w:color w:val="auto"/>
          <w:sz w:val="24"/>
          <w:highlight w:val="none"/>
          <w:lang w:eastAsia="zh-CN" w:bidi="ar"/>
        </w:rPr>
        <w:t>提供绿地养护服务，保持区域整体的景观效果。</w:t>
      </w:r>
    </w:p>
    <w:p w14:paraId="7E888DA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1.5</w:t>
      </w:r>
      <w:r>
        <w:rPr>
          <w:rFonts w:hint="eastAsia" w:ascii="宋体" w:hAnsi="宋体" w:eastAsia="宋体" w:cs="宋体"/>
          <w:color w:val="auto"/>
          <w:sz w:val="24"/>
          <w:highlight w:val="none"/>
          <w:lang w:eastAsia="zh-CN" w:bidi="ar"/>
        </w:rPr>
        <w:t>根据相关法律、法规，结合园区实际情况，对影响园区公共环境的各项环境因素进行识别和控制，制定环境管理措施。</w:t>
      </w:r>
    </w:p>
    <w:p w14:paraId="1B84E8F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1.6</w:t>
      </w:r>
      <w:r>
        <w:rPr>
          <w:rFonts w:hint="eastAsia" w:ascii="宋体" w:hAnsi="宋体" w:eastAsia="宋体" w:cs="宋体"/>
          <w:color w:val="auto"/>
          <w:sz w:val="24"/>
          <w:highlight w:val="none"/>
          <w:lang w:eastAsia="zh-CN" w:bidi="ar"/>
        </w:rPr>
        <w:t>对自然灾害、事故灾害、公共卫生事件和社会安全事件等突发公共事件建立突发事件应急处理预案，并组织实施培训、演习、评价和改进，事发时按规定途径及时报告客户和有关部门，并采取相应措施。</w:t>
      </w:r>
    </w:p>
    <w:p w14:paraId="136BDAB3">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2.</w:t>
      </w:r>
      <w:r>
        <w:rPr>
          <w:rFonts w:hint="eastAsia" w:ascii="宋体" w:hAnsi="宋体" w:eastAsia="宋体" w:cs="宋体"/>
          <w:b/>
          <w:bCs/>
          <w:color w:val="auto"/>
          <w:sz w:val="24"/>
          <w:highlight w:val="none"/>
          <w:lang w:eastAsia="zh-CN" w:bidi="ar"/>
        </w:rPr>
        <w:t>财务管理</w:t>
      </w:r>
    </w:p>
    <w:p w14:paraId="2365D50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建立健全财务管理制度，对管理费和其它费用的收支进行财务管理，运作规范，账目清晰。对于维修服务、延伸服务等费用须单独结算的应准确计算。</w:t>
      </w:r>
    </w:p>
    <w:p w14:paraId="3F119D19">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3.</w:t>
      </w:r>
      <w:r>
        <w:rPr>
          <w:rFonts w:hint="eastAsia" w:ascii="宋体" w:hAnsi="宋体" w:eastAsia="宋体" w:cs="宋体"/>
          <w:b/>
          <w:bCs/>
          <w:color w:val="auto"/>
          <w:sz w:val="24"/>
          <w:highlight w:val="none"/>
          <w:lang w:eastAsia="zh-CN" w:bidi="ar"/>
        </w:rPr>
        <w:t>档案管理</w:t>
      </w:r>
    </w:p>
    <w:p w14:paraId="208957B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有较完善的物业管理档案制度，档案内容至少应包括：</w:t>
      </w:r>
    </w:p>
    <w:p w14:paraId="066E2D0E">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eastAsia="zh-CN" w:bidi="ar"/>
        </w:rPr>
        <w:t>（</w:t>
      </w:r>
      <w:r>
        <w:rPr>
          <w:rFonts w:hint="eastAsia" w:ascii="宋体" w:hAnsi="宋体" w:cs="宋体"/>
          <w:color w:val="auto"/>
          <w:sz w:val="24"/>
          <w:highlight w:val="none"/>
          <w:lang w:val="en-US" w:eastAsia="zh-CN" w:bidi="ar"/>
        </w:rPr>
        <w:t>1</w:t>
      </w:r>
      <w:r>
        <w:rPr>
          <w:rFonts w:hint="eastAsia" w:ascii="宋体" w:hAnsi="宋体" w:cs="宋体"/>
          <w:color w:val="auto"/>
          <w:sz w:val="24"/>
          <w:highlight w:val="none"/>
          <w:lang w:eastAsia="zh-CN" w:bidi="ar"/>
        </w:rPr>
        <w:t>）</w:t>
      </w:r>
      <w:r>
        <w:rPr>
          <w:rFonts w:hint="eastAsia" w:ascii="宋体" w:hAnsi="宋体" w:eastAsia="宋体" w:cs="宋体"/>
          <w:color w:val="auto"/>
          <w:sz w:val="24"/>
          <w:highlight w:val="none"/>
          <w:lang w:eastAsia="zh-CN" w:bidi="ar"/>
        </w:rPr>
        <w:t>承接验收资料；</w:t>
      </w:r>
    </w:p>
    <w:p w14:paraId="177219C0">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eastAsia="zh-CN" w:bidi="ar"/>
        </w:rPr>
        <w:t>（</w:t>
      </w:r>
      <w:r>
        <w:rPr>
          <w:rFonts w:hint="eastAsia" w:ascii="宋体" w:hAnsi="宋体" w:cs="宋体"/>
          <w:color w:val="auto"/>
          <w:sz w:val="24"/>
          <w:highlight w:val="none"/>
          <w:lang w:val="en-US" w:eastAsia="zh-CN" w:bidi="ar"/>
        </w:rPr>
        <w:t>2</w:t>
      </w:r>
      <w:r>
        <w:rPr>
          <w:rFonts w:hint="eastAsia" w:ascii="宋体" w:hAnsi="宋体" w:cs="宋体"/>
          <w:color w:val="auto"/>
          <w:sz w:val="24"/>
          <w:highlight w:val="none"/>
          <w:lang w:eastAsia="zh-CN" w:bidi="ar"/>
        </w:rPr>
        <w:t>）</w:t>
      </w:r>
      <w:r>
        <w:rPr>
          <w:rFonts w:hint="eastAsia" w:ascii="宋体" w:hAnsi="宋体" w:eastAsia="宋体" w:cs="宋体"/>
          <w:color w:val="auto"/>
          <w:sz w:val="24"/>
          <w:highlight w:val="none"/>
          <w:lang w:eastAsia="zh-CN" w:bidi="ar"/>
        </w:rPr>
        <w:t>园区及其配套设施权属清册资料；</w:t>
      </w:r>
    </w:p>
    <w:p w14:paraId="5A42B1B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eastAsia="zh-CN" w:bidi="ar"/>
        </w:rPr>
        <w:t>（</w:t>
      </w:r>
      <w:r>
        <w:rPr>
          <w:rFonts w:hint="eastAsia" w:ascii="宋体" w:hAnsi="宋体" w:cs="宋体"/>
          <w:color w:val="auto"/>
          <w:sz w:val="24"/>
          <w:highlight w:val="none"/>
          <w:lang w:val="en-US" w:eastAsia="zh-CN" w:bidi="ar"/>
        </w:rPr>
        <w:t>3</w:t>
      </w:r>
      <w:r>
        <w:rPr>
          <w:rFonts w:hint="eastAsia" w:ascii="宋体" w:hAnsi="宋体" w:cs="宋体"/>
          <w:color w:val="auto"/>
          <w:sz w:val="24"/>
          <w:highlight w:val="none"/>
          <w:lang w:eastAsia="zh-CN" w:bidi="ar"/>
        </w:rPr>
        <w:t>）</w:t>
      </w:r>
      <w:r>
        <w:rPr>
          <w:rFonts w:hint="eastAsia" w:ascii="宋体" w:hAnsi="宋体" w:eastAsia="宋体" w:cs="宋体"/>
          <w:color w:val="auto"/>
          <w:sz w:val="24"/>
          <w:highlight w:val="none"/>
          <w:lang w:eastAsia="zh-CN" w:bidi="ar"/>
        </w:rPr>
        <w:t>设备设施维护管理资料；</w:t>
      </w:r>
    </w:p>
    <w:p w14:paraId="7F8EB72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eastAsia="zh-CN" w:bidi="ar"/>
        </w:rPr>
        <w:t>（</w:t>
      </w:r>
      <w:r>
        <w:rPr>
          <w:rFonts w:hint="eastAsia" w:ascii="宋体" w:hAnsi="宋体" w:cs="宋体"/>
          <w:color w:val="auto"/>
          <w:sz w:val="24"/>
          <w:highlight w:val="none"/>
          <w:lang w:val="en-US" w:eastAsia="zh-CN" w:bidi="ar"/>
        </w:rPr>
        <w:t>4</w:t>
      </w:r>
      <w:r>
        <w:rPr>
          <w:rFonts w:hint="eastAsia" w:ascii="宋体" w:hAnsi="宋体" w:cs="宋体"/>
          <w:color w:val="auto"/>
          <w:sz w:val="24"/>
          <w:highlight w:val="none"/>
          <w:lang w:eastAsia="zh-CN" w:bidi="ar"/>
        </w:rPr>
        <w:t>）</w:t>
      </w:r>
      <w:r>
        <w:rPr>
          <w:rFonts w:hint="eastAsia" w:ascii="宋体" w:hAnsi="宋体" w:eastAsia="宋体" w:cs="宋体"/>
          <w:color w:val="auto"/>
          <w:sz w:val="24"/>
          <w:highlight w:val="none"/>
          <w:lang w:eastAsia="zh-CN" w:bidi="ar"/>
        </w:rPr>
        <w:t>日常管理资料。</w:t>
      </w:r>
    </w:p>
    <w:p w14:paraId="214C29A3">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4.</w:t>
      </w:r>
      <w:r>
        <w:rPr>
          <w:rFonts w:hint="eastAsia" w:ascii="宋体" w:hAnsi="宋体" w:eastAsia="宋体" w:cs="宋体"/>
          <w:b/>
          <w:bCs/>
          <w:color w:val="auto"/>
          <w:sz w:val="24"/>
          <w:highlight w:val="none"/>
          <w:lang w:eastAsia="zh-CN" w:bidi="ar"/>
        </w:rPr>
        <w:t>安全管理与服务</w:t>
      </w:r>
    </w:p>
    <w:p w14:paraId="6B0D0A24">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4.1</w:t>
      </w:r>
      <w:r>
        <w:rPr>
          <w:rFonts w:hint="eastAsia" w:ascii="宋体" w:hAnsi="宋体" w:eastAsia="宋体" w:cs="宋体"/>
          <w:b/>
          <w:bCs/>
          <w:color w:val="auto"/>
          <w:sz w:val="24"/>
          <w:highlight w:val="none"/>
          <w:lang w:eastAsia="zh-CN" w:bidi="ar"/>
        </w:rPr>
        <w:t>内部运作要求</w:t>
      </w:r>
    </w:p>
    <w:p w14:paraId="30F94CB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.1.1在遵守国家有关法律法规的前提下，制定园区公共秩序维护方面的公众制度及内部管理规定，包括园区公共秩序维护岗位设置、岗位规范及职责、运作管理规程、设施设备使用管理规定等。</w:t>
      </w:r>
    </w:p>
    <w:p w14:paraId="7A92F93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.1.2 保安人员应统一着装，仪表仪容整洁端庄，熟悉园区及业户的基本情况，值岗时用语规范，服务主动。</w:t>
      </w:r>
    </w:p>
    <w:p w14:paraId="593B305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.1.3 书面形式记录各项工作的开展情况，包括值班记录和巡视记录、交接班记录、车辆进出记录、人员进出记录等。</w:t>
      </w:r>
    </w:p>
    <w:p w14:paraId="74127D5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.1.4 设置门岗、巡视及监控岗位，并配置相应的公共秩序维护人员；视实际需要和服务合同的约定设置其他岗位。</w:t>
      </w:r>
    </w:p>
    <w:p w14:paraId="40497A8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.1.5 配备专用物品、器材、设备，物资管理有序，可随时使用。</w:t>
      </w:r>
    </w:p>
    <w:p w14:paraId="3BC0FAD4">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4</w:t>
      </w:r>
      <w:r>
        <w:rPr>
          <w:rFonts w:hint="eastAsia" w:ascii="宋体" w:hAnsi="宋体" w:eastAsia="宋体" w:cs="宋体"/>
          <w:b/>
          <w:bCs/>
          <w:color w:val="auto"/>
          <w:sz w:val="24"/>
          <w:highlight w:val="none"/>
          <w:lang w:eastAsia="zh-CN" w:bidi="ar"/>
        </w:rPr>
        <w:t>.2 公共秩序维护</w:t>
      </w:r>
    </w:p>
    <w:p w14:paraId="69244E1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.2.1开放式园区应设有技防设施，通过技防和人防相结合的措施，确保园区内的有序和安全。对进出园区的车辆维护交通秩序，引导车辆行驶、停放有序。</w:t>
      </w:r>
    </w:p>
    <w:p w14:paraId="5D13E6B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eastAsia="zh-CN" w:bidi="ar"/>
        </w:rPr>
        <w:t xml:space="preserve"> 监控岗服务</w:t>
      </w:r>
    </w:p>
    <w:p w14:paraId="4D1E917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eastAsia="zh-CN" w:bidi="ar"/>
        </w:rPr>
        <w:t>.1 熟悉各类控制系统（如消防报警系统等）的操作方法并确保处于正常运行状态。</w:t>
      </w:r>
    </w:p>
    <w:p w14:paraId="67F56ED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eastAsia="zh-CN" w:bidi="ar"/>
        </w:rPr>
        <w:t>.2 监视、监控及报警系统设施设备应24小时开通，保持监控记录完整。</w:t>
      </w:r>
    </w:p>
    <w:p w14:paraId="2FEB197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2</w:t>
      </w:r>
      <w:r>
        <w:rPr>
          <w:rFonts w:hint="eastAsia" w:ascii="宋体" w:hAnsi="宋体" w:eastAsia="宋体" w:cs="宋体"/>
          <w:color w:val="auto"/>
          <w:sz w:val="24"/>
          <w:highlight w:val="none"/>
          <w:lang w:eastAsia="zh-CN" w:bidi="ar"/>
        </w:rPr>
        <w:t>.3 监控人员对监控记录应严格保密，未经上级允许，不得擅自泄露记录内容和资料。</w:t>
      </w:r>
    </w:p>
    <w:p w14:paraId="567B76E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3</w:t>
      </w:r>
      <w:r>
        <w:rPr>
          <w:rFonts w:hint="eastAsia" w:ascii="宋体" w:hAnsi="宋体" w:eastAsia="宋体" w:cs="宋体"/>
          <w:color w:val="auto"/>
          <w:sz w:val="24"/>
          <w:highlight w:val="none"/>
          <w:lang w:eastAsia="zh-CN" w:bidi="ar"/>
        </w:rPr>
        <w:t xml:space="preserve"> 巡视岗服务</w:t>
      </w:r>
    </w:p>
    <w:p w14:paraId="00997A2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3</w:t>
      </w:r>
      <w:r>
        <w:rPr>
          <w:rFonts w:hint="eastAsia" w:ascii="宋体" w:hAnsi="宋体" w:eastAsia="宋体" w:cs="宋体"/>
          <w:color w:val="auto"/>
          <w:sz w:val="24"/>
          <w:highlight w:val="none"/>
          <w:lang w:eastAsia="zh-CN" w:bidi="ar"/>
        </w:rPr>
        <w:t>.1 制定固定或非固定的巡视路线和巡视频次，对重点区域、重点部位、车棚、物品堆放点、死角和隐蔽点等应纳入巡视范围。</w:t>
      </w:r>
    </w:p>
    <w:p w14:paraId="1FCB318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.2.</w:t>
      </w:r>
      <w:r>
        <w:rPr>
          <w:rFonts w:hint="eastAsia" w:ascii="宋体" w:hAnsi="宋体" w:cs="宋体"/>
          <w:color w:val="auto"/>
          <w:sz w:val="24"/>
          <w:highlight w:val="none"/>
          <w:lang w:val="en-US" w:eastAsia="zh-CN" w:bidi="ar"/>
        </w:rPr>
        <w:t>3</w:t>
      </w:r>
      <w:r>
        <w:rPr>
          <w:rFonts w:hint="eastAsia" w:ascii="宋体" w:hAnsi="宋体" w:eastAsia="宋体" w:cs="宋体"/>
          <w:color w:val="auto"/>
          <w:sz w:val="24"/>
          <w:highlight w:val="none"/>
          <w:lang w:eastAsia="zh-CN" w:bidi="ar"/>
        </w:rPr>
        <w:t>.2 通过巡视或监控及其他各岗位共同监视和维护园区内的正常秩序，发现违约、违规、违章和异常现象应及时制止并报告。</w:t>
      </w:r>
    </w:p>
    <w:p w14:paraId="2AC03503">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4</w:t>
      </w:r>
      <w:r>
        <w:rPr>
          <w:rFonts w:hint="eastAsia" w:ascii="宋体" w:hAnsi="宋体" w:eastAsia="宋体" w:cs="宋体"/>
          <w:b/>
          <w:bCs/>
          <w:color w:val="auto"/>
          <w:sz w:val="24"/>
          <w:highlight w:val="none"/>
          <w:lang w:eastAsia="zh-CN" w:bidi="ar"/>
        </w:rPr>
        <w:t>.3 园区治安防范</w:t>
      </w:r>
    </w:p>
    <w:p w14:paraId="4EA265F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.3.1 正确区分、处理一般事件、突发事件和恶性事件，并予以及时、妥善处置。</w:t>
      </w:r>
    </w:p>
    <w:p w14:paraId="5C93194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.3.2 协助做好园区内的安全防范工作，发生安全事故时，应及时向上级行政主管部门报告。</w:t>
      </w:r>
    </w:p>
    <w:p w14:paraId="2330981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.3.3 制定园区突发治安事件的突发事件应急处理预案，并在物业办公室、监控中心等处室内悬挂，每年应组织不少于1次的突发治安事件应急演习。</w:t>
      </w:r>
    </w:p>
    <w:p w14:paraId="1ECC7670">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4</w:t>
      </w:r>
      <w:r>
        <w:rPr>
          <w:rFonts w:hint="eastAsia" w:ascii="宋体" w:hAnsi="宋体" w:eastAsia="宋体" w:cs="宋体"/>
          <w:b/>
          <w:bCs/>
          <w:color w:val="auto"/>
          <w:sz w:val="24"/>
          <w:highlight w:val="none"/>
          <w:lang w:eastAsia="zh-CN" w:bidi="ar"/>
        </w:rPr>
        <w:t>.4</w:t>
      </w:r>
      <w:r>
        <w:rPr>
          <w:rFonts w:hint="eastAsia" w:ascii="宋体" w:hAnsi="宋体" w:cs="宋体"/>
          <w:b/>
          <w:bCs/>
          <w:color w:val="auto"/>
          <w:sz w:val="24"/>
          <w:highlight w:val="none"/>
          <w:lang w:val="en-US" w:eastAsia="zh-CN" w:bidi="ar"/>
        </w:rPr>
        <w:t xml:space="preserve"> </w:t>
      </w:r>
      <w:r>
        <w:rPr>
          <w:rFonts w:hint="eastAsia" w:ascii="宋体" w:hAnsi="宋体" w:eastAsia="宋体" w:cs="宋体"/>
          <w:b/>
          <w:bCs/>
          <w:color w:val="auto"/>
          <w:sz w:val="24"/>
          <w:highlight w:val="none"/>
          <w:lang w:eastAsia="zh-CN" w:bidi="ar"/>
        </w:rPr>
        <w:t>消防安全</w:t>
      </w:r>
    </w:p>
    <w:p w14:paraId="3A263B6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.4.1 消防器材</w:t>
      </w:r>
    </w:p>
    <w:p w14:paraId="7E59AE4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.4.1.1 应结合园区的火灾危险性，针对易燃易爆物品的特点进行合理的配置。</w:t>
      </w:r>
    </w:p>
    <w:p w14:paraId="49606B5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.4.1.2 对管理区域内所有消防器材和消防系统进行统计，建立台帐，统一管理。</w:t>
      </w:r>
    </w:p>
    <w:p w14:paraId="004B5AC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.4.1.3 定期对辖区内消防系统、消防器材进行巡视、检查、测试、维保，凡失效、损坏的要及时维修更换，确保其处于整洁和完好备用状态。</w:t>
      </w:r>
    </w:p>
    <w:p w14:paraId="6B97EE20">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.4.2 消防通道</w:t>
      </w:r>
    </w:p>
    <w:p w14:paraId="2996836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.4.2.1确保消防通道标识规范、清晰、完好。</w:t>
      </w:r>
    </w:p>
    <w:p w14:paraId="2B382B8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.4.2.2确保消防通道通畅、安全。</w:t>
      </w:r>
    </w:p>
    <w:p w14:paraId="0ABBB74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4</w:t>
      </w:r>
      <w:r>
        <w:rPr>
          <w:rFonts w:hint="eastAsia" w:ascii="宋体" w:hAnsi="宋体" w:eastAsia="宋体" w:cs="宋体"/>
          <w:color w:val="auto"/>
          <w:sz w:val="24"/>
          <w:highlight w:val="none"/>
          <w:lang w:eastAsia="zh-CN" w:bidi="ar"/>
        </w:rPr>
        <w:t>.4.3 消防演练与培训</w:t>
      </w:r>
    </w:p>
    <w:p w14:paraId="3B4045C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根据园区情况，制定消防实操培训和消防常识培训计划并实施，每年进行不少于一次的消防实战演练。</w:t>
      </w:r>
    </w:p>
    <w:p w14:paraId="15399B09">
      <w:pPr>
        <w:numPr>
          <w:ilvl w:val="0"/>
          <w:numId w:val="3"/>
        </w:num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eastAsia="宋体" w:cs="宋体"/>
          <w:b/>
          <w:bCs/>
          <w:color w:val="auto"/>
          <w:sz w:val="24"/>
          <w:highlight w:val="none"/>
          <w:lang w:eastAsia="zh-CN" w:bidi="ar"/>
        </w:rPr>
        <w:t>环境卫生管理与服务</w:t>
      </w:r>
    </w:p>
    <w:p w14:paraId="4A182B5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 公共区域共用部位环境保洁服务基本要求</w:t>
      </w:r>
    </w:p>
    <w:p w14:paraId="5F0F6CB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.1.1地面、绿地（含草坪、灌木等有植物覆盖的地面等）等实行全天候保洁，垃圾及时清运到指定地点。</w:t>
      </w:r>
    </w:p>
    <w:p w14:paraId="41DDF95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.1.2每天抹刷警示牌、栏杆、垃圾筒等设施一次，每周至少清洗一次，做到无油迹、无灰尘，保持清洁整齐。</w:t>
      </w:r>
    </w:p>
    <w:p w14:paraId="18D7961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.1.3无乱贴、乱画；无积水、沙土、碎石等废弃物。</w:t>
      </w:r>
    </w:p>
    <w:p w14:paraId="5FDF58D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.1.4无果皮、纸屑、烟头、方便袋、痰迹及枯枝落叶和其他杂物。</w:t>
      </w:r>
    </w:p>
    <w:p w14:paraId="1475A4F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.1.5树木、灯杆等无蛛网。</w:t>
      </w:r>
    </w:p>
    <w:p w14:paraId="679EF9B0">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.1.6果皮箱内垃圾不得过半。</w:t>
      </w:r>
    </w:p>
    <w:p w14:paraId="28A8341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要求：①干净、无垃圾、无杂物等</w:t>
      </w:r>
    </w:p>
    <w:p w14:paraId="1F3CC60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 xml:space="preserve">      ②垃圾收集、运输、处理等费用自拟、园区内垃圾箱数量要满足实际需要。</w:t>
      </w:r>
    </w:p>
    <w:p w14:paraId="7B6D546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.2 环境绿化管理</w:t>
      </w:r>
    </w:p>
    <w:p w14:paraId="0E3F0A3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.2.1 适时对树木草坪进行修剪造型、抗旱浇水、施肥、防治病虫害、除杂草等日常维护工作，保证园区内绿化茂盛、有型、不枯残缺株等。具体标准为：</w:t>
      </w:r>
    </w:p>
    <w:p w14:paraId="1879F6A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.2.2整形灌木修剪要及时，绿篱修剪要横平竖直，球类要圆，不偏冠，徒长枝不超过10㎝，乔木要适时提杆，清除萌发枝，花果苗木要适时修剪、造型，确保美观怡人。</w:t>
      </w:r>
    </w:p>
    <w:p w14:paraId="61A319E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.2.3草坪纯度控制在95%以上，基本无杂草，草坪边缘整齐，分界清楚，保持高度一致，草坪高度以8-10㎝为宜。</w:t>
      </w:r>
    </w:p>
    <w:p w14:paraId="1F77749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.2.4乔木主干垂直于地面，倾斜角不得大于30度，遇自然因素造成的倾斜应及时扶正，培土加固等。</w:t>
      </w:r>
    </w:p>
    <w:p w14:paraId="444801E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 xml:space="preserve">.2.5对死枝、枯枝要及时发现，及时清除，及时补植、做到无黄叶、枯枝、枯梢等危害状，病虫株控制在10%以内。 </w:t>
      </w:r>
    </w:p>
    <w:p w14:paraId="6E094BC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.3 环境污染防治 </w:t>
      </w:r>
    </w:p>
    <w:p w14:paraId="01D0D2C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.3.1 建立节能和废弃物控制的制度，通过宣传等形式向群众传达环境管理意识，减少环境污染、提高能源、资源利用效率。</w:t>
      </w:r>
    </w:p>
    <w:p w14:paraId="384C777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.3.2对公共区域和业户日常垃圾、废弃物集中收集，交由具备专业资质许可的处理单位统一清运、处理。</w:t>
      </w:r>
    </w:p>
    <w:p w14:paraId="2173648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 公厕管理标准</w:t>
      </w:r>
    </w:p>
    <w:p w14:paraId="26B9A62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.4.1厕内墙面、天花板、门窗和隔断板洁净，公厕内无积灰、无污迹、无异味、无蛛网、无积尿、积水等物。</w:t>
      </w:r>
    </w:p>
    <w:p w14:paraId="577D29B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.4.2蹲位整洁，大、小便器内无积存，储粪池不满溢。</w:t>
      </w:r>
    </w:p>
    <w:p w14:paraId="4093834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.4.3内外部照明灯具、标志、洗手器具、面镜、挂衣钩、烘手机、冲水设备无损伤，无积灰等污物。</w:t>
      </w:r>
    </w:p>
    <w:p w14:paraId="255EDA2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.4.4外墙、屋顶及责任区域整洁，无杂物堆积。</w:t>
      </w:r>
    </w:p>
    <w:p w14:paraId="6C3293F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.4.5管理间物品摆放有序、整洁。</w:t>
      </w:r>
    </w:p>
    <w:p w14:paraId="13A5BFC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.4.6定时喷洒灭蝇药物，做到随有随灭。</w:t>
      </w:r>
    </w:p>
    <w:p w14:paraId="018B047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5</w:t>
      </w:r>
      <w:r>
        <w:rPr>
          <w:rFonts w:hint="eastAsia" w:ascii="宋体" w:hAnsi="宋体" w:eastAsia="宋体" w:cs="宋体"/>
          <w:color w:val="auto"/>
          <w:sz w:val="24"/>
          <w:highlight w:val="none"/>
          <w:lang w:eastAsia="zh-CN" w:bidi="ar"/>
        </w:rPr>
        <w:t>.4.7公厕内管线要定时检修，并保持水电畅通，丢失或损坏应及时补充维修，确保正常使用。</w:t>
      </w:r>
    </w:p>
    <w:p w14:paraId="1D366568">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6.</w:t>
      </w:r>
      <w:r>
        <w:rPr>
          <w:rFonts w:hint="eastAsia" w:ascii="宋体" w:hAnsi="宋体" w:eastAsia="宋体" w:cs="宋体"/>
          <w:b/>
          <w:bCs/>
          <w:color w:val="auto"/>
          <w:sz w:val="24"/>
          <w:highlight w:val="none"/>
          <w:lang w:eastAsia="zh-CN" w:bidi="ar"/>
        </w:rPr>
        <w:t>建筑物、设备设施运行与维护</w:t>
      </w:r>
    </w:p>
    <w:p w14:paraId="3A29A670">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.1 建筑物</w:t>
      </w:r>
    </w:p>
    <w:p w14:paraId="58841E7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.1.1 根据《建设工程质量管理条例》的要求，制定各类建筑物及设备的运行维护档案和作业规范，做好建筑物和设施设备的维保工作。</w:t>
      </w:r>
    </w:p>
    <w:p w14:paraId="5932D03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.1.2 定期巡查建筑物公共部位的安全状况，配合有关部门进行建筑物的安全检查。</w:t>
      </w:r>
    </w:p>
    <w:p w14:paraId="1F022A7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.2 供配电系统</w:t>
      </w:r>
    </w:p>
    <w:p w14:paraId="1FC0F7A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.2.1 制定供配电系统的运行维护作业规范和程序，保持园区变配电设备运行正常。</w:t>
      </w:r>
    </w:p>
    <w:p w14:paraId="2F738100">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.2.2编制维保、检查计划对变配电设备、设施进行检修、维护和检测。</w:t>
      </w:r>
    </w:p>
    <w:p w14:paraId="63A2AFE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.3 雷电防护系统</w:t>
      </w:r>
    </w:p>
    <w:p w14:paraId="370745BE">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.3.1 做好雷电防护系统的日常维护，定期检查，保持接地状况良好。</w:t>
      </w:r>
    </w:p>
    <w:p w14:paraId="3BA292E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.3.2 按规定对防雷装置定期进行检测。</w:t>
      </w:r>
    </w:p>
    <w:p w14:paraId="51B324F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.4 给排水系统</w:t>
      </w:r>
    </w:p>
    <w:p w14:paraId="4CF8B40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.4.1 保持系统中各类泵、阀门、表计、控制柜、管路完好正常。</w:t>
      </w:r>
    </w:p>
    <w:p w14:paraId="2D6795D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.4.2 管道色标和水流指示清晰，阀门开、关状态和水泵的使用、备用状态挂牌明示。</w:t>
      </w:r>
    </w:p>
    <w:p w14:paraId="60585E1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.4.3 定期保养检修系统中的各类设备。</w:t>
      </w:r>
    </w:p>
    <w:p w14:paraId="6C7B9083">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.4.7 雨季应加强园区内排水管井的检查，确保建筑物和道路排水畅通。</w:t>
      </w:r>
    </w:p>
    <w:p w14:paraId="6394585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.5 火灾报警系统</w:t>
      </w:r>
    </w:p>
    <w:p w14:paraId="310D030D">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w:t>
      </w:r>
    </w:p>
    <w:p w14:paraId="735F30E6">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.6 技术防范系统</w:t>
      </w:r>
    </w:p>
    <w:p w14:paraId="6CD14DE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.6.1 保持各类视频摄像机、入侵探测器、对讲机天线、巡更点、读卡机等技防设备安装牢固，工作正常。</w:t>
      </w:r>
    </w:p>
    <w:p w14:paraId="3562418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.6.2 保持监视器图像清晰，监视控制设备工作正常；录像资料按规定存档。</w:t>
      </w:r>
    </w:p>
    <w:p w14:paraId="3717CFB8">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.6.3 定期对技防系统设备进行检查、保养、维修、清洁，保持各类技防系统设备的技术参数符合国家《安全防范工程技术规范》要求。</w:t>
      </w:r>
    </w:p>
    <w:p w14:paraId="432DF3C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.7 公共照明</w:t>
      </w:r>
    </w:p>
    <w:p w14:paraId="2A261E0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.7.1 定期巡检道路及其他公共部位的照明设备，保持路灯、草坪灯、水下灯、泛光照明等灯具安装牢固，外表无锈蚀，工作正常。</w:t>
      </w:r>
    </w:p>
    <w:p w14:paraId="1779A435">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.7.2 合理安排和调整各类灯光照明启闭时间，节能降耗。</w:t>
      </w:r>
    </w:p>
    <w:p w14:paraId="7A173D8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.8 园区内跨道路的构架、管道</w:t>
      </w:r>
    </w:p>
    <w:p w14:paraId="285795B7">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.8.1 管道直埋、架设沿线应设立警示标识，并要标有限制高度等有关安全警示，标识符合《安全标志》要求，保持清晰、准确、醒目和安全。</w:t>
      </w:r>
    </w:p>
    <w:p w14:paraId="2F32236A">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6</w:t>
      </w:r>
      <w:r>
        <w:rPr>
          <w:rFonts w:hint="eastAsia" w:ascii="宋体" w:hAnsi="宋体" w:eastAsia="宋体" w:cs="宋体"/>
          <w:color w:val="auto"/>
          <w:sz w:val="24"/>
          <w:highlight w:val="none"/>
          <w:lang w:eastAsia="zh-CN" w:bidi="ar"/>
        </w:rPr>
        <w:t>.8.2 发现管道或其附属设施损坏或出现违章、违规架设等现象，应立即采取措施并及时上报。</w:t>
      </w:r>
    </w:p>
    <w:p w14:paraId="3943437B">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7</w:t>
      </w:r>
      <w:r>
        <w:rPr>
          <w:rFonts w:hint="eastAsia" w:ascii="宋体" w:hAnsi="宋体" w:eastAsia="宋体" w:cs="宋体"/>
          <w:b/>
          <w:bCs/>
          <w:color w:val="auto"/>
          <w:sz w:val="24"/>
          <w:highlight w:val="none"/>
          <w:lang w:eastAsia="zh-CN" w:bidi="ar"/>
        </w:rPr>
        <w:t>．应急预案</w:t>
      </w:r>
    </w:p>
    <w:p w14:paraId="443AE282">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7</w:t>
      </w:r>
      <w:r>
        <w:rPr>
          <w:rFonts w:hint="eastAsia" w:ascii="宋体" w:hAnsi="宋体" w:eastAsia="宋体" w:cs="宋体"/>
          <w:color w:val="auto"/>
          <w:sz w:val="24"/>
          <w:highlight w:val="none"/>
          <w:lang w:eastAsia="zh-CN" w:bidi="ar"/>
        </w:rPr>
        <w:t>.1 制定相应的应急预案，提高园区处置突发事件和风险的能力，最大限度地预防和减少突发事件造成的损害。</w:t>
      </w:r>
    </w:p>
    <w:p w14:paraId="5BF1AE2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7</w:t>
      </w:r>
      <w:r>
        <w:rPr>
          <w:rFonts w:hint="eastAsia" w:ascii="宋体" w:hAnsi="宋体" w:eastAsia="宋体" w:cs="宋体"/>
          <w:color w:val="auto"/>
          <w:sz w:val="24"/>
          <w:highlight w:val="none"/>
          <w:lang w:eastAsia="zh-CN" w:bidi="ar"/>
        </w:rPr>
        <w:t>.2 根据园区实际情况，建立相应的工作小组或联络机制，明确各责任人在突发情况下的应对措施，以及事件的后继处理。</w:t>
      </w:r>
    </w:p>
    <w:p w14:paraId="6092490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7</w:t>
      </w:r>
      <w:r>
        <w:rPr>
          <w:rFonts w:hint="eastAsia" w:ascii="宋体" w:hAnsi="宋体" w:eastAsia="宋体" w:cs="宋体"/>
          <w:color w:val="auto"/>
          <w:sz w:val="24"/>
          <w:highlight w:val="none"/>
          <w:lang w:eastAsia="zh-CN" w:bidi="ar"/>
        </w:rPr>
        <w:t>.3 应急处置预案</w:t>
      </w:r>
    </w:p>
    <w:p w14:paraId="27D94BDE">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制定较完善的应急处置预案，至少应包括：</w:t>
      </w:r>
    </w:p>
    <w:p w14:paraId="3751EA36">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治安事件处置预案</w:t>
      </w:r>
    </w:p>
    <w:p w14:paraId="000D0D2C">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水浸事故处置预案</w:t>
      </w:r>
    </w:p>
    <w:p w14:paraId="07A5B1AA">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停电应急处置预案</w:t>
      </w:r>
    </w:p>
    <w:p w14:paraId="5C771517">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防汛防台处置预案</w:t>
      </w:r>
    </w:p>
    <w:p w14:paraId="19ADC0F7">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高温天气应急预案</w:t>
      </w:r>
    </w:p>
    <w:p w14:paraId="729B9214">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寒流冰冻天气应急预案</w:t>
      </w:r>
    </w:p>
    <w:p w14:paraId="7F0F059B">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火灾事故应急处置预案</w:t>
      </w:r>
    </w:p>
    <w:p w14:paraId="71F4EDE6">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人员伤害应急处置预案</w:t>
      </w:r>
    </w:p>
    <w:p w14:paraId="774E5F0F">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触电事故应急处置预案</w:t>
      </w:r>
    </w:p>
    <w:p w14:paraId="14E14B56">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交通意外应急处置预案</w:t>
      </w:r>
    </w:p>
    <w:p w14:paraId="096204BB">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物业索赔处置预案</w:t>
      </w:r>
    </w:p>
    <w:p w14:paraId="4705AB14">
      <w:pPr>
        <w:autoSpaceDE w:val="0"/>
        <w:spacing w:line="480" w:lineRule="exact"/>
        <w:ind w:firstLine="480" w:firstLineChars="200"/>
        <w:jc w:val="left"/>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公共卫生突发事件处置预案</w:t>
      </w:r>
    </w:p>
    <w:p w14:paraId="39FAB6A3">
      <w:pPr>
        <w:autoSpaceDE w:val="0"/>
        <w:spacing w:line="480" w:lineRule="exact"/>
        <w:ind w:firstLine="482" w:firstLineChars="200"/>
        <w:rPr>
          <w:rFonts w:hint="eastAsia" w:ascii="宋体" w:hAnsi="宋体" w:eastAsia="宋体" w:cs="宋体"/>
          <w:b/>
          <w:bCs/>
          <w:color w:val="auto"/>
          <w:sz w:val="24"/>
          <w:highlight w:val="none"/>
          <w:lang w:eastAsia="zh-CN" w:bidi="ar"/>
        </w:rPr>
      </w:pPr>
      <w:r>
        <w:rPr>
          <w:rFonts w:hint="eastAsia" w:ascii="宋体" w:hAnsi="宋体" w:cs="宋体"/>
          <w:b/>
          <w:bCs/>
          <w:color w:val="auto"/>
          <w:sz w:val="24"/>
          <w:highlight w:val="none"/>
          <w:lang w:val="en-US" w:eastAsia="zh-CN" w:bidi="ar"/>
        </w:rPr>
        <w:t>8</w:t>
      </w:r>
      <w:r>
        <w:rPr>
          <w:rFonts w:hint="eastAsia" w:ascii="宋体" w:hAnsi="宋体" w:eastAsia="宋体" w:cs="宋体"/>
          <w:b/>
          <w:bCs/>
          <w:color w:val="auto"/>
          <w:sz w:val="24"/>
          <w:highlight w:val="none"/>
          <w:lang w:eastAsia="zh-CN" w:bidi="ar"/>
        </w:rPr>
        <w:t>. 服务评估</w:t>
      </w:r>
    </w:p>
    <w:p w14:paraId="0B89210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.1 制定管理目标、建立服务检查、监管和评估机制，确保管理服务的质量和效能。</w:t>
      </w:r>
    </w:p>
    <w:p w14:paraId="4F4EF70F">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.2 检查方式</w:t>
      </w:r>
    </w:p>
    <w:p w14:paraId="134092D9">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.2.1 行业监督</w:t>
      </w:r>
    </w:p>
    <w:p w14:paraId="52BEB06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自觉遵守和实施行业自律公约，接受行业的监督，规范服务。</w:t>
      </w:r>
    </w:p>
    <w:p w14:paraId="668EB5AC">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.2.2 物业服务企业自查</w:t>
      </w:r>
    </w:p>
    <w:p w14:paraId="3703540B">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检查物业服务中管理规定、标准或规程及的要求的实施情况和现场质量，从专业化、标准化的角度进行衡量，发现不符合事项应及时纠正。</w:t>
      </w:r>
    </w:p>
    <w:p w14:paraId="6FA3D011">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.2.3 客户评价</w:t>
      </w:r>
    </w:p>
    <w:p w14:paraId="15DE5BD4">
      <w:pPr>
        <w:autoSpaceDE w:val="0"/>
        <w:spacing w:line="480" w:lineRule="exact"/>
        <w:ind w:firstLine="480" w:firstLineChars="200"/>
        <w:rPr>
          <w:rFonts w:hint="eastAsia" w:ascii="宋体" w:hAnsi="宋体" w:eastAsia="宋体" w:cs="宋体"/>
          <w:color w:val="auto"/>
          <w:sz w:val="24"/>
          <w:highlight w:val="none"/>
          <w:lang w:eastAsia="zh-CN" w:bidi="ar"/>
        </w:rPr>
      </w:pPr>
      <w:r>
        <w:rPr>
          <w:rFonts w:hint="eastAsia" w:ascii="宋体" w:hAnsi="宋体" w:eastAsia="宋体" w:cs="宋体"/>
          <w:color w:val="auto"/>
          <w:sz w:val="24"/>
          <w:highlight w:val="none"/>
          <w:lang w:eastAsia="zh-CN" w:bidi="ar"/>
        </w:rPr>
        <w:t>通过顾客意见征询和服务满意度测评等方式，对管理服务的实施效果进行评定，并制定改进措施，完善服务质量。</w:t>
      </w:r>
    </w:p>
    <w:p w14:paraId="63D30A81">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四、养护质量标准</w:t>
      </w:r>
    </w:p>
    <w:p w14:paraId="33060BD5">
      <w:pPr>
        <w:autoSpaceDE w:val="0"/>
        <w:spacing w:line="480" w:lineRule="exact"/>
        <w:ind w:firstLine="482" w:firstLineChars="200"/>
        <w:rPr>
          <w:rFonts w:hint="eastAsia" w:ascii="宋体" w:hAnsi="宋体" w:cs="宋体"/>
          <w:b/>
          <w:bCs/>
          <w:color w:val="auto"/>
          <w:sz w:val="24"/>
          <w:highlight w:val="none"/>
          <w:lang w:eastAsia="zh-CN" w:bidi="ar"/>
        </w:rPr>
      </w:pPr>
      <w:r>
        <w:rPr>
          <w:rFonts w:hint="eastAsia" w:ascii="宋体" w:hAnsi="宋体" w:cs="宋体"/>
          <w:b/>
          <w:bCs/>
          <w:color w:val="auto"/>
          <w:sz w:val="24"/>
          <w:highlight w:val="none"/>
          <w:lang w:eastAsia="zh-CN" w:bidi="ar"/>
        </w:rPr>
        <w:t>参照《园林绿化养护标准》（CJJ/T 287-2018）及项目所在地相关绿化养护管理考核标准，本项目养护质量须达到以下基本要求：</w:t>
      </w:r>
    </w:p>
    <w:p w14:paraId="0713AA85">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1.</w:t>
      </w:r>
      <w:r>
        <w:rPr>
          <w:rFonts w:hint="eastAsia" w:ascii="宋体" w:hAnsi="宋体" w:cs="宋体"/>
          <w:b w:val="0"/>
          <w:bCs w:val="0"/>
          <w:color w:val="auto"/>
          <w:sz w:val="24"/>
          <w:highlight w:val="none"/>
          <w:lang w:eastAsia="zh-CN" w:bidi="ar"/>
        </w:rPr>
        <w:t>乔灌木生长健壮，树冠完整美观，无枯枝、死枝、断枝，无明显病虫害危害；</w:t>
      </w:r>
    </w:p>
    <w:p w14:paraId="67743F19">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2.</w:t>
      </w:r>
      <w:r>
        <w:rPr>
          <w:rFonts w:hint="eastAsia" w:ascii="宋体" w:hAnsi="宋体" w:cs="宋体"/>
          <w:b w:val="0"/>
          <w:bCs w:val="0"/>
          <w:color w:val="auto"/>
          <w:sz w:val="24"/>
          <w:highlight w:val="none"/>
          <w:lang w:eastAsia="zh-CN" w:bidi="ar"/>
        </w:rPr>
        <w:t>绿篱、色块修剪整齐，轮廓清晰，无缺株断档；</w:t>
      </w:r>
    </w:p>
    <w:p w14:paraId="50F9FD67">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3.</w:t>
      </w:r>
      <w:r>
        <w:rPr>
          <w:rFonts w:hint="eastAsia" w:ascii="宋体" w:hAnsi="宋体" w:cs="宋体"/>
          <w:b w:val="0"/>
          <w:bCs w:val="0"/>
          <w:color w:val="auto"/>
          <w:sz w:val="24"/>
          <w:highlight w:val="none"/>
          <w:lang w:eastAsia="zh-CN" w:bidi="ar"/>
        </w:rPr>
        <w:t>草坪生长茂盛，色泽正常，无斑秃、无杂草，高度控制在适宜范围内；</w:t>
      </w:r>
    </w:p>
    <w:p w14:paraId="7D01AFE1">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4.</w:t>
      </w:r>
      <w:r>
        <w:rPr>
          <w:rFonts w:hint="eastAsia" w:ascii="宋体" w:hAnsi="宋体" w:cs="宋体"/>
          <w:b w:val="0"/>
          <w:bCs w:val="0"/>
          <w:color w:val="auto"/>
          <w:sz w:val="24"/>
          <w:highlight w:val="none"/>
          <w:lang w:eastAsia="zh-CN" w:bidi="ar"/>
        </w:rPr>
        <w:t>绿地内无垃圾、无杂物、无焚烧痕迹、无明显杂草；</w:t>
      </w:r>
    </w:p>
    <w:p w14:paraId="4FD7F30F">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5.</w:t>
      </w:r>
      <w:r>
        <w:rPr>
          <w:rFonts w:hint="eastAsia" w:ascii="宋体" w:hAnsi="宋体" w:cs="宋体"/>
          <w:b w:val="0"/>
          <w:bCs w:val="0"/>
          <w:color w:val="auto"/>
          <w:sz w:val="24"/>
          <w:highlight w:val="none"/>
          <w:lang w:eastAsia="zh-CN" w:bidi="ar"/>
        </w:rPr>
        <w:t>行道树修剪规范，树冠整齐，不遮挡交通信号和路灯照明；</w:t>
      </w:r>
    </w:p>
    <w:p w14:paraId="77127091">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6.</w:t>
      </w:r>
      <w:r>
        <w:rPr>
          <w:rFonts w:hint="eastAsia" w:ascii="宋体" w:hAnsi="宋体" w:cs="宋体"/>
          <w:b w:val="0"/>
          <w:bCs w:val="0"/>
          <w:color w:val="auto"/>
          <w:sz w:val="24"/>
          <w:highlight w:val="none"/>
          <w:lang w:eastAsia="zh-CN" w:bidi="ar"/>
        </w:rPr>
        <w:t>养护区域内无死树、歪树未处理现象；</w:t>
      </w:r>
    </w:p>
    <w:p w14:paraId="5C6B6E29">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7.</w:t>
      </w:r>
      <w:r>
        <w:rPr>
          <w:rFonts w:hint="eastAsia" w:ascii="宋体" w:hAnsi="宋体" w:cs="宋体"/>
          <w:b w:val="0"/>
          <w:bCs w:val="0"/>
          <w:color w:val="auto"/>
          <w:sz w:val="24"/>
          <w:highlight w:val="none"/>
          <w:lang w:eastAsia="zh-CN" w:bidi="ar"/>
        </w:rPr>
        <w:t>灌溉设施完好，无明显跑冒滴漏现象；</w:t>
      </w:r>
    </w:p>
    <w:p w14:paraId="3F43E43C">
      <w:pPr>
        <w:autoSpaceDE w:val="0"/>
        <w:spacing w:line="480" w:lineRule="exact"/>
        <w:ind w:firstLine="480" w:firstLineChars="200"/>
        <w:rPr>
          <w:rFonts w:hint="eastAsia" w:ascii="宋体" w:hAnsi="宋体" w:cs="宋体"/>
          <w:b w:val="0"/>
          <w:bCs w:val="0"/>
          <w:color w:val="auto"/>
          <w:sz w:val="24"/>
          <w:highlight w:val="none"/>
          <w:lang w:eastAsia="zh-CN" w:bidi="ar"/>
        </w:rPr>
      </w:pPr>
      <w:r>
        <w:rPr>
          <w:rFonts w:hint="eastAsia" w:ascii="宋体" w:hAnsi="宋体" w:cs="宋体"/>
          <w:b w:val="0"/>
          <w:bCs w:val="0"/>
          <w:color w:val="auto"/>
          <w:sz w:val="24"/>
          <w:highlight w:val="none"/>
          <w:lang w:val="en-US" w:eastAsia="zh-CN" w:bidi="ar"/>
        </w:rPr>
        <w:t>8.</w:t>
      </w:r>
      <w:r>
        <w:rPr>
          <w:rFonts w:hint="eastAsia" w:ascii="宋体" w:hAnsi="宋体" w:cs="宋体"/>
          <w:b w:val="0"/>
          <w:bCs w:val="0"/>
          <w:color w:val="auto"/>
          <w:sz w:val="24"/>
          <w:highlight w:val="none"/>
          <w:lang w:eastAsia="zh-CN" w:bidi="ar"/>
        </w:rPr>
        <w:t>沟渠护坡整洁，排水畅通，无杂草丛生现象。</w:t>
      </w:r>
    </w:p>
    <w:p w14:paraId="0BB7FDCB">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五、</w:t>
      </w:r>
      <w:r>
        <w:rPr>
          <w:rFonts w:hint="eastAsia" w:ascii="宋体" w:hAnsi="宋体" w:cs="宋体"/>
          <w:b/>
          <w:color w:val="auto"/>
          <w:sz w:val="28"/>
          <w:szCs w:val="28"/>
          <w:highlight w:val="none"/>
          <w:lang w:val="en-US" w:eastAsia="zh-CN"/>
        </w:rPr>
        <w:t>服务人员要求</w:t>
      </w:r>
    </w:p>
    <w:p w14:paraId="5AFEEF16">
      <w:pPr>
        <w:autoSpaceDE w:val="0"/>
        <w:spacing w:line="480" w:lineRule="exact"/>
        <w:ind w:firstLine="482" w:firstLineChars="200"/>
        <w:rPr>
          <w:rFonts w:hint="eastAsia"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t>1.人员配备要求：总服务人数不低于</w:t>
      </w:r>
      <w:r>
        <w:rPr>
          <w:rFonts w:hint="eastAsia" w:ascii="宋体" w:hAnsi="宋体" w:eastAsia="宋体" w:cs="宋体"/>
          <w:b/>
          <w:bCs/>
          <w:color w:val="auto"/>
          <w:sz w:val="24"/>
          <w:highlight w:val="none"/>
          <w:lang w:val="en-US" w:eastAsia="zh-CN" w:bidi="ar"/>
        </w:rPr>
        <w:t>57人</w:t>
      </w:r>
      <w:r>
        <w:rPr>
          <w:rFonts w:hint="eastAsia" w:ascii="宋体" w:hAnsi="宋体" w:eastAsia="宋体" w:cs="宋体"/>
          <w:b/>
          <w:bCs/>
          <w:color w:val="auto"/>
          <w:sz w:val="24"/>
          <w:highlight w:val="none"/>
          <w:lang w:val="en-US" w:eastAsia="zh-CN" w:bidi="ar"/>
        </w:rPr>
        <w:t>，其中包括项目负责人（1名）；保洁人员、安保人员、园林绿化人员、维修工（水电工）、客服、消防人员等若干名，各项职能人员人数不作具体要求，由</w:t>
      </w:r>
      <w:r>
        <w:rPr>
          <w:rFonts w:hint="eastAsia" w:ascii="宋体" w:hAnsi="宋体" w:cs="宋体"/>
          <w:b/>
          <w:bCs/>
          <w:color w:val="auto"/>
          <w:sz w:val="24"/>
          <w:highlight w:val="none"/>
          <w:lang w:val="en-US" w:eastAsia="zh-CN" w:bidi="ar"/>
        </w:rPr>
        <w:t>中标人</w:t>
      </w:r>
      <w:r>
        <w:rPr>
          <w:rFonts w:hint="eastAsia" w:ascii="宋体" w:hAnsi="宋体" w:eastAsia="宋体" w:cs="宋体"/>
          <w:b/>
          <w:bCs/>
          <w:color w:val="auto"/>
          <w:sz w:val="24"/>
          <w:highlight w:val="none"/>
          <w:lang w:val="en-US" w:eastAsia="zh-CN" w:bidi="ar"/>
        </w:rPr>
        <w:t>根据本项目服务需求，自行灵活安排，必须满足正常工作运行及采购人的要求，采购人将对人员数量进行考核；</w:t>
      </w:r>
      <w:r>
        <w:rPr>
          <w:rFonts w:hint="eastAsia" w:ascii="宋体" w:hAnsi="宋体" w:eastAsia="宋体" w:cs="宋体"/>
          <w:b/>
          <w:bCs/>
          <w:color w:val="auto"/>
          <w:sz w:val="24"/>
          <w:highlight w:val="none"/>
          <w:lang w:val="en-US" w:eastAsia="zh-CN" w:bidi="ar"/>
        </w:rPr>
        <w:t>上述人员均不得为退休该人员，投标人需依法为其缴纳社会保险。</w:t>
      </w:r>
    </w:p>
    <w:p w14:paraId="111073F1">
      <w:pPr>
        <w:autoSpaceDE w:val="0"/>
        <w:spacing w:line="480" w:lineRule="exact"/>
        <w:ind w:firstLine="482" w:firstLineChars="200"/>
        <w:rPr>
          <w:rFonts w:hint="eastAsia"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t>2.对于国家或主管部门规定必须持证上岗的岗位或作业（包括但不限于电工、高处作业等），中标后，中标人安排的服务人员须依法取得相应资格证书并持证上岗，严格按照有关法律法规、标准规范及操作规程合规作业。因中标人服务人员未持证上岗、证书不符或违规操作等造成的一切后果、损失及法律责任，均由中标人自行承担，采购人不承担相关责任。</w:t>
      </w:r>
    </w:p>
    <w:p w14:paraId="271C663F">
      <w:pPr>
        <w:autoSpaceDE w:val="0"/>
        <w:spacing w:line="480" w:lineRule="exact"/>
        <w:ind w:firstLine="482" w:firstLineChars="200"/>
        <w:rPr>
          <w:rFonts w:hint="eastAsia"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t>3.服务人员应按规定统一着装，仪表仪容整洁端庄。在服务过程中用语文明，行为规范，服务主动。</w:t>
      </w:r>
    </w:p>
    <w:p w14:paraId="075329D7">
      <w:pPr>
        <w:autoSpaceDE w:val="0"/>
        <w:spacing w:line="480" w:lineRule="exact"/>
        <w:ind w:firstLine="482" w:firstLineChars="200"/>
        <w:rPr>
          <w:rFonts w:hint="default" w:ascii="宋体" w:hAnsi="宋体" w:eastAsia="宋体" w:cs="宋体"/>
          <w:b/>
          <w:bCs/>
          <w:color w:val="auto"/>
          <w:sz w:val="24"/>
          <w:highlight w:val="none"/>
          <w:lang w:val="en-US" w:eastAsia="zh-CN" w:bidi="ar"/>
        </w:rPr>
      </w:pPr>
      <w:r>
        <w:rPr>
          <w:rFonts w:hint="eastAsia" w:ascii="宋体" w:hAnsi="宋体" w:eastAsia="宋体" w:cs="宋体"/>
          <w:b/>
          <w:bCs/>
          <w:color w:val="auto"/>
          <w:sz w:val="24"/>
          <w:highlight w:val="none"/>
          <w:lang w:val="en-US" w:eastAsia="zh-CN" w:bidi="ar"/>
        </w:rPr>
        <w:t>4.未经采购人同意，中标</w:t>
      </w:r>
      <w:r>
        <w:rPr>
          <w:rFonts w:hint="eastAsia" w:ascii="宋体" w:hAnsi="宋体" w:cs="宋体"/>
          <w:b/>
          <w:bCs/>
          <w:color w:val="auto"/>
          <w:sz w:val="24"/>
          <w:highlight w:val="none"/>
          <w:lang w:val="en-US" w:eastAsia="zh-CN" w:bidi="ar"/>
        </w:rPr>
        <w:t>人</w:t>
      </w:r>
      <w:r>
        <w:rPr>
          <w:rFonts w:hint="eastAsia" w:ascii="宋体" w:hAnsi="宋体" w:eastAsia="宋体" w:cs="宋体"/>
          <w:b/>
          <w:bCs/>
          <w:color w:val="auto"/>
          <w:sz w:val="24"/>
          <w:highlight w:val="none"/>
          <w:lang w:val="en-US" w:eastAsia="zh-CN" w:bidi="ar"/>
        </w:rPr>
        <w:t>不得擅自减少服务人员。项目负责人必须保证每月在岗不低于 22 个日历天，特殊情况下需离开时必须事先征得采购人同意。若采购人在巡查中发现，项目负责人未履行请假手续而不在岗的，中标人需支付 1000元/次的违约金；若有重大活动或检查，项目负责人必须在岗，中标人必须无条件服从招标人管理。项目负责人不得随意变更，若变更需经过采购人同意，变更人员不得低于原项目负责人资格要求且处罚3万元变更费。</w:t>
      </w:r>
    </w:p>
    <w:p w14:paraId="1DBB4DBB">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六、</w:t>
      </w:r>
      <w:r>
        <w:rPr>
          <w:rFonts w:hint="eastAsia" w:ascii="宋体" w:hAnsi="宋体" w:eastAsia="宋体" w:cs="宋体"/>
          <w:b/>
          <w:color w:val="auto"/>
          <w:sz w:val="28"/>
          <w:szCs w:val="28"/>
          <w:highlight w:val="none"/>
          <w:lang w:val="en-US" w:eastAsia="zh-CN"/>
        </w:rPr>
        <w:t>其他要求</w:t>
      </w:r>
    </w:p>
    <w:p w14:paraId="7F821DE8">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1.投标人应自行踏勘现场，充分了解各养护区域的具体位置、道路起止、苗木品种和长势、设施状况、交通条件等实际情况，结合自身经验和能力合理报价。中标后不得以现场情况了解不足为由要求增加费用。</w:t>
      </w:r>
    </w:p>
    <w:p w14:paraId="60F4C394">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2.</w:t>
      </w:r>
      <w:r>
        <w:rPr>
          <w:rFonts w:ascii="Segoe UI" w:hAnsi="Segoe UI" w:eastAsia="Segoe UI" w:cs="Segoe UI"/>
          <w:i w:val="0"/>
          <w:iCs w:val="0"/>
          <w:caps w:val="0"/>
          <w:color w:val="auto"/>
          <w:spacing w:val="0"/>
          <w:sz w:val="24"/>
          <w:szCs w:val="24"/>
          <w:highlight w:val="none"/>
          <w:shd w:val="clear" w:color="auto" w:fill="FFFFFF"/>
        </w:rPr>
        <w:t>养护范围内的补种面积为历史累计数据，具体补植位置和数量以现场实际为准。中标人接管后应进行全面清点核查，对死亡苗木按要求进行补植，</w:t>
      </w:r>
      <w:r>
        <w:rPr>
          <w:rFonts w:hint="default" w:ascii="Segoe UI" w:hAnsi="Segoe UI" w:eastAsia="Segoe UI" w:cs="Segoe UI"/>
          <w:b/>
          <w:bCs/>
          <w:i w:val="0"/>
          <w:iCs w:val="0"/>
          <w:caps w:val="0"/>
          <w:color w:val="auto"/>
          <w:spacing w:val="0"/>
          <w:sz w:val="24"/>
          <w:szCs w:val="24"/>
          <w:highlight w:val="none"/>
          <w:shd w:val="clear" w:color="auto" w:fill="FFFFFF"/>
        </w:rPr>
        <w:t>补植费用已包含在投标报价中。此外，因招标人指令进行的绿化移植，其全部费用同样已包含在投标报价中，不再另行支付</w:t>
      </w:r>
      <w:r>
        <w:rPr>
          <w:rFonts w:hint="eastAsia" w:ascii="宋体" w:hAnsi="宋体" w:eastAsia="宋体" w:cs="宋体"/>
          <w:color w:val="auto"/>
          <w:sz w:val="24"/>
          <w:highlight w:val="none"/>
          <w:lang w:val="en-US" w:eastAsia="zh-CN" w:bidi="ar"/>
        </w:rPr>
        <w:t>。</w:t>
      </w:r>
    </w:p>
    <w:p w14:paraId="0F275223">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3.中标人应充分考虑养护区域内道路较为分散、绿化零散的特点，科学合理组织养护作业，确保养护质量均衡达标。</w:t>
      </w:r>
    </w:p>
    <w:p w14:paraId="1D0BD049">
      <w:pPr>
        <w:autoSpaceDE w:val="0"/>
        <w:spacing w:line="480" w:lineRule="exact"/>
        <w:ind w:firstLine="480" w:firstLineChars="200"/>
        <w:rPr>
          <w:rFonts w:hint="eastAsia"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4.</w:t>
      </w:r>
      <w:r>
        <w:rPr>
          <w:rFonts w:hint="eastAsia"/>
          <w:bCs/>
          <w:color w:val="auto"/>
          <w:sz w:val="24"/>
          <w:szCs w:val="24"/>
          <w:highlight w:val="none"/>
          <w:lang w:val="en-US" w:eastAsia="zh-CN" w:bidi="ar"/>
        </w:rPr>
        <w:t>相应区域管理主体</w:t>
      </w:r>
      <w:r>
        <w:rPr>
          <w:rFonts w:hint="eastAsia" w:ascii="宋体" w:hAnsi="宋体" w:eastAsia="宋体" w:cs="宋体"/>
          <w:color w:val="auto"/>
          <w:sz w:val="24"/>
          <w:highlight w:val="none"/>
          <w:lang w:val="en-US" w:eastAsia="zh-CN" w:bidi="ar"/>
        </w:rPr>
        <w:t>按季度对中标人养护质量进行考核，</w:t>
      </w:r>
      <w:r>
        <w:rPr>
          <w:rFonts w:hint="eastAsia" w:ascii="宋体" w:hAnsi="宋体" w:cs="宋体"/>
          <w:b/>
          <w:bCs/>
          <w:color w:val="auto"/>
          <w:sz w:val="24"/>
          <w:highlight w:val="none"/>
          <w:lang w:val="en-US" w:eastAsia="zh-CN" w:bidi="ar"/>
        </w:rPr>
        <w:t>考核标准按照相应区域实施主体制定的考核细则执行</w:t>
      </w:r>
      <w:r>
        <w:rPr>
          <w:rFonts w:hint="eastAsia" w:ascii="宋体" w:hAnsi="宋体" w:eastAsia="宋体" w:cs="宋体"/>
          <w:color w:val="auto"/>
          <w:sz w:val="24"/>
          <w:highlight w:val="none"/>
          <w:lang w:val="en-US" w:eastAsia="zh-CN" w:bidi="ar"/>
        </w:rPr>
        <w:t>。连续两个季度考核不合格的，招标人有权单方解除合同。</w:t>
      </w:r>
    </w:p>
    <w:p w14:paraId="373CBEA4">
      <w:pPr>
        <w:autoSpaceDE w:val="0"/>
        <w:spacing w:line="480" w:lineRule="exact"/>
        <w:ind w:firstLine="480" w:firstLineChars="200"/>
        <w:rPr>
          <w:rFonts w:hint="default"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5.中标人根据管养地块面积和管养质量要求，按需配备车辆及各类养护设备。后期实际管养工作中如有需要，采购人有权根据实际管养需求，要求中标人增加车辆、设备数量（增加数量原则上不超过原有机械数量的两倍），因此产生的所有费用包含在本项目的报价内。</w:t>
      </w:r>
    </w:p>
    <w:p w14:paraId="10B1A798">
      <w:pPr>
        <w:autoSpaceDE w:val="0"/>
        <w:spacing w:line="480" w:lineRule="exact"/>
        <w:ind w:firstLine="480" w:firstLineChars="200"/>
        <w:rPr>
          <w:rFonts w:hint="default" w:ascii="宋体" w:hAnsi="宋体" w:eastAsia="宋体" w:cs="宋体"/>
          <w:color w:val="auto"/>
          <w:sz w:val="24"/>
          <w:highlight w:val="none"/>
          <w:lang w:val="en-US" w:eastAsia="zh-CN" w:bidi="ar"/>
        </w:rPr>
      </w:pPr>
      <w:r>
        <w:rPr>
          <w:rFonts w:hint="eastAsia" w:ascii="宋体" w:hAnsi="宋体" w:eastAsia="宋体" w:cs="宋体"/>
          <w:color w:val="auto"/>
          <w:sz w:val="24"/>
          <w:highlight w:val="none"/>
          <w:lang w:val="en-US" w:eastAsia="zh-CN" w:bidi="ar"/>
        </w:rPr>
        <w:t>6.中标人应建立健全财务管理制度，对管理费和其它费用的收支进行财务管理，运作规范，账目清晰。对于维修服务、延伸服务等费用须单独结算的应准确计算。</w:t>
      </w:r>
    </w:p>
    <w:p w14:paraId="165DCE60">
      <w:pPr>
        <w:pageBreakBefore w:val="0"/>
        <w:widowControl w:val="0"/>
        <w:kinsoku/>
        <w:wordWrap w:val="0"/>
        <w:topLinePunct w:val="0"/>
        <w:bidi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1871"/>
      <w:bookmarkStart w:id="48" w:name="_Toc32410"/>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2116"/>
        <w:gridCol w:w="4636"/>
        <w:gridCol w:w="2083"/>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4"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1096"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401"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7"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4"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1096"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401"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7"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bCs/>
                <w:color w:val="auto"/>
                <w:sz w:val="24"/>
                <w:szCs w:val="24"/>
                <w:highlight w:val="none"/>
              </w:rPr>
              <w:t>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4"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1096"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401"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7"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szCs w:val="20"/>
                <w:highlight w:val="none"/>
                <w:lang w:eastAsia="zh-CN"/>
              </w:rPr>
              <w:t>。</w:t>
            </w:r>
            <w:r>
              <w:rPr>
                <w:rFonts w:hint="eastAsia" w:ascii="宋体" w:hAnsi="宋体" w:eastAsia="宋体" w:cs="宋体"/>
                <w:b/>
                <w:bCs/>
                <w:color w:val="auto"/>
                <w:sz w:val="24"/>
                <w:szCs w:val="24"/>
                <w:highlight w:val="none"/>
              </w:rPr>
              <w:t>联合体投标的联合体各方均须提供</w:t>
            </w:r>
            <w:r>
              <w:rPr>
                <w:rFonts w:hint="eastAsia" w:ascii="宋体" w:hAnsi="宋体" w:eastAsia="宋体" w:cs="宋体"/>
                <w:b/>
                <w:bCs/>
                <w:color w:val="auto"/>
                <w:sz w:val="24"/>
                <w:szCs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1096"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401"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7"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4</w:t>
            </w:r>
          </w:p>
        </w:tc>
        <w:tc>
          <w:tcPr>
            <w:tcW w:w="1096"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401"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7"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color w:val="auto"/>
                <w:sz w:val="24"/>
                <w:highlight w:val="none"/>
                <w:lang w:val="en-US" w:eastAsia="zh-CN"/>
              </w:rPr>
              <w:t>5</w:t>
            </w:r>
          </w:p>
        </w:tc>
        <w:tc>
          <w:tcPr>
            <w:tcW w:w="1096"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401"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7"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5F9E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5B318D01">
            <w:pPr>
              <w:keepNext w:val="0"/>
              <w:keepLines w:val="0"/>
              <w:suppressLineNumbers w:val="0"/>
              <w:adjustRightInd w:val="0"/>
              <w:snapToGrid w:val="0"/>
              <w:spacing w:before="0" w:beforeAutospacing="0" w:after="0" w:afterAutospacing="0" w:line="360" w:lineRule="auto"/>
              <w:ind w:left="0" w:leftChars="0" w:right="-10" w:rightChars="0"/>
              <w:jc w:val="center"/>
              <w:rPr>
                <w:rFonts w:hint="eastAsia" w:ascii="宋体" w:hAnsi="宋体"/>
                <w:color w:val="auto"/>
                <w:sz w:val="24"/>
                <w:highlight w:val="none"/>
                <w:lang w:val="en-US" w:eastAsia="zh-CN"/>
              </w:rPr>
            </w:pPr>
            <w:r>
              <w:rPr>
                <w:rFonts w:hint="eastAsia" w:ascii="宋体" w:hAnsi="宋体"/>
                <w:color w:val="auto"/>
                <w:sz w:val="24"/>
                <w:szCs w:val="20"/>
                <w:highlight w:val="none"/>
                <w:lang w:val="en-US" w:eastAsia="zh-CN"/>
              </w:rPr>
              <w:t>6</w:t>
            </w:r>
          </w:p>
        </w:tc>
        <w:tc>
          <w:tcPr>
            <w:tcW w:w="1096" w:type="pct"/>
            <w:vAlign w:val="center"/>
          </w:tcPr>
          <w:p w14:paraId="24F9E6C2">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val="en-US" w:eastAsia="zh-CN"/>
              </w:rPr>
              <w:t>联合体协议书（如为联合体投标）</w:t>
            </w:r>
          </w:p>
        </w:tc>
        <w:tc>
          <w:tcPr>
            <w:tcW w:w="2401" w:type="pct"/>
            <w:vAlign w:val="center"/>
          </w:tcPr>
          <w:p w14:paraId="333BCFF5">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val="en-US" w:eastAsia="zh-CN"/>
              </w:rPr>
              <w:t>联合体协议书</w:t>
            </w:r>
          </w:p>
        </w:tc>
        <w:tc>
          <w:tcPr>
            <w:tcW w:w="1077" w:type="pct"/>
            <w:vAlign w:val="center"/>
          </w:tcPr>
          <w:p w14:paraId="303CC66F">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299"/>
        <w:gridCol w:w="3547"/>
        <w:gridCol w:w="2809"/>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3"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3"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3A148AA8">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14AC44DC">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43148244">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324921E">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344ADE6B">
            <w:pPr>
              <w:keepNext w:val="0"/>
              <w:keepLines w:val="0"/>
              <w:pageBreakBefore w:val="0"/>
              <w:widowControl w:val="0"/>
              <w:kinsoku/>
              <w:wordWrap w:val="0"/>
              <w:overflowPunct/>
              <w:topLinePunct w:val="0"/>
              <w:autoSpaceDE/>
              <w:autoSpaceDN/>
              <w:bidi w:val="0"/>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50607CA">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83"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564ACA81">
            <w:pPr>
              <w:keepNext w:val="0"/>
              <w:keepLines w:val="0"/>
              <w:pageBreakBefore w:val="0"/>
              <w:widowControl w:val="0"/>
              <w:kinsoku/>
              <w:wordWrap w:val="0"/>
              <w:overflowPunct/>
              <w:topLinePunct w:val="0"/>
              <w:autoSpaceDE/>
              <w:autoSpaceDN/>
              <w:bidi w:val="0"/>
              <w:adjustRightInd/>
              <w:snapToGrid/>
              <w:spacing w:line="360" w:lineRule="auto"/>
              <w:ind w:right="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3" w:type="pct"/>
            <w:vAlign w:val="center"/>
          </w:tcPr>
          <w:p w14:paraId="78FF8201">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50D05A99">
            <w:pPr>
              <w:keepNext w:val="0"/>
              <w:keepLines w:val="0"/>
              <w:pageBreakBefore w:val="0"/>
              <w:widowControl w:val="0"/>
              <w:kinsoku/>
              <w:wordWrap w:val="0"/>
              <w:overflowPunct/>
              <w:topLinePunct w:val="0"/>
              <w:autoSpaceDE/>
              <w:autoSpaceDN/>
              <w:bidi w:val="0"/>
              <w:adjustRightInd/>
              <w:snapToGrid/>
              <w:spacing w:line="360" w:lineRule="auto"/>
              <w:ind w:right="0" w:rightChars="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3" w:type="pct"/>
            <w:vAlign w:val="center"/>
          </w:tcPr>
          <w:p w14:paraId="6357BD78">
            <w:pPr>
              <w:keepNext w:val="0"/>
              <w:keepLines w:val="0"/>
              <w:pageBreakBefore w:val="0"/>
              <w:widowControl w:val="0"/>
              <w:kinsoku/>
              <w:wordWrap w:val="0"/>
              <w:overflowPunct/>
              <w:topLinePunct w:val="0"/>
              <w:autoSpaceDE/>
              <w:autoSpaceDN/>
              <w:bidi w:val="0"/>
              <w:adjustRightInd w:val="0"/>
              <w:snapToGrid w:val="0"/>
              <w:spacing w:line="360" w:lineRule="auto"/>
              <w:ind w:right="0"/>
              <w:jc w:val="center"/>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6BCFB2B">
            <w:pPr>
              <w:keepNext w:val="0"/>
              <w:keepLines w:val="0"/>
              <w:pageBreakBefore w:val="0"/>
              <w:widowControl w:val="0"/>
              <w:kinsoku/>
              <w:wordWrap w:val="0"/>
              <w:overflowPunct/>
              <w:topLinePunct w:val="0"/>
              <w:autoSpaceDE/>
              <w:autoSpaceDN/>
              <w:bidi w:val="0"/>
              <w:adjustRightInd/>
              <w:snapToGrid/>
              <w:spacing w:line="360" w:lineRule="auto"/>
              <w:ind w:right="0" w:rightChars="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3"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CB1ADA3">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w:t>
            </w:r>
            <w:r>
              <w:rPr>
                <w:rFonts w:hint="eastAsia" w:ascii="宋体" w:hAnsi="宋体" w:cs="宋体"/>
                <w:b w:val="0"/>
                <w:bCs w:val="0"/>
                <w:i w:val="0"/>
                <w:iCs w:val="0"/>
                <w:color w:val="auto"/>
                <w:sz w:val="24"/>
                <w:szCs w:val="24"/>
                <w:highlight w:val="none"/>
                <w:u w:val="single"/>
                <w:lang w:val="en-US" w:eastAsia="zh-CN"/>
              </w:rPr>
              <w:t>5</w:t>
            </w:r>
            <w:r>
              <w:rPr>
                <w:rFonts w:hint="eastAsia" w:ascii="宋体" w:hAnsi="宋体" w:eastAsia="宋体" w:cs="宋体"/>
                <w:b w:val="0"/>
                <w:bCs w:val="0"/>
                <w:i w:val="0"/>
                <w:iCs w:val="0"/>
                <w:color w:val="auto"/>
                <w:sz w:val="24"/>
                <w:szCs w:val="24"/>
                <w:highlight w:val="none"/>
                <w:u w:val="single"/>
                <w:lang w:val="en-US" w:eastAsia="zh-CN"/>
              </w:rPr>
              <w:t>%</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1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369"/>
        <w:gridCol w:w="5848"/>
        <w:gridCol w:w="1223"/>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23"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710"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32"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33"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技术资信分（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zh-CN"/>
              </w:rPr>
              <w:t>分）</w:t>
            </w:r>
          </w:p>
        </w:tc>
        <w:tc>
          <w:tcPr>
            <w:tcW w:w="710"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kern w:val="2"/>
                <w:sz w:val="21"/>
                <w:szCs w:val="21"/>
                <w:highlight w:val="none"/>
                <w:lang w:val="zh-CN" w:eastAsia="zh-CN" w:bidi="ar-SA"/>
              </w:rPr>
              <w:t>1.</w:t>
            </w:r>
            <w:r>
              <w:rPr>
                <w:rFonts w:hint="eastAsia" w:ascii="宋体" w:hAnsi="宋体" w:eastAsia="宋体" w:cs="宋体"/>
                <w:color w:val="auto"/>
                <w:sz w:val="21"/>
                <w:szCs w:val="21"/>
                <w:highlight w:val="none"/>
                <w:lang w:val="zh-CN"/>
              </w:rPr>
              <w:t>业绩</w:t>
            </w:r>
          </w:p>
          <w:p w14:paraId="14B4C135">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4"/>
                <w:szCs w:val="28"/>
                <w:highlight w:val="none"/>
                <w:lang w:val="en-US" w:eastAsia="zh-CN"/>
              </w:rPr>
              <w:t>若为联合体投标，联合体牵头人或联合体成员提供均可</w:t>
            </w:r>
          </w:p>
        </w:tc>
        <w:tc>
          <w:tcPr>
            <w:tcW w:w="3032"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自202</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年1月1日起至投标截止时间止，每提供一个养护业绩</w:t>
            </w:r>
            <w:r>
              <w:rPr>
                <w:rFonts w:hint="eastAsia" w:ascii="宋体" w:hAnsi="宋体" w:cs="宋体"/>
                <w:b w:val="0"/>
                <w:bCs/>
                <w:color w:val="auto"/>
                <w:sz w:val="21"/>
                <w:szCs w:val="21"/>
                <w:highlight w:val="none"/>
                <w:lang w:val="en-US" w:eastAsia="zh-CN"/>
              </w:rPr>
              <w:t>（合同内容须同时包括保洁、垃圾清运、绿化管养、公厕管理、河道保洁其中四项或以上服务内容）</w:t>
            </w:r>
            <w:r>
              <w:rPr>
                <w:rFonts w:hint="eastAsia" w:ascii="宋体" w:hAnsi="宋体" w:eastAsia="宋体" w:cs="宋体"/>
                <w:b w:val="0"/>
                <w:bCs/>
                <w:color w:val="auto"/>
                <w:sz w:val="21"/>
                <w:szCs w:val="21"/>
                <w:highlight w:val="none"/>
                <w:lang w:val="en-US" w:eastAsia="zh-CN"/>
              </w:rPr>
              <w:t>的得2分，满分4分。</w:t>
            </w:r>
          </w:p>
          <w:p w14:paraId="1181FDD0">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投标文件中提供业绩合同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D44AC88">
            <w:pPr>
              <w:spacing w:line="500" w:lineRule="exact"/>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上</w:t>
            </w:r>
            <w:r>
              <w:rPr>
                <w:rFonts w:hint="eastAsia" w:ascii="宋体" w:hAnsi="宋体" w:eastAsia="宋体" w:cs="宋体"/>
                <w:color w:val="auto"/>
                <w:szCs w:val="21"/>
                <w:highlight w:val="none"/>
              </w:rPr>
              <w:t>述评分</w:t>
            </w:r>
            <w:r>
              <w:rPr>
                <w:rFonts w:hint="eastAsia" w:ascii="宋体" w:hAnsi="宋体" w:eastAsia="宋体" w:cs="宋体"/>
                <w:color w:val="auto"/>
                <w:szCs w:val="21"/>
                <w:highlight w:val="none"/>
              </w:rPr>
              <w:t>业绩被所服务的业主单位评价为满意</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优秀或有同等意思的评价或者优于此标准的，每提供一个项目业主评价得2 分，本项满分4 分。</w:t>
            </w:r>
          </w:p>
          <w:p w14:paraId="63C9F7B3">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注：提供业主评价扫描件（加盖业主单位公章）或业主打分表（根据项目评分约定，得分对应为满意或者优秀，业主管理部门人员签字）扫描件。</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633"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3"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right w:val="single" w:color="auto" w:sz="4" w:space="0"/>
            </w:tcBorders>
            <w:vAlign w:val="center"/>
          </w:tcPr>
          <w:p w14:paraId="186C9A99">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bidi="ar-SA"/>
              </w:rPr>
              <w:t>2.</w:t>
            </w:r>
            <w:r>
              <w:rPr>
                <w:rFonts w:hint="eastAsia" w:ascii="宋体" w:hAnsi="宋体" w:eastAsia="宋体" w:cs="宋体"/>
                <w:b w:val="0"/>
                <w:bCs/>
                <w:color w:val="auto"/>
                <w:sz w:val="21"/>
                <w:szCs w:val="21"/>
                <w:highlight w:val="none"/>
                <w:lang w:val="en-US" w:eastAsia="zh-CN"/>
              </w:rPr>
              <w:t>项目人员配备</w:t>
            </w:r>
          </w:p>
          <w:p w14:paraId="2BFFDEFB">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left="0" w:leftChars="0" w:firstLine="0" w:firstLineChars="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color w:val="auto"/>
                <w:sz w:val="24"/>
                <w:szCs w:val="28"/>
                <w:highlight w:val="none"/>
                <w:lang w:val="en-US" w:eastAsia="zh-CN"/>
              </w:rPr>
              <w:t>若为联合体投标，联合体牵头人或联合体成员提供均可</w:t>
            </w:r>
          </w:p>
        </w:tc>
        <w:tc>
          <w:tcPr>
            <w:tcW w:w="3032" w:type="pct"/>
            <w:tcBorders>
              <w:top w:val="single" w:color="auto" w:sz="4" w:space="0"/>
              <w:left w:val="single" w:color="auto" w:sz="4" w:space="0"/>
              <w:right w:val="single" w:color="auto" w:sz="4" w:space="0"/>
            </w:tcBorders>
            <w:vAlign w:val="center"/>
          </w:tcPr>
          <w:p w14:paraId="13C3D282">
            <w:pPr>
              <w:numPr>
                <w:ilvl w:val="0"/>
                <w:numId w:val="0"/>
              </w:numPr>
              <w:spacing w:line="440" w:lineRule="exact"/>
              <w:rPr>
                <w:rFonts w:hint="eastAsia" w:ascii="宋体" w:hAnsi="宋体" w:cs="宋体"/>
                <w:b/>
                <w:bCs/>
                <w:color w:val="auto"/>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1.</w:t>
            </w:r>
            <w:r>
              <w:rPr>
                <w:rFonts w:hint="eastAsia" w:ascii="宋体" w:hAnsi="宋体" w:cs="宋体"/>
                <w:b/>
                <w:bCs/>
                <w:color w:val="auto"/>
                <w:szCs w:val="21"/>
                <w:highlight w:val="none"/>
                <w:lang w:val="en-US" w:eastAsia="zh-CN" w:bidi="ar"/>
              </w:rPr>
              <w:t>拟派项目负责人（1人）</w:t>
            </w:r>
          </w:p>
          <w:p w14:paraId="43EB8A6D">
            <w:pPr>
              <w:numPr>
                <w:ilvl w:val="0"/>
                <w:numId w:val="0"/>
              </w:numPr>
              <w:spacing w:line="440" w:lineRule="exact"/>
              <w:rPr>
                <w:rFonts w:hint="eastAsia" w:ascii="宋体" w:hAnsi="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r>
              <w:rPr>
                <w:rFonts w:hint="eastAsia" w:ascii="宋体" w:hAnsi="宋体" w:cs="宋体"/>
                <w:color w:val="auto"/>
                <w:szCs w:val="21"/>
                <w:highlight w:val="none"/>
                <w:lang w:val="en-US" w:eastAsia="zh-CN" w:bidi="ar"/>
              </w:rPr>
              <w:t>具有</w:t>
            </w:r>
            <w:r>
              <w:rPr>
                <w:rFonts w:hint="eastAsia" w:ascii="宋体" w:hAnsi="宋体" w:cs="宋体"/>
                <w:color w:val="auto"/>
                <w:szCs w:val="21"/>
                <w:highlight w:val="none"/>
                <w:lang w:bidi="ar"/>
              </w:rPr>
              <w:t>人社部门颁发的</w:t>
            </w:r>
            <w:r>
              <w:rPr>
                <w:rFonts w:hint="eastAsia" w:ascii="宋体" w:hAnsi="宋体" w:cs="宋体"/>
                <w:color w:val="auto"/>
                <w:szCs w:val="21"/>
                <w:highlight w:val="none"/>
                <w:lang w:val="en-US" w:eastAsia="zh-CN" w:bidi="ar"/>
              </w:rPr>
              <w:t>园林绿化相关专业</w:t>
            </w:r>
            <w:r>
              <w:rPr>
                <w:rFonts w:hint="eastAsia" w:ascii="宋体" w:hAnsi="宋体" w:cs="宋体"/>
                <w:color w:val="auto"/>
                <w:szCs w:val="21"/>
                <w:highlight w:val="none"/>
                <w:lang w:val="en-US" w:eastAsia="zh-CN" w:bidi="ar"/>
              </w:rPr>
              <w:t>副</w:t>
            </w:r>
            <w:r>
              <w:rPr>
                <w:rFonts w:hint="eastAsia" w:ascii="宋体" w:hAnsi="宋体" w:cs="宋体"/>
                <w:color w:val="auto"/>
                <w:szCs w:val="21"/>
                <w:highlight w:val="none"/>
                <w:lang w:bidi="ar"/>
              </w:rPr>
              <w:t>高级及以上</w:t>
            </w:r>
            <w:r>
              <w:rPr>
                <w:rFonts w:hint="eastAsia" w:ascii="宋体" w:hAnsi="宋体" w:cs="宋体"/>
                <w:color w:val="auto"/>
                <w:szCs w:val="21"/>
                <w:highlight w:val="none"/>
                <w:lang w:val="en-US" w:eastAsia="zh-CN" w:bidi="ar"/>
              </w:rPr>
              <w:t>职称证书的得2分，满分2分；</w:t>
            </w:r>
          </w:p>
          <w:p w14:paraId="26B2CB72">
            <w:pPr>
              <w:numPr>
                <w:ilvl w:val="0"/>
                <w:numId w:val="0"/>
              </w:numPr>
              <w:spacing w:line="440" w:lineRule="exact"/>
              <w:rPr>
                <w:rFonts w:hint="default" w:ascii="宋体" w:hAnsi="宋体" w:cs="宋体"/>
                <w:color w:val="auto"/>
                <w:szCs w:val="21"/>
                <w:highlight w:val="none"/>
                <w:lang w:val="en-US" w:eastAsia="zh-CN" w:bidi="ar"/>
              </w:rPr>
            </w:pPr>
            <w:r>
              <w:rPr>
                <w:rFonts w:hint="default" w:ascii="宋体" w:hAnsi="宋体" w:eastAsia="宋体" w:cs="宋体"/>
                <w:color w:val="auto"/>
                <w:kern w:val="2"/>
                <w:sz w:val="21"/>
                <w:szCs w:val="21"/>
                <w:highlight w:val="none"/>
                <w:lang w:val="en-US" w:eastAsia="zh-CN" w:bidi="ar"/>
              </w:rPr>
              <w:t>（2）</w:t>
            </w:r>
            <w:r>
              <w:rPr>
                <w:rFonts w:hint="eastAsia" w:ascii="宋体" w:hAnsi="宋体" w:cs="宋体"/>
                <w:color w:val="auto"/>
                <w:szCs w:val="21"/>
                <w:highlight w:val="none"/>
                <w:lang w:val="en-US" w:eastAsia="zh-CN" w:bidi="ar"/>
              </w:rPr>
              <w:t>具有</w:t>
            </w:r>
            <w:r>
              <w:rPr>
                <w:rFonts w:hint="eastAsia" w:ascii="宋体" w:hAnsi="宋体" w:cs="宋体"/>
                <w:color w:val="auto"/>
                <w:szCs w:val="21"/>
                <w:highlight w:val="none"/>
                <w:lang w:bidi="ar"/>
              </w:rPr>
              <w:t>应急管理府部门或其授权备案单位颁发的安全</w:t>
            </w:r>
            <w:r>
              <w:rPr>
                <w:rFonts w:hint="eastAsia" w:ascii="宋体" w:hAnsi="宋体" w:cs="宋体"/>
                <w:color w:val="auto"/>
                <w:szCs w:val="21"/>
                <w:highlight w:val="none"/>
                <w:lang w:val="en-US" w:eastAsia="zh-CN" w:bidi="ar"/>
              </w:rPr>
              <w:t>类证书</w:t>
            </w:r>
            <w:r>
              <w:rPr>
                <w:rFonts w:hint="eastAsia" w:ascii="宋体" w:hAnsi="宋体" w:cs="宋体"/>
                <w:color w:val="auto"/>
                <w:szCs w:val="21"/>
                <w:highlight w:val="none"/>
                <w:lang w:bidi="ar"/>
              </w:rPr>
              <w:t>的</w:t>
            </w:r>
            <w:r>
              <w:rPr>
                <w:rFonts w:hint="eastAsia" w:ascii="宋体" w:hAnsi="宋体" w:cs="宋体"/>
                <w:color w:val="auto"/>
                <w:szCs w:val="21"/>
                <w:highlight w:val="none"/>
                <w:lang w:val="en-US" w:eastAsia="zh-CN" w:bidi="ar"/>
              </w:rPr>
              <w:t>得2分，满分2分。</w:t>
            </w:r>
          </w:p>
          <w:p w14:paraId="4BD74CF6">
            <w:pPr>
              <w:numPr>
                <w:ilvl w:val="0"/>
                <w:numId w:val="0"/>
              </w:numPr>
              <w:spacing w:line="440" w:lineRule="exact"/>
              <w:rPr>
                <w:rFonts w:hint="eastAsia" w:ascii="宋体" w:hAnsi="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2.</w:t>
            </w:r>
            <w:r>
              <w:rPr>
                <w:rFonts w:hint="eastAsia" w:ascii="宋体" w:hAnsi="宋体" w:eastAsia="宋体" w:cs="宋体"/>
                <w:b/>
                <w:bCs/>
                <w:color w:val="auto"/>
                <w:kern w:val="2"/>
                <w:sz w:val="21"/>
                <w:szCs w:val="21"/>
                <w:highlight w:val="none"/>
                <w:lang w:val="en-US" w:eastAsia="zh-CN" w:bidi="ar"/>
              </w:rPr>
              <w:t>拟派绿化</w:t>
            </w:r>
            <w:r>
              <w:rPr>
                <w:rFonts w:hint="eastAsia" w:ascii="宋体" w:hAnsi="宋体" w:cs="宋体"/>
                <w:b/>
                <w:bCs/>
                <w:color w:val="auto"/>
                <w:kern w:val="2"/>
                <w:sz w:val="21"/>
                <w:szCs w:val="21"/>
                <w:highlight w:val="none"/>
                <w:lang w:val="en-US" w:eastAsia="zh-CN" w:bidi="ar"/>
              </w:rPr>
              <w:t>管理人员（1人）</w:t>
            </w:r>
          </w:p>
          <w:p w14:paraId="1CC4C7F1">
            <w:pPr>
              <w:numPr>
                <w:ilvl w:val="0"/>
                <w:numId w:val="0"/>
              </w:numPr>
              <w:spacing w:line="440" w:lineRule="exact"/>
              <w:ind w:left="0" w:leftChars="0"/>
              <w:rPr>
                <w:rFonts w:hint="eastAsia" w:ascii="宋体" w:hAnsi="宋体" w:cs="宋体"/>
                <w:color w:val="auto"/>
                <w:szCs w:val="21"/>
                <w:highlight w:val="none"/>
                <w:lang w:bidi="ar"/>
              </w:rPr>
            </w:pPr>
            <w:r>
              <w:rPr>
                <w:rFonts w:hint="eastAsia" w:ascii="宋体" w:hAnsi="宋体" w:eastAsia="宋体" w:cs="宋体"/>
                <w:color w:val="auto"/>
                <w:kern w:val="2"/>
                <w:sz w:val="21"/>
                <w:szCs w:val="21"/>
                <w:highlight w:val="none"/>
                <w:lang w:val="en-US" w:eastAsia="zh-CN" w:bidi="ar"/>
              </w:rPr>
              <w:t>（1）</w:t>
            </w:r>
            <w:r>
              <w:rPr>
                <w:rFonts w:hint="eastAsia" w:ascii="宋体" w:hAnsi="宋体" w:cs="宋体"/>
                <w:color w:val="auto"/>
                <w:szCs w:val="21"/>
                <w:highlight w:val="none"/>
                <w:lang w:bidi="ar"/>
              </w:rPr>
              <w:t>具有人社部门颁发的</w:t>
            </w:r>
            <w:r>
              <w:rPr>
                <w:rFonts w:hint="eastAsia" w:ascii="宋体" w:hAnsi="宋体" w:cs="宋体"/>
                <w:color w:val="auto"/>
                <w:szCs w:val="21"/>
                <w:highlight w:val="none"/>
                <w:lang w:val="en-US" w:eastAsia="zh-CN" w:bidi="ar"/>
              </w:rPr>
              <w:t>园林绿化相关专业</w:t>
            </w:r>
            <w:r>
              <w:rPr>
                <w:rFonts w:hint="eastAsia" w:ascii="宋体" w:hAnsi="宋体" w:cs="宋体"/>
                <w:color w:val="auto"/>
                <w:szCs w:val="21"/>
                <w:highlight w:val="none"/>
                <w:lang w:bidi="ar"/>
              </w:rPr>
              <w:t>中级及以上职称</w:t>
            </w:r>
            <w:r>
              <w:rPr>
                <w:rFonts w:hint="eastAsia" w:ascii="宋体" w:hAnsi="宋体" w:cs="宋体"/>
                <w:color w:val="auto"/>
                <w:szCs w:val="21"/>
                <w:highlight w:val="none"/>
                <w:lang w:val="en-US" w:eastAsia="zh-CN" w:bidi="ar"/>
              </w:rPr>
              <w:t>证书的得2分，满分2分</w:t>
            </w:r>
            <w:r>
              <w:rPr>
                <w:rFonts w:hint="eastAsia" w:ascii="宋体" w:hAnsi="宋体" w:cs="宋体"/>
                <w:color w:val="auto"/>
                <w:szCs w:val="21"/>
                <w:highlight w:val="none"/>
                <w:lang w:val="en-US" w:eastAsia="zh-CN" w:bidi="ar"/>
              </w:rPr>
              <w:t>；</w:t>
            </w:r>
          </w:p>
          <w:p w14:paraId="74DFA893">
            <w:pPr>
              <w:numPr>
                <w:ilvl w:val="0"/>
                <w:numId w:val="0"/>
              </w:numPr>
              <w:spacing w:line="440" w:lineRule="exact"/>
              <w:ind w:left="0" w:leftChars="0"/>
              <w:rPr>
                <w:rFonts w:hint="eastAsia" w:ascii="宋体" w:hAnsi="宋体" w:cs="宋体"/>
                <w:color w:val="auto"/>
                <w:szCs w:val="21"/>
                <w:highlight w:val="none"/>
                <w:lang w:bidi="ar"/>
              </w:rPr>
            </w:pPr>
            <w:r>
              <w:rPr>
                <w:rFonts w:hint="eastAsia" w:ascii="宋体" w:hAnsi="宋体" w:eastAsia="宋体" w:cs="宋体"/>
                <w:color w:val="auto"/>
                <w:kern w:val="2"/>
                <w:sz w:val="21"/>
                <w:szCs w:val="21"/>
                <w:highlight w:val="none"/>
                <w:lang w:val="en-US" w:eastAsia="zh-CN" w:bidi="ar"/>
              </w:rPr>
              <w:t>（2）</w:t>
            </w:r>
            <w:r>
              <w:rPr>
                <w:rFonts w:hint="eastAsia" w:ascii="宋体" w:hAnsi="宋体" w:cs="宋体"/>
                <w:color w:val="auto"/>
                <w:szCs w:val="21"/>
                <w:highlight w:val="none"/>
                <w:lang w:bidi="ar"/>
              </w:rPr>
              <w:t>具有政府部门或其授权备案单位颁发的绿化工高级</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或一级</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证书</w:t>
            </w:r>
            <w:r>
              <w:rPr>
                <w:rFonts w:hint="eastAsia" w:ascii="宋体" w:hAnsi="宋体" w:cs="宋体"/>
                <w:color w:val="auto"/>
                <w:szCs w:val="21"/>
                <w:highlight w:val="none"/>
                <w:lang w:val="en-US" w:eastAsia="zh-CN" w:bidi="ar"/>
              </w:rPr>
              <w:t>的得2分，满分2分</w:t>
            </w:r>
            <w:r>
              <w:rPr>
                <w:rFonts w:hint="eastAsia" w:ascii="宋体" w:hAnsi="宋体" w:cs="宋体"/>
                <w:color w:val="auto"/>
                <w:szCs w:val="21"/>
                <w:highlight w:val="none"/>
                <w:lang w:bidi="ar"/>
              </w:rPr>
              <w:t>；</w:t>
            </w:r>
          </w:p>
          <w:p w14:paraId="1D734A72">
            <w:pPr>
              <w:numPr>
                <w:ilvl w:val="0"/>
                <w:numId w:val="0"/>
              </w:numPr>
              <w:spacing w:line="440" w:lineRule="exact"/>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3</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具有</w:t>
            </w:r>
            <w:r>
              <w:rPr>
                <w:rFonts w:hint="eastAsia" w:ascii="宋体" w:hAnsi="宋体" w:cs="宋体"/>
                <w:color w:val="auto"/>
                <w:szCs w:val="21"/>
                <w:highlight w:val="none"/>
                <w:lang w:bidi="ar"/>
              </w:rPr>
              <w:t>应急管理府部门或其授权备案单位颁发的安全</w:t>
            </w:r>
            <w:r>
              <w:rPr>
                <w:rFonts w:hint="eastAsia" w:ascii="宋体" w:hAnsi="宋体" w:cs="宋体"/>
                <w:color w:val="auto"/>
                <w:szCs w:val="21"/>
                <w:highlight w:val="none"/>
                <w:lang w:val="en-US" w:eastAsia="zh-CN" w:bidi="ar"/>
              </w:rPr>
              <w:t>类证书</w:t>
            </w:r>
            <w:r>
              <w:rPr>
                <w:rFonts w:hint="eastAsia" w:ascii="宋体" w:hAnsi="宋体" w:cs="宋体"/>
                <w:color w:val="auto"/>
                <w:szCs w:val="21"/>
                <w:highlight w:val="none"/>
                <w:lang w:val="en-US" w:eastAsia="zh-CN" w:bidi="ar"/>
              </w:rPr>
              <w:t>的得1分，满分1分。</w:t>
            </w:r>
          </w:p>
          <w:p w14:paraId="7100A535">
            <w:pPr>
              <w:numPr>
                <w:ilvl w:val="0"/>
                <w:numId w:val="0"/>
              </w:numPr>
              <w:spacing w:line="440" w:lineRule="exact"/>
              <w:rPr>
                <w:rFonts w:hint="eastAsia" w:ascii="宋体" w:hAnsi="宋体" w:cs="宋体"/>
                <w:b/>
                <w:bCs/>
                <w:color w:val="auto"/>
                <w:kern w:val="2"/>
                <w:sz w:val="21"/>
                <w:szCs w:val="21"/>
                <w:highlight w:val="none"/>
                <w:lang w:val="en-US" w:eastAsia="zh-CN" w:bidi="ar"/>
              </w:rPr>
            </w:pPr>
            <w:r>
              <w:rPr>
                <w:rFonts w:hint="eastAsia" w:ascii="宋体" w:hAnsi="宋体" w:cs="宋体"/>
                <w:b/>
                <w:bCs/>
                <w:color w:val="auto"/>
                <w:szCs w:val="21"/>
                <w:highlight w:val="none"/>
                <w:lang w:val="en-US" w:eastAsia="zh-CN" w:bidi="ar"/>
              </w:rPr>
              <w:t>3.</w:t>
            </w:r>
            <w:r>
              <w:rPr>
                <w:rFonts w:hint="eastAsia" w:ascii="宋体" w:hAnsi="宋体" w:eastAsia="宋体" w:cs="宋体"/>
                <w:b/>
                <w:bCs/>
                <w:color w:val="auto"/>
                <w:kern w:val="2"/>
                <w:sz w:val="21"/>
                <w:szCs w:val="21"/>
                <w:highlight w:val="none"/>
                <w:lang w:val="en-US" w:eastAsia="zh-CN" w:bidi="ar"/>
              </w:rPr>
              <w:t>拟派安全</w:t>
            </w:r>
            <w:r>
              <w:rPr>
                <w:rFonts w:hint="eastAsia" w:ascii="宋体" w:hAnsi="宋体" w:cs="宋体"/>
                <w:b/>
                <w:bCs/>
                <w:color w:val="auto"/>
                <w:kern w:val="2"/>
                <w:sz w:val="21"/>
                <w:szCs w:val="21"/>
                <w:highlight w:val="none"/>
                <w:lang w:val="en-US" w:eastAsia="zh-CN" w:bidi="ar"/>
              </w:rPr>
              <w:t>管理人员（1人）</w:t>
            </w:r>
          </w:p>
          <w:p w14:paraId="3C3141EF">
            <w:pPr>
              <w:numPr>
                <w:ilvl w:val="0"/>
                <w:numId w:val="0"/>
              </w:numPr>
              <w:spacing w:line="440" w:lineRule="exact"/>
              <w:ind w:left="0" w:leftChars="0"/>
              <w:rPr>
                <w:rFonts w:hint="eastAsia" w:ascii="宋体" w:hAnsi="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r>
              <w:rPr>
                <w:rFonts w:hint="eastAsia" w:ascii="宋体" w:hAnsi="宋体" w:cs="宋体"/>
                <w:color w:val="auto"/>
                <w:szCs w:val="21"/>
                <w:highlight w:val="none"/>
                <w:lang w:bidi="ar"/>
              </w:rPr>
              <w:t>具有</w:t>
            </w:r>
            <w:r>
              <w:rPr>
                <w:rFonts w:hint="eastAsia" w:ascii="宋体" w:hAnsi="宋体" w:cs="宋体"/>
                <w:color w:val="auto"/>
                <w:szCs w:val="21"/>
                <w:highlight w:val="none"/>
                <w:lang w:val="en-US" w:eastAsia="zh-CN" w:bidi="ar"/>
              </w:rPr>
              <w:t>具有</w:t>
            </w:r>
            <w:r>
              <w:rPr>
                <w:rFonts w:hint="eastAsia" w:ascii="宋体" w:hAnsi="宋体" w:cs="宋体"/>
                <w:color w:val="auto"/>
                <w:szCs w:val="21"/>
                <w:highlight w:val="none"/>
                <w:lang w:eastAsia="zh-CN" w:bidi="ar"/>
              </w:rPr>
              <w:t>政府部门颁发的应急救援员职业资格证书</w:t>
            </w:r>
            <w:r>
              <w:rPr>
                <w:rFonts w:hint="eastAsia" w:ascii="宋体" w:hAnsi="宋体" w:cs="宋体"/>
                <w:color w:val="auto"/>
                <w:szCs w:val="21"/>
                <w:highlight w:val="none"/>
                <w:lang w:val="en-US" w:eastAsia="zh-CN" w:bidi="ar"/>
              </w:rPr>
              <w:t>的得2分，满分2分。</w:t>
            </w:r>
          </w:p>
          <w:p w14:paraId="0BBA006E">
            <w:pPr>
              <w:numPr>
                <w:ilvl w:val="0"/>
                <w:numId w:val="0"/>
              </w:numPr>
              <w:spacing w:line="440" w:lineRule="exact"/>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4.拟派环卫</w:t>
            </w:r>
            <w:r>
              <w:rPr>
                <w:rFonts w:hint="eastAsia" w:ascii="宋体" w:hAnsi="宋体" w:cs="宋体"/>
                <w:b/>
                <w:bCs/>
                <w:color w:val="auto"/>
                <w:kern w:val="2"/>
                <w:sz w:val="21"/>
                <w:szCs w:val="21"/>
                <w:highlight w:val="none"/>
                <w:lang w:val="en-US" w:eastAsia="zh-CN" w:bidi="ar"/>
              </w:rPr>
              <w:t>管理人员</w:t>
            </w:r>
            <w:r>
              <w:rPr>
                <w:rFonts w:hint="eastAsia" w:ascii="宋体" w:hAnsi="宋体" w:eastAsia="宋体" w:cs="宋体"/>
                <w:b/>
                <w:bCs/>
                <w:color w:val="auto"/>
                <w:kern w:val="2"/>
                <w:sz w:val="21"/>
                <w:szCs w:val="21"/>
                <w:highlight w:val="none"/>
                <w:lang w:val="en-US" w:eastAsia="zh-CN" w:bidi="ar"/>
              </w:rPr>
              <w:t>（1人）：</w:t>
            </w:r>
          </w:p>
          <w:p w14:paraId="66082D74">
            <w:pPr>
              <w:numPr>
                <w:ilvl w:val="0"/>
                <w:numId w:val="0"/>
              </w:numPr>
              <w:spacing w:line="440" w:lineRule="exact"/>
              <w:rPr>
                <w:rFonts w:hint="default" w:ascii="宋体" w:hAnsi="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r>
              <w:rPr>
                <w:rFonts w:hint="eastAsia" w:ascii="宋体" w:hAnsi="宋体" w:cs="宋体"/>
                <w:color w:val="auto"/>
                <w:szCs w:val="21"/>
                <w:highlight w:val="none"/>
                <w:lang w:val="en-US" w:eastAsia="zh-CN" w:bidi="ar"/>
              </w:rPr>
              <w:t>具有人社部门颁发的环境</w:t>
            </w:r>
            <w:r>
              <w:rPr>
                <w:rFonts w:hint="eastAsia" w:ascii="宋体" w:hAnsi="宋体" w:cs="宋体"/>
                <w:color w:val="auto"/>
                <w:szCs w:val="21"/>
                <w:highlight w:val="none"/>
                <w:lang w:val="en-US" w:eastAsia="zh-CN" w:bidi="ar"/>
              </w:rPr>
              <w:t>相关专业</w:t>
            </w:r>
            <w:r>
              <w:rPr>
                <w:rFonts w:hint="eastAsia" w:ascii="宋体" w:hAnsi="宋体" w:cs="宋体"/>
                <w:color w:val="auto"/>
                <w:szCs w:val="21"/>
                <w:highlight w:val="none"/>
                <w:lang w:val="en-US" w:eastAsia="zh-CN" w:bidi="ar"/>
              </w:rPr>
              <w:t>中级及以上职称证书</w:t>
            </w:r>
            <w:r>
              <w:rPr>
                <w:rFonts w:hint="eastAsia" w:ascii="宋体" w:hAnsi="宋体" w:cs="宋体"/>
                <w:color w:val="auto"/>
                <w:szCs w:val="21"/>
                <w:highlight w:val="none"/>
                <w:lang w:val="en-US" w:eastAsia="zh-CN" w:bidi="ar"/>
              </w:rPr>
              <w:t>的得2分，满分2分</w:t>
            </w:r>
            <w:r>
              <w:rPr>
                <w:rFonts w:hint="eastAsia" w:ascii="宋体" w:hAnsi="宋体" w:cs="宋体"/>
                <w:color w:val="auto"/>
                <w:szCs w:val="21"/>
                <w:highlight w:val="none"/>
                <w:lang w:val="en-US" w:eastAsia="zh-CN" w:bidi="ar"/>
              </w:rPr>
              <w:t>；</w:t>
            </w:r>
          </w:p>
          <w:p w14:paraId="2EA876E4">
            <w:pPr>
              <w:spacing w:line="440" w:lineRule="exact"/>
              <w:rPr>
                <w:rFonts w:hint="default" w:ascii="宋体" w:hAnsi="宋体" w:cs="宋体"/>
                <w:b/>
                <w:bCs/>
                <w:color w:val="auto"/>
                <w:szCs w:val="21"/>
                <w:highlight w:val="none"/>
                <w:lang w:val="en-US" w:eastAsia="zh-CN" w:bidi="ar"/>
              </w:rPr>
            </w:pPr>
            <w:r>
              <w:rPr>
                <w:rFonts w:hint="eastAsia" w:ascii="宋体" w:hAnsi="宋体" w:cs="宋体"/>
                <w:b/>
                <w:bCs/>
                <w:color w:val="auto"/>
                <w:szCs w:val="21"/>
                <w:highlight w:val="none"/>
                <w:lang w:val="en-US" w:eastAsia="zh-CN" w:bidi="ar"/>
              </w:rPr>
              <w:t>5.服务团队其他人员</w:t>
            </w:r>
            <w:r>
              <w:rPr>
                <w:rFonts w:hint="eastAsia" w:ascii="宋体" w:hAnsi="宋体" w:cs="宋体"/>
                <w:b/>
                <w:bCs/>
                <w:color w:val="auto"/>
                <w:szCs w:val="21"/>
                <w:highlight w:val="none"/>
                <w:lang w:val="en-US" w:eastAsia="zh-CN" w:bidi="ar"/>
              </w:rPr>
              <w:t>（除项目负责人、</w:t>
            </w:r>
            <w:r>
              <w:rPr>
                <w:rFonts w:hint="eastAsia" w:ascii="宋体" w:hAnsi="宋体" w:eastAsia="宋体" w:cs="宋体"/>
                <w:b/>
                <w:bCs/>
                <w:color w:val="auto"/>
                <w:kern w:val="2"/>
                <w:sz w:val="21"/>
                <w:szCs w:val="21"/>
                <w:highlight w:val="none"/>
                <w:lang w:val="en-US" w:eastAsia="zh-CN" w:bidi="ar"/>
              </w:rPr>
              <w:t>绿化</w:t>
            </w:r>
            <w:r>
              <w:rPr>
                <w:rFonts w:hint="eastAsia" w:ascii="宋体" w:hAnsi="宋体" w:cs="宋体"/>
                <w:b/>
                <w:bCs/>
                <w:color w:val="auto"/>
                <w:kern w:val="2"/>
                <w:sz w:val="21"/>
                <w:szCs w:val="21"/>
                <w:highlight w:val="none"/>
                <w:lang w:val="en-US" w:eastAsia="zh-CN" w:bidi="ar"/>
              </w:rPr>
              <w:t>管理人员、</w:t>
            </w:r>
            <w:r>
              <w:rPr>
                <w:rFonts w:hint="eastAsia" w:ascii="宋体" w:hAnsi="宋体" w:eastAsia="宋体" w:cs="宋体"/>
                <w:b/>
                <w:bCs/>
                <w:color w:val="auto"/>
                <w:kern w:val="2"/>
                <w:sz w:val="21"/>
                <w:szCs w:val="21"/>
                <w:highlight w:val="none"/>
                <w:lang w:val="en-US" w:eastAsia="zh-CN" w:bidi="ar"/>
              </w:rPr>
              <w:t>安全</w:t>
            </w:r>
            <w:r>
              <w:rPr>
                <w:rFonts w:hint="eastAsia" w:ascii="宋体" w:hAnsi="宋体" w:cs="宋体"/>
                <w:b/>
                <w:bCs/>
                <w:color w:val="auto"/>
                <w:kern w:val="2"/>
                <w:sz w:val="21"/>
                <w:szCs w:val="21"/>
                <w:highlight w:val="none"/>
                <w:lang w:val="en-US" w:eastAsia="zh-CN" w:bidi="ar"/>
              </w:rPr>
              <w:t>管理人员、</w:t>
            </w:r>
            <w:r>
              <w:rPr>
                <w:rFonts w:hint="eastAsia" w:ascii="宋体" w:hAnsi="宋体" w:eastAsia="宋体" w:cs="宋体"/>
                <w:b/>
                <w:bCs/>
                <w:color w:val="auto"/>
                <w:kern w:val="2"/>
                <w:sz w:val="21"/>
                <w:szCs w:val="21"/>
                <w:highlight w:val="none"/>
                <w:lang w:val="en-US" w:eastAsia="zh-CN" w:bidi="ar"/>
              </w:rPr>
              <w:t>环卫</w:t>
            </w:r>
            <w:r>
              <w:rPr>
                <w:rFonts w:hint="eastAsia" w:ascii="宋体" w:hAnsi="宋体" w:cs="宋体"/>
                <w:b/>
                <w:bCs/>
                <w:color w:val="auto"/>
                <w:kern w:val="2"/>
                <w:sz w:val="21"/>
                <w:szCs w:val="21"/>
                <w:highlight w:val="none"/>
                <w:lang w:val="en-US" w:eastAsia="zh-CN" w:bidi="ar"/>
              </w:rPr>
              <w:t>管理人员外</w:t>
            </w:r>
            <w:r>
              <w:rPr>
                <w:rFonts w:hint="eastAsia" w:ascii="宋体" w:hAnsi="宋体" w:cs="宋体"/>
                <w:b/>
                <w:bCs/>
                <w:color w:val="auto"/>
                <w:szCs w:val="21"/>
                <w:highlight w:val="none"/>
                <w:lang w:val="en-US" w:eastAsia="zh-CN" w:bidi="ar"/>
              </w:rPr>
              <w:t>）</w:t>
            </w:r>
          </w:p>
          <w:p w14:paraId="26D4068A">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具有政府部门颁发或政府部门备案的第三方颁发的绿化工技能证书</w:t>
            </w:r>
            <w:r>
              <w:rPr>
                <w:rFonts w:hint="eastAsia" w:ascii="宋体" w:hAnsi="宋体" w:cs="宋体"/>
                <w:color w:val="auto"/>
                <w:szCs w:val="21"/>
                <w:highlight w:val="none"/>
                <w:lang w:val="en-US" w:eastAsia="zh-CN" w:bidi="ar"/>
              </w:rPr>
              <w:t>或花卉园艺工技能证书的</w:t>
            </w: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每提供一个</w:t>
            </w:r>
            <w:r>
              <w:rPr>
                <w:rFonts w:hint="eastAsia" w:ascii="宋体" w:hAnsi="宋体" w:cs="宋体"/>
                <w:color w:val="auto"/>
                <w:szCs w:val="21"/>
                <w:highlight w:val="none"/>
                <w:lang w:bidi="ar"/>
              </w:rPr>
              <w:t>得</w:t>
            </w:r>
            <w:r>
              <w:rPr>
                <w:rFonts w:hint="eastAsia" w:ascii="宋体" w:hAnsi="宋体" w:cs="宋体"/>
                <w:color w:val="auto"/>
                <w:szCs w:val="21"/>
                <w:highlight w:val="none"/>
                <w:lang w:val="en-US" w:eastAsia="zh-CN" w:bidi="ar"/>
              </w:rPr>
              <w:t>2</w:t>
            </w:r>
            <w:r>
              <w:rPr>
                <w:rFonts w:hint="eastAsia" w:ascii="宋体" w:hAnsi="宋体" w:cs="宋体"/>
                <w:color w:val="auto"/>
                <w:szCs w:val="21"/>
                <w:highlight w:val="none"/>
                <w:lang w:bidi="ar"/>
              </w:rPr>
              <w:t>分，满分</w:t>
            </w:r>
            <w:r>
              <w:rPr>
                <w:rFonts w:hint="eastAsia" w:ascii="宋体" w:hAnsi="宋体" w:cs="宋体"/>
                <w:color w:val="auto"/>
                <w:szCs w:val="21"/>
                <w:highlight w:val="none"/>
                <w:lang w:val="en-US" w:eastAsia="zh-CN" w:bidi="ar"/>
              </w:rPr>
              <w:t>6</w:t>
            </w:r>
            <w:r>
              <w:rPr>
                <w:rFonts w:hint="eastAsia" w:ascii="宋体" w:hAnsi="宋体" w:cs="宋体"/>
                <w:color w:val="auto"/>
                <w:szCs w:val="21"/>
                <w:highlight w:val="none"/>
                <w:lang w:bidi="ar"/>
              </w:rPr>
              <w:t>分；</w:t>
            </w:r>
          </w:p>
          <w:p w14:paraId="29786D9F">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注：投标文件中同时提供以下证明材料</w:t>
            </w:r>
            <w:r>
              <w:rPr>
                <w:rFonts w:hint="eastAsia" w:ascii="宋体" w:hAnsi="宋体" w:cs="宋体"/>
                <w:color w:val="auto"/>
                <w:szCs w:val="21"/>
                <w:highlight w:val="none"/>
                <w:lang w:eastAsia="zh-CN" w:bidi="ar"/>
              </w:rPr>
              <w:t>（</w:t>
            </w:r>
            <w:r>
              <w:rPr>
                <w:rFonts w:hint="eastAsia" w:ascii="宋体" w:hAnsi="宋体" w:cs="宋体"/>
                <w:b/>
                <w:bCs/>
                <w:color w:val="auto"/>
                <w:szCs w:val="21"/>
                <w:highlight w:val="none"/>
                <w:lang w:bidi="ar"/>
              </w:rPr>
              <w:t>上述人员一人一岗</w:t>
            </w:r>
            <w:r>
              <w:rPr>
                <w:rFonts w:hint="eastAsia" w:ascii="宋体" w:hAnsi="宋体" w:cs="宋体"/>
                <w:b/>
                <w:bCs/>
                <w:color w:val="auto"/>
                <w:szCs w:val="21"/>
                <w:highlight w:val="none"/>
                <w:lang w:eastAsia="zh-CN" w:bidi="ar"/>
              </w:rPr>
              <w:t>，</w:t>
            </w:r>
            <w:r>
              <w:rPr>
                <w:rFonts w:hint="eastAsia" w:ascii="宋体" w:hAnsi="宋体" w:cs="宋体"/>
                <w:b/>
                <w:bCs/>
                <w:color w:val="auto"/>
                <w:szCs w:val="21"/>
                <w:highlight w:val="none"/>
                <w:lang w:bidi="ar"/>
              </w:rPr>
              <w:t>一人不得在本项目中兼任多个岗位</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w:t>
            </w:r>
          </w:p>
          <w:p w14:paraId="34CAEE87">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①</w:t>
            </w:r>
            <w:r>
              <w:rPr>
                <w:rFonts w:hint="eastAsia" w:ascii="宋体" w:hAnsi="宋体" w:cs="宋体"/>
                <w:color w:val="auto"/>
                <w:szCs w:val="21"/>
                <w:highlight w:val="none"/>
                <w:lang w:val="en-US" w:eastAsia="zh-CN" w:bidi="ar"/>
              </w:rPr>
              <w:t>人员名单</w:t>
            </w: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格式自拟</w:t>
            </w:r>
            <w:r>
              <w:rPr>
                <w:rFonts w:hint="eastAsia" w:ascii="宋体" w:hAnsi="宋体" w:cs="宋体"/>
                <w:color w:val="auto"/>
                <w:szCs w:val="21"/>
                <w:highlight w:val="none"/>
                <w:lang w:bidi="ar"/>
              </w:rPr>
              <w:t>）；</w:t>
            </w:r>
          </w:p>
          <w:p w14:paraId="38FA3009">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②上述人员相关证书扫描件；</w:t>
            </w:r>
          </w:p>
          <w:p w14:paraId="7F293181">
            <w:pPr>
              <w:spacing w:line="440" w:lineRule="exact"/>
              <w:rPr>
                <w:rFonts w:hint="eastAsia" w:ascii="宋体" w:hAnsi="宋体" w:cs="宋体"/>
                <w:color w:val="auto"/>
                <w:szCs w:val="21"/>
                <w:highlight w:val="none"/>
                <w:lang w:bidi="ar"/>
              </w:rPr>
            </w:pPr>
            <w:r>
              <w:rPr>
                <w:rFonts w:hint="eastAsia" w:ascii="宋体" w:hAnsi="宋体" w:cs="宋体"/>
                <w:color w:val="auto"/>
                <w:szCs w:val="21"/>
                <w:highlight w:val="none"/>
                <w:lang w:bidi="ar"/>
              </w:rPr>
              <w:t>③上述人员须持有</w:t>
            </w:r>
            <w:r>
              <w:rPr>
                <w:rFonts w:hint="eastAsia" w:ascii="宋体" w:hAnsi="宋体" w:cs="宋体"/>
                <w:color w:val="auto"/>
                <w:szCs w:val="21"/>
                <w:highlight w:val="none"/>
                <w:lang w:val="en-US" w:eastAsia="zh-CN" w:bidi="ar"/>
              </w:rPr>
              <w:t>社保部门出具的投标人为其缴纳的投标前近三个月内任意一个月的养老保险证明（含官网在线打印件，证明文件两个月内有效）或投标人提供已为上述人员缴纳养老保险证明的承诺书（格式自拟）</w:t>
            </w:r>
            <w:r>
              <w:rPr>
                <w:rFonts w:hint="eastAsia" w:ascii="宋体" w:hAnsi="宋体" w:cs="宋体"/>
                <w:color w:val="auto"/>
                <w:szCs w:val="21"/>
                <w:highlight w:val="none"/>
                <w:lang w:bidi="ar"/>
              </w:rPr>
              <w:t>；</w:t>
            </w:r>
          </w:p>
          <w:p w14:paraId="09F3779C">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Cs w:val="21"/>
                <w:highlight w:val="none"/>
                <w:lang w:bidi="ar"/>
              </w:rPr>
              <w:t>④分公司人员证书和分公司为其缴纳的养老保险予以认可。</w:t>
            </w:r>
          </w:p>
        </w:tc>
        <w:tc>
          <w:tcPr>
            <w:tcW w:w="633" w:type="pct"/>
            <w:tcBorders>
              <w:top w:val="single" w:color="auto" w:sz="4" w:space="0"/>
              <w:left w:val="single" w:color="auto" w:sz="4" w:space="0"/>
              <w:bottom w:val="single" w:color="auto" w:sz="4" w:space="0"/>
              <w:right w:val="single" w:color="auto" w:sz="4" w:space="0"/>
            </w:tcBorders>
            <w:vAlign w:val="center"/>
          </w:tcPr>
          <w:p w14:paraId="5F556FAF">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w:t>
            </w:r>
            <w:r>
              <w:rPr>
                <w:rFonts w:hint="eastAsia" w:ascii="宋体" w:hAnsi="宋体" w:cs="宋体"/>
                <w:b/>
                <w:bCs w:val="0"/>
                <w:color w:val="auto"/>
                <w:kern w:val="0"/>
                <w:sz w:val="21"/>
                <w:szCs w:val="21"/>
                <w:highlight w:val="none"/>
                <w:lang w:val="en-US" w:eastAsia="zh-CN" w:bidi="ar-SA"/>
              </w:rPr>
              <w:t>19</w:t>
            </w:r>
            <w:r>
              <w:rPr>
                <w:rFonts w:hint="eastAsia" w:ascii="宋体" w:hAnsi="宋体" w:eastAsia="宋体" w:cs="宋体"/>
                <w:b/>
                <w:bCs w:val="0"/>
                <w:color w:val="auto"/>
                <w:kern w:val="0"/>
                <w:sz w:val="21"/>
                <w:szCs w:val="21"/>
                <w:highlight w:val="none"/>
                <w:lang w:val="en-US" w:eastAsia="zh-CN" w:bidi="ar-SA"/>
              </w:rPr>
              <w:t>分</w:t>
            </w:r>
          </w:p>
        </w:tc>
      </w:tr>
      <w:tr w14:paraId="2367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623" w:type="pct"/>
            <w:vMerge w:val="continue"/>
            <w:tcBorders>
              <w:left w:val="single" w:color="auto" w:sz="4" w:space="0"/>
              <w:right w:val="single" w:color="auto" w:sz="4" w:space="0"/>
            </w:tcBorders>
            <w:vAlign w:val="center"/>
          </w:tcPr>
          <w:p w14:paraId="12A3EEB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right w:val="single" w:color="auto" w:sz="4" w:space="0"/>
            </w:tcBorders>
            <w:vAlign w:val="center"/>
          </w:tcPr>
          <w:p w14:paraId="23B455F6">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3.绿化养护实施方案</w:t>
            </w:r>
          </w:p>
        </w:tc>
        <w:tc>
          <w:tcPr>
            <w:tcW w:w="3032" w:type="pct"/>
            <w:tcBorders>
              <w:top w:val="single" w:color="auto" w:sz="4" w:space="0"/>
              <w:left w:val="single" w:color="auto" w:sz="4" w:space="0"/>
              <w:right w:val="single" w:color="auto" w:sz="4" w:space="0"/>
            </w:tcBorders>
            <w:vAlign w:val="center"/>
          </w:tcPr>
          <w:p w14:paraId="773F95E9">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根据各投标人提供的针对本项目实际情况制定的绿化养护实施方案进行评审：</w:t>
            </w:r>
          </w:p>
          <w:p w14:paraId="1E6B5DA4">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（1）所制定的服务方案能充分结合绿化季节变化和每个养护地点的现状</w:t>
            </w:r>
            <w:r>
              <w:rPr>
                <w:rFonts w:hint="eastAsia" w:ascii="宋体" w:hAnsi="宋体" w:cs="宋体"/>
                <w:b w:val="0"/>
                <w:bCs/>
                <w:color w:val="auto"/>
                <w:kern w:val="0"/>
                <w:sz w:val="21"/>
                <w:szCs w:val="21"/>
                <w:highlight w:val="none"/>
                <w:lang w:val="en-US" w:eastAsia="zh-CN" w:bidi="ar-SA"/>
              </w:rPr>
              <w:t>、养护区域的分散、零散性</w:t>
            </w:r>
            <w:r>
              <w:rPr>
                <w:rFonts w:hint="eastAsia" w:ascii="宋体" w:hAnsi="宋体" w:eastAsia="宋体" w:cs="宋体"/>
                <w:b w:val="0"/>
                <w:bCs/>
                <w:color w:val="auto"/>
                <w:kern w:val="0"/>
                <w:sz w:val="21"/>
                <w:szCs w:val="21"/>
                <w:highlight w:val="none"/>
                <w:lang w:val="en-US" w:eastAsia="zh-CN" w:bidi="ar-SA"/>
              </w:rPr>
              <w:t>，计划周密，措施有效，内容详细、完整，能够完全满足采购人对服务水平和规范管理的要求，并结合自身经验，给出完善、细致的合理化建议的，得5分；</w:t>
            </w:r>
          </w:p>
          <w:p w14:paraId="2BA95CA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（2）所制定的服务方案能结合绿化季节变化和每个养护地点的现状</w:t>
            </w:r>
            <w:r>
              <w:rPr>
                <w:rFonts w:hint="eastAsia" w:ascii="宋体" w:hAnsi="宋体" w:cs="宋体"/>
                <w:b w:val="0"/>
                <w:bCs/>
                <w:color w:val="auto"/>
                <w:kern w:val="0"/>
                <w:sz w:val="21"/>
                <w:szCs w:val="21"/>
                <w:highlight w:val="none"/>
                <w:lang w:val="en-US" w:eastAsia="zh-CN" w:bidi="ar-SA"/>
              </w:rPr>
              <w:t>、养护区域的分散、零散性</w:t>
            </w:r>
            <w:r>
              <w:rPr>
                <w:rFonts w:hint="eastAsia" w:ascii="宋体" w:hAnsi="宋体" w:eastAsia="宋体" w:cs="宋体"/>
                <w:b w:val="0"/>
                <w:bCs/>
                <w:color w:val="auto"/>
                <w:kern w:val="0"/>
                <w:sz w:val="21"/>
                <w:szCs w:val="21"/>
                <w:highlight w:val="none"/>
                <w:lang w:val="en-US" w:eastAsia="zh-CN" w:bidi="ar-SA"/>
              </w:rPr>
              <w:t>，计划合理，能满足采购人对服务水平和规范管理的要求，得4分；</w:t>
            </w:r>
          </w:p>
          <w:p w14:paraId="20B32BA5">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（3）对本项目的理解与认识不到位或内容有缺失，仍需进一步完善的，得3分；</w:t>
            </w:r>
          </w:p>
          <w:p w14:paraId="782A86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20DB2988">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Merge w:val="continue"/>
            <w:tcBorders>
              <w:left w:val="single" w:color="auto" w:sz="4" w:space="0"/>
              <w:right w:val="single" w:color="auto" w:sz="4" w:space="0"/>
            </w:tcBorders>
            <w:vAlign w:val="center"/>
          </w:tcPr>
          <w:p w14:paraId="70C07F9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4.绿化管养组织及管理方案</w:t>
            </w:r>
          </w:p>
        </w:tc>
        <w:tc>
          <w:tcPr>
            <w:tcW w:w="3032" w:type="pct"/>
            <w:tcBorders>
              <w:top w:val="single" w:color="auto" w:sz="4" w:space="0"/>
              <w:left w:val="single" w:color="auto" w:sz="4" w:space="0"/>
              <w:bottom w:val="single" w:color="auto" w:sz="4" w:space="0"/>
              <w:right w:val="single" w:color="auto" w:sz="4" w:space="0"/>
            </w:tcBorders>
            <w:vAlign w:val="center"/>
          </w:tcPr>
          <w:p w14:paraId="0D1588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提供的针对本项目实际情况制定切实可行的日常管理方案、管养作业时组织交通方案和处置措施进行评审，针对项目特点如何组织实施等进行评审。</w:t>
            </w:r>
          </w:p>
          <w:p w14:paraId="419BB7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提供有针对的管养组织及管理方案，方案及处置措施详细完善、防护机制健全、可行的，得5分；</w:t>
            </w:r>
          </w:p>
          <w:p w14:paraId="0924EA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方案及处置措施完善、防护机制健全，符合实际需求，得4分；</w:t>
            </w:r>
          </w:p>
          <w:p w14:paraId="009449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方案及处置措施缺项或关键点缺失或出现非专门针对本项目特性内容的，得3分；</w:t>
            </w:r>
          </w:p>
          <w:p w14:paraId="6DAADF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Merge w:val="continue"/>
            <w:tcBorders>
              <w:left w:val="single" w:color="auto" w:sz="4" w:space="0"/>
              <w:right w:val="single" w:color="auto" w:sz="4" w:space="0"/>
            </w:tcBorders>
            <w:vAlign w:val="center"/>
          </w:tcPr>
          <w:p w14:paraId="60ED00A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6A3BD1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5.养护质量管理方案及措施</w:t>
            </w:r>
          </w:p>
        </w:tc>
        <w:tc>
          <w:tcPr>
            <w:tcW w:w="3032" w:type="pct"/>
            <w:tcBorders>
              <w:top w:val="single" w:color="auto" w:sz="4" w:space="0"/>
              <w:left w:val="single" w:color="auto" w:sz="4" w:space="0"/>
              <w:bottom w:val="single" w:color="auto" w:sz="4" w:space="0"/>
              <w:right w:val="single" w:color="auto" w:sz="4" w:space="0"/>
            </w:tcBorders>
            <w:vAlign w:val="center"/>
          </w:tcPr>
          <w:p w14:paraId="03F7D4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根据各投标人提供的针对本项目实际情况制定的养护质量管理措施措施进行评审：方案需至少体现以下内容①有专门的质量控制技术管理班子和制度，②苗木成活率保障措施，③设施日常管养措施。</w:t>
            </w:r>
          </w:p>
          <w:p w14:paraId="2D2242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建立针对绿化养护管理的质量技术管理体系，目标明确，养护管理质量控制措施可行，苗木存活率高得5分；</w:t>
            </w:r>
          </w:p>
          <w:p w14:paraId="09C99E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建立针对绿化养护管理的质量技术管理体系，质量控制技术管理班子和制度完整。养护管理质量控制措施可实施，苗木存活率等符合实际需求得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14:paraId="32EEF0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建立针对绿化养护管理的质量技术管理体系，质量控制技术管理班子和制度缺项或关键点缺失或出现非专门针对本项目特性内容的得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23BBAA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D2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Merge w:val="continue"/>
            <w:tcBorders>
              <w:left w:val="single" w:color="auto" w:sz="4" w:space="0"/>
              <w:right w:val="single" w:color="auto" w:sz="4" w:space="0"/>
            </w:tcBorders>
            <w:vAlign w:val="center"/>
          </w:tcPr>
          <w:p w14:paraId="5D382B7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shd w:val="clear" w:color="auto" w:fill="auto"/>
            <w:vAlign w:val="center"/>
          </w:tcPr>
          <w:p w14:paraId="215145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6.项目进场交接计划与承诺</w:t>
            </w:r>
          </w:p>
        </w:tc>
        <w:tc>
          <w:tcPr>
            <w:tcW w:w="3032" w:type="pct"/>
            <w:tcBorders>
              <w:top w:val="single" w:color="auto" w:sz="4" w:space="0"/>
              <w:left w:val="single" w:color="auto" w:sz="4" w:space="0"/>
              <w:bottom w:val="single" w:color="auto" w:sz="4" w:space="0"/>
              <w:right w:val="single" w:color="auto" w:sz="4" w:space="0"/>
            </w:tcBorders>
            <w:shd w:val="clear" w:color="auto" w:fill="auto"/>
            <w:vAlign w:val="center"/>
          </w:tcPr>
          <w:p w14:paraId="6F8D5E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各投标人根据本项目的实际情况提出的为确保项目顺利交接和平稳过渡采取的各项措施与承诺，从而拟定方案，进行评审：</w:t>
            </w:r>
          </w:p>
          <w:p w14:paraId="4C6E0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（1）交接时间、清点核查、过渡期安排、责任界定和风险应对周密，能确保一年一签和到期移交平稳衔接，</w:t>
            </w:r>
            <w:r>
              <w:rPr>
                <w:rFonts w:hint="eastAsia" w:ascii="宋体" w:hAnsi="宋体" w:eastAsia="宋体" w:cs="宋体"/>
                <w:color w:val="auto"/>
                <w:sz w:val="21"/>
                <w:szCs w:val="21"/>
                <w:highlight w:val="none"/>
                <w:lang w:val="en-US" w:eastAsia="zh-CN"/>
              </w:rPr>
              <w:t>得5分；</w:t>
            </w:r>
          </w:p>
          <w:p w14:paraId="7A4561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（2）交接流程、人员设备安排和承诺完整，能保障顺利进场和平稳过渡，</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14:paraId="16FCEA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（3）有进场承诺，但缺少具体清点、过渡期或责任界定，交接风险考虑不足，需进一步优化，</w:t>
            </w:r>
            <w:r>
              <w:rPr>
                <w:rFonts w:hint="eastAsia" w:ascii="宋体" w:hAnsi="宋体" w:eastAsia="宋体" w:cs="宋体"/>
                <w:color w:val="auto"/>
                <w:sz w:val="21"/>
                <w:szCs w:val="21"/>
                <w:highlight w:val="none"/>
                <w:lang w:val="en-US" w:eastAsia="zh-CN"/>
              </w:rPr>
              <w:t>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32F564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（4）未提供不得分。</w:t>
            </w:r>
          </w:p>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14:paraId="38307A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EA0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pct"/>
            <w:vMerge w:val="continue"/>
            <w:tcBorders>
              <w:left w:val="single" w:color="auto" w:sz="4" w:space="0"/>
              <w:right w:val="single" w:color="auto" w:sz="4" w:space="0"/>
            </w:tcBorders>
            <w:vAlign w:val="center"/>
          </w:tcPr>
          <w:p w14:paraId="14D1B3F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shd w:val="clear" w:color="auto" w:fill="auto"/>
            <w:vAlign w:val="center"/>
          </w:tcPr>
          <w:p w14:paraId="386F86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7.病虫害防治专项方案</w:t>
            </w:r>
          </w:p>
        </w:tc>
        <w:tc>
          <w:tcPr>
            <w:tcW w:w="3032" w:type="pct"/>
            <w:tcBorders>
              <w:top w:val="single" w:color="auto" w:sz="4" w:space="0"/>
              <w:left w:val="single" w:color="auto" w:sz="4" w:space="0"/>
              <w:bottom w:val="single" w:color="auto" w:sz="4" w:space="0"/>
              <w:right w:val="single" w:color="auto" w:sz="4" w:space="0"/>
            </w:tcBorders>
            <w:shd w:val="clear" w:color="auto" w:fill="auto"/>
            <w:vAlign w:val="center"/>
          </w:tcPr>
          <w:p w14:paraId="4510BBD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各</w:t>
            </w:r>
            <w:r>
              <w:rPr>
                <w:rFonts w:hint="eastAsia" w:ascii="宋体" w:hAnsi="宋体" w:eastAsia="宋体" w:cs="宋体"/>
                <w:color w:val="auto"/>
                <w:sz w:val="21"/>
                <w:szCs w:val="21"/>
                <w:highlight w:val="none"/>
                <w:lang w:val="en-US" w:eastAsia="zh-CN"/>
              </w:rPr>
              <w:t>投标人针对本项目实际情况、绿地的气候条件、苗木品种、数量、现场周边情况等编制，病虫害防治方案应贯彻“预防为主，综合防治 ”的方针的病虫害防治专项方案进行评审：</w:t>
            </w:r>
          </w:p>
          <w:p w14:paraId="437F30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（1）防治思路科学，普查预报、重点路段、用药安全和环保处置更精准，能明显降低病虫害风险，</w:t>
            </w:r>
            <w:r>
              <w:rPr>
                <w:rFonts w:hint="eastAsia" w:ascii="宋体" w:hAnsi="宋体" w:eastAsia="宋体" w:cs="宋体"/>
                <w:color w:val="auto"/>
                <w:sz w:val="21"/>
                <w:szCs w:val="21"/>
                <w:highlight w:val="none"/>
                <w:lang w:val="en-US" w:eastAsia="zh-CN"/>
              </w:rPr>
              <w:t xml:space="preserve">得5分； </w:t>
            </w:r>
          </w:p>
          <w:p w14:paraId="1B2979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（2）防治计划、用药安全、季节安排完整，能控制本项目病虫害危害，</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 xml:space="preserve">分； </w:t>
            </w:r>
          </w:p>
          <w:p w14:paraId="1D845C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（3）仅列常规药剂和打药频次，未结合苗木、季节、重点路段和环保安全，针对性不足，</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227BCF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14:paraId="589DA8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B9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7E0CAD2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7D613A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8.安全文明作业方案</w:t>
            </w:r>
          </w:p>
        </w:tc>
        <w:tc>
          <w:tcPr>
            <w:tcW w:w="3032" w:type="pct"/>
            <w:tcBorders>
              <w:top w:val="single" w:color="auto" w:sz="4" w:space="0"/>
              <w:left w:val="single" w:color="auto" w:sz="4" w:space="0"/>
              <w:bottom w:val="single" w:color="auto" w:sz="4" w:space="0"/>
              <w:right w:val="single" w:color="auto" w:sz="4" w:space="0"/>
            </w:tcBorders>
            <w:vAlign w:val="center"/>
          </w:tcPr>
          <w:p w14:paraId="2174D7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根据现场实际情况结合本项目特点，制定科学、合理、有针对性的安全文明作业方案。方案需至少体现以下内容：①安全文明保障措施，②日常养护中的噪音管理措施，③日常养护的人员服装等规范性措施。</w:t>
            </w:r>
          </w:p>
          <w:p w14:paraId="0DD1A9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方案覆盖全面，道路作业、错峰施工、噪音控制、人员着装和交通防护细致，能明显降低安全文明风险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得5分。 </w:t>
            </w:r>
          </w:p>
          <w:p w14:paraId="09D46D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方案</w:t>
            </w:r>
            <w:r>
              <w:rPr>
                <w:rFonts w:hint="eastAsia" w:ascii="宋体" w:hAnsi="宋体" w:cs="宋体"/>
                <w:color w:val="auto"/>
                <w:sz w:val="21"/>
                <w:szCs w:val="21"/>
                <w:highlight w:val="none"/>
                <w:lang w:val="en-US" w:eastAsia="zh-CN"/>
              </w:rPr>
              <w:t>完整，安全文明保障、噪音管理和人员服装规范完整，能保障日常养护安全文明作业，</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 xml:space="preserve">分； </w:t>
            </w:r>
          </w:p>
          <w:p w14:paraId="4F60BB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（3）有安全制度，但未针对道路作业、噪音、错峰和人员规范细化，可实施性有待完善，</w:t>
            </w:r>
            <w:r>
              <w:rPr>
                <w:rFonts w:hint="eastAsia"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02C830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5FD407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5B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55107F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01DAF8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9.</w:t>
            </w:r>
            <w:r>
              <w:rPr>
                <w:rFonts w:hint="eastAsia" w:ascii="宋体" w:hAnsi="宋体" w:cs="宋体"/>
                <w:color w:val="auto"/>
                <w:kern w:val="0"/>
                <w:szCs w:val="21"/>
                <w:highlight w:val="none"/>
                <w:lang w:val="en-US" w:eastAsia="zh-CN" w:bidi="ar"/>
              </w:rPr>
              <w:t>应急预案及突发事件处理和投诉受理方案</w:t>
            </w:r>
          </w:p>
        </w:tc>
        <w:tc>
          <w:tcPr>
            <w:tcW w:w="3032" w:type="pct"/>
            <w:tcBorders>
              <w:top w:val="single" w:color="auto" w:sz="4" w:space="0"/>
              <w:left w:val="single" w:color="auto" w:sz="4" w:space="0"/>
              <w:bottom w:val="single" w:color="auto" w:sz="4" w:space="0"/>
              <w:right w:val="single" w:color="auto" w:sz="4" w:space="0"/>
            </w:tcBorders>
            <w:vAlign w:val="center"/>
          </w:tcPr>
          <w:p w14:paraId="1E66DB5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实际情况制定的应急预案、针对恶劣天气、市民、市长热线投诉、媒体曝光等受理处置建立制度及相应措施进行评审，应急预案包括：应急服务保障措施、应急服务响应时间、应急设备车辆保障、重大或突发事件的人员配合、控制失误及其他相关服务等。</w:t>
            </w:r>
          </w:p>
          <w:p w14:paraId="153A42F8">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（1）应急响应、物资调度、现场处置、投诉回访和责任追究闭环，能满足采购需求应对突发和舆情</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p w14:paraId="111D6B57">
            <w:pPr>
              <w:widowControl/>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（2）应急预案、响应时间、投诉受理和处置流程完整，能应对常见突发事件和投诉，</w:t>
            </w:r>
            <w:r>
              <w:rPr>
                <w:rFonts w:hint="eastAsia" w:ascii="宋体" w:hAnsi="宋体" w:cs="宋体"/>
                <w:color w:val="auto"/>
                <w:szCs w:val="21"/>
                <w:highlight w:val="none"/>
                <w:lang w:val="en-US" w:eastAsia="zh-CN"/>
              </w:rPr>
              <w:t>得4分；</w:t>
            </w:r>
          </w:p>
          <w:p w14:paraId="1992B8B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（3）有通用预案，但未结合30分钟到场、恶劣天气、媒体舆情和投诉闭环，机制不具体，</w:t>
            </w:r>
            <w:r>
              <w:rPr>
                <w:rFonts w:hint="eastAsia" w:ascii="宋体" w:hAnsi="宋体" w:cs="宋体"/>
                <w:color w:val="auto"/>
                <w:szCs w:val="21"/>
                <w:highlight w:val="none"/>
                <w:lang w:val="en-US" w:eastAsia="zh-CN"/>
              </w:rPr>
              <w:t>得3分；</w:t>
            </w:r>
          </w:p>
          <w:p w14:paraId="2E1A94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5575CD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539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443B9127">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083261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cs="宋体"/>
                <w:color w:val="auto"/>
                <w:kern w:val="0"/>
                <w:szCs w:val="21"/>
                <w:highlight w:val="none"/>
                <w:lang w:bidi="ar"/>
              </w:rPr>
              <w:t>园林绿化垃圾处置方案</w:t>
            </w:r>
          </w:p>
        </w:tc>
        <w:tc>
          <w:tcPr>
            <w:tcW w:w="3032" w:type="pct"/>
            <w:tcBorders>
              <w:top w:val="single" w:color="auto" w:sz="4" w:space="0"/>
              <w:left w:val="single" w:color="auto" w:sz="4" w:space="0"/>
              <w:bottom w:val="single" w:color="auto" w:sz="4" w:space="0"/>
              <w:right w:val="single" w:color="auto" w:sz="4" w:space="0"/>
            </w:tcBorders>
            <w:vAlign w:val="center"/>
          </w:tcPr>
          <w:p w14:paraId="0683D2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根据各投标人提供的主要针对园林绿化管养中各种绿化垃圾废弃物收集处置管理方案进行评审：</w:t>
            </w:r>
          </w:p>
          <w:p w14:paraId="0A406C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（1）方案覆盖全面</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分类收集、暂存运输、资源化处置、台账追溯和职责边界清晰，全链条合规，得5分；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（2）垃圾收集、清运和处置流程完整，能保障绿地整洁和规范处理，得4分；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仅体现</w:t>
            </w:r>
            <w:r>
              <w:rPr>
                <w:rFonts w:hint="eastAsia" w:ascii="宋体" w:hAnsi="宋体" w:eastAsia="宋体" w:cs="宋体"/>
                <w:color w:val="auto"/>
                <w:sz w:val="21"/>
                <w:szCs w:val="21"/>
                <w:highlight w:val="none"/>
                <w:lang w:val="en-US" w:eastAsia="zh-CN"/>
              </w:rPr>
              <w:t>及时清运，未说明分类、去向、禁止焚烧掩埋或职责边界，得3分；</w:t>
            </w:r>
          </w:p>
          <w:p w14:paraId="08FAA5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4A24E6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0C8C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69F50CC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70113C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cs="宋体"/>
                <w:color w:val="auto"/>
                <w:kern w:val="0"/>
                <w:szCs w:val="21"/>
                <w:highlight w:val="none"/>
                <w:lang w:val="en-US" w:eastAsia="zh-CN" w:bidi="ar"/>
              </w:rPr>
              <w:t>绿地看护方案</w:t>
            </w:r>
          </w:p>
        </w:tc>
        <w:tc>
          <w:tcPr>
            <w:tcW w:w="3032" w:type="pct"/>
            <w:tcBorders>
              <w:top w:val="single" w:color="auto" w:sz="4" w:space="0"/>
              <w:left w:val="single" w:color="auto" w:sz="4" w:space="0"/>
              <w:bottom w:val="single" w:color="auto" w:sz="4" w:space="0"/>
              <w:right w:val="single" w:color="auto" w:sz="4" w:space="0"/>
            </w:tcBorders>
            <w:vAlign w:val="center"/>
          </w:tcPr>
          <w:p w14:paraId="32FDACC7">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根据各投标人提供的针对本项目制定的绿地看护方案进行评审：</w:t>
            </w:r>
          </w:p>
          <w:p w14:paraId="00F494AD">
            <w:pPr>
              <w:widowControl/>
              <w:numPr>
                <w:ilvl w:val="0"/>
                <w:numId w:val="0"/>
              </w:numPr>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（1）看护网格、重点巡查、联动处置和闭环回访严密，能明显提升绿地看护效果</w:t>
            </w:r>
            <w:r>
              <w:rPr>
                <w:rFonts w:hint="eastAsia" w:ascii="宋体" w:hAnsi="宋体" w:cs="宋体"/>
                <w:color w:val="auto"/>
                <w:szCs w:val="21"/>
                <w:highlight w:val="none"/>
                <w:lang w:val="en-US" w:eastAsia="zh-CN"/>
              </w:rPr>
              <w:t>，得5分；</w:t>
            </w:r>
          </w:p>
          <w:p w14:paraId="66778586">
            <w:pPr>
              <w:widowControl/>
              <w:numPr>
                <w:ilvl w:val="0"/>
                <w:numId w:val="0"/>
              </w:numPr>
              <w:spacing w:line="400" w:lineRule="exact"/>
              <w:ind w:left="0" w:leftChars="0" w:firstLine="0" w:firstLineChars="0"/>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（2）看护责任、巡查安排和问题处置流程完整，能保障绿地日常看护，</w:t>
            </w:r>
            <w:r>
              <w:rPr>
                <w:rFonts w:hint="eastAsia" w:ascii="宋体" w:hAnsi="宋体" w:cs="宋体"/>
                <w:color w:val="auto"/>
                <w:szCs w:val="21"/>
                <w:highlight w:val="none"/>
                <w:lang w:val="en-US" w:eastAsia="zh-CN"/>
              </w:rPr>
              <w:t>得4分；</w:t>
            </w:r>
          </w:p>
          <w:p w14:paraId="691FD7B3">
            <w:pPr>
              <w:widowControl/>
              <w:numPr>
                <w:ilvl w:val="0"/>
                <w:numId w:val="0"/>
              </w:numPr>
              <w:spacing w:line="400" w:lineRule="exact"/>
              <w:ind w:left="0" w:leftChars="0" w:firstLine="0" w:firstLineChars="0"/>
              <w:textAlignment w:val="center"/>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（3）仅安排巡查人员，未明确标准、重点区域、联动和闭环处置，看护效果难保证，</w:t>
            </w:r>
            <w:r>
              <w:rPr>
                <w:rFonts w:hint="eastAsia" w:ascii="宋体" w:hAnsi="宋体" w:cs="宋体"/>
                <w:color w:val="auto"/>
                <w:szCs w:val="21"/>
                <w:highlight w:val="none"/>
                <w:lang w:val="en-US" w:eastAsia="zh-CN"/>
              </w:rPr>
              <w:t>得3分；</w:t>
            </w:r>
          </w:p>
          <w:p w14:paraId="4D7941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27CA4B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3D0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1CE5DE1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08EDD8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cs="宋体"/>
                <w:color w:val="auto"/>
                <w:kern w:val="0"/>
                <w:szCs w:val="21"/>
                <w:highlight w:val="none"/>
                <w:lang w:val="en-US" w:eastAsia="zh-CN" w:bidi="ar"/>
              </w:rPr>
              <w:t>精细化管养方案</w:t>
            </w:r>
          </w:p>
        </w:tc>
        <w:tc>
          <w:tcPr>
            <w:tcW w:w="3032" w:type="pct"/>
            <w:tcBorders>
              <w:top w:val="single" w:color="auto" w:sz="4" w:space="0"/>
              <w:left w:val="single" w:color="auto" w:sz="4" w:space="0"/>
              <w:bottom w:val="single" w:color="auto" w:sz="4" w:space="0"/>
              <w:right w:val="single" w:color="auto" w:sz="4" w:space="0"/>
            </w:tcBorders>
            <w:vAlign w:val="center"/>
          </w:tcPr>
          <w:p w14:paraId="7D08EF30">
            <w:pPr>
              <w:widowControl/>
              <w:numPr>
                <w:ilvl w:val="0"/>
                <w:numId w:val="0"/>
              </w:numPr>
              <w:spacing w:line="400" w:lineRule="exact"/>
              <w:ind w:leftChars="0"/>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根据各投标人提供的针对本项目制定的精细化管养方案进行评审：</w:t>
            </w:r>
          </w:p>
          <w:p w14:paraId="49E11234">
            <w:pPr>
              <w:widowControl/>
              <w:numPr>
                <w:ilvl w:val="0"/>
                <w:numId w:val="0"/>
              </w:numPr>
              <w:spacing w:line="400" w:lineRule="exac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（1）节点景观、行道树修剪、补种、护坡和设施维护标准精细，时限、频次和责任明确，得5分；</w:t>
            </w:r>
          </w:p>
          <w:p w14:paraId="5B1A8AA4">
            <w:pPr>
              <w:widowControl/>
              <w:numPr>
                <w:ilvl w:val="0"/>
                <w:numId w:val="0"/>
              </w:numPr>
              <w:spacing w:line="400" w:lineRule="exact"/>
              <w:ind w:leftChars="0"/>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（2）主要精细化管养措施完整，能体现节点、行道树、草坪和设施基本精细化管理要求，得4分；</w:t>
            </w:r>
          </w:p>
          <w:p w14:paraId="69559EDF">
            <w:pPr>
              <w:widowControl/>
              <w:numPr>
                <w:ilvl w:val="0"/>
                <w:numId w:val="0"/>
              </w:numPr>
              <w:spacing w:line="400" w:lineRule="exact"/>
              <w:ind w:leftChars="0"/>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（3）有精细化提法，但未落到具体节点、苗木、设施和时限，需进一步完善优化，得3分；</w:t>
            </w:r>
          </w:p>
          <w:p w14:paraId="6A2509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76261B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82D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1FAFF62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3E9158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cs="宋体"/>
                <w:color w:val="auto"/>
                <w:kern w:val="0"/>
                <w:szCs w:val="21"/>
                <w:highlight w:val="none"/>
                <w:lang w:bidi="ar"/>
              </w:rPr>
              <w:t>现场分析及重、难点分析及相关措施</w:t>
            </w:r>
          </w:p>
        </w:tc>
        <w:tc>
          <w:tcPr>
            <w:tcW w:w="3032" w:type="pct"/>
            <w:tcBorders>
              <w:top w:val="single" w:color="auto" w:sz="4" w:space="0"/>
              <w:left w:val="single" w:color="auto" w:sz="4" w:space="0"/>
              <w:bottom w:val="single" w:color="auto" w:sz="4" w:space="0"/>
              <w:right w:val="single" w:color="auto" w:sz="4" w:space="0"/>
            </w:tcBorders>
            <w:vAlign w:val="center"/>
          </w:tcPr>
          <w:p w14:paraId="609E3829">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rPr>
              <w:t>根据各</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提供的针对本项目现场实际情况，根据现场情况</w:t>
            </w:r>
            <w:r>
              <w:rPr>
                <w:rFonts w:hint="eastAsia" w:ascii="宋体" w:hAnsi="宋体" w:cs="宋体"/>
                <w:b/>
                <w:bCs/>
                <w:color w:val="auto"/>
                <w:szCs w:val="21"/>
                <w:highlight w:val="none"/>
              </w:rPr>
              <w:t>（附现场照片）</w:t>
            </w:r>
            <w:r>
              <w:rPr>
                <w:rFonts w:hint="eastAsia" w:ascii="宋体" w:hAnsi="宋体" w:cs="宋体"/>
                <w:color w:val="auto"/>
                <w:szCs w:val="21"/>
                <w:highlight w:val="none"/>
              </w:rPr>
              <w:t>进行项目的重、难点分析及相关措施进行评审：</w:t>
            </w:r>
          </w:p>
          <w:p w14:paraId="173FC8FB">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）现场照片、现状数据、重难点识别和对应措施准确深入，能体现踏勘深度并明显提升实施针对性，</w:t>
            </w:r>
            <w:r>
              <w:rPr>
                <w:rFonts w:hint="eastAsia" w:ascii="宋体" w:hAnsi="宋体" w:cs="宋体"/>
                <w:color w:val="auto"/>
                <w:szCs w:val="21"/>
                <w:highlight w:val="none"/>
              </w:rPr>
              <w:t>得5分；</w:t>
            </w:r>
          </w:p>
          <w:p w14:paraId="4B2371F5">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）有现场分析和重难点分析，内容清晰，措施基本符合项目实际，</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p w14:paraId="6BB17D66">
            <w:pPr>
              <w:widowControl/>
              <w:spacing w:line="400" w:lineRule="exact"/>
              <w:textAlignment w:val="center"/>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）重难点分析笼统，未附现场情况或未对应项目特点，缺乏踏勘支撑，需优化，</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p w14:paraId="645335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214BB9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A9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23" w:type="pct"/>
            <w:vMerge w:val="continue"/>
            <w:tcBorders>
              <w:left w:val="single" w:color="auto" w:sz="4" w:space="0"/>
              <w:right w:val="single" w:color="auto" w:sz="4" w:space="0"/>
            </w:tcBorders>
            <w:vAlign w:val="center"/>
          </w:tcPr>
          <w:p w14:paraId="3E31593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0" w:type="pct"/>
            <w:tcBorders>
              <w:top w:val="single" w:color="auto" w:sz="4" w:space="0"/>
              <w:left w:val="single" w:color="auto" w:sz="4" w:space="0"/>
              <w:bottom w:val="single" w:color="auto" w:sz="4" w:space="0"/>
              <w:right w:val="single" w:color="auto" w:sz="4" w:space="0"/>
            </w:tcBorders>
            <w:vAlign w:val="center"/>
          </w:tcPr>
          <w:p w14:paraId="581998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val="en-US" w:eastAsia="zh-CN"/>
              </w:rPr>
              <w:t>14.</w:t>
            </w:r>
            <w:r>
              <w:rPr>
                <w:rFonts w:hint="eastAsia" w:asciiTheme="minorEastAsia" w:hAnsiTheme="minorEastAsia" w:eastAsiaTheme="minorEastAsia"/>
                <w:bCs/>
                <w:color w:val="auto"/>
                <w:sz w:val="21"/>
                <w:szCs w:val="21"/>
                <w:highlight w:val="none"/>
                <w:lang w:val="en-US" w:eastAsia="zh-CN"/>
              </w:rPr>
              <w:t>重大节日及专项任务工作方案</w:t>
            </w:r>
          </w:p>
        </w:tc>
        <w:tc>
          <w:tcPr>
            <w:tcW w:w="3032" w:type="pct"/>
            <w:tcBorders>
              <w:top w:val="single" w:color="auto" w:sz="4" w:space="0"/>
              <w:left w:val="single" w:color="auto" w:sz="4" w:space="0"/>
              <w:bottom w:val="single" w:color="auto" w:sz="4" w:space="0"/>
              <w:right w:val="single" w:color="auto" w:sz="4" w:space="0"/>
            </w:tcBorders>
            <w:vAlign w:val="center"/>
          </w:tcPr>
          <w:p w14:paraId="0A047047">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根据各投标人提供的针对本项目制定的重大节日及专项任务工作方案进行评审：</w:t>
            </w:r>
          </w:p>
          <w:p w14:paraId="5209BC2D">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（1）重点区域、值班增派、物资调度、信息报送和事后恢复周密，专项响应能力显著，得5分。 </w:t>
            </w:r>
          </w:p>
          <w:p w14:paraId="0300587C">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（2）重大节日和专项任务的组织、巡查、处置和保障完整，能满足项目要求，得4分； </w:t>
            </w:r>
          </w:p>
          <w:p w14:paraId="04DE83CE">
            <w:pPr>
              <w:spacing w:line="360" w:lineRule="auto"/>
              <w:jc w:val="left"/>
              <w:rPr>
                <w:rFonts w:hint="eastAsia" w:asciiTheme="minorEastAsia" w:hAnsiTheme="minorEastAsia" w:eastAsiaTheme="minorEastAsia"/>
                <w:bCs/>
                <w:color w:val="auto"/>
                <w:sz w:val="21"/>
                <w:szCs w:val="21"/>
                <w:highlight w:val="none"/>
                <w:lang w:val="en-US" w:eastAsia="zh-CN"/>
              </w:rPr>
            </w:pPr>
            <w:r>
              <w:rPr>
                <w:rFonts w:hint="eastAsia" w:asciiTheme="minorEastAsia" w:hAnsiTheme="minorEastAsia" w:eastAsiaTheme="minorEastAsia"/>
                <w:bCs/>
                <w:color w:val="auto"/>
                <w:sz w:val="21"/>
                <w:szCs w:val="21"/>
                <w:highlight w:val="none"/>
                <w:lang w:val="en-US" w:eastAsia="zh-CN"/>
              </w:rPr>
              <w:t xml:space="preserve">（3）仅有加强巡查，缺少专项组织、人员增派、物资和信息报送，响应能力欠缺，得3分； </w:t>
            </w:r>
          </w:p>
          <w:p w14:paraId="3F3941D9">
            <w:pPr>
              <w:spacing w:line="360" w:lineRule="auto"/>
              <w:jc w:val="left"/>
              <w:rPr>
                <w:rFonts w:hint="eastAsia" w:ascii="宋体" w:hAnsi="宋体" w:eastAsia="宋体" w:cs="宋体"/>
                <w:color w:val="auto"/>
                <w:sz w:val="21"/>
                <w:szCs w:val="21"/>
                <w:highlight w:val="none"/>
                <w:shd w:val="clear" w:color="auto" w:fill="auto"/>
                <w:lang w:val="en-US" w:eastAsia="zh-CN"/>
              </w:rPr>
            </w:pPr>
            <w:r>
              <w:rPr>
                <w:rFonts w:hint="eastAsia" w:asciiTheme="minorEastAsia" w:hAnsiTheme="minorEastAsia" w:eastAsiaTheme="minorEastAsia"/>
                <w:bCs/>
                <w:color w:val="auto"/>
                <w:sz w:val="21"/>
                <w:szCs w:val="21"/>
                <w:highlight w:val="none"/>
                <w:lang w:val="en-US" w:eastAsia="zh-CN"/>
              </w:rPr>
              <w:t>（4）未提供不得分。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567FEA5B">
            <w:pPr>
              <w:widowControl/>
              <w:spacing w:line="44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98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0" w:hRule="atLeast"/>
          <w:jc w:val="center"/>
        </w:trPr>
        <w:tc>
          <w:tcPr>
            <w:tcW w:w="623" w:type="pct"/>
            <w:vMerge w:val="continue"/>
            <w:tcBorders>
              <w:left w:val="single" w:color="auto" w:sz="4" w:space="0"/>
              <w:right w:val="single" w:color="auto" w:sz="4" w:space="0"/>
            </w:tcBorders>
            <w:vAlign w:val="center"/>
          </w:tcPr>
          <w:p w14:paraId="1EB4193B">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1"/>
                <w:szCs w:val="21"/>
                <w:highlight w:val="none"/>
              </w:rPr>
            </w:pPr>
          </w:p>
        </w:tc>
        <w:tc>
          <w:tcPr>
            <w:tcW w:w="710" w:type="pct"/>
            <w:tcBorders>
              <w:top w:val="single" w:color="auto" w:sz="4" w:space="0"/>
              <w:left w:val="single" w:color="auto" w:sz="4" w:space="0"/>
              <w:right w:val="single" w:color="auto" w:sz="4" w:space="0"/>
            </w:tcBorders>
            <w:vAlign w:val="center"/>
          </w:tcPr>
          <w:p w14:paraId="5033A81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15.合理化建议</w:t>
            </w:r>
          </w:p>
        </w:tc>
        <w:tc>
          <w:tcPr>
            <w:tcW w:w="3032" w:type="pct"/>
            <w:tcBorders>
              <w:top w:val="single" w:color="auto" w:sz="4" w:space="0"/>
              <w:left w:val="single" w:color="auto" w:sz="4" w:space="0"/>
              <w:right w:val="single" w:color="auto" w:sz="4" w:space="0"/>
            </w:tcBorders>
            <w:vAlign w:val="center"/>
          </w:tcPr>
          <w:p w14:paraId="5EB2DC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根据各投标人提供的针对本项目制定的</w:t>
            </w:r>
            <w:r>
              <w:rPr>
                <w:rFonts w:hint="eastAsia" w:ascii="宋体" w:hAnsi="宋体" w:cs="宋体"/>
                <w:color w:val="auto"/>
                <w:sz w:val="21"/>
                <w:szCs w:val="21"/>
                <w:highlight w:val="none"/>
                <w:lang w:val="en-US" w:eastAsia="zh-CN"/>
              </w:rPr>
              <w:t>合理化建议</w:t>
            </w:r>
            <w:r>
              <w:rPr>
                <w:rFonts w:hint="eastAsia" w:ascii="宋体" w:hAnsi="宋体" w:eastAsia="宋体" w:cs="宋体"/>
                <w:color w:val="auto"/>
                <w:sz w:val="21"/>
                <w:szCs w:val="21"/>
                <w:highlight w:val="none"/>
                <w:lang w:val="en-US" w:eastAsia="zh-CN"/>
              </w:rPr>
              <w:t>进行评审</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1）所提建议中，最优建议切中本项目关键难点，有现场踏勘或现状数据支撑，问题分析准确，措施具体，实施路径、责任分工、时序安排清晰，不增加采购人费用、不降低养护标准，预期效果显著且可验证，具有创新性或明显降本增效作用，得3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（2）所提建议中，最优建议针对本项目实际，内容完整，有预期效果，不影响采购人费用和养护标准，得2分；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（3）所提建议中，最优建议与本项目有关联，但针对性、可行性或预期效果不佳，部分内容仍需完善，得1分；</w:t>
            </w:r>
            <w:r>
              <w:rPr>
                <w:rFonts w:hint="eastAsia" w:ascii="宋体" w:hAnsi="宋体" w:cs="宋体"/>
                <w:color w:val="auto"/>
                <w:sz w:val="21"/>
                <w:szCs w:val="21"/>
                <w:highlight w:val="none"/>
                <w:lang w:val="en-US" w:eastAsia="zh-CN"/>
              </w:rPr>
              <w:br w:type="textWrapping"/>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未提供不得分。</w:t>
            </w:r>
          </w:p>
        </w:tc>
        <w:tc>
          <w:tcPr>
            <w:tcW w:w="633" w:type="pct"/>
            <w:tcBorders>
              <w:top w:val="single" w:color="auto" w:sz="4" w:space="0"/>
              <w:left w:val="single" w:color="auto" w:sz="4" w:space="0"/>
              <w:bottom w:val="single" w:color="auto" w:sz="4" w:space="0"/>
              <w:right w:val="single" w:color="auto" w:sz="4" w:space="0"/>
            </w:tcBorders>
            <w:vAlign w:val="center"/>
          </w:tcPr>
          <w:p w14:paraId="530CB2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0-3分</w:t>
            </w:r>
          </w:p>
        </w:tc>
      </w:tr>
      <w:tr w14:paraId="4FC0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23" w:type="pct"/>
            <w:tcBorders>
              <w:left w:val="single" w:color="auto" w:sz="4" w:space="0"/>
              <w:right w:val="single" w:color="auto" w:sz="4" w:space="0"/>
            </w:tcBorders>
            <w:vAlign w:val="center"/>
          </w:tcPr>
          <w:p w14:paraId="56A3441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价格分</w:t>
            </w:r>
          </w:p>
          <w:p w14:paraId="17162633">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u w:val="single"/>
                <w:lang w:val="en-US" w:eastAsia="zh-CN"/>
              </w:rPr>
              <w:t>10</w:t>
            </w:r>
            <w:r>
              <w:rPr>
                <w:rFonts w:hint="eastAsia" w:asciiTheme="minorEastAsia" w:hAnsiTheme="minorEastAsia" w:eastAsiaTheme="minorEastAsia"/>
                <w:color w:val="auto"/>
                <w:sz w:val="24"/>
                <w:szCs w:val="24"/>
                <w:highlight w:val="none"/>
              </w:rPr>
              <w:t>分）</w:t>
            </w:r>
          </w:p>
        </w:tc>
        <w:tc>
          <w:tcPr>
            <w:tcW w:w="4376" w:type="pct"/>
            <w:gridSpan w:val="3"/>
            <w:tcBorders>
              <w:top w:val="single" w:color="auto" w:sz="4" w:space="0"/>
              <w:left w:val="single" w:color="auto" w:sz="4" w:space="0"/>
              <w:right w:val="single" w:color="auto" w:sz="4" w:space="0"/>
            </w:tcBorders>
            <w:vAlign w:val="center"/>
          </w:tcPr>
          <w:p w14:paraId="4CC4715C">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价格分统一采用低价优先法，即满足招标文件要求且投标价格最低的投标报价为评标基准价，其价格分为满分</w:t>
            </w:r>
            <w:r>
              <w:rPr>
                <w:rFonts w:hint="eastAsia" w:ascii="宋体" w:hAnsi="宋体" w:cs="宋体"/>
                <w:b w:val="0"/>
                <w:bCs/>
                <w:color w:val="auto"/>
                <w:kern w:val="0"/>
                <w:sz w:val="24"/>
                <w:szCs w:val="24"/>
                <w:highlight w:val="none"/>
                <w:u w:val="single"/>
                <w:lang w:val="en-US" w:eastAsia="zh-CN" w:bidi="ar-SA"/>
              </w:rPr>
              <w:t>10</w:t>
            </w:r>
            <w:r>
              <w:rPr>
                <w:rFonts w:hint="eastAsia" w:ascii="宋体" w:hAnsi="宋体" w:eastAsia="宋体" w:cs="宋体"/>
                <w:b w:val="0"/>
                <w:bCs/>
                <w:color w:val="auto"/>
                <w:kern w:val="0"/>
                <w:sz w:val="24"/>
                <w:szCs w:val="24"/>
                <w:highlight w:val="none"/>
                <w:lang w:val="en-US" w:eastAsia="zh-CN" w:bidi="ar-SA"/>
              </w:rPr>
              <w:t>分。其他投标人的价格分统一按照下列公式计算：</w:t>
            </w:r>
          </w:p>
          <w:p w14:paraId="03452710">
            <w:pPr>
              <w:widowControl/>
              <w:spacing w:line="380" w:lineRule="exact"/>
              <w:jc w:val="left"/>
              <w:textAlignment w:val="baseline"/>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投标报价得分＝（评标基准价/投标报价）×</w:t>
            </w:r>
            <w:r>
              <w:rPr>
                <w:rFonts w:hint="eastAsia" w:ascii="宋体" w:hAnsi="宋体" w:cs="宋体"/>
                <w:b w:val="0"/>
                <w:bCs/>
                <w:color w:val="auto"/>
                <w:kern w:val="0"/>
                <w:sz w:val="24"/>
                <w:szCs w:val="24"/>
                <w:highlight w:val="none"/>
                <w:lang w:val="en-US" w:eastAsia="zh-CN" w:bidi="ar-SA"/>
              </w:rPr>
              <w:t>10</w:t>
            </w:r>
            <w:r>
              <w:rPr>
                <w:rFonts w:hint="eastAsia" w:ascii="宋体" w:hAnsi="宋体" w:eastAsia="宋体" w:cs="宋体"/>
                <w:b w:val="0"/>
                <w:bCs/>
                <w:color w:val="auto"/>
                <w:kern w:val="0"/>
                <w:sz w:val="24"/>
                <w:szCs w:val="24"/>
                <w:highlight w:val="none"/>
                <w:lang w:val="en-US" w:eastAsia="zh-CN" w:bidi="ar-SA"/>
              </w:rPr>
              <w:t>％×100</w:t>
            </w:r>
          </w:p>
          <w:p w14:paraId="14A18073">
            <w:pPr>
              <w:widowControl/>
              <w:spacing w:line="38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val="0"/>
                <w:color w:val="auto"/>
                <w:kern w:val="0"/>
                <w:sz w:val="24"/>
                <w:szCs w:val="24"/>
                <w:highlight w:val="none"/>
                <w:lang w:val="en-US" w:eastAsia="zh-CN" w:bidi="ar-SA"/>
              </w:rPr>
              <w:t>注:上述价格如有前附表规定的扣除，则按扣除后价格参与评审。</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（2）将投标人的技术资信分加上根据上述标准计算出的价格分，即为该投标人的综合总得分</w:t>
      </w:r>
      <w:r>
        <w:rPr>
          <w:rFonts w:asciiTheme="minorEastAsia" w:hAnsiTheme="minorEastAsia" w:eastAsiaTheme="minorEastAsia"/>
          <w:b/>
          <w:bCs/>
          <w:color w:val="auto"/>
          <w:sz w:val="24"/>
          <w:highlight w:val="none"/>
        </w:rPr>
        <w:t>。</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9"/>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9"/>
        <w:pageBreakBefore w:val="0"/>
        <w:widowControl w:val="0"/>
        <w:kinsoku/>
        <w:wordWrap w:val="0"/>
        <w:topLinePunct w:val="0"/>
        <w:bidi w:val="0"/>
        <w:rPr>
          <w:color w:val="auto"/>
          <w:highlight w:val="none"/>
        </w:rPr>
      </w:pPr>
    </w:p>
    <w:p w14:paraId="6694D951">
      <w:pPr>
        <w:pStyle w:val="9"/>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232"/>
      <w:bookmarkStart w:id="55" w:name="_Toc3029"/>
      <w:bookmarkStart w:id="56" w:name="_Toc2405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918"/>
      <w:bookmarkStart w:id="58" w:name="_Toc18585"/>
      <w:bookmarkStart w:id="59" w:name="_Toc22185"/>
      <w:bookmarkStart w:id="60" w:name="_Toc6311"/>
      <w:bookmarkStart w:id="61" w:name="_Toc6773"/>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1551"/>
      <w:bookmarkStart w:id="63" w:name="_Toc21631"/>
      <w:bookmarkStart w:id="64" w:name="_Toc23292"/>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34BC3454">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lang w:val="en-US" w:eastAsia="zh-CN"/>
        </w:rPr>
        <w:t>本</w:t>
      </w:r>
      <w:r>
        <w:rPr>
          <w:rFonts w:hint="eastAsia" w:cs="Times New Roman" w:asciiTheme="minorEastAsia" w:hAnsiTheme="minorEastAsia" w:eastAsiaTheme="minorEastAsia"/>
          <w:color w:val="auto"/>
          <w:sz w:val="24"/>
          <w:szCs w:val="24"/>
          <w:highlight w:val="none"/>
        </w:rPr>
        <w:t>合同采用固定</w:t>
      </w:r>
      <w:r>
        <w:rPr>
          <w:rFonts w:hint="eastAsia" w:cs="Times New Roman" w:asciiTheme="minorEastAsia" w:hAnsiTheme="minorEastAsia" w:eastAsiaTheme="minorEastAsia"/>
          <w:color w:val="auto"/>
          <w:sz w:val="24"/>
          <w:szCs w:val="24"/>
          <w:highlight w:val="none"/>
          <w:lang w:val="en-US" w:eastAsia="zh-CN"/>
        </w:rPr>
        <w:t>单价</w:t>
      </w:r>
      <w:r>
        <w:rPr>
          <w:rFonts w:hint="eastAsia" w:cs="Times New Roman" w:asciiTheme="minorEastAsia" w:hAnsiTheme="minorEastAsia" w:eastAsiaTheme="minorEastAsia"/>
          <w:color w:val="auto"/>
          <w:sz w:val="24"/>
          <w:szCs w:val="24"/>
          <w:highlight w:val="none"/>
        </w:rPr>
        <w:t>。</w:t>
      </w:r>
    </w:p>
    <w:p w14:paraId="45730821">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绿化</w:t>
      </w:r>
      <w:r>
        <w:rPr>
          <w:rFonts w:hint="eastAsia" w:cs="Times New Roman" w:asciiTheme="minorEastAsia" w:hAnsiTheme="minorEastAsia" w:eastAsiaTheme="minorEastAsia"/>
          <w:color w:val="auto"/>
          <w:sz w:val="24"/>
          <w:szCs w:val="24"/>
          <w:highlight w:val="none"/>
          <w:lang w:val="en-US" w:eastAsia="zh-CN"/>
        </w:rPr>
        <w:t>价格</w:t>
      </w:r>
      <w:r>
        <w:rPr>
          <w:rFonts w:hint="eastAsia" w:cs="Times New Roman" w:asciiTheme="minorEastAsia" w:hAnsiTheme="minorEastAsia" w:eastAsiaTheme="minorEastAsia"/>
          <w:color w:val="auto"/>
          <w:sz w:val="24"/>
          <w:szCs w:val="24"/>
          <w:highlight w:val="none"/>
          <w:lang w:eastAsia="zh-CN"/>
        </w:rPr>
        <w:t>：绿化固定单价</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绿化工程量（体量/面积）；</w:t>
      </w:r>
    </w:p>
    <w:p w14:paraId="3B0FFA55">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行道树</w:t>
      </w:r>
      <w:r>
        <w:rPr>
          <w:rFonts w:hint="eastAsia" w:cs="Times New Roman" w:asciiTheme="minorEastAsia" w:hAnsiTheme="minorEastAsia" w:eastAsiaTheme="minorEastAsia"/>
          <w:color w:val="auto"/>
          <w:sz w:val="24"/>
          <w:szCs w:val="24"/>
          <w:highlight w:val="none"/>
          <w:lang w:val="en-US" w:eastAsia="zh-CN"/>
        </w:rPr>
        <w:t>价格</w:t>
      </w:r>
      <w:r>
        <w:rPr>
          <w:rFonts w:hint="eastAsia" w:cs="Times New Roman" w:asciiTheme="minorEastAsia" w:hAnsiTheme="minorEastAsia" w:eastAsiaTheme="minorEastAsia"/>
          <w:color w:val="auto"/>
          <w:sz w:val="24"/>
          <w:szCs w:val="24"/>
          <w:highlight w:val="none"/>
          <w:lang w:eastAsia="zh-CN"/>
        </w:rPr>
        <w:t>：行道树固定单价×行道树数量；</w:t>
      </w:r>
    </w:p>
    <w:p w14:paraId="79E1A216">
      <w:pPr>
        <w:pageBreakBefore w:val="0"/>
        <w:widowControl w:val="0"/>
        <w:kinsoku/>
        <w:wordWrap w:val="0"/>
        <w:topLinePunct w:val="0"/>
        <w:bidi w:val="0"/>
        <w:spacing w:line="360" w:lineRule="auto"/>
        <w:ind w:firstLine="435"/>
        <w:rPr>
          <w:rFonts w:hint="eastAsia" w:cs="Times New Roman" w:asciiTheme="minorEastAsia" w:hAnsiTheme="minorEastAsia" w:eastAsiaTheme="minorEastAsia"/>
          <w:color w:val="auto"/>
          <w:sz w:val="24"/>
          <w:szCs w:val="24"/>
          <w:highlight w:val="none"/>
          <w:lang w:eastAsia="zh-CN"/>
        </w:rPr>
      </w:pPr>
      <w:r>
        <w:rPr>
          <w:rFonts w:hint="eastAsia" w:cs="Times New Roman" w:asciiTheme="minorEastAsia" w:hAnsiTheme="minorEastAsia" w:eastAsiaTheme="minorEastAsia"/>
          <w:color w:val="auto"/>
          <w:sz w:val="24"/>
          <w:szCs w:val="24"/>
          <w:highlight w:val="none"/>
          <w:lang w:eastAsia="zh-CN"/>
        </w:rPr>
        <w:t>项目总价款</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绿化</w:t>
      </w:r>
      <w:r>
        <w:rPr>
          <w:rFonts w:hint="eastAsia" w:cs="Times New Roman" w:asciiTheme="minorEastAsia" w:hAnsiTheme="minorEastAsia" w:eastAsiaTheme="minorEastAsia"/>
          <w:color w:val="auto"/>
          <w:sz w:val="24"/>
          <w:szCs w:val="24"/>
          <w:highlight w:val="none"/>
          <w:lang w:val="en-US" w:eastAsia="zh-CN"/>
        </w:rPr>
        <w:t xml:space="preserve">价格 </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eastAsia="zh-CN"/>
        </w:rPr>
        <w:t>行道树</w:t>
      </w:r>
      <w:r>
        <w:rPr>
          <w:rFonts w:hint="eastAsia" w:cs="Times New Roman" w:asciiTheme="minorEastAsia" w:hAnsiTheme="minorEastAsia" w:eastAsiaTheme="minorEastAsia"/>
          <w:color w:val="auto"/>
          <w:sz w:val="24"/>
          <w:szCs w:val="24"/>
          <w:highlight w:val="none"/>
          <w:lang w:val="en-US" w:eastAsia="zh-CN"/>
        </w:rPr>
        <w:t>价格</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22618"/>
      <w:bookmarkStart w:id="6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32071"/>
      <w:bookmarkStart w:id="69" w:name="_Toc2846"/>
      <w:bookmarkStart w:id="70"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19554"/>
      <w:bookmarkStart w:id="72" w:name="_Toc21423"/>
      <w:bookmarkStart w:id="73" w:name="_Toc27250"/>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5583"/>
      <w:bookmarkStart w:id="75" w:name="_Toc28375"/>
      <w:bookmarkStart w:id="76" w:name="_Toc16021"/>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1173"/>
      <w:bookmarkStart w:id="78" w:name="_Toc7245"/>
      <w:bookmarkStart w:id="79" w:name="_Toc15322"/>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Ref467379195"/>
      <w:bookmarkStart w:id="84" w:name="_Ref467379205"/>
      <w:bookmarkStart w:id="85" w:name="_Ref467378499"/>
      <w:bookmarkStart w:id="86" w:name="_Toc16917"/>
      <w:bookmarkStart w:id="87" w:name="_Toc19614"/>
      <w:bookmarkStart w:id="88" w:name="_Toc279701240"/>
      <w:bookmarkStart w:id="89" w:name="_Toc28763"/>
      <w:bookmarkStart w:id="90" w:name="_Ref467378463"/>
      <w:bookmarkStart w:id="91" w:name="_Ref467379094"/>
      <w:bookmarkStart w:id="92" w:name="_Toc259093669"/>
      <w:bookmarkStart w:id="93" w:name="_Ref467378404"/>
      <w:bookmarkStart w:id="94" w:name="_Ref467379101"/>
      <w:bookmarkStart w:id="95" w:name="_Ref467379214"/>
      <w:bookmarkStart w:id="96" w:name="_Toc487900349"/>
      <w:bookmarkStart w:id="97" w:name="_Ref467379109"/>
      <w:bookmarkStart w:id="98" w:name="_Ref46737922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487900350"/>
      <w:bookmarkStart w:id="103" w:name="_Toc32504"/>
      <w:bookmarkStart w:id="104" w:name="_Toc27635"/>
      <w:bookmarkStart w:id="105" w:name="_Toc13336"/>
      <w:bookmarkStart w:id="106" w:name="_Toc279701241"/>
      <w:bookmarkStart w:id="107" w:name="_Toc25909367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31634"/>
      <w:bookmarkStart w:id="109" w:name="_Toc279701242"/>
      <w:bookmarkStart w:id="110" w:name="_Toc259093671"/>
      <w:bookmarkStart w:id="111" w:name="_Toc9829"/>
      <w:bookmarkStart w:id="112" w:name="_Toc27853"/>
      <w:bookmarkStart w:id="113" w:name="_Toc4879003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Toc259093674"/>
      <w:bookmarkStart w:id="115" w:name="_Ref467378591"/>
      <w:bookmarkStart w:id="116" w:name="_Toc487900354"/>
      <w:bookmarkStart w:id="117" w:name="_Ref467379527"/>
      <w:bookmarkStart w:id="118" w:name="_Ref467379536"/>
      <w:bookmarkStart w:id="119" w:name="_Toc279701245"/>
      <w:bookmarkStart w:id="120" w:name="_Ref467379542"/>
      <w:bookmarkStart w:id="121" w:name="_Ref467378541"/>
      <w:bookmarkStart w:id="122" w:name="_Toc30272"/>
      <w:bookmarkStart w:id="123" w:name="_Toc19074"/>
      <w:bookmarkStart w:id="124" w:name="_Toc2618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Toc279701247"/>
      <w:bookmarkStart w:id="127" w:name="_Ref467379807"/>
      <w:bookmarkStart w:id="128" w:name="_Ref467379793"/>
      <w:bookmarkStart w:id="129" w:name="_Toc259093676"/>
      <w:bookmarkStart w:id="130" w:name="_Toc487900357"/>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19219"/>
      <w:bookmarkStart w:id="133" w:name="_Toc7836"/>
      <w:bookmarkStart w:id="134" w:name="_Toc284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Toc259093677"/>
      <w:bookmarkStart w:id="136" w:name="_Ref467379923"/>
      <w:bookmarkStart w:id="137" w:name="_Toc487900358"/>
      <w:bookmarkStart w:id="138" w:name="_Ref467379852"/>
      <w:bookmarkStart w:id="139" w:name="_Ref467379863"/>
      <w:bookmarkStart w:id="140" w:name="_Toc279701248"/>
      <w:bookmarkStart w:id="141" w:name="_Toc16110"/>
      <w:bookmarkStart w:id="142" w:name="_Toc774"/>
      <w:bookmarkStart w:id="143" w:name="_Toc322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Toc259093683"/>
      <w:bookmarkStart w:id="148" w:name="_Toc279701254"/>
      <w:bookmarkStart w:id="149" w:name="_Ref467378121"/>
      <w:bookmarkStart w:id="150" w:name="_Toc487900364"/>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487900369"/>
      <w:bookmarkStart w:id="152" w:name="_Toc279701259"/>
      <w:bookmarkStart w:id="153" w:name="_Toc259093688"/>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5237"/>
      <w:bookmarkStart w:id="155" w:name="_Toc10366"/>
      <w:bookmarkStart w:id="156" w:name="_Toc2295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6508"/>
      <w:bookmarkStart w:id="158" w:name="_Toc14066"/>
      <w:bookmarkStart w:id="159" w:name="_Toc135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487900365"/>
      <w:bookmarkStart w:id="161" w:name="_Toc259093684"/>
      <w:bookmarkStart w:id="162" w:name="_Toc6969"/>
      <w:bookmarkStart w:id="163" w:name="_Toc30676"/>
      <w:bookmarkStart w:id="164" w:name="_Toc689"/>
      <w:bookmarkStart w:id="165" w:name="_Toc27970125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8298"/>
      <w:bookmarkStart w:id="167" w:name="_Toc487900368"/>
      <w:bookmarkStart w:id="168" w:name="_Toc259093687"/>
      <w:bookmarkStart w:id="169" w:name="_Toc279701258"/>
      <w:bookmarkStart w:id="170" w:name="_Toc16959"/>
      <w:bookmarkStart w:id="171" w:name="_Toc710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29333"/>
      <w:bookmarkStart w:id="173" w:name="_Toc6134"/>
      <w:bookmarkStart w:id="174"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125"/>
      <w:bookmarkStart w:id="176" w:name="_Toc6596"/>
      <w:bookmarkStart w:id="177" w:name="_Toc1456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12773"/>
      <w:bookmarkStart w:id="179" w:name="_Toc487900373"/>
      <w:bookmarkStart w:id="180" w:name="_Toc10330"/>
      <w:bookmarkStart w:id="181" w:name="_Toc18567"/>
      <w:bookmarkStart w:id="182" w:name="_Toc259093692"/>
      <w:bookmarkStart w:id="183" w:name="_Toc279701263"/>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279701264"/>
      <w:bookmarkStart w:id="185" w:name="_Toc259093693"/>
      <w:bookmarkStart w:id="186" w:name="_Toc3148"/>
      <w:bookmarkStart w:id="187" w:name="_Toc16673"/>
      <w:bookmarkStart w:id="188" w:name="_Toc12004"/>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4001"/>
      <w:bookmarkStart w:id="191" w:name="_Toc6885"/>
      <w:bookmarkStart w:id="192" w:name="_Toc1989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910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83"/>
        <w:gridCol w:w="7923"/>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183"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923"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183"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923"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923"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66D1B33F">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923" w:type="dxa"/>
            <w:vAlign w:val="center"/>
          </w:tcPr>
          <w:p w14:paraId="3D8EB195">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2.15.1乙方按照月定期提交服务报告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或甲方主动考核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，甲方按照在收到报告后，结合当月考核情况定期验收予以支付服务费用；</w:t>
            </w:r>
          </w:p>
          <w:p w14:paraId="5BF29721">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2.15.3检验和验收标准、程序等具体内容以及前述验收书的效力：验收书的内容以检验和验收标准、程序结合项目具体内容出具，以验收书作为结算依据</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923"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923"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923"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183"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923"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b/>
                <w:bCs/>
                <w:color w:val="auto"/>
                <w:sz w:val="24"/>
                <w:szCs w:val="24"/>
                <w:highlight w:val="none"/>
                <w:lang w:val="en-US" w:eastAsia="zh-CN"/>
              </w:rPr>
              <w:t>相应区域管理主体按季度对中标人养护质量进行考核，考核标准按照相应区域实施主体制定的考核细则执行。</w:t>
            </w: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183"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923"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57519D00">
      <w:pPr>
        <w:pStyle w:val="27"/>
        <w:rPr>
          <w:color w:val="auto"/>
          <w:highlight w:val="none"/>
        </w:rPr>
      </w:pPr>
    </w:p>
    <w:p w14:paraId="38F4C9A4">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2A1E30AD">
      <w:pPr>
        <w:pageBreakBefore w:val="0"/>
        <w:widowControl w:val="0"/>
        <w:kinsoku/>
        <w:wordWrap w:val="0"/>
        <w:topLinePunct w:val="0"/>
        <w:bidi w:val="0"/>
        <w:jc w:val="left"/>
        <w:rPr>
          <w:rFonts w:asciiTheme="minorEastAsia" w:hAnsiTheme="minorEastAsia" w:eastAsiaTheme="minorEastAsia"/>
          <w:color w:val="auto"/>
          <w:sz w:val="24"/>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334F72E9">
      <w:pPr>
        <w:pStyle w:val="4"/>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19687"/>
      <w:bookmarkStart w:id="200"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08D11572">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17986"/>
      <w:bookmarkStart w:id="202" w:name="_Toc28960"/>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大写：每年</w:t>
            </w:r>
            <w:r>
              <w:rPr>
                <w:rFonts w:hint="eastAsia" w:eastAsia="宋体" w:asciiTheme="minorEastAsia" w:hAnsiTheme="minorEastAsia"/>
                <w:b/>
                <w:bCs/>
                <w:color w:val="auto"/>
                <w:sz w:val="24"/>
                <w:highlight w:val="none"/>
                <w:u w:val="single"/>
                <w:lang w:val="en-US" w:eastAsia="zh-CN"/>
              </w:rPr>
              <w:t xml:space="preserve">                </w:t>
            </w:r>
          </w:p>
          <w:p w14:paraId="052B0AE4">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b/>
                <w:bCs/>
                <w:color w:val="auto"/>
                <w:sz w:val="24"/>
                <w:highlight w:val="none"/>
                <w:u w:val="single"/>
                <w:lang w:val="en-US" w:eastAsia="zh-CN"/>
              </w:rPr>
            </w:pPr>
            <w:r>
              <w:rPr>
                <w:rFonts w:hint="eastAsia" w:eastAsia="宋体" w:asciiTheme="minorEastAsia" w:hAnsiTheme="minorEastAsia"/>
                <w:b/>
                <w:bCs/>
                <w:color w:val="auto"/>
                <w:sz w:val="24"/>
                <w:highlight w:val="none"/>
                <w:u w:val="none"/>
                <w:lang w:val="en-US" w:eastAsia="zh-CN"/>
              </w:rPr>
              <w:t>小写：</w:t>
            </w:r>
            <w:r>
              <w:rPr>
                <w:rFonts w:hint="eastAsia" w:eastAsia="宋体" w:asciiTheme="minorEastAsia" w:hAnsiTheme="minorEastAsia"/>
                <w:b/>
                <w:bCs/>
                <w:color w:val="auto"/>
                <w:sz w:val="24"/>
                <w:highlight w:val="none"/>
                <w:u w:val="single"/>
                <w:lang w:val="en-US" w:eastAsia="zh-CN"/>
              </w:rPr>
              <w:t xml:space="preserve">                </w:t>
            </w:r>
            <w:r>
              <w:rPr>
                <w:rFonts w:hint="eastAsia" w:eastAsia="宋体" w:asciiTheme="minorEastAsia" w:hAnsiTheme="minorEastAsia"/>
                <w:b/>
                <w:bCs/>
                <w:color w:val="auto"/>
                <w:sz w:val="24"/>
                <w:highlight w:val="none"/>
                <w:u w:val="none"/>
                <w:lang w:val="en-US" w:eastAsia="zh-CN"/>
              </w:rPr>
              <w:t>元/年</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3174B970">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3" w:name="_Toc6441"/>
      <w:bookmarkStart w:id="204" w:name="_Toc6120"/>
      <w:r>
        <w:rPr>
          <w:rFonts w:hint="eastAsia" w:ascii="宋体" w:hAnsi="宋体" w:eastAsia="宋体"/>
          <w:b/>
          <w:color w:val="auto"/>
          <w:sz w:val="24"/>
          <w:szCs w:val="28"/>
          <w:highlight w:val="none"/>
          <w:lang w:val="en-US" w:eastAsia="zh-CN"/>
        </w:rPr>
        <w:t>二、</w:t>
      </w:r>
      <w:r>
        <w:rPr>
          <w:rFonts w:hint="eastAsia" w:ascii="宋体" w:hAnsi="宋体" w:eastAsia="宋体"/>
          <w:b/>
          <w:color w:val="auto"/>
          <w:sz w:val="24"/>
          <w:szCs w:val="28"/>
          <w:highlight w:val="none"/>
        </w:rPr>
        <w:t>分项报价明细表</w:t>
      </w:r>
    </w:p>
    <w:tbl>
      <w:tblPr>
        <w:tblStyle w:val="28"/>
        <w:tblpPr w:leftFromText="180" w:rightFromText="180" w:vertAnchor="text" w:horzAnchor="page" w:tblpX="1035" w:tblpY="413"/>
        <w:tblOverlap w:val="never"/>
        <w:tblW w:w="10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112"/>
        <w:gridCol w:w="1494"/>
        <w:gridCol w:w="1753"/>
        <w:gridCol w:w="2310"/>
        <w:gridCol w:w="1359"/>
        <w:gridCol w:w="1568"/>
      </w:tblGrid>
      <w:tr w14:paraId="0C34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729" w:type="dxa"/>
            <w:noWrap w:val="0"/>
            <w:vAlign w:val="center"/>
          </w:tcPr>
          <w:p w14:paraId="7E0E87CD">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1112" w:type="dxa"/>
            <w:noWrap w:val="0"/>
            <w:vAlign w:val="center"/>
          </w:tcPr>
          <w:p w14:paraId="7DB05D66">
            <w:pPr>
              <w:keepNext w:val="0"/>
              <w:keepLines w:val="0"/>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内容</w:t>
            </w:r>
          </w:p>
        </w:tc>
        <w:tc>
          <w:tcPr>
            <w:tcW w:w="1494" w:type="dxa"/>
            <w:noWrap w:val="0"/>
            <w:vAlign w:val="center"/>
          </w:tcPr>
          <w:p w14:paraId="661DCEE9">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数量</w:t>
            </w:r>
          </w:p>
        </w:tc>
        <w:tc>
          <w:tcPr>
            <w:tcW w:w="1753" w:type="dxa"/>
            <w:noWrap w:val="0"/>
            <w:vAlign w:val="center"/>
          </w:tcPr>
          <w:p w14:paraId="68AC3E08">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综合单价最高限价</w:t>
            </w:r>
          </w:p>
        </w:tc>
        <w:tc>
          <w:tcPr>
            <w:tcW w:w="2310" w:type="dxa"/>
            <w:noWrap w:val="0"/>
            <w:vAlign w:val="center"/>
          </w:tcPr>
          <w:p w14:paraId="23C139AF">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投标综合单价</w:t>
            </w:r>
          </w:p>
        </w:tc>
        <w:tc>
          <w:tcPr>
            <w:tcW w:w="1359" w:type="dxa"/>
            <w:noWrap w:val="0"/>
            <w:vAlign w:val="center"/>
          </w:tcPr>
          <w:p w14:paraId="20A22C8F">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合计</w:t>
            </w:r>
            <w:r>
              <w:rPr>
                <w:rFonts w:hint="eastAsia" w:ascii="宋体" w:hAnsi="宋体" w:cs="宋体"/>
                <w:b/>
                <w:bCs/>
                <w:color w:val="auto"/>
                <w:kern w:val="0"/>
                <w:sz w:val="24"/>
                <w:szCs w:val="24"/>
                <w:highlight w:val="none"/>
              </w:rPr>
              <w:t>（元）</w:t>
            </w:r>
          </w:p>
        </w:tc>
        <w:tc>
          <w:tcPr>
            <w:tcW w:w="1568" w:type="dxa"/>
            <w:noWrap w:val="0"/>
            <w:vAlign w:val="center"/>
          </w:tcPr>
          <w:p w14:paraId="7037E613">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备注</w:t>
            </w:r>
          </w:p>
        </w:tc>
      </w:tr>
      <w:tr w14:paraId="10CA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729" w:type="dxa"/>
            <w:noWrap w:val="0"/>
            <w:vAlign w:val="center"/>
          </w:tcPr>
          <w:p w14:paraId="2B185D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1</w:t>
            </w:r>
          </w:p>
        </w:tc>
        <w:tc>
          <w:tcPr>
            <w:tcW w:w="1112" w:type="dxa"/>
            <w:noWrap w:val="0"/>
            <w:vAlign w:val="center"/>
          </w:tcPr>
          <w:p w14:paraId="47BF5B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绿地</w:t>
            </w:r>
          </w:p>
        </w:tc>
        <w:tc>
          <w:tcPr>
            <w:tcW w:w="1494" w:type="dxa"/>
            <w:noWrap w:val="0"/>
            <w:vAlign w:val="center"/>
          </w:tcPr>
          <w:p w14:paraId="14FBE6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kern w:val="2"/>
                <w:sz w:val="21"/>
                <w:szCs w:val="21"/>
                <w:highlight w:val="none"/>
                <w:u w:val="none"/>
                <w:lang w:val="en-US" w:eastAsia="zh-CN" w:bidi="ar-SA"/>
              </w:rPr>
            </w:pPr>
            <w:r>
              <w:rPr>
                <w:rFonts w:hint="eastAsia" w:ascii="宋体" w:hAnsi="宋体" w:cs="宋体"/>
                <w:b w:val="0"/>
                <w:bCs w:val="0"/>
                <w:i w:val="0"/>
                <w:iCs w:val="0"/>
                <w:color w:val="auto"/>
                <w:sz w:val="21"/>
                <w:szCs w:val="21"/>
                <w:highlight w:val="none"/>
                <w:u w:val="none"/>
                <w:lang w:val="en-US" w:eastAsia="zh-CN"/>
              </w:rPr>
              <w:t>1182631㎡</w:t>
            </w:r>
          </w:p>
        </w:tc>
        <w:tc>
          <w:tcPr>
            <w:tcW w:w="1753" w:type="dxa"/>
            <w:noWrap w:val="0"/>
            <w:vAlign w:val="center"/>
          </w:tcPr>
          <w:p w14:paraId="50D8E242">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cs="宋体"/>
                <w:b w:val="0"/>
                <w:bCs w:val="0"/>
                <w:color w:val="auto"/>
                <w:kern w:val="0"/>
                <w:sz w:val="21"/>
                <w:szCs w:val="21"/>
                <w:highlight w:val="none"/>
                <w:lang w:val="en-US" w:eastAsia="zh-CN"/>
              </w:rPr>
              <w:t>1.8</w:t>
            </w:r>
            <w:r>
              <w:rPr>
                <w:rFonts w:hint="eastAsia" w:ascii="宋体" w:hAnsi="宋体" w:eastAsia="宋体" w:cs="宋体"/>
                <w:b w:val="0"/>
                <w:bCs w:val="0"/>
                <w:color w:val="auto"/>
                <w:sz w:val="21"/>
                <w:szCs w:val="21"/>
                <w:highlight w:val="none"/>
                <w:lang w:val="en-US" w:eastAsia="zh-CN"/>
              </w:rPr>
              <w:t>元/㎡/年</w:t>
            </w:r>
          </w:p>
        </w:tc>
        <w:tc>
          <w:tcPr>
            <w:tcW w:w="2310" w:type="dxa"/>
            <w:noWrap w:val="0"/>
            <w:vAlign w:val="center"/>
          </w:tcPr>
          <w:p w14:paraId="22B59E57">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元/㎡/年</w:t>
            </w:r>
          </w:p>
        </w:tc>
        <w:tc>
          <w:tcPr>
            <w:tcW w:w="1359" w:type="dxa"/>
            <w:noWrap w:val="0"/>
            <w:vAlign w:val="center"/>
          </w:tcPr>
          <w:p w14:paraId="34E4418C">
            <w:pPr>
              <w:keepNext w:val="0"/>
              <w:keepLines w:val="0"/>
              <w:widowControl/>
              <w:suppressLineNumbers w:val="0"/>
              <w:kinsoku/>
              <w:overflowPunct/>
              <w:autoSpaceDE/>
              <w:autoSpaceDN/>
              <w:bidi w:val="0"/>
              <w:spacing w:before="0" w:beforeAutospacing="0" w:after="0" w:afterAutospacing="0" w:line="360" w:lineRule="auto"/>
              <w:ind w:left="0" w:leftChars="0" w:right="0" w:rightChars="0"/>
              <w:jc w:val="center"/>
              <w:rPr>
                <w:rFonts w:hint="default" w:ascii="宋体" w:hAnsi="宋体" w:eastAsia="宋体" w:cs="宋体"/>
                <w:b w:val="0"/>
                <w:bCs w:val="0"/>
                <w:color w:val="auto"/>
                <w:kern w:val="0"/>
                <w:sz w:val="21"/>
                <w:szCs w:val="21"/>
                <w:highlight w:val="none"/>
                <w:lang w:val="en-US" w:eastAsia="zh-CN"/>
              </w:rPr>
            </w:pPr>
          </w:p>
        </w:tc>
        <w:tc>
          <w:tcPr>
            <w:tcW w:w="1568" w:type="dxa"/>
            <w:noWrap w:val="0"/>
            <w:vAlign w:val="center"/>
          </w:tcPr>
          <w:p w14:paraId="47E9BA1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20" w:lineRule="exact"/>
              <w:ind w:left="0" w:leftChars="0" w:right="0" w:rightChars="0"/>
              <w:jc w:val="left"/>
              <w:rPr>
                <w:rFonts w:hint="eastAsia" w:ascii="宋体" w:hAnsi="宋体" w:eastAsia="宋体" w:cs="宋体"/>
                <w:b w:val="0"/>
                <w:bCs w:val="0"/>
                <w:color w:val="auto"/>
                <w:kern w:val="0"/>
                <w:sz w:val="21"/>
                <w:szCs w:val="21"/>
                <w:highlight w:val="none"/>
                <w:lang w:val="en-US" w:eastAsia="zh-CN"/>
              </w:rPr>
            </w:pPr>
          </w:p>
        </w:tc>
      </w:tr>
      <w:tr w14:paraId="4022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729" w:type="dxa"/>
            <w:noWrap w:val="0"/>
            <w:vAlign w:val="center"/>
          </w:tcPr>
          <w:p w14:paraId="264EC2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1112" w:type="dxa"/>
            <w:noWrap w:val="0"/>
            <w:vAlign w:val="center"/>
          </w:tcPr>
          <w:p w14:paraId="49391D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color w:val="auto"/>
                <w:kern w:val="0"/>
                <w:sz w:val="21"/>
                <w:szCs w:val="21"/>
                <w:highlight w:val="none"/>
                <w:u w:val="none"/>
                <w:lang w:val="en-US" w:eastAsia="zh-CN" w:bidi="ar"/>
              </w:rPr>
            </w:pPr>
            <w:r>
              <w:rPr>
                <w:rFonts w:hint="eastAsia" w:ascii="宋体" w:hAnsi="宋体" w:eastAsia="宋体" w:cs="宋体"/>
                <w:b w:val="0"/>
                <w:bCs w:val="0"/>
                <w:color w:val="auto"/>
                <w:sz w:val="21"/>
                <w:szCs w:val="21"/>
                <w:highlight w:val="none"/>
              </w:rPr>
              <w:t>单独道路行道树</w:t>
            </w:r>
          </w:p>
        </w:tc>
        <w:tc>
          <w:tcPr>
            <w:tcW w:w="1494" w:type="dxa"/>
            <w:noWrap w:val="0"/>
            <w:vAlign w:val="center"/>
          </w:tcPr>
          <w:p w14:paraId="5AF926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color w:val="auto"/>
                <w:kern w:val="0"/>
                <w:sz w:val="21"/>
                <w:szCs w:val="21"/>
                <w:highlight w:val="none"/>
                <w:u w:val="none"/>
                <w:lang w:val="en-US" w:eastAsia="zh-CN" w:bidi="ar"/>
              </w:rPr>
            </w:pPr>
            <w:r>
              <w:rPr>
                <w:rFonts w:hint="eastAsia" w:ascii="宋体" w:hAnsi="宋体" w:cs="宋体"/>
                <w:b w:val="0"/>
                <w:bCs w:val="0"/>
                <w:i w:val="0"/>
                <w:iCs w:val="0"/>
                <w:color w:val="auto"/>
                <w:sz w:val="21"/>
                <w:szCs w:val="21"/>
                <w:highlight w:val="none"/>
                <w:u w:val="none"/>
                <w:lang w:val="en-US" w:eastAsia="zh-CN"/>
              </w:rPr>
              <w:t>10624</w:t>
            </w:r>
            <w:r>
              <w:rPr>
                <w:rFonts w:hint="eastAsia" w:ascii="宋体" w:hAnsi="宋体" w:eastAsia="宋体" w:cs="宋体"/>
                <w:b w:val="0"/>
                <w:bCs w:val="0"/>
                <w:color w:val="auto"/>
                <w:sz w:val="21"/>
                <w:szCs w:val="21"/>
                <w:highlight w:val="none"/>
              </w:rPr>
              <w:t>株</w:t>
            </w:r>
          </w:p>
        </w:tc>
        <w:tc>
          <w:tcPr>
            <w:tcW w:w="1753" w:type="dxa"/>
            <w:noWrap w:val="0"/>
            <w:vAlign w:val="center"/>
          </w:tcPr>
          <w:p w14:paraId="0D4367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cs="宋体"/>
                <w:b w:val="0"/>
                <w:bCs w:val="0"/>
                <w:i w:val="0"/>
                <w:iCs w:val="0"/>
                <w:color w:val="auto"/>
                <w:kern w:val="0"/>
                <w:sz w:val="21"/>
                <w:szCs w:val="21"/>
                <w:highlight w:val="none"/>
                <w:u w:val="none"/>
                <w:lang w:val="en-US" w:eastAsia="zh-CN" w:bidi="ar"/>
              </w:rPr>
              <w:t>23.5</w:t>
            </w:r>
            <w:r>
              <w:rPr>
                <w:rFonts w:hint="eastAsia" w:ascii="宋体" w:hAnsi="宋体" w:eastAsia="宋体" w:cs="宋体"/>
                <w:b w:val="0"/>
                <w:bCs w:val="0"/>
                <w:color w:val="auto"/>
                <w:sz w:val="21"/>
                <w:szCs w:val="21"/>
                <w:highlight w:val="none"/>
              </w:rPr>
              <w:t>元/年/株</w:t>
            </w:r>
          </w:p>
        </w:tc>
        <w:tc>
          <w:tcPr>
            <w:tcW w:w="2310" w:type="dxa"/>
            <w:noWrap w:val="0"/>
            <w:vAlign w:val="center"/>
          </w:tcPr>
          <w:p w14:paraId="51D90D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cs="宋体"/>
                <w:b w:val="0"/>
                <w:bCs w:val="0"/>
                <w:i w:val="0"/>
                <w:iCs w:val="0"/>
                <w:color w:val="auto"/>
                <w:kern w:val="0"/>
                <w:sz w:val="21"/>
                <w:szCs w:val="21"/>
                <w:highlight w:val="none"/>
                <w:u w:val="single"/>
                <w:lang w:val="en-US" w:eastAsia="zh-CN" w:bidi="ar"/>
              </w:rPr>
              <w:t xml:space="preserve">          </w:t>
            </w:r>
            <w:r>
              <w:rPr>
                <w:rFonts w:hint="eastAsia" w:ascii="宋体" w:hAnsi="宋体" w:eastAsia="宋体" w:cs="宋体"/>
                <w:b w:val="0"/>
                <w:bCs w:val="0"/>
                <w:color w:val="auto"/>
                <w:sz w:val="21"/>
                <w:szCs w:val="21"/>
                <w:highlight w:val="none"/>
              </w:rPr>
              <w:t>元/年/株</w:t>
            </w:r>
          </w:p>
        </w:tc>
        <w:tc>
          <w:tcPr>
            <w:tcW w:w="1359" w:type="dxa"/>
            <w:noWrap w:val="0"/>
            <w:vAlign w:val="center"/>
          </w:tcPr>
          <w:p w14:paraId="7F1E2FEF">
            <w:pPr>
              <w:keepNext w:val="0"/>
              <w:keepLines w:val="0"/>
              <w:widowControl/>
              <w:suppressLineNumbers w:val="0"/>
              <w:kinsoku/>
              <w:overflowPunct/>
              <w:autoSpaceDE/>
              <w:autoSpaceDN/>
              <w:bidi w:val="0"/>
              <w:spacing w:before="0" w:beforeAutospacing="0" w:after="0" w:afterAutospacing="0"/>
              <w:ind w:left="0" w:leftChars="0" w:right="0" w:rightChars="0"/>
              <w:jc w:val="center"/>
              <w:textAlignment w:val="center"/>
              <w:rPr>
                <w:rFonts w:hint="default" w:ascii="宋体" w:hAnsi="宋体" w:eastAsia="宋体" w:cs="宋体"/>
                <w:b w:val="0"/>
                <w:bCs w:val="0"/>
                <w:i w:val="0"/>
                <w:color w:val="auto"/>
                <w:kern w:val="0"/>
                <w:sz w:val="21"/>
                <w:szCs w:val="21"/>
                <w:highlight w:val="none"/>
                <w:u w:val="none"/>
                <w:lang w:val="en-US" w:eastAsia="zh-CN" w:bidi="ar"/>
              </w:rPr>
            </w:pPr>
          </w:p>
        </w:tc>
        <w:tc>
          <w:tcPr>
            <w:tcW w:w="1568" w:type="dxa"/>
            <w:noWrap w:val="0"/>
            <w:vAlign w:val="center"/>
          </w:tcPr>
          <w:p w14:paraId="4A3E068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20" w:lineRule="exact"/>
              <w:ind w:left="0" w:right="0"/>
              <w:jc w:val="left"/>
              <w:textAlignment w:val="center"/>
              <w:rPr>
                <w:rFonts w:hint="eastAsia" w:ascii="宋体" w:hAnsi="宋体" w:eastAsia="宋体" w:cs="宋体"/>
                <w:b w:val="0"/>
                <w:bCs w:val="0"/>
                <w:i w:val="0"/>
                <w:color w:val="auto"/>
                <w:kern w:val="0"/>
                <w:sz w:val="21"/>
                <w:szCs w:val="21"/>
                <w:highlight w:val="none"/>
                <w:u w:val="none"/>
                <w:lang w:val="en-US" w:eastAsia="zh-CN" w:bidi="ar"/>
              </w:rPr>
            </w:pPr>
          </w:p>
        </w:tc>
      </w:tr>
      <w:tr w14:paraId="1B3F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1841" w:type="dxa"/>
            <w:gridSpan w:val="2"/>
            <w:noWrap w:val="0"/>
            <w:vAlign w:val="center"/>
          </w:tcPr>
          <w:p w14:paraId="3ABCB24C">
            <w:pPr>
              <w:keepNext w:val="0"/>
              <w:keepLines w:val="0"/>
              <w:widowControl/>
              <w:suppressLineNumbers w:val="0"/>
              <w:kinsoku/>
              <w:overflowPunct/>
              <w:autoSpaceDE/>
              <w:autoSpaceDN/>
              <w:bidi w:val="0"/>
              <w:spacing w:before="0" w:beforeAutospacing="0" w:after="0" w:afterAutospacing="0" w:line="480" w:lineRule="auto"/>
              <w:ind w:left="0" w:leftChars="0" w:right="0" w:rightChars="0"/>
              <w:jc w:val="center"/>
              <w:textAlignment w:val="center"/>
              <w:rPr>
                <w:rFonts w:hint="default" w:ascii="宋体" w:hAnsi="宋体" w:cs="宋体"/>
                <w:b/>
                <w:bCs/>
                <w:i w:val="0"/>
                <w:color w:val="auto"/>
                <w:kern w:val="0"/>
                <w:sz w:val="24"/>
                <w:szCs w:val="24"/>
                <w:highlight w:val="none"/>
                <w:u w:val="none"/>
                <w:lang w:val="en-US" w:eastAsia="zh-CN" w:bidi="ar"/>
              </w:rPr>
            </w:pPr>
            <w:r>
              <w:rPr>
                <w:rFonts w:hint="eastAsia" w:ascii="宋体" w:hAnsi="宋体" w:cs="宋体"/>
                <w:b/>
                <w:bCs/>
                <w:i w:val="0"/>
                <w:color w:val="auto"/>
                <w:kern w:val="0"/>
                <w:sz w:val="24"/>
                <w:szCs w:val="24"/>
                <w:highlight w:val="none"/>
                <w:u w:val="none"/>
                <w:lang w:val="en-US" w:eastAsia="zh-CN" w:bidi="ar"/>
              </w:rPr>
              <w:t>投标总报价（1+2）</w:t>
            </w:r>
          </w:p>
        </w:tc>
        <w:tc>
          <w:tcPr>
            <w:tcW w:w="8484" w:type="dxa"/>
            <w:gridSpan w:val="5"/>
            <w:noWrap w:val="0"/>
            <w:vAlign w:val="center"/>
          </w:tcPr>
          <w:p w14:paraId="5BADF7A5">
            <w:pPr>
              <w:keepNext w:val="0"/>
              <w:keepLines w:val="0"/>
              <w:widowControl/>
              <w:suppressLineNumbers w:val="0"/>
              <w:kinsoku/>
              <w:overflowPunct/>
              <w:autoSpaceDE/>
              <w:autoSpaceDN/>
              <w:bidi w:val="0"/>
              <w:spacing w:before="0" w:beforeAutospacing="0" w:after="0" w:afterAutospacing="0" w:line="480" w:lineRule="auto"/>
              <w:ind w:left="0" w:leftChars="0" w:right="0" w:rightChars="0"/>
              <w:jc w:val="left"/>
              <w:textAlignment w:val="center"/>
              <w:rPr>
                <w:rFonts w:hint="default"/>
                <w:b/>
                <w:bCs/>
                <w:color w:val="auto"/>
                <w:sz w:val="24"/>
                <w:szCs w:val="24"/>
                <w:highlight w:val="none"/>
                <w:lang w:val="en-US" w:eastAsia="zh-CN"/>
              </w:rPr>
            </w:pPr>
            <w:r>
              <w:rPr>
                <w:rFonts w:hint="eastAsia"/>
                <w:b/>
                <w:bCs/>
                <w:color w:val="auto"/>
                <w:sz w:val="24"/>
                <w:szCs w:val="24"/>
                <w:highlight w:val="none"/>
                <w:lang w:val="en-US" w:eastAsia="zh-CN"/>
              </w:rPr>
              <w:t>大写：</w:t>
            </w:r>
          </w:p>
          <w:p w14:paraId="032BE86F">
            <w:pPr>
              <w:pStyle w:val="27"/>
              <w:kinsoku/>
              <w:overflowPunct/>
              <w:autoSpaceDE/>
              <w:autoSpaceDN/>
              <w:bidi w:val="0"/>
              <w:spacing w:line="480" w:lineRule="auto"/>
              <w:ind w:left="0" w:leftChars="0" w:right="0" w:righ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小写：</w:t>
            </w:r>
          </w:p>
        </w:tc>
      </w:tr>
    </w:tbl>
    <w:p w14:paraId="2C60E23E">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hint="eastAsia" w:ascii="Segoe UI" w:hAnsi="Segoe UI" w:eastAsia="Segoe UI" w:cs="Segoe UI"/>
          <w:b/>
          <w:bCs/>
          <w:i w:val="0"/>
          <w:iCs w:val="0"/>
          <w:caps w:val="0"/>
          <w:color w:val="auto"/>
          <w:spacing w:val="0"/>
          <w:sz w:val="21"/>
          <w:szCs w:val="21"/>
          <w:highlight w:val="none"/>
          <w:shd w:val="clear" w:color="auto" w:fill="FFFFFF"/>
        </w:rPr>
      </w:pPr>
      <w:r>
        <w:rPr>
          <w:rFonts w:hint="eastAsia" w:ascii="Segoe UI" w:hAnsi="Segoe UI" w:eastAsia="Segoe UI" w:cs="Segoe UI"/>
          <w:b/>
          <w:bCs/>
          <w:i w:val="0"/>
          <w:iCs w:val="0"/>
          <w:caps w:val="0"/>
          <w:color w:val="auto"/>
          <w:spacing w:val="0"/>
          <w:sz w:val="21"/>
          <w:szCs w:val="21"/>
          <w:highlight w:val="none"/>
          <w:shd w:val="clear" w:color="auto" w:fill="FFFFFF"/>
        </w:rPr>
        <w:t>注：1、所有投标只能选择一种方案，单价和合价的报价只能是唯一，且须列出详细的分项报价，否则为无效标。</w:t>
      </w:r>
    </w:p>
    <w:p w14:paraId="4820C43F">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outlineLvl w:val="3"/>
        <w:rPr>
          <w:rFonts w:hint="default" w:ascii="Segoe UI" w:hAnsi="Segoe UI" w:eastAsia="Segoe UI" w:cs="Segoe UI"/>
          <w:b/>
          <w:bCs/>
          <w:i w:val="0"/>
          <w:iCs w:val="0"/>
          <w:caps w:val="0"/>
          <w:color w:val="auto"/>
          <w:spacing w:val="0"/>
          <w:sz w:val="21"/>
          <w:szCs w:val="21"/>
          <w:highlight w:val="none"/>
          <w:shd w:val="clear" w:color="auto" w:fill="FFFFFF"/>
          <w:lang w:val="en-US"/>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2、数量均为预估量，实际数量将以实际发生为准，据实结算</w:t>
      </w:r>
      <w:r>
        <w:rPr>
          <w:rFonts w:hint="eastAsia" w:ascii="宋体" w:hAnsi="宋体" w:cs="Times New Roman"/>
          <w:b/>
          <w:bCs/>
          <w:color w:val="auto"/>
          <w:sz w:val="21"/>
          <w:szCs w:val="21"/>
          <w:highlight w:val="none"/>
          <w:lang w:val="en-US" w:eastAsia="zh-CN"/>
        </w:rPr>
        <w:t>。</w:t>
      </w:r>
    </w:p>
    <w:p w14:paraId="277206D9">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ascii="Segoe UI" w:hAnsi="Segoe UI" w:eastAsia="Segoe UI" w:cs="Segoe UI"/>
          <w:b/>
          <w:bCs/>
          <w:i w:val="0"/>
          <w:iCs w:val="0"/>
          <w:caps w:val="0"/>
          <w:color w:val="auto"/>
          <w:spacing w:val="0"/>
          <w:sz w:val="21"/>
          <w:szCs w:val="21"/>
          <w:highlight w:val="none"/>
          <w:shd w:val="clear" w:color="auto" w:fill="FFFFFF"/>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3、本次招标项目合同采用</w:t>
      </w:r>
      <w:r>
        <w:rPr>
          <w:rFonts w:ascii="Segoe UI" w:hAnsi="Segoe UI" w:eastAsia="Segoe UI" w:cs="Segoe UI"/>
          <w:b/>
          <w:bCs/>
          <w:i w:val="0"/>
          <w:iCs w:val="0"/>
          <w:caps w:val="0"/>
          <w:color w:val="auto"/>
          <w:spacing w:val="0"/>
          <w:sz w:val="21"/>
          <w:szCs w:val="21"/>
          <w:highlight w:val="none"/>
          <w:shd w:val="clear" w:color="auto" w:fill="FFFFFF"/>
        </w:rPr>
        <w:t>固定单价合同。合同履行期间，中标人所报综合单价固定不变，不因市场因素而调整。最终结算金额 = 中标综合单价 × 经双方确认的实际完成合格工作量。招标文件中所列工作量均为预估量，不构成招标人对实际工作量的承诺。</w:t>
      </w:r>
    </w:p>
    <w:p w14:paraId="410BEAE1">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baseline"/>
        <w:rPr>
          <w:rFonts w:hint="default" w:ascii="Segoe UI" w:hAnsi="Segoe UI" w:eastAsia="Segoe UI" w:cs="Segoe UI"/>
          <w:b/>
          <w:bCs/>
          <w:i w:val="0"/>
          <w:iCs w:val="0"/>
          <w:caps w:val="0"/>
          <w:color w:val="auto"/>
          <w:spacing w:val="0"/>
          <w:sz w:val="21"/>
          <w:szCs w:val="21"/>
          <w:highlight w:val="none"/>
          <w:shd w:val="clear" w:color="auto" w:fill="FFFFFF"/>
          <w:lang w:val="en-US" w:eastAsia="zh-CN"/>
        </w:rPr>
      </w:pPr>
      <w:r>
        <w:rPr>
          <w:rFonts w:hint="eastAsia" w:ascii="Segoe UI" w:hAnsi="Segoe UI" w:eastAsia="Segoe UI" w:cs="Segoe UI"/>
          <w:b/>
          <w:bCs/>
          <w:i w:val="0"/>
          <w:iCs w:val="0"/>
          <w:caps w:val="0"/>
          <w:color w:val="auto"/>
          <w:spacing w:val="0"/>
          <w:sz w:val="21"/>
          <w:szCs w:val="21"/>
          <w:highlight w:val="none"/>
          <w:shd w:val="clear" w:color="auto" w:fill="FFFFFF"/>
          <w:lang w:val="en-US" w:eastAsia="zh-CN"/>
        </w:rPr>
        <w:t>4、投标人所报综合单价已涵盖本项目全部服务内容，包括但不限于绿地养护、行道树养护、杂草清除、修剪整形、病虫害防治、浇水施肥、防寒保暖、补植补种、应急抢险、台账管理、沟渠护坡养护、设施维护以及招标人指令的绿化移植等一切费用。合同履行期间，因移植产生的任何费用，招标人不再另行支付。</w:t>
      </w:r>
    </w:p>
    <w:p w14:paraId="08917852">
      <w:pPr>
        <w:keepNext w:val="0"/>
        <w:keepLines w:val="0"/>
        <w:pageBreakBefore w:val="0"/>
        <w:widowControl/>
        <w:kinsoku/>
        <w:wordWrap/>
        <w:overflowPunct/>
        <w:topLinePunct w:val="0"/>
        <w:autoSpaceDE/>
        <w:autoSpaceDN/>
        <w:bidi w:val="0"/>
        <w:adjustRightInd/>
        <w:snapToGrid/>
        <w:spacing w:line="480" w:lineRule="exact"/>
        <w:textAlignment w:val="baseline"/>
        <w:rPr>
          <w:rFonts w:hint="eastAsia" w:ascii="宋体"/>
          <w:color w:val="auto"/>
          <w:sz w:val="24"/>
          <w:highlight w:val="none"/>
        </w:rPr>
      </w:pPr>
    </w:p>
    <w:p w14:paraId="67FAB97E">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highlight w:val="none"/>
        </w:rPr>
        <w:t>投标人名称（盖章）：</w:t>
      </w:r>
      <w:r>
        <w:rPr>
          <w:rFonts w:hint="eastAsia" w:ascii="宋体"/>
          <w:color w:val="auto"/>
          <w:sz w:val="24"/>
          <w:highlight w:val="none"/>
          <w:u w:val="single"/>
        </w:rPr>
        <w:t xml:space="preserve">                         </w:t>
      </w:r>
    </w:p>
    <w:p w14:paraId="6EF2254C">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szCs w:val="24"/>
          <w:highlight w:val="none"/>
        </w:rPr>
        <w:t>法定代表人或其委托代理人</w:t>
      </w:r>
      <w:r>
        <w:rPr>
          <w:rFonts w:hint="eastAsia" w:ascii="宋体"/>
          <w:color w:val="auto"/>
          <w:sz w:val="24"/>
          <w:highlight w:val="none"/>
        </w:rPr>
        <w:t>(签字或盖章)：</w:t>
      </w:r>
      <w:r>
        <w:rPr>
          <w:rFonts w:hint="eastAsia" w:ascii="宋体"/>
          <w:color w:val="auto"/>
          <w:sz w:val="24"/>
          <w:highlight w:val="none"/>
          <w:u w:val="single"/>
        </w:rPr>
        <w:t xml:space="preserve">                    </w:t>
      </w:r>
    </w:p>
    <w:p w14:paraId="296F99B5">
      <w:pPr>
        <w:keepNext w:val="0"/>
        <w:keepLines w:val="0"/>
        <w:pageBreakBefore w:val="0"/>
        <w:widowControl/>
        <w:kinsoku/>
        <w:wordWrap/>
        <w:overflowPunct/>
        <w:topLinePunct w:val="0"/>
        <w:autoSpaceDE/>
        <w:autoSpaceDN/>
        <w:bidi w:val="0"/>
        <w:adjustRightInd/>
        <w:snapToGrid/>
        <w:spacing w:line="560" w:lineRule="exact"/>
        <w:textAlignment w:val="baseline"/>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1F2F7FD7">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p>
    <w:p w14:paraId="1652A092">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三</w:t>
      </w:r>
      <w:r>
        <w:rPr>
          <w:rFonts w:hint="eastAsia" w:asciiTheme="minorEastAsia" w:hAnsiTheme="minorEastAsia" w:eastAsiaTheme="minorEastAsia"/>
          <w:b/>
          <w:color w:val="auto"/>
          <w:sz w:val="24"/>
          <w:highlight w:val="none"/>
        </w:rPr>
        <w:t>、投标函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四．投标人资格声明书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6A35E4F">
      <w:pPr>
        <w:spacing w:line="360" w:lineRule="auto"/>
        <w:jc w:val="center"/>
        <w:outlineLvl w:val="9"/>
        <w:rPr>
          <w:rFonts w:hint="eastAsia" w:ascii="Calibri" w:hAnsi="Calibri" w:eastAsia="宋体"/>
          <w:b/>
          <w:color w:val="auto"/>
          <w:sz w:val="28"/>
          <w:szCs w:val="28"/>
          <w:highlight w:val="none"/>
        </w:rPr>
      </w:pPr>
      <w:bookmarkStart w:id="208" w:name="_Toc31027"/>
      <w:bookmarkStart w:id="209" w:name="_Toc32226"/>
      <w:r>
        <w:rPr>
          <w:rFonts w:hint="eastAsia" w:ascii="Calibri" w:hAnsi="Calibri" w:eastAsia="宋体"/>
          <w:b/>
          <w:color w:val="auto"/>
          <w:sz w:val="28"/>
          <w:szCs w:val="28"/>
          <w:highlight w:val="none"/>
          <w:lang w:val="en-US" w:eastAsia="zh-CN"/>
        </w:rPr>
        <w:t>六.</w:t>
      </w:r>
      <w:r>
        <w:rPr>
          <w:rFonts w:hint="eastAsia" w:ascii="Calibri" w:hAnsi="Calibri" w:eastAsia="宋体"/>
          <w:b/>
          <w:color w:val="auto"/>
          <w:sz w:val="28"/>
          <w:szCs w:val="28"/>
          <w:highlight w:val="none"/>
        </w:rPr>
        <w:t>联合</w:t>
      </w:r>
      <w:r>
        <w:rPr>
          <w:rFonts w:hint="eastAsia" w:ascii="Calibri" w:hAnsi="Calibri" w:eastAsia="宋体"/>
          <w:b/>
          <w:color w:val="auto"/>
          <w:sz w:val="28"/>
          <w:szCs w:val="28"/>
          <w:highlight w:val="none"/>
          <w:lang w:eastAsia="zh-CN"/>
        </w:rPr>
        <w:t>体</w:t>
      </w:r>
      <w:r>
        <w:rPr>
          <w:rFonts w:hint="eastAsia" w:ascii="Calibri" w:hAnsi="Calibri" w:eastAsia="宋体"/>
          <w:b/>
          <w:color w:val="auto"/>
          <w:sz w:val="28"/>
          <w:szCs w:val="28"/>
          <w:highlight w:val="none"/>
        </w:rPr>
        <w:t>协议</w:t>
      </w:r>
    </w:p>
    <w:p w14:paraId="28161187">
      <w:pPr>
        <w:pStyle w:val="23"/>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b w:val="0"/>
          <w:i/>
          <w:color w:val="auto"/>
          <w:sz w:val="24"/>
          <w:highlight w:val="none"/>
        </w:rPr>
      </w:pPr>
      <w:r>
        <w:rPr>
          <w:rFonts w:hint="eastAsia" w:ascii="宋体" w:hAnsi="宋体" w:eastAsia="宋体"/>
          <w:b w:val="0"/>
          <w:i/>
          <w:color w:val="auto"/>
          <w:sz w:val="24"/>
          <w:highlight w:val="none"/>
        </w:rPr>
        <w:t>（不允许联合体投标或未组成联合体投标，不需此件；允许联合体投标且投标人为联合体投标的，请将此件加盖公章后制成扫描件上传）</w:t>
      </w:r>
    </w:p>
    <w:p w14:paraId="0ECFBB13">
      <w:pPr>
        <w:keepNext w:val="0"/>
        <w:keepLines w:val="0"/>
        <w:pageBreakBefore w:val="0"/>
        <w:widowControl w:val="0"/>
        <w:kinsoku/>
        <w:wordWrap/>
        <w:overflowPunct/>
        <w:topLinePunct w:val="0"/>
        <w:autoSpaceDE/>
        <w:autoSpaceDN/>
        <w:bidi w:val="0"/>
        <w:adjustRightInd/>
        <w:snapToGrid/>
        <w:spacing w:line="240" w:lineRule="auto"/>
        <w:ind w:firstLine="435"/>
        <w:textAlignment w:val="auto"/>
        <w:rPr>
          <w:rFonts w:ascii="宋体" w:hAnsi="宋体" w:eastAsia="宋体"/>
          <w:color w:val="auto"/>
          <w:sz w:val="24"/>
          <w:highlight w:val="none"/>
        </w:rPr>
      </w:pPr>
    </w:p>
    <w:p w14:paraId="4EC0D51B">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联合体成员一名称：</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ABED6A7">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联合体成员二名称：</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6BB7A3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w:t>
      </w:r>
    </w:p>
    <w:p w14:paraId="39D87FBD">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上述各成员单位经过友好协商，自愿组成</w:t>
      </w:r>
      <w:r>
        <w:rPr>
          <w:rFonts w:ascii="宋体" w:hAnsi="宋体" w:eastAsia="宋体"/>
          <w:color w:val="auto"/>
          <w:sz w:val="24"/>
          <w:highlight w:val="none"/>
        </w:rPr>
        <w:t>联合体，共同参加</w:t>
      </w:r>
      <w:r>
        <w:rPr>
          <w:rFonts w:hint="eastAsia" w:ascii="宋体" w:hAnsi="宋体" w:eastAsia="宋体"/>
          <w:color w:val="auto"/>
          <w:sz w:val="24"/>
          <w:highlight w:val="none"/>
        </w:rPr>
        <w:t>本项目的投标，</w:t>
      </w:r>
      <w:r>
        <w:rPr>
          <w:rFonts w:ascii="宋体" w:hAnsi="宋体" w:eastAsia="宋体"/>
          <w:color w:val="auto"/>
          <w:sz w:val="24"/>
          <w:highlight w:val="none"/>
        </w:rPr>
        <w:t>现就联合体投标事宜订立如下协议：</w:t>
      </w:r>
    </w:p>
    <w:p w14:paraId="75F1075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（某成员单位名称）为联合体牵头人。</w:t>
      </w:r>
    </w:p>
    <w:p w14:paraId="7991453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w:t>
      </w:r>
      <w:r>
        <w:rPr>
          <w:rFonts w:hint="eastAsia" w:ascii="宋体" w:hAnsi="宋体" w:eastAsia="宋体"/>
          <w:color w:val="auto"/>
          <w:sz w:val="24"/>
          <w:highlight w:val="none"/>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6379B65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3</w:t>
      </w:r>
      <w:r>
        <w:rPr>
          <w:rFonts w:ascii="宋体" w:hAnsi="宋体" w:eastAsia="宋体"/>
          <w:color w:val="auto"/>
          <w:sz w:val="24"/>
          <w:highlight w:val="none"/>
        </w:rPr>
        <w:t>.联合体各成员单位内部的职责分工</w:t>
      </w:r>
      <w:r>
        <w:rPr>
          <w:rFonts w:hint="eastAsia" w:ascii="宋体" w:hAnsi="宋体" w:eastAsia="宋体"/>
          <w:color w:val="auto"/>
          <w:sz w:val="24"/>
          <w:highlight w:val="none"/>
        </w:rPr>
        <w:t>及各方负责内容的合同金额占总合同金额的百分比</w:t>
      </w:r>
      <w:r>
        <w:rPr>
          <w:rFonts w:ascii="宋体" w:hAnsi="宋体" w:eastAsia="宋体"/>
          <w:color w:val="auto"/>
          <w:sz w:val="24"/>
          <w:highlight w:val="none"/>
        </w:rPr>
        <w:t>如下：</w:t>
      </w:r>
    </w:p>
    <w:p w14:paraId="3892696E">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联合体成员一名称：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为</w:t>
      </w:r>
      <w:r>
        <w:rPr>
          <w:color w:val="auto"/>
          <w:sz w:val="24"/>
          <w:szCs w:val="20"/>
          <w:highlight w:val="none"/>
        </w:rPr>
        <w:t>□大型企业</w:t>
      </w:r>
      <w:r>
        <w:rPr>
          <w:rFonts w:hint="eastAsia"/>
          <w:color w:val="auto"/>
          <w:sz w:val="24"/>
          <w:szCs w:val="20"/>
          <w:highlight w:val="none"/>
          <w:lang w:eastAsia="zh-CN"/>
        </w:rPr>
        <w:t>、</w:t>
      </w:r>
      <w:r>
        <w:rPr>
          <w:color w:val="auto"/>
          <w:sz w:val="24"/>
          <w:szCs w:val="20"/>
          <w:highlight w:val="none"/>
        </w:rPr>
        <w:t>□中型企业、□小微企业（包含监狱企业、残疾人福利性单位）、□其他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承担</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工作，负责内容的合同金额占总合同金额的百分比：</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D75C13E">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联合体成员二名称：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为</w:t>
      </w:r>
      <w:r>
        <w:rPr>
          <w:color w:val="auto"/>
          <w:sz w:val="24"/>
          <w:szCs w:val="20"/>
          <w:highlight w:val="none"/>
        </w:rPr>
        <w:t>□大型企业</w:t>
      </w:r>
      <w:r>
        <w:rPr>
          <w:rFonts w:hint="eastAsia"/>
          <w:color w:val="auto"/>
          <w:sz w:val="24"/>
          <w:szCs w:val="20"/>
          <w:highlight w:val="none"/>
          <w:lang w:eastAsia="zh-CN"/>
        </w:rPr>
        <w:t>、</w:t>
      </w:r>
      <w:r>
        <w:rPr>
          <w:color w:val="auto"/>
          <w:sz w:val="24"/>
          <w:szCs w:val="20"/>
          <w:highlight w:val="none"/>
        </w:rPr>
        <w:t>□中型企业、□小微企业（包含监狱企业、残疾人福利性单位）、□其他</w:t>
      </w:r>
      <w:r>
        <w:rPr>
          <w:rFonts w:hint="eastAsia" w:ascii="宋体" w:hAnsi="宋体" w:eastAsia="宋体"/>
          <w:color w:val="auto"/>
          <w:sz w:val="24"/>
          <w:highlight w:val="none"/>
          <w:u w:val="none"/>
          <w:lang w:val="en-US" w:eastAsia="zh-CN"/>
        </w:rPr>
        <w:t>，</w:t>
      </w:r>
      <w:r>
        <w:rPr>
          <w:rFonts w:hint="eastAsia" w:ascii="宋体" w:hAnsi="宋体" w:eastAsia="宋体"/>
          <w:color w:val="auto"/>
          <w:sz w:val="24"/>
          <w:highlight w:val="none"/>
        </w:rPr>
        <w:t>承担</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工作，负责内容的合同金额占总合同金额的百分比：</w:t>
      </w:r>
      <w:r>
        <w:rPr>
          <w:rFonts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12091108">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w:t>
      </w:r>
    </w:p>
    <w:p w14:paraId="6BED26B1">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4．投标工作和联合体在中标后</w:t>
      </w:r>
      <w:r>
        <w:rPr>
          <w:rFonts w:hint="eastAsia" w:ascii="宋体" w:hAnsi="宋体" w:eastAsia="宋体"/>
          <w:color w:val="auto"/>
          <w:sz w:val="24"/>
          <w:highlight w:val="none"/>
        </w:rPr>
        <w:t>项目</w:t>
      </w:r>
      <w:r>
        <w:rPr>
          <w:rFonts w:ascii="宋体" w:hAnsi="宋体" w:eastAsia="宋体"/>
          <w:color w:val="auto"/>
          <w:sz w:val="24"/>
          <w:highlight w:val="none"/>
        </w:rPr>
        <w:t>实施过程中的有关费用按各自承担的工作量分摊。</w:t>
      </w:r>
    </w:p>
    <w:p w14:paraId="7260637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5．联合体中标后，本联合协议是合同的附件，对联合体各成员单位有合同约束力。</w:t>
      </w:r>
    </w:p>
    <w:p w14:paraId="08C7F3A6">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ascii="宋体" w:hAnsi="宋体" w:eastAsia="宋体"/>
          <w:color w:val="auto"/>
          <w:sz w:val="24"/>
          <w:highlight w:val="none"/>
        </w:rPr>
        <w:t>6．本协议书自签署之日起生效，联合体未中标或者合同履行完毕后自动失效。</w:t>
      </w:r>
    </w:p>
    <w:p w14:paraId="737DFCA9">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联合体成员一：</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盖单位章</w:t>
      </w:r>
      <w:r>
        <w:rPr>
          <w:rFonts w:hint="eastAsia" w:ascii="宋体" w:hAnsi="宋体" w:eastAsia="宋体"/>
          <w:color w:val="auto"/>
          <w:sz w:val="24"/>
          <w:highlight w:val="none"/>
        </w:rPr>
        <w:t>）</w:t>
      </w:r>
    </w:p>
    <w:p w14:paraId="2CBACAF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法定代表人：</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（签章）</w:t>
      </w:r>
    </w:p>
    <w:p w14:paraId="158157E4">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联合体成员二：</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盖单位章</w:t>
      </w:r>
      <w:r>
        <w:rPr>
          <w:rFonts w:hint="eastAsia" w:ascii="宋体" w:hAnsi="宋体" w:eastAsia="宋体"/>
          <w:color w:val="auto"/>
          <w:sz w:val="24"/>
          <w:highlight w:val="none"/>
        </w:rPr>
        <w:t>）</w:t>
      </w:r>
    </w:p>
    <w:p w14:paraId="4A907A83">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法定代表人：</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（签章）</w:t>
      </w:r>
    </w:p>
    <w:p w14:paraId="5CFA4B6F">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w:t>
      </w:r>
    </w:p>
    <w:p w14:paraId="7C3CD40F">
      <w:pPr>
        <w:keepNext w:val="0"/>
        <w:keepLines w:val="0"/>
        <w:pageBreakBefore w:val="0"/>
        <w:widowControl w:val="0"/>
        <w:kinsoku/>
        <w:wordWrap/>
        <w:overflowPunct/>
        <w:topLinePunct w:val="0"/>
        <w:autoSpaceDE/>
        <w:autoSpaceDN/>
        <w:bidi w:val="0"/>
        <w:adjustRightInd/>
        <w:snapToGrid/>
        <w:spacing w:line="400" w:lineRule="exact"/>
        <w:ind w:left="239" w:leftChars="114" w:right="480" w:firstLine="4440" w:firstLineChars="1850"/>
        <w:textAlignment w:val="auto"/>
        <w:rPr>
          <w:rFonts w:ascii="宋体" w:hAnsi="宋体" w:eastAsia="宋体"/>
          <w:color w:val="auto"/>
          <w:sz w:val="24"/>
          <w:highlight w:val="none"/>
        </w:rPr>
      </w:pPr>
      <w:r>
        <w:rPr>
          <w:rFonts w:hint="eastAsia" w:ascii="宋体" w:hAnsi="宋体" w:eastAsia="宋体"/>
          <w:color w:val="auto"/>
          <w:sz w:val="24"/>
          <w:highlight w:val="none"/>
        </w:rPr>
        <w:t>签订日期: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年</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rPr>
        <w:t>月</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日</w:t>
      </w:r>
    </w:p>
    <w:p w14:paraId="050D5952">
      <w:pPr>
        <w:rPr>
          <w:rFonts w:hint="eastAsia" w:ascii="宋体" w:hAnsi="宋体" w:eastAsia="宋体"/>
          <w:b/>
          <w:color w:val="auto"/>
          <w:sz w:val="24"/>
          <w:highlight w:val="none"/>
        </w:rPr>
      </w:pP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八.中小企业声明函</w:t>
      </w:r>
      <w:bookmarkEnd w:id="210"/>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0"/>
        </w:numPr>
        <w:kinsoku/>
        <w:wordWrap w:val="0"/>
        <w:topLinePunct w:val="0"/>
        <w:bidi w:val="0"/>
        <w:spacing w:line="360" w:lineRule="auto"/>
        <w:ind w:firstLine="435" w:firstLineChars="0"/>
        <w:rPr>
          <w:rFonts w:ascii="宋体" w:hAnsi="宋体" w:eastAsia="宋体"/>
          <w:color w:val="auto"/>
          <w:sz w:val="24"/>
          <w:szCs w:val="24"/>
          <w:highlight w:val="none"/>
          <w:lang w:val="zh-CN"/>
        </w:rPr>
      </w:pPr>
      <w:r>
        <w:rPr>
          <w:rFonts w:ascii="宋体" w:hAnsi="宋体" w:eastAsia="宋体" w:cs="宋体"/>
          <w:color w:val="auto"/>
          <w:kern w:val="2"/>
          <w:sz w:val="24"/>
          <w:szCs w:val="24"/>
          <w:highlight w:val="none"/>
          <w:lang w:val="zh-CN" w:eastAsia="zh-CN" w:bidi="ar-SA"/>
        </w:rPr>
        <w:t>1.</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万元，资产总额为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4A1C06F7">
      <w:pPr>
        <w:pageBreakBefore w:val="0"/>
        <w:widowControl w:val="0"/>
        <w:numPr>
          <w:ilvl w:val="0"/>
          <w:numId w:val="0"/>
        </w:numPr>
        <w:kinsoku/>
        <w:wordWrap w:val="0"/>
        <w:topLinePunct w:val="0"/>
        <w:bidi w:val="0"/>
        <w:spacing w:line="360" w:lineRule="auto"/>
        <w:ind w:firstLine="435" w:firstLineChars="0"/>
        <w:rPr>
          <w:rFonts w:ascii="宋体" w:hAnsi="宋体" w:eastAsia="宋体"/>
          <w:color w:val="auto"/>
          <w:sz w:val="24"/>
          <w:szCs w:val="24"/>
          <w:highlight w:val="none"/>
          <w:lang w:val="zh-CN"/>
        </w:rPr>
      </w:pPr>
      <w:r>
        <w:rPr>
          <w:rFonts w:hint="eastAsia" w:ascii="宋体" w:hAnsi="宋体" w:eastAsia="宋体" w:cs="宋体"/>
          <w:color w:val="auto"/>
          <w:kern w:val="2"/>
          <w:sz w:val="24"/>
          <w:szCs w:val="24"/>
          <w:highlight w:val="none"/>
          <w:lang w:val="en-US" w:eastAsia="zh-CN" w:bidi="ar-SA"/>
        </w:rPr>
        <w:t>2</w:t>
      </w:r>
      <w:r>
        <w:rPr>
          <w:rFonts w:ascii="宋体" w:hAnsi="宋体" w:eastAsia="宋体" w:cs="宋体"/>
          <w:color w:val="auto"/>
          <w:kern w:val="2"/>
          <w:sz w:val="24"/>
          <w:szCs w:val="24"/>
          <w:highlight w:val="none"/>
          <w:lang w:val="zh-CN" w:eastAsia="zh-CN" w:bidi="ar-SA"/>
        </w:rPr>
        <w:t>.</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万元，资产总额为</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lang w:val="zh-CN"/>
        </w:rPr>
        <w:t>万元，属于</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9"/>
        <w:pageBreakBefore w:val="0"/>
        <w:widowControl w:val="0"/>
        <w:kinsoku/>
        <w:wordWrap w:val="0"/>
        <w:topLinePunct w:val="0"/>
        <w:bidi w:val="0"/>
        <w:rPr>
          <w:rFonts w:hint="eastAsia" w:asciiTheme="minorEastAsia" w:hAnsiTheme="minorEastAsia" w:eastAsiaTheme="minorEastAsia"/>
          <w:b/>
          <w:bCs/>
          <w:color w:val="auto"/>
          <w:szCs w:val="24"/>
          <w:highlight w:val="none"/>
        </w:rPr>
      </w:pPr>
    </w:p>
    <w:p w14:paraId="7523D02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6713"/>
      <w:bookmarkStart w:id="212" w:name="_Toc17315"/>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九.残疾人福利性单位声明函</w:t>
      </w:r>
      <w:bookmarkEnd w:id="211"/>
      <w:bookmarkEnd w:id="212"/>
    </w:p>
    <w:p w14:paraId="790FF97C">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520299348"/>
      <w:bookmarkStart w:id="214" w:name="_Toc457768004"/>
      <w:bookmarkStart w:id="215" w:name="_Toc300210382"/>
      <w:bookmarkStart w:id="216" w:name="_Toc26536"/>
      <w:bookmarkStart w:id="217" w:name="_Toc23860"/>
      <w:bookmarkStart w:id="218" w:name="_Hlk11701496"/>
      <w:r>
        <w:rPr>
          <w:rFonts w:hint="eastAsia" w:asciiTheme="minorEastAsia" w:hAnsiTheme="minorEastAsia" w:eastAsiaTheme="minorEastAsia"/>
          <w:b/>
          <w:color w:val="auto"/>
          <w:sz w:val="24"/>
          <w:highlight w:val="none"/>
          <w:lang w:val="en-US" w:eastAsia="zh-CN"/>
        </w:rPr>
        <w:t>十.</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bookmarkEnd w:id="213"/>
    <w:bookmarkEnd w:id="214"/>
    <w:bookmarkEnd w:id="215"/>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十一.诚信履约承诺函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2633"/>
      <w:bookmarkStart w:id="220" w:name="_Toc31807"/>
      <w:r>
        <w:rPr>
          <w:rFonts w:hint="eastAsia" w:asciiTheme="minorEastAsia" w:hAnsiTheme="minorEastAsia" w:eastAsiaTheme="minorEastAsia"/>
          <w:b/>
          <w:color w:val="auto"/>
          <w:sz w:val="24"/>
          <w:highlight w:val="none"/>
          <w:lang w:val="en-US" w:eastAsia="zh-CN"/>
        </w:rPr>
        <w:t>十二.其他相关证明材料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r>
        <w:rPr>
          <w:rFonts w:asciiTheme="minorEastAsia" w:hAnsiTheme="minorEastAsia" w:eastAsiaTheme="minorEastAsia"/>
          <w:color w:val="auto"/>
          <w:sz w:val="24"/>
          <w:highlight w:val="none"/>
        </w:rPr>
        <w:t>。</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6435"/>
      <w:bookmarkStart w:id="222"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27159"/>
      <w:bookmarkStart w:id="224" w:name="_Toc6955"/>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1575"/>
      <w:bookmarkStart w:id="228" w:name="_Toc857"/>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8A663F">
      <w:pPr>
        <w:pageBreakBefore w:val="0"/>
        <w:widowControl w:val="0"/>
        <w:kinsoku/>
        <w:wordWrap w:val="0"/>
        <w:topLinePunct w:val="0"/>
        <w:bidi w:val="0"/>
        <w:rPr>
          <w:color w:val="auto"/>
          <w:highlight w:val="none"/>
        </w:rPr>
      </w:pPr>
    </w:p>
    <w:bookmarkEnd w:id="235"/>
    <w:sectPr>
      <w:headerReference r:id="rId5" w:type="default"/>
      <w:footerReference r:id="rId6"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013626E-E6DF-47BB-8F5A-3A70A78D2347}"/>
  </w:font>
  <w:font w:name="Arial">
    <w:panose1 w:val="020B0604020202020204"/>
    <w:charset w:val="01"/>
    <w:family w:val="swiss"/>
    <w:pitch w:val="default"/>
    <w:sig w:usb0="E0002EFF" w:usb1="C000785B" w:usb2="00000009" w:usb3="00000000" w:csb0="400001FF" w:csb1="FFFF0000"/>
    <w:embedRegular r:id="rId2" w:fontKey="{F0570D2A-2DD2-47C2-967E-F7560EEF57D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C0F544F-093E-4D34-B798-C51B786DAD7E}"/>
  </w:font>
  <w:font w:name="@仿宋_GB2312">
    <w:panose1 w:val="02010609030101010101"/>
    <w:charset w:val="86"/>
    <w:family w:val="modern"/>
    <w:pitch w:val="default"/>
    <w:sig w:usb0="00000001" w:usb1="080E0000" w:usb2="00000000" w:usb3="00000000" w:csb0="00040000" w:csb1="00000000"/>
    <w:embedRegular r:id="rId4" w:fontKey="{0B7F40A2-82EE-47F7-B4F1-21C82B163FE7}"/>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5" w:fontKey="{FAFE6896-BDF4-4F40-9EE0-A343820D97D5}"/>
  </w:font>
  <w:font w:name="Segoe UI">
    <w:panose1 w:val="020B0502040204020203"/>
    <w:charset w:val="00"/>
    <w:family w:val="auto"/>
    <w:pitch w:val="default"/>
    <w:sig w:usb0="E4002EFF" w:usb1="C000E47F" w:usb2="00000009" w:usb3="00000000" w:csb0="200001FF" w:csb1="00000000"/>
    <w:embedRegular r:id="rId6" w:fontKey="{11642885-EF6D-4F3F-95C8-0629E4A2FAE1}"/>
  </w:font>
  <w:font w:name="仿宋">
    <w:panose1 w:val="02010609060101010101"/>
    <w:charset w:val="86"/>
    <w:family w:val="auto"/>
    <w:pitch w:val="default"/>
    <w:sig w:usb0="800002BF" w:usb1="38CF7CFA" w:usb2="00000016" w:usb3="00000000" w:csb0="00040001" w:csb1="00000000"/>
    <w:embedRegular r:id="rId7" w:fontKey="{D2C5FF15-3039-48AF-ADD9-A44A58512FEB}"/>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SourceHanSansCN-Regular">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AD2588"/>
    <w:multiLevelType w:val="singleLevel"/>
    <w:tmpl w:val="C6AD2588"/>
    <w:lvl w:ilvl="0" w:tentative="0">
      <w:start w:val="5"/>
      <w:numFmt w:val="decimal"/>
      <w:suff w:val="space"/>
      <w:lvlText w:val="%1."/>
      <w:lvlJc w:val="left"/>
    </w:lvl>
  </w:abstractNum>
  <w:abstractNum w:abstractNumId="1">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7A3751"/>
    <w:multiLevelType w:val="singleLevel"/>
    <w:tmpl w:val="1D7A3751"/>
    <w:lvl w:ilvl="0" w:tentative="0">
      <w:start w:val="1"/>
      <w:numFmt w:val="decimal"/>
      <w:suff w:val="space"/>
      <w:lvlText w:val="%1."/>
      <w:lvlJc w:val="left"/>
    </w:lvl>
  </w:abstractNum>
  <w:abstractNum w:abstractNumId="3">
    <w:nsid w:val="2A064A37"/>
    <w:multiLevelType w:val="singleLevel"/>
    <w:tmpl w:val="2A064A37"/>
    <w:lvl w:ilvl="0" w:tentative="0">
      <w:start w:val="3"/>
      <w:numFmt w:val="chineseCounting"/>
      <w:suff w:val="space"/>
      <w:lvlText w:val="第%1章"/>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4117"/>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5394"/>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D4AF7"/>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423F24"/>
    <w:rsid w:val="0170184F"/>
    <w:rsid w:val="0214602E"/>
    <w:rsid w:val="02F56DCA"/>
    <w:rsid w:val="03223EF0"/>
    <w:rsid w:val="03486B27"/>
    <w:rsid w:val="03DD7F34"/>
    <w:rsid w:val="040A094E"/>
    <w:rsid w:val="041C7B7F"/>
    <w:rsid w:val="0478689E"/>
    <w:rsid w:val="04E36C96"/>
    <w:rsid w:val="056800F4"/>
    <w:rsid w:val="056F201D"/>
    <w:rsid w:val="05B664D4"/>
    <w:rsid w:val="065C649E"/>
    <w:rsid w:val="07076C01"/>
    <w:rsid w:val="071C12AC"/>
    <w:rsid w:val="074E231E"/>
    <w:rsid w:val="075C5619"/>
    <w:rsid w:val="07A934B3"/>
    <w:rsid w:val="07BD6760"/>
    <w:rsid w:val="07CA07CF"/>
    <w:rsid w:val="07EA0E72"/>
    <w:rsid w:val="083900FE"/>
    <w:rsid w:val="08B15E54"/>
    <w:rsid w:val="0980799C"/>
    <w:rsid w:val="09C40B0E"/>
    <w:rsid w:val="0A0F6376"/>
    <w:rsid w:val="0A353CEA"/>
    <w:rsid w:val="0A6A18DB"/>
    <w:rsid w:val="0AEF3828"/>
    <w:rsid w:val="0B271EA5"/>
    <w:rsid w:val="0BBB665B"/>
    <w:rsid w:val="0BE5207C"/>
    <w:rsid w:val="0CB7664E"/>
    <w:rsid w:val="0E6B438E"/>
    <w:rsid w:val="0E6C55F8"/>
    <w:rsid w:val="0E816EC5"/>
    <w:rsid w:val="0EEA6FC1"/>
    <w:rsid w:val="0F4277C2"/>
    <w:rsid w:val="0F954485"/>
    <w:rsid w:val="0FBA55CD"/>
    <w:rsid w:val="0FBF344F"/>
    <w:rsid w:val="0FD56B4E"/>
    <w:rsid w:val="101C30CB"/>
    <w:rsid w:val="10505F32"/>
    <w:rsid w:val="105A27E6"/>
    <w:rsid w:val="119B0711"/>
    <w:rsid w:val="11E11A86"/>
    <w:rsid w:val="12197477"/>
    <w:rsid w:val="121A05A5"/>
    <w:rsid w:val="127B0C62"/>
    <w:rsid w:val="12F933E5"/>
    <w:rsid w:val="13587E2C"/>
    <w:rsid w:val="13A002C1"/>
    <w:rsid w:val="1466407E"/>
    <w:rsid w:val="146D2F69"/>
    <w:rsid w:val="147677B7"/>
    <w:rsid w:val="14834E28"/>
    <w:rsid w:val="148E7D65"/>
    <w:rsid w:val="151D4243"/>
    <w:rsid w:val="15231BF9"/>
    <w:rsid w:val="167D6DB2"/>
    <w:rsid w:val="1782529E"/>
    <w:rsid w:val="179F5278"/>
    <w:rsid w:val="17F1548D"/>
    <w:rsid w:val="192335B0"/>
    <w:rsid w:val="199C6443"/>
    <w:rsid w:val="1A3B68AA"/>
    <w:rsid w:val="1A3E1C1E"/>
    <w:rsid w:val="1C141836"/>
    <w:rsid w:val="1DB95116"/>
    <w:rsid w:val="1E09705D"/>
    <w:rsid w:val="1E6B6A14"/>
    <w:rsid w:val="1E8079E2"/>
    <w:rsid w:val="1F992C89"/>
    <w:rsid w:val="1F9A008F"/>
    <w:rsid w:val="20550D9A"/>
    <w:rsid w:val="21714B53"/>
    <w:rsid w:val="218E2416"/>
    <w:rsid w:val="226915FE"/>
    <w:rsid w:val="22E14C32"/>
    <w:rsid w:val="23005595"/>
    <w:rsid w:val="247D172D"/>
    <w:rsid w:val="24B97929"/>
    <w:rsid w:val="2520252D"/>
    <w:rsid w:val="25323B38"/>
    <w:rsid w:val="253908EB"/>
    <w:rsid w:val="26163BC1"/>
    <w:rsid w:val="262221C3"/>
    <w:rsid w:val="263A563A"/>
    <w:rsid w:val="26F31699"/>
    <w:rsid w:val="27196C26"/>
    <w:rsid w:val="280253D0"/>
    <w:rsid w:val="28514D40"/>
    <w:rsid w:val="285F40CA"/>
    <w:rsid w:val="28701A4C"/>
    <w:rsid w:val="28C01ECB"/>
    <w:rsid w:val="28EC3ECC"/>
    <w:rsid w:val="291B1D32"/>
    <w:rsid w:val="29BF71E3"/>
    <w:rsid w:val="29C73EC4"/>
    <w:rsid w:val="29D5590A"/>
    <w:rsid w:val="2A127B63"/>
    <w:rsid w:val="2AAA4765"/>
    <w:rsid w:val="2AC21606"/>
    <w:rsid w:val="2AD92954"/>
    <w:rsid w:val="2AF63C5E"/>
    <w:rsid w:val="2B7E7608"/>
    <w:rsid w:val="2B7F04E9"/>
    <w:rsid w:val="2BCA5C66"/>
    <w:rsid w:val="2C305555"/>
    <w:rsid w:val="2C324425"/>
    <w:rsid w:val="2C370819"/>
    <w:rsid w:val="2C9A21B9"/>
    <w:rsid w:val="2CA35449"/>
    <w:rsid w:val="2CE20523"/>
    <w:rsid w:val="2D496D68"/>
    <w:rsid w:val="2D652BC5"/>
    <w:rsid w:val="2E6672CB"/>
    <w:rsid w:val="2E7A48DE"/>
    <w:rsid w:val="2EDC3ED8"/>
    <w:rsid w:val="2F2D046C"/>
    <w:rsid w:val="2F6351B4"/>
    <w:rsid w:val="2FCF199E"/>
    <w:rsid w:val="302E4A7C"/>
    <w:rsid w:val="30483E83"/>
    <w:rsid w:val="30AA0E97"/>
    <w:rsid w:val="30BD4AC6"/>
    <w:rsid w:val="31FC1669"/>
    <w:rsid w:val="323B4877"/>
    <w:rsid w:val="331673B0"/>
    <w:rsid w:val="334E4CD8"/>
    <w:rsid w:val="343C0775"/>
    <w:rsid w:val="34A40778"/>
    <w:rsid w:val="34AA76A9"/>
    <w:rsid w:val="34C240BA"/>
    <w:rsid w:val="351705A2"/>
    <w:rsid w:val="356C50EC"/>
    <w:rsid w:val="360A473D"/>
    <w:rsid w:val="361108CD"/>
    <w:rsid w:val="364A2116"/>
    <w:rsid w:val="36AF4EB1"/>
    <w:rsid w:val="36C546D4"/>
    <w:rsid w:val="3700166C"/>
    <w:rsid w:val="3727617F"/>
    <w:rsid w:val="375969FE"/>
    <w:rsid w:val="377260D5"/>
    <w:rsid w:val="38694EE9"/>
    <w:rsid w:val="38C12275"/>
    <w:rsid w:val="38F80D91"/>
    <w:rsid w:val="393C6E91"/>
    <w:rsid w:val="3AAF722D"/>
    <w:rsid w:val="3B365CC9"/>
    <w:rsid w:val="3B9A7B88"/>
    <w:rsid w:val="3BC114FF"/>
    <w:rsid w:val="3BC431AC"/>
    <w:rsid w:val="3C114756"/>
    <w:rsid w:val="3C2660C6"/>
    <w:rsid w:val="3D2C7AC8"/>
    <w:rsid w:val="3D855D12"/>
    <w:rsid w:val="3D866EB1"/>
    <w:rsid w:val="3D8B42FF"/>
    <w:rsid w:val="3D8C02DD"/>
    <w:rsid w:val="3D9409D6"/>
    <w:rsid w:val="3DC20089"/>
    <w:rsid w:val="3DF36A6E"/>
    <w:rsid w:val="3E515AA9"/>
    <w:rsid w:val="3EEB1013"/>
    <w:rsid w:val="3EF86514"/>
    <w:rsid w:val="3F1138E1"/>
    <w:rsid w:val="3F792F1E"/>
    <w:rsid w:val="3FCF2A56"/>
    <w:rsid w:val="407A3E67"/>
    <w:rsid w:val="40824826"/>
    <w:rsid w:val="40C97410"/>
    <w:rsid w:val="40E63923"/>
    <w:rsid w:val="411E0097"/>
    <w:rsid w:val="4140333C"/>
    <w:rsid w:val="41DF0F12"/>
    <w:rsid w:val="42545C34"/>
    <w:rsid w:val="42B443F4"/>
    <w:rsid w:val="42F43FD4"/>
    <w:rsid w:val="433569A4"/>
    <w:rsid w:val="43A91E5B"/>
    <w:rsid w:val="44330E67"/>
    <w:rsid w:val="44641089"/>
    <w:rsid w:val="44BC3308"/>
    <w:rsid w:val="454A2974"/>
    <w:rsid w:val="456168C0"/>
    <w:rsid w:val="459C53D8"/>
    <w:rsid w:val="45BA48DB"/>
    <w:rsid w:val="45BE11FB"/>
    <w:rsid w:val="462867A4"/>
    <w:rsid w:val="463A3650"/>
    <w:rsid w:val="466806BE"/>
    <w:rsid w:val="469F0116"/>
    <w:rsid w:val="46DF2D3D"/>
    <w:rsid w:val="471D3AE9"/>
    <w:rsid w:val="47402999"/>
    <w:rsid w:val="475259B7"/>
    <w:rsid w:val="475A49C5"/>
    <w:rsid w:val="47A5079F"/>
    <w:rsid w:val="48831CF9"/>
    <w:rsid w:val="488F0FC4"/>
    <w:rsid w:val="48A64365"/>
    <w:rsid w:val="49845D76"/>
    <w:rsid w:val="49A165B8"/>
    <w:rsid w:val="49B1408D"/>
    <w:rsid w:val="49BE3444"/>
    <w:rsid w:val="4A497D59"/>
    <w:rsid w:val="4A7D4FD2"/>
    <w:rsid w:val="4A913C9A"/>
    <w:rsid w:val="4AE22D2F"/>
    <w:rsid w:val="4AE6766D"/>
    <w:rsid w:val="4AFA612D"/>
    <w:rsid w:val="4B1F70AC"/>
    <w:rsid w:val="4B240F94"/>
    <w:rsid w:val="4B386AE5"/>
    <w:rsid w:val="4BA402A6"/>
    <w:rsid w:val="4BA75287"/>
    <w:rsid w:val="4BDC6EAE"/>
    <w:rsid w:val="4BED70D6"/>
    <w:rsid w:val="4C0E05BB"/>
    <w:rsid w:val="4C3C565C"/>
    <w:rsid w:val="4C936C5D"/>
    <w:rsid w:val="4CCC79C7"/>
    <w:rsid w:val="4D706CF0"/>
    <w:rsid w:val="4D7555C7"/>
    <w:rsid w:val="4E0336C0"/>
    <w:rsid w:val="4E17716C"/>
    <w:rsid w:val="4E2D13A4"/>
    <w:rsid w:val="4EAE6DA0"/>
    <w:rsid w:val="4F002A5F"/>
    <w:rsid w:val="4FB17138"/>
    <w:rsid w:val="4FD037EF"/>
    <w:rsid w:val="5016514B"/>
    <w:rsid w:val="502857C7"/>
    <w:rsid w:val="50476D3D"/>
    <w:rsid w:val="50F72CFD"/>
    <w:rsid w:val="51CB1C78"/>
    <w:rsid w:val="51FD6A51"/>
    <w:rsid w:val="526B680A"/>
    <w:rsid w:val="52C90BE7"/>
    <w:rsid w:val="52FB705C"/>
    <w:rsid w:val="53150D15"/>
    <w:rsid w:val="532B416B"/>
    <w:rsid w:val="5352083E"/>
    <w:rsid w:val="53966D85"/>
    <w:rsid w:val="541A5D30"/>
    <w:rsid w:val="542720D3"/>
    <w:rsid w:val="54F24195"/>
    <w:rsid w:val="54F66B38"/>
    <w:rsid w:val="552F56E3"/>
    <w:rsid w:val="553E632F"/>
    <w:rsid w:val="556E19DE"/>
    <w:rsid w:val="55990DAE"/>
    <w:rsid w:val="55F068CD"/>
    <w:rsid w:val="55F97F14"/>
    <w:rsid w:val="566C3136"/>
    <w:rsid w:val="568D04F2"/>
    <w:rsid w:val="56C86370"/>
    <w:rsid w:val="57B9325C"/>
    <w:rsid w:val="57B976AF"/>
    <w:rsid w:val="58631FF0"/>
    <w:rsid w:val="588D6DD7"/>
    <w:rsid w:val="58943156"/>
    <w:rsid w:val="59246BE1"/>
    <w:rsid w:val="5930529E"/>
    <w:rsid w:val="59CF22B9"/>
    <w:rsid w:val="5A526582"/>
    <w:rsid w:val="5A5F5C77"/>
    <w:rsid w:val="5A933291"/>
    <w:rsid w:val="5B652974"/>
    <w:rsid w:val="5B884063"/>
    <w:rsid w:val="5B900F3C"/>
    <w:rsid w:val="5BBE39CD"/>
    <w:rsid w:val="5BC11A60"/>
    <w:rsid w:val="5C7A4D54"/>
    <w:rsid w:val="5CC20BEA"/>
    <w:rsid w:val="5CD23B73"/>
    <w:rsid w:val="5D347D3A"/>
    <w:rsid w:val="5D483260"/>
    <w:rsid w:val="5D997B0D"/>
    <w:rsid w:val="5E2D7958"/>
    <w:rsid w:val="5F127819"/>
    <w:rsid w:val="5F63752A"/>
    <w:rsid w:val="6042451C"/>
    <w:rsid w:val="60F1503F"/>
    <w:rsid w:val="60F905F7"/>
    <w:rsid w:val="61025188"/>
    <w:rsid w:val="61057D5F"/>
    <w:rsid w:val="613010DB"/>
    <w:rsid w:val="614D4977"/>
    <w:rsid w:val="61BD3D42"/>
    <w:rsid w:val="61F47A98"/>
    <w:rsid w:val="628232F6"/>
    <w:rsid w:val="63962CDC"/>
    <w:rsid w:val="63A12CE2"/>
    <w:rsid w:val="63C60FC0"/>
    <w:rsid w:val="64BA3D7A"/>
    <w:rsid w:val="64F179BC"/>
    <w:rsid w:val="65130235"/>
    <w:rsid w:val="6528794D"/>
    <w:rsid w:val="65C94C55"/>
    <w:rsid w:val="665704D3"/>
    <w:rsid w:val="672A2FC6"/>
    <w:rsid w:val="673148E2"/>
    <w:rsid w:val="675445CD"/>
    <w:rsid w:val="675608AD"/>
    <w:rsid w:val="67584625"/>
    <w:rsid w:val="675A23DE"/>
    <w:rsid w:val="67C065A4"/>
    <w:rsid w:val="67C47F0C"/>
    <w:rsid w:val="67D359C9"/>
    <w:rsid w:val="68A815DC"/>
    <w:rsid w:val="68DF53B3"/>
    <w:rsid w:val="68FE36DD"/>
    <w:rsid w:val="694E60FC"/>
    <w:rsid w:val="6985383C"/>
    <w:rsid w:val="69EF4042"/>
    <w:rsid w:val="6A465D34"/>
    <w:rsid w:val="6B2E0222"/>
    <w:rsid w:val="6C410A63"/>
    <w:rsid w:val="6C675CE6"/>
    <w:rsid w:val="6CEF35AF"/>
    <w:rsid w:val="6D4F4321"/>
    <w:rsid w:val="6D8A17B4"/>
    <w:rsid w:val="6DFF7360"/>
    <w:rsid w:val="6E7A5F73"/>
    <w:rsid w:val="6E872083"/>
    <w:rsid w:val="6F2E3798"/>
    <w:rsid w:val="6F8455DF"/>
    <w:rsid w:val="6F8F2BAE"/>
    <w:rsid w:val="6FA22640"/>
    <w:rsid w:val="6FAD5732"/>
    <w:rsid w:val="6FD74228"/>
    <w:rsid w:val="6FEA5C61"/>
    <w:rsid w:val="70B33744"/>
    <w:rsid w:val="70FE5EDF"/>
    <w:rsid w:val="71633091"/>
    <w:rsid w:val="718D75C1"/>
    <w:rsid w:val="72402885"/>
    <w:rsid w:val="72C76B74"/>
    <w:rsid w:val="73081CA5"/>
    <w:rsid w:val="73483525"/>
    <w:rsid w:val="73C45C4A"/>
    <w:rsid w:val="73CC79B7"/>
    <w:rsid w:val="740A4EF9"/>
    <w:rsid w:val="74545B7C"/>
    <w:rsid w:val="7487762D"/>
    <w:rsid w:val="75385498"/>
    <w:rsid w:val="76674F2A"/>
    <w:rsid w:val="766B3AFD"/>
    <w:rsid w:val="769962BD"/>
    <w:rsid w:val="76BC207F"/>
    <w:rsid w:val="76CA0F85"/>
    <w:rsid w:val="76EB4904"/>
    <w:rsid w:val="7728668A"/>
    <w:rsid w:val="777378F5"/>
    <w:rsid w:val="777A2D3C"/>
    <w:rsid w:val="77F04406"/>
    <w:rsid w:val="78537BEA"/>
    <w:rsid w:val="78CE52B2"/>
    <w:rsid w:val="79074B81"/>
    <w:rsid w:val="794F0939"/>
    <w:rsid w:val="79AF0FCA"/>
    <w:rsid w:val="79BF23C1"/>
    <w:rsid w:val="79E7595E"/>
    <w:rsid w:val="79EF2560"/>
    <w:rsid w:val="7AE658BA"/>
    <w:rsid w:val="7AF9279C"/>
    <w:rsid w:val="7B2A25DC"/>
    <w:rsid w:val="7C8A45E3"/>
    <w:rsid w:val="7CC51958"/>
    <w:rsid w:val="7CEC40B6"/>
    <w:rsid w:val="7D256FE6"/>
    <w:rsid w:val="7E2936C3"/>
    <w:rsid w:val="7E2E365C"/>
    <w:rsid w:val="7E6411B9"/>
    <w:rsid w:val="7F1A0769"/>
    <w:rsid w:val="7F480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宋体" w:cs="宋体"/>
      <w:kern w:val="2"/>
      <w:sz w:val="21"/>
      <w:lang w:val="en-US" w:eastAsia="zh-CN" w:bidi="ar-SA"/>
    </w:rPr>
  </w:style>
  <w:style w:type="paragraph" w:styleId="2">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cs="Calibri"/>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autoRedefine/>
    <w:qFormat/>
    <w:uiPriority w:val="0"/>
    <w:pPr>
      <w:jc w:val="left"/>
    </w:pPr>
    <w:rPr>
      <w:rFonts w:ascii="Arial" w:hAnsi="Arial" w:eastAsia="黑体" w:cs="Arial"/>
    </w:rPr>
  </w:style>
  <w:style w:type="paragraph" w:styleId="9">
    <w:name w:val="Body Text"/>
    <w:basedOn w:val="1"/>
    <w:link w:val="82"/>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qFormat/>
    <w:uiPriority w:val="0"/>
    <w:pPr>
      <w:snapToGrid w:val="0"/>
    </w:pPr>
    <w:rPr>
      <w:rFonts w:ascii="Arial" w:hAnsi="Arial"/>
    </w:rPr>
  </w:style>
  <w:style w:type="paragraph" w:styleId="12">
    <w:name w:val="toc 5"/>
    <w:basedOn w:val="1"/>
    <w:next w:val="1"/>
    <w:qFormat/>
    <w:uiPriority w:val="0"/>
    <w:pPr>
      <w:ind w:left="1680"/>
    </w:p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8"/>
    <w:next w:val="8"/>
    <w:link w:val="71"/>
    <w:autoRedefine/>
    <w:semiHidden/>
    <w:unhideWhenUsed/>
    <w:qFormat/>
    <w:uiPriority w:val="99"/>
    <w:rPr>
      <w:rFonts w:ascii="@仿宋_GB2312" w:hAnsi="@仿宋_GB2312" w:eastAsia="@仿宋_GB2312" w:cs="@仿宋_GB2312"/>
      <w:b/>
      <w:bCs/>
    </w:rPr>
  </w:style>
  <w:style w:type="paragraph" w:styleId="26">
    <w:name w:val="Body Text First Indent"/>
    <w:basedOn w:val="9"/>
    <w:autoRedefine/>
    <w:unhideWhenUsed/>
    <w:qFormat/>
    <w:uiPriority w:val="99"/>
    <w:pPr>
      <w:ind w:firstLine="420" w:firstLineChars="100"/>
    </w:pPr>
  </w:style>
  <w:style w:type="paragraph" w:styleId="27">
    <w:name w:val="Body Text First Indent 2"/>
    <w:basedOn w:val="10"/>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rPr>
      <w:bdr w:val="none" w:color="auto" w:sz="0" w:space="0"/>
    </w:rPr>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8"/>
    <w:autoRedefine/>
    <w:qFormat/>
    <w:uiPriority w:val="0"/>
    <w:rPr>
      <w:rFonts w:ascii="Arial" w:hAnsi="Arial" w:eastAsia="黑体" w:cs="Arial"/>
      <w:szCs w:val="20"/>
    </w:rPr>
  </w:style>
  <w:style w:type="character" w:customStyle="1" w:styleId="61">
    <w:name w:val="标题 1 Char"/>
    <w:basedOn w:val="30"/>
    <w:link w:val="2"/>
    <w:autoRedefine/>
    <w:qFormat/>
    <w:uiPriority w:val="9"/>
    <w:rPr>
      <w:rFonts w:ascii="@仿宋_GB2312" w:hAnsi="@仿宋_GB2312" w:eastAsia="@仿宋_GB2312" w:cs="@仿宋_GB2312"/>
      <w:b/>
      <w:bCs/>
      <w:kern w:val="44"/>
      <w:sz w:val="44"/>
      <w:szCs w:val="44"/>
    </w:rPr>
  </w:style>
  <w:style w:type="paragraph" w:customStyle="1" w:styleId="62">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4"/>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5"/>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9"/>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6">
    <w:name w:val="mini-outputtext1"/>
    <w:basedOn w:val="30"/>
    <w:qFormat/>
    <w:uiPriority w:val="0"/>
  </w:style>
  <w:style w:type="character" w:customStyle="1" w:styleId="87">
    <w:name w:val="font21"/>
    <w:basedOn w:val="30"/>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5932e229-fcc8-4271-b9d9-f02fd6c1427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77</Pages>
  <Words>104</Words>
  <Characters>131</Characters>
  <Lines>244</Lines>
  <Paragraphs>68</Paragraphs>
  <TotalTime>100</TotalTime>
  <ScaleCrop>false</ScaleCrop>
  <LinksUpToDate>false</LinksUpToDate>
  <CharactersWithSpaces>134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2026-10-22T07:31:06Z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6BAF9E02A79C4210854EE83893DF01F6_13</vt:lpwstr>
  </property>
  <property fmtid="{D5CDD505-2E9C-101B-9397-08002B2CF9AE}" pid="4" name="KSOTemplateDocerSaveRecord">
    <vt:lpwstr>eyJoZGlkIjoiOTc5MDNjMmIyODczM2YwMGZkZTNjYWY1NjIxZTY5YjciLCJ1c2VySWQiOiI1MDM3MjkwOTMifQ==</vt:lpwstr>
  </property>
</Properties>
</file>